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7A23A">
      <w:pPr>
        <w:pageBreakBefore w:val="0"/>
        <w:kinsoku/>
        <w:overflowPunct/>
        <w:autoSpaceDE w:val="0"/>
        <w:autoSpaceDN w:val="0"/>
        <w:bidi w:val="0"/>
        <w:adjustRightInd w:val="0"/>
        <w:spacing w:line="360" w:lineRule="auto"/>
        <w:jc w:val="righ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bookmarkStart w:id="0" w:name="_Toc298240403"/>
      <w:bookmarkStart w:id="1" w:name="_Toc527642950"/>
      <w:bookmarkStart w:id="2" w:name="_Toc349637918"/>
      <w:bookmarkStart w:id="3" w:name="_Toc349573119"/>
      <w:bookmarkStart w:id="4" w:name="_Toc267301280"/>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编号：</w:t>
      </w:r>
      <w:r>
        <w:rPr>
          <w:rFonts w:hint="eastAsia" w:ascii="宋体" w:hAnsi="宋体" w:cs="宋体"/>
          <w:b/>
          <w:color w:val="000000" w:themeColor="text1"/>
          <w:sz w:val="24"/>
          <w:szCs w:val="24"/>
          <w:highlight w:val="none"/>
          <w:lang w:val="en-US" w:eastAsia="zh-CN"/>
          <w14:textFill>
            <w14:solidFill>
              <w14:schemeClr w14:val="tx1"/>
            </w14:solidFill>
          </w14:textFill>
        </w:rPr>
        <w:t>glzfcg-jzxcs-2024-03</w:t>
      </w:r>
    </w:p>
    <w:p w14:paraId="5CD0FBF4">
      <w:pPr>
        <w:pStyle w:val="16"/>
        <w:pageBreakBefore w:val="0"/>
        <w:kinsoku/>
        <w:overflowPunct/>
        <w:bidi w:val="0"/>
        <w:spacing w:line="360" w:lineRule="auto"/>
        <w:textAlignment w:val="auto"/>
        <w:rPr>
          <w:rFonts w:hint="default"/>
          <w:color w:val="000000" w:themeColor="text1"/>
          <w:highlight w:val="none"/>
          <w:lang w:val="en-US" w:eastAsia="zh-CN"/>
          <w14:textFill>
            <w14:solidFill>
              <w14:schemeClr w14:val="tx1"/>
            </w14:solidFill>
          </w14:textFill>
        </w:rPr>
      </w:pPr>
    </w:p>
    <w:p w14:paraId="78116564">
      <w:pPr>
        <w:pStyle w:val="16"/>
        <w:pageBreakBefore w:val="0"/>
        <w:kinsoku/>
        <w:overflowPunct/>
        <w:bidi w:val="0"/>
        <w:spacing w:line="360" w:lineRule="auto"/>
        <w:textAlignment w:val="auto"/>
        <w:rPr>
          <w:rFonts w:hint="default"/>
          <w:color w:val="000000" w:themeColor="text1"/>
          <w:highlight w:val="none"/>
          <w:lang w:val="en-US" w:eastAsia="zh-CN"/>
          <w14:textFill>
            <w14:solidFill>
              <w14:schemeClr w14:val="tx1"/>
            </w14:solidFill>
          </w14:textFill>
        </w:rPr>
      </w:pPr>
    </w:p>
    <w:p w14:paraId="66764CD1">
      <w:pPr>
        <w:pageBreakBefore w:val="0"/>
        <w:kinsoku/>
        <w:overflowPunct/>
        <w:bidi w:val="0"/>
        <w:spacing w:line="360" w:lineRule="auto"/>
        <w:jc w:val="center"/>
        <w:textAlignment w:val="auto"/>
        <w:rPr>
          <w:rFonts w:hint="eastAsia" w:ascii="宋体" w:hAnsi="宋体" w:cs="Times New Roman"/>
          <w:b/>
          <w:color w:val="000000" w:themeColor="text1"/>
          <w:kern w:val="2"/>
          <w:sz w:val="48"/>
          <w:szCs w:val="48"/>
          <w:highlight w:val="none"/>
          <w:lang w:eastAsia="zh-CN" w:bidi="ar-SA"/>
          <w14:textFill>
            <w14:solidFill>
              <w14:schemeClr w14:val="tx1"/>
            </w14:solidFill>
          </w14:textFill>
        </w:rPr>
      </w:pPr>
      <w:r>
        <w:rPr>
          <w:rFonts w:hint="eastAsia" w:ascii="宋体" w:hAnsi="宋体" w:cs="Times New Roman"/>
          <w:b/>
          <w:color w:val="000000" w:themeColor="text1"/>
          <w:spacing w:val="-17"/>
          <w:kern w:val="2"/>
          <w:sz w:val="48"/>
          <w:szCs w:val="48"/>
          <w:highlight w:val="none"/>
          <w:lang w:eastAsia="zh-CN" w:bidi="ar-SA"/>
          <w14:textFill>
            <w14:solidFill>
              <w14:schemeClr w14:val="tx1"/>
            </w14:solidFill>
          </w14:textFill>
        </w:rPr>
        <w:t>2024年义务教育农村校舍安全保障长效机制项目</w:t>
      </w:r>
      <w:r>
        <w:rPr>
          <w:rFonts w:hint="eastAsia" w:ascii="宋体" w:hAnsi="宋体" w:cs="Times New Roman"/>
          <w:b/>
          <w:color w:val="000000" w:themeColor="text1"/>
          <w:kern w:val="2"/>
          <w:sz w:val="48"/>
          <w:szCs w:val="48"/>
          <w:highlight w:val="none"/>
          <w:lang w:eastAsia="zh-CN" w:bidi="ar-SA"/>
          <w14:textFill>
            <w14:solidFill>
              <w14:schemeClr w14:val="tx1"/>
            </w14:solidFill>
          </w14:textFill>
        </w:rPr>
        <w:t>（运动场悬浮地板铺设及屋面防水）</w:t>
      </w:r>
    </w:p>
    <w:p w14:paraId="16F89106">
      <w:pPr>
        <w:pageBreakBefore w:val="0"/>
        <w:kinsoku/>
        <w:overflowPunct/>
        <w:bidi w:val="0"/>
        <w:spacing w:line="360" w:lineRule="auto"/>
        <w:jc w:val="center"/>
        <w:textAlignment w:val="auto"/>
        <w:rPr>
          <w:rFonts w:hint="eastAsia" w:ascii="宋体" w:hAnsi="宋体" w:cs="Times New Roman"/>
          <w:b/>
          <w:color w:val="000000" w:themeColor="text1"/>
          <w:kern w:val="2"/>
          <w:sz w:val="48"/>
          <w:szCs w:val="48"/>
          <w:highlight w:val="none"/>
          <w:lang w:eastAsia="zh-CN" w:bidi="ar-SA"/>
          <w14:textFill>
            <w14:solidFill>
              <w14:schemeClr w14:val="tx1"/>
            </w14:solidFill>
          </w14:textFill>
        </w:rPr>
      </w:pPr>
    </w:p>
    <w:p w14:paraId="4D389E86">
      <w:pPr>
        <w:pageBreakBefore w:val="0"/>
        <w:kinsoku/>
        <w:overflowPunct/>
        <w:bidi w:val="0"/>
        <w:spacing w:line="360" w:lineRule="auto"/>
        <w:jc w:val="center"/>
        <w:textAlignment w:val="auto"/>
        <w:rPr>
          <w:rFonts w:hint="eastAsia"/>
          <w:b/>
          <w:bCs/>
          <w:color w:val="000000" w:themeColor="text1"/>
          <w:sz w:val="80"/>
          <w:szCs w:val="80"/>
          <w:highlight w:val="none"/>
          <w14:textFill>
            <w14:solidFill>
              <w14:schemeClr w14:val="tx1"/>
            </w14:solidFill>
          </w14:textFill>
        </w:rPr>
      </w:pPr>
      <w:r>
        <w:rPr>
          <w:rFonts w:hint="eastAsia"/>
          <w:b/>
          <w:bCs/>
          <w:color w:val="000000" w:themeColor="text1"/>
          <w:sz w:val="72"/>
          <w:szCs w:val="72"/>
          <w:highlight w:val="none"/>
          <w14:textFill>
            <w14:solidFill>
              <w14:schemeClr w14:val="tx1"/>
            </w14:solidFill>
          </w14:textFill>
        </w:rPr>
        <w:t>竞争性磋商文件</w:t>
      </w:r>
    </w:p>
    <w:p w14:paraId="5AB5D7F0">
      <w:pPr>
        <w:pageBreakBefore w:val="0"/>
        <w:kinsoku/>
        <w:overflowPunct/>
        <w:bidi w:val="0"/>
        <w:spacing w:line="360" w:lineRule="auto"/>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p>
    <w:p w14:paraId="60DAB1E3">
      <w:pPr>
        <w:pStyle w:val="16"/>
        <w:pageBreakBefore w:val="0"/>
        <w:kinsoku/>
        <w:overflowPunct/>
        <w:bidi w:val="0"/>
        <w:spacing w:line="360" w:lineRule="auto"/>
        <w:ind w:left="0" w:leftChars="0" w:firstLine="0" w:firstLine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p>
    <w:p w14:paraId="5F2B93D9">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招标人：</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巩留县教育局</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（盖章）</w:t>
      </w:r>
    </w:p>
    <w:p w14:paraId="1C16279B">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联系人：</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别里克汗</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联系电话：</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13899766957</w:t>
      </w:r>
    </w:p>
    <w:p w14:paraId="29A8F916">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招标代理机构：</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巩留县政府采购中心</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（公章)</w:t>
      </w:r>
    </w:p>
    <w:p w14:paraId="6102A61C">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联系人：</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 xml:space="preserve">吴主任     </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联系电话：</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17590398738</w:t>
      </w:r>
    </w:p>
    <w:p w14:paraId="25EB440D">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p>
    <w:p w14:paraId="1F340DC9">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二〇二</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四年八</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月</w:t>
      </w:r>
    </w:p>
    <w:p w14:paraId="077E4865">
      <w:pP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br w:type="page"/>
      </w:r>
    </w:p>
    <w:p w14:paraId="2B29007F">
      <w:pPr>
        <w:pageBreakBefore w:val="0"/>
        <w:kinsoku/>
        <w:overflowPunct/>
        <w:bidi w:val="0"/>
        <w:spacing w:line="480" w:lineRule="exact"/>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     录</w:t>
      </w:r>
    </w:p>
    <w:p w14:paraId="2FEEC07B">
      <w:pPr>
        <w:pStyle w:val="16"/>
        <w:rPr>
          <w:color w:val="000000" w:themeColor="text1"/>
          <w:highlight w:val="none"/>
          <w14:textFill>
            <w14:solidFill>
              <w14:schemeClr w14:val="tx1"/>
            </w14:solidFill>
          </w14:textFill>
        </w:rPr>
      </w:pPr>
    </w:p>
    <w:p w14:paraId="00775333">
      <w:pPr>
        <w:pStyle w:val="15"/>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"1-2" \h \z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"_Toc527642949"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第一部分 竞争性磋商公告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A8F1C86">
      <w:pPr>
        <w:pStyle w:val="15"/>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xml:space="preserve">第二部分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B2A6E82">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须知附表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F25145F">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A  说　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BDF8EEF">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B  磋商文件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F49C4B1">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C  磋商响应文件的编写</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197881F">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D  磋商响应文件的递交</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3</w:t>
      </w:r>
    </w:p>
    <w:p w14:paraId="1410BD8C">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E  磋商程序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4</w:t>
      </w:r>
    </w:p>
    <w:p w14:paraId="410A33EA">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F  授予合同</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3</w:t>
      </w:r>
    </w:p>
    <w:p w14:paraId="5C5F8792">
      <w:pPr>
        <w:pStyle w:val="15"/>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G  磋商失败条件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4</w:t>
      </w:r>
    </w:p>
    <w:p w14:paraId="2CDFC9AA">
      <w:pPr>
        <w:pStyle w:val="15"/>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xml:space="preserve">第三部分 </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5</w:t>
      </w:r>
    </w:p>
    <w:p w14:paraId="64455507">
      <w:pPr>
        <w:pStyle w:val="15"/>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第四部分 合同条款及格式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6</w:t>
      </w:r>
    </w:p>
    <w:p w14:paraId="4E7B67B1">
      <w:pPr>
        <w:pStyle w:val="15"/>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第五部分 响应文件格式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3</w:t>
      </w:r>
    </w:p>
    <w:p w14:paraId="00F1679B">
      <w:pPr>
        <w:pStyle w:val="15"/>
        <w:pageBreakBefore w:val="0"/>
        <w:tabs>
          <w:tab w:val="right" w:leader="dot" w:pos="8400"/>
        </w:tabs>
        <w:kinsoku/>
        <w:overflowPunct/>
        <w:bidi w:val="0"/>
        <w:spacing w:line="48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 xml:space="preserve">部分 </w:t>
      </w:r>
      <w:r>
        <w:rPr>
          <w:rFonts w:hint="eastAsia" w:ascii="宋体" w:hAnsi="宋体" w:eastAsia="宋体" w:cs="宋体"/>
          <w:color w:val="000000" w:themeColor="text1"/>
          <w:sz w:val="24"/>
          <w:szCs w:val="24"/>
          <w:highlight w:val="none"/>
          <w:lang w:eastAsia="zh-CN"/>
          <w14:textFill>
            <w14:solidFill>
              <w14:schemeClr w14:val="tx1"/>
            </w14:solidFill>
          </w14:textFill>
        </w:rPr>
        <w:t>补充条款</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5</w:t>
      </w:r>
    </w:p>
    <w:p w14:paraId="6D051502">
      <w:pPr>
        <w:pStyle w:val="15"/>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8A091F7">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58D45E7E">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744BB6F4">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7611F143">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711F580">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A7F0ED8">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01C4EB9C">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66E35602">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223EB2C">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9A4698D">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50613EA8">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4A5F9447">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4D4C5546">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1ADB8192">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7" w:h="16840"/>
          <w:pgMar w:top="1440" w:right="1080" w:bottom="1440" w:left="1080" w:header="851" w:footer="0" w:gutter="0"/>
          <w:pgBorders>
            <w:top w:val="none" w:sz="0" w:space="0"/>
            <w:left w:val="none" w:sz="0" w:space="0"/>
            <w:bottom w:val="none" w:sz="0" w:space="0"/>
            <w:right w:val="none" w:sz="0" w:space="0"/>
          </w:pgBorders>
          <w:pgNumType w:fmt="decimal" w:start="1"/>
          <w:cols w:space="720" w:num="1"/>
          <w:titlePg/>
          <w:docGrid w:type="lines" w:linePitch="409" w:charSpace="0"/>
        </w:sectPr>
      </w:pPr>
    </w:p>
    <w:p w14:paraId="14636DA4">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r>
        <w:rPr>
          <w:rFonts w:hint="eastAsia" w:cs="Times New Roman"/>
          <w:b/>
          <w:bCs/>
          <w:color w:val="000000" w:themeColor="text1"/>
          <w:sz w:val="32"/>
          <w:szCs w:val="32"/>
          <w:highlight w:val="none"/>
          <w:lang w:val="en-US" w:eastAsia="zh-CN"/>
          <w14:textFill>
            <w14:solidFill>
              <w14:schemeClr w14:val="tx1"/>
            </w14:solidFill>
          </w14:textFill>
        </w:rPr>
        <w:t>竞争性磋商公告</w:t>
      </w:r>
    </w:p>
    <w:p w14:paraId="14DC3E56">
      <w:pPr>
        <w:pStyle w:val="21"/>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color w:val="000000" w:themeColor="text1"/>
          <w:highlight w:val="none"/>
          <w:lang w:val="en-US" w:eastAsia="zh-CN"/>
          <w14:textFill>
            <w14:solidFill>
              <w14:schemeClr w14:val="tx1"/>
            </w14:solidFill>
          </w14:textFill>
        </w:rPr>
      </w:pPr>
    </w:p>
    <w:p w14:paraId="768D901E">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Style w:val="25"/>
          <w:rFonts w:hint="eastAsia" w:ascii="宋体" w:hAnsi="宋体" w:cs="宋体"/>
          <w:color w:val="000000" w:themeColor="text1"/>
          <w:kern w:val="0"/>
          <w:sz w:val="28"/>
          <w:szCs w:val="28"/>
          <w:highlight w:val="none"/>
          <w:lang w:eastAsia="zh-CN"/>
          <w14:textFill>
            <w14:solidFill>
              <w14:schemeClr w14:val="tx1"/>
            </w14:solidFill>
          </w14:textFill>
        </w:rPr>
      </w:pPr>
      <w:r>
        <w:rPr>
          <w:rStyle w:val="25"/>
          <w:rFonts w:hint="eastAsia" w:ascii="宋体" w:hAnsi="宋体" w:cs="宋体"/>
          <w:color w:val="000000" w:themeColor="text1"/>
          <w:kern w:val="0"/>
          <w:sz w:val="28"/>
          <w:szCs w:val="28"/>
          <w:highlight w:val="none"/>
          <w:lang w:eastAsia="zh-CN"/>
          <w14:textFill>
            <w14:solidFill>
              <w14:schemeClr w14:val="tx1"/>
            </w14:solidFill>
          </w14:textFill>
        </w:rPr>
        <w:t>2024年义务教育农村校舍安全保障长效机制项目</w:t>
      </w:r>
    </w:p>
    <w:p w14:paraId="0885C818">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Style w:val="25"/>
          <w:rFonts w:hint="eastAsia" w:ascii="宋体" w:hAnsi="宋体" w:cs="宋体"/>
          <w:color w:val="000000" w:themeColor="text1"/>
          <w:kern w:val="0"/>
          <w:sz w:val="28"/>
          <w:szCs w:val="28"/>
          <w:highlight w:val="none"/>
          <w:lang w:eastAsia="zh-CN"/>
          <w14:textFill>
            <w14:solidFill>
              <w14:schemeClr w14:val="tx1"/>
            </w14:solidFill>
          </w14:textFill>
        </w:rPr>
      </w:pPr>
      <w:r>
        <w:rPr>
          <w:rStyle w:val="25"/>
          <w:rFonts w:hint="eastAsia" w:ascii="宋体" w:hAnsi="宋体" w:cs="宋体"/>
          <w:color w:val="000000" w:themeColor="text1"/>
          <w:kern w:val="0"/>
          <w:sz w:val="28"/>
          <w:szCs w:val="28"/>
          <w:highlight w:val="none"/>
          <w:lang w:eastAsia="zh-CN"/>
          <w14:textFill>
            <w14:solidFill>
              <w14:schemeClr w14:val="tx1"/>
            </w14:solidFill>
          </w14:textFill>
        </w:rPr>
        <w:t>（运动场悬浮地板铺设及屋面防水）</w:t>
      </w:r>
    </w:p>
    <w:p w14:paraId="6AA297F4">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Style w:val="25"/>
          <w:rFonts w:hint="eastAsia" w:ascii="宋体" w:hAnsi="宋体" w:cs="宋体"/>
          <w:color w:val="000000" w:themeColor="text1"/>
          <w:kern w:val="0"/>
          <w:sz w:val="28"/>
          <w:szCs w:val="28"/>
          <w:highlight w:val="none"/>
          <w:lang w:eastAsia="zh-CN"/>
          <w14:textFill>
            <w14:solidFill>
              <w14:schemeClr w14:val="tx1"/>
            </w14:solidFill>
          </w14:textFill>
        </w:rPr>
      </w:pPr>
      <w:r>
        <w:rPr>
          <w:rStyle w:val="25"/>
          <w:rFonts w:hint="eastAsia" w:ascii="宋体" w:hAnsi="宋体" w:cs="宋体"/>
          <w:color w:val="000000" w:themeColor="text1"/>
          <w:kern w:val="0"/>
          <w:sz w:val="28"/>
          <w:szCs w:val="28"/>
          <w:highlight w:val="none"/>
          <w:lang w:eastAsia="zh-CN"/>
          <w14:textFill>
            <w14:solidFill>
              <w14:schemeClr w14:val="tx1"/>
            </w14:solidFill>
          </w14:textFill>
        </w:rPr>
        <w:t>竞争性磋商公告</w:t>
      </w:r>
    </w:p>
    <w:p w14:paraId="795579AA">
      <w:pPr>
        <w:pStyle w:val="3"/>
        <w:pageBreakBefore w:val="0"/>
        <w:numPr>
          <w:ilvl w:val="0"/>
          <w:numId w:val="0"/>
        </w:numPr>
        <w:tabs>
          <w:tab w:val="clear" w:pos="360"/>
        </w:tabs>
        <w:kinsoku/>
        <w:wordWrap/>
        <w:overflowPunct/>
        <w:topLinePunct w:val="0"/>
        <w:autoSpaceDE w:val="0"/>
        <w:autoSpaceDN w:val="0"/>
        <w:bidi w:val="0"/>
        <w:adjustRightInd w:val="0"/>
        <w:snapToGrid/>
        <w:spacing w:before="0" w:after="0" w:line="380" w:lineRule="exact"/>
        <w:ind w:lef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06EF6F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400" w:lineRule="atLeast"/>
        <w:ind w:left="0" w:leftChars="0" w:right="0" w:rightChars="0"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项目概况</w:t>
      </w:r>
    </w:p>
    <w:p w14:paraId="03A4672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400" w:lineRule="atLeast"/>
        <w:ind w:left="0" w:leftChars="0" w:right="0" w:rightChars="0" w:firstLine="480"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color="auto"/>
          <w:lang w:eastAsia="zh-CN"/>
          <w14:textFill>
            <w14:solidFill>
              <w14:schemeClr w14:val="tx1"/>
            </w14:solidFill>
          </w14:textFill>
        </w:rPr>
        <w:t>2024年义务教育农村校舍安全保障长效机制项目（运动场悬浮地板铺设及屋面防水）</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的潜在供应商应在</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政采云平台线上</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获取采购文件，并于</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202</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年</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 xml:space="preserve"> 9 </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月</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 xml:space="preserve"> 03 </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日</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 xml:space="preserve"> 16 时30  </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（北京时间）前提交投标文件。</w:t>
      </w:r>
    </w:p>
    <w:p w14:paraId="1957A0AF">
      <w:pPr>
        <w:pStyle w:val="4"/>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 w:name="_Toc35393790"/>
      <w:bookmarkStart w:id="6" w:name="_Toc35393621"/>
      <w:bookmarkStart w:id="7" w:name="_Toc28359002"/>
      <w:bookmarkStart w:id="8" w:name="_Toc28359079"/>
      <w:bookmarkStart w:id="9" w:name="_Hlk24379207"/>
      <w:r>
        <w:rPr>
          <w:rFonts w:hint="eastAsia" w:ascii="宋体" w:hAnsi="宋体" w:eastAsia="宋体" w:cs="宋体"/>
          <w:color w:val="000000" w:themeColor="text1"/>
          <w:sz w:val="24"/>
          <w:szCs w:val="24"/>
          <w:highlight w:val="none"/>
          <w14:textFill>
            <w14:solidFill>
              <w14:schemeClr w14:val="tx1"/>
            </w14:solidFill>
          </w14:textFill>
        </w:rPr>
        <w:t>一、项目基本情况</w:t>
      </w:r>
      <w:bookmarkEnd w:id="5"/>
      <w:bookmarkEnd w:id="6"/>
      <w:bookmarkEnd w:id="7"/>
      <w:bookmarkEnd w:id="8"/>
    </w:p>
    <w:p w14:paraId="7FFE1DD5">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val="en-US" w:eastAsia="zh-CN"/>
          <w14:textFill>
            <w14:solidFill>
              <w14:schemeClr w14:val="tx1"/>
            </w14:solidFill>
          </w14:textFill>
        </w:rPr>
        <w:t>glzfcg-jzxcs-2024-02</w:t>
      </w:r>
    </w:p>
    <w:p w14:paraId="0F778D41">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bookmarkEnd w:id="9"/>
      <w:r>
        <w:rPr>
          <w:rFonts w:hint="eastAsia" w:ascii="宋体" w:hAnsi="宋体" w:cs="宋体"/>
          <w:color w:val="000000" w:themeColor="text1"/>
          <w:sz w:val="24"/>
          <w:szCs w:val="24"/>
          <w:highlight w:val="none"/>
          <w:u w:val="none" w:color="auto"/>
          <w:lang w:eastAsia="zh-CN"/>
          <w14:textFill>
            <w14:solidFill>
              <w14:schemeClr w14:val="tx1"/>
            </w14:solidFill>
          </w14:textFill>
        </w:rPr>
        <w:t>2024年义务教育农村校舍安全保障长效机制项目（运动场悬浮地板铺设及屋面防水）</w:t>
      </w:r>
    </w:p>
    <w:p w14:paraId="1E20B712">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val="en-US" w:eastAsia="zh-CN"/>
          <w14:textFill>
            <w14:solidFill>
              <w14:schemeClr w14:val="tx1"/>
            </w14:solidFill>
          </w14:textFill>
        </w:rPr>
        <w:t>1465000元</w:t>
      </w:r>
    </w:p>
    <w:p w14:paraId="2BEADE42">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1463459.35元</w:t>
      </w:r>
    </w:p>
    <w:p w14:paraId="5511CC6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建设内容及规模：</w:t>
      </w:r>
      <w:r>
        <w:rPr>
          <w:rFonts w:hint="eastAsia" w:ascii="宋体" w:hAnsi="宋体" w:cs="宋体"/>
          <w:color w:val="000000" w:themeColor="text1"/>
          <w:sz w:val="24"/>
          <w:szCs w:val="24"/>
          <w:highlight w:val="none"/>
          <w:lang w:eastAsia="zh-CN"/>
          <w14:textFill>
            <w14:solidFill>
              <w14:schemeClr w14:val="tx1"/>
            </w14:solidFill>
          </w14:textFill>
        </w:rPr>
        <w:t>运动场悬浮地板铺设及屋面防水</w:t>
      </w:r>
      <w:r>
        <w:rPr>
          <w:rFonts w:hint="eastAsia" w:ascii="宋体" w:hAnsi="宋体" w:eastAsia="宋体" w:cs="宋体"/>
          <w:color w:val="000000" w:themeColor="text1"/>
          <w:sz w:val="24"/>
          <w:szCs w:val="24"/>
          <w:highlight w:val="none"/>
          <w:lang w:val="en-US" w:eastAsia="zh-CN"/>
          <w14:textFill>
            <w14:solidFill>
              <w14:schemeClr w14:val="tx1"/>
            </w14:solidFill>
          </w14:textFill>
        </w:rPr>
        <w:t>（详细工程量清单）。</w:t>
      </w:r>
    </w:p>
    <w:p w14:paraId="7E61838A">
      <w:pPr>
        <w:pageBreakBefore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szCs w:val="24"/>
          <w:highlight w:val="green"/>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签订合同后30日内</w:t>
      </w:r>
    </w:p>
    <w:p w14:paraId="26BFA70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计划开竣工日期：2024年9月7日至2024年11月10日（计划工期为65日历天）。</w:t>
      </w:r>
    </w:p>
    <w:p w14:paraId="7BEE3892">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p w14:paraId="76141122">
      <w:pPr>
        <w:pStyle w:val="4"/>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 w:name="_Toc28359003"/>
      <w:bookmarkStart w:id="11" w:name="_Toc35393791"/>
      <w:bookmarkStart w:id="12" w:name="_Toc28359080"/>
      <w:bookmarkStart w:id="13" w:name="_Toc35393622"/>
      <w:r>
        <w:rPr>
          <w:rFonts w:hint="eastAsia" w:ascii="宋体" w:hAnsi="宋体" w:eastAsia="宋体" w:cs="宋体"/>
          <w:color w:val="000000" w:themeColor="text1"/>
          <w:sz w:val="24"/>
          <w:szCs w:val="24"/>
          <w:highlight w:val="none"/>
          <w14:textFill>
            <w14:solidFill>
              <w14:schemeClr w14:val="tx1"/>
            </w14:solidFill>
          </w14:textFill>
        </w:rPr>
        <w:t>二、申请人的资格要求：</w:t>
      </w:r>
      <w:bookmarkEnd w:id="10"/>
      <w:bookmarkEnd w:id="11"/>
      <w:bookmarkEnd w:id="12"/>
      <w:bookmarkEnd w:id="13"/>
    </w:p>
    <w:p w14:paraId="773F828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14:paraId="1340DEF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4" w:name="_Toc28359081"/>
      <w:bookmarkStart w:id="15" w:name="_Toc28359004"/>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default" w:ascii="Times New Roman" w:hAnsi="Times New Roman" w:eastAsia="宋体" w:cs="Times New Roman"/>
          <w:color w:val="000000" w:themeColor="text1"/>
          <w:sz w:val="24"/>
          <w:szCs w:val="24"/>
          <w:highlight w:val="none"/>
          <w:lang w:val="en-US"/>
          <w14:textFill>
            <w14:solidFill>
              <w14:schemeClr w14:val="tx1"/>
            </w14:solidFill>
          </w14:textFill>
        </w:rPr>
        <w:t>严格执行“关于落实好政府采购支持中小企业发展的通知”的相关政策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5856D4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shd w:val="clear" w:color="050000" w:fill="auto"/>
          <w:lang w:eastAsia="zh-CN"/>
          <w14:textFill>
            <w14:solidFill>
              <w14:schemeClr w14:val="tx1"/>
            </w14:solidFill>
          </w14:textFill>
        </w:rPr>
      </w:pPr>
      <w:bookmarkStart w:id="16" w:name="_Toc35393623"/>
      <w:bookmarkStart w:id="17" w:name="_Toc35393792"/>
      <w:r>
        <w:rPr>
          <w:rFonts w:hint="eastAsia" w:ascii="宋体" w:hAnsi="宋体" w:eastAsia="宋体" w:cs="宋体"/>
          <w:color w:val="000000" w:themeColor="text1"/>
          <w:sz w:val="24"/>
          <w:szCs w:val="24"/>
          <w:highlight w:val="none"/>
          <w:shd w:val="clear" w:color="050000" w:fill="auto"/>
          <w14:textFill>
            <w14:solidFill>
              <w14:schemeClr w14:val="tx1"/>
            </w14:solidFill>
          </w14:textFill>
        </w:rPr>
        <w:t>3.本项目的特定资格要求：</w:t>
      </w:r>
      <w:r>
        <w:rPr>
          <w:rFonts w:hint="eastAsia" w:ascii="宋体" w:hAnsi="宋体" w:eastAsia="宋体" w:cs="宋体"/>
          <w:color w:val="000000" w:themeColor="text1"/>
          <w:sz w:val="24"/>
          <w:szCs w:val="24"/>
          <w:highlight w:val="none"/>
          <w:shd w:val="clear" w:color="050000" w:fill="auto"/>
          <w:lang w:eastAsia="zh-CN"/>
          <w14:textFill>
            <w14:solidFill>
              <w14:schemeClr w14:val="tx1"/>
            </w14:solidFill>
          </w14:textFill>
        </w:rPr>
        <w:t>须具备建筑工程施工总承包叁级（含叁级）以上资质等级的施工企业，并在人员、设备、资金等方面具有相应的施工能力，具备在有效期限内的安全生产许可证；</w:t>
      </w:r>
      <w:r>
        <w:rPr>
          <w:rFonts w:hint="eastAsia" w:ascii="宋体" w:hAnsi="宋体" w:eastAsia="宋体" w:cs="宋体"/>
          <w:color w:val="000000" w:themeColor="text1"/>
          <w:sz w:val="24"/>
          <w:szCs w:val="24"/>
          <w:highlight w:val="none"/>
          <w:shd w:val="clear" w:color="050000" w:fill="auto"/>
          <w:lang w:val="en-US" w:eastAsia="zh-CN"/>
          <w14:textFill>
            <w14:solidFill>
              <w14:schemeClr w14:val="tx1"/>
            </w14:solidFill>
          </w14:textFill>
        </w:rPr>
        <w:t>自治区区外企业须在“新疆工程建设云管理系统”报送通过。</w:t>
      </w:r>
    </w:p>
    <w:p w14:paraId="1051973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三、获取招标文件</w:t>
      </w:r>
      <w:bookmarkEnd w:id="14"/>
      <w:bookmarkEnd w:id="15"/>
      <w:bookmarkEnd w:id="16"/>
      <w:bookmarkEnd w:id="17"/>
    </w:p>
    <w:p w14:paraId="0FAF3178">
      <w:pPr>
        <w:pageBreakBefore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18" w:name="_Toc28359005"/>
      <w:bookmarkStart w:id="19" w:name="_Toc28359082"/>
      <w:bookmarkStart w:id="20" w:name="_Toc35393624"/>
      <w:bookmarkStart w:id="21" w:name="_Toc35393793"/>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8 </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21 </w:t>
      </w:r>
      <w:r>
        <w:rPr>
          <w:rFonts w:hint="eastAsia" w:ascii="宋体" w:hAnsi="宋体" w:eastAsia="宋体" w:cs="宋体"/>
          <w:color w:val="000000" w:themeColor="text1"/>
          <w:sz w:val="24"/>
          <w:szCs w:val="24"/>
          <w:highlight w:val="none"/>
          <w:u w:val="single"/>
          <w14:textFill>
            <w14:solidFill>
              <w14:schemeClr w14:val="tx1"/>
            </w14:solidFill>
          </w14:textFill>
        </w:rPr>
        <w:t>日至 202</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8 </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28 </w:t>
      </w:r>
      <w:r>
        <w:rPr>
          <w:rFonts w:hint="eastAsia" w:ascii="宋体" w:hAnsi="宋体" w:eastAsia="宋体" w:cs="宋体"/>
          <w:color w:val="000000" w:themeColor="text1"/>
          <w:sz w:val="24"/>
          <w:szCs w:val="24"/>
          <w:highlight w:val="none"/>
          <w:u w:val="single"/>
          <w14:textFill>
            <w14:solidFill>
              <w14:schemeClr w14:val="tx1"/>
            </w14:solidFill>
          </w14:textFill>
        </w:rPr>
        <w:t>日，每天上午10：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至14：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，下午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至</w:t>
      </w:r>
      <w:r>
        <w:rPr>
          <w:rFonts w:hint="eastAsia" w:ascii="宋体" w:hAnsi="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（法定节假日除外）</w:t>
      </w:r>
      <w:r>
        <w:rPr>
          <w:rFonts w:hint="eastAsia" w:ascii="宋体" w:hAnsi="宋体" w:eastAsia="宋体" w:cs="宋体"/>
          <w:color w:val="000000" w:themeColor="text1"/>
          <w:sz w:val="24"/>
          <w:szCs w:val="24"/>
          <w:highlight w:val="none"/>
          <w14:textFill>
            <w14:solidFill>
              <w14:schemeClr w14:val="tx1"/>
            </w14:solidFill>
          </w14:textFill>
        </w:rPr>
        <w:t>。</w:t>
      </w:r>
    </w:p>
    <w:p w14:paraId="478CD701">
      <w:pPr>
        <w:spacing w:line="240" w:lineRule="auto"/>
        <w:ind w:firstLine="54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eastAsia="zh-CN"/>
          <w14:textFill>
            <w14:solidFill>
              <w14:schemeClr w14:val="tx1"/>
            </w14:solidFill>
          </w14:textFill>
        </w:rPr>
        <w:t>：新疆政采云平台线上获取。</w:t>
      </w:r>
    </w:p>
    <w:p w14:paraId="7281C02A">
      <w:pPr>
        <w:spacing w:line="240" w:lineRule="auto"/>
        <w:ind w:firstLine="5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方式：供应商登录政采云平台https://www.zcygov.cn/在线申请获取采购文件（进入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项目采购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应用，在获取采购文件菜单中选择项目，申请获取采购文件）</w:t>
      </w:r>
      <w:r>
        <w:rPr>
          <w:rFonts w:hint="eastAsia" w:ascii="宋体" w:hAnsi="宋体" w:cs="宋体"/>
          <w:color w:val="000000" w:themeColor="text1"/>
          <w:sz w:val="24"/>
          <w:szCs w:val="24"/>
          <w:highlight w:val="none"/>
          <w:lang w:eastAsia="zh-CN"/>
          <w14:textFill>
            <w14:solidFill>
              <w14:schemeClr w14:val="tx1"/>
            </w14:solidFill>
          </w14:textFill>
        </w:rPr>
        <w:t>。</w:t>
      </w:r>
    </w:p>
    <w:p w14:paraId="2B12D398">
      <w:pPr>
        <w:spacing w:line="240" w:lineRule="auto"/>
        <w:ind w:firstLine="5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w:t>
      </w:r>
      <w:r>
        <w:rPr>
          <w:rFonts w:hint="eastAsia" w:ascii="宋体" w:hAnsi="宋体" w:eastAsia="宋体" w:cs="宋体"/>
          <w:color w:val="000000" w:themeColor="text1"/>
          <w:sz w:val="24"/>
          <w:szCs w:val="24"/>
          <w:highlight w:val="none"/>
          <w:lang w:val="en-US" w:eastAsia="zh-CN"/>
          <w14:textFill>
            <w14:solidFill>
              <w14:schemeClr w14:val="tx1"/>
            </w14:solidFill>
          </w14:textFill>
        </w:rPr>
        <w:t>0元</w:t>
      </w:r>
    </w:p>
    <w:p w14:paraId="55ACC625">
      <w:pPr>
        <w:pStyle w:val="4"/>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四、提交投标文件</w:t>
      </w:r>
      <w:bookmarkEnd w:id="18"/>
      <w:bookmarkEnd w:id="19"/>
      <w:r>
        <w:rPr>
          <w:rFonts w:hint="eastAsia" w:ascii="宋体" w:hAnsi="宋体" w:eastAsia="宋体" w:cs="宋体"/>
          <w:color w:val="000000" w:themeColor="text1"/>
          <w:sz w:val="24"/>
          <w:szCs w:val="24"/>
          <w:highlight w:val="none"/>
          <w14:textFill>
            <w14:solidFill>
              <w14:schemeClr w14:val="tx1"/>
            </w14:solidFill>
          </w14:textFill>
        </w:rPr>
        <w:t>截止时间、开标时间和地点</w:t>
      </w:r>
      <w:bookmarkEnd w:id="20"/>
      <w:bookmarkEnd w:id="21"/>
    </w:p>
    <w:p w14:paraId="2FB2556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bookmarkStart w:id="22" w:name="_Toc28359084"/>
      <w:bookmarkStart w:id="23" w:name="_Toc28359007"/>
      <w:bookmarkStart w:id="24" w:name="_Toc35393625"/>
      <w:bookmarkStart w:id="25" w:name="_Toc35393794"/>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9 </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3 </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 xml:space="preserve"> 16 </w:t>
      </w:r>
      <w:r>
        <w:rPr>
          <w:rFonts w:hint="eastAsia" w:ascii="宋体" w:hAnsi="宋体" w:cs="宋体"/>
          <w:color w:val="000000" w:themeColor="text1"/>
          <w:sz w:val="24"/>
          <w:szCs w:val="24"/>
          <w:highlight w:val="none"/>
          <w:lang w:eastAsia="zh-CN"/>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 xml:space="preserve"> 30 </w:t>
      </w:r>
      <w:r>
        <w:rPr>
          <w:rFonts w:hint="eastAsia" w:ascii="宋体" w:hAnsi="宋体" w:cs="宋体"/>
          <w:color w:val="000000" w:themeColor="text1"/>
          <w:sz w:val="24"/>
          <w:szCs w:val="24"/>
          <w:highlight w:val="none"/>
          <w:lang w:eastAsia="zh-CN"/>
          <w14:textFill>
            <w14:solidFill>
              <w14:schemeClr w14:val="tx1"/>
            </w14:solidFill>
          </w14:textFill>
        </w:rPr>
        <w:t>分</w:t>
      </w:r>
    </w:p>
    <w:p w14:paraId="48F10343">
      <w:pPr>
        <w:numPr>
          <w:ilvl w:val="0"/>
          <w:numId w:val="0"/>
        </w:numPr>
        <w:spacing w:line="24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投标地点（网址）：请登录政采云投标客户端，在截止时间前将加密的电子响应文件上传到新疆政府采购网对应的位置（逾期上传或者未上传指定地点的响应文件，采购人不予受理）。 </w:t>
      </w:r>
    </w:p>
    <w:p w14:paraId="07890DCB">
      <w:pPr>
        <w:numPr>
          <w:ilvl w:val="0"/>
          <w:numId w:val="0"/>
        </w:numPr>
        <w:spacing w:line="24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开标方式:不见面开标</w:t>
      </w:r>
      <w:r>
        <w:rPr>
          <w:rFonts w:hint="eastAsia" w:ascii="宋体" w:hAnsi="宋体" w:cs="宋体"/>
          <w:color w:val="000000" w:themeColor="text1"/>
          <w:sz w:val="24"/>
          <w:szCs w:val="24"/>
          <w:highlight w:val="none"/>
          <w:lang w:eastAsia="zh-CN"/>
          <w14:textFill>
            <w14:solidFill>
              <w14:schemeClr w14:val="tx1"/>
            </w14:solidFill>
          </w14:textFill>
        </w:rPr>
        <w:t>。</w:t>
      </w:r>
    </w:p>
    <w:p w14:paraId="4DBCF2D0">
      <w:pPr>
        <w:pStyle w:val="4"/>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五、公告期限</w:t>
      </w:r>
      <w:bookmarkEnd w:id="22"/>
      <w:bookmarkEnd w:id="23"/>
      <w:bookmarkEnd w:id="24"/>
      <w:bookmarkEnd w:id="25"/>
    </w:p>
    <w:p w14:paraId="287C5E37">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B746C1B">
      <w:pPr>
        <w:pStyle w:val="4"/>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6" w:name="_Toc35393626"/>
      <w:bookmarkStart w:id="27" w:name="_Toc35393795"/>
      <w:r>
        <w:rPr>
          <w:rFonts w:hint="eastAsia" w:ascii="宋体" w:hAnsi="宋体" w:eastAsia="宋体" w:cs="宋体"/>
          <w:color w:val="000000" w:themeColor="text1"/>
          <w:sz w:val="24"/>
          <w:szCs w:val="24"/>
          <w:highlight w:val="none"/>
          <w14:textFill>
            <w14:solidFill>
              <w14:schemeClr w14:val="tx1"/>
            </w14:solidFill>
          </w14:textFill>
        </w:rPr>
        <w:t>六、其他补充事宜</w:t>
      </w:r>
      <w:bookmarkEnd w:id="26"/>
      <w:bookmarkEnd w:id="27"/>
    </w:p>
    <w:p w14:paraId="5870A187">
      <w:pPr>
        <w:keepNext w:val="0"/>
        <w:keepLines w:val="0"/>
        <w:widowControl/>
        <w:numPr>
          <w:ilvl w:val="0"/>
          <w:numId w:val="0"/>
        </w:numPr>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8" w:name="_Toc35393627"/>
      <w:bookmarkStart w:id="29" w:name="_Toc35393796"/>
      <w:bookmarkStart w:id="30" w:name="_Toc28359008"/>
      <w:bookmarkStart w:id="31" w:name="_Toc28359085"/>
      <w:r>
        <w:rPr>
          <w:rFonts w:hint="default"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本项目采购采用电子交易方式，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投标人无需到达评标地点，</w:t>
      </w:r>
      <w:r>
        <w:rPr>
          <w:rFonts w:hint="eastAsia" w:ascii="宋体" w:hAnsi="宋体" w:eastAsia="宋体" w:cs="宋体"/>
          <w:color w:val="000000" w:themeColor="text1"/>
          <w:sz w:val="24"/>
          <w:szCs w:val="24"/>
          <w:highlight w:val="none"/>
          <w:lang w:eastAsia="zh-CN"/>
          <w14:textFill>
            <w14:solidFill>
              <w14:schemeClr w14:val="tx1"/>
            </w14:solidFill>
          </w14:textFill>
        </w:rPr>
        <w:t>电子交易平台为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政府采购云平台（https://login.zcygov.cn/）</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。供应商参与本项目电子交易活动前，应注册成为政府采购云平台</w:t>
      </w:r>
      <w:r>
        <w:rPr>
          <w:rFonts w:hint="eastAsia" w:ascii="宋体" w:hAnsi="宋体" w:cs="宋体"/>
          <w:color w:val="000000" w:themeColor="text1"/>
          <w:sz w:val="24"/>
          <w:szCs w:val="24"/>
          <w:highlight w:val="none"/>
          <w:lang w:eastAsia="zh-CN"/>
          <w14:textFill>
            <w14:solidFill>
              <w14:schemeClr w14:val="tx1"/>
            </w14:solidFill>
          </w14:textFill>
        </w:rPr>
        <w:t>正式</w:t>
      </w:r>
      <w:r>
        <w:rPr>
          <w:rFonts w:hint="eastAsia" w:ascii="宋体" w:hAnsi="宋体" w:eastAsia="宋体" w:cs="宋体"/>
          <w:color w:val="000000" w:themeColor="text1"/>
          <w:sz w:val="24"/>
          <w:szCs w:val="24"/>
          <w:highlight w:val="none"/>
          <w:lang w:eastAsia="zh-CN"/>
          <w14:textFill>
            <w14:solidFill>
              <w14:schemeClr w14:val="tx1"/>
            </w14:solidFill>
          </w14:textFill>
        </w:rPr>
        <w:t>供应商。编制电子投标文件前还需申领CA证书并绑定帐号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因未注册入库、未办理CA数字证书等原因造成无法递交电子版响应文件或递交电子响应文件失败等后果由供应商自行承担。如有操作性问题可与政采云在线客服进行咨询，咨询电话：400-881-7190。</w:t>
      </w:r>
    </w:p>
    <w:p w14:paraId="7A40AE19">
      <w:pPr>
        <w:keepNext w:val="0"/>
        <w:keepLines w:val="0"/>
        <w:widowControl/>
        <w:numPr>
          <w:ilvl w:val="0"/>
          <w:numId w:val="0"/>
        </w:numPr>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供应商应使用最新版本的CA驱动和政采云投标客户端，客户端下载、安装完成后，可通过账号密码或CA登录客户端并按照本采购文件和电子招投标供应商客户端的要求编制并加密投标文件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未按规定加密的投标文件，将被电子招投标供应商客户端拒收。</w:t>
      </w:r>
    </w:p>
    <w:p w14:paraId="0F7A6584">
      <w:pPr>
        <w:keepNext w:val="0"/>
        <w:keepLines w:val="0"/>
        <w:widowControl/>
        <w:numPr>
          <w:ilvl w:val="0"/>
          <w:numId w:val="0"/>
        </w:numPr>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供应商应当在投标截止时间前，将生成的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电子加密响应文件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上传递交至</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政府采购云平台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，递交电子响应文件截止时间以后上传递交的响应文件将被</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政府采购云平台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拒收。</w:t>
      </w:r>
    </w:p>
    <w:p w14:paraId="09C39181">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在使用政采云投标客户端时，建议使用谷歌浏览器</w:t>
      </w:r>
      <w:r>
        <w:rPr>
          <w:rFonts w:hint="eastAsia" w:ascii="宋体" w:hAnsi="宋体" w:cs="宋体"/>
          <w:color w:val="000000" w:themeColor="text1"/>
          <w:sz w:val="24"/>
          <w:szCs w:val="24"/>
          <w:highlight w:val="none"/>
          <w:lang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360极速浏览器</w:t>
      </w:r>
      <w:r>
        <w:rPr>
          <w:rFonts w:hint="eastAsia" w:ascii="宋体" w:hAnsi="宋体" w:eastAsia="宋体" w:cs="宋体"/>
          <w:color w:val="000000" w:themeColor="text1"/>
          <w:sz w:val="24"/>
          <w:szCs w:val="24"/>
          <w:highlight w:val="none"/>
          <w:lang w:eastAsia="zh-CN"/>
          <w14:textFill>
            <w14:solidFill>
              <w14:schemeClr w14:val="tx1"/>
            </w14:solidFill>
          </w14:textFill>
        </w:rPr>
        <w:t>，电脑配置满足win7+64位以上操作系统（不能用mac或者linux系统）。客户端请至新疆政府采购网（http://www.ccgp-xinjiang.gov.cn/）下载专区查看，如有问题可拨打政采云客户服务热线400-881-7190进行咨询。</w:t>
      </w:r>
    </w:p>
    <w:p w14:paraId="729F411F">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供应商登录政采云平台，在投标截止时间后30分钟内用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项目采购-开标评标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功能进行解密响应文件。若供应商在规定时间内未按时解密的，视为无效投标。解密与加密响应文件须使用同一个CA。</w:t>
      </w:r>
    </w:p>
    <w:p w14:paraId="391BD4B3">
      <w:pPr>
        <w:pStyle w:val="4"/>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七、对本次招标提出询问，请按以下方式联系。</w:t>
      </w:r>
      <w:bookmarkEnd w:id="28"/>
      <w:bookmarkEnd w:id="29"/>
      <w:bookmarkEnd w:id="30"/>
      <w:bookmarkEnd w:id="31"/>
    </w:p>
    <w:p w14:paraId="35A6FDC4">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1.采购人信息</w:t>
      </w:r>
    </w:p>
    <w:p w14:paraId="313CCBF3">
      <w:pPr>
        <w:keepNext w:val="0"/>
        <w:keepLines w:val="0"/>
        <w:widowControl/>
        <w:suppressLineNumbers w:val="0"/>
        <w:spacing w:line="240" w:lineRule="auto"/>
        <w:ind w:firstLine="480" w:firstLineChars="200"/>
        <w:jc w:val="left"/>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巩留县教育局</w:t>
      </w:r>
    </w:p>
    <w:p w14:paraId="755DBB5A">
      <w:pPr>
        <w:keepNext w:val="0"/>
        <w:keepLines w:val="0"/>
        <w:widowControl/>
        <w:suppressLineNumbers w:val="0"/>
        <w:spacing w:line="240" w:lineRule="auto"/>
        <w:ind w:firstLine="480" w:firstLineChars="200"/>
        <w:jc w:val="left"/>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w:t>
      </w:r>
      <w:r>
        <w:rPr>
          <w:rFonts w:hint="eastAsia" w:ascii="宋体" w:hAnsi="宋体" w:cs="宋体"/>
          <w:color w:val="000000" w:themeColor="text1"/>
          <w:sz w:val="24"/>
          <w:szCs w:val="24"/>
          <w:highlight w:val="none"/>
          <w:lang w:eastAsia="zh-CN"/>
          <w14:textFill>
            <w14:solidFill>
              <w14:schemeClr w14:val="tx1"/>
            </w14:solidFill>
          </w14:textFill>
        </w:rPr>
        <w:t>巩留县</w:t>
      </w:r>
    </w:p>
    <w:p w14:paraId="5AEC1DB3">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w:t>
      </w:r>
      <w:r>
        <w:rPr>
          <w:rFonts w:hint="eastAsia" w:ascii="宋体" w:hAnsi="宋体" w:cs="宋体"/>
          <w:color w:val="000000" w:themeColor="text1"/>
          <w:sz w:val="24"/>
          <w:szCs w:val="24"/>
          <w:highlight w:val="none"/>
          <w:lang w:val="en-US" w:eastAsia="zh-CN"/>
          <w14:textFill>
            <w14:solidFill>
              <w14:schemeClr w14:val="tx1"/>
            </w14:solidFill>
          </w14:textFill>
        </w:rPr>
        <w:t>13899766957</w:t>
      </w:r>
    </w:p>
    <w:p w14:paraId="3743E96A">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采购代理机构信息 </w:t>
      </w:r>
    </w:p>
    <w:p w14:paraId="1969A150">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巩留县政府采购中心</w:t>
      </w:r>
      <w:r>
        <w:rPr>
          <w:rFonts w:hint="eastAsia" w:ascii="宋体" w:hAnsi="宋体" w:eastAsia="宋体" w:cs="宋体"/>
          <w:color w:val="000000" w:themeColor="text1"/>
          <w:sz w:val="24"/>
          <w:szCs w:val="24"/>
          <w:highlight w:val="none"/>
          <w:lang w:eastAsia="zh-CN"/>
          <w14:textFill>
            <w14:solidFill>
              <w14:schemeClr w14:val="tx1"/>
            </w14:solidFill>
          </w14:textFill>
        </w:rPr>
        <w:t>　　　　　　　　　　　</w:t>
      </w:r>
    </w:p>
    <w:p w14:paraId="0634BEBB">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w:t>
      </w:r>
      <w:r>
        <w:rPr>
          <w:rFonts w:hint="eastAsia" w:ascii="宋体" w:hAnsi="宋体" w:cs="宋体"/>
          <w:color w:val="000000" w:themeColor="text1"/>
          <w:sz w:val="24"/>
          <w:szCs w:val="24"/>
          <w:highlight w:val="none"/>
          <w:lang w:val="en-US" w:eastAsia="zh-CN"/>
          <w14:textFill>
            <w14:solidFill>
              <w14:schemeClr w14:val="tx1"/>
            </w14:solidFill>
          </w14:textFill>
        </w:rPr>
        <w:t>巩留县</w:t>
      </w:r>
    </w:p>
    <w:p w14:paraId="5EDE4A2F">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w:t>
      </w:r>
      <w:bookmarkStart w:id="32" w:name="_Toc28359087"/>
      <w:bookmarkStart w:id="33" w:name="_Toc28359010"/>
      <w:r>
        <w:rPr>
          <w:rFonts w:hint="eastAsia" w:ascii="宋体" w:hAnsi="宋体" w:cs="宋体"/>
          <w:color w:val="000000" w:themeColor="text1"/>
          <w:sz w:val="24"/>
          <w:szCs w:val="24"/>
          <w:highlight w:val="none"/>
          <w:lang w:val="en-US" w:eastAsia="zh-CN"/>
          <w14:textFill>
            <w14:solidFill>
              <w14:schemeClr w14:val="tx1"/>
            </w14:solidFill>
          </w14:textFill>
        </w:rPr>
        <w:t>17590398738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4171BD9">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3.项目联系方式</w:t>
      </w:r>
      <w:bookmarkEnd w:id="32"/>
      <w:bookmarkEnd w:id="33"/>
    </w:p>
    <w:p w14:paraId="7D3E0D4A">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w:t>
      </w:r>
      <w:r>
        <w:rPr>
          <w:rFonts w:hint="eastAsia" w:ascii="宋体" w:hAnsi="宋体" w:cs="宋体"/>
          <w:color w:val="000000" w:themeColor="text1"/>
          <w:sz w:val="24"/>
          <w:szCs w:val="24"/>
          <w:highlight w:val="none"/>
          <w:lang w:eastAsia="zh-CN"/>
          <w14:textFill>
            <w14:solidFill>
              <w14:schemeClr w14:val="tx1"/>
            </w14:solidFill>
          </w14:textFill>
        </w:rPr>
        <w:t>吴主任</w:t>
      </w:r>
    </w:p>
    <w:p w14:paraId="6DE276D4">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电　话：</w:t>
      </w:r>
      <w:r>
        <w:rPr>
          <w:rFonts w:hint="eastAsia" w:ascii="宋体" w:hAnsi="宋体" w:cs="宋体"/>
          <w:color w:val="000000" w:themeColor="text1"/>
          <w:sz w:val="24"/>
          <w:szCs w:val="24"/>
          <w:highlight w:val="none"/>
          <w:lang w:val="en-US" w:eastAsia="zh-CN"/>
          <w14:textFill>
            <w14:solidFill>
              <w14:schemeClr w14:val="tx1"/>
            </w14:solidFill>
          </w14:textFill>
        </w:rPr>
        <w:t>17590398738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AF940AC">
      <w:pPr>
        <w:pageBreakBefore w:val="0"/>
        <w:kinsoku/>
        <w:wordWrap/>
        <w:overflowPunct/>
        <w:topLinePunct w:val="0"/>
        <w:bidi w:val="0"/>
        <w:snapToGrid/>
        <w:spacing w:line="380" w:lineRule="exact"/>
        <w:ind w:firstLine="640" w:firstLineChars="200"/>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p>
    <w:p w14:paraId="3BDA0192">
      <w:pPr>
        <w:pageBreakBefore w:val="0"/>
        <w:kinsoku/>
        <w:wordWrap/>
        <w:overflowPunct/>
        <w:topLinePunct w:val="0"/>
        <w:bidi w:val="0"/>
        <w:snapToGrid/>
        <w:spacing w:line="380" w:lineRule="exact"/>
        <w:ind w:firstLine="640" w:firstLineChars="200"/>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737A4F56">
      <w:pPr>
        <w:pStyle w:val="3"/>
        <w:keepLines w:val="0"/>
        <w:pageBreakBefore w:val="0"/>
        <w:widowControl w:val="0"/>
        <w:numPr>
          <w:ilvl w:val="0"/>
          <w:numId w:val="0"/>
        </w:numPr>
        <w:kinsoku/>
        <w:wordWrap/>
        <w:overflowPunct/>
        <w:topLinePunct w:val="0"/>
        <w:bidi w:val="0"/>
        <w:adjustRightInd/>
        <w:snapToGrid/>
        <w:spacing w:line="480" w:lineRule="exact"/>
        <w:jc w:val="center"/>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第二部分  投标单位须知</w:t>
      </w:r>
      <w:bookmarkEnd w:id="0"/>
      <w:bookmarkEnd w:id="1"/>
      <w:bookmarkEnd w:id="2"/>
      <w:bookmarkEnd w:id="3"/>
      <w:bookmarkEnd w:id="4"/>
    </w:p>
    <w:p w14:paraId="5C761908">
      <w:pPr>
        <w:pStyle w:val="4"/>
        <w:pageBreakBefore w:val="0"/>
        <w:kinsoku/>
        <w:overflowPunct/>
        <w:bidi w:val="0"/>
        <w:spacing w:before="0" w:after="100" w:afterAutospacing="1" w:line="48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34" w:name="_Toc349637919"/>
      <w:bookmarkStart w:id="35" w:name="_Toc349573120"/>
      <w:bookmarkStart w:id="36" w:name="_Toc267301281"/>
      <w:bookmarkStart w:id="37" w:name="_Toc527642951"/>
      <w:bookmarkStart w:id="38" w:name="_Toc298240404"/>
      <w:r>
        <w:rPr>
          <w:rFonts w:hint="eastAsia" w:ascii="宋体" w:hAnsi="宋体" w:eastAsia="宋体" w:cs="宋体"/>
          <w:color w:val="000000" w:themeColor="text1"/>
          <w:sz w:val="28"/>
          <w:szCs w:val="28"/>
          <w:highlight w:val="none"/>
          <w:lang w:eastAsia="zh-CN"/>
          <w14:textFill>
            <w14:solidFill>
              <w14:schemeClr w14:val="tx1"/>
            </w14:solidFill>
          </w14:textFill>
        </w:rPr>
        <w:t>投标单位</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eastAsia="宋体" w:cs="宋体"/>
          <w:color w:val="000000" w:themeColor="text1"/>
          <w:sz w:val="28"/>
          <w:szCs w:val="28"/>
          <w:highlight w:val="none"/>
          <w:lang w:eastAsia="zh-CN"/>
          <w14:textFill>
            <w14:solidFill>
              <w14:schemeClr w14:val="tx1"/>
            </w14:solidFill>
          </w14:textFill>
        </w:rPr>
        <w:t>前</w:t>
      </w:r>
      <w:r>
        <w:rPr>
          <w:rFonts w:hint="eastAsia" w:ascii="宋体" w:hAnsi="宋体" w:eastAsia="宋体" w:cs="宋体"/>
          <w:color w:val="000000" w:themeColor="text1"/>
          <w:sz w:val="28"/>
          <w:szCs w:val="28"/>
          <w:highlight w:val="none"/>
          <w14:textFill>
            <w14:solidFill>
              <w14:schemeClr w14:val="tx1"/>
            </w14:solidFill>
          </w14:textFill>
        </w:rPr>
        <w:t>附表</w:t>
      </w:r>
      <w:bookmarkEnd w:id="34"/>
      <w:bookmarkEnd w:id="35"/>
      <w:bookmarkEnd w:id="36"/>
      <w:bookmarkEnd w:id="37"/>
      <w:bookmarkEnd w:id="38"/>
    </w:p>
    <w:p w14:paraId="1BD5CD5B">
      <w:pPr>
        <w:pStyle w:val="4"/>
        <w:pageBreakBefore w:val="0"/>
        <w:kinsoku/>
        <w:overflowPunct/>
        <w:bidi w:val="0"/>
        <w:spacing w:before="0" w:after="100" w:afterAutospacing="1" w:line="480" w:lineRule="exact"/>
        <w:jc w:val="both"/>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正文部分与前附表如有矛盾，以本须知前附表为准。</w:t>
      </w:r>
    </w:p>
    <w:tbl>
      <w:tblPr>
        <w:tblStyle w:val="23"/>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55"/>
        <w:gridCol w:w="5"/>
        <w:gridCol w:w="6964"/>
      </w:tblGrid>
      <w:tr w14:paraId="39E1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57031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序号</w:t>
            </w:r>
          </w:p>
        </w:tc>
        <w:tc>
          <w:tcPr>
            <w:tcW w:w="2155" w:type="dxa"/>
            <w:vAlign w:val="center"/>
          </w:tcPr>
          <w:p w14:paraId="315D42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内容</w:t>
            </w:r>
          </w:p>
        </w:tc>
        <w:tc>
          <w:tcPr>
            <w:tcW w:w="6969" w:type="dxa"/>
            <w:gridSpan w:val="2"/>
            <w:vAlign w:val="center"/>
          </w:tcPr>
          <w:p w14:paraId="04548B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编列内容规定</w:t>
            </w:r>
          </w:p>
        </w:tc>
      </w:tr>
      <w:tr w14:paraId="606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459D66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155" w:type="dxa"/>
            <w:vAlign w:val="center"/>
          </w:tcPr>
          <w:p w14:paraId="1FB6BC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招标项目</w:t>
            </w:r>
          </w:p>
        </w:tc>
        <w:tc>
          <w:tcPr>
            <w:tcW w:w="6969" w:type="dxa"/>
            <w:gridSpan w:val="2"/>
            <w:vAlign w:val="center"/>
          </w:tcPr>
          <w:p w14:paraId="49A96C3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2024年义务教育农村校舍安全保障长效机制项目（运动场悬浮地板铺设及屋面防水）项目</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14:paraId="0537630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项目编号：glzfcg-jzxcs-2024-02</w:t>
            </w:r>
          </w:p>
        </w:tc>
      </w:tr>
      <w:tr w14:paraId="716E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34" w:type="dxa"/>
            <w:vAlign w:val="center"/>
          </w:tcPr>
          <w:p w14:paraId="0E1325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dxa"/>
            <w:vAlign w:val="center"/>
          </w:tcPr>
          <w:p w14:paraId="0EE293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招标范围</w:t>
            </w:r>
          </w:p>
        </w:tc>
        <w:tc>
          <w:tcPr>
            <w:tcW w:w="6969" w:type="dxa"/>
            <w:gridSpan w:val="2"/>
            <w:vAlign w:val="center"/>
          </w:tcPr>
          <w:p w14:paraId="36B63D6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招标文件、工程量清单、答疑所示全部施工内容，包工包料。</w:t>
            </w:r>
          </w:p>
        </w:tc>
      </w:tr>
      <w:tr w14:paraId="29BA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1638E7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155" w:type="dxa"/>
            <w:vAlign w:val="center"/>
          </w:tcPr>
          <w:p w14:paraId="42B42B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项目地点</w:t>
            </w:r>
          </w:p>
        </w:tc>
        <w:tc>
          <w:tcPr>
            <w:tcW w:w="6969" w:type="dxa"/>
            <w:gridSpan w:val="2"/>
            <w:vAlign w:val="center"/>
          </w:tcPr>
          <w:p w14:paraId="37B147A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巩留县</w:t>
            </w:r>
          </w:p>
        </w:tc>
      </w:tr>
      <w:tr w14:paraId="719F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34" w:type="dxa"/>
            <w:vAlign w:val="center"/>
          </w:tcPr>
          <w:p w14:paraId="465DD4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155" w:type="dxa"/>
            <w:vAlign w:val="center"/>
          </w:tcPr>
          <w:p w14:paraId="0C75B9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招标方式</w:t>
            </w:r>
          </w:p>
        </w:tc>
        <w:tc>
          <w:tcPr>
            <w:tcW w:w="6969" w:type="dxa"/>
            <w:gridSpan w:val="2"/>
            <w:vAlign w:val="center"/>
          </w:tcPr>
          <w:p w14:paraId="416C831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竞争性磋商</w:t>
            </w:r>
          </w:p>
        </w:tc>
      </w:tr>
      <w:tr w14:paraId="11DB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3696D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155" w:type="dxa"/>
            <w:vAlign w:val="center"/>
          </w:tcPr>
          <w:p w14:paraId="10F406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建设内容及规模</w:t>
            </w:r>
          </w:p>
        </w:tc>
        <w:tc>
          <w:tcPr>
            <w:tcW w:w="6969" w:type="dxa"/>
            <w:gridSpan w:val="2"/>
            <w:vAlign w:val="center"/>
          </w:tcPr>
          <w:p w14:paraId="61AC9CF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运动场悬浮地板铺设及屋面防水（详细工程量清单）。</w:t>
            </w:r>
          </w:p>
        </w:tc>
      </w:tr>
      <w:tr w14:paraId="32D7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34" w:type="dxa"/>
            <w:vAlign w:val="center"/>
          </w:tcPr>
          <w:p w14:paraId="740066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155" w:type="dxa"/>
            <w:vAlign w:val="center"/>
          </w:tcPr>
          <w:p w14:paraId="352DFB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工期、质量</w:t>
            </w:r>
            <w:r>
              <w:rPr>
                <w:rFonts w:hint="eastAsia" w:ascii="宋体" w:hAnsi="宋体" w:cs="宋体"/>
                <w:color w:val="000000" w:themeColor="text1"/>
                <w:sz w:val="21"/>
                <w:szCs w:val="21"/>
                <w:highlight w:val="none"/>
                <w:lang w:eastAsia="zh-CN"/>
                <w14:textFill>
                  <w14:solidFill>
                    <w14:schemeClr w14:val="tx1"/>
                  </w14:solidFill>
                </w14:textFill>
              </w:rPr>
              <w:t>标准</w:t>
            </w:r>
          </w:p>
        </w:tc>
        <w:tc>
          <w:tcPr>
            <w:tcW w:w="6969" w:type="dxa"/>
            <w:gridSpan w:val="2"/>
            <w:vAlign w:val="center"/>
          </w:tcPr>
          <w:p w14:paraId="1FD4423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计划开竣工日期：2024年9月7日至2024年11月10日（计划工期为65日历天）。</w:t>
            </w:r>
          </w:p>
          <w:p w14:paraId="5DAF405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质量标准：合格</w:t>
            </w:r>
          </w:p>
        </w:tc>
      </w:tr>
      <w:tr w14:paraId="2935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2E6EC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2155" w:type="dxa"/>
            <w:vAlign w:val="center"/>
          </w:tcPr>
          <w:p w14:paraId="11DF19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招标人</w:t>
            </w:r>
          </w:p>
        </w:tc>
        <w:tc>
          <w:tcPr>
            <w:tcW w:w="6969" w:type="dxa"/>
            <w:gridSpan w:val="2"/>
            <w:vAlign w:val="center"/>
          </w:tcPr>
          <w:p w14:paraId="7E0F54D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名称：</w:t>
            </w:r>
            <w:r>
              <w:rPr>
                <w:rFonts w:hint="eastAsia" w:ascii="宋体" w:hAnsi="宋体" w:cs="宋体"/>
                <w:color w:val="000000" w:themeColor="text1"/>
                <w:sz w:val="21"/>
                <w:szCs w:val="21"/>
                <w:highlight w:val="none"/>
                <w:lang w:eastAsia="zh-CN"/>
                <w14:textFill>
                  <w14:solidFill>
                    <w14:schemeClr w14:val="tx1"/>
                  </w14:solidFill>
                </w14:textFill>
              </w:rPr>
              <w:t>巩留县教育局</w:t>
            </w:r>
          </w:p>
          <w:p w14:paraId="34C6D3A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联系人：别里克汗 </w:t>
            </w:r>
          </w:p>
          <w:p w14:paraId="3180226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联系电话：13899766957</w:t>
            </w:r>
          </w:p>
        </w:tc>
      </w:tr>
      <w:tr w14:paraId="1CB9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4" w:type="dxa"/>
            <w:vAlign w:val="center"/>
          </w:tcPr>
          <w:p w14:paraId="0393C5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155" w:type="dxa"/>
            <w:vAlign w:val="center"/>
          </w:tcPr>
          <w:p w14:paraId="76F2CA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招标代理机构</w:t>
            </w:r>
          </w:p>
        </w:tc>
        <w:tc>
          <w:tcPr>
            <w:tcW w:w="6969" w:type="dxa"/>
            <w:gridSpan w:val="2"/>
            <w:vAlign w:val="center"/>
          </w:tcPr>
          <w:p w14:paraId="46EA0A7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名称：巩留县政府采购中心</w:t>
            </w:r>
          </w:p>
          <w:p w14:paraId="75D3B6D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地址：巩留县</w:t>
            </w:r>
          </w:p>
          <w:p w14:paraId="3E581A6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联 系 人：吴主任   </w:t>
            </w:r>
          </w:p>
          <w:p w14:paraId="702C312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电    话：17590398738    </w:t>
            </w:r>
          </w:p>
        </w:tc>
      </w:tr>
      <w:tr w14:paraId="509C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285C3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2155" w:type="dxa"/>
            <w:vAlign w:val="center"/>
          </w:tcPr>
          <w:p w14:paraId="0697AA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投标</w:t>
            </w:r>
            <w:r>
              <w:rPr>
                <w:rFonts w:hint="eastAsia" w:ascii="宋体" w:hAnsi="宋体" w:eastAsia="宋体" w:cs="宋体"/>
                <w:bCs/>
                <w:color w:val="000000" w:themeColor="text1"/>
                <w:sz w:val="21"/>
                <w:szCs w:val="21"/>
                <w:highlight w:val="none"/>
                <w14:textFill>
                  <w14:solidFill>
                    <w14:schemeClr w14:val="tx1"/>
                  </w14:solidFill>
                </w14:textFill>
              </w:rPr>
              <w:t>单位</w:t>
            </w:r>
          </w:p>
          <w:p w14:paraId="0FD300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资格条件</w:t>
            </w:r>
          </w:p>
        </w:tc>
        <w:tc>
          <w:tcPr>
            <w:tcW w:w="6969" w:type="dxa"/>
            <w:gridSpan w:val="2"/>
            <w:vAlign w:val="center"/>
          </w:tcPr>
          <w:p w14:paraId="5AF96DD3">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供应商为</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新疆政府采购网（http://www.ccgp-xinjiang.gov.cn/）</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正式供应商。</w:t>
            </w:r>
          </w:p>
          <w:p w14:paraId="076FE328">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资质条件：</w:t>
            </w:r>
            <w:r>
              <w:rPr>
                <w:rFonts w:hint="eastAsia" w:ascii="宋体" w:hAnsi="宋体" w:eastAsia="宋体" w:cs="宋体"/>
                <w:color w:val="000000" w:themeColor="text1"/>
                <w:sz w:val="21"/>
                <w:szCs w:val="21"/>
                <w:highlight w:val="none"/>
                <w:lang w:eastAsia="zh-CN"/>
                <w14:textFill>
                  <w14:solidFill>
                    <w14:schemeClr w14:val="tx1"/>
                  </w14:solidFill>
                </w14:textFill>
              </w:rPr>
              <w:t>须具备</w:t>
            </w:r>
            <w:r>
              <w:rPr>
                <w:rFonts w:hint="eastAsia" w:ascii="宋体" w:hAnsi="宋体" w:cs="宋体"/>
                <w:color w:val="000000" w:themeColor="text1"/>
                <w:sz w:val="21"/>
                <w:szCs w:val="21"/>
                <w:highlight w:val="none"/>
                <w:lang w:eastAsia="zh-CN"/>
                <w14:textFill>
                  <w14:solidFill>
                    <w14:schemeClr w14:val="tx1"/>
                  </w14:solidFill>
                </w14:textFill>
              </w:rPr>
              <w:t>建筑工程</w:t>
            </w:r>
            <w:r>
              <w:rPr>
                <w:rFonts w:hint="eastAsia" w:ascii="宋体" w:hAnsi="宋体" w:eastAsia="宋体" w:cs="宋体"/>
                <w:color w:val="000000" w:themeColor="text1"/>
                <w:sz w:val="21"/>
                <w:szCs w:val="21"/>
                <w:highlight w:val="none"/>
                <w:lang w:eastAsia="zh-CN"/>
                <w14:textFill>
                  <w14:solidFill>
                    <w14:schemeClr w14:val="tx1"/>
                  </w14:solidFill>
                </w14:textFill>
              </w:rPr>
              <w:t>施工总承包叁级（含叁级）以上资质等级的施工企业，并在人员、设备、资金等方面具有相应的施工能力，具备在有效期限内的安全生产许可证；</w:t>
            </w:r>
            <w:r>
              <w:rPr>
                <w:rFonts w:hint="default" w:ascii="宋体" w:hAnsi="宋体" w:eastAsia="宋体" w:cs="宋体"/>
                <w:color w:val="000000" w:themeColor="text1"/>
                <w:sz w:val="21"/>
                <w:szCs w:val="21"/>
                <w:highlight w:val="none"/>
                <w:lang w:val="en-US" w:eastAsia="zh-CN"/>
                <w14:textFill>
                  <w14:solidFill>
                    <w14:schemeClr w14:val="tx1"/>
                  </w14:solidFill>
                </w14:textFill>
              </w:rPr>
              <w:t>自治区区外企业须在</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eastAsia="宋体" w:cs="宋体"/>
                <w:color w:val="000000" w:themeColor="text1"/>
                <w:sz w:val="21"/>
                <w:szCs w:val="21"/>
                <w:highlight w:val="none"/>
                <w:lang w:val="en-US" w:eastAsia="zh-CN"/>
                <w14:textFill>
                  <w14:solidFill>
                    <w14:schemeClr w14:val="tx1"/>
                  </w14:solidFill>
                </w14:textFill>
              </w:rPr>
              <w:t>新疆工程建设云管理系统</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eastAsia="宋体" w:cs="宋体"/>
                <w:color w:val="000000" w:themeColor="text1"/>
                <w:sz w:val="21"/>
                <w:szCs w:val="21"/>
                <w:highlight w:val="none"/>
                <w:lang w:val="en-US" w:eastAsia="zh-CN"/>
                <w14:textFill>
                  <w14:solidFill>
                    <w14:schemeClr w14:val="tx1"/>
                  </w14:solidFill>
                </w14:textFill>
              </w:rPr>
              <w:t>报送通过。</w:t>
            </w:r>
          </w:p>
          <w:p w14:paraId="45FAD2AA">
            <w:pP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财务要求：</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提供近</w:t>
            </w:r>
            <w:r>
              <w:rPr>
                <w:rFonts w:hint="eastAsia" w:cs="Times New Roman"/>
                <w:color w:val="000000" w:themeColor="text1"/>
                <w:szCs w:val="21"/>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年（</w:t>
            </w:r>
            <w:r>
              <w:rPr>
                <w:rFonts w:hint="eastAsia" w:cs="Times New Roman"/>
                <w:color w:val="000000" w:themeColor="text1"/>
                <w:szCs w:val="21"/>
                <w:highlight w:val="none"/>
                <w:lang w:val="en-US" w:eastAsia="zh-CN"/>
                <w14:textFill>
                  <w14:solidFill>
                    <w14:schemeClr w14:val="tx1"/>
                  </w14:solidFill>
                </w14:textFill>
              </w:rPr>
              <w:t>2022、</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202</w:t>
            </w:r>
            <w:r>
              <w:rPr>
                <w:rFonts w:hint="eastAsia"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）年度经会计师事务所或审计机构审计的财务会计报表，2023 年新公司不做财务要求（以营业执照发放日期为准）</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p w14:paraId="701D97C1">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信誉要求：</w:t>
            </w:r>
            <w:r>
              <w:rPr>
                <w:rFonts w:hint="eastAsia"/>
                <w:color w:val="000000" w:themeColor="text1"/>
                <w:spacing w:val="-3"/>
                <w:sz w:val="21"/>
                <w:highlight w:val="none"/>
                <w:lang w:val="en-US" w:eastAsia="zh-CN"/>
                <w14:textFill>
                  <w14:solidFill>
                    <w14:schemeClr w14:val="tx1"/>
                  </w14:solidFill>
                </w14:textFill>
              </w:rPr>
              <w:t>良好，近三年招投标相关活动中无不良行为记录（不良行为记录是指：施工企业发生较大生产安全事故、重大质量事故的；在招标投标过程中因串通投标、围标等违规行为被县级及以上建设行政主管部门处罚或通报的；因拖欠民工工资被县级及以上建设行政主管部门通报的；发生一般安全事故、一般质量事故及违反强制性标准被县级及以上建设行政主管部门处罚或通报的）。</w:t>
            </w:r>
          </w:p>
          <w:p w14:paraId="5B1BC5DB">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人员要求：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项目负责人资格：须具备</w:t>
            </w:r>
            <w:r>
              <w:rPr>
                <w:rFonts w:hint="eastAsia" w:ascii="宋体" w:hAnsi="宋体" w:cs="宋体"/>
                <w:color w:val="000000" w:themeColor="text1"/>
                <w:sz w:val="21"/>
                <w:szCs w:val="21"/>
                <w:highlight w:val="none"/>
                <w:lang w:val="en-US" w:eastAsia="zh-CN"/>
                <w14:textFill>
                  <w14:solidFill>
                    <w14:schemeClr w14:val="tx1"/>
                  </w14:solidFill>
                </w14:textFill>
              </w:rPr>
              <w:t>建筑</w:t>
            </w:r>
            <w:r>
              <w:rPr>
                <w:rFonts w:hint="eastAsia" w:ascii="宋体" w:hAnsi="宋体" w:eastAsia="宋体" w:cs="宋体"/>
                <w:color w:val="000000" w:themeColor="text1"/>
                <w:sz w:val="21"/>
                <w:szCs w:val="21"/>
                <w:highlight w:val="none"/>
                <w:lang w:eastAsia="zh-CN"/>
                <w14:textFill>
                  <w14:solidFill>
                    <w14:schemeClr w14:val="tx1"/>
                  </w14:solidFill>
                </w14:textFill>
              </w:rPr>
              <w:t>工程专业二级及以上注册建造师执业资格，具备有效的安全生产考核合格证书</w:t>
            </w:r>
            <w:r>
              <w:rPr>
                <w:rFonts w:hint="eastAsia" w:ascii="宋体" w:hAnsi="宋体" w:cs="宋体"/>
                <w:color w:val="000000" w:themeColor="text1"/>
                <w:sz w:val="21"/>
                <w:szCs w:val="21"/>
                <w:highlight w:val="none"/>
                <w:lang w:eastAsia="zh-CN"/>
                <w14:textFill>
                  <w14:solidFill>
                    <w14:schemeClr w14:val="tx1"/>
                  </w14:solidFill>
                </w14:textFill>
              </w:rPr>
              <w:t>（</w:t>
            </w:r>
            <w:r>
              <w:rPr>
                <w:rFonts w:hint="default" w:ascii="宋体" w:hAnsi="宋体" w:cs="宋体"/>
                <w:color w:val="000000" w:themeColor="text1"/>
                <w:sz w:val="21"/>
                <w:szCs w:val="21"/>
                <w:highlight w:val="none"/>
                <w:lang w:val="en-US" w:eastAsia="zh-CN"/>
                <w14:textFill>
                  <w14:solidFill>
                    <w14:schemeClr w14:val="tx1"/>
                  </w14:solidFill>
                </w14:textFill>
              </w:rPr>
              <w:t>B证</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，且未担任其他在施建设工程项目；</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其他管理人员由投标人根据工程管理需要配备。</w:t>
            </w:r>
          </w:p>
          <w:p w14:paraId="51D78F5A">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其他要求：</w:t>
            </w:r>
            <w:r>
              <w:rPr>
                <w:rFonts w:hint="eastAsia" w:ascii="宋体" w:hAnsi="宋体" w:cs="宋体"/>
                <w:color w:val="000000" w:themeColor="text1"/>
                <w:sz w:val="21"/>
                <w:szCs w:val="21"/>
                <w:highlight w:val="none"/>
                <w:lang w:val="en-US" w:eastAsia="zh-CN"/>
                <w14:textFill>
                  <w14:solidFill>
                    <w14:schemeClr w14:val="tx1"/>
                  </w14:solidFill>
                </w14:textFill>
              </w:rPr>
              <w:t>1、提供项目负责人及项目班组人员在本单位近六个月（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202</w:t>
            </w:r>
            <w:r>
              <w:rPr>
                <w:rFonts w:hint="eastAsia" w:cs="Times New Roman"/>
                <w:color w:val="000000" w:themeColor="text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年</w:t>
            </w:r>
            <w:r>
              <w:rPr>
                <w:rFonts w:hint="eastAsia" w:cs="Times New Roman"/>
                <w:color w:val="000000" w:themeColor="text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月至202</w:t>
            </w:r>
            <w:r>
              <w:rPr>
                <w:rFonts w:hint="eastAsia" w:cs="Times New Roman"/>
                <w:color w:val="000000" w:themeColor="text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年</w:t>
            </w:r>
            <w:r>
              <w:rPr>
                <w:rFonts w:hint="eastAsia" w:cs="Times New Roman"/>
                <w:color w:val="000000" w:themeColor="text1"/>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）缴纳社保证明文件；2、</w:t>
            </w:r>
            <w:r>
              <w:rPr>
                <w:rFonts w:hint="eastAsia" w:ascii="宋体" w:hAnsi="宋体" w:cs="宋体"/>
                <w:color w:val="000000" w:themeColor="text1"/>
                <w:sz w:val="21"/>
                <w:szCs w:val="21"/>
                <w:highlight w:val="none"/>
                <w:lang w:val="hr-HR" w:eastAsia="zh-CN"/>
                <w14:textFill>
                  <w14:solidFill>
                    <w14:schemeClr w14:val="tx1"/>
                  </w14:solidFill>
                </w14:textFill>
              </w:rPr>
              <w:t>单位负责人为同一人或者存在直接控股、管理关系的不同供应商不得参加同一合同项下的政府采购活动。</w:t>
            </w:r>
          </w:p>
        </w:tc>
      </w:tr>
      <w:tr w14:paraId="1670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88C15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2155" w:type="dxa"/>
            <w:vAlign w:val="center"/>
          </w:tcPr>
          <w:p w14:paraId="3973AA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联合体形式</w:t>
            </w:r>
          </w:p>
        </w:tc>
        <w:tc>
          <w:tcPr>
            <w:tcW w:w="6969" w:type="dxa"/>
            <w:gridSpan w:val="2"/>
            <w:vAlign w:val="center"/>
          </w:tcPr>
          <w:p w14:paraId="0697E1A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不接受</w:t>
            </w:r>
          </w:p>
        </w:tc>
      </w:tr>
      <w:tr w14:paraId="4D81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37BF4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2155" w:type="dxa"/>
            <w:vAlign w:val="center"/>
          </w:tcPr>
          <w:p w14:paraId="2667E9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对联合体各方的要求</w:t>
            </w:r>
          </w:p>
        </w:tc>
        <w:tc>
          <w:tcPr>
            <w:tcW w:w="6969" w:type="dxa"/>
            <w:gridSpan w:val="2"/>
            <w:vAlign w:val="center"/>
          </w:tcPr>
          <w:p w14:paraId="45A8501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0856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3FE851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2155" w:type="dxa"/>
            <w:vAlign w:val="center"/>
          </w:tcPr>
          <w:p w14:paraId="4ADB6C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现场勘察</w:t>
            </w:r>
          </w:p>
        </w:tc>
        <w:tc>
          <w:tcPr>
            <w:tcW w:w="6969" w:type="dxa"/>
            <w:gridSpan w:val="2"/>
            <w:vAlign w:val="center"/>
          </w:tcPr>
          <w:p w14:paraId="2E6F00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不组织</w:t>
            </w:r>
          </w:p>
        </w:tc>
      </w:tr>
      <w:tr w14:paraId="05F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4" w:type="dxa"/>
            <w:vAlign w:val="center"/>
          </w:tcPr>
          <w:p w14:paraId="2A71F7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2155" w:type="dxa"/>
            <w:vAlign w:val="center"/>
          </w:tcPr>
          <w:p w14:paraId="449A7B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6969" w:type="dxa"/>
            <w:gridSpan w:val="2"/>
            <w:vAlign w:val="center"/>
          </w:tcPr>
          <w:p w14:paraId="6B2C25B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不允许</w:t>
            </w:r>
          </w:p>
        </w:tc>
      </w:tr>
      <w:tr w14:paraId="3D8C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7B5296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2155" w:type="dxa"/>
            <w:vAlign w:val="center"/>
          </w:tcPr>
          <w:p w14:paraId="39C9FE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文件的可能实质性变动内容</w:t>
            </w:r>
          </w:p>
        </w:tc>
        <w:tc>
          <w:tcPr>
            <w:tcW w:w="6969" w:type="dxa"/>
            <w:gridSpan w:val="2"/>
            <w:vAlign w:val="center"/>
          </w:tcPr>
          <w:p w14:paraId="33B2411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如</w:t>
            </w:r>
            <w:r>
              <w:rPr>
                <w:rFonts w:hint="eastAsia" w:ascii="宋体" w:hAnsi="宋体" w:eastAsia="宋体" w:cs="宋体"/>
                <w:color w:val="000000" w:themeColor="text1"/>
                <w:sz w:val="21"/>
                <w:szCs w:val="21"/>
                <w:highlight w:val="none"/>
                <w:lang w:val="en-US"/>
                <w14:textFill>
                  <w14:solidFill>
                    <w14:schemeClr w14:val="tx1"/>
                  </w14:solidFill>
                </w14:textFill>
              </w:rPr>
              <w:t>磋商文件进行修改，在提交</w:t>
            </w:r>
            <w:r>
              <w:rPr>
                <w:rFonts w:hint="default" w:ascii="宋体" w:hAnsi="宋体" w:eastAsia="宋体" w:cs="宋体"/>
                <w:color w:val="000000" w:themeColor="text1"/>
                <w:sz w:val="21"/>
                <w:szCs w:val="21"/>
                <w:highlight w:val="none"/>
                <w:lang w:val="en-US"/>
                <w14:textFill>
                  <w14:solidFill>
                    <w14:schemeClr w14:val="tx1"/>
                  </w14:solidFill>
                </w14:textFill>
              </w:rPr>
              <w:t>响应文件截止之日</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default" w:ascii="宋体" w:hAnsi="宋体" w:eastAsia="宋体" w:cs="宋体"/>
                <w:color w:val="000000" w:themeColor="text1"/>
                <w:sz w:val="21"/>
                <w:szCs w:val="21"/>
                <w:highlight w:val="none"/>
                <w:lang w:val="en-US" w:eastAsia="zh-CN"/>
                <w14:textFill>
                  <w14:solidFill>
                    <w14:schemeClr w14:val="tx1"/>
                  </w14:solidFill>
                </w14:textFill>
              </w:rPr>
              <w:t>个工作</w:t>
            </w:r>
            <w:r>
              <w:rPr>
                <w:rFonts w:hint="eastAsia" w:ascii="宋体" w:hAnsi="宋体" w:eastAsia="宋体" w:cs="宋体"/>
                <w:color w:val="000000" w:themeColor="text1"/>
                <w:sz w:val="21"/>
                <w:szCs w:val="21"/>
                <w:highlight w:val="none"/>
                <w:lang w:val="en-US"/>
                <w14:textFill>
                  <w14:solidFill>
                    <w14:schemeClr w14:val="tx1"/>
                  </w14:solidFill>
                </w14:textFill>
              </w:rPr>
              <w:t>日前</w:t>
            </w:r>
            <w:r>
              <w:rPr>
                <w:rFonts w:hint="eastAsia" w:ascii="宋体" w:hAnsi="宋体" w:eastAsia="宋体" w:cs="宋体"/>
                <w:color w:val="000000" w:themeColor="text1"/>
                <w:sz w:val="21"/>
                <w:szCs w:val="21"/>
                <w:highlight w:val="none"/>
                <w:lang w:val="en-US" w:eastAsia="zh-CN"/>
                <w14:textFill>
                  <w14:solidFill>
                    <w14:schemeClr w14:val="tx1"/>
                  </w14:solidFill>
                </w14:textFill>
              </w:rPr>
              <w:t>在新疆政府采购网</w:t>
            </w:r>
            <w:r>
              <w:rPr>
                <w:rFonts w:hint="default" w:ascii="宋体" w:hAnsi="宋体" w:eastAsia="宋体" w:cs="宋体"/>
                <w:color w:val="000000" w:themeColor="text1"/>
                <w:sz w:val="21"/>
                <w:szCs w:val="21"/>
                <w:highlight w:val="none"/>
                <w:lang w:val="en-US"/>
                <w14:textFill>
                  <w14:solidFill>
                    <w14:schemeClr w14:val="tx1"/>
                  </w14:solidFill>
                </w14:textFill>
              </w:rPr>
              <w:t>发布澄清公告</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30C7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66C86C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2155" w:type="dxa"/>
            <w:vAlign w:val="center"/>
          </w:tcPr>
          <w:p w14:paraId="19E23090">
            <w:pPr>
              <w:keepNext w:val="0"/>
              <w:keepLines w:val="0"/>
              <w:pageBreakBefore w:val="0"/>
              <w:widowControl w:val="0"/>
              <w:kinsoku/>
              <w:wordWrap/>
              <w:overflowPunct/>
              <w:topLinePunct w:val="0"/>
              <w:autoSpaceDE/>
              <w:autoSpaceDN/>
              <w:bidi w:val="0"/>
              <w:adjustRightInd w:val="0"/>
              <w:snapToGrid w:val="0"/>
              <w:spacing w:line="400" w:lineRule="exact"/>
              <w:ind w:left="-533" w:leftChars="-254" w:firstLine="533" w:firstLineChars="254"/>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969" w:type="dxa"/>
            <w:gridSpan w:val="2"/>
            <w:vAlign w:val="center"/>
          </w:tcPr>
          <w:p w14:paraId="4BC2F11A">
            <w:pPr>
              <w:pStyle w:val="7"/>
              <w:ind w:left="0" w:leftChars="0" w:firstLine="0" w:firstLineChars="0"/>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投标保证金的形式：</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保函</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网银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或</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电汇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形式从其基本账户转至采购人指定账户（不得为个人账户）</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投标保证金必须以投标人名义缴纳。</w:t>
            </w:r>
          </w:p>
          <w:p w14:paraId="5BC302D7">
            <w:pPr>
              <w:pStyle w:val="7"/>
              <w:ind w:left="0" w:leftChars="0" w:firstLine="0" w:firstLineChars="0"/>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缴纳方式：</w:t>
            </w:r>
            <w:r>
              <w:rPr>
                <w:rFonts w:hint="eastAsia" w:ascii="宋体" w:hAnsi="宋体" w:cs="宋体"/>
                <w:color w:val="000000" w:themeColor="text1"/>
                <w:sz w:val="21"/>
                <w:szCs w:val="21"/>
                <w:highlight w:val="none"/>
                <w:u w:val="none"/>
                <w:lang w:val="en-US" w:eastAsia="zh-CN"/>
                <w14:textFill>
                  <w14:solidFill>
                    <w14:schemeClr w14:val="tx1"/>
                  </w14:solidFill>
                </w14:textFill>
              </w:rPr>
              <w:t>保函</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或银行转账、电汇</w:t>
            </w:r>
          </w:p>
          <w:p w14:paraId="6EE93327">
            <w:pPr>
              <w:pStyle w:val="7"/>
              <w:ind w:left="0" w:leftChars="0" w:firstLine="0" w:firstLineChars="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投标保证金金额：</w:t>
            </w:r>
          </w:p>
          <w:p w14:paraId="5A296B10">
            <w:pPr>
              <w:pStyle w:val="7"/>
              <w:ind w:left="0" w:leftChars="0" w:firstLine="0" w:firstLineChars="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金额（小写）</w:t>
            </w:r>
            <w:r>
              <w:rPr>
                <w:rFonts w:hint="eastAsia" w:ascii="宋体" w:hAnsi="宋体" w:cs="宋体"/>
                <w:color w:val="000000" w:themeColor="text1"/>
                <w:sz w:val="21"/>
                <w:szCs w:val="21"/>
                <w:highlight w:val="none"/>
                <w:u w:val="none"/>
                <w:lang w:val="en-US" w:eastAsia="zh-CN"/>
                <w14:textFill>
                  <w14:solidFill>
                    <w14:schemeClr w14:val="tx1"/>
                  </w14:solidFill>
                </w14:textFill>
              </w:rPr>
              <w:t>25000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none"/>
                <w14:textFill>
                  <w14:solidFill>
                    <w14:schemeClr w14:val="tx1"/>
                  </w14:solidFill>
                </w14:textFill>
              </w:rPr>
              <w:t>元；金额（大写）：</w:t>
            </w:r>
            <w:r>
              <w:rPr>
                <w:rFonts w:hint="eastAsia" w:ascii="宋体" w:hAnsi="宋体" w:cs="宋体"/>
                <w:color w:val="000000" w:themeColor="text1"/>
                <w:sz w:val="21"/>
                <w:szCs w:val="21"/>
                <w:highlight w:val="none"/>
                <w:u w:val="none"/>
                <w:lang w:val="en-US" w:eastAsia="zh-CN"/>
                <w14:textFill>
                  <w14:solidFill>
                    <w14:schemeClr w14:val="tx1"/>
                  </w14:solidFill>
                </w14:textFill>
              </w:rPr>
              <w:t>贰拾伍万元整</w:t>
            </w:r>
            <w:r>
              <w:rPr>
                <w:rFonts w:hint="eastAsia" w:ascii="宋体" w:hAnsi="宋体" w:eastAsia="宋体" w:cs="宋体"/>
                <w:color w:val="000000" w:themeColor="text1"/>
                <w:sz w:val="21"/>
                <w:szCs w:val="21"/>
                <w:highlight w:val="none"/>
                <w:u w:val="none"/>
                <w14:textFill>
                  <w14:solidFill>
                    <w14:schemeClr w14:val="tx1"/>
                  </w14:solidFill>
                </w14:textFill>
              </w:rPr>
              <w:t>。</w:t>
            </w:r>
          </w:p>
          <w:p w14:paraId="2E4CE924">
            <w:pPr>
              <w:pStyle w:val="7"/>
              <w:ind w:left="0" w:leftChars="0" w:firstLine="0" w:firstLineChars="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递交方式：投标人将投标保证金从企业基本帐户汇至以下账户</w:t>
            </w:r>
          </w:p>
          <w:p w14:paraId="793CB3EC">
            <w:pPr>
              <w:pStyle w:val="7"/>
              <w:ind w:left="0" w:leftChars="0" w:firstLine="0" w:firstLineChars="0"/>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账户名称：</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巩留县政府采购中心</w:t>
            </w:r>
          </w:p>
          <w:p w14:paraId="6BC9C2BF">
            <w:pPr>
              <w:pStyle w:val="7"/>
              <w:ind w:left="0" w:leftChars="0" w:firstLine="0" w:firstLineChars="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开户银行：</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工行新疆伊犁分行巩留支行</w:t>
            </w:r>
          </w:p>
          <w:p w14:paraId="0BAEFF9E">
            <w:pPr>
              <w:pStyle w:val="7"/>
              <w:ind w:left="0" w:leftChars="0" w:firstLine="0" w:firstLineChars="0"/>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帐    号：</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3006 0340 0921 9512 774</w:t>
            </w:r>
          </w:p>
          <w:p w14:paraId="291EE23D">
            <w:pPr>
              <w:pStyle w:val="7"/>
              <w:ind w:left="0" w:leftChars="0" w:firstLine="0" w:firstLineChars="0"/>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行    号：1028 9950 3408</w:t>
            </w:r>
          </w:p>
          <w:p w14:paraId="52A5F244">
            <w:pPr>
              <w:pStyle w:val="7"/>
              <w:ind w:left="0" w:leftChars="0" w:firstLine="0" w:firstLineChars="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 </w:t>
            </w:r>
          </w:p>
          <w:p w14:paraId="441BC533">
            <w:pPr>
              <w:pStyle w:val="7"/>
              <w:ind w:left="0" w:leftChars="0" w:firstLine="0" w:firstLineChars="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友情提示：银行法定节假日不办理公对公账户电汇业务，请提前办理。投标保证金是否在规定截止时间前到户的风险由投标单位承担，投标保证金在银行的划转需要一定时间，望投标单位尽早缴纳！</w:t>
            </w:r>
          </w:p>
        </w:tc>
      </w:tr>
      <w:tr w14:paraId="6160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90CF3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2155" w:type="dxa"/>
            <w:vAlign w:val="center"/>
          </w:tcPr>
          <w:p w14:paraId="5579A9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响应文件</w:t>
            </w:r>
          </w:p>
          <w:p w14:paraId="5B481D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有效期</w:t>
            </w:r>
          </w:p>
        </w:tc>
        <w:tc>
          <w:tcPr>
            <w:tcW w:w="6969" w:type="dxa"/>
            <w:gridSpan w:val="2"/>
            <w:vAlign w:val="center"/>
          </w:tcPr>
          <w:p w14:paraId="10058C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日（日历日）</w:t>
            </w:r>
          </w:p>
        </w:tc>
      </w:tr>
      <w:tr w14:paraId="0EAC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834" w:type="dxa"/>
            <w:vAlign w:val="center"/>
          </w:tcPr>
          <w:p w14:paraId="03BD85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p>
        </w:tc>
        <w:tc>
          <w:tcPr>
            <w:tcW w:w="2155" w:type="dxa"/>
            <w:vAlign w:val="center"/>
          </w:tcPr>
          <w:p w14:paraId="27AAF3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文件份数</w:t>
            </w:r>
          </w:p>
        </w:tc>
        <w:tc>
          <w:tcPr>
            <w:tcW w:w="6969" w:type="dxa"/>
            <w:gridSpan w:val="2"/>
            <w:vAlign w:val="center"/>
          </w:tcPr>
          <w:p w14:paraId="7B35E3AC">
            <w:pPr>
              <w:pStyle w:val="12"/>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份数要求</w:t>
            </w: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上传</w:t>
            </w:r>
            <w:r>
              <w:rPr>
                <w:rFonts w:hint="default" w:ascii="Times New Roman" w:hAnsi="Times New Roman" w:cs="Times New Roman"/>
                <w:color w:val="000000" w:themeColor="text1"/>
                <w:highlight w:val="none"/>
                <w:lang w:val="en-US" w:eastAsia="zh-CN"/>
                <w14:textFill>
                  <w14:solidFill>
                    <w14:schemeClr w14:val="tx1"/>
                  </w14:solidFill>
                </w14:textFill>
              </w:rPr>
              <w:t>电子加密标书1</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份</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p>
          <w:p w14:paraId="5FAA5E61">
            <w:pPr>
              <w:pStyle w:val="12"/>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中标</w:t>
            </w:r>
            <w:r>
              <w:rPr>
                <w:rFonts w:hint="eastAsia" w:ascii="Times New Roman" w:hAnsi="Times New Roman" w:cs="Times New Roman"/>
                <w:color w:val="000000" w:themeColor="text1"/>
                <w:szCs w:val="21"/>
                <w:highlight w:val="none"/>
                <w:lang w:val="en-US" w:eastAsia="zh-CN"/>
                <w14:textFill>
                  <w14:solidFill>
                    <w14:schemeClr w14:val="tx1"/>
                  </w14:solidFill>
                </w14:textFill>
              </w:rPr>
              <w:t>后须单独提供</w:t>
            </w:r>
            <w:r>
              <w:rPr>
                <w:rFonts w:hint="default" w:ascii="Times New Roman" w:hAnsi="Times New Roman" w:cs="Times New Roman"/>
                <w:color w:val="000000" w:themeColor="text1"/>
                <w:szCs w:val="21"/>
                <w:highlight w:val="none"/>
                <w:lang w:val="en-US" w:eastAsia="zh-CN"/>
                <w14:textFill>
                  <w14:solidFill>
                    <w14:schemeClr w14:val="tx1"/>
                  </w14:solidFill>
                </w14:textFill>
              </w:rPr>
              <w:t>纸质</w:t>
            </w:r>
            <w:r>
              <w:rPr>
                <w:rFonts w:hint="default" w:ascii="Times New Roman" w:hAnsi="Times New Roman" w:cs="Times New Roman"/>
                <w:color w:val="000000" w:themeColor="text1"/>
                <w:highlight w:val="none"/>
                <w14:textFill>
                  <w14:solidFill>
                    <w14:schemeClr w14:val="tx1"/>
                  </w14:solidFill>
                </w14:textFill>
              </w:rPr>
              <w:t>投标文件</w:t>
            </w:r>
            <w:r>
              <w:rPr>
                <w:rFonts w:hint="default" w:ascii="Times New Roman" w:hAnsi="Times New Roman" w:cs="Times New Roman"/>
                <w:color w:val="000000" w:themeColor="text1"/>
                <w:highlight w:val="none"/>
                <w:lang w:eastAsia="zh-CN"/>
                <w14:textFill>
                  <w14:solidFill>
                    <w14:schemeClr w14:val="tx1"/>
                  </w14:solidFill>
                </w14:textFill>
              </w:rPr>
              <w:t>三份（</w:t>
            </w:r>
            <w:r>
              <w:rPr>
                <w:rFonts w:hint="default" w:ascii="Times New Roman" w:hAnsi="Times New Roman" w:cs="Times New Roman"/>
                <w:color w:val="000000" w:themeColor="text1"/>
                <w:highlight w:val="none"/>
                <w14:textFill>
                  <w14:solidFill>
                    <w14:schemeClr w14:val="tx1"/>
                  </w14:solidFill>
                </w14:textFill>
              </w:rPr>
              <w:t>正本一份，副本</w:t>
            </w:r>
            <w:r>
              <w:rPr>
                <w:rFonts w:hint="default" w:ascii="Times New Roman" w:hAnsi="Times New Roman" w:cs="Times New Roman"/>
                <w:color w:val="000000" w:themeColor="text1"/>
                <w:highlight w:val="none"/>
                <w:lang w:eastAsia="zh-CN"/>
                <w14:textFill>
                  <w14:solidFill>
                    <w14:schemeClr w14:val="tx1"/>
                  </w14:solidFill>
                </w14:textFill>
              </w:rPr>
              <w:t>两</w:t>
            </w:r>
            <w:r>
              <w:rPr>
                <w:rFonts w:hint="default" w:ascii="Times New Roman" w:hAnsi="Times New Roman" w:cs="Times New Roman"/>
                <w:color w:val="000000" w:themeColor="text1"/>
                <w:highlight w:val="none"/>
                <w14:textFill>
                  <w14:solidFill>
                    <w14:schemeClr w14:val="tx1"/>
                  </w14:solidFill>
                </w14:textFill>
              </w:rPr>
              <w:t>份</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电子版U盘</w:t>
            </w:r>
            <w:r>
              <w:rPr>
                <w:rFonts w:hint="eastAsia" w:ascii="Times New Roman" w:hAnsi="Times New Roman" w:cs="Times New Roman"/>
                <w:color w:val="000000" w:themeColor="text1"/>
                <w:highlight w:val="none"/>
                <w:lang w:val="en-US" w:eastAsia="zh-CN"/>
                <w14:textFill>
                  <w14:solidFill>
                    <w14:schemeClr w14:val="tx1"/>
                  </w14:solidFill>
                </w14:textFill>
              </w:rPr>
              <w:t>三</w:t>
            </w:r>
            <w:r>
              <w:rPr>
                <w:rFonts w:hint="default" w:ascii="Times New Roman" w:hAnsi="Times New Roman" w:cs="Times New Roman"/>
                <w:color w:val="000000" w:themeColor="text1"/>
                <w:highlight w:val="none"/>
                <w:lang w:val="en-US" w:eastAsia="zh-CN"/>
                <w14:textFill>
                  <w14:solidFill>
                    <w14:schemeClr w14:val="tx1"/>
                  </w14:solidFill>
                </w14:textFill>
              </w:rPr>
              <w:t>份</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p w14:paraId="018831D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其他：纸质版投标文件可通过电子版投标文件打印生成，应当与电子版投标文件一致</w:t>
            </w:r>
            <w:r>
              <w:rPr>
                <w:rFonts w:hint="default" w:ascii="Times New Roman" w:hAnsi="Times New Roman" w:cs="Times New Roman"/>
                <w:color w:val="000000" w:themeColor="text1"/>
                <w:szCs w:val="21"/>
                <w:highlight w:val="none"/>
                <w:lang w:eastAsia="zh-CN"/>
                <w14:textFill>
                  <w14:solidFill>
                    <w14:schemeClr w14:val="tx1"/>
                  </w14:solidFill>
                </w14:textFill>
              </w:rPr>
              <w:t>。</w:t>
            </w:r>
          </w:p>
        </w:tc>
      </w:tr>
      <w:tr w14:paraId="291B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43808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2155" w:type="dxa"/>
            <w:vAlign w:val="center"/>
          </w:tcPr>
          <w:p w14:paraId="280388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响应性文件</w:t>
            </w:r>
          </w:p>
          <w:p w14:paraId="20DECA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密封</w:t>
            </w:r>
          </w:p>
        </w:tc>
        <w:tc>
          <w:tcPr>
            <w:tcW w:w="6969" w:type="dxa"/>
            <w:gridSpan w:val="2"/>
            <w:vAlign w:val="center"/>
          </w:tcPr>
          <w:p w14:paraId="63CC1B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无密封要求，</w:t>
            </w:r>
            <w:r>
              <w:rPr>
                <w:rFonts w:hint="default" w:ascii="Times New Roman" w:hAnsi="Times New Roman" w:cs="Times New Roman"/>
                <w:color w:val="000000" w:themeColor="text1"/>
                <w:szCs w:val="21"/>
                <w:highlight w:val="none"/>
                <w:lang w:val="en-US" w:eastAsia="zh-CN"/>
                <w14:textFill>
                  <w14:solidFill>
                    <w14:schemeClr w14:val="tx1"/>
                  </w14:solidFill>
                </w14:textFill>
              </w:rPr>
              <w:t>中标</w:t>
            </w:r>
            <w:r>
              <w:rPr>
                <w:rFonts w:hint="eastAsia" w:ascii="Times New Roman" w:hAnsi="Times New Roman" w:cs="Times New Roman"/>
                <w:color w:val="000000" w:themeColor="text1"/>
                <w:szCs w:val="21"/>
                <w:highlight w:val="none"/>
                <w:lang w:val="en-US" w:eastAsia="zh-CN"/>
                <w14:textFill>
                  <w14:solidFill>
                    <w14:schemeClr w14:val="tx1"/>
                  </w14:solidFill>
                </w14:textFill>
              </w:rPr>
              <w:t>后须单独提供</w:t>
            </w:r>
            <w:r>
              <w:rPr>
                <w:rFonts w:hint="default" w:ascii="Times New Roman" w:hAnsi="Times New Roman" w:cs="Times New Roman"/>
                <w:color w:val="000000" w:themeColor="text1"/>
                <w:szCs w:val="21"/>
                <w:highlight w:val="none"/>
                <w:lang w:val="en-US" w:eastAsia="zh-CN"/>
                <w14:textFill>
                  <w14:solidFill>
                    <w14:schemeClr w14:val="tx1"/>
                  </w14:solidFill>
                </w14:textFill>
              </w:rPr>
              <w:t>纸质</w:t>
            </w:r>
            <w:r>
              <w:rPr>
                <w:rFonts w:hint="default" w:ascii="Times New Roman" w:hAnsi="Times New Roman" w:cs="Times New Roman"/>
                <w:color w:val="000000" w:themeColor="text1"/>
                <w:highlight w:val="none"/>
                <w14:textFill>
                  <w14:solidFill>
                    <w14:schemeClr w14:val="tx1"/>
                  </w14:solidFill>
                </w14:textFill>
              </w:rPr>
              <w:t>投标文件</w:t>
            </w:r>
            <w:r>
              <w:rPr>
                <w:rFonts w:hint="eastAsia" w:ascii="Times New Roman" w:hAnsi="Times New Roman" w:cs="Times New Roman"/>
                <w:color w:val="000000" w:themeColor="text1"/>
                <w:highlight w:val="none"/>
                <w:lang w:val="en-US" w:eastAsia="zh-CN"/>
                <w14:textFill>
                  <w14:solidFill>
                    <w14:schemeClr w14:val="tx1"/>
                  </w14:solidFill>
                </w14:textFill>
              </w:rPr>
              <w:t>及电子版投标文件。</w:t>
            </w:r>
          </w:p>
        </w:tc>
      </w:tr>
      <w:tr w14:paraId="0E7C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4" w:type="dxa"/>
            <w:vAlign w:val="center"/>
          </w:tcPr>
          <w:p w14:paraId="1D3A7B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2155" w:type="dxa"/>
            <w:vAlign w:val="center"/>
          </w:tcPr>
          <w:p w14:paraId="0D76FA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提交响应文件的截止时间（开标时间）</w:t>
            </w:r>
          </w:p>
        </w:tc>
        <w:tc>
          <w:tcPr>
            <w:tcW w:w="6969" w:type="dxa"/>
            <w:gridSpan w:val="2"/>
            <w:vAlign w:val="center"/>
          </w:tcPr>
          <w:p w14:paraId="38D9452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2024</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 xml:space="preserve"> 9 </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 xml:space="preserve"> 3 </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 xml:space="preserve"> 16 时30 </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14:paraId="7BC8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4" w:type="dxa"/>
            <w:vAlign w:val="center"/>
          </w:tcPr>
          <w:p w14:paraId="0DD225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2155" w:type="dxa"/>
            <w:vAlign w:val="center"/>
          </w:tcPr>
          <w:p w14:paraId="14EB94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响应文件的递交地点</w:t>
            </w:r>
          </w:p>
        </w:tc>
        <w:tc>
          <w:tcPr>
            <w:tcW w:w="6969" w:type="dxa"/>
            <w:gridSpan w:val="2"/>
            <w:vAlign w:val="center"/>
          </w:tcPr>
          <w:p w14:paraId="1ADEC4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请登录政采云投标客户端，在截止时间前将加密的电子响应文件上传到新疆政府采购网对应的位置（逾期上传或者未上传指定地点的响应文件，采购人不予受理）。</w:t>
            </w:r>
          </w:p>
        </w:tc>
      </w:tr>
      <w:tr w14:paraId="52F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34" w:type="dxa"/>
            <w:vAlign w:val="center"/>
          </w:tcPr>
          <w:p w14:paraId="6132EC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2155" w:type="dxa"/>
            <w:vAlign w:val="center"/>
          </w:tcPr>
          <w:p w14:paraId="705B7B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w:t>
            </w:r>
            <w:r>
              <w:rPr>
                <w:rFonts w:hint="eastAsia" w:ascii="宋体" w:hAnsi="宋体" w:cs="宋体"/>
                <w:color w:val="000000" w:themeColor="text1"/>
                <w:sz w:val="21"/>
                <w:szCs w:val="21"/>
                <w:highlight w:val="none"/>
                <w:lang w:eastAsia="zh-CN"/>
                <w14:textFill>
                  <w14:solidFill>
                    <w14:schemeClr w14:val="tx1"/>
                  </w14:solidFill>
                </w14:textFill>
              </w:rPr>
              <w:t>程序</w:t>
            </w:r>
          </w:p>
        </w:tc>
        <w:tc>
          <w:tcPr>
            <w:tcW w:w="6969" w:type="dxa"/>
            <w:gridSpan w:val="2"/>
            <w:vAlign w:val="center"/>
          </w:tcPr>
          <w:p w14:paraId="308067CE">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本项目采用不见面开标：</w:t>
            </w:r>
          </w:p>
          <w:p w14:paraId="51A9D0BD">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（1）开标时间到达</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后，主持人宣布开标会议开始；</w:t>
            </w:r>
          </w:p>
          <w:p w14:paraId="17BD89CC">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）公布投标人，投标文件解密，公布解密情况；</w:t>
            </w:r>
          </w:p>
          <w:p w14:paraId="3E494DBD">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）评标委员会进入评审阶段；</w:t>
            </w:r>
          </w:p>
          <w:p w14:paraId="5490B494">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）评标结束后，有关人员在开标记录表签字确认。</w:t>
            </w:r>
          </w:p>
          <w:p w14:paraId="388C566F">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特别说明：</w:t>
            </w:r>
          </w:p>
          <w:p w14:paraId="50FA61A9">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投标人务必将加密电子投标文件在投标截止时间之前上传至政采云平台</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https://login.zcygov.cn/</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并在开标当天开标截止时间前登录到</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https://www.zcygov.cn</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 xml:space="preserve"> 政采云电子开标大厅</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完成签到并等候开标，</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投标截止时间以后上传递交的投标文件将被</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政府采购云平台</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拒收。</w:t>
            </w:r>
          </w:p>
          <w:p w14:paraId="06F339E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（2）投标文件解密时间30分钟，开标前需投标单位用CA证书登录政采云平台开标大厅签到，在30分钟解密时间内输入CA证书 PIN 码解密投标文件。在30分钟解密时间内未进行解密的投标单位将导致废标。</w:t>
            </w:r>
          </w:p>
        </w:tc>
      </w:tr>
      <w:tr w14:paraId="5C0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34" w:type="dxa"/>
            <w:vAlign w:val="center"/>
          </w:tcPr>
          <w:p w14:paraId="1F14DD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22</w:t>
            </w:r>
          </w:p>
        </w:tc>
        <w:tc>
          <w:tcPr>
            <w:tcW w:w="2155" w:type="dxa"/>
            <w:vAlign w:val="center"/>
          </w:tcPr>
          <w:p w14:paraId="693CA6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是否授权评标委员会确定中标人</w:t>
            </w:r>
          </w:p>
        </w:tc>
        <w:tc>
          <w:tcPr>
            <w:tcW w:w="6969" w:type="dxa"/>
            <w:gridSpan w:val="2"/>
            <w:vAlign w:val="center"/>
          </w:tcPr>
          <w:p w14:paraId="74E639B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否（由专家评审小组最终评审汇总，推荐综合排名前三的投标单位为中标候选人）</w:t>
            </w:r>
          </w:p>
        </w:tc>
      </w:tr>
      <w:tr w14:paraId="5EE2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D552C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155" w:type="dxa"/>
            <w:vAlign w:val="center"/>
          </w:tcPr>
          <w:p w14:paraId="53637E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w:t>
            </w:r>
            <w:r>
              <w:rPr>
                <w:rFonts w:hint="default" w:ascii="宋体" w:hAnsi="宋体" w:eastAsia="宋体" w:cs="宋体"/>
                <w:color w:val="000000" w:themeColor="text1"/>
                <w:sz w:val="21"/>
                <w:szCs w:val="21"/>
                <w:highlight w:val="none"/>
                <w:lang w:val="en-US"/>
                <w14:textFill>
                  <w14:solidFill>
                    <w14:schemeClr w14:val="tx1"/>
                  </w14:solidFill>
                </w14:textFill>
              </w:rPr>
              <w:t>结果</w:t>
            </w:r>
            <w:r>
              <w:rPr>
                <w:rFonts w:hint="eastAsia" w:ascii="宋体" w:hAnsi="宋体" w:eastAsia="宋体" w:cs="宋体"/>
                <w:color w:val="000000" w:themeColor="text1"/>
                <w:sz w:val="21"/>
                <w:szCs w:val="21"/>
                <w:highlight w:val="none"/>
                <w14:textFill>
                  <w14:solidFill>
                    <w14:schemeClr w14:val="tx1"/>
                  </w14:solidFill>
                </w14:textFill>
              </w:rPr>
              <w:t>公示</w:t>
            </w:r>
          </w:p>
          <w:p w14:paraId="4FBB69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发布媒体</w:t>
            </w:r>
          </w:p>
        </w:tc>
        <w:tc>
          <w:tcPr>
            <w:tcW w:w="6969" w:type="dxa"/>
            <w:gridSpan w:val="2"/>
            <w:vAlign w:val="center"/>
          </w:tcPr>
          <w:p w14:paraId="5364986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color="000000"/>
                <w:lang w:val="en-US" w:eastAsia="zh-CN" w:bidi="ar-SA"/>
                <w14:textFill>
                  <w14:solidFill>
                    <w14:schemeClr w14:val="tx1"/>
                  </w14:solidFill>
                </w14:textFill>
              </w:rPr>
              <w:t>新疆政府采购网（http://www.ccgp-xinjiang.gov.cn/）</w:t>
            </w:r>
          </w:p>
        </w:tc>
      </w:tr>
      <w:tr w14:paraId="76F6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24E2DF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2155" w:type="dxa"/>
            <w:vAlign w:val="center"/>
          </w:tcPr>
          <w:p w14:paraId="71EA7D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6969" w:type="dxa"/>
            <w:gridSpan w:val="2"/>
            <w:vAlign w:val="center"/>
          </w:tcPr>
          <w:p w14:paraId="4F8C856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470D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08F56E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2155" w:type="dxa"/>
            <w:vAlign w:val="center"/>
          </w:tcPr>
          <w:p w14:paraId="0DEE98B7">
            <w:pPr>
              <w:pStyle w:val="54"/>
              <w:spacing w:line="400" w:lineRule="exact"/>
              <w:jc w:val="center"/>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中小微型企业</w:t>
            </w:r>
          </w:p>
          <w:p w14:paraId="0C67B0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有关政策</w:t>
            </w:r>
          </w:p>
        </w:tc>
        <w:tc>
          <w:tcPr>
            <w:tcW w:w="6969" w:type="dxa"/>
            <w:gridSpan w:val="2"/>
            <w:vAlign w:val="center"/>
          </w:tcPr>
          <w:p w14:paraId="4D9FAD81">
            <w:pPr>
              <w:pStyle w:val="3"/>
              <w:keepNext w:val="0"/>
              <w:keepLines w:val="0"/>
              <w:widowControl/>
              <w:numPr>
                <w:ilvl w:val="0"/>
                <w:numId w:val="0"/>
              </w:numPr>
              <w:suppressLineNumbers w:val="0"/>
              <w:spacing w:line="450" w:lineRule="atLeast"/>
              <w:ind w:leftChars="0"/>
              <w:jc w:val="both"/>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1、根据</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t>政府采购促进中小企业发展管理办法</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default" w:ascii="宋体" w:hAnsi="宋体" w:eastAsia="宋体" w:cs="宋体"/>
                <w:b w:val="0"/>
                <w:bCs/>
                <w:color w:val="000000" w:themeColor="text1"/>
                <w:sz w:val="21"/>
                <w:szCs w:val="21"/>
                <w:highlight w:val="none"/>
                <w14:textFill>
                  <w14:solidFill>
                    <w14:schemeClr w14:val="tx1"/>
                  </w14:solidFill>
                </w14:textFill>
              </w:rPr>
              <w:t>关于进一步加大政府采购支持中小企业力度的通知</w:t>
            </w:r>
            <w:r>
              <w:rPr>
                <w:rFonts w:hint="eastAsia" w:ascii="宋体" w:hAnsi="宋体" w:eastAsia="宋体" w:cs="宋体"/>
                <w:b w:val="0"/>
                <w:bCs/>
                <w:color w:val="000000" w:themeColor="text1"/>
                <w:sz w:val="21"/>
                <w:szCs w:val="21"/>
                <w:highlight w:val="none"/>
                <w14:textFill>
                  <w14:solidFill>
                    <w14:schemeClr w14:val="tx1"/>
                  </w14:solidFill>
                </w14:textFill>
              </w:rPr>
              <w:t>》规定要求，对非专门面向中小企业采购的采购项目，将对小微企业报价给予</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zh-CN" w:eastAsia="zh-CN"/>
                <w14:textFill>
                  <w14:solidFill>
                    <w14:schemeClr w14:val="tx1"/>
                  </w14:solidFill>
                </w14:textFill>
              </w:rPr>
              <w:t>（</w:t>
            </w:r>
            <w:r>
              <w:rPr>
                <w:rFonts w:hint="eastAsia" w:ascii="宋体" w:hAnsi="宋体" w:cs="宋体"/>
                <w:b w:val="0"/>
                <w:bCs/>
                <w:color w:val="000000" w:themeColor="text1"/>
                <w:sz w:val="21"/>
                <w:szCs w:val="21"/>
                <w:highlight w:val="none"/>
                <w:lang w:val="zh-CN" w:eastAsia="zh-CN"/>
                <w14:textFill>
                  <w14:solidFill>
                    <w14:schemeClr w14:val="tx1"/>
                  </w14:solidFill>
                </w14:textFill>
              </w:rPr>
              <w:t>货物和服务采购</w:t>
            </w:r>
            <w:r>
              <w:rPr>
                <w:rFonts w:hint="eastAsia" w:ascii="宋体" w:hAnsi="宋体" w:eastAsia="宋体" w:cs="宋体"/>
                <w:b w:val="0"/>
                <w:bCs/>
                <w:color w:val="000000" w:themeColor="text1"/>
                <w:sz w:val="21"/>
                <w:szCs w:val="21"/>
                <w:highlight w:val="none"/>
                <w:lang w:val="zh-CN" w:eastAsia="zh-CN"/>
                <w14:textFill>
                  <w14:solidFill>
                    <w14:schemeClr w14:val="tx1"/>
                  </w14:solidFill>
                </w14:textFill>
              </w:rPr>
              <w:t>项目为</w:t>
            </w:r>
            <w:r>
              <w:rPr>
                <w:rFonts w:hint="eastAsia" w:ascii="宋体" w:hAnsi="宋体" w:cs="宋体"/>
                <w:b w:val="0"/>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z w:val="21"/>
                <w:szCs w:val="21"/>
                <w:highlight w:val="none"/>
                <w:lang w:val="zh-CN" w:eastAsia="zh-CN"/>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的扣除，用扣除后的价格参加评审。本项目对全部提供小型或微型企业的工程的价格给予</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14:textFill>
                  <w14:solidFill>
                    <w14:schemeClr w14:val="tx1"/>
                  </w14:solidFill>
                </w14:textFill>
              </w:rPr>
              <w:t>%的扣除（扣除后的价格仅作为评标使用）。</w:t>
            </w: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w:t>
            </w:r>
          </w:p>
          <w:p w14:paraId="7E0C317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2、根据</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关于印发中小企业划型标准规定的通知</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 xml:space="preserve"> 文件的规定，本项目所属行业：建筑业。</w:t>
            </w:r>
          </w:p>
        </w:tc>
      </w:tr>
      <w:tr w14:paraId="2A55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3FA269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2155" w:type="dxa"/>
            <w:vAlign w:val="center"/>
          </w:tcPr>
          <w:p w14:paraId="767CD8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SA"/>
                <w14:textFill>
                  <w14:solidFill>
                    <w14:schemeClr w14:val="tx1"/>
                  </w14:solidFill>
                </w14:textFill>
              </w:rPr>
              <w:t>节能、环保要求</w:t>
            </w:r>
          </w:p>
        </w:tc>
        <w:tc>
          <w:tcPr>
            <w:tcW w:w="6969" w:type="dxa"/>
            <w:gridSpan w:val="2"/>
            <w:vAlign w:val="center"/>
          </w:tcPr>
          <w:p w14:paraId="3BB3D89A">
            <w:pPr>
              <w:pStyle w:val="54"/>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按国家有关节能环保政策执行：</w:t>
            </w:r>
          </w:p>
          <w:p w14:paraId="3472CB1B">
            <w:pPr>
              <w:pStyle w:val="54"/>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1、财政部发展改革委生态环境部市场监管总局《关于调整优化节能产品、环境标志产品政府采购执行机制的通知》。</w:t>
            </w:r>
          </w:p>
          <w:p w14:paraId="5D410C96">
            <w:pPr>
              <w:pStyle w:val="54"/>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2、财政部发展改革委《关于印发节能产品政府采购品目清单的通知》。</w:t>
            </w:r>
          </w:p>
          <w:p w14:paraId="2AE6A55B">
            <w:pPr>
              <w:pStyle w:val="54"/>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3、财政部生态环境部</w:t>
            </w:r>
            <w:r>
              <w:rPr>
                <w:rFonts w:hint="eastAsia" w:ascii="宋体" w:hAnsi="宋体" w:cs="宋体"/>
                <w:b w:val="0"/>
                <w:bCs/>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1"/>
                <w:szCs w:val="21"/>
                <w:highlight w:val="none"/>
                <w14:textFill>
                  <w14:solidFill>
                    <w14:schemeClr w14:val="tx1"/>
                  </w14:solidFill>
                </w14:textFill>
              </w:rPr>
              <w:t>《关于印发环境标志产品政府采购品目清单的通知》。</w:t>
            </w:r>
          </w:p>
          <w:p w14:paraId="512CEB5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4、市场监管总局《关于发布参与实施政府采购节能产品、环境标志产品认证机构名录的公告》。</w:t>
            </w:r>
          </w:p>
        </w:tc>
      </w:tr>
      <w:tr w14:paraId="0DFE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4" w:type="dxa"/>
            <w:vAlign w:val="center"/>
          </w:tcPr>
          <w:p w14:paraId="2C585B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2155" w:type="dxa"/>
            <w:vAlign w:val="center"/>
          </w:tcPr>
          <w:p w14:paraId="3E99C3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p>
        </w:tc>
        <w:tc>
          <w:tcPr>
            <w:tcW w:w="6969" w:type="dxa"/>
            <w:gridSpan w:val="2"/>
            <w:vAlign w:val="center"/>
          </w:tcPr>
          <w:p w14:paraId="4BFFEB7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spacing w:val="13"/>
                <w:lang w:eastAsia="zh-CN"/>
              </w:rPr>
              <w:t>根据招标代理服务收费按差额定率累进法计算；</w:t>
            </w:r>
            <w:bookmarkStart w:id="728" w:name="_GoBack"/>
            <w:bookmarkEnd w:id="728"/>
            <w:r>
              <w:rPr>
                <w:rFonts w:hint="eastAsia" w:ascii="宋体" w:hAnsi="宋体" w:eastAsia="宋体" w:cs="宋体"/>
                <w:color w:val="000000" w:themeColor="text1"/>
                <w:sz w:val="21"/>
                <w:szCs w:val="21"/>
                <w:highlight w:val="none"/>
                <w:lang w:val="en-US" w:eastAsia="zh-CN"/>
                <w14:textFill>
                  <w14:solidFill>
                    <w14:schemeClr w14:val="tx1"/>
                  </w14:solidFill>
                </w14:textFill>
              </w:rPr>
              <w:t>由中标方支付。</w:t>
            </w:r>
          </w:p>
        </w:tc>
      </w:tr>
      <w:tr w14:paraId="2F14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34" w:type="dxa"/>
            <w:vAlign w:val="center"/>
          </w:tcPr>
          <w:p w14:paraId="498983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2155" w:type="dxa"/>
            <w:vAlign w:val="center"/>
          </w:tcPr>
          <w:p w14:paraId="47304B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最高投标限价</w:t>
            </w:r>
          </w:p>
        </w:tc>
        <w:tc>
          <w:tcPr>
            <w:tcW w:w="6969" w:type="dxa"/>
            <w:gridSpan w:val="2"/>
            <w:vAlign w:val="center"/>
          </w:tcPr>
          <w:p w14:paraId="1424DF3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1463459.35元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（大写：</w:t>
            </w:r>
            <w:r>
              <w:rPr>
                <w:rFonts w:hint="eastAsia" w:ascii="宋体" w:hAnsi="宋体" w:cs="宋体"/>
                <w:color w:val="000000" w:themeColor="text1"/>
                <w:sz w:val="21"/>
                <w:szCs w:val="21"/>
                <w:highlight w:val="none"/>
                <w:lang w:val="en-US" w:eastAsia="zh-CN"/>
                <w14:textFill>
                  <w14:solidFill>
                    <w14:schemeClr w14:val="tx1"/>
                  </w14:solidFill>
                </w14:textFill>
              </w:rPr>
              <w:t>壹佰肆拾陆万叁仟肆佰伍拾玖元叁角伍分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2CF8D2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投标单位报价均不得超过此限价，超过此限价视为无效投标。</w:t>
            </w:r>
          </w:p>
        </w:tc>
      </w:tr>
      <w:tr w14:paraId="57DB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4" w:type="dxa"/>
            <w:vAlign w:val="center"/>
          </w:tcPr>
          <w:p w14:paraId="04378B6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2160" w:type="dxa"/>
            <w:gridSpan w:val="2"/>
            <w:vAlign w:val="center"/>
          </w:tcPr>
          <w:p w14:paraId="5398FA4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其他内容</w:t>
            </w:r>
          </w:p>
        </w:tc>
        <w:tc>
          <w:tcPr>
            <w:tcW w:w="6964" w:type="dxa"/>
            <w:vAlign w:val="center"/>
          </w:tcPr>
          <w:p w14:paraId="3F0FBC7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招标人补充的其他内容：</w:t>
            </w:r>
          </w:p>
          <w:p w14:paraId="60FB26FD">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建设工程扬尘防范措施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参照</w:t>
            </w:r>
            <w:r>
              <w:rPr>
                <w:rFonts w:hint="eastAsia" w:ascii="宋体" w:hAnsi="宋体" w:eastAsia="宋体" w:cs="宋体"/>
                <w:color w:val="000000" w:themeColor="text1"/>
                <w:sz w:val="21"/>
                <w:szCs w:val="21"/>
                <w:highlight w:val="none"/>
                <w:lang w:eastAsia="zh-CN"/>
                <w14:textFill>
                  <w14:solidFill>
                    <w14:schemeClr w14:val="tx1"/>
                  </w14:solidFill>
                </w14:textFill>
              </w:rPr>
              <w:t>《关于印发伊犁州直建设工程扬尘防范措施增加费用的通知》，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建设工程智慧工地基础配置参照</w:t>
            </w:r>
            <w:r>
              <w:rPr>
                <w:rFonts w:hint="eastAsia" w:ascii="宋体" w:hAnsi="宋体" w:eastAsia="宋体" w:cs="宋体"/>
                <w:color w:val="000000" w:themeColor="text1"/>
                <w:sz w:val="21"/>
                <w:szCs w:val="21"/>
                <w:highlight w:val="none"/>
                <w:lang w:eastAsia="zh-CN"/>
                <w14:textFill>
                  <w14:solidFill>
                    <w14:schemeClr w14:val="tx1"/>
                  </w14:solidFill>
                </w14:textFill>
              </w:rPr>
              <w:t>《关于</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建设工程智慧工地基础配置费用计取事项（试行）的通知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6B6D3B1">
            <w:pPr>
              <w:keepNext w:val="0"/>
              <w:keepLines w:val="0"/>
              <w:pageBreakBefore w:val="0"/>
              <w:widowControl w:val="0"/>
              <w:numPr>
                <w:ilvl w:val="0"/>
                <w:numId w:val="0"/>
              </w:numPr>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2、投标企业须提供针对本项目不拖欠农民工工资，建筑工人实名制管理，且在工程施工中使用不低于70%的当地农民工的承诺函</w:t>
            </w:r>
            <w:r>
              <w:rPr>
                <w:rFonts w:hint="eastAsia" w:ascii="宋体" w:hAnsi="宋体" w:cs="宋体"/>
                <w:color w:val="000000" w:themeColor="text1"/>
                <w:sz w:val="21"/>
                <w:szCs w:val="21"/>
                <w:highlight w:val="none"/>
                <w:lang w:val="en-US" w:eastAsia="zh-CN"/>
                <w14:textFill>
                  <w14:solidFill>
                    <w14:schemeClr w14:val="tx1"/>
                  </w14:solidFill>
                </w14:textFill>
              </w:rPr>
              <w:t>。</w:t>
            </w:r>
          </w:p>
        </w:tc>
      </w:tr>
    </w:tbl>
    <w:p w14:paraId="6B1CEB73">
      <w:pPr>
        <w:pStyle w:val="4"/>
        <w:pageBreakBefore w:val="0"/>
        <w:kinsoku/>
        <w:wordWrap/>
        <w:overflowPunct/>
        <w:autoSpaceDE/>
        <w:autoSpaceDN/>
        <w:bidi w:val="0"/>
        <w:adjustRightInd/>
        <w:snapToGrid/>
        <w:spacing w:before="100" w:beforeAutospacing="1" w:after="100" w:afterAutospacing="1" w:line="480" w:lineRule="exact"/>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39" w:name="_Toc298240405"/>
      <w:bookmarkStart w:id="40" w:name="_Toc349637920"/>
      <w:bookmarkStart w:id="41" w:name="_Toc267301282"/>
      <w:bookmarkStart w:id="42" w:name="_Toc527642952"/>
      <w:bookmarkStart w:id="43" w:name="_Toc349573121"/>
    </w:p>
    <w:p w14:paraId="174F3D35">
      <w:pPr>
        <w:jc w:val="center"/>
        <w:rPr>
          <w:rFonts w:hint="eastAsia"/>
          <w:color w:val="000000" w:themeColor="text1"/>
          <w:highlight w:val="none"/>
          <w14:textFill>
            <w14:solidFill>
              <w14:schemeClr w14:val="tx1"/>
            </w14:solidFill>
          </w14:textFill>
        </w:rPr>
      </w:pPr>
    </w:p>
    <w:p w14:paraId="24132152">
      <w:pPr>
        <w:pStyle w:val="4"/>
        <w:pageBreakBefore w:val="0"/>
        <w:kinsoku/>
        <w:wordWrap/>
        <w:overflowPunct/>
        <w:autoSpaceDE/>
        <w:autoSpaceDN/>
        <w:bidi w:val="0"/>
        <w:adjustRightInd/>
        <w:snapToGrid/>
        <w:spacing w:before="100" w:beforeAutospacing="1" w:after="100" w:afterAutospacing="1" w:line="480" w:lineRule="exact"/>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076CAA76">
      <w:pPr>
        <w:rPr>
          <w:rFonts w:hint="eastAsia"/>
          <w:color w:val="000000" w:themeColor="text1"/>
          <w:highlight w:val="none"/>
          <w:lang w:eastAsia="zh-CN"/>
          <w14:textFill>
            <w14:solidFill>
              <w14:schemeClr w14:val="tx1"/>
            </w14:solidFill>
          </w14:textFill>
        </w:rPr>
      </w:pPr>
    </w:p>
    <w:p w14:paraId="5ED497BD">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A  说　明</w:t>
      </w:r>
      <w:bookmarkEnd w:id="39"/>
      <w:bookmarkEnd w:id="40"/>
      <w:bookmarkEnd w:id="41"/>
      <w:bookmarkEnd w:id="42"/>
      <w:bookmarkEnd w:id="43"/>
    </w:p>
    <w:p w14:paraId="78729F99">
      <w:pPr>
        <w:pageBreakBefore w:val="0"/>
        <w:numPr>
          <w:ilvl w:val="0"/>
          <w:numId w:val="4"/>
        </w:numPr>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适用范围</w:t>
      </w:r>
    </w:p>
    <w:p w14:paraId="301F0E4F">
      <w:pPr>
        <w:pageBreakBefore w:val="0"/>
        <w:numPr>
          <w:ilvl w:val="1"/>
          <w:numId w:val="5"/>
        </w:numPr>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本磋商文件仅适用于本次投标中所叙述项目的工程项目招标。</w:t>
      </w:r>
    </w:p>
    <w:p w14:paraId="4358793A">
      <w:pPr>
        <w:pageBreakBefore w:val="0"/>
        <w:numPr>
          <w:ilvl w:val="0"/>
          <w:numId w:val="4"/>
        </w:numPr>
        <w:kinsoku/>
        <w:wordWrap/>
        <w:overflowPunct/>
        <w:autoSpaceDE/>
        <w:autoSpaceDN/>
        <w:bidi w:val="0"/>
        <w:adjustRightInd/>
        <w:snapToGrid/>
        <w:spacing w:line="480" w:lineRule="exact"/>
        <w:ind w:left="0" w:lef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定义</w:t>
      </w:r>
    </w:p>
    <w:p w14:paraId="5057676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巩留县政府采购中心。</w:t>
      </w:r>
    </w:p>
    <w:p w14:paraId="349BDCC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highlight w:val="none"/>
          <w14:textFill>
            <w14:solidFill>
              <w14:schemeClr w14:val="tx1"/>
            </w14:solidFill>
          </w14:textFill>
        </w:rPr>
        <w:t>称）</w:t>
      </w:r>
      <w:r>
        <w:rPr>
          <w:rFonts w:hint="eastAsia" w:ascii="宋体" w:hAnsi="宋体" w:cs="宋体"/>
          <w:color w:val="000000" w:themeColor="text1"/>
          <w:sz w:val="24"/>
          <w:highlight w:val="none"/>
          <w:lang w:eastAsia="zh-CN"/>
          <w14:textFill>
            <w14:solidFill>
              <w14:schemeClr w14:val="tx1"/>
            </w14:solidFill>
          </w14:textFill>
        </w:rPr>
        <w:t>巩留县教育局</w:t>
      </w:r>
      <w:r>
        <w:rPr>
          <w:rFonts w:hint="eastAsia" w:ascii="宋体" w:hAnsi="宋体" w:cs="宋体"/>
          <w:color w:val="000000" w:themeColor="text1"/>
          <w:sz w:val="24"/>
          <w:highlight w:val="none"/>
          <w:lang w:val="en-US" w:eastAsia="zh-CN"/>
          <w14:textFill>
            <w14:solidFill>
              <w14:schemeClr w14:val="tx1"/>
            </w14:solidFill>
          </w14:textFill>
        </w:rPr>
        <w:t>。</w:t>
      </w:r>
    </w:p>
    <w:p w14:paraId="580F361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2.3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系指向招标代理机构提交磋商响应文件的</w:t>
      </w:r>
      <w:r>
        <w:rPr>
          <w:rFonts w:hint="eastAsia" w:ascii="宋体" w:hAnsi="宋体" w:eastAsia="宋体" w:cs="宋体"/>
          <w:color w:val="000000" w:themeColor="text1"/>
          <w:sz w:val="24"/>
          <w:highlight w:val="none"/>
          <w:lang w:eastAsia="zh-CN"/>
          <w14:textFill>
            <w14:solidFill>
              <w14:schemeClr w14:val="tx1"/>
            </w14:solidFill>
          </w14:textFill>
        </w:rPr>
        <w:t>投标企业。</w:t>
      </w:r>
    </w:p>
    <w:p w14:paraId="4A07097C">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中标方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系指在本次项目中将被授予合同的</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w:t>
      </w:r>
    </w:p>
    <w:p w14:paraId="68FF7D4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3．合格的</w:t>
      </w:r>
      <w:r>
        <w:rPr>
          <w:rFonts w:hint="eastAsia" w:ascii="宋体" w:hAnsi="宋体" w:eastAsia="宋体" w:cs="宋体"/>
          <w:color w:val="000000" w:themeColor="text1"/>
          <w:sz w:val="24"/>
          <w:highlight w:val="none"/>
          <w:lang w:eastAsia="zh-CN"/>
          <w14:textFill>
            <w14:solidFill>
              <w14:schemeClr w14:val="tx1"/>
            </w14:solidFill>
          </w14:textFill>
        </w:rPr>
        <w:t>投标单位</w:t>
      </w:r>
    </w:p>
    <w:p w14:paraId="0C2FF0C2">
      <w:pPr>
        <w:pageBreakBefore w:val="0"/>
        <w:kinsoku/>
        <w:wordWrap/>
        <w:overflowPunct/>
        <w:autoSpaceDE/>
        <w:autoSpaceDN/>
        <w:bidi w:val="0"/>
        <w:adjustRightInd/>
        <w:snapToGrid/>
        <w:spacing w:line="480" w:lineRule="exact"/>
        <w:ind w:left="480" w:hanging="480" w:hanging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有能力提供磋商文件中所要求的服务、资格审查合格的</w:t>
      </w:r>
      <w:r>
        <w:rPr>
          <w:rFonts w:hint="eastAsia" w:ascii="宋体" w:hAnsi="宋体" w:eastAsia="宋体" w:cs="宋体"/>
          <w:color w:val="000000" w:themeColor="text1"/>
          <w:sz w:val="24"/>
          <w:highlight w:val="none"/>
          <w:lang w:eastAsia="zh-CN"/>
          <w14:textFill>
            <w14:solidFill>
              <w14:schemeClr w14:val="tx1"/>
            </w14:solidFill>
          </w14:textFill>
        </w:rPr>
        <w:t>投标单位。</w:t>
      </w:r>
    </w:p>
    <w:p w14:paraId="09B38D75">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3.2 </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必须遵守有关的国内法律和规章条例。</w:t>
      </w:r>
    </w:p>
    <w:p w14:paraId="7D0B5737">
      <w:pPr>
        <w:pageBreakBefore w:val="0"/>
        <w:kinsoku/>
        <w:wordWrap/>
        <w:overflowPunct/>
        <w:autoSpaceDE/>
        <w:autoSpaceDN/>
        <w:bidi w:val="0"/>
        <w:adjustRightInd/>
        <w:snapToGrid/>
        <w:spacing w:line="480" w:lineRule="exact"/>
        <w:ind w:left="480" w:hanging="480" w:hanging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资格(废标因素)</w:t>
      </w:r>
    </w:p>
    <w:p w14:paraId="30DAFB23">
      <w:pPr>
        <w:pageBreakBefore w:val="0"/>
        <w:kinsoku/>
        <w:wordWrap/>
        <w:overflowPunct/>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符合</w:t>
      </w:r>
      <w:r>
        <w:rPr>
          <w:rFonts w:hint="eastAsia" w:ascii="宋体" w:hAnsi="宋体" w:eastAsia="宋体" w:cs="宋体"/>
          <w:color w:val="000000" w:themeColor="text1"/>
          <w:sz w:val="24"/>
          <w:szCs w:val="22"/>
          <w:highlight w:val="none"/>
          <w:lang w:eastAsia="zh-CN"/>
          <w14:textFill>
            <w14:solidFill>
              <w14:schemeClr w14:val="tx1"/>
            </w14:solidFill>
          </w14:textFill>
        </w:rPr>
        <w:t>投标单位</w:t>
      </w:r>
      <w:r>
        <w:rPr>
          <w:rFonts w:hint="eastAsia" w:ascii="宋体" w:hAnsi="宋体" w:eastAsia="宋体" w:cs="宋体"/>
          <w:color w:val="000000" w:themeColor="text1"/>
          <w:sz w:val="24"/>
          <w:szCs w:val="22"/>
          <w:highlight w:val="none"/>
          <w14:textFill>
            <w14:solidFill>
              <w14:schemeClr w14:val="tx1"/>
            </w14:solidFill>
          </w14:textFill>
        </w:rPr>
        <w:t>须知前附表第</w:t>
      </w:r>
      <w:r>
        <w:rPr>
          <w:rFonts w:hint="eastAsia" w:ascii="宋体" w:hAnsi="宋体" w:eastAsia="宋体" w:cs="宋体"/>
          <w:color w:val="000000" w:themeColor="text1"/>
          <w:sz w:val="24"/>
          <w:szCs w:val="22"/>
          <w:highlight w:val="none"/>
          <w:lang w:val="en-US" w:eastAsia="zh-CN"/>
          <w14:textFill>
            <w14:solidFill>
              <w14:schemeClr w14:val="tx1"/>
            </w14:solidFill>
          </w14:textFill>
        </w:rPr>
        <w:t>9</w:t>
      </w:r>
      <w:r>
        <w:rPr>
          <w:rFonts w:hint="eastAsia" w:ascii="宋体" w:hAnsi="宋体" w:eastAsia="宋体" w:cs="宋体"/>
          <w:color w:val="000000" w:themeColor="text1"/>
          <w:sz w:val="24"/>
          <w:szCs w:val="22"/>
          <w:highlight w:val="none"/>
          <w14:textFill>
            <w14:solidFill>
              <w14:schemeClr w14:val="tx1"/>
            </w14:solidFill>
          </w14:textFill>
        </w:rPr>
        <w:t>款。</w:t>
      </w:r>
    </w:p>
    <w:p w14:paraId="03DDC302">
      <w:pPr>
        <w:pageBreakBefore w:val="0"/>
        <w:tabs>
          <w:tab w:val="left" w:pos="252"/>
          <w:tab w:val="left" w:pos="671"/>
        </w:tabs>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5．投标费用</w:t>
      </w:r>
    </w:p>
    <w:p w14:paraId="19D7CF7E">
      <w:pPr>
        <w:pageBreakBefore w:val="0"/>
        <w:kinsoku/>
        <w:wordWrap/>
        <w:overflowPunct/>
        <w:autoSpaceDE/>
        <w:autoSpaceDN/>
        <w:bidi w:val="0"/>
        <w:adjustRightInd/>
        <w:snapToGrid/>
        <w:spacing w:line="480" w:lineRule="exact"/>
        <w:ind w:left="482" w:leftChars="199" w:hanging="64" w:hangingChars="2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将自行承担所有与参加投标有关的全部费用。</w:t>
      </w:r>
    </w:p>
    <w:p w14:paraId="2E852E61">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bookmarkStart w:id="44" w:name="_Toc527642953"/>
      <w:bookmarkStart w:id="45" w:name="_Toc298240406"/>
      <w:bookmarkStart w:id="46" w:name="_Toc349573122"/>
      <w:bookmarkStart w:id="47" w:name="_Toc349637921"/>
      <w:bookmarkStart w:id="48" w:name="_Toc267301283"/>
      <w:r>
        <w:rPr>
          <w:rFonts w:hint="eastAsia" w:ascii="宋体" w:hAnsi="宋体" w:eastAsia="宋体" w:cs="宋体"/>
          <w:color w:val="000000" w:themeColor="text1"/>
          <w:sz w:val="28"/>
          <w:szCs w:val="28"/>
          <w:highlight w:val="none"/>
          <w14:textFill>
            <w14:solidFill>
              <w14:schemeClr w14:val="tx1"/>
            </w14:solidFill>
          </w14:textFill>
        </w:rPr>
        <w:t>B  磋商文件</w:t>
      </w:r>
      <w:bookmarkEnd w:id="44"/>
      <w:bookmarkEnd w:id="45"/>
      <w:bookmarkEnd w:id="46"/>
      <w:bookmarkEnd w:id="47"/>
      <w:bookmarkEnd w:id="48"/>
    </w:p>
    <w:p w14:paraId="1975176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6．磋商文件构成</w:t>
      </w:r>
    </w:p>
    <w:p w14:paraId="06BA7AD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6.1磋商文件包括：</w:t>
      </w:r>
    </w:p>
    <w:p w14:paraId="1D673260">
      <w:pPr>
        <w:pStyle w:val="15"/>
        <w:pageBreakBefore w:val="0"/>
        <w:tabs>
          <w:tab w:val="right" w:leader="dot" w:pos="8400"/>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"1-2" \h \z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"_Toc527642949"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（1）竞争性磋商公告</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02E6690">
      <w:pPr>
        <w:pStyle w:val="15"/>
        <w:pageBreakBefore w:val="0"/>
        <w:tabs>
          <w:tab w:val="right" w:leader="dot" w:pos="8400"/>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57BBB5B">
      <w:pPr>
        <w:pStyle w:val="15"/>
        <w:pageBreakBefore w:val="0"/>
        <w:tabs>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（3）技术要求</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A4DB0D2">
      <w:pPr>
        <w:pStyle w:val="15"/>
        <w:pageBreakBefore w:val="0"/>
        <w:tabs>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）合同条款及格式</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C4FDF43">
      <w:pPr>
        <w:pStyle w:val="15"/>
        <w:pageBreakBefore w:val="0"/>
        <w:tabs>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）响应文件格式</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EC96319">
      <w:pPr>
        <w:pStyle w:val="15"/>
        <w:pageBreakBefore w:val="0"/>
        <w:tabs>
          <w:tab w:val="right" w:leader="dot" w:pos="8541"/>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）补充条款</w:t>
      </w:r>
    </w:p>
    <w:p w14:paraId="0028870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磋商文件以中文编写</w:t>
      </w:r>
    </w:p>
    <w:p w14:paraId="27FC4A7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6.3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应认真阅读磋商文件中所有的事项、格式、条款和规范等要求，从而对磋商文件作出实质性响应。如果没有按照磋商文件要求提交全部磋商响应文件或资料，没有对磋商文件作出实质性响应，其风险应由</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自行承担。</w:t>
      </w:r>
    </w:p>
    <w:p w14:paraId="5AE11A7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7．磋商文件澄清</w:t>
      </w:r>
    </w:p>
    <w:p w14:paraId="764840A9">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7.1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对磋商文件有疑问的，可以向招标代理机构提出询问，招标代理机构将及时做出答复</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531ACC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7.2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对磋商文件有质疑，须在得到磋商文件之日起至质疑截止时间止，以书面形式向招标机构提出质疑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招标机构在收到书面质疑后，在</w:t>
      </w:r>
      <w:r>
        <w:rPr>
          <w:rFonts w:hint="eastAsia" w:ascii="宋体" w:hAnsi="宋体" w:eastAsia="宋体" w:cs="宋体"/>
          <w:color w:val="000000" w:themeColor="text1"/>
          <w:sz w:val="24"/>
          <w:szCs w:val="24"/>
          <w:highlight w:val="none"/>
          <w:lang w:eastAsia="zh-CN"/>
          <w14:textFill>
            <w14:solidFill>
              <w14:schemeClr w14:val="tx1"/>
            </w14:solidFill>
          </w14:textFill>
        </w:rPr>
        <w:t>提交响应文件截止时间</w:t>
      </w:r>
      <w:r>
        <w:rPr>
          <w:rFonts w:hint="eastAsia" w:ascii="宋体" w:hAnsi="宋体" w:eastAsia="宋体" w:cs="宋体"/>
          <w:color w:val="000000" w:themeColor="text1"/>
          <w:sz w:val="24"/>
          <w:szCs w:val="24"/>
          <w:highlight w:val="none"/>
          <w14:textFill>
            <w14:solidFill>
              <w14:schemeClr w14:val="tx1"/>
            </w14:solidFill>
          </w14:textFill>
        </w:rPr>
        <w:t>3个工作日前做出答复，并以书面形式通知质疑</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w:t>
      </w:r>
    </w:p>
    <w:p w14:paraId="4D7D850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磋商文件的修改</w:t>
      </w:r>
    </w:p>
    <w:p w14:paraId="14210447">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对磋商文件进行必要的修改，招标代理机构将在</w:t>
      </w:r>
      <w:r>
        <w:rPr>
          <w:rFonts w:hint="default" w:ascii="宋体" w:hAnsi="宋体" w:eastAsia="宋体" w:cs="宋体"/>
          <w:color w:val="000000" w:themeColor="text1"/>
          <w:sz w:val="24"/>
          <w:szCs w:val="24"/>
          <w:highlight w:val="none"/>
          <w:lang w:val="en-US"/>
          <w14:textFill>
            <w14:solidFill>
              <w14:schemeClr w14:val="tx1"/>
            </w14:solidFill>
          </w14:textFill>
        </w:rPr>
        <w:t>提交响应文件</w:t>
      </w:r>
      <w:r>
        <w:rPr>
          <w:rFonts w:hint="eastAsia" w:ascii="宋体" w:hAnsi="宋体" w:eastAsia="宋体" w:cs="宋体"/>
          <w:color w:val="000000" w:themeColor="text1"/>
          <w:sz w:val="24"/>
          <w:szCs w:val="24"/>
          <w:highlight w:val="none"/>
          <w14:textFill>
            <w14:solidFill>
              <w14:schemeClr w14:val="tx1"/>
            </w14:solidFill>
          </w14:textFill>
        </w:rPr>
        <w:t>截止时间3个工作日前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在新疆政府采购网</w:t>
      </w:r>
      <w:r>
        <w:rPr>
          <w:rFonts w:hint="default" w:ascii="宋体" w:hAnsi="宋体" w:eastAsia="宋体" w:cs="宋体"/>
          <w:color w:val="000000" w:themeColor="text1"/>
          <w:sz w:val="24"/>
          <w:szCs w:val="24"/>
          <w:highlight w:val="none"/>
          <w:lang w:val="en-US"/>
          <w14:textFill>
            <w14:solidFill>
              <w14:schemeClr w14:val="tx1"/>
            </w14:solidFill>
          </w14:textFill>
        </w:rPr>
        <w:t>发布澄清公告</w:t>
      </w:r>
      <w:r>
        <w:rPr>
          <w:rFonts w:hint="eastAsia" w:ascii="宋体" w:hAnsi="宋体" w:eastAsia="宋体" w:cs="宋体"/>
          <w:color w:val="000000" w:themeColor="text1"/>
          <w:sz w:val="24"/>
          <w:szCs w:val="24"/>
          <w:highlight w:val="none"/>
          <w14:textFill>
            <w14:solidFill>
              <w14:schemeClr w14:val="tx1"/>
            </w14:solidFill>
          </w14:textFill>
        </w:rPr>
        <w:t>。该修改的内容为磋商文件的组成部分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5461A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在投标截止时间前，招标机构可视具体情况延长投标截止时间，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在新疆政府采购网发布变更公告。</w:t>
      </w:r>
    </w:p>
    <w:p w14:paraId="07E3590D">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bookmarkStart w:id="49" w:name="_Toc349637922"/>
      <w:bookmarkStart w:id="50" w:name="_Toc527642954"/>
      <w:bookmarkStart w:id="51" w:name="_Toc267301284"/>
      <w:bookmarkStart w:id="52" w:name="_Toc298240407"/>
      <w:bookmarkStart w:id="53" w:name="_Toc349573123"/>
      <w:r>
        <w:rPr>
          <w:rFonts w:hint="eastAsia" w:ascii="宋体" w:hAnsi="宋体" w:eastAsia="宋体" w:cs="宋体"/>
          <w:color w:val="000000" w:themeColor="text1"/>
          <w:sz w:val="28"/>
          <w:szCs w:val="28"/>
          <w:highlight w:val="none"/>
          <w14:textFill>
            <w14:solidFill>
              <w14:schemeClr w14:val="tx1"/>
            </w14:solidFill>
          </w14:textFill>
        </w:rPr>
        <w:t>C  磋商响应文件的编写</w:t>
      </w:r>
      <w:bookmarkEnd w:id="49"/>
      <w:bookmarkEnd w:id="50"/>
      <w:bookmarkEnd w:id="51"/>
      <w:bookmarkEnd w:id="52"/>
      <w:bookmarkEnd w:id="53"/>
    </w:p>
    <w:p w14:paraId="461A9CA2">
      <w:pPr>
        <w:pageBreakBefore w:val="0"/>
        <w:numPr>
          <w:ilvl w:val="0"/>
          <w:numId w:val="6"/>
        </w:numPr>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w:t>
      </w:r>
    </w:p>
    <w:p w14:paraId="1571F855">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应仔细阅读磋商文件的所有内容，按磋商文件的要求提供磋商响应文件，并保证所提供的全部资料的真实性，以使其投标对磋商文件作出实质性响应，否则，其投标可能被拒绝。</w:t>
      </w:r>
    </w:p>
    <w:p w14:paraId="76716CC2">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10．投标语言</w:t>
      </w:r>
    </w:p>
    <w:p w14:paraId="6596409B">
      <w:pPr>
        <w:pageBreakBefore w:val="0"/>
        <w:kinsoku/>
        <w:wordWrap/>
        <w:overflowPunct/>
        <w:autoSpaceDE/>
        <w:autoSpaceDN/>
        <w:bidi w:val="0"/>
        <w:adjustRightInd/>
        <w:snapToGrid/>
        <w:spacing w:line="480" w:lineRule="exact"/>
        <w:ind w:left="599" w:leftChars="228" w:hanging="120" w:hangingChars="5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磋商响应文件及</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与招标代理机构就投标交换的文件和来往信件，应以中文书写。</w:t>
      </w:r>
    </w:p>
    <w:p w14:paraId="35636DEE">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11．磋商响应文件的构成</w:t>
      </w:r>
    </w:p>
    <w:p w14:paraId="1F2480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11.1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编写的磋商响应文件应包括下列内容：</w:t>
      </w:r>
    </w:p>
    <w:p w14:paraId="4222FBE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响应文件包含：商务标、经济标、技术标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D796FC">
      <w:pPr>
        <w:pageBreakBefore w:val="0"/>
        <w:tabs>
          <w:tab w:val="left" w:pos="540"/>
          <w:tab w:val="left" w:pos="900"/>
          <w:tab w:val="left" w:pos="1080"/>
        </w:tabs>
        <w:kinsoku/>
        <w:wordWrap/>
        <w:overflowPunct/>
        <w:autoSpaceDE/>
        <w:autoSpaceDN/>
        <w:bidi w:val="0"/>
        <w:adjustRightInd/>
        <w:snapToGrid/>
        <w:spacing w:line="48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11.1 .1商务标内容：</w:t>
      </w:r>
    </w:p>
    <w:p w14:paraId="78DEE53A">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1、投标承诺书（一）</w:t>
      </w:r>
    </w:p>
    <w:p w14:paraId="5DEE604F">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2、投标承诺书（二）</w:t>
      </w:r>
    </w:p>
    <w:p w14:paraId="21A88FA8">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3、投标承诺书（三）</w:t>
      </w:r>
    </w:p>
    <w:p w14:paraId="21E2F7BE">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4、法定代表人身份证明书</w:t>
      </w:r>
    </w:p>
    <w:p w14:paraId="4E2CC8BC">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5、法定代表人授权委托书</w:t>
      </w:r>
    </w:p>
    <w:p w14:paraId="19737916">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概况（企业营业执照、资质证书、安全生产许可证、注册建造师证书和安全考核证</w:t>
      </w:r>
      <w:r>
        <w:rPr>
          <w:rFonts w:hint="eastAsia" w:ascii="宋体" w:hAnsi="宋体" w:cs="宋体"/>
          <w:color w:val="000000" w:themeColor="text1"/>
          <w:sz w:val="24"/>
          <w:szCs w:val="24"/>
          <w:highlight w:val="none"/>
          <w:lang w:eastAsia="zh-CN"/>
          <w14:textFill>
            <w14:solidFill>
              <w14:schemeClr w14:val="tx1"/>
            </w14:solidFill>
          </w14:textFill>
        </w:rPr>
        <w:t>、企业类似业绩、财务状况</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4902622C">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7、项目管理人员</w:t>
      </w:r>
    </w:p>
    <w:p w14:paraId="71ED66B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8、投标保证金</w:t>
      </w:r>
      <w:r>
        <w:rPr>
          <w:rFonts w:hint="eastAsia" w:ascii="宋体" w:hAnsi="宋体" w:cs="宋体"/>
          <w:color w:val="000000" w:themeColor="text1"/>
          <w:sz w:val="24"/>
          <w:szCs w:val="24"/>
          <w:highlight w:val="none"/>
          <w:lang w:val="en-US" w:eastAsia="zh-CN"/>
          <w14:textFill>
            <w14:solidFill>
              <w14:schemeClr w14:val="tx1"/>
            </w14:solidFill>
          </w14:textFill>
        </w:rPr>
        <w:t>凭证</w:t>
      </w:r>
    </w:p>
    <w:p w14:paraId="0B6DEB07">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9、磋商文件要求的其他证明材料</w:t>
      </w:r>
    </w:p>
    <w:p w14:paraId="5BD33A26">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11.1 .2技术标内容：</w:t>
      </w:r>
    </w:p>
    <w:p w14:paraId="6A410C1D">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1、工程概况及特点</w:t>
      </w:r>
    </w:p>
    <w:p w14:paraId="5B24BC48">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2、施工准备计划</w:t>
      </w:r>
    </w:p>
    <w:p w14:paraId="07ECAC5D">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3、施工方案</w:t>
      </w:r>
    </w:p>
    <w:p w14:paraId="7DCA602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4、施工进度计划</w:t>
      </w:r>
    </w:p>
    <w:p w14:paraId="53938A28">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5、施工平面图</w:t>
      </w:r>
    </w:p>
    <w:p w14:paraId="5EDF01A2">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6、劳动力用量计划</w:t>
      </w:r>
    </w:p>
    <w:p w14:paraId="39CE596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7、材料用量计划</w:t>
      </w:r>
    </w:p>
    <w:p w14:paraId="1FBEC166">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8、机械设备用量计划</w:t>
      </w:r>
    </w:p>
    <w:p w14:paraId="3557706C">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9、质量保证措施和体系</w:t>
      </w:r>
    </w:p>
    <w:p w14:paraId="547751E1">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10、工期保证措施和体系</w:t>
      </w:r>
    </w:p>
    <w:p w14:paraId="3F8A9BA5">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11、安全保证措施和体系</w:t>
      </w:r>
    </w:p>
    <w:p w14:paraId="1A7C0A22">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12、现场文明施工措施</w:t>
      </w:r>
    </w:p>
    <w:p w14:paraId="3168BCE5">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13、承诺</w:t>
      </w:r>
    </w:p>
    <w:p w14:paraId="2A44169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注：投标文件须按技术标格式目录顺序编写</w:t>
      </w:r>
      <w:r>
        <w:rPr>
          <w:rFonts w:hint="eastAsia" w:ascii="宋体" w:hAnsi="宋体" w:cs="宋体"/>
          <w:color w:val="000000" w:themeColor="text1"/>
          <w:sz w:val="24"/>
          <w:szCs w:val="24"/>
          <w:highlight w:val="none"/>
          <w:lang w:eastAsia="zh-CN"/>
          <w14:textFill>
            <w14:solidFill>
              <w14:schemeClr w14:val="tx1"/>
            </w14:solidFill>
          </w14:textFill>
        </w:rPr>
        <w:t>。</w:t>
      </w:r>
    </w:p>
    <w:p w14:paraId="7B600619">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11.1 .3经济标内容：</w:t>
      </w:r>
    </w:p>
    <w:p w14:paraId="603DEFB9">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经济标内容（</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以本工程的招标工程量清单为依据编制，需按正规经济标内容及磋商文件规定编制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50CFBE">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响应文件纸张要求</w:t>
      </w:r>
    </w:p>
    <w:p w14:paraId="4DA31839">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商务标、技术标、经济标</w:t>
      </w:r>
      <w:r>
        <w:rPr>
          <w:rFonts w:hint="eastAsia" w:ascii="宋体" w:hAnsi="宋体" w:eastAsia="宋体" w:cs="宋体"/>
          <w:color w:val="000000" w:themeColor="text1"/>
          <w:sz w:val="24"/>
          <w:szCs w:val="24"/>
          <w:highlight w:val="none"/>
          <w14:textFill>
            <w14:solidFill>
              <w14:schemeClr w14:val="tx1"/>
            </w14:solidFill>
          </w14:textFill>
        </w:rPr>
        <w:t>应采用A4打印纸。</w:t>
      </w:r>
    </w:p>
    <w:p w14:paraId="4EA74A64">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4" w:name="_Hlk54580125"/>
      <w:bookmarkEnd w:id="54"/>
      <w:bookmarkStart w:id="55" w:name="_Hlk40073499"/>
      <w:bookmarkEnd w:id="55"/>
      <w:bookmarkStart w:id="56" w:name="_Hlk64525193"/>
      <w:bookmarkEnd w:id="56"/>
      <w:bookmarkStart w:id="57" w:name="_Hlk40073498"/>
      <w:bookmarkEnd w:id="57"/>
      <w:bookmarkStart w:id="58" w:name="_Hlk40073500"/>
      <w:bookmarkEnd w:id="58"/>
      <w:bookmarkStart w:id="59" w:name="_Hlk54580126"/>
      <w:bookmarkEnd w:id="59"/>
      <w:bookmarkStart w:id="60" w:name="_Hlk54580127"/>
      <w:bookmarkEnd w:id="60"/>
      <w:bookmarkStart w:id="61" w:name="_Hlk64525192"/>
      <w:bookmarkEnd w:id="61"/>
      <w:bookmarkStart w:id="62" w:name="_Hlk64525194"/>
      <w:bookmarkEnd w:id="62"/>
      <w:r>
        <w:rPr>
          <w:rFonts w:hint="eastAsia" w:ascii="宋体" w:hAnsi="宋体" w:eastAsia="宋体" w:cs="宋体"/>
          <w:color w:val="000000" w:themeColor="text1"/>
          <w:sz w:val="24"/>
          <w:szCs w:val="24"/>
          <w:highlight w:val="none"/>
          <w14:textFill>
            <w14:solidFill>
              <w14:schemeClr w14:val="tx1"/>
            </w14:solidFill>
          </w14:textFill>
        </w:rPr>
        <w:t>11.3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响应文件书写要求</w:t>
      </w:r>
    </w:p>
    <w:p w14:paraId="59EF0493">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响应文件商务标、技术标、经济标采用打印方式书写。</w:t>
      </w:r>
    </w:p>
    <w:p w14:paraId="3A715431">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响应文件装订要求</w:t>
      </w:r>
    </w:p>
    <w:p w14:paraId="1178AACB">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3" w:name="_Hlk64525274"/>
      <w:bookmarkEnd w:id="63"/>
      <w:bookmarkStart w:id="64" w:name="_Hlk54580195"/>
      <w:bookmarkEnd w:id="64"/>
      <w:bookmarkStart w:id="65" w:name="_Hlk64525276"/>
      <w:bookmarkEnd w:id="65"/>
      <w:bookmarkStart w:id="66" w:name="_Hlk64525275"/>
      <w:bookmarkEnd w:id="66"/>
      <w:bookmarkStart w:id="67" w:name="_Hlk54580193"/>
      <w:bookmarkEnd w:id="67"/>
      <w:bookmarkStart w:id="68" w:name="_Hlk54580194"/>
      <w:bookmarkEnd w:id="68"/>
      <w:r>
        <w:rPr>
          <w:rFonts w:hint="eastAsia" w:ascii="宋体" w:hAnsi="宋体" w:eastAsia="宋体" w:cs="宋体"/>
          <w:color w:val="000000" w:themeColor="text1"/>
          <w:sz w:val="24"/>
          <w:szCs w:val="24"/>
          <w:highlight w:val="none"/>
          <w14:textFill>
            <w14:solidFill>
              <w14:schemeClr w14:val="tx1"/>
            </w14:solidFill>
          </w14:textFill>
        </w:rPr>
        <w:t>11.4.1</w:t>
      </w:r>
      <w:r>
        <w:rPr>
          <w:rFonts w:hint="eastAsia" w:ascii="宋体" w:hAnsi="宋体" w:eastAsia="宋体" w:cs="宋体"/>
          <w:bCs/>
          <w:color w:val="000000" w:themeColor="text1"/>
          <w:sz w:val="24"/>
          <w:szCs w:val="24"/>
          <w:highlight w:val="none"/>
          <w14:textFill>
            <w14:solidFill>
              <w14:schemeClr w14:val="tx1"/>
            </w14:solidFill>
          </w14:textFill>
        </w:rPr>
        <w:t>商务标、技术标、经济标必须分别装订成册。否则整个响应文件将被视为不响应磋商文件，而予以拒绝评审。</w:t>
      </w:r>
    </w:p>
    <w:p w14:paraId="6920D94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9" w:name="_Hlk40073578"/>
      <w:bookmarkEnd w:id="69"/>
      <w:bookmarkStart w:id="70" w:name="_Hlk40073576"/>
      <w:bookmarkEnd w:id="70"/>
      <w:bookmarkStart w:id="71" w:name="_Hlk40073613"/>
      <w:bookmarkEnd w:id="71"/>
      <w:bookmarkStart w:id="72" w:name="_Hlk40073577"/>
      <w:bookmarkEnd w:id="72"/>
      <w:bookmarkStart w:id="73" w:name="_Hlk40073612"/>
      <w:bookmarkEnd w:id="73"/>
      <w:bookmarkStart w:id="74" w:name="_Hlk40073623"/>
      <w:bookmarkEnd w:id="74"/>
      <w:bookmarkStart w:id="75" w:name="_Hlk40073622"/>
      <w:bookmarkEnd w:id="75"/>
      <w:bookmarkStart w:id="76" w:name="_Hlk40073624"/>
      <w:bookmarkEnd w:id="76"/>
      <w:bookmarkStart w:id="77" w:name="_Hlk40073614"/>
      <w:bookmarkEnd w:id="77"/>
      <w:r>
        <w:rPr>
          <w:rFonts w:hint="eastAsia" w:ascii="宋体" w:hAnsi="宋体" w:eastAsia="宋体" w:cs="宋体"/>
          <w:color w:val="000000" w:themeColor="text1"/>
          <w:sz w:val="24"/>
          <w:szCs w:val="24"/>
          <w:highlight w:val="none"/>
          <w14:textFill>
            <w14:solidFill>
              <w14:schemeClr w14:val="tx1"/>
            </w14:solidFill>
          </w14:textFill>
        </w:rPr>
        <w:t>11.4.2商务标、经济标、技术标应按封面、目录、正文顺序装订。</w:t>
      </w:r>
    </w:p>
    <w:p w14:paraId="3BB6270E">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响应文件字体要求</w:t>
      </w:r>
    </w:p>
    <w:p w14:paraId="53BCACC7">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响应文件商务标、技术标、经济标所采用的字体，以能够供评委识别看清为准。</w:t>
      </w:r>
    </w:p>
    <w:p w14:paraId="47FD170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11.6</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响应文件封面要求</w:t>
      </w:r>
    </w:p>
    <w:p w14:paraId="4712BA2D">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响应文件商务标、技术标、经济标封面宜按磋商文件规定格式编制。</w:t>
      </w:r>
    </w:p>
    <w:p w14:paraId="340D5AFE">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11.7</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响应文件目录要求</w:t>
      </w:r>
    </w:p>
    <w:p w14:paraId="41EF183A">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为便于评审，响应文件商务标、技术标、经济标目录宜按本磋商文件相关内容先后顺序编排。</w:t>
      </w:r>
    </w:p>
    <w:p w14:paraId="3443C491">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响应文件的份数和签署</w:t>
      </w:r>
    </w:p>
    <w:p w14:paraId="580E2994">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加密电子版投标文件（一份）在投标截止前上传至</w:t>
      </w:r>
      <w:r>
        <w:rPr>
          <w:rFonts w:hint="default" w:ascii="宋体" w:hAnsi="宋体" w:eastAsia="宋体" w:cs="宋体"/>
          <w:color w:val="000000" w:themeColor="text1"/>
          <w:sz w:val="24"/>
          <w:szCs w:val="24"/>
          <w:highlight w:val="none"/>
          <w:lang w:val="en-US" w:eastAsia="zh-CN"/>
          <w14:textFill>
            <w14:solidFill>
              <w14:schemeClr w14:val="tx1"/>
            </w14:solidFill>
          </w14:textFill>
        </w:rPr>
        <w:t>新疆政府采购网（http://www.ccgp-xinjiang.gov.cn/）</w:t>
      </w:r>
      <w:r>
        <w:rPr>
          <w:rFonts w:hint="eastAsia" w:ascii="宋体" w:hAnsi="宋体" w:eastAsia="宋体" w:cs="宋体"/>
          <w:color w:val="000000" w:themeColor="text1"/>
          <w:sz w:val="24"/>
          <w:szCs w:val="24"/>
          <w:highlight w:val="none"/>
          <w:lang w:val="en-US" w:eastAsia="zh-CN"/>
          <w14:textFill>
            <w14:solidFill>
              <w14:schemeClr w14:val="tx1"/>
            </w14:solidFill>
          </w14:textFill>
        </w:rPr>
        <w:t>，否则视为无效，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提供纸质版投标文件按以下要求签署</w:t>
      </w:r>
      <w:r>
        <w:rPr>
          <w:rFonts w:hint="eastAsia" w:ascii="宋体" w:hAnsi="宋体" w:cs="宋体"/>
          <w:color w:val="000000" w:themeColor="text1"/>
          <w:sz w:val="24"/>
          <w:szCs w:val="24"/>
          <w:highlight w:val="none"/>
          <w:lang w:eastAsia="zh-CN"/>
          <w14:textFill>
            <w14:solidFill>
              <w14:schemeClr w14:val="tx1"/>
            </w14:solidFill>
          </w14:textFill>
        </w:rPr>
        <w:t>。</w:t>
      </w:r>
    </w:p>
    <w:p w14:paraId="095A5939">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78" w:name="_Hlk64546848"/>
      <w:bookmarkEnd w:id="78"/>
      <w:bookmarkStart w:id="79" w:name="_Hlk39211640"/>
      <w:bookmarkEnd w:id="79"/>
      <w:bookmarkStart w:id="80" w:name="_Hlk64546847"/>
      <w:bookmarkEnd w:id="80"/>
      <w:bookmarkStart w:id="81" w:name="_Hlk64398587"/>
      <w:bookmarkEnd w:id="81"/>
      <w:bookmarkStart w:id="82" w:name="_Hlk56077600"/>
      <w:bookmarkEnd w:id="82"/>
      <w:bookmarkStart w:id="83" w:name="_Hlk64546849"/>
      <w:bookmarkEnd w:id="83"/>
      <w:bookmarkStart w:id="84" w:name="_Hlk56077599"/>
      <w:bookmarkEnd w:id="84"/>
      <w:bookmarkStart w:id="85" w:name="_Hlk64398585"/>
      <w:bookmarkEnd w:id="85"/>
      <w:bookmarkStart w:id="86" w:name="_Hlk64398586"/>
      <w:bookmarkEnd w:id="86"/>
      <w:bookmarkStart w:id="87" w:name="_Hlk39211638"/>
      <w:bookmarkEnd w:id="87"/>
      <w:bookmarkStart w:id="88" w:name="_Hlk39211639"/>
      <w:bookmarkEnd w:id="88"/>
      <w:bookmarkStart w:id="89" w:name="_Hlk56077598"/>
      <w:bookmarkEnd w:id="89"/>
      <w:r>
        <w:rPr>
          <w:rFonts w:hint="eastAsia" w:ascii="宋体" w:hAnsi="宋体" w:eastAsia="宋体" w:cs="宋体"/>
          <w:color w:val="000000" w:themeColor="text1"/>
          <w:sz w:val="24"/>
          <w:szCs w:val="24"/>
          <w:highlight w:val="none"/>
          <w14:textFill>
            <w14:solidFill>
              <w14:schemeClr w14:val="tx1"/>
            </w14:solidFill>
          </w14:textFill>
        </w:rPr>
        <w:t>11.8.1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应按</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须知前附表</w:t>
      </w:r>
      <w:bookmarkStart w:id="90" w:name="_Hlt38090346"/>
      <w:bookmarkEnd w:id="90"/>
      <w:bookmarkStart w:id="91" w:name="_Hlt19040430"/>
      <w:bookmarkEnd w:id="91"/>
      <w:bookmarkStart w:id="92" w:name="_Hlt39211642"/>
      <w:bookmarkEnd w:id="92"/>
      <w:bookmarkStart w:id="93" w:name="_Hlt39573761"/>
      <w:bookmarkEnd w:id="93"/>
      <w:bookmarkStart w:id="94" w:name="_Hlt38090323"/>
      <w:bookmarkEnd w:id="94"/>
      <w:bookmarkStart w:id="95" w:name="_Hlt19040661"/>
      <w:bookmarkEnd w:id="95"/>
      <w:bookmarkStart w:id="96" w:name="_Hlt18988603"/>
      <w:bookmarkEnd w:id="96"/>
      <w:bookmarkStart w:id="97" w:name="_Hlt19071243"/>
      <w:bookmarkEnd w:id="97"/>
      <w:bookmarkStart w:id="98" w:name="_Hlt38090339"/>
      <w:bookmarkEnd w:id="98"/>
      <w:bookmarkStart w:id="99" w:name="_Hlt18988738"/>
      <w:bookmarkEnd w:id="99"/>
      <w:bookmarkStart w:id="100" w:name="_Hlt64546867"/>
      <w:bookmarkEnd w:id="100"/>
      <w:bookmarkStart w:id="101" w:name="_Hlt38281763"/>
      <w:bookmarkEnd w:id="101"/>
      <w:bookmarkStart w:id="102" w:name="_Hlt64398617"/>
      <w:bookmarkEnd w:id="102"/>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"_Hlk18988600"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bookmarkStart w:id="103" w:name="_Hlt64398813"/>
      <w:bookmarkEnd w:id="103"/>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u w:val="single"/>
          <w14:textFill>
            <w14:solidFill>
              <w14:schemeClr w14:val="tx1"/>
            </w14:solidFill>
          </w14:textFill>
        </w:rPr>
        <w:t>款项规定，编制响应文件</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正本</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和</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副本</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份数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087D63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04" w:name="_Hlk54581279"/>
      <w:bookmarkEnd w:id="104"/>
      <w:bookmarkStart w:id="105" w:name="_Hlk72641331"/>
      <w:bookmarkEnd w:id="105"/>
      <w:bookmarkStart w:id="106" w:name="_Hlk72641069"/>
      <w:bookmarkEnd w:id="106"/>
      <w:bookmarkStart w:id="107" w:name="_Hlk72641330"/>
      <w:bookmarkEnd w:id="107"/>
      <w:bookmarkStart w:id="108" w:name="_Hlk64545794"/>
      <w:bookmarkEnd w:id="108"/>
      <w:bookmarkStart w:id="109" w:name="_Hlk64545795"/>
      <w:bookmarkEnd w:id="109"/>
      <w:bookmarkStart w:id="110" w:name="_Hlk64545793"/>
      <w:bookmarkEnd w:id="110"/>
      <w:bookmarkStart w:id="111" w:name="_Hlk64525471"/>
      <w:bookmarkEnd w:id="111"/>
      <w:bookmarkStart w:id="112" w:name="_Hlk40073910"/>
      <w:bookmarkEnd w:id="112"/>
      <w:bookmarkStart w:id="113" w:name="_Hlk40073911"/>
      <w:bookmarkEnd w:id="113"/>
      <w:bookmarkStart w:id="114" w:name="_Hlk54581278"/>
      <w:bookmarkEnd w:id="114"/>
      <w:bookmarkStart w:id="115" w:name="_Hlk72641068"/>
      <w:bookmarkEnd w:id="115"/>
      <w:bookmarkStart w:id="116" w:name="_Hlk54579899"/>
      <w:bookmarkEnd w:id="116"/>
      <w:bookmarkStart w:id="117" w:name="_Hlk40073912"/>
      <w:bookmarkEnd w:id="117"/>
      <w:bookmarkStart w:id="118" w:name="_Hlk64525473"/>
      <w:bookmarkEnd w:id="118"/>
      <w:bookmarkStart w:id="119" w:name="_Hlk54581277"/>
      <w:bookmarkEnd w:id="119"/>
      <w:bookmarkStart w:id="120" w:name="_Hlk72641332"/>
      <w:bookmarkEnd w:id="120"/>
      <w:bookmarkStart w:id="121" w:name="_Hlk54579898"/>
      <w:bookmarkEnd w:id="121"/>
      <w:bookmarkStart w:id="122" w:name="_Hlk64525472"/>
      <w:bookmarkEnd w:id="122"/>
      <w:bookmarkStart w:id="123" w:name="_Hlk72641070"/>
      <w:bookmarkEnd w:id="123"/>
      <w:bookmarkStart w:id="124" w:name="_Hlk54579900"/>
      <w:bookmarkEnd w:id="124"/>
      <w:r>
        <w:rPr>
          <w:rFonts w:hint="eastAsia" w:ascii="宋体" w:hAnsi="宋体" w:eastAsia="宋体" w:cs="宋体"/>
          <w:color w:val="000000" w:themeColor="text1"/>
          <w:sz w:val="24"/>
          <w:szCs w:val="24"/>
          <w:highlight w:val="none"/>
          <w14:textFill>
            <w14:solidFill>
              <w14:schemeClr w14:val="tx1"/>
            </w14:solidFill>
          </w14:textFill>
        </w:rPr>
        <w:t>11.8.2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商务标、技术标、经济标封面右上角必须注明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正本</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副本</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字样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74B17A1">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11.8.3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商务标、技术标、经济标凡是要求盖</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章、法定代表人或授权代理人章处，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必须加盖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99151A3">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5" w:name="_Hlk40073787"/>
      <w:bookmarkEnd w:id="125"/>
      <w:bookmarkStart w:id="126" w:name="_Hlk54580742"/>
      <w:bookmarkEnd w:id="126"/>
      <w:bookmarkStart w:id="127" w:name="_Hlk40073788"/>
      <w:bookmarkEnd w:id="127"/>
      <w:bookmarkStart w:id="128" w:name="_Hlk64544613"/>
      <w:bookmarkEnd w:id="128"/>
      <w:bookmarkStart w:id="129" w:name="_Hlk131417276"/>
      <w:bookmarkEnd w:id="129"/>
      <w:bookmarkStart w:id="130" w:name="_Hlk54580744"/>
      <w:bookmarkEnd w:id="130"/>
      <w:bookmarkStart w:id="131" w:name="_Hlk131417275"/>
      <w:bookmarkEnd w:id="131"/>
      <w:bookmarkStart w:id="132" w:name="_Hlk64544614"/>
      <w:bookmarkEnd w:id="132"/>
      <w:bookmarkStart w:id="133" w:name="_Hlk64544612"/>
      <w:bookmarkEnd w:id="133"/>
      <w:bookmarkStart w:id="134" w:name="_Hlk131417274"/>
      <w:bookmarkEnd w:id="134"/>
      <w:bookmarkStart w:id="135" w:name="_Hlk40073789"/>
      <w:bookmarkEnd w:id="135"/>
      <w:bookmarkStart w:id="136" w:name="_Hlk54580743"/>
      <w:bookmarkEnd w:id="136"/>
      <w:r>
        <w:rPr>
          <w:rFonts w:hint="eastAsia" w:ascii="宋体" w:hAnsi="宋体" w:eastAsia="宋体" w:cs="宋体"/>
          <w:color w:val="000000" w:themeColor="text1"/>
          <w:sz w:val="24"/>
          <w:szCs w:val="24"/>
          <w:highlight w:val="none"/>
          <w14:textFill>
            <w14:solidFill>
              <w14:schemeClr w14:val="tx1"/>
            </w14:solidFill>
          </w14:textFill>
        </w:rPr>
        <w:t>11.8.4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投标总价要求</w:t>
      </w:r>
      <w:r>
        <w:rPr>
          <w:rFonts w:hint="eastAsia" w:ascii="宋体" w:hAnsi="宋体" w:eastAsia="宋体" w:cs="宋体"/>
          <w:color w:val="000000" w:themeColor="text1"/>
          <w:sz w:val="24"/>
          <w:szCs w:val="24"/>
          <w:highlight w:val="none"/>
          <w:lang w:eastAsia="zh-CN"/>
          <w14:textFill>
            <w14:solidFill>
              <w14:schemeClr w14:val="tx1"/>
            </w14:solidFill>
          </w14:textFill>
        </w:rPr>
        <w:t>加盖投标单位</w:t>
      </w:r>
      <w:r>
        <w:rPr>
          <w:rFonts w:hint="eastAsia" w:ascii="宋体" w:hAnsi="宋体" w:eastAsia="宋体" w:cs="宋体"/>
          <w:color w:val="000000" w:themeColor="text1"/>
          <w:sz w:val="24"/>
          <w:szCs w:val="24"/>
          <w:highlight w:val="none"/>
          <w14:textFill>
            <w14:solidFill>
              <w14:schemeClr w14:val="tx1"/>
            </w14:solidFill>
          </w14:textFill>
        </w:rPr>
        <w:t>章、法定代表人或授权代理人章、造价人员章处，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必须加盖。</w:t>
      </w:r>
    </w:p>
    <w:p w14:paraId="0370CC67">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11.9</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响应文件正本和副本如有不一致之处，以正本为准。</w:t>
      </w:r>
    </w:p>
    <w:p w14:paraId="2DF05BD9">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37" w:name="_Hlk64544688"/>
      <w:bookmarkEnd w:id="137"/>
      <w:bookmarkStart w:id="138" w:name="_Hlk64544689"/>
      <w:bookmarkEnd w:id="138"/>
      <w:bookmarkStart w:id="139" w:name="_Hlk64544687"/>
      <w:bookmarkEnd w:id="139"/>
      <w:r>
        <w:rPr>
          <w:rFonts w:hint="eastAsia" w:ascii="宋体" w:hAnsi="宋体" w:eastAsia="宋体" w:cs="宋体"/>
          <w:color w:val="000000" w:themeColor="text1"/>
          <w:sz w:val="24"/>
          <w:szCs w:val="24"/>
          <w:highlight w:val="none"/>
          <w14:textFill>
            <w14:solidFill>
              <w14:schemeClr w14:val="tx1"/>
            </w14:solidFill>
          </w14:textFill>
        </w:rPr>
        <w:t>全套响应文件应无涂改和行间插字，除非这些删改是根据</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的指示进行的，或者是</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造成的必须修改的错误。修改处应加盖法定代表人或授权代理人章。但技术标、经济标严禁涂改和行间插字。</w:t>
      </w:r>
    </w:p>
    <w:p w14:paraId="7EB93864">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响应文件的密封与标志</w:t>
      </w:r>
    </w:p>
    <w:p w14:paraId="7529A3B0">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必须</w:t>
      </w:r>
      <w:r>
        <w:rPr>
          <w:rFonts w:hint="eastAsia" w:ascii="宋体" w:hAnsi="宋体" w:eastAsia="宋体" w:cs="宋体"/>
          <w:color w:val="000000" w:themeColor="text1"/>
          <w:sz w:val="24"/>
          <w:szCs w:val="24"/>
          <w:highlight w:val="none"/>
          <w:lang w:eastAsia="zh-CN"/>
          <w14:textFill>
            <w14:solidFill>
              <w14:schemeClr w14:val="tx1"/>
            </w14:solidFill>
          </w14:textFill>
        </w:rPr>
        <w:t>严格按照</w:t>
      </w:r>
      <w:r>
        <w:rPr>
          <w:rFonts w:hint="eastAsia" w:ascii="宋体" w:hAnsi="宋体" w:eastAsia="宋体" w:cs="宋体"/>
          <w:color w:val="000000" w:themeColor="text1"/>
          <w:sz w:val="24"/>
          <w:szCs w:val="24"/>
          <w:highlight w:val="none"/>
          <w14:textFill>
            <w14:solidFill>
              <w14:schemeClr w14:val="tx1"/>
            </w14:solidFill>
          </w14:textFill>
        </w:rPr>
        <w:t>商务标、技术标、经济标</w:t>
      </w:r>
      <w:r>
        <w:rPr>
          <w:rFonts w:hint="eastAsia" w:ascii="宋体" w:hAnsi="宋体" w:eastAsia="宋体" w:cs="宋体"/>
          <w:color w:val="000000" w:themeColor="text1"/>
          <w:sz w:val="24"/>
          <w:szCs w:val="24"/>
          <w:highlight w:val="none"/>
          <w:lang w:eastAsia="zh-CN"/>
          <w14:textFill>
            <w14:solidFill>
              <w14:schemeClr w14:val="tx1"/>
            </w14:solidFill>
          </w14:textFill>
        </w:rPr>
        <w:t>顺序制作电子版投标文件，并上传至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新疆政府采购网政采云平台。</w:t>
      </w:r>
    </w:p>
    <w:p w14:paraId="18FEAD1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12．磋商响应文件格式</w:t>
      </w:r>
    </w:p>
    <w:p w14:paraId="07C03DC1">
      <w:pPr>
        <w:pageBreakBefore w:val="0"/>
        <w:kinsoku/>
        <w:wordWrap/>
        <w:overflowPunct/>
        <w:autoSpaceDE/>
        <w:autoSpaceDN/>
        <w:bidi w:val="0"/>
        <w:adjustRightInd/>
        <w:snapToGrid/>
        <w:spacing w:line="480" w:lineRule="exact"/>
        <w:ind w:left="599" w:leftChars="228" w:hanging="120" w:hangingChars="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应按磋商文件的范本格式中提供的磋商响应文件格式填写响应文件。</w:t>
      </w:r>
    </w:p>
    <w:p w14:paraId="77D6564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13．投标报价</w:t>
      </w:r>
    </w:p>
    <w:p w14:paraId="7AC0D49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13.1除本磋商文件另有规定外，</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应按磋商文件所附相应的投标一览表格式标明拟提供服务的单价和总价等内容。报价以人民币报价，不接受有任何选择性报价。</w:t>
      </w:r>
    </w:p>
    <w:p w14:paraId="0E3EB60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投标报价应注意下列要求：</w:t>
      </w:r>
    </w:p>
    <w:p w14:paraId="179BA4F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投标报价应包括实施该项目涵盖的所有费用。</w:t>
      </w:r>
    </w:p>
    <w:p w14:paraId="5ADA84A4">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算术性修正。算术性修正是指对磋商响应文件的报价明细进行校核，并对其算术上和运算上的差错给予修正。修正的原则如下：</w:t>
      </w:r>
    </w:p>
    <w:p w14:paraId="333F55D0">
      <w:pPr>
        <w:pageBreakBefore w:val="0"/>
        <w:kinsoku/>
        <w:wordWrap/>
        <w:overflowPunct/>
        <w:autoSpaceDE/>
        <w:autoSpaceDN/>
        <w:bidi w:val="0"/>
        <w:adjustRightInd/>
        <w:snapToGrid/>
        <w:spacing w:line="480" w:lineRule="exact"/>
        <w:ind w:left="720" w:hanging="720" w:hanging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13.3.1 当以数字表示的金额与文字表示的金额有差异时，以文字表示的金额为准；</w:t>
      </w:r>
    </w:p>
    <w:p w14:paraId="57C50F73">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13.3.2 当单价与数量相乘不等于合价时，以单价计算为准。如果单价有明显的小数点位置差错，应以标出的合价为准，同时对单价予以修正；</w:t>
      </w:r>
    </w:p>
    <w:p w14:paraId="10EF1A16">
      <w:pPr>
        <w:pageBreakBefore w:val="0"/>
        <w:kinsoku/>
        <w:wordWrap/>
        <w:overflowPunct/>
        <w:autoSpaceDE/>
        <w:autoSpaceDN/>
        <w:bidi w:val="0"/>
        <w:adjustRightInd/>
        <w:snapToGrid/>
        <w:spacing w:line="480" w:lineRule="exact"/>
        <w:ind w:left="720" w:hanging="720" w:hangingChars="3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13.3.3 当各明细部分的价格累计不等于合价时，应以各明细的累计计数为准，修正合价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B99B0A">
      <w:pPr>
        <w:pageBreakBefore w:val="0"/>
        <w:tabs>
          <w:tab w:val="left" w:pos="540"/>
          <w:tab w:val="left" w:pos="900"/>
          <w:tab w:val="left" w:pos="1080"/>
        </w:tabs>
        <w:kinsoku/>
        <w:wordWrap/>
        <w:overflowPunct/>
        <w:autoSpaceDE/>
        <w:autoSpaceDN/>
        <w:bidi w:val="0"/>
        <w:adjustRightInd/>
        <w:snapToGrid/>
        <w:spacing w:line="480" w:lineRule="exact"/>
        <w:ind w:left="480" w:hanging="480" w:hanging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13.3.4 按以上原则对算术性差错修正，应取得</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的同意，并确认修正后最终投标价。如果</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拒绝确认，则其磋商响应文件将不予以评审并按废标处理，没收其投标担保。</w:t>
      </w:r>
    </w:p>
    <w:p w14:paraId="2088D63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14．投标货币</w:t>
      </w:r>
    </w:p>
    <w:p w14:paraId="49AB5DB8">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人民币报价。</w:t>
      </w:r>
    </w:p>
    <w:p w14:paraId="2BAB543C">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szCs w:val="24"/>
          <w:highlight w:val="none"/>
          <w14:textFill>
            <w14:solidFill>
              <w14:schemeClr w14:val="tx1"/>
            </w14:solidFill>
          </w14:textFill>
        </w:rPr>
        <w:t>的证明文件：</w:t>
      </w:r>
    </w:p>
    <w:p w14:paraId="5DBE548A">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Cs/>
          <w:color w:val="000000" w:themeColor="text1"/>
          <w:spacing w:val="8"/>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szCs w:val="24"/>
          <w:highlight w:val="none"/>
          <w14:textFill>
            <w14:solidFill>
              <w14:schemeClr w14:val="tx1"/>
            </w14:solidFill>
          </w14:textFill>
        </w:rPr>
        <w:t>必须提交证明其有资格进行投标和有能力履行合同的文件（范本格式），作为磋商响应文件的一部分。</w:t>
      </w:r>
    </w:p>
    <w:p w14:paraId="708D0364">
      <w:pPr>
        <w:pageBreakBefore w:val="0"/>
        <w:kinsoku/>
        <w:wordWrap/>
        <w:overflowPunct/>
        <w:autoSpaceDE/>
        <w:autoSpaceDN/>
        <w:bidi w:val="0"/>
        <w:adjustRightInd/>
        <w:snapToGrid/>
        <w:spacing w:line="480" w:lineRule="exact"/>
        <w:ind w:left="73" w:leftChars="35"/>
        <w:textAlignment w:val="auto"/>
        <w:rPr>
          <w:rFonts w:hint="eastAsia" w:ascii="宋体" w:hAnsi="宋体" w:eastAsia="宋体" w:cs="宋体"/>
          <w:b/>
          <w:color w:val="000000" w:themeColor="text1"/>
          <w:spacing w:val="8"/>
          <w:sz w:val="24"/>
          <w:szCs w:val="24"/>
          <w:highlight w:val="none"/>
          <w14:textFill>
            <w14:solidFill>
              <w14:schemeClr w14:val="tx1"/>
            </w14:solidFill>
          </w14:textFill>
        </w:rPr>
      </w:pPr>
      <w:r>
        <w:rPr>
          <w:rFonts w:hint="eastAsia" w:ascii="宋体" w:hAnsi="宋体" w:eastAsia="宋体" w:cs="宋体"/>
          <w:b/>
          <w:color w:val="000000" w:themeColor="text1"/>
          <w:spacing w:val="8"/>
          <w:sz w:val="24"/>
          <w:szCs w:val="24"/>
          <w:highlight w:val="none"/>
          <w14:textFill>
            <w14:solidFill>
              <w14:schemeClr w14:val="tx1"/>
            </w14:solidFill>
          </w14:textFill>
        </w:rPr>
        <w:t>注：（1）磋商响应文件中，所有</w:t>
      </w:r>
      <w:r>
        <w:rPr>
          <w:rFonts w:hint="eastAsia" w:ascii="宋体" w:hAnsi="宋体" w:eastAsia="宋体" w:cs="宋体"/>
          <w:b/>
          <w:color w:val="000000" w:themeColor="text1"/>
          <w:spacing w:val="8"/>
          <w:sz w:val="24"/>
          <w:szCs w:val="24"/>
          <w:highlight w:val="none"/>
          <w:lang w:eastAsia="zh-CN"/>
          <w14:textFill>
            <w14:solidFill>
              <w14:schemeClr w14:val="tx1"/>
            </w14:solidFill>
          </w14:textFill>
        </w:rPr>
        <w:t>投标单位</w:t>
      </w:r>
      <w:r>
        <w:rPr>
          <w:rFonts w:hint="eastAsia" w:ascii="宋体" w:hAnsi="宋体" w:eastAsia="宋体" w:cs="宋体"/>
          <w:b/>
          <w:color w:val="000000" w:themeColor="text1"/>
          <w:spacing w:val="8"/>
          <w:sz w:val="24"/>
          <w:szCs w:val="24"/>
          <w:highlight w:val="none"/>
          <w14:textFill>
            <w14:solidFill>
              <w14:schemeClr w14:val="tx1"/>
            </w14:solidFill>
          </w14:textFill>
        </w:rPr>
        <w:t>签字、法人代表签字、法人代表授权人签字和其它签字处须同时加盖有关有法律效力的印章方为有效；</w:t>
      </w:r>
    </w:p>
    <w:p w14:paraId="3A7FCE30">
      <w:pPr>
        <w:pageBreakBefore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（2）所有资格证明文件必须满足磋商文件要求，否则将导致废标。</w:t>
      </w:r>
    </w:p>
    <w:p w14:paraId="07423D5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投标服务符合磋商文件规定的技术响应文件</w:t>
      </w:r>
    </w:p>
    <w:p w14:paraId="6ABAE5C1">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须提交证明拟供服务符合磋商文件规定的技术响应文件，作为磋商响应文件的一部分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91764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16.2上述文件可以是文字资料、图纸和数据，没有按要求提供资料或提供资料不完全，将是对本次招标没有作出实质性响应，其风险由</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自行承担。</w:t>
      </w:r>
    </w:p>
    <w:p w14:paraId="6F06EA8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17．投标的有效期</w:t>
      </w:r>
    </w:p>
    <w:p w14:paraId="4F14AFE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r>
        <w:rPr>
          <w:rFonts w:hint="eastAsia" w:ascii="宋体" w:hAnsi="宋体" w:eastAsia="宋体" w:cs="宋体"/>
          <w:b/>
          <w:color w:val="000000" w:themeColor="text1"/>
          <w:sz w:val="24"/>
          <w:szCs w:val="24"/>
          <w:highlight w:val="none"/>
          <w14:textFill>
            <w14:solidFill>
              <w14:schemeClr w14:val="tx1"/>
            </w14:solidFill>
          </w14:textFill>
        </w:rPr>
        <w:t xml:space="preserve"> 磋商响应文件从开标之日起，投标有效期为60天</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（如不满足将导致废标）</w:t>
      </w:r>
    </w:p>
    <w:p w14:paraId="388260D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在特殊情况下，招标代理机构可与</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商量延长磋商响应文件的有效期。</w:t>
      </w:r>
    </w:p>
    <w:p w14:paraId="5251F57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18．磋商响应文件的书写要求。</w:t>
      </w:r>
    </w:p>
    <w:p w14:paraId="4BC64B1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 磋商响应文件</w:t>
      </w:r>
      <w:r>
        <w:rPr>
          <w:rFonts w:hint="eastAsia" w:ascii="宋体" w:hAnsi="宋体" w:cs="宋体"/>
          <w:color w:val="000000" w:themeColor="text1"/>
          <w:sz w:val="24"/>
          <w:szCs w:val="24"/>
          <w:highlight w:val="none"/>
          <w:lang w:eastAsia="zh-CN"/>
          <w14:textFill>
            <w14:solidFill>
              <w14:schemeClr w14:val="tx1"/>
            </w14:solidFill>
          </w14:textFill>
        </w:rPr>
        <w:t>按格式要求编制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BC28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 磋商响应文件应清楚工整，修改处应由投标全权代表签章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2CB322">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18.3磋商响应文件应由法人代表或法人授权代表在凡规定签章处逐一签署及加盖单位的公章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DA148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18.4电报、电话、传真形式的投标概不接受</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316CF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18.5磋商响应文件的份数：</w:t>
      </w:r>
      <w:r>
        <w:rPr>
          <w:rFonts w:hint="eastAsia"/>
          <w:b w:val="0"/>
          <w:bCs/>
          <w:color w:val="000000" w:themeColor="text1"/>
          <w:sz w:val="24"/>
          <w:szCs w:val="24"/>
          <w:highlight w:val="none"/>
          <w:lang w:eastAsia="zh-CN"/>
          <w14:textFill>
            <w14:solidFill>
              <w14:schemeClr w14:val="tx1"/>
            </w14:solidFill>
          </w14:textFill>
        </w:rPr>
        <w:t>加密电子版投标文件（一份）在投标截止前上传至</w:t>
      </w:r>
      <w:r>
        <w:rPr>
          <w:rFonts w:hint="default"/>
          <w:b w:val="0"/>
          <w:bCs/>
          <w:color w:val="000000" w:themeColor="text1"/>
          <w:sz w:val="24"/>
          <w:szCs w:val="24"/>
          <w:highlight w:val="none"/>
          <w:lang w:val="en-US" w:eastAsia="zh-CN"/>
          <w14:textFill>
            <w14:solidFill>
              <w14:schemeClr w14:val="tx1"/>
            </w14:solidFill>
          </w14:textFill>
        </w:rPr>
        <w:t>新疆政府采购网（http://www.ccgp-xinjiang.gov.cn/）</w:t>
      </w:r>
      <w:r>
        <w:rPr>
          <w:rFonts w:hint="eastAsia"/>
          <w:b w:val="0"/>
          <w:bCs/>
          <w:color w:val="000000" w:themeColor="text1"/>
          <w:sz w:val="24"/>
          <w:szCs w:val="24"/>
          <w:highlight w:val="none"/>
          <w:lang w:val="en-US" w:eastAsia="zh-CN"/>
          <w14:textFill>
            <w14:solidFill>
              <w14:schemeClr w14:val="tx1"/>
            </w14:solidFill>
          </w14:textFill>
        </w:rPr>
        <w:t>，否则视为无效。</w:t>
      </w:r>
    </w:p>
    <w:p w14:paraId="7149796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19．投标保证金</w:t>
      </w:r>
    </w:p>
    <w:p w14:paraId="71FD24D1">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19.1于投标截止时间前向招标代理机构交纳投标保证金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C2706A1">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19.2本次招标不接受现金作为投标保证金，投标保证金有效期应当与投标有效期一致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4583EA5">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19.3投标保证金的退还时间：</w:t>
      </w:r>
    </w:p>
    <w:p w14:paraId="12A227D1">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通知书发出后5个工作日内退还未中标</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的投标保证金，在</w:t>
      </w:r>
      <w:r>
        <w:rPr>
          <w:rFonts w:hint="eastAsia" w:ascii="宋体" w:hAnsi="宋体" w:eastAsia="宋体" w:cs="宋体"/>
          <w:color w:val="000000" w:themeColor="text1"/>
          <w:sz w:val="24"/>
          <w:szCs w:val="24"/>
          <w:highlight w:val="none"/>
          <w:lang w:eastAsia="zh-CN"/>
          <w14:textFill>
            <w14:solidFill>
              <w14:schemeClr w14:val="tx1"/>
            </w14:solidFill>
          </w14:textFill>
        </w:rPr>
        <w:t>施工</w:t>
      </w:r>
      <w:r>
        <w:rPr>
          <w:rFonts w:hint="eastAsia" w:ascii="宋体" w:hAnsi="宋体" w:eastAsia="宋体" w:cs="宋体"/>
          <w:color w:val="000000" w:themeColor="text1"/>
          <w:sz w:val="24"/>
          <w:szCs w:val="24"/>
          <w:highlight w:val="none"/>
          <w14:textFill>
            <w14:solidFill>
              <w14:schemeClr w14:val="tx1"/>
            </w14:solidFill>
          </w14:textFill>
        </w:rPr>
        <w:t>合同签订后5个工作日内退还中标</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的投标保证金。</w:t>
      </w:r>
    </w:p>
    <w:p w14:paraId="1DB02993">
      <w:pPr>
        <w:pageBreakBefore w:val="0"/>
        <w:kinsoku/>
        <w:wordWrap/>
        <w:overflowPunct/>
        <w:autoSpaceDE/>
        <w:autoSpaceDN/>
        <w:bidi w:val="0"/>
        <w:adjustRightInd/>
        <w:snapToGrid/>
        <w:spacing w:line="48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9.4未按规定提交投标保证金的投标，将被视为投标无效。</w:t>
      </w:r>
    </w:p>
    <w:p w14:paraId="73D42E67">
      <w:pPr>
        <w:pStyle w:val="12"/>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19.5下列任何情况发生时，投标保证金将被没收：</w:t>
      </w:r>
    </w:p>
    <w:p w14:paraId="7BB04F7D">
      <w:pPr>
        <w:pStyle w:val="12"/>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19.5.1</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在磋商文件规定的投标有效期内撤回其投标；</w:t>
      </w:r>
    </w:p>
    <w:p w14:paraId="4088F61F">
      <w:pPr>
        <w:pStyle w:val="12"/>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19.5.2成交方在规定期限内未能：</w:t>
      </w:r>
    </w:p>
    <w:p w14:paraId="40A0EFD6">
      <w:pPr>
        <w:pStyle w:val="12"/>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19.5.2.1按本须知第3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条规定签订合同； </w:t>
      </w:r>
    </w:p>
    <w:p w14:paraId="2D820F47">
      <w:pPr>
        <w:pStyle w:val="12"/>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19.5.2.2按须知第3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条向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提交履约保证金；</w:t>
      </w:r>
    </w:p>
    <w:p w14:paraId="339F8362">
      <w:pPr>
        <w:pStyle w:val="12"/>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19.5.2.3按本须知第3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条规定向招标代理机构交纳招标代理服务费。</w:t>
      </w:r>
    </w:p>
    <w:p w14:paraId="327C7F4F">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bookmarkStart w:id="140" w:name="_Toc349637923"/>
      <w:bookmarkStart w:id="141" w:name="_Toc267301285"/>
      <w:bookmarkStart w:id="142" w:name="_Toc298240408"/>
      <w:bookmarkStart w:id="143" w:name="_Toc527642955"/>
      <w:bookmarkStart w:id="144" w:name="_Toc349573124"/>
      <w:r>
        <w:rPr>
          <w:rFonts w:hint="eastAsia" w:ascii="宋体" w:hAnsi="宋体" w:eastAsia="宋体" w:cs="宋体"/>
          <w:color w:val="000000" w:themeColor="text1"/>
          <w:sz w:val="28"/>
          <w:szCs w:val="28"/>
          <w:highlight w:val="none"/>
          <w14:textFill>
            <w14:solidFill>
              <w14:schemeClr w14:val="tx1"/>
            </w14:solidFill>
          </w14:textFill>
        </w:rPr>
        <w:t>D  磋商响应文件的递交</w:t>
      </w:r>
      <w:bookmarkEnd w:id="140"/>
      <w:bookmarkEnd w:id="141"/>
      <w:bookmarkEnd w:id="142"/>
      <w:bookmarkEnd w:id="143"/>
      <w:bookmarkEnd w:id="144"/>
    </w:p>
    <w:p w14:paraId="60196167">
      <w:pPr>
        <w:pageBreakBefore w:val="0"/>
        <w:numPr>
          <w:ilvl w:val="0"/>
          <w:numId w:val="7"/>
        </w:numPr>
        <w:kinsoku/>
        <w:wordWrap/>
        <w:overflowPunct/>
        <w:autoSpaceDE/>
        <w:autoSpaceDN/>
        <w:bidi w:val="0"/>
        <w:adjustRightInd/>
        <w:snapToGrid/>
        <w:spacing w:line="480" w:lineRule="exact"/>
        <w:ind w:left="600" w:hanging="600" w:hangingChars="25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磋商文件装订要求：</w:t>
      </w:r>
      <w:r>
        <w:rPr>
          <w:rFonts w:hint="eastAsia" w:ascii="宋体" w:hAnsi="宋体" w:cs="宋体"/>
          <w:color w:val="000000" w:themeColor="text1"/>
          <w:sz w:val="24"/>
          <w:highlight w:val="none"/>
          <w:lang w:eastAsia="zh-CN"/>
          <w14:textFill>
            <w14:solidFill>
              <w14:schemeClr w14:val="tx1"/>
            </w14:solidFill>
          </w14:textFill>
        </w:rPr>
        <w:t>中标单位提供纸质版</w:t>
      </w:r>
      <w:r>
        <w:rPr>
          <w:rFonts w:hint="eastAsia" w:ascii="宋体" w:hAnsi="宋体" w:eastAsia="宋体" w:cs="宋体"/>
          <w:color w:val="000000" w:themeColor="text1"/>
          <w:sz w:val="24"/>
          <w:highlight w:val="none"/>
          <w14:textFill>
            <w14:solidFill>
              <w14:schemeClr w14:val="tx1"/>
            </w14:solidFill>
          </w14:textFill>
        </w:rPr>
        <w:t>磋商响应响应文件要求不得活页装订。</w:t>
      </w:r>
    </w:p>
    <w:p w14:paraId="568FADDC">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磋商响应文件递交截止时间</w:t>
      </w:r>
    </w:p>
    <w:p w14:paraId="18937616">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21.1 磋商响应文件递交</w:t>
      </w:r>
      <w:r>
        <w:rPr>
          <w:rFonts w:hint="eastAsia" w:ascii="宋体" w:hAnsi="宋体" w:cs="宋体"/>
          <w:color w:val="000000" w:themeColor="text1"/>
          <w:sz w:val="24"/>
          <w:szCs w:val="22"/>
          <w:highlight w:val="none"/>
          <w:lang w:eastAsia="zh-CN"/>
          <w14:textFill>
            <w14:solidFill>
              <w14:schemeClr w14:val="tx1"/>
            </w14:solidFill>
          </w14:textFill>
        </w:rPr>
        <w:t>的</w:t>
      </w:r>
      <w:r>
        <w:rPr>
          <w:rFonts w:hint="eastAsia" w:ascii="宋体" w:hAnsi="宋体" w:eastAsia="宋体" w:cs="宋体"/>
          <w:color w:val="000000" w:themeColor="text1"/>
          <w:sz w:val="24"/>
          <w:szCs w:val="22"/>
          <w:highlight w:val="none"/>
          <w14:textFill>
            <w14:solidFill>
              <w14:schemeClr w14:val="tx1"/>
            </w14:solidFill>
          </w14:textFill>
        </w:rPr>
        <w:t>截止时间：</w:t>
      </w:r>
      <w:r>
        <w:rPr>
          <w:rFonts w:hint="eastAsia" w:ascii="宋体" w:hAnsi="宋体" w:eastAsia="宋体" w:cs="宋体"/>
          <w:color w:val="000000" w:themeColor="text1"/>
          <w:sz w:val="24"/>
          <w:szCs w:val="22"/>
          <w:highlight w:val="none"/>
          <w:lang w:eastAsia="zh-CN"/>
          <w14:textFill>
            <w14:solidFill>
              <w14:schemeClr w14:val="tx1"/>
            </w14:solidFill>
          </w14:textFill>
        </w:rPr>
        <w:t>见投标须知前附表。</w:t>
      </w:r>
    </w:p>
    <w:p w14:paraId="1784CB37">
      <w:pPr>
        <w:pageBreakBefore w:val="0"/>
        <w:kinsoku/>
        <w:wordWrap/>
        <w:overflowPunct/>
        <w:autoSpaceDE/>
        <w:autoSpaceDN/>
        <w:bidi w:val="0"/>
        <w:adjustRightInd/>
        <w:snapToGrid/>
        <w:spacing w:line="480" w:lineRule="exact"/>
        <w:ind w:left="540" w:leftChars="25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磋商响应文件以密封形式递交至：</w:t>
      </w:r>
      <w:r>
        <w:rPr>
          <w:rFonts w:hint="eastAsia" w:ascii="宋体" w:hAnsi="宋体" w:eastAsia="宋体" w:cs="宋体"/>
          <w:color w:val="000000" w:themeColor="text1"/>
          <w:sz w:val="24"/>
          <w:szCs w:val="22"/>
          <w:highlight w:val="none"/>
          <w:lang w:eastAsia="zh-CN"/>
          <w14:textFill>
            <w14:solidFill>
              <w14:schemeClr w14:val="tx1"/>
            </w14:solidFill>
          </w14:textFill>
        </w:rPr>
        <w:t>投标须知前附表指定地点。</w:t>
      </w:r>
    </w:p>
    <w:p w14:paraId="300CD299">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所有磋商响应文件都必须按招标代理机构在磋商文件中规定的投标截止时间之前</w:t>
      </w:r>
      <w:r>
        <w:rPr>
          <w:rFonts w:hint="eastAsia" w:ascii="宋体" w:hAnsi="宋体" w:cs="宋体"/>
          <w:color w:val="000000" w:themeColor="text1"/>
          <w:sz w:val="24"/>
          <w:highlight w:val="none"/>
          <w:lang w:eastAsia="zh-CN"/>
          <w14:textFill>
            <w14:solidFill>
              <w14:schemeClr w14:val="tx1"/>
            </w14:solidFill>
          </w14:textFill>
        </w:rPr>
        <w:t>递交至</w:t>
      </w:r>
      <w:r>
        <w:rPr>
          <w:rFonts w:hint="eastAsia" w:ascii="宋体" w:hAnsi="宋体" w:eastAsia="宋体" w:cs="宋体"/>
          <w:color w:val="000000" w:themeColor="text1"/>
          <w:sz w:val="24"/>
          <w:highlight w:val="none"/>
          <w14:textFill>
            <w14:solidFill>
              <w14:schemeClr w14:val="tx1"/>
            </w14:solidFill>
          </w14:textFill>
        </w:rPr>
        <w:t>磋商文件规定的地点</w:t>
      </w:r>
      <w:r>
        <w:rPr>
          <w:rFonts w:hint="eastAsia" w:ascii="宋体" w:hAnsi="宋体" w:eastAsia="宋体" w:cs="宋体"/>
          <w:color w:val="000000" w:themeColor="text1"/>
          <w:sz w:val="24"/>
          <w:highlight w:val="none"/>
          <w:lang w:eastAsia="zh-CN"/>
          <w14:textFill>
            <w14:solidFill>
              <w14:schemeClr w14:val="tx1"/>
            </w14:solidFill>
          </w14:textFill>
        </w:rPr>
        <w:t>。</w:t>
      </w:r>
    </w:p>
    <w:p w14:paraId="3E1B8B7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出现第8.2款因磋</w:t>
      </w:r>
      <w:r>
        <w:rPr>
          <w:rFonts w:hint="eastAsia" w:ascii="宋体" w:hAnsi="宋体" w:eastAsia="宋体" w:cs="宋体"/>
          <w:color w:val="000000" w:themeColor="text1"/>
          <w:sz w:val="24"/>
          <w:highlight w:val="none"/>
          <w14:textFill>
            <w14:solidFill>
              <w14:schemeClr w14:val="tx1"/>
            </w14:solidFill>
          </w14:textFill>
        </w:rPr>
        <w:t>商文件的修改推迟投标截止时间时，则按招标代理机构修改通知规定的时间递交</w:t>
      </w:r>
      <w:r>
        <w:rPr>
          <w:rFonts w:hint="eastAsia" w:ascii="宋体" w:hAnsi="宋体" w:eastAsia="宋体" w:cs="宋体"/>
          <w:color w:val="000000" w:themeColor="text1"/>
          <w:sz w:val="24"/>
          <w:highlight w:val="none"/>
          <w:lang w:eastAsia="zh-CN"/>
          <w14:textFill>
            <w14:solidFill>
              <w14:schemeClr w14:val="tx1"/>
            </w14:solidFill>
          </w14:textFill>
        </w:rPr>
        <w:t>。</w:t>
      </w:r>
    </w:p>
    <w:p w14:paraId="79EACD78">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22．磋商响应文件的修改和撤销</w:t>
      </w:r>
    </w:p>
    <w:p w14:paraId="78471F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22.1 </w:t>
      </w:r>
      <w:r>
        <w:rPr>
          <w:rFonts w:hint="eastAsia" w:ascii="宋体" w:hAnsi="宋体" w:eastAsia="宋体" w:cs="宋体"/>
          <w:color w:val="000000" w:themeColor="text1"/>
          <w:sz w:val="24"/>
          <w:highlight w:val="none"/>
          <w:lang w:eastAsia="zh-CN"/>
          <w14:textFill>
            <w14:solidFill>
              <w14:schemeClr w14:val="tx1"/>
            </w14:solidFill>
          </w14:textFill>
        </w:rPr>
        <w:t>投标单位在提交投标文件以后，</w:t>
      </w:r>
      <w:r>
        <w:rPr>
          <w:rFonts w:hint="eastAsia" w:ascii="宋体" w:hAnsi="宋体" w:eastAsia="宋体" w:cs="宋体"/>
          <w:color w:val="000000" w:themeColor="text1"/>
          <w:sz w:val="24"/>
          <w:highlight w:val="none"/>
          <w14:textFill>
            <w14:solidFill>
              <w14:schemeClr w14:val="tx1"/>
            </w14:solidFill>
          </w14:textFill>
        </w:rPr>
        <w:t>投标截止时间之前可对其磋商响应文件进行修改或撤销，但招标代理机构须在投标截止时间之前收到该修改或撤销的书面通知，该通知须有经正式授权的</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代表签字</w:t>
      </w:r>
      <w:r>
        <w:rPr>
          <w:rFonts w:hint="eastAsia" w:ascii="宋体" w:hAnsi="宋体" w:eastAsia="宋体" w:cs="宋体"/>
          <w:color w:val="000000" w:themeColor="text1"/>
          <w:sz w:val="24"/>
          <w:highlight w:val="none"/>
          <w:lang w:eastAsia="zh-CN"/>
          <w14:textFill>
            <w14:solidFill>
              <w14:schemeClr w14:val="tx1"/>
            </w14:solidFill>
          </w14:textFill>
        </w:rPr>
        <w:t>。</w:t>
      </w:r>
    </w:p>
    <w:p w14:paraId="008EF78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 投标截止时间以后不得修改磋商响应文件</w:t>
      </w:r>
      <w:r>
        <w:rPr>
          <w:rFonts w:hint="eastAsia" w:ascii="宋体" w:hAnsi="宋体" w:eastAsia="宋体" w:cs="宋体"/>
          <w:color w:val="000000" w:themeColor="text1"/>
          <w:sz w:val="24"/>
          <w:highlight w:val="none"/>
          <w:lang w:eastAsia="zh-CN"/>
          <w14:textFill>
            <w14:solidFill>
              <w14:schemeClr w14:val="tx1"/>
            </w14:solidFill>
          </w14:textFill>
        </w:rPr>
        <w:t>。</w:t>
      </w:r>
    </w:p>
    <w:p w14:paraId="1CCC369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22.3 </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不得在开标时间起至投标有效期期满前撤销磋商响应文件。否则其投标保证金将不予退还</w:t>
      </w:r>
      <w:bookmarkStart w:id="145" w:name="_Toc298240409"/>
      <w:bookmarkStart w:id="146" w:name="_Toc527642956"/>
      <w:bookmarkStart w:id="147" w:name="_Toc349573125"/>
      <w:bookmarkStart w:id="148" w:name="_Toc349637924"/>
      <w:bookmarkStart w:id="149" w:name="_Toc267301286"/>
      <w:r>
        <w:rPr>
          <w:rFonts w:hint="eastAsia" w:ascii="宋体" w:hAnsi="宋体" w:eastAsia="宋体" w:cs="宋体"/>
          <w:color w:val="000000" w:themeColor="text1"/>
          <w:sz w:val="24"/>
          <w:highlight w:val="none"/>
          <w:lang w:eastAsia="zh-CN"/>
          <w14:textFill>
            <w14:solidFill>
              <w14:schemeClr w14:val="tx1"/>
            </w14:solidFill>
          </w14:textFill>
        </w:rPr>
        <w:t>。</w:t>
      </w:r>
    </w:p>
    <w:p w14:paraId="7BCA37B9">
      <w:pPr>
        <w:pageBreakBefore w:val="0"/>
        <w:kinsoku/>
        <w:wordWrap/>
        <w:overflowPunct/>
        <w:autoSpaceDE/>
        <w:autoSpaceDN/>
        <w:bidi w:val="0"/>
        <w:adjustRightInd/>
        <w:snapToGrid/>
        <w:spacing w:line="480" w:lineRule="exact"/>
        <w:ind w:left="703" w:hanging="703" w:hangingChars="250"/>
        <w:jc w:val="center"/>
        <w:textAlignment w:val="auto"/>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E  磋商程序</w:t>
      </w:r>
      <w:bookmarkEnd w:id="145"/>
      <w:bookmarkEnd w:id="146"/>
      <w:bookmarkEnd w:id="147"/>
      <w:bookmarkEnd w:id="148"/>
      <w:bookmarkEnd w:id="149"/>
    </w:p>
    <w:p w14:paraId="34C03151">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23．磋商小组组成及职责 </w:t>
      </w:r>
    </w:p>
    <w:p w14:paraId="0A7AE19E">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磋商小组组成：在磋商开始前，组建磋商小组共</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人组成，磋商小组成员</w:t>
      </w:r>
      <w:r>
        <w:rPr>
          <w:rFonts w:hint="eastAsia" w:ascii="宋体" w:hAnsi="宋体" w:eastAsia="宋体" w:cs="宋体"/>
          <w:color w:val="000000" w:themeColor="text1"/>
          <w:sz w:val="24"/>
          <w:highlight w:val="none"/>
          <w:lang w:eastAsia="zh-CN"/>
          <w14:textFill>
            <w14:solidFill>
              <w14:schemeClr w14:val="tx1"/>
            </w14:solidFill>
          </w14:textFill>
        </w:rPr>
        <w:t>由</w:t>
      </w:r>
      <w:r>
        <w:rPr>
          <w:rFonts w:hint="eastAsia" w:ascii="宋体" w:hAnsi="宋体" w:eastAsia="宋体" w:cs="宋体"/>
          <w:color w:val="000000" w:themeColor="text1"/>
          <w:sz w:val="24"/>
          <w:highlight w:val="none"/>
          <w14:textFill>
            <w14:solidFill>
              <w14:schemeClr w14:val="tx1"/>
            </w14:solidFill>
          </w14:textFill>
        </w:rPr>
        <w:t>有关技术、经济等方面的专家组成，其中技术、经济类专家人数不少于总人数的 2/3</w:t>
      </w:r>
      <w:r>
        <w:rPr>
          <w:rFonts w:hint="eastAsia" w:ascii="宋体" w:hAnsi="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eastAsia="zh-CN"/>
          <w14:textFill>
            <w14:solidFill>
              <w14:schemeClr w14:val="tx1"/>
            </w14:solidFill>
          </w14:textFill>
        </w:rPr>
        <w:t>人数：建设单位代表</w:t>
      </w:r>
      <w:r>
        <w:rPr>
          <w:rFonts w:hint="eastAsia" w:ascii="宋体" w:hAnsi="宋体" w:cs="宋体"/>
          <w:color w:val="000000" w:themeColor="text1"/>
          <w:sz w:val="24"/>
          <w:highlight w:val="none"/>
          <w:lang w:val="en-US" w:eastAsia="zh-CN"/>
          <w14:textFill>
            <w14:solidFill>
              <w14:schemeClr w14:val="tx1"/>
            </w14:solidFill>
          </w14:textFill>
        </w:rPr>
        <w:t>1人，</w:t>
      </w:r>
      <w:r>
        <w:rPr>
          <w:rFonts w:hint="eastAsia" w:ascii="宋体" w:hAnsi="宋体" w:eastAsia="宋体" w:cs="宋体"/>
          <w:color w:val="000000" w:themeColor="text1"/>
          <w:sz w:val="24"/>
          <w:highlight w:val="none"/>
          <w14:textFill>
            <w14:solidFill>
              <w14:schemeClr w14:val="tx1"/>
            </w14:solidFill>
          </w14:textFill>
        </w:rPr>
        <w:t>技术、经济类专家</w:t>
      </w:r>
      <w:r>
        <w:rPr>
          <w:rFonts w:hint="eastAsia" w:ascii="宋体" w:hAnsi="宋体" w:cs="宋体"/>
          <w:color w:val="000000" w:themeColor="text1"/>
          <w:sz w:val="24"/>
          <w:highlight w:val="none"/>
          <w:lang w:val="en-US" w:eastAsia="zh-CN"/>
          <w14:textFill>
            <w14:solidFill>
              <w14:schemeClr w14:val="tx1"/>
            </w14:solidFill>
          </w14:textFill>
        </w:rPr>
        <w:t>2人</w:t>
      </w:r>
      <w:r>
        <w:rPr>
          <w:rFonts w:hint="eastAsia" w:ascii="宋体" w:hAnsi="宋体" w:eastAsia="宋体" w:cs="宋体"/>
          <w:color w:val="000000" w:themeColor="text1"/>
          <w:sz w:val="24"/>
          <w:highlight w:val="none"/>
          <w14:textFill>
            <w14:solidFill>
              <w14:schemeClr w14:val="tx1"/>
            </w14:solidFill>
          </w14:textFill>
        </w:rPr>
        <w:t>。</w:t>
      </w:r>
    </w:p>
    <w:p w14:paraId="34B5132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磋商小组职责</w:t>
      </w:r>
    </w:p>
    <w:p w14:paraId="4ED3B84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准时参加磋商评审会议</w:t>
      </w:r>
      <w:r>
        <w:rPr>
          <w:rFonts w:hint="eastAsia" w:ascii="宋体" w:hAnsi="宋体" w:eastAsia="宋体" w:cs="宋体"/>
          <w:color w:val="000000" w:themeColor="text1"/>
          <w:sz w:val="24"/>
          <w:highlight w:val="none"/>
          <w:lang w:eastAsia="zh-CN"/>
          <w14:textFill>
            <w14:solidFill>
              <w14:schemeClr w14:val="tx1"/>
            </w14:solidFill>
          </w14:textFill>
        </w:rPr>
        <w:t>；</w:t>
      </w:r>
    </w:p>
    <w:p w14:paraId="3AD3F516">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23.2.2</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2"/>
          <w:highlight w:val="none"/>
          <w:lang w:eastAsia="zh-CN"/>
          <w14:textFill>
            <w14:solidFill>
              <w14:schemeClr w14:val="tx1"/>
            </w14:solidFill>
          </w14:textFill>
        </w:rPr>
        <w:t>对投标单位的响应文件进行初审；</w:t>
      </w:r>
    </w:p>
    <w:p w14:paraId="159F513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审查</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的磋商响应文件并做出评价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FA468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解释或者澄清其磋商响应文件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67933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编写磋商评审报告。 </w:t>
      </w:r>
    </w:p>
    <w:p w14:paraId="180AE4AF">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磋商活动将按以下步骤进行：</w:t>
      </w:r>
    </w:p>
    <w:p w14:paraId="4EB15001">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（1）标前会议；</w:t>
      </w:r>
    </w:p>
    <w:p w14:paraId="6B84E350">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（2）初步评审；</w:t>
      </w:r>
    </w:p>
    <w:p w14:paraId="264FC835">
      <w:pPr>
        <w:pageBreakBefore w:val="0"/>
        <w:kinsoku/>
        <w:overflowPunct/>
        <w:bidi w:val="0"/>
        <w:spacing w:line="480" w:lineRule="exact"/>
        <w:textAlignment w:val="auto"/>
        <w:rPr>
          <w:rFonts w:hint="eastAsia" w:ascii="宋体" w:hAnsi="宋体" w:eastAsia="宋体" w:cs="Times New Roman"/>
          <w:b/>
          <w:bCs/>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现场在线开启二次报价；</w:t>
      </w:r>
    </w:p>
    <w:p w14:paraId="53B20F11">
      <w:pPr>
        <w:pStyle w:val="21"/>
        <w:pageBreakBefore w:val="0"/>
        <w:kinsoku/>
        <w:wordWrap/>
        <w:overflowPunct/>
        <w:autoSpaceDE/>
        <w:autoSpaceDN/>
        <w:bidi w:val="0"/>
        <w:adjustRightInd/>
        <w:snapToGrid/>
        <w:spacing w:line="4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（4）详细评审（包括技术</w:t>
      </w:r>
      <w:r>
        <w:rPr>
          <w:rFonts w:hint="eastAsia" w:ascii="宋体" w:hAnsi="宋体" w:eastAsia="宋体" w:cs="宋体"/>
          <w:color w:val="000000" w:themeColor="text1"/>
          <w:sz w:val="24"/>
          <w:szCs w:val="24"/>
          <w:highlight w:val="none"/>
          <w:lang w:eastAsia="zh-CN"/>
          <w14:textFill>
            <w14:solidFill>
              <w14:schemeClr w14:val="tx1"/>
            </w14:solidFill>
          </w14:textFill>
        </w:rPr>
        <w:t>商务部分</w:t>
      </w:r>
      <w:r>
        <w:rPr>
          <w:rFonts w:hint="eastAsia" w:ascii="宋体" w:hAnsi="宋体" w:eastAsia="宋体" w:cs="宋体"/>
          <w:color w:val="000000" w:themeColor="text1"/>
          <w:sz w:val="24"/>
          <w:szCs w:val="24"/>
          <w:highlight w:val="none"/>
          <w14:textFill>
            <w14:solidFill>
              <w14:schemeClr w14:val="tx1"/>
            </w14:solidFill>
          </w14:textFill>
        </w:rPr>
        <w:t>评定、</w:t>
      </w:r>
      <w:r>
        <w:rPr>
          <w:rFonts w:hint="eastAsia" w:ascii="宋体" w:hAnsi="宋体" w:eastAsia="宋体" w:cs="宋体"/>
          <w:color w:val="000000" w:themeColor="text1"/>
          <w:sz w:val="24"/>
          <w:szCs w:val="24"/>
          <w:highlight w:val="none"/>
          <w:lang w:eastAsia="zh-CN"/>
          <w14:textFill>
            <w14:solidFill>
              <w14:schemeClr w14:val="tx1"/>
            </w14:solidFill>
          </w14:textFill>
        </w:rPr>
        <w:t>经济部分</w:t>
      </w:r>
      <w:r>
        <w:rPr>
          <w:rFonts w:hint="eastAsia" w:ascii="宋体" w:hAnsi="宋体" w:eastAsia="宋体" w:cs="宋体"/>
          <w:color w:val="000000" w:themeColor="text1"/>
          <w:sz w:val="24"/>
          <w:szCs w:val="24"/>
          <w:highlight w:val="none"/>
          <w14:textFill>
            <w14:solidFill>
              <w14:schemeClr w14:val="tx1"/>
            </w14:solidFill>
          </w14:textFill>
        </w:rPr>
        <w:t>评定）；</w:t>
      </w:r>
    </w:p>
    <w:p w14:paraId="77D58FCE">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）按照评审得分由高到低顺序推荐3名以上成交候选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，并编写评审报告。</w:t>
      </w:r>
    </w:p>
    <w:p w14:paraId="0667940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对</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的纪律要求</w:t>
      </w:r>
    </w:p>
    <w:p w14:paraId="27514C8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不得泄露磋商活动中应当保密的情况和资料，不得与</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串通损害国家利益、社会公共利益或者他人合法权益。</w:t>
      </w:r>
    </w:p>
    <w:p w14:paraId="5E6B4A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的纪律要求</w:t>
      </w:r>
    </w:p>
    <w:p w14:paraId="19582638">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不得互相串通磋商或者与</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串通磋商，不得向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或者磋商小组成员行贿谋取成交，不得以他人名义磋商或者以其他方式弄虚作假骗取成交</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不得以任何方式干扰、影响磋商工作。</w:t>
      </w:r>
    </w:p>
    <w:p w14:paraId="53880A4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对与磋商活动有关的工作人员的纪律要求</w:t>
      </w:r>
    </w:p>
    <w:p w14:paraId="5ABF5B4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7FC7995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8 </w:t>
      </w:r>
      <w:r>
        <w:rPr>
          <w:rFonts w:hint="eastAsia" w:ascii="宋体" w:hAnsi="宋体" w:eastAsia="宋体" w:cs="宋体"/>
          <w:color w:val="000000" w:themeColor="text1"/>
          <w:sz w:val="24"/>
          <w:szCs w:val="24"/>
          <w:highlight w:val="none"/>
          <w14:textFill>
            <w14:solidFill>
              <w14:schemeClr w14:val="tx1"/>
            </w14:solidFill>
          </w14:textFill>
        </w:rPr>
        <w:t>对磋商小组成员要求磋商纪律</w:t>
      </w:r>
    </w:p>
    <w:p w14:paraId="6859DD0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.1磋商小组应当依照有关法律法规的规定，按照磋商文件确定的磋商标准和办法客观、公正的对磋商响应文件提出评审意见。磋商文件设有规定的磋商标准和方法不得作为磋商依据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C2229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.2磋商小组成员不得私下接触</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，不得收受</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给予的财务或者其他好处，不得向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征询确定成交方意向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4EE6B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.3不得接受任何单位或个人明示或暗示提出的倾向或排斥特定</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BB9492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.4不得有其他不客观，不公正履行职务的行为。</w:t>
      </w:r>
    </w:p>
    <w:p w14:paraId="6F0267E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25．磋商过程</w:t>
      </w:r>
    </w:p>
    <w:p w14:paraId="720F5E0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 磋商的依据为磋商文件和磋商响应文件。</w:t>
      </w:r>
    </w:p>
    <w:p w14:paraId="20F7ECA2">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 磋商后磋商小组审查磋商响应文件是否完整，是否有计算错误，要求的保证金是否提供，文件是否恰当地签署。</w:t>
      </w:r>
    </w:p>
    <w:p w14:paraId="5FB1DAE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 在对磋商响应文件进行详细评估之前，监督人员或招标代理机构将依据</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提供的资格证明文件审查</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的财务、技术和生产能力。如果确定</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无资格履行合同，其投标将被拒绝。</w:t>
      </w:r>
    </w:p>
    <w:p w14:paraId="0AB5AE9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 磋商小组将确定每一磋商响应文件是否对磋商文件的要求作出了实质性的响应，而没有重大偏离。实质性响应的磋商响应文件是指符合磋商文件的所有条款、条件和规定且没有重大偏离或保留。重大偏离或保留系指影响到磋商文件规定的供货范围、质量和性能，或限制了</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的权利和</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的义务的规定，而纠正这些偏离将影响到其他提交实质性响应投标的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 xml:space="preserve">的公平竞争地位。   </w:t>
      </w:r>
    </w:p>
    <w:p w14:paraId="2D16716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26．磋商响应文件的澄清</w:t>
      </w:r>
    </w:p>
    <w:p w14:paraId="0DA48C7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26.1为有助于对磋商响应文件进行审查、评估和比较，磋商小组将对</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进行磋商，请</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澄清其磋商内容，并对重要内容作出书面答复。</w:t>
      </w:r>
    </w:p>
    <w:p w14:paraId="744B660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 要澄清的答复应是书面的，但不得对磋商内容进行实质性修改。澄清文件须由</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法人代表或法人授权代表签字和/或加盖公章并作为磋商响应文件的组成部分。</w:t>
      </w:r>
    </w:p>
    <w:p w14:paraId="61E74B57">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 磋商结束后，磋商小组要求所有参加磋商的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在规定的时间内进行最后报价。</w:t>
      </w:r>
    </w:p>
    <w:p w14:paraId="49C9124E">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的办法</w:t>
      </w:r>
    </w:p>
    <w:p w14:paraId="7E4183CE">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bCs/>
          <w:color w:val="000000" w:themeColor="text1"/>
          <w:sz w:val="24"/>
          <w:szCs w:val="24"/>
          <w:highlight w:val="none"/>
          <w14:textFill>
            <w14:solidFill>
              <w14:schemeClr w14:val="tx1"/>
            </w14:solidFill>
          </w14:textFill>
        </w:rPr>
        <w:t>.1磋商小组按照磋商文件要求对磋商响应文件中重要技术指标以及技术、经济和商务上要求的其它重要内容进行审核。</w:t>
      </w:r>
    </w:p>
    <w:p w14:paraId="34FF7AEF">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bCs/>
          <w:color w:val="000000" w:themeColor="text1"/>
          <w:sz w:val="24"/>
          <w:szCs w:val="24"/>
          <w:highlight w:val="none"/>
          <w14:textFill>
            <w14:solidFill>
              <w14:schemeClr w14:val="tx1"/>
            </w14:solidFill>
          </w14:textFill>
        </w:rPr>
        <w:t>.2磋商小组和</w:t>
      </w:r>
      <w:r>
        <w:rPr>
          <w:rFonts w:hint="eastAsia" w:ascii="宋体" w:hAnsi="宋体" w:eastAsia="宋体" w:cs="宋体"/>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szCs w:val="24"/>
          <w:highlight w:val="none"/>
          <w14:textFill>
            <w14:solidFill>
              <w14:schemeClr w14:val="tx1"/>
            </w14:solidFill>
          </w14:textFill>
        </w:rPr>
        <w:t>磋商过程中作出的书面承诺是否符合磋商文件中对质量、技术、经济和服务的要求。</w:t>
      </w:r>
    </w:p>
    <w:p w14:paraId="73061F3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经磋商确定最终采购需求和提交最终报价的</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后，由磋商小组采用综合评分法对提交最终报价的</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的响应文件和最终报价进行综合评分。</w:t>
      </w:r>
    </w:p>
    <w:p w14:paraId="3F1A09D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评审标准</w:t>
      </w:r>
    </w:p>
    <w:p w14:paraId="40D97CC1">
      <w:pPr>
        <w:pStyle w:val="46"/>
        <w:pageBreakBefore w:val="0"/>
        <w:widowControl/>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0" w:name="_Toc18339"/>
      <w:bookmarkStart w:id="151" w:name="_Toc7276"/>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.1 初步评审标准</w:t>
      </w:r>
      <w:bookmarkEnd w:id="150"/>
      <w:bookmarkEnd w:id="151"/>
    </w:p>
    <w:p w14:paraId="4D99821B">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default" w:ascii="宋体" w:hAnsi="宋体" w:eastAsia="宋体" w:cs="宋体"/>
          <w:bCs/>
          <w:color w:val="000000" w:themeColor="text1"/>
          <w:sz w:val="24"/>
          <w:szCs w:val="24"/>
          <w:highlight w:val="none"/>
          <w:lang w:val="en-US"/>
          <w14:textFill>
            <w14:solidFill>
              <w14:schemeClr w14:val="tx1"/>
            </w14:solidFill>
          </w14:textFill>
        </w:rPr>
        <w:t>28.1.1初步评审标准-资格</w:t>
      </w:r>
      <w:r>
        <w:rPr>
          <w:rFonts w:hint="eastAsia" w:ascii="宋体" w:hAnsi="宋体" w:cs="宋体"/>
          <w:bCs/>
          <w:color w:val="000000" w:themeColor="text1"/>
          <w:sz w:val="24"/>
          <w:szCs w:val="24"/>
          <w:highlight w:val="none"/>
          <w:lang w:val="en-US" w:eastAsia="zh-CN"/>
          <w14:textFill>
            <w14:solidFill>
              <w14:schemeClr w14:val="tx1"/>
            </w14:solidFill>
          </w14:textFill>
        </w:rPr>
        <w:t>性</w:t>
      </w:r>
      <w:r>
        <w:rPr>
          <w:rFonts w:hint="default" w:ascii="宋体" w:hAnsi="宋体" w:eastAsia="宋体" w:cs="宋体"/>
          <w:bCs/>
          <w:color w:val="000000" w:themeColor="text1"/>
          <w:sz w:val="24"/>
          <w:szCs w:val="24"/>
          <w:highlight w:val="none"/>
          <w:lang w:val="en-US"/>
          <w14:textFill>
            <w14:solidFill>
              <w14:schemeClr w14:val="tx1"/>
            </w14:solidFill>
          </w14:textFill>
        </w:rPr>
        <w:t>评审：</w:t>
      </w:r>
    </w:p>
    <w:tbl>
      <w:tblPr>
        <w:tblStyle w:val="23"/>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6790"/>
        <w:gridCol w:w="1415"/>
      </w:tblGrid>
      <w:tr w14:paraId="310B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9" w:type="dxa"/>
            <w:noWrap w:val="0"/>
            <w:vAlign w:val="center"/>
          </w:tcPr>
          <w:p w14:paraId="24C8AD0A">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类型</w:t>
            </w:r>
          </w:p>
        </w:tc>
        <w:tc>
          <w:tcPr>
            <w:tcW w:w="6790" w:type="dxa"/>
            <w:noWrap w:val="0"/>
            <w:vAlign w:val="center"/>
          </w:tcPr>
          <w:p w14:paraId="793B6669">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审查要求</w:t>
            </w:r>
          </w:p>
        </w:tc>
        <w:tc>
          <w:tcPr>
            <w:tcW w:w="1415" w:type="dxa"/>
            <w:noWrap w:val="0"/>
            <w:vAlign w:val="center"/>
          </w:tcPr>
          <w:p w14:paraId="768E0FE4">
            <w:pPr>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要求说明</w:t>
            </w:r>
          </w:p>
          <w:p w14:paraId="556B60A2">
            <w:pP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（是否响应）</w:t>
            </w:r>
          </w:p>
        </w:tc>
      </w:tr>
      <w:tr w14:paraId="5E11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9" w:type="dxa"/>
            <w:noWrap w:val="0"/>
            <w:vAlign w:val="center"/>
          </w:tcPr>
          <w:p w14:paraId="1B75541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采购政策</w:t>
            </w:r>
          </w:p>
        </w:tc>
        <w:tc>
          <w:tcPr>
            <w:tcW w:w="6790" w:type="dxa"/>
            <w:noWrap w:val="0"/>
            <w:vAlign w:val="center"/>
          </w:tcPr>
          <w:p w14:paraId="347EDAFD">
            <w:pPr>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供应商应为中小企业</w:t>
            </w:r>
            <w:r>
              <w:rPr>
                <w:rFonts w:hint="eastAsia" w:ascii="宋体" w:hAnsi="宋体" w:cs="宋体"/>
                <w:color w:val="000000" w:themeColor="text1"/>
                <w:sz w:val="21"/>
                <w:szCs w:val="21"/>
                <w:highlight w:val="none"/>
                <w:lang w:val="zh-CN" w:eastAsia="zh-CN"/>
                <w14:textFill>
                  <w14:solidFill>
                    <w14:schemeClr w14:val="tx1"/>
                  </w14:solidFill>
                </w14:textFill>
              </w:rPr>
              <w:t>：请根据要求单独上传《中小企业声明函》。格式以采购文件要求为准。</w:t>
            </w:r>
          </w:p>
        </w:tc>
        <w:tc>
          <w:tcPr>
            <w:tcW w:w="1415" w:type="dxa"/>
            <w:noWrap w:val="0"/>
            <w:vAlign w:val="center"/>
          </w:tcPr>
          <w:p w14:paraId="36492317">
            <w:pPr>
              <w:rPr>
                <w:rFonts w:hint="eastAsia" w:ascii="宋体" w:hAnsi="宋体" w:eastAsia="宋体" w:cs="宋体"/>
                <w:color w:val="000000" w:themeColor="text1"/>
                <w:sz w:val="21"/>
                <w:szCs w:val="21"/>
                <w:highlight w:val="none"/>
                <w:lang w:val="zh-CN" w:eastAsia="zh-CN"/>
                <w14:textFill>
                  <w14:solidFill>
                    <w14:schemeClr w14:val="tx1"/>
                  </w14:solidFill>
                </w14:textFill>
              </w:rPr>
            </w:pPr>
          </w:p>
        </w:tc>
      </w:tr>
      <w:tr w14:paraId="0E71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39" w:type="dxa"/>
            <w:noWrap w:val="0"/>
            <w:vAlign w:val="center"/>
          </w:tcPr>
          <w:p w14:paraId="32FBF78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营业执照</w:t>
            </w:r>
          </w:p>
        </w:tc>
        <w:tc>
          <w:tcPr>
            <w:tcW w:w="6790" w:type="dxa"/>
            <w:noWrap w:val="0"/>
            <w:vAlign w:val="center"/>
          </w:tcPr>
          <w:p w14:paraId="2DECF2E0">
            <w:pPr>
              <w:rPr>
                <w:rFonts w:hint="default"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供应商为</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新疆政府采购网（http://www.ccgp-xinjiang.gov.cn/）</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正式供应商，</w:t>
            </w:r>
            <w:r>
              <w:rPr>
                <w:rFonts w:hint="default" w:ascii="宋体" w:hAnsi="宋体" w:eastAsia="宋体" w:cs="宋体"/>
                <w:color w:val="000000" w:themeColor="text1"/>
                <w:sz w:val="21"/>
                <w:szCs w:val="21"/>
                <w:highlight w:val="none"/>
                <w:lang w:val="en-US" w:eastAsia="zh-CN"/>
                <w14:textFill>
                  <w14:solidFill>
                    <w14:schemeClr w14:val="tx1"/>
                  </w14:solidFill>
                </w14:textFill>
              </w:rPr>
              <w:t>提供合格的营业执照</w:t>
            </w:r>
            <w:r>
              <w:rPr>
                <w:rFonts w:hint="default" w:ascii="宋体" w:hAnsi="宋体" w:cs="宋体"/>
                <w:color w:val="000000" w:themeColor="text1"/>
                <w:sz w:val="21"/>
                <w:szCs w:val="21"/>
                <w:highlight w:val="none"/>
                <w:lang w:eastAsia="zh-CN"/>
                <w14:textFill>
                  <w14:solidFill>
                    <w14:schemeClr w14:val="tx1"/>
                  </w14:solidFill>
                </w14:textFill>
              </w:rPr>
              <w:t>。</w:t>
            </w:r>
          </w:p>
        </w:tc>
        <w:tc>
          <w:tcPr>
            <w:tcW w:w="1415" w:type="dxa"/>
            <w:noWrap w:val="0"/>
            <w:vAlign w:val="center"/>
          </w:tcPr>
          <w:p w14:paraId="370E7FC2">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6F6E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14:paraId="70E4A047">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财务报告</w:t>
            </w:r>
          </w:p>
        </w:tc>
        <w:tc>
          <w:tcPr>
            <w:tcW w:w="6790" w:type="dxa"/>
            <w:noWrap w:val="0"/>
            <w:vAlign w:val="center"/>
          </w:tcPr>
          <w:p w14:paraId="32703C07">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提供近</w:t>
            </w:r>
            <w:r>
              <w:rPr>
                <w:rFonts w:hint="eastAsia" w:cs="Times New Roman"/>
                <w:color w:val="000000" w:themeColor="text1"/>
                <w:szCs w:val="21"/>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年（</w:t>
            </w:r>
            <w:r>
              <w:rPr>
                <w:rFonts w:hint="eastAsia" w:cs="Times New Roman"/>
                <w:color w:val="000000" w:themeColor="text1"/>
                <w:szCs w:val="21"/>
                <w:highlight w:val="none"/>
                <w:lang w:val="en-US" w:eastAsia="zh-CN"/>
                <w14:textFill>
                  <w14:solidFill>
                    <w14:schemeClr w14:val="tx1"/>
                  </w14:solidFill>
                </w14:textFill>
              </w:rPr>
              <w:t>2022、</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202</w:t>
            </w:r>
            <w:r>
              <w:rPr>
                <w:rFonts w:hint="eastAsia"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）年度经会计师事务所或审计机构审计的财务会计报表，202</w:t>
            </w:r>
            <w:r>
              <w:rPr>
                <w:rFonts w:hint="eastAsia" w:cs="Times New Roman"/>
                <w:color w:val="000000" w:themeColor="text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年新公司不做财务要求（以营业执照发放日期为准）</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tc>
        <w:tc>
          <w:tcPr>
            <w:tcW w:w="1415" w:type="dxa"/>
            <w:noWrap w:val="0"/>
            <w:vAlign w:val="center"/>
          </w:tcPr>
          <w:p w14:paraId="242492FA">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7EA2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539" w:type="dxa"/>
            <w:vMerge w:val="restart"/>
            <w:noWrap w:val="0"/>
            <w:vAlign w:val="center"/>
          </w:tcPr>
          <w:p w14:paraId="63DDD577">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基本资质</w:t>
            </w:r>
          </w:p>
          <w:p w14:paraId="48119977">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6790" w:type="dxa"/>
            <w:noWrap w:val="0"/>
            <w:vAlign w:val="center"/>
          </w:tcPr>
          <w:p w14:paraId="005BC3D9">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企业法人授权委托书、委托人身份证</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须具备建筑工程施工总承包叁级（含叁级）以上资质等级的施工企业。</w:t>
            </w:r>
          </w:p>
        </w:tc>
        <w:tc>
          <w:tcPr>
            <w:tcW w:w="1415" w:type="dxa"/>
            <w:noWrap w:val="0"/>
            <w:vAlign w:val="center"/>
          </w:tcPr>
          <w:p w14:paraId="35FE1C0C">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4461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539" w:type="dxa"/>
            <w:vMerge w:val="continue"/>
            <w:noWrap w:val="0"/>
            <w:vAlign w:val="center"/>
          </w:tcPr>
          <w:p w14:paraId="19F3DFDB">
            <w:pP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6790" w:type="dxa"/>
            <w:noWrap w:val="0"/>
            <w:vAlign w:val="center"/>
          </w:tcPr>
          <w:p w14:paraId="65B9F715">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保证金</w:t>
            </w:r>
            <w:r>
              <w:rPr>
                <w:rFonts w:hint="eastAsia" w:ascii="宋体" w:hAnsi="宋体" w:cs="宋体"/>
                <w:color w:val="000000" w:themeColor="text1"/>
                <w:sz w:val="21"/>
                <w:szCs w:val="21"/>
                <w:highlight w:val="none"/>
                <w:lang w:val="en-US" w:eastAsia="zh-CN"/>
                <w14:textFill>
                  <w14:solidFill>
                    <w14:schemeClr w14:val="tx1"/>
                  </w14:solidFill>
                </w14:textFill>
              </w:rPr>
              <w:t>缴纳凭证或保函。</w:t>
            </w:r>
          </w:p>
        </w:tc>
        <w:tc>
          <w:tcPr>
            <w:tcW w:w="1415" w:type="dxa"/>
            <w:noWrap w:val="0"/>
            <w:vAlign w:val="center"/>
          </w:tcPr>
          <w:p w14:paraId="069C4262">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bl>
    <w:p w14:paraId="386A158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如果资格评审中有一项不满足审查标准的，磋商小组将认定该投标单位不通过资格审查，不得进入下一阶段评审。并且不允许投标单位通过修改或撤销其不符合要求的差异或保留，使之成为具有响应性的投标。</w:t>
      </w:r>
    </w:p>
    <w:p w14:paraId="465321F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初步评审标准-</w:t>
      </w:r>
      <w:r>
        <w:rPr>
          <w:rFonts w:hint="eastAsia" w:ascii="宋体" w:hAnsi="宋体" w:cs="宋体"/>
          <w:color w:val="000000" w:themeColor="text1"/>
          <w:sz w:val="24"/>
          <w:szCs w:val="24"/>
          <w:highlight w:val="none"/>
          <w:lang w:eastAsia="zh-CN"/>
          <w14:textFill>
            <w14:solidFill>
              <w14:schemeClr w14:val="tx1"/>
            </w14:solidFill>
          </w14:textFill>
        </w:rPr>
        <w:t>符合性评审</w:t>
      </w:r>
    </w:p>
    <w:tbl>
      <w:tblPr>
        <w:tblStyle w:val="22"/>
        <w:tblpPr w:leftFromText="180" w:rightFromText="180" w:vertAnchor="text" w:horzAnchor="page" w:tblpX="1065" w:tblpY="457"/>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6675"/>
        <w:gridCol w:w="1803"/>
      </w:tblGrid>
      <w:tr w14:paraId="2A56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60" w:type="dxa"/>
            <w:noWrap w:val="0"/>
            <w:vAlign w:val="center"/>
          </w:tcPr>
          <w:p w14:paraId="4A087316">
            <w:pPr>
              <w:keepNext w:val="0"/>
              <w:keepLines w:val="0"/>
              <w:pageBreakBefore w:val="0"/>
              <w:widowControl/>
              <w:kinsoku/>
              <w:wordWrap/>
              <w:overflowPunct/>
              <w:topLinePunct w:val="0"/>
              <w:autoSpaceDE/>
              <w:autoSpaceDN/>
              <w:bidi w:val="0"/>
              <w:adjustRightInd/>
              <w:snapToGrid/>
              <w:spacing w:line="240" w:lineRule="auto"/>
              <w:jc w:val="center"/>
              <w:rPr>
                <w:color w:val="000000" w:themeColor="text1"/>
                <w:sz w:val="21"/>
                <w:szCs w:val="21"/>
                <w:highlight w:val="none"/>
                <w14:textFill>
                  <w14:solidFill>
                    <w14:schemeClr w14:val="tx1"/>
                  </w14:solidFill>
                </w14:textFill>
              </w:rPr>
            </w:pPr>
            <w:r>
              <w:rPr>
                <w:rFonts w:hint="eastAsia" w:eastAsia="宋体" w:cs="Times New Roman"/>
                <w:color w:val="000000" w:themeColor="text1"/>
                <w:kern w:val="2"/>
                <w:sz w:val="21"/>
                <w:szCs w:val="21"/>
                <w:highlight w:val="none"/>
                <w:lang w:val="zh-CN" w:eastAsia="zh-CN" w:bidi="ar-SA"/>
                <w14:textFill>
                  <w14:solidFill>
                    <w14:schemeClr w14:val="tx1"/>
                  </w14:solidFill>
                </w14:textFill>
              </w:rPr>
              <w:t>类型</w:t>
            </w:r>
          </w:p>
        </w:tc>
        <w:tc>
          <w:tcPr>
            <w:tcW w:w="6675" w:type="dxa"/>
            <w:noWrap w:val="0"/>
            <w:vAlign w:val="center"/>
          </w:tcPr>
          <w:p w14:paraId="1D911674">
            <w:pPr>
              <w:keepNext w:val="0"/>
              <w:keepLines w:val="0"/>
              <w:pageBreakBefore w:val="0"/>
              <w:widowControl/>
              <w:kinsoku/>
              <w:wordWrap/>
              <w:overflowPunct/>
              <w:topLinePunct w:val="0"/>
              <w:autoSpaceDE/>
              <w:autoSpaceDN/>
              <w:bidi w:val="0"/>
              <w:adjustRightInd/>
              <w:snapToGrid/>
              <w:spacing w:line="240" w:lineRule="auto"/>
              <w:jc w:val="center"/>
              <w:rPr>
                <w:rFonts w:hint="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zh-CN" w:eastAsia="zh-CN" w:bidi="ar-SA"/>
                <w14:textFill>
                  <w14:solidFill>
                    <w14:schemeClr w14:val="tx1"/>
                  </w14:solidFill>
                </w14:textFill>
              </w:rPr>
              <w:t>审查</w:t>
            </w:r>
            <w:r>
              <w:rPr>
                <w:rFonts w:hint="eastAsia" w:eastAsia="宋体" w:cs="Times New Roman"/>
                <w:color w:val="000000" w:themeColor="text1"/>
                <w:kern w:val="2"/>
                <w:sz w:val="21"/>
                <w:szCs w:val="21"/>
                <w:highlight w:val="none"/>
                <w:lang w:val="zh-CN" w:eastAsia="zh-CN" w:bidi="ar-SA"/>
                <w14:textFill>
                  <w14:solidFill>
                    <w14:schemeClr w14:val="tx1"/>
                  </w14:solidFill>
                </w14:textFill>
              </w:rPr>
              <w:t>要求</w:t>
            </w:r>
          </w:p>
        </w:tc>
        <w:tc>
          <w:tcPr>
            <w:tcW w:w="1803" w:type="dxa"/>
            <w:noWrap w:val="0"/>
            <w:vAlign w:val="center"/>
          </w:tcPr>
          <w:p w14:paraId="4CDB3013">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t>要求说明</w:t>
            </w:r>
          </w:p>
          <w:p w14:paraId="1F5B633B">
            <w:pPr>
              <w:keepNext w:val="0"/>
              <w:keepLines w:val="0"/>
              <w:pageBreakBefore w:val="0"/>
              <w:widowControl/>
              <w:kinsoku/>
              <w:wordWrap/>
              <w:overflowPunct/>
              <w:topLinePunct w:val="0"/>
              <w:autoSpaceDE/>
              <w:autoSpaceDN/>
              <w:bidi w:val="0"/>
              <w:adjustRightInd/>
              <w:snapToGrid/>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t>（是否响应）</w:t>
            </w:r>
          </w:p>
        </w:tc>
      </w:tr>
      <w:tr w14:paraId="2FDD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restart"/>
            <w:tcBorders>
              <w:top w:val="single" w:color="auto" w:sz="4" w:space="0"/>
            </w:tcBorders>
            <w:noWrap w:val="0"/>
            <w:vAlign w:val="center"/>
          </w:tcPr>
          <w:p w14:paraId="46391BBE">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商务</w:t>
            </w:r>
          </w:p>
        </w:tc>
        <w:tc>
          <w:tcPr>
            <w:tcW w:w="6675" w:type="dxa"/>
            <w:noWrap w:val="0"/>
            <w:vAlign w:val="center"/>
          </w:tcPr>
          <w:p w14:paraId="6B1815FE">
            <w:pPr>
              <w:pStyle w:val="12"/>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投标保证金的缴纳主体与</w:t>
            </w:r>
            <w:r>
              <w:rPr>
                <w:rFonts w:hint="eastAsia" w:ascii="宋体" w:hAnsi="宋体" w:eastAsia="宋体" w:cs="宋体"/>
                <w:color w:val="000000" w:themeColor="text1"/>
                <w:sz w:val="21"/>
                <w:szCs w:val="21"/>
                <w:highlight w:val="none"/>
                <w:lang w:val="zh-CN" w:eastAsia="zh-CN"/>
                <w14:textFill>
                  <w14:solidFill>
                    <w14:schemeClr w14:val="tx1"/>
                  </w14:solidFill>
                </w14:textFill>
              </w:rPr>
              <w:t>投标单位</w:t>
            </w:r>
            <w:r>
              <w:rPr>
                <w:rFonts w:hint="eastAsia" w:ascii="宋体" w:hAnsi="宋体" w:eastAsia="宋体" w:cs="宋体"/>
                <w:color w:val="000000" w:themeColor="text1"/>
                <w:sz w:val="21"/>
                <w:szCs w:val="21"/>
                <w:highlight w:val="none"/>
                <w:lang w:val="zh-CN"/>
                <w14:textFill>
                  <w14:solidFill>
                    <w14:schemeClr w14:val="tx1"/>
                  </w14:solidFill>
                </w14:textFill>
              </w:rPr>
              <w:t>一致的，按照磋商文件要求提供投标担保，或者所提供的投标担保无瑕疵的；</w:t>
            </w:r>
          </w:p>
        </w:tc>
        <w:tc>
          <w:tcPr>
            <w:tcW w:w="1803" w:type="dxa"/>
            <w:noWrap w:val="0"/>
            <w:vAlign w:val="center"/>
          </w:tcPr>
          <w:p w14:paraId="334F57BF">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2F96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0CDFAFB8">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4FD84CF1">
            <w:pPr>
              <w:pStyle w:val="12"/>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t>磋商响应文件有投标单位法定代表人（签字或盖章）或其授权代表签字和加盖投标单位公章的；</w:t>
            </w:r>
          </w:p>
        </w:tc>
        <w:tc>
          <w:tcPr>
            <w:tcW w:w="1803" w:type="dxa"/>
            <w:noWrap w:val="0"/>
            <w:vAlign w:val="center"/>
          </w:tcPr>
          <w:p w14:paraId="2E6CA644">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701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4F0971BE">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62B72962">
            <w:pPr>
              <w:pStyle w:val="12"/>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投标工程的完成期限未超过磋商文件规定期限的；</w:t>
            </w:r>
          </w:p>
        </w:tc>
        <w:tc>
          <w:tcPr>
            <w:tcW w:w="1803" w:type="dxa"/>
            <w:noWrap w:val="0"/>
            <w:vAlign w:val="center"/>
          </w:tcPr>
          <w:p w14:paraId="5C1A683F">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24DD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4D26C4B1">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15BCA3E7">
            <w:pPr>
              <w:pStyle w:val="12"/>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磋商文件未附有招标人不能接受条件的；</w:t>
            </w:r>
          </w:p>
        </w:tc>
        <w:tc>
          <w:tcPr>
            <w:tcW w:w="1803" w:type="dxa"/>
            <w:noWrap w:val="0"/>
            <w:vAlign w:val="center"/>
          </w:tcPr>
          <w:p w14:paraId="57BB2B63">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794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28C51C39">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627479C6">
            <w:pPr>
              <w:pStyle w:val="12"/>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满足磋商文件实质性要求的其他情形</w:t>
            </w:r>
            <w:r>
              <w:rPr>
                <w:rFonts w:hint="eastAsia" w:hAnsi="宋体" w:cs="宋体"/>
                <w:color w:val="000000" w:themeColor="text1"/>
                <w:sz w:val="21"/>
                <w:szCs w:val="21"/>
                <w:highlight w:val="none"/>
                <w:lang w:eastAsia="zh-CN"/>
                <w14:textFill>
                  <w14:solidFill>
                    <w14:schemeClr w14:val="tx1"/>
                  </w14:solidFill>
                </w14:textFill>
              </w:rPr>
              <w:t>；</w:t>
            </w:r>
          </w:p>
        </w:tc>
        <w:tc>
          <w:tcPr>
            <w:tcW w:w="1803" w:type="dxa"/>
            <w:noWrap w:val="0"/>
            <w:vAlign w:val="center"/>
          </w:tcPr>
          <w:p w14:paraId="70E03E29">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E68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3ADEF25A">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3B0A091B">
            <w:pPr>
              <w:pStyle w:val="12"/>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按招标文件规定的格式填写，未出现内容不全或关键字迹模糊、无法辨认的；（包括分部分项工程量清单中暂估价、暂列金额的改动）</w:t>
            </w:r>
            <w:r>
              <w:rPr>
                <w:rFonts w:hint="default" w:hAnsi="宋体" w:cs="宋体"/>
                <w:color w:val="000000" w:themeColor="text1"/>
                <w:sz w:val="21"/>
                <w:szCs w:val="21"/>
                <w:highlight w:val="none"/>
                <w14:textFill>
                  <w14:solidFill>
                    <w14:schemeClr w14:val="tx1"/>
                  </w14:solidFill>
                </w14:textFill>
              </w:rPr>
              <w:t>；</w:t>
            </w:r>
          </w:p>
        </w:tc>
        <w:tc>
          <w:tcPr>
            <w:tcW w:w="1803" w:type="dxa"/>
            <w:noWrap w:val="0"/>
            <w:vAlign w:val="center"/>
          </w:tcPr>
          <w:p w14:paraId="64A4D2EA">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3EB6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63576DC6">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6E8970EF">
            <w:pPr>
              <w:pStyle w:val="12"/>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default" w:ascii="宋体" w:hAnsi="宋体" w:eastAsia="宋体" w:cs="宋体"/>
                <w:color w:val="000000" w:themeColor="text1"/>
                <w:sz w:val="21"/>
                <w:szCs w:val="21"/>
                <w:highlight w:val="none"/>
                <w:lang w:val="en-US"/>
                <w14:textFill>
                  <w14:solidFill>
                    <w14:schemeClr w14:val="tx1"/>
                  </w14:solidFill>
                </w14:textFill>
              </w:rPr>
              <w:t>未</w:t>
            </w:r>
            <w:r>
              <w:rPr>
                <w:rFonts w:hint="eastAsia" w:ascii="宋体" w:hAnsi="宋体" w:eastAsia="宋体" w:cs="宋体"/>
                <w:color w:val="000000" w:themeColor="text1"/>
                <w:sz w:val="21"/>
                <w:szCs w:val="21"/>
                <w:highlight w:val="none"/>
                <w:lang w:val="zh-CN"/>
                <w14:textFill>
                  <w14:solidFill>
                    <w14:schemeClr w14:val="tx1"/>
                  </w14:solidFill>
                </w14:textFill>
              </w:rPr>
              <w:t>改变招标文件提供的工程量清单中的项目编码、项目名称、项目特征、计量单位、工程量的；</w:t>
            </w:r>
          </w:p>
        </w:tc>
        <w:tc>
          <w:tcPr>
            <w:tcW w:w="1803" w:type="dxa"/>
            <w:noWrap w:val="0"/>
            <w:vAlign w:val="center"/>
          </w:tcPr>
          <w:p w14:paraId="173FBC09">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174F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41420179">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5A1F51EB">
            <w:pPr>
              <w:pStyle w:val="12"/>
              <w:keepNext w:val="0"/>
              <w:keepLines w:val="0"/>
              <w:pageBreakBefore w:val="0"/>
              <w:widowControl/>
              <w:kinsoku/>
              <w:wordWrap/>
              <w:overflowPunct/>
              <w:topLinePunct w:val="0"/>
              <w:autoSpaceDE/>
              <w:autoSpaceDN/>
              <w:bidi w:val="0"/>
              <w:adjustRightInd/>
              <w:snapToGrid/>
              <w:spacing w:line="240" w:lineRule="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未出现投标人名称与报名不符，涉嫌以他人名义投标的；</w:t>
            </w:r>
          </w:p>
        </w:tc>
        <w:tc>
          <w:tcPr>
            <w:tcW w:w="1803" w:type="dxa"/>
            <w:noWrap w:val="0"/>
            <w:vAlign w:val="center"/>
          </w:tcPr>
          <w:p w14:paraId="72C086AC">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3AF0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3787F9E2">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04D892B6">
            <w:pPr>
              <w:pStyle w:val="12"/>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未出现投标人之间或者投标人与招标人串通投标的；</w:t>
            </w:r>
          </w:p>
        </w:tc>
        <w:tc>
          <w:tcPr>
            <w:tcW w:w="1803" w:type="dxa"/>
            <w:noWrap w:val="0"/>
            <w:vAlign w:val="center"/>
          </w:tcPr>
          <w:p w14:paraId="349996ED">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06BB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tcBorders>
              <w:bottom w:val="single" w:color="auto" w:sz="4" w:space="0"/>
            </w:tcBorders>
            <w:noWrap w:val="0"/>
            <w:vAlign w:val="center"/>
          </w:tcPr>
          <w:p w14:paraId="33612AD6">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698F23A5">
            <w:pPr>
              <w:pStyle w:val="12"/>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未以行贿手段谋取中标或者以其他弄虚作假方式投标的</w:t>
            </w:r>
            <w:r>
              <w:rPr>
                <w:rFonts w:hint="eastAsia" w:hAnsi="宋体" w:cs="宋体"/>
                <w:color w:val="000000" w:themeColor="text1"/>
                <w:sz w:val="21"/>
                <w:szCs w:val="21"/>
                <w:highlight w:val="none"/>
                <w:lang w:val="zh-CN"/>
                <w14:textFill>
                  <w14:solidFill>
                    <w14:schemeClr w14:val="tx1"/>
                  </w14:solidFill>
                </w14:textFill>
              </w:rPr>
              <w:t>；</w:t>
            </w:r>
          </w:p>
        </w:tc>
        <w:tc>
          <w:tcPr>
            <w:tcW w:w="1803" w:type="dxa"/>
            <w:noWrap w:val="0"/>
            <w:vAlign w:val="center"/>
          </w:tcPr>
          <w:p w14:paraId="796255F9">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1BDB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restart"/>
            <w:noWrap w:val="0"/>
            <w:vAlign w:val="center"/>
          </w:tcPr>
          <w:p w14:paraId="5B6B13A9">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报价</w:t>
            </w:r>
          </w:p>
        </w:tc>
        <w:tc>
          <w:tcPr>
            <w:tcW w:w="6675" w:type="dxa"/>
            <w:noWrap w:val="0"/>
            <w:vAlign w:val="center"/>
          </w:tcPr>
          <w:p w14:paraId="3240CA6C">
            <w:pPr>
              <w:pStyle w:val="12"/>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投标报价未高于设定的工程预算招标控制价（工程限额）的；</w:t>
            </w:r>
          </w:p>
        </w:tc>
        <w:tc>
          <w:tcPr>
            <w:tcW w:w="1803" w:type="dxa"/>
            <w:noWrap w:val="0"/>
            <w:vAlign w:val="center"/>
          </w:tcPr>
          <w:p w14:paraId="7F05FA9F">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4C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6338C78D">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0BFD4B94">
            <w:pPr>
              <w:pStyle w:val="12"/>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投标人对同一招标项目未作出两个以上报价的；</w:t>
            </w:r>
          </w:p>
        </w:tc>
        <w:tc>
          <w:tcPr>
            <w:tcW w:w="1803" w:type="dxa"/>
            <w:noWrap w:val="0"/>
            <w:vAlign w:val="center"/>
          </w:tcPr>
          <w:p w14:paraId="3503A166">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B9A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2E977413">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4F52B5AD">
            <w:pPr>
              <w:pStyle w:val="12"/>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14:textFill>
                  <w14:solidFill>
                    <w14:schemeClr w14:val="tx1"/>
                  </w14:solidFill>
                </w14:textFill>
              </w:rPr>
              <w:t>未</w:t>
            </w:r>
            <w:r>
              <w:rPr>
                <w:rFonts w:hint="eastAsia" w:ascii="宋体" w:hAnsi="宋体" w:eastAsia="宋体" w:cs="宋体"/>
                <w:color w:val="000000" w:themeColor="text1"/>
                <w:sz w:val="21"/>
                <w:szCs w:val="21"/>
                <w:highlight w:val="none"/>
                <w:lang w:val="zh-CN"/>
                <w14:textFill>
                  <w14:solidFill>
                    <w14:schemeClr w14:val="tx1"/>
                  </w14:solidFill>
                </w14:textFill>
              </w:rPr>
              <w:t>将工程排污费、社会保障费、住房公积金、大型机械检测检验费等规费和增值税销项税额等税金，以及安全文明施工费列入招标投标竞争性费用的；</w:t>
            </w:r>
          </w:p>
        </w:tc>
        <w:tc>
          <w:tcPr>
            <w:tcW w:w="1803" w:type="dxa"/>
            <w:noWrap w:val="0"/>
            <w:vAlign w:val="center"/>
          </w:tcPr>
          <w:p w14:paraId="74468D30">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2E7B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360" w:type="dxa"/>
            <w:noWrap w:val="0"/>
            <w:vAlign w:val="center"/>
          </w:tcPr>
          <w:p w14:paraId="43713F7A">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技术</w:t>
            </w:r>
          </w:p>
        </w:tc>
        <w:tc>
          <w:tcPr>
            <w:tcW w:w="6675" w:type="dxa"/>
            <w:noWrap w:val="0"/>
            <w:vAlign w:val="center"/>
          </w:tcPr>
          <w:p w14:paraId="4B84398C">
            <w:pPr>
              <w:pStyle w:val="12"/>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磋商文件载明的技术规格、技术标准、货物包装方式、检验标准和方法等，符合磋商文件要求的；</w:t>
            </w:r>
          </w:p>
        </w:tc>
        <w:tc>
          <w:tcPr>
            <w:tcW w:w="1803" w:type="dxa"/>
            <w:noWrap w:val="0"/>
            <w:vAlign w:val="center"/>
          </w:tcPr>
          <w:p w14:paraId="20A176B1">
            <w:pPr>
              <w:pStyle w:val="12"/>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bl>
    <w:p w14:paraId="7D5342E6">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如果</w:t>
      </w:r>
      <w:r>
        <w:rPr>
          <w:rFonts w:hint="eastAsia" w:ascii="宋体" w:hAnsi="宋体" w:cs="宋体"/>
          <w:color w:val="000000" w:themeColor="text1"/>
          <w:sz w:val="24"/>
          <w:szCs w:val="24"/>
          <w:highlight w:val="none"/>
          <w:lang w:val="zh-CN"/>
          <w14:textFill>
            <w14:solidFill>
              <w14:schemeClr w14:val="tx1"/>
            </w14:solidFill>
          </w14:textFill>
        </w:rPr>
        <w:t>符合性</w:t>
      </w:r>
      <w:r>
        <w:rPr>
          <w:rFonts w:hint="eastAsia" w:ascii="宋体" w:hAnsi="宋体" w:eastAsia="宋体" w:cs="宋体"/>
          <w:color w:val="000000" w:themeColor="text1"/>
          <w:sz w:val="24"/>
          <w:szCs w:val="24"/>
          <w:highlight w:val="none"/>
          <w:lang w:val="zh-CN"/>
          <w14:textFill>
            <w14:solidFill>
              <w14:schemeClr w14:val="tx1"/>
            </w14:solidFill>
          </w14:textFill>
        </w:rPr>
        <w:t>评审中有一项不满足审查标准的，磋商小组将认定该投标单位不通过</w:t>
      </w:r>
      <w:r>
        <w:rPr>
          <w:rFonts w:hint="eastAsia" w:ascii="宋体" w:hAnsi="宋体" w:cs="宋体"/>
          <w:color w:val="000000" w:themeColor="text1"/>
          <w:sz w:val="24"/>
          <w:szCs w:val="24"/>
          <w:highlight w:val="none"/>
          <w:lang w:val="zh-CN"/>
          <w14:textFill>
            <w14:solidFill>
              <w14:schemeClr w14:val="tx1"/>
            </w14:solidFill>
          </w14:textFill>
        </w:rPr>
        <w:t>符合</w:t>
      </w:r>
      <w:r>
        <w:rPr>
          <w:rFonts w:hint="eastAsia" w:ascii="宋体" w:hAnsi="宋体" w:eastAsia="宋体" w:cs="宋体"/>
          <w:color w:val="000000" w:themeColor="text1"/>
          <w:sz w:val="24"/>
          <w:szCs w:val="24"/>
          <w:highlight w:val="none"/>
          <w:lang w:val="zh-CN"/>
          <w14:textFill>
            <w14:solidFill>
              <w14:schemeClr w14:val="tx1"/>
            </w14:solidFill>
          </w14:textFill>
        </w:rPr>
        <w:t>审查，不得进入下一阶段评审。并且不允许投标单位通过修改或撤销其不符合要求的差异或保留，使之成为具有响应性的投标。</w:t>
      </w:r>
    </w:p>
    <w:p w14:paraId="20A8EB2D">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详细评审标准</w:t>
      </w:r>
    </w:p>
    <w:p w14:paraId="4544C703">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.1技术</w:t>
      </w:r>
      <w:r>
        <w:rPr>
          <w:rFonts w:hint="eastAsia" w:ascii="宋体" w:hAnsi="宋体" w:cs="宋体"/>
          <w:b w:val="0"/>
          <w:bCs/>
          <w:color w:val="000000" w:themeColor="text1"/>
          <w:sz w:val="24"/>
          <w:szCs w:val="24"/>
          <w:highlight w:val="none"/>
          <w:lang w:eastAsia="zh-CN"/>
          <w14:textFill>
            <w14:solidFill>
              <w14:schemeClr w14:val="tx1"/>
            </w14:solidFill>
          </w14:textFill>
        </w:rPr>
        <w:t>商务部分</w:t>
      </w:r>
      <w:r>
        <w:rPr>
          <w:rFonts w:hint="eastAsia" w:ascii="宋体" w:hAnsi="宋体" w:eastAsia="宋体" w:cs="宋体"/>
          <w:b w:val="0"/>
          <w:bCs/>
          <w:color w:val="000000" w:themeColor="text1"/>
          <w:sz w:val="24"/>
          <w:szCs w:val="24"/>
          <w:highlight w:val="none"/>
          <w14:textFill>
            <w14:solidFill>
              <w14:schemeClr w14:val="tx1"/>
            </w14:solidFill>
          </w14:textFill>
        </w:rPr>
        <w:t>评定</w:t>
      </w:r>
      <w:bookmarkStart w:id="152" w:name="_Toc4220"/>
      <w:bookmarkStart w:id="153" w:name="_Toc18855"/>
    </w:p>
    <w:p w14:paraId="4E75E2D3">
      <w:pPr>
        <w:pageBreakBefore w:val="0"/>
        <w:kinsoku/>
        <w:wordWrap/>
        <w:overflowPunct/>
        <w:autoSpaceDE/>
        <w:autoSpaceDN/>
        <w:bidi w:val="0"/>
        <w:adjustRightInd/>
        <w:snapToGrid/>
        <w:spacing w:line="48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评委按照磋商文件要求，对技术</w:t>
      </w:r>
      <w:r>
        <w:rPr>
          <w:rFonts w:hint="eastAsia" w:ascii="宋体" w:hAnsi="宋体" w:cs="宋体"/>
          <w:color w:val="000000" w:themeColor="text1"/>
          <w:sz w:val="24"/>
          <w:szCs w:val="24"/>
          <w:highlight w:val="none"/>
          <w:lang w:eastAsia="zh-CN"/>
          <w14:textFill>
            <w14:solidFill>
              <w14:schemeClr w14:val="tx1"/>
            </w14:solidFill>
          </w14:textFill>
        </w:rPr>
        <w:t>标和商务标</w:t>
      </w:r>
      <w:r>
        <w:rPr>
          <w:rFonts w:hint="eastAsia" w:ascii="宋体" w:hAnsi="宋体" w:eastAsia="宋体" w:cs="宋体"/>
          <w:color w:val="000000" w:themeColor="text1"/>
          <w:sz w:val="24"/>
          <w:szCs w:val="24"/>
          <w:highlight w:val="none"/>
          <w14:textFill>
            <w14:solidFill>
              <w14:schemeClr w14:val="tx1"/>
            </w14:solidFill>
          </w14:textFill>
        </w:rPr>
        <w:t>磋商响应文件进行评定，磋商小组对于认定不合格的技术标</w:t>
      </w:r>
      <w:r>
        <w:rPr>
          <w:rFonts w:hint="eastAsia" w:ascii="宋体" w:hAnsi="宋体" w:cs="宋体"/>
          <w:color w:val="000000" w:themeColor="text1"/>
          <w:sz w:val="24"/>
          <w:szCs w:val="24"/>
          <w:highlight w:val="none"/>
          <w:lang w:eastAsia="zh-CN"/>
          <w14:textFill>
            <w14:solidFill>
              <w14:schemeClr w14:val="tx1"/>
            </w14:solidFill>
          </w14:textFill>
        </w:rPr>
        <w:t>和商务标</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cs="宋体"/>
          <w:color w:val="000000" w:themeColor="text1"/>
          <w:sz w:val="24"/>
          <w:szCs w:val="24"/>
          <w:highlight w:val="none"/>
          <w:lang w:eastAsia="zh-CN"/>
          <w14:textFill>
            <w14:solidFill>
              <w14:schemeClr w14:val="tx1"/>
            </w14:solidFill>
          </w14:textFill>
        </w:rPr>
        <w:t>出</w:t>
      </w:r>
      <w:r>
        <w:rPr>
          <w:rFonts w:hint="eastAsia" w:ascii="宋体" w:hAnsi="宋体" w:eastAsia="宋体" w:cs="宋体"/>
          <w:color w:val="000000" w:themeColor="text1"/>
          <w:sz w:val="24"/>
          <w:szCs w:val="24"/>
          <w:highlight w:val="none"/>
          <w14:textFill>
            <w14:solidFill>
              <w14:schemeClr w14:val="tx1"/>
            </w14:solidFill>
          </w14:textFill>
        </w:rPr>
        <w:t>具评标报告。评标报告全体评标成员签字确认（评审标准详附表）。</w:t>
      </w:r>
      <w:bookmarkEnd w:id="152"/>
      <w:bookmarkEnd w:id="153"/>
    </w:p>
    <w:p w14:paraId="1D141CB9">
      <w:pPr>
        <w:pStyle w:val="46"/>
        <w:pageBreakBefore w:val="0"/>
        <w:widowControl/>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4" w:name="_Toc19540"/>
      <w:bookmarkStart w:id="155" w:name="_Toc671"/>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经济部分</w:t>
      </w:r>
      <w:r>
        <w:rPr>
          <w:rFonts w:hint="eastAsia" w:ascii="宋体" w:hAnsi="宋体" w:eastAsia="宋体" w:cs="宋体"/>
          <w:b w:val="0"/>
          <w:bCs w:val="0"/>
          <w:color w:val="000000" w:themeColor="text1"/>
          <w:sz w:val="24"/>
          <w:szCs w:val="24"/>
          <w:highlight w:val="none"/>
          <w14:textFill>
            <w14:solidFill>
              <w14:schemeClr w14:val="tx1"/>
            </w14:solidFill>
          </w14:textFill>
        </w:rPr>
        <w:t>评定</w:t>
      </w:r>
      <w:bookmarkEnd w:id="154"/>
      <w:bookmarkEnd w:id="155"/>
    </w:p>
    <w:p w14:paraId="70D57EF7">
      <w:pPr>
        <w:pStyle w:val="46"/>
        <w:pageBreakBefore w:val="0"/>
        <w:widowControl/>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6" w:name="_Toc19117"/>
      <w:bookmarkStart w:id="157" w:name="_Toc1128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经济部分</w:t>
      </w:r>
      <w:r>
        <w:rPr>
          <w:rFonts w:hint="eastAsia" w:ascii="宋体" w:hAnsi="宋体" w:eastAsia="宋体" w:cs="宋体"/>
          <w:b w:val="0"/>
          <w:bCs w:val="0"/>
          <w:color w:val="000000" w:themeColor="text1"/>
          <w:sz w:val="24"/>
          <w:szCs w:val="24"/>
          <w:highlight w:val="none"/>
          <w14:textFill>
            <w14:solidFill>
              <w14:schemeClr w14:val="tx1"/>
            </w14:solidFill>
          </w14:textFill>
        </w:rPr>
        <w:t>的评审标准详见附表。</w:t>
      </w:r>
      <w:bookmarkEnd w:id="156"/>
      <w:bookmarkEnd w:id="157"/>
    </w:p>
    <w:p w14:paraId="4023D4CB">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评审结果</w:t>
      </w:r>
    </w:p>
    <w:p w14:paraId="1BEAD8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除第二</w:t>
      </w:r>
      <w:r>
        <w:rPr>
          <w:rFonts w:hint="eastAsia" w:ascii="宋体" w:hAnsi="宋体" w:cs="宋体"/>
          <w:b w:val="0"/>
          <w:bCs/>
          <w:color w:val="000000" w:themeColor="text1"/>
          <w:sz w:val="24"/>
          <w:szCs w:val="24"/>
          <w:highlight w:val="none"/>
          <w:lang w:eastAsia="zh-CN"/>
          <w14:textFill>
            <w14:solidFill>
              <w14:schemeClr w14:val="tx1"/>
            </w14:solidFill>
          </w14:textFill>
        </w:rPr>
        <w:t>部分“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val="0"/>
          <w:bCs/>
          <w:color w:val="000000" w:themeColor="text1"/>
          <w:sz w:val="24"/>
          <w:szCs w:val="24"/>
          <w:highlight w:val="none"/>
          <w14:textFill>
            <w14:solidFill>
              <w14:schemeClr w14:val="tx1"/>
            </w14:solidFill>
          </w14:textFill>
        </w:rPr>
        <w:t>须知</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前附表授权直接确定中标人外，磋商小组通过评标办法以得分由高到</w:t>
      </w:r>
      <w:r>
        <w:rPr>
          <w:rFonts w:hint="eastAsia" w:ascii="宋体" w:hAnsi="宋体" w:eastAsia="宋体" w:cs="宋体"/>
          <w:color w:val="000000" w:themeColor="text1"/>
          <w:sz w:val="24"/>
          <w:szCs w:val="24"/>
          <w:highlight w:val="none"/>
          <w14:textFill>
            <w14:solidFill>
              <w14:schemeClr w14:val="tx1"/>
            </w14:solidFill>
          </w14:textFill>
        </w:rPr>
        <w:t>低确定出前三名作为中标候选人推荐给</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p>
    <w:p w14:paraId="04FEF69D">
      <w:pPr>
        <w:pageBreakBefore w:val="0"/>
        <w:kinsoku/>
        <w:wordWrap/>
        <w:overflowPunct/>
        <w:autoSpaceDE/>
        <w:autoSpaceDN/>
        <w:bidi w:val="0"/>
        <w:adjustRightInd/>
        <w:snapToGrid/>
        <w:spacing w:line="48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依法必须招标的项目，</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应当确定排名第一的中标候选人为中标人。排名第一的中标候选人放弃中标、因不可抗力提出不能履行合同、或者磋商文件规定应当提交履约保证金而在规定的期限内未能提交的，招标人可以确定排名第二的中标候选人为中标人。</w:t>
      </w:r>
    </w:p>
    <w:p w14:paraId="1EEEBC4A">
      <w:pPr>
        <w:pageBreakBefore w:val="0"/>
        <w:kinsoku/>
        <w:wordWrap/>
        <w:overflowPunct/>
        <w:autoSpaceDE/>
        <w:autoSpaceDN/>
        <w:bidi w:val="0"/>
        <w:adjustRightInd/>
        <w:snapToGrid/>
        <w:spacing w:line="48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排名第二的中标候选人因前款确定的同样原因不能签订合同的，</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可以确定排名第三的中标候选人为中标人。</w:t>
      </w:r>
    </w:p>
    <w:p w14:paraId="4363F4ED">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磋商小组完成评审后，应当向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提交书面评审报告</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6B54F9C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成</w:t>
      </w:r>
      <w:r>
        <w:rPr>
          <w:rFonts w:hint="eastAsia" w:ascii="宋体" w:hAnsi="宋体" w:eastAsia="宋体" w:cs="宋体"/>
          <w:color w:val="000000" w:themeColor="text1"/>
          <w:sz w:val="24"/>
          <w:szCs w:val="24"/>
          <w:highlight w:val="none"/>
          <w14:textFill>
            <w14:solidFill>
              <w14:schemeClr w14:val="tx1"/>
            </w14:solidFill>
          </w14:textFill>
        </w:rPr>
        <w:t>交结果信息公布</w:t>
      </w:r>
    </w:p>
    <w:p w14:paraId="5102C9FD">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中标结果公告将在新疆政府采购网上发布，公告期限为1个工作日。</w:t>
      </w:r>
    </w:p>
    <w:p w14:paraId="0A2F8468">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评审标准</w:t>
      </w:r>
    </w:p>
    <w:p w14:paraId="59D05FA3">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磋商小组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总分为100分，其中经济</w:t>
      </w:r>
      <w:r>
        <w:rPr>
          <w:rFonts w:hint="eastAsia" w:ascii="宋体" w:hAnsi="宋体" w:cs="宋体"/>
          <w:b w:val="0"/>
          <w:bCs/>
          <w:color w:val="000000" w:themeColor="text1"/>
          <w:sz w:val="24"/>
          <w:szCs w:val="24"/>
          <w:highlight w:val="none"/>
          <w:lang w:eastAsia="zh-CN"/>
          <w14:textFill>
            <w14:solidFill>
              <w14:schemeClr w14:val="tx1"/>
            </w14:solidFill>
          </w14:textFill>
        </w:rPr>
        <w:t>部分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0分，技术商务</w:t>
      </w:r>
      <w:r>
        <w:rPr>
          <w:rFonts w:hint="eastAsia" w:ascii="宋体" w:hAnsi="宋体" w:cs="宋体"/>
          <w:b w:val="0"/>
          <w:bCs/>
          <w:color w:val="000000" w:themeColor="text1"/>
          <w:sz w:val="24"/>
          <w:szCs w:val="24"/>
          <w:highlight w:val="none"/>
          <w:lang w:eastAsia="zh-CN"/>
          <w14:textFill>
            <w14:solidFill>
              <w14:schemeClr w14:val="tx1"/>
            </w14:solidFill>
          </w14:textFill>
        </w:rPr>
        <w:t>部分</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0分。将每位</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val="0"/>
          <w:bCs/>
          <w:color w:val="000000" w:themeColor="text1"/>
          <w:sz w:val="24"/>
          <w:szCs w:val="24"/>
          <w:highlight w:val="none"/>
          <w14:textFill>
            <w14:solidFill>
              <w14:schemeClr w14:val="tx1"/>
            </w14:solidFill>
          </w14:textFill>
        </w:rPr>
        <w:t>的所有得分相加即为该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val="0"/>
          <w:bCs/>
          <w:color w:val="000000" w:themeColor="text1"/>
          <w:sz w:val="24"/>
          <w:szCs w:val="24"/>
          <w:highlight w:val="none"/>
          <w14:textFill>
            <w14:solidFill>
              <w14:schemeClr w14:val="tx1"/>
            </w14:solidFill>
          </w14:textFill>
        </w:rPr>
        <w:t>的总得分。初步评审附表及详细评审内容标准如下：</w:t>
      </w:r>
    </w:p>
    <w:p w14:paraId="48E14F7B">
      <w:pPr>
        <w:pStyle w:val="21"/>
        <w:pageBreakBefore w:val="0"/>
        <w:kinsoku/>
        <w:overflowPunct/>
        <w:bidi w:val="0"/>
        <w:spacing w:line="480" w:lineRule="exact"/>
        <w:ind w:firstLine="0" w:firstLineChars="0"/>
        <w:jc w:val="center"/>
        <w:textAlignment w:val="auto"/>
        <w:rPr>
          <w:rFonts w:hint="eastAsia" w:ascii="宋体" w:hAnsi="宋体" w:eastAsia="宋体" w:cs="宋体"/>
          <w:b/>
          <w:color w:val="000000" w:themeColor="text1"/>
          <w:sz w:val="32"/>
          <w:szCs w:val="24"/>
          <w:highlight w:val="none"/>
          <w:lang w:val="zh-CN"/>
          <w14:textFill>
            <w14:solidFill>
              <w14:schemeClr w14:val="tx1"/>
            </w14:solidFill>
          </w14:textFill>
        </w:rPr>
      </w:pPr>
      <w:bookmarkStart w:id="158" w:name="_Toc298240410"/>
      <w:bookmarkStart w:id="159" w:name="_Toc349637925"/>
      <w:bookmarkStart w:id="160" w:name="_Toc349573126"/>
      <w:bookmarkStart w:id="161" w:name="_Toc527642957"/>
      <w:bookmarkStart w:id="162" w:name="_Toc471489758"/>
      <w:bookmarkStart w:id="163" w:name="_Toc267301287"/>
      <w:bookmarkStart w:id="164" w:name="_Toc267301288"/>
    </w:p>
    <w:p w14:paraId="724CC49D">
      <w:pPr>
        <w:pStyle w:val="21"/>
        <w:pageBreakBefore w:val="0"/>
        <w:kinsoku/>
        <w:overflowPunct/>
        <w:bidi w:val="0"/>
        <w:spacing w:line="480" w:lineRule="exact"/>
        <w:ind w:firstLine="0" w:firstLineChars="0"/>
        <w:jc w:val="center"/>
        <w:textAlignment w:val="auto"/>
        <w:rPr>
          <w:rFonts w:hint="eastAsia" w:ascii="宋体" w:hAnsi="宋体" w:eastAsia="宋体" w:cs="宋体"/>
          <w:b/>
          <w:color w:val="000000" w:themeColor="text1"/>
          <w:sz w:val="32"/>
          <w:szCs w:val="24"/>
          <w:highlight w:val="none"/>
          <w:lang w:val="zh-CN"/>
          <w14:textFill>
            <w14:solidFill>
              <w14:schemeClr w14:val="tx1"/>
            </w14:solidFill>
          </w14:textFill>
        </w:rPr>
      </w:pPr>
    </w:p>
    <w:p w14:paraId="7CF85AF5">
      <w:pPr>
        <w:pStyle w:val="21"/>
        <w:pageBreakBefore w:val="0"/>
        <w:kinsoku/>
        <w:overflowPunct/>
        <w:bidi w:val="0"/>
        <w:spacing w:line="480" w:lineRule="exact"/>
        <w:ind w:firstLine="0" w:firstLineChars="0"/>
        <w:jc w:val="center"/>
        <w:textAlignment w:val="auto"/>
        <w:rPr>
          <w:rFonts w:hint="eastAsia" w:ascii="宋体" w:hAnsi="宋体" w:eastAsia="宋体" w:cs="宋体"/>
          <w:b/>
          <w:color w:val="000000" w:themeColor="text1"/>
          <w:sz w:val="32"/>
          <w:szCs w:val="24"/>
          <w:highlight w:val="none"/>
          <w:lang w:val="zh-CN"/>
          <w14:textFill>
            <w14:solidFill>
              <w14:schemeClr w14:val="tx1"/>
            </w14:solidFill>
          </w14:textFill>
        </w:rPr>
      </w:pPr>
    </w:p>
    <w:p w14:paraId="181DC5E7">
      <w:pPr>
        <w:pStyle w:val="21"/>
        <w:pageBreakBefore w:val="0"/>
        <w:kinsoku/>
        <w:overflowPunct/>
        <w:bidi w:val="0"/>
        <w:spacing w:line="480" w:lineRule="exact"/>
        <w:ind w:firstLine="0" w:firstLineChars="0"/>
        <w:jc w:val="both"/>
        <w:textAlignment w:val="auto"/>
        <w:rPr>
          <w:rFonts w:hint="eastAsia" w:ascii="宋体" w:hAnsi="宋体" w:eastAsia="宋体" w:cs="宋体"/>
          <w:b/>
          <w:color w:val="000000" w:themeColor="text1"/>
          <w:sz w:val="32"/>
          <w:szCs w:val="24"/>
          <w:highlight w:val="none"/>
          <w:lang w:val="zh-CN"/>
          <w14:textFill>
            <w14:solidFill>
              <w14:schemeClr w14:val="tx1"/>
            </w14:solidFill>
          </w14:textFill>
        </w:rPr>
      </w:pPr>
    </w:p>
    <w:p w14:paraId="75A18E75">
      <w:pPr>
        <w:pStyle w:val="21"/>
        <w:pageBreakBefore w:val="0"/>
        <w:kinsoku/>
        <w:overflowPunct/>
        <w:bidi w:val="0"/>
        <w:spacing w:line="480" w:lineRule="exact"/>
        <w:ind w:firstLine="0" w:firstLineChars="0"/>
        <w:jc w:val="center"/>
        <w:textAlignment w:val="auto"/>
        <w:rPr>
          <w:rFonts w:ascii="宋体" w:hAnsi="宋体" w:eastAsia="宋体" w:cs="宋体"/>
          <w:b/>
          <w:color w:val="000000" w:themeColor="text1"/>
          <w:sz w:val="32"/>
          <w:szCs w:val="24"/>
          <w:highlight w:val="none"/>
          <w:lang w:val="zh-CN"/>
          <w14:textFill>
            <w14:solidFill>
              <w14:schemeClr w14:val="tx1"/>
            </w14:solidFill>
          </w14:textFill>
        </w:rPr>
      </w:pPr>
      <w:r>
        <w:rPr>
          <w:rFonts w:hint="eastAsia" w:ascii="宋体" w:hAnsi="宋体" w:eastAsia="宋体" w:cs="宋体"/>
          <w:b/>
          <w:color w:val="000000" w:themeColor="text1"/>
          <w:sz w:val="32"/>
          <w:szCs w:val="24"/>
          <w:highlight w:val="none"/>
          <w:lang w:val="zh-CN"/>
          <w14:textFill>
            <w14:solidFill>
              <w14:schemeClr w14:val="tx1"/>
            </w14:solidFill>
          </w14:textFill>
        </w:rPr>
        <w:t>详细评审内容标准</w:t>
      </w:r>
    </w:p>
    <w:tbl>
      <w:tblPr>
        <w:tblStyle w:val="22"/>
        <w:tblpPr w:leftFromText="180" w:rightFromText="180" w:vertAnchor="text" w:horzAnchor="page" w:tblpX="1100" w:tblpY="208"/>
        <w:tblOverlap w:val="never"/>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13"/>
        <w:gridCol w:w="902"/>
        <w:gridCol w:w="6463"/>
      </w:tblGrid>
      <w:tr w14:paraId="39C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80" w:type="dxa"/>
            <w:vAlign w:val="center"/>
          </w:tcPr>
          <w:p w14:paraId="1F44BE75">
            <w:pPr>
              <w:pageBreakBefore w:val="0"/>
              <w:kinsoku/>
              <w:overflowPunct/>
              <w:bidi w:val="0"/>
              <w:snapToGrid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评审项目</w:t>
            </w:r>
          </w:p>
        </w:tc>
        <w:tc>
          <w:tcPr>
            <w:tcW w:w="2215" w:type="dxa"/>
            <w:gridSpan w:val="2"/>
            <w:vAlign w:val="center"/>
          </w:tcPr>
          <w:p w14:paraId="1966B17A">
            <w:pPr>
              <w:pageBreakBefore w:val="0"/>
              <w:kinsoku/>
              <w:overflowPunct/>
              <w:bidi w:val="0"/>
              <w:snapToGrid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6463" w:type="dxa"/>
            <w:vAlign w:val="center"/>
          </w:tcPr>
          <w:p w14:paraId="251ECC1E">
            <w:pPr>
              <w:pageBreakBefore w:val="0"/>
              <w:kinsoku/>
              <w:overflowPunct/>
              <w:bidi w:val="0"/>
              <w:snapToGrid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评分标准说明</w:t>
            </w:r>
          </w:p>
        </w:tc>
      </w:tr>
      <w:tr w14:paraId="2CD4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858" w:type="dxa"/>
            <w:gridSpan w:val="4"/>
            <w:vAlign w:val="center"/>
          </w:tcPr>
          <w:p w14:paraId="709C2DBF">
            <w:pPr>
              <w:pageBreakBefore w:val="0"/>
              <w:kinsoku/>
              <w:overflowPunct/>
              <w:bidi w:val="0"/>
              <w:snapToGrid w:val="0"/>
              <w:spacing w:line="480" w:lineRule="exac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cs="宋体"/>
                <w:b/>
                <w:bCs/>
                <w:color w:val="000000" w:themeColor="text1"/>
                <w:sz w:val="21"/>
                <w:szCs w:val="21"/>
                <w:highlight w:val="none"/>
                <w:lang w:eastAsia="zh-CN"/>
                <w14:textFill>
                  <w14:solidFill>
                    <w14:schemeClr w14:val="tx1"/>
                  </w14:solidFill>
                </w14:textFill>
              </w:rPr>
              <w:t>经济部分</w:t>
            </w:r>
            <w:r>
              <w:rPr>
                <w:rFonts w:hint="eastAsia" w:ascii="宋体" w:hAnsi="宋体" w:eastAsia="宋体" w:cs="宋体"/>
                <w:b/>
                <w:bCs/>
                <w:color w:val="000000" w:themeColor="text1"/>
                <w:sz w:val="21"/>
                <w:szCs w:val="21"/>
                <w:highlight w:val="none"/>
                <w14:textFill>
                  <w14:solidFill>
                    <w14:schemeClr w14:val="tx1"/>
                  </w14:solidFill>
                </w14:textFill>
              </w:rPr>
              <w:t>报价</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0分</w:t>
            </w:r>
          </w:p>
        </w:tc>
      </w:tr>
      <w:tr w14:paraId="1874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1180" w:type="dxa"/>
            <w:vAlign w:val="center"/>
          </w:tcPr>
          <w:p w14:paraId="096B1AA5">
            <w:pPr>
              <w:pageBreakBefore w:val="0"/>
              <w:widowControl/>
              <w:kinsoku/>
              <w:overflowPunct/>
              <w:bidi w:val="0"/>
              <w:spacing w:line="480" w:lineRule="exact"/>
              <w:ind w:left="630" w:hanging="630" w:hangingChars="300"/>
              <w:contextualSpacing/>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w:t>
            </w:r>
          </w:p>
        </w:tc>
        <w:tc>
          <w:tcPr>
            <w:tcW w:w="2215" w:type="dxa"/>
            <w:gridSpan w:val="2"/>
            <w:vAlign w:val="center"/>
          </w:tcPr>
          <w:p w14:paraId="01B71D36">
            <w:pPr>
              <w:pageBreakBefore w:val="0"/>
              <w:kinsoku/>
              <w:overflowPunct/>
              <w:bidi w:val="0"/>
              <w:spacing w:line="480" w:lineRule="exact"/>
              <w:contextualSpacing/>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0分</w:t>
            </w:r>
          </w:p>
        </w:tc>
        <w:tc>
          <w:tcPr>
            <w:tcW w:w="6463" w:type="dxa"/>
            <w:vAlign w:val="center"/>
          </w:tcPr>
          <w:p w14:paraId="40679C2D">
            <w:pPr>
              <w:pageBreakBefore w:val="0"/>
              <w:kinsoku/>
              <w:overflowPunct/>
              <w:bidi w:val="0"/>
              <w:spacing w:line="480" w:lineRule="exact"/>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价格分采用低价优先法计算，即满足竞争性磋商文件要求且最终报价最低的投标单位的价格为磋商基准价，其价格分为满分</w:t>
            </w:r>
            <w:r>
              <w:rPr>
                <w:rFonts w:hint="default" w:ascii="宋体" w:hAnsi="宋体" w:eastAsia="宋体" w:cs="宋体"/>
                <w:color w:val="000000" w:themeColor="text1"/>
                <w:spacing w:val="-4"/>
                <w:sz w:val="21"/>
                <w:szCs w:val="21"/>
                <w:highlight w:val="none"/>
                <w:lang w:val="en-US"/>
                <w14:textFill>
                  <w14:solidFill>
                    <w14:schemeClr w14:val="tx1"/>
                  </w14:solidFill>
                </w14:textFill>
              </w:rPr>
              <w:t>30分</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5894EFA6">
            <w:pPr>
              <w:pageBreakBefore w:val="0"/>
              <w:kinsoku/>
              <w:overflowPunct/>
              <w:bidi w:val="0"/>
              <w:spacing w:line="480" w:lineRule="exact"/>
              <w:jc w:val="left"/>
              <w:textAlignment w:val="auto"/>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其他投标单位的价格得分计算：磋商报价得分=（磋商基准价/最终磋商报价）×</w:t>
            </w:r>
            <w:r>
              <w:rPr>
                <w:rFonts w:hint="eastAsia" w:ascii="宋体" w:hAnsi="宋体" w:cs="宋体"/>
                <w:color w:val="000000" w:themeColor="text1"/>
                <w:spacing w:val="-4"/>
                <w:sz w:val="21"/>
                <w:szCs w:val="21"/>
                <w:highlight w:val="none"/>
                <w:lang w:val="en-US" w:eastAsia="zh-CN"/>
                <w14:textFill>
                  <w14:solidFill>
                    <w14:schemeClr w14:val="tx1"/>
                  </w14:solidFill>
                </w14:textFill>
              </w:rPr>
              <w:t>30</w:t>
            </w:r>
            <w:r>
              <w:rPr>
                <w:rFonts w:hint="default" w:ascii="宋体" w:hAnsi="宋体" w:cs="宋体"/>
                <w:color w:val="000000" w:themeColor="text1"/>
                <w:spacing w:val="-4"/>
                <w:sz w:val="21"/>
                <w:szCs w:val="21"/>
                <w:highlight w:val="none"/>
                <w:lang w:val="en-US" w:eastAsia="zh-CN"/>
                <w14:textFill>
                  <w14:solidFill>
                    <w14:schemeClr w14:val="tx1"/>
                  </w14:solidFill>
                </w14:textFill>
              </w:rPr>
              <w:t>分</w:t>
            </w:r>
          </w:p>
        </w:tc>
      </w:tr>
      <w:tr w14:paraId="4F12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9858" w:type="dxa"/>
            <w:gridSpan w:val="4"/>
            <w:tcBorders>
              <w:top w:val="single" w:color="auto" w:sz="4" w:space="0"/>
              <w:left w:val="single" w:color="auto" w:sz="4" w:space="0"/>
              <w:bottom w:val="single" w:color="auto" w:sz="4" w:space="0"/>
              <w:right w:val="single" w:color="auto" w:sz="4" w:space="0"/>
            </w:tcBorders>
            <w:vAlign w:val="center"/>
          </w:tcPr>
          <w:p w14:paraId="13FC8263">
            <w:pPr>
              <w:pageBreakBefore w:val="0"/>
              <w:widowControl/>
              <w:kinsoku/>
              <w:overflowPunct/>
              <w:bidi w:val="0"/>
              <w:spacing w:line="480" w:lineRule="exact"/>
              <w:contextualSpacing/>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商务</w:t>
            </w:r>
            <w:r>
              <w:rPr>
                <w:rFonts w:hint="eastAsia" w:ascii="宋体" w:hAnsi="宋体" w:eastAsia="宋体" w:cs="宋体"/>
                <w:b/>
                <w:bCs/>
                <w:color w:val="000000" w:themeColor="text1"/>
                <w:sz w:val="21"/>
                <w:szCs w:val="21"/>
                <w:highlight w:val="none"/>
                <w14:textFill>
                  <w14:solidFill>
                    <w14:schemeClr w14:val="tx1"/>
                  </w14:solidFill>
                </w14:textFill>
              </w:rPr>
              <w:t>技术</w:t>
            </w:r>
            <w:r>
              <w:rPr>
                <w:rFonts w:hint="eastAsia" w:ascii="宋体" w:hAnsi="宋体" w:cs="宋体"/>
                <w:b/>
                <w:bCs/>
                <w:color w:val="000000" w:themeColor="text1"/>
                <w:sz w:val="21"/>
                <w:szCs w:val="21"/>
                <w:highlight w:val="none"/>
                <w:lang w:eastAsia="zh-CN"/>
                <w14:textFill>
                  <w14:solidFill>
                    <w14:schemeClr w14:val="tx1"/>
                  </w14:solidFill>
                </w14:textFill>
              </w:rPr>
              <w:t>部分</w:t>
            </w:r>
            <w:r>
              <w:rPr>
                <w:rFonts w:hint="eastAsia" w:ascii="宋体" w:hAnsi="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p>
        </w:tc>
      </w:tr>
      <w:tr w14:paraId="2088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180" w:type="dxa"/>
            <w:vAlign w:val="center"/>
          </w:tcPr>
          <w:p w14:paraId="045193F2">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13" w:type="dxa"/>
            <w:vAlign w:val="center"/>
          </w:tcPr>
          <w:p w14:paraId="079956A1">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评审项目</w:t>
            </w:r>
          </w:p>
        </w:tc>
        <w:tc>
          <w:tcPr>
            <w:tcW w:w="902" w:type="dxa"/>
            <w:vAlign w:val="center"/>
          </w:tcPr>
          <w:p w14:paraId="6FB455A7">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463" w:type="dxa"/>
            <w:vAlign w:val="center"/>
          </w:tcPr>
          <w:p w14:paraId="256FFFCA">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r>
      <w:tr w14:paraId="778E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6D82E893">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313" w:type="dxa"/>
            <w:vAlign w:val="center"/>
          </w:tcPr>
          <w:p w14:paraId="7BA3ADFE">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投标人近3年类似业绩</w:t>
            </w:r>
          </w:p>
        </w:tc>
        <w:tc>
          <w:tcPr>
            <w:tcW w:w="902" w:type="dxa"/>
            <w:vAlign w:val="center"/>
          </w:tcPr>
          <w:p w14:paraId="61AF533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6</w:t>
            </w:r>
          </w:p>
        </w:tc>
        <w:tc>
          <w:tcPr>
            <w:tcW w:w="6463" w:type="dxa"/>
            <w:vAlign w:val="center"/>
          </w:tcPr>
          <w:p w14:paraId="580DBA4D">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近3年（投标截止日期</w:t>
            </w:r>
            <w:r>
              <w:rPr>
                <w:rFonts w:hint="eastAsia" w:ascii="宋体" w:hAnsi="宋体" w:cs="宋体"/>
                <w:color w:val="000000" w:themeColor="text1"/>
                <w:spacing w:val="-4"/>
                <w:sz w:val="21"/>
                <w:szCs w:val="21"/>
                <w:highlight w:val="none"/>
                <w:lang w:val="en-US" w:eastAsia="zh-CN"/>
                <w14:textFill>
                  <w14:solidFill>
                    <w14:schemeClr w14:val="tx1"/>
                  </w14:solidFill>
                </w14:textFill>
              </w:rPr>
              <w:t>往前</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）类似的业绩，每项业绩得</w:t>
            </w:r>
            <w:r>
              <w:rPr>
                <w:rFonts w:hint="eastAsia" w:ascii="宋体" w:hAnsi="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分，共</w:t>
            </w:r>
            <w:r>
              <w:rPr>
                <w:rFonts w:hint="eastAsia" w:ascii="宋体" w:hAnsi="宋体" w:cs="宋体"/>
                <w:color w:val="000000" w:themeColor="text1"/>
                <w:spacing w:val="-4"/>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分，得满为止（提供中标通知书及合同</w:t>
            </w:r>
            <w:r>
              <w:rPr>
                <w:rFonts w:hint="eastAsia" w:ascii="宋体" w:hAnsi="宋体" w:cs="宋体"/>
                <w:color w:val="000000" w:themeColor="text1"/>
                <w:spacing w:val="-4"/>
                <w:sz w:val="21"/>
                <w:szCs w:val="21"/>
                <w:highlight w:val="none"/>
                <w:lang w:val="en-US" w:eastAsia="zh-CN"/>
                <w14:textFill>
                  <w14:solidFill>
                    <w14:schemeClr w14:val="tx1"/>
                  </w14:solidFill>
                </w14:textFill>
              </w:rPr>
              <w:t>和竣工验收证明材料</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w:t>
            </w:r>
          </w:p>
        </w:tc>
      </w:tr>
      <w:tr w14:paraId="7EC3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298AEC29">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313" w:type="dxa"/>
            <w:vAlign w:val="center"/>
          </w:tcPr>
          <w:p w14:paraId="13D45414">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拟投入本项目人员配置情况</w:t>
            </w:r>
          </w:p>
        </w:tc>
        <w:tc>
          <w:tcPr>
            <w:tcW w:w="902" w:type="dxa"/>
            <w:vAlign w:val="center"/>
          </w:tcPr>
          <w:p w14:paraId="0375DB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6</w:t>
            </w:r>
          </w:p>
        </w:tc>
        <w:tc>
          <w:tcPr>
            <w:tcW w:w="6463" w:type="dxa"/>
            <w:vAlign w:val="center"/>
          </w:tcPr>
          <w:p w14:paraId="410EBF31">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本项目管理机构除项目经理以外，还应当包括技术负责人、施工员、资料员、安全员、质检员等岗位。有与项目规模大小相匹配的管理机构且相应岗位证书齐全的得6分；岗位或证书每缺少1个扣1分，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09A2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blHeader/>
        </w:trPr>
        <w:tc>
          <w:tcPr>
            <w:tcW w:w="1180" w:type="dxa"/>
            <w:tcBorders>
              <w:bottom w:val="single" w:color="auto" w:sz="4" w:space="0"/>
            </w:tcBorders>
            <w:vAlign w:val="center"/>
          </w:tcPr>
          <w:p w14:paraId="02ED8A2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3</w:t>
            </w:r>
          </w:p>
        </w:tc>
        <w:tc>
          <w:tcPr>
            <w:tcW w:w="1313" w:type="dxa"/>
            <w:tcBorders>
              <w:bottom w:val="single" w:color="auto" w:sz="4" w:space="0"/>
            </w:tcBorders>
            <w:vAlign w:val="center"/>
          </w:tcPr>
          <w:p w14:paraId="0D4839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工程概况</w:t>
            </w:r>
          </w:p>
          <w:p w14:paraId="5C63B0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及特点</w:t>
            </w:r>
          </w:p>
        </w:tc>
        <w:tc>
          <w:tcPr>
            <w:tcW w:w="902" w:type="dxa"/>
            <w:tcBorders>
              <w:bottom w:val="single" w:color="auto" w:sz="4" w:space="0"/>
            </w:tcBorders>
            <w:vAlign w:val="center"/>
          </w:tcPr>
          <w:p w14:paraId="615DC2C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2</w:t>
            </w:r>
          </w:p>
        </w:tc>
        <w:tc>
          <w:tcPr>
            <w:tcW w:w="6463" w:type="dxa"/>
            <w:tcBorders>
              <w:bottom w:val="single" w:color="auto" w:sz="4" w:space="0"/>
            </w:tcBorders>
            <w:vAlign w:val="center"/>
          </w:tcPr>
          <w:p w14:paraId="42C1428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投标文件与招标文件要求</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满足程度</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工程概况及特点叙述清楚，符合实际</w:t>
            </w:r>
            <w:r>
              <w:rPr>
                <w:rFonts w:hint="default" w:ascii="宋体" w:hAnsi="宋体" w:eastAsia="宋体" w:cs="宋体"/>
                <w:color w:val="000000" w:themeColor="text1"/>
                <w:spacing w:val="-4"/>
                <w:sz w:val="21"/>
                <w:szCs w:val="21"/>
                <w:highlight w:val="none"/>
                <w:lang w:val="en-US"/>
                <w14:textFill>
                  <w14:solidFill>
                    <w14:schemeClr w14:val="tx1"/>
                  </w14:solidFill>
                </w14:textFill>
              </w:rPr>
              <w:t>的</w:t>
            </w:r>
            <w:r>
              <w:rPr>
                <w:rFonts w:hint="eastAsia" w:ascii="宋体" w:hAnsi="宋体" w:eastAsia="宋体" w:cs="宋体"/>
                <w:color w:val="000000" w:themeColor="text1"/>
                <w:spacing w:val="-4"/>
                <w:sz w:val="21"/>
                <w:szCs w:val="21"/>
                <w:highlight w:val="none"/>
                <w14:textFill>
                  <w14:solidFill>
                    <w14:schemeClr w14:val="tx1"/>
                  </w14:solidFill>
                </w14:textFill>
              </w:rPr>
              <w:t>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；描述不清楚，不详细的得</w:t>
            </w:r>
            <w:r>
              <w:rPr>
                <w:rFonts w:hint="eastAsia" w:ascii="宋体" w:hAnsi="宋体" w:cs="宋体"/>
                <w:color w:val="000000" w:themeColor="text1"/>
                <w:spacing w:val="-4"/>
                <w:sz w:val="21"/>
                <w:szCs w:val="21"/>
                <w:highlight w:val="none"/>
                <w:lang w:val="en-US" w:eastAsia="zh-CN"/>
                <w14:textFill>
                  <w14:solidFill>
                    <w14:schemeClr w14:val="tx1"/>
                  </w14:solidFill>
                </w14:textFill>
              </w:rPr>
              <w:t>1分；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332E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1DA627D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4</w:t>
            </w:r>
          </w:p>
        </w:tc>
        <w:tc>
          <w:tcPr>
            <w:tcW w:w="1313" w:type="dxa"/>
            <w:vAlign w:val="center"/>
          </w:tcPr>
          <w:p w14:paraId="178AACE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施工准备</w:t>
            </w:r>
          </w:p>
          <w:p w14:paraId="15677F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w:t>
            </w:r>
          </w:p>
        </w:tc>
        <w:tc>
          <w:tcPr>
            <w:tcW w:w="902" w:type="dxa"/>
            <w:vAlign w:val="center"/>
          </w:tcPr>
          <w:p w14:paraId="648795C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3</w:t>
            </w:r>
          </w:p>
        </w:tc>
        <w:tc>
          <w:tcPr>
            <w:tcW w:w="6463" w:type="dxa"/>
            <w:vAlign w:val="center"/>
          </w:tcPr>
          <w:p w14:paraId="22C4A39D">
            <w:pPr>
              <w:keepNext w:val="0"/>
              <w:keepLines w:val="0"/>
              <w:pageBreakBefore w:val="0"/>
              <w:widowControl/>
              <w:numPr>
                <w:ilvl w:val="0"/>
                <w:numId w:val="8"/>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施工技术、现场管理计划应能充分保证工程需要；</w:t>
            </w:r>
          </w:p>
          <w:p w14:paraId="0717568B">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资源投入计划、施工部署、施工方法与进度计划能够相互呼应满足施工需要；</w:t>
            </w:r>
          </w:p>
          <w:p w14:paraId="420D38BD">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物资储备能充分保证工程需要</w:t>
            </w:r>
            <w:r>
              <w:rPr>
                <w:rFonts w:hint="eastAsia" w:ascii="宋体" w:hAnsi="宋体" w:cs="宋体"/>
                <w:color w:val="000000" w:themeColor="text1"/>
                <w:kern w:val="0"/>
                <w:sz w:val="21"/>
                <w:szCs w:val="21"/>
                <w:highlight w:val="none"/>
                <w:lang w:val="en-US" w:eastAsia="zh-CN"/>
                <w14:textFill>
                  <w14:solidFill>
                    <w14:schemeClr w14:val="tx1"/>
                  </w14:solidFill>
                </w14:textFill>
              </w:rPr>
              <w:t>。</w:t>
            </w:r>
          </w:p>
          <w:p w14:paraId="6A52EA06">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计划内容完整可行、符合项目实际情况的得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w:t>
            </w:r>
            <w:r>
              <w:rPr>
                <w:rFonts w:hint="eastAsia" w:ascii="宋体" w:hAnsi="宋体" w:eastAsia="宋体" w:cs="宋体"/>
                <w:color w:val="000000" w:themeColor="text1"/>
                <w:kern w:val="0"/>
                <w:sz w:val="21"/>
                <w:szCs w:val="21"/>
                <w:highlight w:val="none"/>
                <w14:textFill>
                  <w14:solidFill>
                    <w14:schemeClr w14:val="tx1"/>
                  </w14:solidFill>
                </w14:textFill>
              </w:rPr>
              <w:t>每存在一处缺漏或不详实或描述不清的扣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分，扣完为止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BC8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blHeader/>
        </w:trPr>
        <w:tc>
          <w:tcPr>
            <w:tcW w:w="1180" w:type="dxa"/>
            <w:vAlign w:val="center"/>
          </w:tcPr>
          <w:p w14:paraId="0498169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shd w:val="clear" w:color="auto" w:fill="auto"/>
                <w:lang w:val="en-US" w:eastAsia="zh-CN"/>
                <w14:textFill>
                  <w14:solidFill>
                    <w14:schemeClr w14:val="tx1"/>
                  </w14:solidFill>
                </w14:textFill>
              </w:rPr>
              <w:t>5</w:t>
            </w:r>
          </w:p>
        </w:tc>
        <w:tc>
          <w:tcPr>
            <w:tcW w:w="1313" w:type="dxa"/>
            <w:vAlign w:val="center"/>
          </w:tcPr>
          <w:p w14:paraId="51F07E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施工方案</w:t>
            </w:r>
          </w:p>
        </w:tc>
        <w:tc>
          <w:tcPr>
            <w:tcW w:w="902" w:type="dxa"/>
            <w:vAlign w:val="center"/>
          </w:tcPr>
          <w:p w14:paraId="1616119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10</w:t>
            </w:r>
          </w:p>
        </w:tc>
        <w:tc>
          <w:tcPr>
            <w:tcW w:w="6463" w:type="dxa"/>
            <w:vAlign w:val="center"/>
          </w:tcPr>
          <w:p w14:paraId="44C9413C">
            <w:pPr>
              <w:keepNext w:val="0"/>
              <w:keepLines w:val="0"/>
              <w:pageBreakBefore w:val="0"/>
              <w:numPr>
                <w:ilvl w:val="0"/>
                <w:numId w:val="9"/>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对项目总体概况表述清晰、完整；</w:t>
            </w:r>
          </w:p>
          <w:p w14:paraId="5C6235FF">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部署及措施先进、可靠；</w:t>
            </w:r>
          </w:p>
          <w:p w14:paraId="4703E431">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针对项目的重点、难点分析透彻，解决方案切实可行；</w:t>
            </w:r>
          </w:p>
          <w:p w14:paraId="2F350C17">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方案</w:t>
            </w:r>
            <w:r>
              <w:rPr>
                <w:rFonts w:hint="eastAsia" w:ascii="宋体" w:hAnsi="宋体" w:eastAsia="宋体" w:cs="宋体"/>
                <w:color w:val="000000" w:themeColor="text1"/>
                <w:spacing w:val="-4"/>
                <w:sz w:val="21"/>
                <w:szCs w:val="21"/>
                <w:highlight w:val="none"/>
                <w14:textFill>
                  <w14:solidFill>
                    <w14:schemeClr w14:val="tx1"/>
                  </w14:solidFill>
                </w14:textFill>
              </w:rPr>
              <w:t>布置有针对性、合理，较好满足施工需要，符合安全、文明生产要求等</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p w14:paraId="1D8241B2">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提高生产率、缩短工期、提高质量、降低消耗、减轻劳动强度</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05EDA572">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方案完整、可行、准确，完全符合项目实际情况的得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4"/>
                <w:sz w:val="21"/>
                <w:szCs w:val="21"/>
                <w:highlight w:val="none"/>
                <w14:textFill>
                  <w14:solidFill>
                    <w14:schemeClr w14:val="tx1"/>
                  </w14:solidFill>
                </w14:textFill>
              </w:rPr>
              <w:t>分；每存在一处缺漏或不详实或描述不清的扣</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45ED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36414CF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shd w:val="clear" w:color="auto" w:fill="auto"/>
                <w:lang w:val="en-US" w:eastAsia="zh-CN"/>
                <w14:textFill>
                  <w14:solidFill>
                    <w14:schemeClr w14:val="tx1"/>
                  </w14:solidFill>
                </w14:textFill>
              </w:rPr>
              <w:t>6</w:t>
            </w:r>
          </w:p>
        </w:tc>
        <w:tc>
          <w:tcPr>
            <w:tcW w:w="1313" w:type="dxa"/>
            <w:vAlign w:val="center"/>
          </w:tcPr>
          <w:p w14:paraId="3A7B6AA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施工进度</w:t>
            </w:r>
          </w:p>
          <w:p w14:paraId="7279F9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w:t>
            </w:r>
          </w:p>
        </w:tc>
        <w:tc>
          <w:tcPr>
            <w:tcW w:w="902" w:type="dxa"/>
            <w:vAlign w:val="center"/>
          </w:tcPr>
          <w:p w14:paraId="078AAF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4</w:t>
            </w:r>
          </w:p>
        </w:tc>
        <w:tc>
          <w:tcPr>
            <w:tcW w:w="6463" w:type="dxa"/>
            <w:vAlign w:val="center"/>
          </w:tcPr>
          <w:p w14:paraId="3709E75F">
            <w:pPr>
              <w:keepNext w:val="0"/>
              <w:keepLines w:val="0"/>
              <w:pageBreakBefore w:val="0"/>
              <w:widowControl/>
              <w:numPr>
                <w:ilvl w:val="0"/>
                <w:numId w:val="1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总工期及节点工期满足招标文件要求；</w:t>
            </w:r>
          </w:p>
          <w:p w14:paraId="1B92F6EA">
            <w:pPr>
              <w:keepNext w:val="0"/>
              <w:keepLines w:val="0"/>
              <w:pageBreakBefore w:val="0"/>
              <w:widowControl/>
              <w:numPr>
                <w:ilvl w:val="0"/>
                <w:numId w:val="1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施工进度计划内容全面，线路清晰、准确、完整，计划编制合理、可行；</w:t>
            </w:r>
          </w:p>
          <w:p w14:paraId="4EA35DF5">
            <w:pPr>
              <w:keepNext w:val="0"/>
              <w:keepLines w:val="0"/>
              <w:pageBreakBefore w:val="0"/>
              <w:widowControl/>
              <w:numPr>
                <w:ilvl w:val="0"/>
                <w:numId w:val="1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措施有力、合理、可行</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p w14:paraId="7085CFE0">
            <w:pPr>
              <w:keepNext w:val="0"/>
              <w:keepLines w:val="0"/>
              <w:pageBreakBefore w:val="0"/>
              <w:widowControl/>
              <w:numPr>
                <w:ilvl w:val="0"/>
                <w:numId w:val="1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进度计划应在空间和时间上做合理的统筹安排且符合施工的科学规律</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4F1C74B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计划完整、科学、符合项目实际情况的得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4"/>
                <w:sz w:val="21"/>
                <w:szCs w:val="21"/>
                <w:highlight w:val="none"/>
                <w14:textFill>
                  <w14:solidFill>
                    <w14:schemeClr w14:val="tx1"/>
                  </w14:solidFill>
                </w14:textFill>
              </w:rPr>
              <w:t>分；每存在一处缺漏或不详实或描述不清的扣</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2436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675FB14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7</w:t>
            </w:r>
          </w:p>
        </w:tc>
        <w:tc>
          <w:tcPr>
            <w:tcW w:w="1313" w:type="dxa"/>
            <w:vAlign w:val="center"/>
          </w:tcPr>
          <w:p w14:paraId="6937D48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施工平面图</w:t>
            </w:r>
          </w:p>
        </w:tc>
        <w:tc>
          <w:tcPr>
            <w:tcW w:w="902" w:type="dxa"/>
            <w:vAlign w:val="center"/>
          </w:tcPr>
          <w:p w14:paraId="2C014CE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4</w:t>
            </w:r>
          </w:p>
        </w:tc>
        <w:tc>
          <w:tcPr>
            <w:tcW w:w="6463" w:type="dxa"/>
            <w:vAlign w:val="center"/>
          </w:tcPr>
          <w:p w14:paraId="690340E4">
            <w:pPr>
              <w:keepNext w:val="0"/>
              <w:keepLines w:val="0"/>
              <w:pageBreakBefore w:val="0"/>
              <w:numPr>
                <w:ilvl w:val="0"/>
                <w:numId w:val="11"/>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根据投标单位提供的</w:t>
            </w:r>
            <w:r>
              <w:rPr>
                <w:rFonts w:hint="eastAsia" w:ascii="宋体" w:hAnsi="宋体" w:eastAsia="宋体" w:cs="宋体"/>
                <w:color w:val="000000" w:themeColor="text1"/>
                <w:spacing w:val="-4"/>
                <w:sz w:val="21"/>
                <w:szCs w:val="21"/>
                <w:highlight w:val="none"/>
                <w14:textFill>
                  <w14:solidFill>
                    <w14:schemeClr w14:val="tx1"/>
                  </w14:solidFill>
                </w14:textFill>
              </w:rPr>
              <w:t>施工平面图</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符合工程实际，布置紧凑</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p w14:paraId="20B40CBD">
            <w:pPr>
              <w:keepNext w:val="0"/>
              <w:keepLines w:val="0"/>
              <w:pageBreakBefore w:val="0"/>
              <w:numPr>
                <w:ilvl w:val="0"/>
                <w:numId w:val="1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总体布局</w:t>
            </w:r>
            <w:r>
              <w:rPr>
                <w:rFonts w:hint="eastAsia" w:ascii="宋体" w:hAnsi="宋体" w:eastAsia="宋体" w:cs="宋体"/>
                <w:color w:val="000000" w:themeColor="text1"/>
                <w:spacing w:val="-4"/>
                <w:sz w:val="21"/>
                <w:szCs w:val="21"/>
                <w:highlight w:val="none"/>
                <w14:textFill>
                  <w14:solidFill>
                    <w14:schemeClr w14:val="tx1"/>
                  </w14:solidFill>
                </w14:textFill>
              </w:rPr>
              <w:t>便于施工和管理并符合劳保、安全要求</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3CD80C39">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布局合理</w:t>
            </w:r>
            <w:r>
              <w:rPr>
                <w:rFonts w:hint="eastAsia" w:ascii="宋体" w:hAnsi="宋体" w:eastAsia="宋体" w:cs="宋体"/>
                <w:color w:val="000000" w:themeColor="text1"/>
                <w:spacing w:val="-4"/>
                <w:sz w:val="21"/>
                <w:szCs w:val="21"/>
                <w:highlight w:val="none"/>
                <w14:textFill>
                  <w14:solidFill>
                    <w14:schemeClr w14:val="tx1"/>
                  </w14:solidFill>
                </w14:textFill>
              </w:rPr>
              <w:t>、科学、符合项目实际情况的得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4"/>
                <w:sz w:val="21"/>
                <w:szCs w:val="21"/>
                <w:highlight w:val="none"/>
                <w14:textFill>
                  <w14:solidFill>
                    <w14:schemeClr w14:val="tx1"/>
                  </w14:solidFill>
                </w14:textFill>
              </w:rPr>
              <w:t>分；每存在一处缺漏或不详实或描述不清的扣</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563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3EE9DD4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8</w:t>
            </w:r>
          </w:p>
        </w:tc>
        <w:tc>
          <w:tcPr>
            <w:tcW w:w="1313" w:type="dxa"/>
            <w:vAlign w:val="center"/>
          </w:tcPr>
          <w:p w14:paraId="6F611A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劳动力</w:t>
            </w:r>
          </w:p>
          <w:p w14:paraId="46B05F5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用量计划</w:t>
            </w:r>
          </w:p>
        </w:tc>
        <w:tc>
          <w:tcPr>
            <w:tcW w:w="902" w:type="dxa"/>
            <w:vAlign w:val="center"/>
          </w:tcPr>
          <w:p w14:paraId="797591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6</w:t>
            </w:r>
          </w:p>
        </w:tc>
        <w:tc>
          <w:tcPr>
            <w:tcW w:w="6463" w:type="dxa"/>
            <w:vAlign w:val="center"/>
          </w:tcPr>
          <w:p w14:paraId="1ED68C23">
            <w:pPr>
              <w:keepNext w:val="0"/>
              <w:keepLines w:val="0"/>
              <w:pageBreakBefore w:val="0"/>
              <w:numPr>
                <w:ilvl w:val="0"/>
                <w:numId w:val="1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劳动力</w:t>
            </w:r>
            <w:r>
              <w:rPr>
                <w:rFonts w:hint="eastAsia" w:ascii="宋体" w:hAnsi="宋体" w:eastAsia="宋体" w:cs="宋体"/>
                <w:color w:val="000000" w:themeColor="text1"/>
                <w:spacing w:val="-4"/>
                <w:sz w:val="21"/>
                <w:szCs w:val="21"/>
                <w:highlight w:val="none"/>
                <w14:textFill>
                  <w14:solidFill>
                    <w14:schemeClr w14:val="tx1"/>
                  </w14:solidFill>
                </w14:textFill>
              </w:rPr>
              <w:t>用量计划须根据工程进度计划的安排计算，并与工程进度计划相一致</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29E4676E">
            <w:pPr>
              <w:keepNext w:val="0"/>
              <w:keepLines w:val="0"/>
              <w:pageBreakBefore w:val="0"/>
              <w:numPr>
                <w:ilvl w:val="0"/>
                <w:numId w:val="1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劳动力用量计划</w:t>
            </w:r>
            <w:r>
              <w:rPr>
                <w:rFonts w:hint="eastAsia" w:ascii="宋体" w:hAnsi="宋体" w:eastAsia="宋体" w:cs="宋体"/>
                <w:color w:val="000000" w:themeColor="text1"/>
                <w:spacing w:val="-4"/>
                <w:sz w:val="21"/>
                <w:szCs w:val="21"/>
                <w:highlight w:val="none"/>
                <w14:textFill>
                  <w14:solidFill>
                    <w14:schemeClr w14:val="tx1"/>
                  </w14:solidFill>
                </w14:textFill>
              </w:rPr>
              <w:t>降低消耗、减轻劳动强度</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409EBA8B">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计划完整、科学、符合项目实际情况的得</w:t>
            </w:r>
            <w:r>
              <w:rPr>
                <w:rFonts w:hint="eastAsia" w:ascii="宋体" w:hAnsi="宋体" w:cs="宋体"/>
                <w:color w:val="000000" w:themeColor="text1"/>
                <w:spacing w:val="-4"/>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4"/>
                <w:sz w:val="21"/>
                <w:szCs w:val="21"/>
                <w:highlight w:val="none"/>
                <w14:textFill>
                  <w14:solidFill>
                    <w14:schemeClr w14:val="tx1"/>
                  </w14:solidFill>
                </w14:textFill>
              </w:rPr>
              <w:t>分；每存在一处缺漏或不详实或描述不清的扣</w:t>
            </w:r>
            <w:r>
              <w:rPr>
                <w:rFonts w:hint="eastAsia" w:ascii="宋体" w:hAnsi="宋体" w:cs="宋体"/>
                <w:color w:val="000000" w:themeColor="text1"/>
                <w:spacing w:val="-4"/>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0D8C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13E7E5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9</w:t>
            </w:r>
          </w:p>
        </w:tc>
        <w:tc>
          <w:tcPr>
            <w:tcW w:w="1313" w:type="dxa"/>
            <w:vAlign w:val="center"/>
          </w:tcPr>
          <w:p w14:paraId="38A5025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w:t>
            </w:r>
          </w:p>
          <w:p w14:paraId="731AFCB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用量计划</w:t>
            </w:r>
          </w:p>
        </w:tc>
        <w:tc>
          <w:tcPr>
            <w:tcW w:w="902" w:type="dxa"/>
            <w:vAlign w:val="center"/>
          </w:tcPr>
          <w:p w14:paraId="31F0A71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4</w:t>
            </w:r>
          </w:p>
        </w:tc>
        <w:tc>
          <w:tcPr>
            <w:tcW w:w="6463" w:type="dxa"/>
            <w:vAlign w:val="center"/>
          </w:tcPr>
          <w:p w14:paraId="083442D3">
            <w:pPr>
              <w:keepNext w:val="0"/>
              <w:keepLines w:val="0"/>
              <w:pageBreakBefore w:val="0"/>
              <w:numPr>
                <w:ilvl w:val="0"/>
                <w:numId w:val="13"/>
              </w:numPr>
              <w:kinsoku/>
              <w:wordWrap/>
              <w:overflowPunct/>
              <w:topLinePunct w:val="0"/>
              <w:autoSpaceDE/>
              <w:autoSpaceDN/>
              <w:bidi w:val="0"/>
              <w:adjustRightInd/>
              <w:snapToGrid/>
              <w:spacing w:line="400" w:lineRule="exact"/>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default" w:ascii="宋体" w:hAnsi="宋体" w:eastAsia="宋体" w:cs="宋体"/>
                <w:color w:val="000000" w:themeColor="text1"/>
                <w:spacing w:val="-4"/>
                <w:sz w:val="21"/>
                <w:szCs w:val="21"/>
                <w:highlight w:val="none"/>
                <w:lang w:val="en-US"/>
                <w14:textFill>
                  <w14:solidFill>
                    <w14:schemeClr w14:val="tx1"/>
                  </w14:solidFill>
                </w14:textFill>
              </w:rPr>
              <w:t>材料</w:t>
            </w:r>
            <w:r>
              <w:rPr>
                <w:rFonts w:hint="eastAsia" w:ascii="宋体" w:hAnsi="宋体" w:eastAsia="宋体" w:cs="宋体"/>
                <w:color w:val="000000" w:themeColor="text1"/>
                <w:spacing w:val="-4"/>
                <w:sz w:val="21"/>
                <w:szCs w:val="21"/>
                <w:highlight w:val="none"/>
                <w14:textFill>
                  <w14:solidFill>
                    <w14:schemeClr w14:val="tx1"/>
                  </w14:solidFill>
                </w14:textFill>
              </w:rPr>
              <w:t>用量计划</w:t>
            </w:r>
            <w:r>
              <w:rPr>
                <w:rFonts w:hint="eastAsia" w:ascii="宋体" w:hAnsi="宋体" w:eastAsia="宋体" w:cs="宋体"/>
                <w:color w:val="000000" w:themeColor="text1"/>
                <w:sz w:val="21"/>
                <w:szCs w:val="21"/>
                <w:highlight w:val="none"/>
                <w14:textFill>
                  <w14:solidFill>
                    <w14:schemeClr w14:val="tx1"/>
                  </w14:solidFill>
                </w14:textFill>
              </w:rPr>
              <w:t>与施工进度计划相呼应且满足施工需要</w:t>
            </w:r>
            <w:r>
              <w:rPr>
                <w:rFonts w:hint="eastAsia" w:ascii="宋体" w:hAnsi="宋体" w:cs="宋体"/>
                <w:color w:val="000000" w:themeColor="text1"/>
                <w:sz w:val="21"/>
                <w:szCs w:val="21"/>
                <w:highlight w:val="none"/>
                <w:lang w:eastAsia="zh-CN"/>
                <w14:textFill>
                  <w14:solidFill>
                    <w14:schemeClr w14:val="tx1"/>
                  </w14:solidFill>
                </w14:textFill>
              </w:rPr>
              <w:t>；</w:t>
            </w:r>
          </w:p>
          <w:p w14:paraId="04B161E3">
            <w:pPr>
              <w:keepNext w:val="0"/>
              <w:keepLines w:val="0"/>
              <w:pageBreakBefore w:val="0"/>
              <w:numPr>
                <w:ilvl w:val="0"/>
                <w:numId w:val="1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周转材料与主体搭配周全合理</w:t>
            </w:r>
            <w:r>
              <w:rPr>
                <w:rFonts w:hint="eastAsia" w:ascii="宋体" w:hAnsi="宋体" w:cs="宋体"/>
                <w:color w:val="000000" w:themeColor="text1"/>
                <w:sz w:val="21"/>
                <w:szCs w:val="21"/>
                <w:highlight w:val="none"/>
                <w:lang w:eastAsia="zh-CN"/>
                <w14:textFill>
                  <w14:solidFill>
                    <w14:schemeClr w14:val="tx1"/>
                  </w14:solidFill>
                </w14:textFill>
              </w:rPr>
              <w:t>。</w:t>
            </w:r>
          </w:p>
          <w:p w14:paraId="3A3CDB52">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计划完整、科学、符合项目实际情况的得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4"/>
                <w:sz w:val="21"/>
                <w:szCs w:val="21"/>
                <w:highlight w:val="none"/>
                <w14:textFill>
                  <w14:solidFill>
                    <w14:schemeClr w14:val="tx1"/>
                  </w14:solidFill>
                </w14:textFill>
              </w:rPr>
              <w:t>分；每存在一处缺漏或不详实或描述不清的扣</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r>
              <w:rPr>
                <w:rFonts w:hint="eastAsia" w:ascii="宋体" w:hAnsi="宋体" w:cs="宋体"/>
                <w:color w:val="000000" w:themeColor="text1"/>
                <w:spacing w:val="-4"/>
                <w:sz w:val="21"/>
                <w:szCs w:val="21"/>
                <w:highlight w:val="none"/>
                <w:lang w:eastAsia="zh-CN"/>
                <w14:textFill>
                  <w14:solidFill>
                    <w14:schemeClr w14:val="tx1"/>
                  </w14:solidFill>
                </w14:textFill>
              </w:rPr>
              <w:t>；</w:t>
            </w:r>
          </w:p>
        </w:tc>
      </w:tr>
      <w:tr w14:paraId="5694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5D00F01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10</w:t>
            </w:r>
          </w:p>
        </w:tc>
        <w:tc>
          <w:tcPr>
            <w:tcW w:w="1313" w:type="dxa"/>
            <w:vAlign w:val="center"/>
          </w:tcPr>
          <w:p w14:paraId="20931B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机械设备</w:t>
            </w:r>
          </w:p>
          <w:p w14:paraId="767093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用量计划</w:t>
            </w:r>
          </w:p>
        </w:tc>
        <w:tc>
          <w:tcPr>
            <w:tcW w:w="902" w:type="dxa"/>
            <w:vAlign w:val="center"/>
          </w:tcPr>
          <w:p w14:paraId="767A98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4</w:t>
            </w:r>
          </w:p>
        </w:tc>
        <w:tc>
          <w:tcPr>
            <w:tcW w:w="6463" w:type="dxa"/>
            <w:vAlign w:val="center"/>
          </w:tcPr>
          <w:p w14:paraId="072970CD">
            <w:pPr>
              <w:keepNext w:val="0"/>
              <w:keepLines w:val="0"/>
              <w:pageBreakBefore w:val="0"/>
              <w:numPr>
                <w:ilvl w:val="0"/>
                <w:numId w:val="14"/>
              </w:numPr>
              <w:kinsoku/>
              <w:wordWrap/>
              <w:overflowPunct/>
              <w:topLinePunct w:val="0"/>
              <w:autoSpaceDE/>
              <w:autoSpaceDN/>
              <w:bidi w:val="0"/>
              <w:adjustRightInd/>
              <w:snapToGrid/>
              <w:spacing w:line="400" w:lineRule="exact"/>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根据项目情况，</w:t>
            </w:r>
            <w:r>
              <w:rPr>
                <w:rFonts w:hint="eastAsia" w:ascii="宋体" w:hAnsi="宋体" w:eastAsia="宋体" w:cs="宋体"/>
                <w:color w:val="000000" w:themeColor="text1"/>
                <w:sz w:val="21"/>
                <w:szCs w:val="21"/>
                <w:highlight w:val="none"/>
                <w14:textFill>
                  <w14:solidFill>
                    <w14:schemeClr w14:val="tx1"/>
                  </w14:solidFill>
                </w14:textFill>
              </w:rPr>
              <w:t>施工机械投入与施工季度计划相呼应且能满足工序衔接的要求</w:t>
            </w:r>
            <w:r>
              <w:rPr>
                <w:rFonts w:hint="eastAsia" w:ascii="宋体" w:hAnsi="宋体" w:cs="宋体"/>
                <w:color w:val="000000" w:themeColor="text1"/>
                <w:sz w:val="21"/>
                <w:szCs w:val="21"/>
                <w:highlight w:val="none"/>
                <w:lang w:eastAsia="zh-CN"/>
                <w14:textFill>
                  <w14:solidFill>
                    <w14:schemeClr w14:val="tx1"/>
                  </w14:solidFill>
                </w14:textFill>
              </w:rPr>
              <w:t>；</w:t>
            </w:r>
          </w:p>
          <w:p w14:paraId="4C23D055">
            <w:pPr>
              <w:keepNext w:val="0"/>
              <w:keepLines w:val="0"/>
              <w:pageBreakBefore w:val="0"/>
              <w:numPr>
                <w:ilvl w:val="0"/>
                <w:numId w:val="1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施工机械与主体搭配周全合理</w:t>
            </w:r>
            <w:r>
              <w:rPr>
                <w:rFonts w:hint="eastAsia" w:ascii="宋体" w:hAnsi="宋体" w:cs="宋体"/>
                <w:color w:val="000000" w:themeColor="text1"/>
                <w:sz w:val="21"/>
                <w:szCs w:val="21"/>
                <w:highlight w:val="none"/>
                <w:lang w:eastAsia="zh-CN"/>
                <w14:textFill>
                  <w14:solidFill>
                    <w14:schemeClr w14:val="tx1"/>
                  </w14:solidFill>
                </w14:textFill>
              </w:rPr>
              <w:t>。</w:t>
            </w:r>
          </w:p>
          <w:p w14:paraId="23BA6583">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计划完整、科学、符合项目实际情况的得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4"/>
                <w:sz w:val="21"/>
                <w:szCs w:val="21"/>
                <w:highlight w:val="none"/>
                <w14:textFill>
                  <w14:solidFill>
                    <w14:schemeClr w14:val="tx1"/>
                  </w14:solidFill>
                </w14:textFill>
              </w:rPr>
              <w:t>分；每存在一处缺漏或不详实或描述不清的扣</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78FE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2558E7F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11</w:t>
            </w:r>
          </w:p>
        </w:tc>
        <w:tc>
          <w:tcPr>
            <w:tcW w:w="1313" w:type="dxa"/>
            <w:vAlign w:val="center"/>
          </w:tcPr>
          <w:p w14:paraId="7EE74A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质量</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、工期</w:t>
            </w:r>
            <w:r>
              <w:rPr>
                <w:rFonts w:hint="eastAsia" w:ascii="宋体" w:hAnsi="宋体" w:eastAsia="宋体" w:cs="宋体"/>
                <w:color w:val="000000" w:themeColor="text1"/>
                <w:spacing w:val="-4"/>
                <w:sz w:val="21"/>
                <w:szCs w:val="21"/>
                <w:highlight w:val="none"/>
                <w14:textFill>
                  <w14:solidFill>
                    <w14:schemeClr w14:val="tx1"/>
                  </w14:solidFill>
                </w14:textFill>
              </w:rPr>
              <w:t>保证措施和体系</w:t>
            </w:r>
          </w:p>
        </w:tc>
        <w:tc>
          <w:tcPr>
            <w:tcW w:w="902" w:type="dxa"/>
            <w:vAlign w:val="center"/>
          </w:tcPr>
          <w:p w14:paraId="0F5E40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8</w:t>
            </w:r>
          </w:p>
        </w:tc>
        <w:tc>
          <w:tcPr>
            <w:tcW w:w="6463" w:type="dxa"/>
            <w:vAlign w:val="center"/>
          </w:tcPr>
          <w:p w14:paraId="3DA1B73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1、工期、</w:t>
            </w:r>
            <w:r>
              <w:rPr>
                <w:rFonts w:hint="eastAsia" w:ascii="宋体" w:hAnsi="宋体" w:eastAsia="宋体" w:cs="宋体"/>
                <w:color w:val="000000" w:themeColor="text1"/>
                <w:spacing w:val="-4"/>
                <w:sz w:val="21"/>
                <w:szCs w:val="21"/>
                <w:highlight w:val="none"/>
                <w14:textFill>
                  <w14:solidFill>
                    <w14:schemeClr w14:val="tx1"/>
                  </w14:solidFill>
                </w14:textFill>
              </w:rPr>
              <w:t>质量目标明确，优于招标文件的要求；</w:t>
            </w:r>
          </w:p>
          <w:p w14:paraId="2420DC3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提高生产率、缩短工期、提高质量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提高进度提案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2AC9F8F">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pacing w:val="-4"/>
                <w:sz w:val="21"/>
                <w:szCs w:val="21"/>
                <w:highlight w:val="none"/>
                <w14:textFill>
                  <w14:solidFill>
                    <w14:schemeClr w14:val="tx1"/>
                  </w14:solidFill>
                </w14:textFill>
              </w:rPr>
              <w:t>管理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体系</w:t>
            </w:r>
            <w:r>
              <w:rPr>
                <w:rFonts w:hint="eastAsia" w:ascii="宋体" w:hAnsi="宋体" w:eastAsia="宋体" w:cs="宋体"/>
                <w:color w:val="000000" w:themeColor="text1"/>
                <w:spacing w:val="-4"/>
                <w:sz w:val="21"/>
                <w:szCs w:val="21"/>
                <w:highlight w:val="none"/>
                <w14:textFill>
                  <w14:solidFill>
                    <w14:schemeClr w14:val="tx1"/>
                  </w14:solidFill>
                </w14:textFill>
              </w:rPr>
              <w:t>齐全；</w:t>
            </w:r>
          </w:p>
          <w:p w14:paraId="2DB66494">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保证</w:t>
            </w:r>
            <w:r>
              <w:rPr>
                <w:rFonts w:hint="eastAsia" w:ascii="宋体" w:hAnsi="宋体" w:eastAsia="宋体" w:cs="宋体"/>
                <w:color w:val="000000" w:themeColor="text1"/>
                <w:spacing w:val="-4"/>
                <w:sz w:val="21"/>
                <w:szCs w:val="21"/>
                <w:highlight w:val="none"/>
                <w14:textFill>
                  <w14:solidFill>
                    <w14:schemeClr w14:val="tx1"/>
                  </w14:solidFill>
                </w14:textFill>
              </w:rPr>
              <w:t>措施全面、有效</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0C395DFD">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切实可行得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4"/>
                <w:sz w:val="21"/>
                <w:szCs w:val="21"/>
                <w:highlight w:val="none"/>
                <w14:textFill>
                  <w14:solidFill>
                    <w14:schemeClr w14:val="tx1"/>
                  </w14:solidFill>
                </w14:textFill>
              </w:rPr>
              <w:t>分；每有一项缺失或不详实准确的扣</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p>
        </w:tc>
      </w:tr>
      <w:tr w14:paraId="2B6D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trPr>
        <w:tc>
          <w:tcPr>
            <w:tcW w:w="1180" w:type="dxa"/>
            <w:vAlign w:val="center"/>
          </w:tcPr>
          <w:p w14:paraId="3B1366C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12</w:t>
            </w:r>
          </w:p>
        </w:tc>
        <w:tc>
          <w:tcPr>
            <w:tcW w:w="1313" w:type="dxa"/>
            <w:vAlign w:val="center"/>
          </w:tcPr>
          <w:p w14:paraId="127F1D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安全保证措施和体系</w:t>
            </w:r>
          </w:p>
        </w:tc>
        <w:tc>
          <w:tcPr>
            <w:tcW w:w="902" w:type="dxa"/>
            <w:vAlign w:val="center"/>
          </w:tcPr>
          <w:p w14:paraId="6B22CD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6</w:t>
            </w:r>
          </w:p>
        </w:tc>
        <w:tc>
          <w:tcPr>
            <w:tcW w:w="6463" w:type="dxa"/>
            <w:vAlign w:val="center"/>
          </w:tcPr>
          <w:p w14:paraId="53933207">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安全目标明确，优于招标文件的要求；</w:t>
            </w:r>
          </w:p>
          <w:p w14:paraId="763E7E14">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0"/>
                <w:sz w:val="21"/>
                <w:szCs w:val="21"/>
                <w:highlight w:val="none"/>
                <w:lang w:eastAsia="zh-CN"/>
                <w14:textFill>
                  <w14:solidFill>
                    <w14:schemeClr w14:val="tx1"/>
                  </w14:solidFill>
                </w14:textFill>
              </w:rPr>
              <w:t>安全</w:t>
            </w:r>
            <w:r>
              <w:rPr>
                <w:rFonts w:hint="eastAsia" w:ascii="宋体" w:hAnsi="宋体" w:eastAsia="宋体" w:cs="宋体"/>
                <w:color w:val="000000" w:themeColor="text1"/>
                <w:kern w:val="0"/>
                <w:sz w:val="21"/>
                <w:szCs w:val="21"/>
                <w:highlight w:val="none"/>
                <w14:textFill>
                  <w14:solidFill>
                    <w14:schemeClr w14:val="tx1"/>
                  </w14:solidFill>
                </w14:textFill>
              </w:rPr>
              <w:t>管理机构健全，职责分工明确</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管理制度齐全；</w:t>
            </w:r>
          </w:p>
          <w:p w14:paraId="77779A57">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实施与监控措施全面、有效</w:t>
            </w:r>
            <w:r>
              <w:rPr>
                <w:rFonts w:hint="eastAsia" w:ascii="宋体" w:hAnsi="宋体" w:cs="宋体"/>
                <w:color w:val="000000" w:themeColor="text1"/>
                <w:kern w:val="0"/>
                <w:sz w:val="21"/>
                <w:szCs w:val="21"/>
                <w:highlight w:val="none"/>
                <w:lang w:eastAsia="zh-CN"/>
                <w14:textFill>
                  <w14:solidFill>
                    <w14:schemeClr w14:val="tx1"/>
                  </w14:solidFill>
                </w14:textFill>
              </w:rPr>
              <w:t>。</w:t>
            </w:r>
          </w:p>
          <w:p w14:paraId="291474BC">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切实可行得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4"/>
                <w:sz w:val="21"/>
                <w:szCs w:val="21"/>
                <w:highlight w:val="none"/>
                <w14:textFill>
                  <w14:solidFill>
                    <w14:schemeClr w14:val="tx1"/>
                  </w14:solidFill>
                </w14:textFill>
              </w:rPr>
              <w:t>分；每有一项缺失或不详实准确的扣</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分，扣完为止。</w:t>
            </w:r>
          </w:p>
        </w:tc>
      </w:tr>
      <w:tr w14:paraId="54FE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36147CB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13</w:t>
            </w:r>
          </w:p>
        </w:tc>
        <w:tc>
          <w:tcPr>
            <w:tcW w:w="1313" w:type="dxa"/>
            <w:vAlign w:val="center"/>
          </w:tcPr>
          <w:p w14:paraId="106C19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现场文明施工措施</w:t>
            </w:r>
          </w:p>
        </w:tc>
        <w:tc>
          <w:tcPr>
            <w:tcW w:w="902" w:type="dxa"/>
            <w:vAlign w:val="center"/>
          </w:tcPr>
          <w:p w14:paraId="0A43AEA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5</w:t>
            </w:r>
          </w:p>
        </w:tc>
        <w:tc>
          <w:tcPr>
            <w:tcW w:w="6463" w:type="dxa"/>
            <w:vAlign w:val="center"/>
          </w:tcPr>
          <w:p w14:paraId="141150D6">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cs="宋体"/>
                <w:color w:val="000000" w:themeColor="text1"/>
                <w:spacing w:val="-4"/>
                <w:sz w:val="21"/>
                <w:szCs w:val="21"/>
                <w:highlight w:val="none"/>
                <w:lang w:eastAsia="zh-CN"/>
                <w14:textFill>
                  <w14:solidFill>
                    <w14:schemeClr w14:val="tx1"/>
                  </w14:solidFill>
                </w14:textFill>
              </w:rPr>
              <w:t>根据投标单位提供的</w:t>
            </w:r>
            <w:r>
              <w:rPr>
                <w:rFonts w:hint="eastAsia" w:ascii="宋体" w:hAnsi="宋体" w:eastAsia="宋体" w:cs="宋体"/>
                <w:color w:val="000000" w:themeColor="text1"/>
                <w:spacing w:val="-4"/>
                <w:sz w:val="21"/>
                <w:szCs w:val="21"/>
                <w:highlight w:val="none"/>
                <w14:textFill>
                  <w14:solidFill>
                    <w14:schemeClr w14:val="tx1"/>
                  </w14:solidFill>
                </w14:textFill>
              </w:rPr>
              <w:t>现场文明施工</w:t>
            </w:r>
            <w:r>
              <w:rPr>
                <w:rFonts w:hint="eastAsia" w:ascii="宋体" w:hAnsi="宋体" w:cs="宋体"/>
                <w:color w:val="000000" w:themeColor="text1"/>
                <w:spacing w:val="-4"/>
                <w:sz w:val="21"/>
                <w:szCs w:val="21"/>
                <w:highlight w:val="none"/>
                <w:lang w:eastAsia="zh-CN"/>
                <w14:textFill>
                  <w14:solidFill>
                    <w14:schemeClr w14:val="tx1"/>
                  </w14:solidFill>
                </w14:textFill>
              </w:rPr>
              <w:t>措施，</w:t>
            </w:r>
            <w:r>
              <w:rPr>
                <w:rFonts w:hint="eastAsia" w:ascii="宋体" w:hAnsi="宋体" w:eastAsia="宋体" w:cs="宋体"/>
                <w:color w:val="000000" w:themeColor="text1"/>
                <w:spacing w:val="-4"/>
                <w:sz w:val="21"/>
                <w:szCs w:val="21"/>
                <w:highlight w:val="none"/>
                <w14:textFill>
                  <w14:solidFill>
                    <w14:schemeClr w14:val="tx1"/>
                  </w14:solidFill>
                </w14:textFill>
              </w:rPr>
              <w:t>符合工程实际情况</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表述清晰、完整</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的得</w:t>
            </w:r>
            <w:r>
              <w:rPr>
                <w:rFonts w:hint="eastAsia" w:ascii="宋体" w:hAnsi="宋体" w:cs="宋体"/>
                <w:color w:val="000000" w:themeColor="text1"/>
                <w:spacing w:val="-4"/>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分；措施内容</w:t>
            </w:r>
            <w:r>
              <w:rPr>
                <w:rFonts w:hint="eastAsia" w:ascii="宋体" w:hAnsi="宋体" w:cs="宋体"/>
                <w:color w:val="000000" w:themeColor="text1"/>
                <w:spacing w:val="-4"/>
                <w:sz w:val="21"/>
                <w:szCs w:val="21"/>
                <w:highlight w:val="none"/>
                <w:lang w:eastAsia="zh-CN"/>
                <w14:textFill>
                  <w14:solidFill>
                    <w14:schemeClr w14:val="tx1"/>
                  </w14:solidFill>
                </w14:textFill>
              </w:rPr>
              <w:t>描述不清楚，不详细，考虑不全的得</w:t>
            </w:r>
            <w:r>
              <w:rPr>
                <w:rFonts w:hint="eastAsia" w:ascii="宋体" w:hAnsi="宋体" w:cs="宋体"/>
                <w:color w:val="000000" w:themeColor="text1"/>
                <w:spacing w:val="-4"/>
                <w:sz w:val="21"/>
                <w:szCs w:val="21"/>
                <w:highlight w:val="none"/>
                <w:lang w:val="en-US" w:eastAsia="zh-CN"/>
                <w14:textFill>
                  <w14:solidFill>
                    <w14:schemeClr w14:val="tx1"/>
                  </w14:solidFill>
                </w14:textFill>
              </w:rPr>
              <w:t>3分；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2B68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blHeader/>
        </w:trPr>
        <w:tc>
          <w:tcPr>
            <w:tcW w:w="1180" w:type="dxa"/>
            <w:vAlign w:val="center"/>
          </w:tcPr>
          <w:p w14:paraId="53930A4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14</w:t>
            </w:r>
          </w:p>
        </w:tc>
        <w:tc>
          <w:tcPr>
            <w:tcW w:w="1313" w:type="dxa"/>
            <w:vAlign w:val="center"/>
          </w:tcPr>
          <w:p w14:paraId="5F7E5B0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承诺</w:t>
            </w:r>
          </w:p>
        </w:tc>
        <w:tc>
          <w:tcPr>
            <w:tcW w:w="902" w:type="dxa"/>
            <w:vAlign w:val="center"/>
          </w:tcPr>
          <w:p w14:paraId="1D39E91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2</w:t>
            </w:r>
          </w:p>
        </w:tc>
        <w:tc>
          <w:tcPr>
            <w:tcW w:w="6463" w:type="dxa"/>
            <w:vAlign w:val="center"/>
          </w:tcPr>
          <w:p w14:paraId="31BA2FA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color w:val="000000" w:themeColor="text1"/>
                <w:sz w:val="21"/>
                <w:highlight w:val="none"/>
                <w14:textFill>
                  <w14:solidFill>
                    <w14:schemeClr w14:val="tx1"/>
                  </w14:solidFill>
                </w14:textFill>
              </w:rPr>
              <w:t>有承诺、有违约经济处罚且措施可行</w:t>
            </w:r>
            <w:r>
              <w:rPr>
                <w:rFonts w:hint="eastAsia"/>
                <w:color w:val="000000" w:themeColor="text1"/>
                <w:sz w:val="21"/>
                <w:highlight w:val="none"/>
                <w:lang w:eastAsia="zh-CN"/>
                <w14:textFill>
                  <w14:solidFill>
                    <w14:schemeClr w14:val="tx1"/>
                  </w14:solidFill>
                </w14:textFill>
              </w:rPr>
              <w:t>的</w:t>
            </w:r>
            <w:r>
              <w:rPr>
                <w:color w:val="000000" w:themeColor="text1"/>
                <w:sz w:val="21"/>
                <w:highlight w:val="none"/>
                <w14:textFill>
                  <w14:solidFill>
                    <w14:schemeClr w14:val="tx1"/>
                  </w14:solidFill>
                </w14:textFill>
              </w:rPr>
              <w:t>得</w:t>
            </w:r>
            <w:r>
              <w:rPr>
                <w:rFonts w:hint="eastAsia"/>
                <w:color w:val="000000" w:themeColor="text1"/>
                <w:sz w:val="21"/>
                <w:highlight w:val="none"/>
                <w:lang w:val="en-US" w:eastAsia="zh-CN"/>
                <w14:textFill>
                  <w14:solidFill>
                    <w14:schemeClr w14:val="tx1"/>
                  </w14:solidFill>
                </w14:textFill>
              </w:rPr>
              <w:t>2分；</w:t>
            </w:r>
            <w:r>
              <w:rPr>
                <w:rFonts w:hint="eastAsia" w:ascii="宋体" w:hAnsi="宋体" w:eastAsia="宋体" w:cs="宋体"/>
                <w:color w:val="000000" w:themeColor="text1"/>
                <w:spacing w:val="-4"/>
                <w:sz w:val="21"/>
                <w:szCs w:val="21"/>
                <w:highlight w:val="none"/>
                <w14:textFill>
                  <w14:solidFill>
                    <w14:schemeClr w14:val="tx1"/>
                  </w14:solidFill>
                </w14:textFill>
              </w:rPr>
              <w:t>有承诺、无违约经济处罚且措施可行</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的</w:t>
            </w:r>
            <w:r>
              <w:rPr>
                <w:rFonts w:hint="eastAsia" w:ascii="宋体" w:hAnsi="宋体" w:eastAsia="宋体" w:cs="宋体"/>
                <w:color w:val="000000" w:themeColor="text1"/>
                <w:spacing w:val="-4"/>
                <w:sz w:val="21"/>
                <w:szCs w:val="21"/>
                <w:highlight w:val="none"/>
                <w14:textFill>
                  <w14:solidFill>
                    <w14:schemeClr w14:val="tx1"/>
                  </w14:solidFill>
                </w14:textFill>
              </w:rPr>
              <w:t>得</w:t>
            </w:r>
            <w:r>
              <w:rPr>
                <w:rFonts w:hint="eastAsia" w:ascii="宋体" w:hAnsi="宋体" w:cs="宋体"/>
                <w:color w:val="000000" w:themeColor="text1"/>
                <w:spacing w:val="-4"/>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2230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blHeader/>
        </w:trPr>
        <w:tc>
          <w:tcPr>
            <w:tcW w:w="1180" w:type="dxa"/>
            <w:vAlign w:val="center"/>
          </w:tcPr>
          <w:p w14:paraId="6A6D401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合计</w:t>
            </w:r>
          </w:p>
        </w:tc>
        <w:tc>
          <w:tcPr>
            <w:tcW w:w="8678" w:type="dxa"/>
            <w:gridSpan w:val="3"/>
            <w:vAlign w:val="center"/>
          </w:tcPr>
          <w:p w14:paraId="123A608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0分</w:t>
            </w:r>
          </w:p>
        </w:tc>
      </w:tr>
    </w:tbl>
    <w:p w14:paraId="6A0260C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注：1、各评委应认真了解本磋商文件和工程有关情况后，做出须自己负责的评审。</w:t>
      </w:r>
    </w:p>
    <w:p w14:paraId="4843A11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2、技术</w:t>
      </w:r>
      <w:r>
        <w:rPr>
          <w:rFonts w:hint="eastAsia" w:ascii="宋体" w:hAnsi="宋体" w:cs="宋体"/>
          <w:color w:val="000000" w:themeColor="text1"/>
          <w:sz w:val="24"/>
          <w:szCs w:val="24"/>
          <w:highlight w:val="none"/>
          <w:lang w:val="zh-CN"/>
          <w14:textFill>
            <w14:solidFill>
              <w14:schemeClr w14:val="tx1"/>
            </w14:solidFill>
          </w14:textFill>
        </w:rPr>
        <w:t>商务部分</w:t>
      </w:r>
      <w:r>
        <w:rPr>
          <w:rFonts w:hint="eastAsia" w:ascii="宋体" w:hAnsi="宋体" w:eastAsia="宋体" w:cs="宋体"/>
          <w:color w:val="000000" w:themeColor="text1"/>
          <w:sz w:val="24"/>
          <w:szCs w:val="24"/>
          <w:highlight w:val="none"/>
          <w:lang w:val="zh-CN"/>
          <w14:textFill>
            <w14:solidFill>
              <w14:schemeClr w14:val="tx1"/>
            </w14:solidFill>
          </w14:textFill>
        </w:rPr>
        <w:t>在进行汇总时，分项项目评分进行算术平均，计算结果值在小数点后保留两位小数，后余位数四舍五入计。项目评审过程中，不得去掉最后报价中的最高报价和最低报价。</w:t>
      </w:r>
    </w:p>
    <w:p w14:paraId="7265A4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、投标单位请认真阅读和理解上述内容，避免投标文件中有违背上述审查标准之一的情况发生而造成废标；评标中各评委若发生意见分歧，通过书面表决形式，以少数服从多数为原则决定。</w:t>
      </w:r>
    </w:p>
    <w:p w14:paraId="26C37CB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、磋商确定最终采购需求和提交最后报价的投标单位后，价格得分的评分方法：价格分采用低价优先法计算，即满足竞争性磋商文件要求且最终报价最低的投标单位的价格为磋商基准价，其价格分为满分</w:t>
      </w:r>
      <w:r>
        <w:rPr>
          <w:rFonts w:hint="default" w:ascii="宋体" w:hAnsi="宋体" w:eastAsia="宋体" w:cs="宋体"/>
          <w:color w:val="000000" w:themeColor="text1"/>
          <w:sz w:val="24"/>
          <w:szCs w:val="24"/>
          <w:highlight w:val="none"/>
          <w:lang w:val="en-US"/>
          <w14:textFill>
            <w14:solidFill>
              <w14:schemeClr w14:val="tx1"/>
            </w14:solidFill>
          </w14:textFill>
        </w:rPr>
        <w:t>30分</w:t>
      </w:r>
      <w:r>
        <w:rPr>
          <w:rFonts w:hint="eastAsia" w:ascii="宋体" w:hAnsi="宋体" w:eastAsia="宋体" w:cs="宋体"/>
          <w:color w:val="000000" w:themeColor="text1"/>
          <w:sz w:val="24"/>
          <w:szCs w:val="24"/>
          <w:highlight w:val="none"/>
          <w:lang w:val="zh-CN"/>
          <w14:textFill>
            <w14:solidFill>
              <w14:schemeClr w14:val="tx1"/>
            </w14:solidFill>
          </w14:textFill>
        </w:rPr>
        <w:t>。其他投标单位的价格得分计算：</w:t>
      </w:r>
    </w:p>
    <w:p w14:paraId="5E3BEB6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磋商报价得分=（磋商基准价/最终磋商报价）×</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0</w:t>
      </w:r>
      <w:r>
        <w:rPr>
          <w:rFonts w:hint="default" w:ascii="宋体" w:hAnsi="宋体" w:eastAsia="宋体" w:cs="宋体"/>
          <w:color w:val="000000" w:themeColor="text1"/>
          <w:sz w:val="24"/>
          <w:szCs w:val="24"/>
          <w:highlight w:val="none"/>
          <w:lang w:val="en-US"/>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，如此类推，算出所有投标投标单位的价格得分。                               </w:t>
      </w:r>
    </w:p>
    <w:p w14:paraId="7F5DCAC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评分分值计算结果值在小数点后均保留两位小数，后余位数四舍五入计。</w:t>
      </w:r>
    </w:p>
    <w:p w14:paraId="3C5DFFB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在报价评审中，若磋商小组发现投标单位以明显低于市场或成本的价格投标，而投标单位又未在投标文件中提供有力证据证明其报价合理的，磋商小组可以认定该投标以低于成本的价格投标。被认定为低于成本价格的投标将按废标处理。</w:t>
      </w:r>
    </w:p>
    <w:p w14:paraId="773E29E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、磋商小组应当根据综合评分情况，按照评审得分由高到低顺序推荐3名成交候选投标单位。评审得分相同的，按照最终报价由低到高的顺序推荐。评审得分且最终报价相同的，按照技术指标优劣顺序推荐。</w:t>
      </w:r>
    </w:p>
    <w:p w14:paraId="2AF3FA7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招标人根据磋商小组推荐的成交候选投标单位名单，根据相关法律法规的规定确定最终成交商。如果排名第一的成交候选投标单位的实际情况与其磋商资料不相符，将取消其成交资格，由排名第二的成交候选投标单位递补，以此类推。</w:t>
      </w:r>
      <w:bookmarkEnd w:id="158"/>
      <w:bookmarkEnd w:id="159"/>
      <w:bookmarkEnd w:id="160"/>
      <w:bookmarkEnd w:id="161"/>
      <w:bookmarkEnd w:id="162"/>
      <w:bookmarkEnd w:id="163"/>
    </w:p>
    <w:p w14:paraId="1536C3D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评审过程中，在同等条件下，优先采购具有环境标志、节能、自主创新的产品。（注：环境标志产品是指由财政部、国家环境保护总局颁布的</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环境标志产品政府采购清单</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中的有效期内的产品；节能产品是指由财政部、国家发展改革委颁布的</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节能产品政府采购清单</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中的有效期内的产品。）</w:t>
      </w:r>
    </w:p>
    <w:p w14:paraId="278A7F0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根据《关于印发政府采购促进中小企业发展管理办法的通知》（财库[2020]46号文）规定要求，属中小企业制造的货物、承担的工程、服务，供应商须提供《中小企业声明函》，并由供应商加盖公章，其划型标准严格按照国家工信部、国家统计局、国家发改委、财政部出台的《中小企业划型标准规定》（工信部联企业[2011]300号）执行。供应商提供的《中小企业声明函》资料必须真实，否则，按照有关规定予以处理。残疾人福利性单位、监狱企业视同中小企业。</w:t>
      </w:r>
    </w:p>
    <w:p w14:paraId="19CEEA6A">
      <w:pPr>
        <w:pStyle w:val="4"/>
        <w:pageBreakBefore w:val="0"/>
        <w:kinsoku/>
        <w:overflowPunct/>
        <w:bidi w:val="0"/>
        <w:spacing w:before="100" w:beforeAutospacing="1" w:after="100" w:afterAutospacing="1" w:line="480" w:lineRule="exact"/>
        <w:jc w:val="center"/>
        <w:textAlignment w:val="auto"/>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14:textFill>
            <w14:solidFill>
              <w14:schemeClr w14:val="tx1"/>
            </w14:solidFill>
          </w14:textFill>
        </w:rPr>
        <w:t>F  授予合同</w:t>
      </w:r>
    </w:p>
    <w:p w14:paraId="3CEAB5B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．合同授予标准</w:t>
      </w:r>
    </w:p>
    <w:p w14:paraId="708442B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.1合同将授予被确定为实质上响应磋商文件要求，符合招标需求、质量和服务相等且综合评分最高的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6937108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.2 最低报价不一定是被授予合同的保证。</w:t>
      </w:r>
    </w:p>
    <w:p w14:paraId="5D8E6B4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.3排名第一的成交候选人放弃中标、因不可抗力不能履行合同、不按照磋商文件要求提交履约保证金，或者被查实存在影响中标结果的违法行为等情形，不符合成交条件的，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zh-CN"/>
          <w14:textFill>
            <w14:solidFill>
              <w14:schemeClr w14:val="tx1"/>
            </w14:solidFill>
          </w14:textFill>
        </w:rPr>
        <w:t>可以按照磋商小组提出的成交候选人名单排序依次确定其他中标候选人为成交</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，也可以重新招标。</w:t>
      </w:r>
    </w:p>
    <w:p w14:paraId="335FDE5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zh-CN"/>
          <w14:textFill>
            <w14:solidFill>
              <w14:schemeClr w14:val="tx1"/>
            </w14:solidFill>
          </w14:textFill>
        </w:rPr>
        <w:t>．接受和拒绝任何或所有磋商的权力</w:t>
      </w:r>
    </w:p>
    <w:p w14:paraId="43BCFC8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为维护国家利益，</w:t>
      </w:r>
      <w:r>
        <w:rPr>
          <w:rFonts w:hint="eastAsia" w:ascii="宋体" w:hAnsi="宋体" w:eastAsia="宋体" w:cs="宋体"/>
          <w:color w:val="000000" w:themeColor="text1"/>
          <w:sz w:val="24"/>
          <w:szCs w:val="24"/>
          <w:highlight w:val="none"/>
          <w:lang w:val="zh-CN"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zh-CN"/>
          <w14:textFill>
            <w14:solidFill>
              <w14:schemeClr w14:val="tx1"/>
            </w14:solidFill>
          </w14:textFill>
        </w:rPr>
        <w:t>在授予合同之前仍有选择或拒绝任何全部磋商的权力，并对所采取的行为不作任何解释。</w:t>
      </w:r>
    </w:p>
    <w:p w14:paraId="7EB8A8C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lang w:val="zh-CN"/>
          <w14:textFill>
            <w14:solidFill>
              <w14:schemeClr w14:val="tx1"/>
            </w14:solidFill>
          </w14:textFill>
        </w:rPr>
        <w:t>．成交通知书</w:t>
      </w:r>
    </w:p>
    <w:p w14:paraId="354C21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 成交公告期满后，招标代理机构将以书面形式发出《成交通知书》，但发出时间不超过磋商有效期，《成交通知书》一经发出即发生法律效力。</w:t>
      </w:r>
    </w:p>
    <w:p w14:paraId="556209B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.2 《成交通知书》将作为签订合同的依据。</w:t>
      </w:r>
    </w:p>
    <w:p w14:paraId="44BF99A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31.3 在成交通知书发出后五个工作日内退还未成交投标单位的保证金，在合同签订后五个工作日内退还成交投标单位的保证金。</w:t>
      </w:r>
    </w:p>
    <w:p w14:paraId="4B7D7E7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．签订合同</w:t>
      </w:r>
    </w:p>
    <w:p w14:paraId="71C8A3E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投标单位收到《成交通知书》后，按《成交通知书》中规定的时间地点与招标人签订合同。招标人和成交方不得再订立背离合同实质性内容的其他协议。</w:t>
      </w:r>
    </w:p>
    <w:p w14:paraId="585CA6A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.2如成交方拒签合同，则按违约处理。招标代理机构没收其磋商保证金。</w:t>
      </w:r>
    </w:p>
    <w:p w14:paraId="24ED3E0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.3磋商文件、成交方的磋商响应文件及其澄清文件等，均为签订经济合同的依据。</w:t>
      </w:r>
    </w:p>
    <w:p w14:paraId="5FDC363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．履约保证金（如适用）</w:t>
      </w:r>
    </w:p>
    <w:p w14:paraId="277D7F4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成交方应按合同规定的方式、时间和金额向</w:t>
      </w:r>
      <w:r>
        <w:rPr>
          <w:rFonts w:hint="eastAsia" w:ascii="宋体" w:hAnsi="宋体" w:eastAsia="宋体" w:cs="宋体"/>
          <w:color w:val="000000" w:themeColor="text1"/>
          <w:sz w:val="24"/>
          <w:szCs w:val="24"/>
          <w:highlight w:val="none"/>
          <w:lang w:val="zh-CN"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zh-CN"/>
          <w14:textFill>
            <w14:solidFill>
              <w14:schemeClr w14:val="tx1"/>
            </w14:solidFill>
          </w14:textFill>
        </w:rPr>
        <w:t>提交履约保证金。</w:t>
      </w:r>
    </w:p>
    <w:p w14:paraId="604392B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履约保证金为合同价款的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具体以合同为准</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2748394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．招标代理服务费</w:t>
      </w:r>
    </w:p>
    <w:p w14:paraId="747B6E6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招标代理代理服务费由成交人向招标代理机构支付。</w:t>
      </w:r>
    </w:p>
    <w:p w14:paraId="6D390FC5">
      <w:pPr>
        <w:pStyle w:val="4"/>
        <w:pageBreakBefore w:val="0"/>
        <w:kinsoku/>
        <w:overflowPunct/>
        <w:bidi w:val="0"/>
        <w:spacing w:before="100" w:beforeAutospacing="1" w:after="100" w:afterAutospacing="1" w:line="480" w:lineRule="exact"/>
        <w:jc w:val="center"/>
        <w:textAlignment w:val="auto"/>
        <w:rPr>
          <w:rFonts w:ascii="宋体" w:hAnsi="宋体" w:eastAsia="宋体" w:cs="宋体"/>
          <w:bCs/>
          <w:color w:val="000000" w:themeColor="text1"/>
          <w:sz w:val="24"/>
          <w:highlight w:val="none"/>
          <w14:textFill>
            <w14:solidFill>
              <w14:schemeClr w14:val="tx1"/>
            </w14:solidFill>
          </w14:textFill>
        </w:rPr>
      </w:pPr>
      <w:bookmarkStart w:id="165" w:name="_Toc471489759"/>
      <w:bookmarkStart w:id="166" w:name="_Toc527642958"/>
      <w:r>
        <w:rPr>
          <w:rFonts w:hint="eastAsia" w:ascii="宋体" w:hAnsi="宋体" w:eastAsia="宋体" w:cs="宋体"/>
          <w:color w:val="000000" w:themeColor="text1"/>
          <w:sz w:val="28"/>
          <w:szCs w:val="28"/>
          <w:highlight w:val="none"/>
          <w14:textFill>
            <w14:solidFill>
              <w14:schemeClr w14:val="tx1"/>
            </w14:solidFill>
          </w14:textFill>
        </w:rPr>
        <w:t>G  磋商失败条件</w:t>
      </w:r>
      <w:bookmarkEnd w:id="165"/>
      <w:bookmarkEnd w:id="166"/>
    </w:p>
    <w:p w14:paraId="1C13F00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.出现影响招标公正的违法、违规行为的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1C1190C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.因重大变故，采购任务取消的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71E81CD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.磋商响应文件截止时间后，实际参与的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不足法定家数的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2BB9487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.最终报价均超过采购预算的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03073077">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.对磋商文件作出实质性响应的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不足法定家数的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bookmarkEnd w:id="164"/>
      <w:bookmarkStart w:id="167" w:name="_Toc349573127"/>
      <w:bookmarkStart w:id="168" w:name="_Toc527642959"/>
      <w:bookmarkStart w:id="169" w:name="_Toc298240411"/>
      <w:bookmarkStart w:id="170" w:name="_Toc349637926"/>
      <w:bookmarkStart w:id="171" w:name="_Toc267301295"/>
    </w:p>
    <w:p w14:paraId="6A2AF187">
      <w:pPr>
        <w:bidi w:val="0"/>
        <w:rPr>
          <w:rFonts w:hint="eastAsia"/>
          <w:color w:val="000000" w:themeColor="text1"/>
          <w:highlight w:val="none"/>
          <w14:textFill>
            <w14:solidFill>
              <w14:schemeClr w14:val="tx1"/>
            </w14:solidFill>
          </w14:textFill>
        </w:rPr>
      </w:pPr>
    </w:p>
    <w:p w14:paraId="781EBC0D">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2CC82117">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52ED0778">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1EE88AD7">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0F7EDB59">
      <w:pP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br w:type="page"/>
      </w:r>
    </w:p>
    <w:p w14:paraId="213A1375">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第三部分  技术要求</w:t>
      </w:r>
      <w:bookmarkEnd w:id="167"/>
      <w:bookmarkEnd w:id="168"/>
      <w:bookmarkEnd w:id="169"/>
      <w:bookmarkEnd w:id="170"/>
    </w:p>
    <w:p w14:paraId="77CCF10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B6ED6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一、项目名称：见投标单位须知附表</w:t>
      </w:r>
    </w:p>
    <w:p w14:paraId="61B896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二、招标编号：见投标单位须知附表</w:t>
      </w:r>
    </w:p>
    <w:p w14:paraId="056512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三、最高投标限价：见投标单位须知附表</w:t>
      </w:r>
    </w:p>
    <w:p w14:paraId="6E20BC2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四、质量要求：见投标单位须知附表</w:t>
      </w:r>
    </w:p>
    <w:p w14:paraId="767A7D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五、工期：见投标单位须知附表</w:t>
      </w:r>
    </w:p>
    <w:p w14:paraId="539240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招标范围：本工程范围内的磋商文件及工程量清单，磋商文件补充范围内的全部施工内容（包括招标答疑等内容）。</w:t>
      </w:r>
    </w:p>
    <w:p w14:paraId="6F585C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 技术要求内容：(详见工程量清单)</w:t>
      </w:r>
    </w:p>
    <w:p w14:paraId="666C2A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72" w:name="_Toc349573136"/>
      <w:bookmarkStart w:id="173" w:name="_Toc349637935"/>
      <w:r>
        <w:rPr>
          <w:rFonts w:hint="eastAsia" w:ascii="宋体" w:hAnsi="宋体" w:eastAsia="宋体" w:cs="宋体"/>
          <w:color w:val="000000" w:themeColor="text1"/>
          <w:sz w:val="24"/>
          <w:szCs w:val="24"/>
          <w:highlight w:val="none"/>
          <w:lang w:val="en-US" w:eastAsia="zh-CN"/>
          <w14:textFill>
            <w14:solidFill>
              <w14:schemeClr w14:val="tx1"/>
            </w14:solidFill>
          </w14:textFill>
        </w:rPr>
        <w:t>1、本工程完成必须符合国家和地方现行相关质量评定标准和施工技术规范、施工图设计要求。</w:t>
      </w:r>
    </w:p>
    <w:p w14:paraId="740A7C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2、本工程的材料检验和质量、工艺试验按国家、地方现行相关规定执行。</w:t>
      </w:r>
    </w:p>
    <w:p w14:paraId="6225DE0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备注：若招标文件中附表表格格式与工程量清单中表格格式不一致的，以工程量清单表格格式为主。</w:t>
      </w:r>
    </w:p>
    <w:bookmarkEnd w:id="171"/>
    <w:bookmarkEnd w:id="172"/>
    <w:bookmarkEnd w:id="173"/>
    <w:p w14:paraId="58F66563">
      <w:pPr>
        <w:pStyle w:val="3"/>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bookmarkStart w:id="174" w:name="_Toc351203633"/>
    </w:p>
    <w:p w14:paraId="5750B0E2">
      <w:pPr>
        <w:pStyle w:val="3"/>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7D70C0CC">
      <w:pPr>
        <w:pStyle w:val="3"/>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0F8B38CB">
      <w:pPr>
        <w:pStyle w:val="3"/>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0EDFAA37">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2A164850">
      <w:pPr>
        <w:pStyle w:val="3"/>
        <w:pageBreakBefore w:val="0"/>
        <w:numPr>
          <w:ilvl w:val="0"/>
          <w:numId w:val="0"/>
        </w:numPr>
        <w:kinsoku/>
        <w:overflowPunct/>
        <w:bidi w:val="0"/>
        <w:spacing w:line="480" w:lineRule="exact"/>
        <w:jc w:val="center"/>
        <w:textAlignment w:val="auto"/>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第四部分   </w:t>
      </w:r>
      <w:r>
        <w:rPr>
          <w:rFonts w:hint="eastAsia" w:ascii="宋体" w:hAnsi="宋体" w:eastAsia="宋体" w:cs="宋体"/>
          <w:bCs/>
          <w:color w:val="000000" w:themeColor="text1"/>
          <w:sz w:val="32"/>
          <w:szCs w:val="32"/>
          <w:highlight w:val="none"/>
          <w14:textFill>
            <w14:solidFill>
              <w14:schemeClr w14:val="tx1"/>
            </w14:solidFill>
          </w14:textFill>
        </w:rPr>
        <w:t>合同条款及格式</w:t>
      </w:r>
    </w:p>
    <w:p w14:paraId="0B74373A">
      <w:pPr>
        <w:pageBreakBefore w:val="0"/>
        <w:kinsoku/>
        <w:wordWrap/>
        <w:overflowPunct/>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合同通用条款</w:t>
      </w:r>
    </w:p>
    <w:p w14:paraId="71FA75E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本工程通用条款采用建设工程施工合同示范文本（GF-2017-0201）中的通用条款。</w:t>
      </w:r>
    </w:p>
    <w:p w14:paraId="2ABE9C2E">
      <w:pPr>
        <w:pageBreakBefore w:val="0"/>
        <w:kinsoku/>
        <w:wordWrap/>
        <w:overflowPunct/>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合同专用条款（具体以签订的合同为准）</w:t>
      </w:r>
    </w:p>
    <w:p w14:paraId="2F9113D5">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bookmarkStart w:id="175" w:name="_Toc292559361"/>
      <w:bookmarkStart w:id="176" w:name="_Toc296346657"/>
      <w:bookmarkStart w:id="177" w:name="_Toc292559866"/>
      <w:bookmarkStart w:id="178" w:name="_Toc296944495"/>
      <w:bookmarkStart w:id="179" w:name="_Toc296503156"/>
      <w:bookmarkStart w:id="180" w:name="_Toc296891196"/>
      <w:bookmarkStart w:id="181" w:name="_Toc297120456"/>
      <w:bookmarkStart w:id="182" w:name="_Toc296890984"/>
      <w:bookmarkStart w:id="183" w:name="_Toc296347155"/>
      <w:bookmarkStart w:id="184" w:name="_Toc297048342"/>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一般约定</w:t>
      </w:r>
      <w:bookmarkEnd w:id="174"/>
    </w:p>
    <w:bookmarkEnd w:id="175"/>
    <w:bookmarkEnd w:id="176"/>
    <w:bookmarkEnd w:id="177"/>
    <w:bookmarkEnd w:id="178"/>
    <w:bookmarkEnd w:id="179"/>
    <w:bookmarkEnd w:id="180"/>
    <w:bookmarkEnd w:id="181"/>
    <w:bookmarkEnd w:id="182"/>
    <w:bookmarkEnd w:id="183"/>
    <w:bookmarkEnd w:id="184"/>
    <w:p w14:paraId="60264C3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词语定义</w:t>
      </w:r>
    </w:p>
    <w:p w14:paraId="2E83215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1.1.1合同</w:t>
      </w:r>
    </w:p>
    <w:p w14:paraId="7E5FC72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 其他合同文件包括：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其它有关本工程的洽商、变更等书面协议</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D118F2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 合同当事人及其他相关方</w:t>
      </w:r>
    </w:p>
    <w:p w14:paraId="1AB746B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1.1.2.4监理人：</w:t>
      </w:r>
    </w:p>
    <w:p w14:paraId="7030FF9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    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3085E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资质类别和等级：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FC1BBC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6B5763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电子信箱：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1B8C62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通信地址：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BB00B2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1.1.2.5 设计人：</w:t>
      </w:r>
    </w:p>
    <w:p w14:paraId="74DCEE0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    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07877D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资质类别和等级：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546C7C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27F8E2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电子信箱：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2AD280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通信地址：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30D2EA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 工程和设备</w:t>
      </w:r>
    </w:p>
    <w:p w14:paraId="4AAECBF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1.1.3.7 作为施工现场组成部分的其他场所包括：              </w:t>
      </w:r>
    </w:p>
    <w:p w14:paraId="517A9E3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1.1.3.9 永久占地包括：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2C6864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1.1.3.10 临时占地包括：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F75C10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1.3法律 </w:t>
      </w:r>
    </w:p>
    <w:p w14:paraId="5743356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适用于合同的其他规范性文件：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2EE515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 标准和规范</w:t>
      </w:r>
    </w:p>
    <w:p w14:paraId="7AD97AF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1.4.1适用于工程的标准规范包括：本工程项目的施工、材料及设备招标必须达到现行中华人民共和国及省、自治区、直辖市或行业的工程建设标准、规范的要求，如下述标准及规范有新出版者，以新出版者为准。</w:t>
      </w:r>
    </w:p>
    <w:p w14:paraId="384F4DD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1.4.2 发包人提供国外标准、规范的名称：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p>
    <w:p w14:paraId="4318FDB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发包人提供国外标准、规范的份数：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97990D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发包人提供国外标准、规范的名称：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96F237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1.4.3发包人对工程的技术标准和功能要求的特殊要求：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p>
    <w:p w14:paraId="7191CE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 合同文件的优先顺序</w:t>
      </w:r>
    </w:p>
    <w:p w14:paraId="2C4DA8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合同文件组成及优先顺序为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：1、本合同协议书；2、中标通知书；3、商务标及其商务标附录；4、专用条款及其附件；5、通用合同条款；6、技术标准和要求；7、图纸 8、已标价的工程量清单；9、其他合同文件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140A31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 图纸和承包人文件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11996A4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1.6.1 图纸的提供</w:t>
      </w:r>
    </w:p>
    <w:p w14:paraId="3C24734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发包人向承包人提供图纸的期限：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EFAE15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发包人向承包人提供图纸的数量： / ；</w:t>
      </w:r>
    </w:p>
    <w:p w14:paraId="7888972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发包人向承包人提供图纸的内容：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C9281E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1.6.4 承包人文件</w:t>
      </w:r>
    </w:p>
    <w:p w14:paraId="7491543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需要由承包人提供的文件，包括：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AAA708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承包人提供的文件的期限为：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4C807C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承包人提供的文件的数量为：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10F9D5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承包人提供的文件的形式为：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366AA7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发包人审批承包人文件的期限：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8B3F9D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1.6.5 现场图纸准备</w:t>
      </w:r>
    </w:p>
    <w:p w14:paraId="434254A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关于现场图纸准备的约定：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D517DB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 联络</w:t>
      </w:r>
    </w:p>
    <w:p w14:paraId="7957865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1.7.1发包人和承包人应当在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天内将与合同有关的通知、批准、证明、证书、指示、指令、要求、请求、同意、意见、确定和决定等书面函件送达对方当事人。</w:t>
      </w:r>
    </w:p>
    <w:p w14:paraId="22EEA8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1.7.2 发包人接收文件的地点：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913FD8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发包人指定的接收人为：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8D9EB4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承包人接收文件的地点：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C80065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承包人指定的接收人为：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4F0DA9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监理人接收文件的地点：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02FFD7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监理人指定的接收人为：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034485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1.10 交通运输</w:t>
      </w:r>
    </w:p>
    <w:p w14:paraId="3CE241C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bookmarkStart w:id="185" w:name="_Toc312677986"/>
      <w:bookmarkStart w:id="186" w:name="_Toc300934943"/>
      <w:bookmarkStart w:id="187" w:name="_Toc303539100"/>
      <w:bookmarkStart w:id="188" w:name="_Toc304295521"/>
      <w:bookmarkStart w:id="189" w:name="_Toc318581155"/>
      <w:r>
        <w:rPr>
          <w:rFonts w:hint="eastAsia" w:ascii="宋体" w:hAnsi="宋体" w:eastAsia="宋体" w:cs="宋体"/>
          <w:color w:val="000000" w:themeColor="text1"/>
          <w:sz w:val="24"/>
          <w:szCs w:val="24"/>
          <w:highlight w:val="none"/>
          <w:lang w:val="en-US" w:eastAsia="zh-CN"/>
          <w14:textFill>
            <w14:solidFill>
              <w14:schemeClr w14:val="tx1"/>
            </w14:solidFill>
          </w14:textFill>
        </w:rPr>
        <w:t>.10.1 出入现场的权利</w:t>
      </w:r>
    </w:p>
    <w:p w14:paraId="640C4E0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关于出入现场的权利的约定：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185"/>
    <w:bookmarkEnd w:id="186"/>
    <w:bookmarkEnd w:id="187"/>
    <w:bookmarkEnd w:id="188"/>
    <w:bookmarkEnd w:id="189"/>
    <w:p w14:paraId="4B960E7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bookmarkStart w:id="190" w:name="_Toc303539101"/>
      <w:bookmarkStart w:id="191" w:name="_Toc304295522"/>
      <w:bookmarkStart w:id="192" w:name="_Toc318581156"/>
      <w:bookmarkStart w:id="193" w:name="_Toc300934944"/>
      <w:bookmarkStart w:id="194" w:name="_Toc312677987"/>
      <w:r>
        <w:rPr>
          <w:rFonts w:hint="eastAsia" w:ascii="宋体" w:hAnsi="宋体" w:eastAsia="宋体" w:cs="宋体"/>
          <w:color w:val="000000" w:themeColor="text1"/>
          <w:sz w:val="24"/>
          <w:szCs w:val="24"/>
          <w:highlight w:val="none"/>
          <w:lang w:val="en-US" w:eastAsia="zh-CN"/>
          <w14:textFill>
            <w14:solidFill>
              <w14:schemeClr w14:val="tx1"/>
            </w14:solidFill>
          </w14:textFill>
        </w:rPr>
        <w:t>.10.3 场内交通</w:t>
      </w:r>
    </w:p>
    <w:p w14:paraId="56A4698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关于场外交通和场内交通的边界的约定：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693E98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关于发包人向承包人免费提供满足工程施工需要的场内道路和交通设施的约定：</w:t>
      </w:r>
      <w:bookmarkEnd w:id="190"/>
      <w:bookmarkEnd w:id="191"/>
      <w:bookmarkEnd w:id="192"/>
      <w:bookmarkEnd w:id="193"/>
      <w:bookmarkEnd w:id="194"/>
      <w:bookmarkStart w:id="195" w:name="_Toc318581157"/>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0497B8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1.10.4超大件和超重件的运输</w:t>
      </w:r>
    </w:p>
    <w:p w14:paraId="4989897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承担。</w:t>
      </w:r>
    </w:p>
    <w:bookmarkEnd w:id="195"/>
    <w:p w14:paraId="7AD778D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 知识产权</w:t>
      </w:r>
    </w:p>
    <w:p w14:paraId="1C123E3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E41E1C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关于发包人提供的上述文件的使用限制的要求：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DADACF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A63DFA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1.11.3关于承包人提供的上述文件的使用限制的要求：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33AC2D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766B53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1.13工程量清单错误的修正</w:t>
      </w:r>
    </w:p>
    <w:p w14:paraId="3AE3DCA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出现工程量清单错误时，是否调整合同价格</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9AD883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允许调整合同价格的工程量偏差范围：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1A0C150">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bookmarkStart w:id="196" w:name="_Toc351203634"/>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w:t>
      </w:r>
      <w:bookmarkStart w:id="197" w:name="_Toc297120457"/>
      <w:bookmarkStart w:id="198" w:name="_Toc296347156"/>
      <w:bookmarkStart w:id="199" w:name="_Toc296890985"/>
      <w:bookmarkStart w:id="200" w:name="_Toc296503157"/>
      <w:bookmarkStart w:id="201" w:name="_Toc296891197"/>
      <w:bookmarkStart w:id="202" w:name="_Toc292559362"/>
      <w:bookmarkStart w:id="203" w:name="_Toc296944496"/>
      <w:bookmarkStart w:id="204" w:name="_Toc292559867"/>
      <w:bookmarkStart w:id="205" w:name="_Toc297048343"/>
      <w:bookmarkStart w:id="206" w:name="_Toc296346658"/>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 发包人</w:t>
      </w:r>
      <w:bookmarkEnd w:id="196"/>
    </w:p>
    <w:bookmarkEnd w:id="197"/>
    <w:bookmarkEnd w:id="198"/>
    <w:bookmarkEnd w:id="199"/>
    <w:bookmarkEnd w:id="200"/>
    <w:bookmarkEnd w:id="201"/>
    <w:bookmarkEnd w:id="202"/>
    <w:bookmarkEnd w:id="203"/>
    <w:bookmarkEnd w:id="204"/>
    <w:bookmarkEnd w:id="205"/>
    <w:bookmarkEnd w:id="206"/>
    <w:p w14:paraId="302223B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 发包人代表</w:t>
      </w:r>
    </w:p>
    <w:p w14:paraId="61A2F7D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发包人代表：</w:t>
      </w:r>
    </w:p>
    <w:p w14:paraId="4B19AAF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姓    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BD9E33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身份证号：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640AC3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职    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349F1F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80AAAA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电子信箱：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10D458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通信地址：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8A0E0C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发包人对发包人代表的授权范围如下：</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1、协调各有关单位工作；2、工程进度与工程量的确认；3、督促并控制好工程进度、质量、投资</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49F764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 施工现场、施工条件和基础资料的提供</w:t>
      </w:r>
    </w:p>
    <w:p w14:paraId="30378F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2.4.1 提供施工现场</w:t>
      </w:r>
    </w:p>
    <w:p w14:paraId="16E6C03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关于发包人移交施工现场的期限要求：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开工前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66A482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2.4.2 提供施工条件</w:t>
      </w:r>
    </w:p>
    <w:p w14:paraId="7CFE02B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关于发包人应负责提供施工所需要的条件，包括：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89284F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 资金来源证明及支付担保</w:t>
      </w:r>
    </w:p>
    <w:p w14:paraId="427163F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发包人提供资金来源证明的期限要求：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082DC9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发包人是否提供支付担保：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85AD24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发包人提供支付担保的形式：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2DC6B79">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07" w:name="_Toc351203635"/>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bookmarkStart w:id="208" w:name="_Toc292559868"/>
      <w:bookmarkStart w:id="209" w:name="_Toc296890986"/>
      <w:bookmarkStart w:id="210" w:name="_Toc292559363"/>
      <w:bookmarkStart w:id="211" w:name="_Toc297120458"/>
      <w:bookmarkStart w:id="212" w:name="_Toc297048344"/>
      <w:bookmarkStart w:id="213" w:name="_Toc296503158"/>
      <w:bookmarkStart w:id="214" w:name="_Toc296891198"/>
      <w:bookmarkStart w:id="215" w:name="_Toc296944497"/>
      <w:bookmarkStart w:id="216" w:name="_Toc296346659"/>
      <w:bookmarkStart w:id="217" w:name="_Toc296347157"/>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承包人</w:t>
      </w:r>
      <w:bookmarkEnd w:id="207"/>
    </w:p>
    <w:bookmarkEnd w:id="208"/>
    <w:bookmarkEnd w:id="209"/>
    <w:bookmarkEnd w:id="210"/>
    <w:bookmarkEnd w:id="211"/>
    <w:bookmarkEnd w:id="212"/>
    <w:bookmarkEnd w:id="213"/>
    <w:bookmarkEnd w:id="214"/>
    <w:bookmarkEnd w:id="215"/>
    <w:bookmarkEnd w:id="216"/>
    <w:bookmarkEnd w:id="217"/>
    <w:p w14:paraId="44E718F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承包人的一般义务</w:t>
      </w:r>
    </w:p>
    <w:p w14:paraId="39B7784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（9）承包人提交的竣工资料的内容：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46728A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承包人需要提交的竣工资料套数：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E57C30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承包人提交的竣工资料的费用承担：</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1B7BAA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承包人提交的竣工资料移交时间：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B556DB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承包人提交的竣工资料形式要求：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8706F6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（10）承包人应履行的其他义务：</w:t>
      </w:r>
    </w:p>
    <w:p w14:paraId="7009201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1）承包人在施工时，必须全面协调好与周边环境关系，施工时承包人因自身原因未处理好周边环境关系而导致工程停工，发包人将不承担由此引起的工期延误及其他工程费用损失</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EE242C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 项目经理</w:t>
      </w:r>
    </w:p>
    <w:p w14:paraId="6B00FEE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项目经理：</w:t>
      </w:r>
    </w:p>
    <w:p w14:paraId="6334EE6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姓    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A8B074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身份证号：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F92A99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执业资格等级：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5B5E6E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注册证书号：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8CA912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执业印章号：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78EC0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安全生产考核合格证书号：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AE4F5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7B8010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电子信箱：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FB9443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通信地址：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76004B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承包人对项目经理的授权范围如下：</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26D88B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关于项目经理每月在施工现场的时间要求：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083863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承包人未提交劳动合同，以及没有为项目经理缴纳社会保险证明的违约责任：       </w:t>
      </w:r>
    </w:p>
    <w:p w14:paraId="27B0A49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项目经理未经批准，擅自离开施工现场的违约责任：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946C8D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承包人擅自更换项目经理的违约责任：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8B3FA9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3.2.4 承包人无正当理由拒绝更换项目经理的违约责任：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FF948E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承包人人员</w:t>
      </w:r>
    </w:p>
    <w:p w14:paraId="592F88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99E6D3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3.3.3 承包人无正当理由拒绝撤换主要施工管理人员的违约责任：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C244D7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3.3.4 承包人主要施工管理人员离开施工现场的批准要求：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2C641E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3.3.5承包人擅自更换主要施工管理人员的违约责任：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5400A6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承包人主要施工管理人员擅自离开施工现场的违约责任：1）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项目管理班子人员在施工现场时间必须与响应文件的承诺相一致，如未经工程师书面同意达不到承诺要求的：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C7326B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bookmarkStart w:id="218" w:name="_Toc296891199"/>
      <w:bookmarkStart w:id="219" w:name="_Toc292559364"/>
      <w:bookmarkStart w:id="220" w:name="_Toc303539102"/>
      <w:bookmarkStart w:id="221" w:name="_Toc296346660"/>
      <w:bookmarkStart w:id="222" w:name="_Toc296503159"/>
      <w:bookmarkStart w:id="223" w:name="_Toc297120459"/>
      <w:bookmarkStart w:id="224" w:name="_Toc292559869"/>
      <w:bookmarkStart w:id="225" w:name="_Toc297048345"/>
      <w:bookmarkStart w:id="226" w:name="_Toc296347158"/>
      <w:bookmarkStart w:id="227" w:name="_Toc296890987"/>
      <w:bookmarkStart w:id="228" w:name="_Toc312677988"/>
      <w:bookmarkStart w:id="229" w:name="_Toc300934945"/>
      <w:bookmarkStart w:id="230" w:name="_Toc304295523"/>
      <w:bookmarkStart w:id="231" w:name="_Toc296944498"/>
      <w:bookmarkStart w:id="232" w:name="_Toc297216151"/>
      <w:bookmarkStart w:id="233" w:name="_Toc297123492"/>
      <w:r>
        <w:rPr>
          <w:rFonts w:hint="eastAsia" w:ascii="宋体" w:hAnsi="宋体" w:eastAsia="宋体" w:cs="宋体"/>
          <w:color w:val="000000" w:themeColor="text1"/>
          <w:sz w:val="24"/>
          <w:szCs w:val="24"/>
          <w:highlight w:val="none"/>
          <w:lang w:val="en-US" w:eastAsia="zh-CN"/>
          <w14:textFill>
            <w14:solidFill>
              <w14:schemeClr w14:val="tx1"/>
            </w14:solidFill>
          </w14:textFill>
        </w:rPr>
        <w:t>.5 分包</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36B1989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bookmarkStart w:id="234" w:name="_Toc296891200"/>
      <w:bookmarkStart w:id="235" w:name="_Toc292559870"/>
      <w:bookmarkStart w:id="236" w:name="_Toc303539103"/>
      <w:bookmarkStart w:id="237" w:name="_Toc297123493"/>
      <w:bookmarkStart w:id="238" w:name="_Toc296944499"/>
      <w:bookmarkStart w:id="239" w:name="_Toc296347159"/>
      <w:bookmarkStart w:id="240" w:name="_Toc297120460"/>
      <w:bookmarkStart w:id="241" w:name="_Toc304295524"/>
      <w:bookmarkStart w:id="242" w:name="_Toc297048346"/>
      <w:bookmarkStart w:id="243" w:name="_Toc292559365"/>
      <w:bookmarkStart w:id="244" w:name="_Toc297216152"/>
      <w:bookmarkStart w:id="245" w:name="_Toc296503160"/>
      <w:bookmarkStart w:id="246" w:name="_Toc296346661"/>
      <w:bookmarkStart w:id="247" w:name="_Toc300934946"/>
      <w:bookmarkStart w:id="248" w:name="_Toc296890988"/>
      <w:bookmarkStart w:id="249" w:name="_Toc318581158"/>
      <w:bookmarkStart w:id="250" w:name="_Toc312677989"/>
      <w:r>
        <w:rPr>
          <w:rFonts w:hint="eastAsia" w:ascii="宋体" w:hAnsi="宋体" w:eastAsia="宋体" w:cs="宋体"/>
          <w:color w:val="000000" w:themeColor="text1"/>
          <w:sz w:val="24"/>
          <w:szCs w:val="24"/>
          <w:highlight w:val="none"/>
          <w:lang w:val="en-US" w:eastAsia="zh-CN"/>
          <w14:textFill>
            <w14:solidFill>
              <w14:schemeClr w14:val="tx1"/>
            </w14:solidFill>
          </w14:textFill>
        </w:rPr>
        <w:t>.5.1 分包的一般约定</w:t>
      </w:r>
    </w:p>
    <w:p w14:paraId="115C67D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禁止分包的工程包括：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653309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主体结构、关键性工作的范围：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Start w:id="251" w:name="_Toc300934947"/>
      <w:bookmarkStart w:id="252" w:name="_Toc296891201"/>
      <w:bookmarkStart w:id="253" w:name="_Toc296347160"/>
      <w:bookmarkStart w:id="254" w:name="_Toc297120461"/>
      <w:bookmarkStart w:id="255" w:name="_Toc297216153"/>
      <w:bookmarkStart w:id="256" w:name="_Toc296346662"/>
      <w:bookmarkStart w:id="257" w:name="_Toc297123494"/>
      <w:bookmarkStart w:id="258" w:name="_Toc303539104"/>
      <w:bookmarkStart w:id="259" w:name="_Toc304295525"/>
      <w:bookmarkStart w:id="260" w:name="_Toc296890989"/>
      <w:bookmarkStart w:id="261" w:name="_Toc296944500"/>
      <w:bookmarkStart w:id="262" w:name="_Toc296503161"/>
      <w:bookmarkStart w:id="263" w:name="_Toc297048347"/>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01C00B2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bookmarkStart w:id="264" w:name="_Toc318581159"/>
      <w:bookmarkStart w:id="265" w:name="_Toc312677990"/>
      <w:r>
        <w:rPr>
          <w:rFonts w:hint="eastAsia" w:ascii="宋体" w:hAnsi="宋体" w:eastAsia="宋体" w:cs="宋体"/>
          <w:color w:val="000000" w:themeColor="text1"/>
          <w:sz w:val="24"/>
          <w:szCs w:val="24"/>
          <w:highlight w:val="none"/>
          <w:lang w:val="en-US" w:eastAsia="zh-CN"/>
          <w14:textFill>
            <w14:solidFill>
              <w14:schemeClr w14:val="tx1"/>
            </w14:solidFill>
          </w14:textFill>
        </w:rPr>
        <w:t>.5.2分包的确定</w:t>
      </w:r>
    </w:p>
    <w:p w14:paraId="1540685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允许分包的专业工程包括：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0F497B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其他关于分包的约定：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D70E5A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3.5.4 分包合同价款</w:t>
      </w:r>
    </w:p>
    <w:p w14:paraId="5D68E77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关于分包合同价款支付的约定：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264"/>
    <w:bookmarkEnd w:id="265"/>
    <w:p w14:paraId="2A0F458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 工程照管与成品、半成品保护</w:t>
      </w:r>
    </w:p>
    <w:p w14:paraId="6935D6E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3D23D3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3.7 履约担保</w:t>
      </w:r>
    </w:p>
    <w:p w14:paraId="2EA5B3C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承包人是否提供履约担保：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0448B4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承包人提供履约担保的形式、金额及期限的：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B4CD349">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66" w:name="_Toc351203636"/>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bookmarkStart w:id="267" w:name="_Toc296346663"/>
      <w:bookmarkStart w:id="268" w:name="_Toc267251413"/>
      <w:bookmarkStart w:id="269" w:name="_Toc296890990"/>
      <w:bookmarkStart w:id="270" w:name="_Toc296347161"/>
      <w:bookmarkStart w:id="271" w:name="_Toc292559366"/>
      <w:bookmarkStart w:id="272" w:name="_Toc297120462"/>
      <w:bookmarkStart w:id="273" w:name="_Toc296944501"/>
      <w:bookmarkStart w:id="274" w:name="_Toc297048348"/>
      <w:bookmarkStart w:id="275" w:name="_Toc296503162"/>
      <w:bookmarkStart w:id="276" w:name="_Toc292559871"/>
      <w:bookmarkStart w:id="277" w:name="_Toc296891202"/>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监</w:t>
      </w:r>
      <w:bookmarkEnd w:id="267"/>
      <w:bookmarkEnd w:id="268"/>
      <w:bookmarkEnd w:id="269"/>
      <w:bookmarkEnd w:id="270"/>
      <w:bookmarkEnd w:id="271"/>
      <w:bookmarkEnd w:id="272"/>
      <w:bookmarkEnd w:id="273"/>
      <w:bookmarkEnd w:id="274"/>
      <w:bookmarkEnd w:id="275"/>
      <w:bookmarkEnd w:id="276"/>
      <w:bookmarkEnd w:id="277"/>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理人</w:t>
      </w:r>
      <w:bookmarkEnd w:id="266"/>
    </w:p>
    <w:p w14:paraId="66D4946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4.1监理人的一般规定</w:t>
      </w:r>
    </w:p>
    <w:p w14:paraId="4328528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关于监理人的监理内容：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7C92CB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关于监理人的监理权限：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64DBF4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关于监理人在施工现场的办公场所、生活场所的提供和费用承担的约定：          </w:t>
      </w:r>
    </w:p>
    <w:p w14:paraId="19EFCDD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商定或确定</w:t>
      </w:r>
    </w:p>
    <w:p w14:paraId="2B3342F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78" w:name="_Toc267251418"/>
      <w:r>
        <w:rPr>
          <w:rFonts w:hint="eastAsia" w:ascii="宋体" w:hAnsi="宋体" w:eastAsia="宋体" w:cs="宋体"/>
          <w:color w:val="000000" w:themeColor="text1"/>
          <w:sz w:val="24"/>
          <w:szCs w:val="24"/>
          <w:highlight w:val="none"/>
          <w:lang w:val="en-US" w:eastAsia="zh-CN"/>
          <w14:textFill>
            <w14:solidFill>
              <w14:schemeClr w14:val="tx1"/>
            </w14:solidFill>
          </w14:textFill>
        </w:rPr>
        <w:t>在发包人和承包人不能通过协商达成一致意见时，发包人授权监理人对以下事项进行确定：</w:t>
      </w:r>
    </w:p>
    <w:p w14:paraId="70C4316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D2C3C8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E677C3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1C260E5">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79" w:name="_Toc351203637"/>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bookmarkEnd w:id="278"/>
      <w:bookmarkStart w:id="280" w:name="_Toc292559872"/>
      <w:bookmarkStart w:id="281" w:name="_Toc296891203"/>
      <w:bookmarkStart w:id="282" w:name="_Toc297120463"/>
      <w:bookmarkStart w:id="283" w:name="_Toc292559367"/>
      <w:bookmarkStart w:id="284" w:name="_Toc296944502"/>
      <w:bookmarkStart w:id="285" w:name="_Toc296346664"/>
      <w:bookmarkStart w:id="286" w:name="_Toc296347162"/>
      <w:bookmarkStart w:id="287" w:name="_Toc297048349"/>
      <w:bookmarkStart w:id="288" w:name="_Toc296503163"/>
      <w:bookmarkStart w:id="289" w:name="_Toc296890991"/>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工程质量</w:t>
      </w:r>
      <w:bookmarkEnd w:id="279"/>
    </w:p>
    <w:p w14:paraId="39933B6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质量要求</w:t>
      </w:r>
    </w:p>
    <w:p w14:paraId="6B64DBA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bookmarkStart w:id="290" w:name="_Toc318581164"/>
      <w:bookmarkStart w:id="291" w:name="_Toc297123496"/>
      <w:bookmarkStart w:id="292" w:name="_Toc304295527"/>
      <w:bookmarkStart w:id="293" w:name="_Toc300934949"/>
      <w:bookmarkStart w:id="294" w:name="_Toc312677997"/>
      <w:bookmarkStart w:id="295" w:name="_Toc303539106"/>
      <w:bookmarkStart w:id="296" w:name="_Toc297216155"/>
      <w:r>
        <w:rPr>
          <w:rFonts w:hint="eastAsia" w:ascii="宋体" w:hAnsi="宋体" w:eastAsia="宋体" w:cs="宋体"/>
          <w:color w:val="000000" w:themeColor="text1"/>
          <w:sz w:val="24"/>
          <w:szCs w:val="24"/>
          <w:highlight w:val="none"/>
          <w:lang w:val="en-US" w:eastAsia="zh-CN"/>
          <w14:textFill>
            <w14:solidFill>
              <w14:schemeClr w14:val="tx1"/>
            </w14:solidFill>
          </w14:textFill>
        </w:rPr>
        <w:t>.1.1 特殊质量标准和要求</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B79583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关于工程奖项的约定</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12C9A8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隐蔽工程检查</w:t>
      </w:r>
    </w:p>
    <w:p w14:paraId="41325FD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5.3.2承包人提前通知监理人隐蔽工程检查的期限的约定：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19CB31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监理人不能按时进行检查时，应提前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小时提交书面延期要求。</w:t>
      </w:r>
    </w:p>
    <w:p w14:paraId="51E2908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关于延期最长不得超过：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w:t>
      </w:r>
    </w:p>
    <w:p w14:paraId="4F308764">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97" w:name="_Toc351203638"/>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 安全文明施工与环境保护</w:t>
      </w:r>
      <w:bookmarkEnd w:id="297"/>
    </w:p>
    <w:p w14:paraId="3DF3FE3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6.1安全文明施工</w:t>
      </w:r>
    </w:p>
    <w:p w14:paraId="784C742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6.1.1 项目安全生产的达标目标及相应事项的约定：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DA236E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6.1.4 关于治安保卫的特别约定：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7A873D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关于编制施工场地治安管理计划的约定：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9D77B0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6.1.5 文明施工</w:t>
      </w:r>
    </w:p>
    <w:p w14:paraId="297EC18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合同当事人对文明施工的要求：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建设项目所在地文明施工、标准化管理规定，明确具体措施，积极落实各项安全生产工作，杜绝重大伤亡事故</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C09745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6.1.6 关于安全文明施工费支付比例和支付期限的约定：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290"/>
    <w:bookmarkEnd w:id="291"/>
    <w:bookmarkEnd w:id="292"/>
    <w:bookmarkEnd w:id="293"/>
    <w:bookmarkEnd w:id="294"/>
    <w:bookmarkEnd w:id="295"/>
    <w:bookmarkEnd w:id="296"/>
    <w:p w14:paraId="6F289365">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98" w:name="_Toc351203639"/>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 工期和进度</w:t>
      </w:r>
      <w:bookmarkEnd w:id="298"/>
    </w:p>
    <w:p w14:paraId="7E1FF78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施工组织设计</w:t>
      </w:r>
    </w:p>
    <w:p w14:paraId="59AF62D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7.1.1 合同当事人约定的施工组织设计应包括的其他内容：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214445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7.1.2 施工组织设计的提交和修改</w:t>
      </w:r>
    </w:p>
    <w:p w14:paraId="6DA3FCC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承包人提交详细施工组织设计的期限的约定：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C882D2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2ED5E3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bookmarkStart w:id="299" w:name="_Toc312677479"/>
      <w:bookmarkStart w:id="300" w:name="_Toc304295541"/>
      <w:bookmarkStart w:id="301" w:name="_Toc303539123"/>
      <w:bookmarkStart w:id="302" w:name="_Toc297216173"/>
      <w:bookmarkStart w:id="303" w:name="_Toc300934966"/>
      <w:bookmarkStart w:id="304" w:name="_Toc312678005"/>
      <w:bookmarkStart w:id="305" w:name="_Toc297123514"/>
      <w:r>
        <w:rPr>
          <w:rFonts w:hint="eastAsia" w:ascii="宋体" w:hAnsi="宋体" w:eastAsia="宋体" w:cs="宋体"/>
          <w:color w:val="000000" w:themeColor="text1"/>
          <w:sz w:val="24"/>
          <w:szCs w:val="24"/>
          <w:highlight w:val="none"/>
          <w:lang w:val="en-US" w:eastAsia="zh-CN"/>
          <w14:textFill>
            <w14:solidFill>
              <w14:schemeClr w14:val="tx1"/>
            </w14:solidFill>
          </w14:textFill>
        </w:rPr>
        <w:t>.2 施工进度计划</w:t>
      </w:r>
    </w:p>
    <w:p w14:paraId="479F9F5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7.2.2 施工进度计划的修订</w:t>
      </w:r>
    </w:p>
    <w:p w14:paraId="00C1A8B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267A97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开工</w:t>
      </w:r>
    </w:p>
    <w:p w14:paraId="58155FA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7.3.1 开工准备</w:t>
      </w:r>
    </w:p>
    <w:p w14:paraId="768DEF6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关于承包人提交工程开工报审表的期限：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6D8C78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关于发包人应完成的其他开工准备工作及期限：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0DEBAD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关于承包人应完成的其他开工准备工作及期限：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D12568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7.3.2开工通知</w:t>
      </w:r>
    </w:p>
    <w:p w14:paraId="792848D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因发包人原因造成监理人未能在计划开工日期之日起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60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天内发出开工通知的，承包人有权提出价格调整要求，或者解除合同。</w:t>
      </w:r>
    </w:p>
    <w:bookmarkEnd w:id="299"/>
    <w:bookmarkEnd w:id="300"/>
    <w:bookmarkEnd w:id="301"/>
    <w:bookmarkEnd w:id="302"/>
    <w:bookmarkEnd w:id="303"/>
    <w:bookmarkEnd w:id="304"/>
    <w:bookmarkEnd w:id="305"/>
    <w:p w14:paraId="59B9035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7.4 测量放线</w:t>
      </w:r>
    </w:p>
    <w:p w14:paraId="3C8542C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815312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bookmarkStart w:id="306" w:name="_Toc312678010"/>
      <w:bookmarkStart w:id="307" w:name="_Toc304295546"/>
      <w:bookmarkStart w:id="308" w:name="_Toc312677484"/>
      <w:bookmarkStart w:id="309" w:name="_Toc300934968"/>
      <w:bookmarkStart w:id="310" w:name="_Toc297216175"/>
      <w:bookmarkStart w:id="311" w:name="_Toc303539125"/>
      <w:bookmarkStart w:id="312" w:name="_Toc297123516"/>
      <w:r>
        <w:rPr>
          <w:rFonts w:hint="eastAsia" w:ascii="宋体" w:hAnsi="宋体" w:eastAsia="宋体" w:cs="宋体"/>
          <w:color w:val="000000" w:themeColor="text1"/>
          <w:sz w:val="24"/>
          <w:szCs w:val="24"/>
          <w:highlight w:val="none"/>
          <w:lang w:val="en-US" w:eastAsia="zh-CN"/>
          <w14:textFill>
            <w14:solidFill>
              <w14:schemeClr w14:val="tx1"/>
            </w14:solidFill>
          </w14:textFill>
        </w:rPr>
        <w:t>.5 工期延误</w:t>
      </w:r>
    </w:p>
    <w:bookmarkEnd w:id="306"/>
    <w:bookmarkEnd w:id="307"/>
    <w:bookmarkEnd w:id="308"/>
    <w:bookmarkEnd w:id="309"/>
    <w:bookmarkEnd w:id="310"/>
    <w:bookmarkEnd w:id="311"/>
    <w:bookmarkEnd w:id="312"/>
    <w:p w14:paraId="6144341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7.5.1 因发包人原因导致工期延误</w:t>
      </w:r>
    </w:p>
    <w:p w14:paraId="10D5761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（7）因发包人原因导致工期延误的其他情形：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FDDCC9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bookmarkStart w:id="313" w:name="_Toc312677486"/>
      <w:bookmarkStart w:id="314" w:name="_Toc318581169"/>
      <w:bookmarkStart w:id="315" w:name="_Toc312678012"/>
      <w:bookmarkStart w:id="316" w:name="_Toc297123518"/>
      <w:bookmarkStart w:id="317" w:name="_Toc297216177"/>
      <w:bookmarkStart w:id="318" w:name="_Toc300934970"/>
      <w:bookmarkStart w:id="319" w:name="_Toc303539127"/>
      <w:bookmarkStart w:id="320" w:name="_Toc304295548"/>
      <w:r>
        <w:rPr>
          <w:rFonts w:hint="eastAsia" w:ascii="宋体" w:hAnsi="宋体" w:eastAsia="宋体" w:cs="宋体"/>
          <w:color w:val="000000" w:themeColor="text1"/>
          <w:sz w:val="24"/>
          <w:szCs w:val="24"/>
          <w:highlight w:val="none"/>
          <w:lang w:val="en-US" w:eastAsia="zh-CN"/>
          <w14:textFill>
            <w14:solidFill>
              <w14:schemeClr w14:val="tx1"/>
            </w14:solidFill>
          </w14:textFill>
        </w:rPr>
        <w:t>.5.2 因承包人原因导致工期延误</w:t>
      </w:r>
    </w:p>
    <w:bookmarkEnd w:id="313"/>
    <w:bookmarkEnd w:id="314"/>
    <w:bookmarkEnd w:id="315"/>
    <w:p w14:paraId="2F2E926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因</w:t>
      </w:r>
      <w:bookmarkStart w:id="321" w:name="_Toc312678013"/>
      <w:bookmarkStart w:id="322" w:name="_Toc312677487"/>
      <w:bookmarkStart w:id="323" w:name="_Toc318581170"/>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承包人原因造成工期延误，逾期竣工违约金的计算方法为：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bookmarkEnd w:id="316"/>
      <w:bookmarkEnd w:id="317"/>
      <w:bookmarkEnd w:id="318"/>
      <w:bookmarkEnd w:id="319"/>
      <w:bookmarkEnd w:id="320"/>
      <w:bookmarkEnd w:id="321"/>
      <w:bookmarkEnd w:id="322"/>
    </w:p>
    <w:bookmarkEnd w:id="323"/>
    <w:p w14:paraId="35C835E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因承包人原因造成工期延误，逾</w:t>
      </w:r>
      <w:bookmarkStart w:id="324" w:name="_Toc318581171"/>
      <w:bookmarkStart w:id="325" w:name="_Toc312678014"/>
      <w:r>
        <w:rPr>
          <w:rFonts w:hint="eastAsia" w:ascii="宋体" w:hAnsi="宋体" w:eastAsia="宋体" w:cs="宋体"/>
          <w:color w:val="000000" w:themeColor="text1"/>
          <w:sz w:val="24"/>
          <w:szCs w:val="24"/>
          <w:highlight w:val="none"/>
          <w:lang w:val="en-US" w:eastAsia="zh-CN"/>
          <w14:textFill>
            <w14:solidFill>
              <w14:schemeClr w14:val="tx1"/>
            </w14:solidFill>
          </w14:textFill>
        </w:rPr>
        <w:t>期竣工违约金的上限：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bookmarkEnd w:id="324"/>
    <w:bookmarkEnd w:id="325"/>
    <w:p w14:paraId="4698992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bookmarkStart w:id="326" w:name="_Toc304295549"/>
      <w:bookmarkStart w:id="327" w:name="_Toc297216178"/>
      <w:bookmarkStart w:id="328" w:name="_Toc303539128"/>
      <w:bookmarkStart w:id="329" w:name="_Toc297123519"/>
      <w:bookmarkStart w:id="330" w:name="_Toc300934971"/>
      <w:bookmarkStart w:id="331" w:name="_Toc312678015"/>
      <w:r>
        <w:rPr>
          <w:rFonts w:hint="eastAsia" w:ascii="宋体" w:hAnsi="宋体" w:eastAsia="宋体" w:cs="宋体"/>
          <w:color w:val="000000" w:themeColor="text1"/>
          <w:sz w:val="24"/>
          <w:szCs w:val="24"/>
          <w:highlight w:val="none"/>
          <w:lang w:val="en-US" w:eastAsia="zh-CN"/>
          <w14:textFill>
            <w14:solidFill>
              <w14:schemeClr w14:val="tx1"/>
            </w14:solidFill>
          </w14:textFill>
        </w:rPr>
        <w:t>.6 不</w:t>
      </w:r>
      <w:bookmarkEnd w:id="326"/>
      <w:bookmarkEnd w:id="327"/>
      <w:bookmarkEnd w:id="328"/>
      <w:bookmarkEnd w:id="329"/>
      <w:bookmarkEnd w:id="330"/>
      <w:bookmarkEnd w:id="331"/>
      <w:r>
        <w:rPr>
          <w:rFonts w:hint="eastAsia" w:ascii="宋体" w:hAnsi="宋体" w:eastAsia="宋体" w:cs="宋体"/>
          <w:color w:val="000000" w:themeColor="text1"/>
          <w:sz w:val="24"/>
          <w:szCs w:val="24"/>
          <w:highlight w:val="none"/>
          <w:lang w:val="en-US" w:eastAsia="zh-CN"/>
          <w14:textFill>
            <w14:solidFill>
              <w14:schemeClr w14:val="tx1"/>
            </w14:solidFill>
          </w14:textFill>
        </w:rPr>
        <w:t>利物质条件</w:t>
      </w:r>
    </w:p>
    <w:p w14:paraId="11ACC1C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332" w:name="_Toc297216179"/>
      <w:bookmarkStart w:id="333" w:name="_Toc300934972"/>
      <w:bookmarkStart w:id="334" w:name="_Toc303539129"/>
      <w:bookmarkStart w:id="335" w:name="_Toc312678016"/>
      <w:bookmarkStart w:id="336" w:name="_Toc297123520"/>
      <w:bookmarkStart w:id="337" w:name="_Toc304295550"/>
      <w:bookmarkStart w:id="338" w:name="_Toc318581172"/>
      <w:r>
        <w:rPr>
          <w:rFonts w:hint="eastAsia" w:ascii="宋体" w:hAnsi="宋体" w:eastAsia="宋体" w:cs="宋体"/>
          <w:color w:val="000000" w:themeColor="text1"/>
          <w:sz w:val="24"/>
          <w:szCs w:val="24"/>
          <w:highlight w:val="none"/>
          <w:lang w:val="en-US" w:eastAsia="zh-CN"/>
          <w14:textFill>
            <w14:solidFill>
              <w14:schemeClr w14:val="tx1"/>
            </w14:solidFill>
          </w14:textFill>
        </w:rPr>
        <w:t>不利物质条件的其他情形和有关约定：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bookmarkEnd w:id="332"/>
    <w:bookmarkEnd w:id="333"/>
    <w:bookmarkEnd w:id="334"/>
    <w:bookmarkEnd w:id="335"/>
    <w:bookmarkEnd w:id="336"/>
    <w:bookmarkEnd w:id="337"/>
    <w:bookmarkEnd w:id="338"/>
    <w:p w14:paraId="1C315A4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bookmarkStart w:id="339" w:name="_Toc303539130"/>
      <w:bookmarkStart w:id="340" w:name="_Toc300934973"/>
      <w:bookmarkStart w:id="341" w:name="_Toc297123521"/>
      <w:bookmarkStart w:id="342" w:name="_Toc312678017"/>
      <w:bookmarkStart w:id="343" w:name="_Toc297216180"/>
      <w:bookmarkStart w:id="344" w:name="_Toc304295551"/>
      <w:r>
        <w:rPr>
          <w:rFonts w:hint="eastAsia" w:ascii="宋体" w:hAnsi="宋体" w:eastAsia="宋体" w:cs="宋体"/>
          <w:color w:val="000000" w:themeColor="text1"/>
          <w:sz w:val="24"/>
          <w:szCs w:val="24"/>
          <w:highlight w:val="none"/>
          <w:lang w:val="en-US" w:eastAsia="zh-CN"/>
          <w14:textFill>
            <w14:solidFill>
              <w14:schemeClr w14:val="tx1"/>
            </w14:solidFill>
          </w14:textFill>
        </w:rPr>
        <w:t>.7异常恶劣的气候条件</w:t>
      </w:r>
    </w:p>
    <w:bookmarkEnd w:id="339"/>
    <w:bookmarkEnd w:id="340"/>
    <w:bookmarkEnd w:id="341"/>
    <w:bookmarkEnd w:id="342"/>
    <w:bookmarkEnd w:id="343"/>
    <w:bookmarkEnd w:id="344"/>
    <w:p w14:paraId="133CF15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发包人和承包人同意以下情形视为异常恶劣的气候条件：</w:t>
      </w:r>
    </w:p>
    <w:p w14:paraId="23902A6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6452BC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DA50AA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74B5B8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7.9 提前竣工的奖励</w:t>
      </w:r>
    </w:p>
    <w:p w14:paraId="40C2BAB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7.9.2提前竣工的奖励：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EBDB4E7">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345" w:name="_Toc351203640"/>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 材料与设备</w:t>
      </w:r>
      <w:bookmarkEnd w:id="345"/>
    </w:p>
    <w:bookmarkEnd w:id="280"/>
    <w:bookmarkEnd w:id="281"/>
    <w:bookmarkEnd w:id="282"/>
    <w:bookmarkEnd w:id="283"/>
    <w:bookmarkEnd w:id="284"/>
    <w:bookmarkEnd w:id="285"/>
    <w:bookmarkEnd w:id="286"/>
    <w:bookmarkEnd w:id="287"/>
    <w:bookmarkEnd w:id="288"/>
    <w:bookmarkEnd w:id="289"/>
    <w:p w14:paraId="05BEDD5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bookmarkStart w:id="346" w:name="_Toc292559372"/>
      <w:bookmarkStart w:id="347" w:name="_Toc297048353"/>
      <w:bookmarkStart w:id="348" w:name="_Toc296890995"/>
      <w:bookmarkStart w:id="349" w:name="_Toc292559877"/>
      <w:bookmarkStart w:id="350" w:name="_Toc297216186"/>
      <w:bookmarkStart w:id="351" w:name="_Toc296347166"/>
      <w:bookmarkStart w:id="352" w:name="_Toc296346668"/>
      <w:bookmarkStart w:id="353" w:name="_Toc280868654"/>
      <w:bookmarkStart w:id="354" w:name="_Toc300934979"/>
      <w:bookmarkStart w:id="355" w:name="_Toc296891207"/>
      <w:bookmarkStart w:id="356" w:name="_Toc312677493"/>
      <w:bookmarkStart w:id="357" w:name="_Toc312678019"/>
      <w:bookmarkStart w:id="358" w:name="_Toc296503167"/>
      <w:bookmarkStart w:id="359" w:name="_Toc297120467"/>
      <w:bookmarkStart w:id="360" w:name="_Toc303539136"/>
      <w:bookmarkStart w:id="361" w:name="_Toc304295556"/>
      <w:bookmarkStart w:id="362" w:name="_Toc297123527"/>
      <w:bookmarkStart w:id="363" w:name="_Toc296944506"/>
      <w:bookmarkStart w:id="364" w:name="_Toc280868655"/>
      <w:bookmarkStart w:id="365" w:name="_Toc267251424"/>
      <w:bookmarkStart w:id="366" w:name="_Toc280868656"/>
      <w:r>
        <w:rPr>
          <w:rFonts w:hint="eastAsia" w:ascii="宋体" w:hAnsi="宋体" w:eastAsia="宋体" w:cs="宋体"/>
          <w:color w:val="000000" w:themeColor="text1"/>
          <w:sz w:val="24"/>
          <w:szCs w:val="24"/>
          <w:highlight w:val="none"/>
          <w:lang w:val="en-US" w:eastAsia="zh-CN"/>
          <w14:textFill>
            <w14:solidFill>
              <w14:schemeClr w14:val="tx1"/>
            </w14:solidFill>
          </w14:textFill>
        </w:rPr>
        <w:t>.4材料与工程设备的保管与使用</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14:paraId="371BCC7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bookmarkStart w:id="367" w:name="_Toc292559373"/>
      <w:bookmarkStart w:id="368" w:name="_Toc292559878"/>
      <w:bookmarkStart w:id="369" w:name="_Toc312677494"/>
      <w:bookmarkStart w:id="370" w:name="_Toc297123528"/>
      <w:bookmarkStart w:id="371" w:name="_Toc296890996"/>
      <w:bookmarkStart w:id="372" w:name="_Toc312678020"/>
      <w:bookmarkStart w:id="373" w:name="_Toc297120468"/>
      <w:bookmarkStart w:id="374" w:name="_Toc318581173"/>
      <w:bookmarkStart w:id="375" w:name="_Toc296944507"/>
      <w:bookmarkStart w:id="376" w:name="_Toc303539137"/>
      <w:bookmarkStart w:id="377" w:name="_Toc304295557"/>
      <w:bookmarkStart w:id="378" w:name="_Toc296891208"/>
      <w:bookmarkStart w:id="379" w:name="_Toc297048354"/>
      <w:bookmarkStart w:id="380" w:name="_Toc296503168"/>
      <w:bookmarkStart w:id="381" w:name="_Toc296346669"/>
      <w:bookmarkStart w:id="382" w:name="_Toc296347167"/>
      <w:bookmarkStart w:id="383" w:name="_Toc300934980"/>
      <w:bookmarkStart w:id="384" w:name="_Toc297216187"/>
      <w:r>
        <w:rPr>
          <w:rFonts w:hint="eastAsia" w:ascii="宋体" w:hAnsi="宋体" w:eastAsia="宋体" w:cs="宋体"/>
          <w:color w:val="000000" w:themeColor="text1"/>
          <w:sz w:val="24"/>
          <w:szCs w:val="24"/>
          <w:highlight w:val="none"/>
          <w:lang w:val="en-US" w:eastAsia="zh-CN"/>
          <w14:textFill>
            <w14:solidFill>
              <w14:schemeClr w14:val="tx1"/>
            </w14:solidFill>
          </w14:textFill>
        </w:rPr>
        <w:t>.4.1发包人供应的材料设备的保管费用的承担：         。</w:t>
      </w:r>
      <w:bookmarkEnd w:id="367"/>
      <w:bookmarkEnd w:id="368"/>
    </w:p>
    <w:p w14:paraId="015042D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8.6 样品</w:t>
      </w:r>
    </w:p>
    <w:p w14:paraId="457F949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8.6.1</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样品的报送与封存</w:t>
      </w:r>
    </w:p>
    <w:p w14:paraId="56E976A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B35E5B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8.8 施工设备和临时设施</w:t>
      </w:r>
    </w:p>
    <w:p w14:paraId="41532F6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8.8.1 承包人提供的施工设备和临时设施</w:t>
      </w:r>
    </w:p>
    <w:p w14:paraId="08F7312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关于修建临时设施费用承担的约定：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474620EE">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385" w:name="_Toc351203641"/>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bookmarkEnd w:id="364"/>
      <w:bookmarkEnd w:id="365"/>
      <w:bookmarkEnd w:id="366"/>
      <w:bookmarkStart w:id="386" w:name="_Toc304295559"/>
      <w:bookmarkStart w:id="387" w:name="_Toc312677495"/>
      <w:bookmarkStart w:id="388" w:name="_Toc300934982"/>
      <w:bookmarkStart w:id="389" w:name="_Toc297216192"/>
      <w:bookmarkStart w:id="390" w:name="_Toc303539139"/>
      <w:bookmarkStart w:id="391" w:name="_Toc297123533"/>
      <w:bookmarkStart w:id="392" w:name="_Toc312678021"/>
      <w:bookmarkStart w:id="393" w:name="_Toc267251428"/>
      <w:bookmarkStart w:id="394" w:name="_Toc267251427"/>
      <w:bookmarkStart w:id="395" w:name="_Toc292559378"/>
      <w:bookmarkStart w:id="396" w:name="_Toc292559883"/>
      <w:bookmarkStart w:id="397" w:name="_Toc296347172"/>
      <w:bookmarkStart w:id="398" w:name="_Toc296346674"/>
      <w:bookmarkStart w:id="399" w:name="_Toc297120473"/>
      <w:bookmarkStart w:id="400" w:name="_Toc296503173"/>
      <w:bookmarkStart w:id="401" w:name="_Toc296944512"/>
      <w:bookmarkStart w:id="402" w:name="_Toc296891213"/>
      <w:bookmarkStart w:id="403" w:name="_Toc296891001"/>
      <w:bookmarkStart w:id="404" w:name="_Toc297048359"/>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试验与检验</w:t>
      </w:r>
      <w:bookmarkEnd w:id="385"/>
    </w:p>
    <w:bookmarkEnd w:id="386"/>
    <w:bookmarkEnd w:id="387"/>
    <w:bookmarkEnd w:id="388"/>
    <w:bookmarkEnd w:id="389"/>
    <w:bookmarkEnd w:id="390"/>
    <w:bookmarkEnd w:id="391"/>
    <w:bookmarkEnd w:id="392"/>
    <w:p w14:paraId="5EDC055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bookmarkStart w:id="405" w:name="_Toc312678022"/>
      <w:bookmarkStart w:id="406" w:name="_Toc304295560"/>
      <w:bookmarkStart w:id="407" w:name="_Toc312677496"/>
      <w:bookmarkStart w:id="408" w:name="_Toc297216193"/>
      <w:bookmarkStart w:id="409" w:name="_Toc297123534"/>
      <w:bookmarkStart w:id="410" w:name="_Toc303539140"/>
      <w:bookmarkStart w:id="411" w:name="_Toc300934983"/>
      <w:r>
        <w:rPr>
          <w:rFonts w:hint="eastAsia" w:ascii="宋体" w:hAnsi="宋体" w:eastAsia="宋体" w:cs="宋体"/>
          <w:color w:val="000000" w:themeColor="text1"/>
          <w:sz w:val="24"/>
          <w:szCs w:val="24"/>
          <w:highlight w:val="none"/>
          <w:lang w:val="en-US" w:eastAsia="zh-CN"/>
          <w14:textFill>
            <w14:solidFill>
              <w14:schemeClr w14:val="tx1"/>
            </w14:solidFill>
          </w14:textFill>
        </w:rPr>
        <w:t>.1试验设备与试验人员</w:t>
      </w:r>
    </w:p>
    <w:bookmarkEnd w:id="405"/>
    <w:bookmarkEnd w:id="406"/>
    <w:bookmarkEnd w:id="407"/>
    <w:bookmarkEnd w:id="408"/>
    <w:bookmarkEnd w:id="409"/>
    <w:bookmarkEnd w:id="410"/>
    <w:bookmarkEnd w:id="411"/>
    <w:p w14:paraId="4EBE9A0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bookmarkStart w:id="412" w:name="_Toc297123535"/>
      <w:bookmarkStart w:id="413" w:name="_Toc303539141"/>
      <w:bookmarkStart w:id="414" w:name="_Toc312677497"/>
      <w:bookmarkStart w:id="415" w:name="_Toc297216194"/>
      <w:bookmarkStart w:id="416" w:name="_Toc312678023"/>
      <w:bookmarkStart w:id="417" w:name="_Toc300934984"/>
      <w:bookmarkStart w:id="418" w:name="_Toc304295561"/>
      <w:bookmarkStart w:id="419" w:name="_Toc318581174"/>
      <w:r>
        <w:rPr>
          <w:rFonts w:hint="eastAsia" w:ascii="宋体" w:hAnsi="宋体" w:eastAsia="宋体" w:cs="宋体"/>
          <w:color w:val="000000" w:themeColor="text1"/>
          <w:sz w:val="24"/>
          <w:szCs w:val="24"/>
          <w:highlight w:val="none"/>
          <w:lang w:val="en-US" w:eastAsia="zh-CN"/>
          <w14:textFill>
            <w14:solidFill>
              <w14:schemeClr w14:val="tx1"/>
            </w14:solidFill>
          </w14:textFill>
        </w:rPr>
        <w:t>.1.2 试验设备</w:t>
      </w:r>
    </w:p>
    <w:p w14:paraId="669E1CA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施工现场需要配置的试验场所：</w:t>
      </w:r>
      <w:bookmarkEnd w:id="412"/>
      <w:bookmarkEnd w:id="413"/>
      <w:bookmarkEnd w:id="414"/>
      <w:bookmarkEnd w:id="415"/>
      <w:bookmarkEnd w:id="416"/>
      <w:bookmarkEnd w:id="417"/>
      <w:bookmarkEnd w:id="418"/>
      <w:bookmarkStart w:id="420" w:name="_Toc312678024"/>
      <w:bookmarkStart w:id="421" w:name="_Toc312677498"/>
      <w:bookmarkStart w:id="422" w:name="_Toc304295562"/>
      <w:bookmarkStart w:id="423" w:name="_Toc297123536"/>
      <w:bookmarkStart w:id="424" w:name="_Toc303539142"/>
      <w:bookmarkStart w:id="425" w:name="_Toc300934985"/>
      <w:bookmarkStart w:id="426" w:name="_Toc297216195"/>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 </w:t>
      </w:r>
    </w:p>
    <w:p w14:paraId="1AC72EF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施工现场需要配备的试验设备：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963255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施工现场需要具备的其他试验条件：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23A577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9.4 现场工艺试验 </w:t>
      </w:r>
    </w:p>
    <w:p w14:paraId="7A278B1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现场工艺试验的有关约定：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bookmarkEnd w:id="419"/>
    <w:bookmarkEnd w:id="420"/>
    <w:bookmarkEnd w:id="421"/>
    <w:bookmarkEnd w:id="422"/>
    <w:bookmarkEnd w:id="423"/>
    <w:bookmarkEnd w:id="424"/>
    <w:bookmarkEnd w:id="425"/>
    <w:bookmarkEnd w:id="426"/>
    <w:p w14:paraId="727679EF">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427" w:name="_Toc351203642"/>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bookmarkEnd w:id="393"/>
      <w:bookmarkEnd w:id="394"/>
      <w:bookmarkEnd w:id="395"/>
      <w:bookmarkEnd w:id="396"/>
      <w:bookmarkEnd w:id="397"/>
      <w:bookmarkEnd w:id="398"/>
      <w:bookmarkEnd w:id="399"/>
      <w:bookmarkEnd w:id="400"/>
      <w:bookmarkEnd w:id="401"/>
      <w:bookmarkEnd w:id="402"/>
      <w:bookmarkEnd w:id="403"/>
      <w:bookmarkEnd w:id="404"/>
      <w:bookmarkStart w:id="428" w:name="_Toc303539146"/>
      <w:bookmarkStart w:id="429" w:name="_Toc296944532"/>
      <w:bookmarkStart w:id="430" w:name="_Toc292559398"/>
      <w:bookmarkStart w:id="431" w:name="_Toc296891233"/>
      <w:bookmarkStart w:id="432" w:name="_Toc296891021"/>
      <w:bookmarkStart w:id="433" w:name="_Toc292559903"/>
      <w:bookmarkStart w:id="434" w:name="_Toc297120493"/>
      <w:bookmarkStart w:id="435" w:name="_Toc297216199"/>
      <w:bookmarkStart w:id="436" w:name="_Toc296347192"/>
      <w:bookmarkStart w:id="437" w:name="_Toc300934989"/>
      <w:bookmarkStart w:id="438" w:name="_Toc297123540"/>
      <w:bookmarkStart w:id="439" w:name="_Toc304295566"/>
      <w:bookmarkStart w:id="440" w:name="_Toc296503193"/>
      <w:bookmarkStart w:id="441" w:name="_Toc297048379"/>
      <w:bookmarkStart w:id="442" w:name="_Toc296346694"/>
      <w:bookmarkStart w:id="443" w:name="_Toc312678025"/>
      <w:bookmarkStart w:id="444" w:name="_Toc312677499"/>
      <w:bookmarkStart w:id="445" w:name="_Toc267251441"/>
      <w:bookmarkStart w:id="446" w:name="_Toc267251437"/>
      <w:bookmarkStart w:id="447" w:name="_Toc267251439"/>
      <w:bookmarkStart w:id="448" w:name="_Toc267251440"/>
      <w:bookmarkStart w:id="449" w:name="_Toc267251435"/>
      <w:bookmarkStart w:id="450" w:name="_Toc267251433"/>
      <w:bookmarkStart w:id="451" w:name="_Toc267251442"/>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 变更</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bookmarkEnd w:id="443"/>
    <w:bookmarkEnd w:id="444"/>
    <w:p w14:paraId="468E60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bookmarkStart w:id="452" w:name="_Toc297123541"/>
      <w:bookmarkStart w:id="453" w:name="_Toc297120494"/>
      <w:bookmarkStart w:id="454" w:name="_Toc312677500"/>
      <w:bookmarkStart w:id="455" w:name="_Toc296891022"/>
      <w:bookmarkStart w:id="456" w:name="_Toc304295567"/>
      <w:bookmarkStart w:id="457" w:name="_Toc296347193"/>
      <w:bookmarkStart w:id="458" w:name="_Toc292559399"/>
      <w:bookmarkStart w:id="459" w:name="_Toc296891234"/>
      <w:bookmarkStart w:id="460" w:name="_Toc296944533"/>
      <w:bookmarkStart w:id="461" w:name="_Toc292559904"/>
      <w:bookmarkStart w:id="462" w:name="_Toc303539147"/>
      <w:bookmarkStart w:id="463" w:name="_Toc300934990"/>
      <w:bookmarkStart w:id="464" w:name="_Toc297048380"/>
      <w:bookmarkStart w:id="465" w:name="_Toc296503194"/>
      <w:bookmarkStart w:id="466" w:name="_Toc296346695"/>
      <w:bookmarkStart w:id="467" w:name="_Toc297216200"/>
      <w:bookmarkStart w:id="468" w:name="_Toc312678026"/>
      <w:r>
        <w:rPr>
          <w:rFonts w:hint="eastAsia" w:ascii="宋体" w:hAnsi="宋体" w:eastAsia="宋体" w:cs="宋体"/>
          <w:color w:val="000000" w:themeColor="text1"/>
          <w:sz w:val="24"/>
          <w:szCs w:val="24"/>
          <w:highlight w:val="none"/>
          <w:lang w:val="en-US" w:eastAsia="zh-CN"/>
          <w14:textFill>
            <w14:solidFill>
              <w14:schemeClr w14:val="tx1"/>
            </w14:solidFill>
          </w14:textFill>
        </w:rPr>
        <w:t>0.1变更的范围</w:t>
      </w:r>
    </w:p>
    <w:p w14:paraId="333922A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关于变更的范围的约定：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801C95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10.4 变更估价</w:t>
      </w:r>
    </w:p>
    <w:p w14:paraId="2A75FF2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10.4.1 变更估价原则</w:t>
      </w:r>
    </w:p>
    <w:p w14:paraId="7F5936A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关于变更估价的约定: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BCA01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Start w:id="469" w:name="_Toc296891237"/>
      <w:bookmarkStart w:id="470" w:name="_Toc297120497"/>
      <w:bookmarkStart w:id="471" w:name="_Toc300934993"/>
      <w:bookmarkStart w:id="472" w:name="_Toc297216203"/>
      <w:bookmarkStart w:id="473" w:name="_Toc296944536"/>
      <w:bookmarkStart w:id="474" w:name="_Toc296346698"/>
      <w:bookmarkStart w:id="475" w:name="_Toc296891025"/>
      <w:bookmarkStart w:id="476" w:name="_Toc296503197"/>
      <w:bookmarkStart w:id="477" w:name="_Toc292559907"/>
      <w:bookmarkStart w:id="478" w:name="_Toc297123544"/>
      <w:bookmarkStart w:id="479" w:name="_Toc292559402"/>
      <w:bookmarkStart w:id="480" w:name="_Toc296347196"/>
      <w:bookmarkStart w:id="481" w:name="_Toc297048383"/>
      <w:bookmarkStart w:id="482" w:name="_Toc303539150"/>
      <w:bookmarkStart w:id="483" w:name="_Toc312678029"/>
      <w:bookmarkStart w:id="484" w:name="_Toc304295570"/>
      <w:bookmarkStart w:id="485" w:name="_Toc312677503"/>
      <w:r>
        <w:rPr>
          <w:rFonts w:hint="eastAsia" w:ascii="宋体" w:hAnsi="宋体" w:eastAsia="宋体" w:cs="宋体"/>
          <w:color w:val="000000" w:themeColor="text1"/>
          <w:sz w:val="24"/>
          <w:szCs w:val="24"/>
          <w:highlight w:val="none"/>
          <w:lang w:val="en-US" w:eastAsia="zh-CN"/>
          <w14:textFill>
            <w14:solidFill>
              <w14:schemeClr w14:val="tx1"/>
            </w14:solidFill>
          </w14:textFill>
        </w:rPr>
        <w:t>0.5承</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Start w:id="486" w:name="_Toc292559913"/>
      <w:bookmarkStart w:id="487" w:name="_Toc296944542"/>
      <w:bookmarkStart w:id="488" w:name="_Toc292559408"/>
      <w:bookmarkStart w:id="489" w:name="_Toc297120503"/>
      <w:bookmarkStart w:id="490" w:name="_Toc303539151"/>
      <w:bookmarkStart w:id="491" w:name="_Toc296346704"/>
      <w:bookmarkStart w:id="492" w:name="_Toc297123545"/>
      <w:bookmarkStart w:id="493" w:name="_Toc297048389"/>
      <w:bookmarkStart w:id="494" w:name="_Toc296503203"/>
      <w:bookmarkStart w:id="495" w:name="_Toc296891243"/>
      <w:bookmarkStart w:id="496" w:name="_Toc300934994"/>
      <w:bookmarkStart w:id="497" w:name="_Toc296891031"/>
      <w:bookmarkStart w:id="498" w:name="_Toc296347202"/>
      <w:bookmarkStart w:id="499" w:name="_Toc297216204"/>
      <w:r>
        <w:rPr>
          <w:rFonts w:hint="eastAsia" w:ascii="宋体" w:hAnsi="宋体" w:eastAsia="宋体" w:cs="宋体"/>
          <w:color w:val="000000" w:themeColor="text1"/>
          <w:sz w:val="24"/>
          <w:szCs w:val="24"/>
          <w:highlight w:val="none"/>
          <w:lang w:val="en-US" w:eastAsia="zh-CN"/>
          <w14:textFill>
            <w14:solidFill>
              <w14:schemeClr w14:val="tx1"/>
            </w14:solidFill>
          </w14:textFill>
        </w:rPr>
        <w:t>包人的合理化建议</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2F5DB11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监理人审查承包人合理化建议的期限：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886795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发包人审批承包人合理化建议的期限：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5CD57C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w:t>
      </w:r>
      <w:bookmarkStart w:id="500" w:name="_Toc292559409"/>
      <w:bookmarkStart w:id="501" w:name="_Toc297048390"/>
      <w:bookmarkStart w:id="502" w:name="_Toc292559914"/>
      <w:bookmarkStart w:id="503" w:name="_Toc297120504"/>
      <w:bookmarkStart w:id="504" w:name="_Toc300934995"/>
      <w:bookmarkStart w:id="505" w:name="_Toc318581175"/>
      <w:bookmarkStart w:id="506" w:name="_Toc296346705"/>
      <w:bookmarkStart w:id="507" w:name="_Toc296891032"/>
      <w:bookmarkStart w:id="508" w:name="_Toc303539152"/>
      <w:bookmarkStart w:id="509" w:name="_Toc296347203"/>
      <w:bookmarkStart w:id="510" w:name="_Toc297123546"/>
      <w:bookmarkStart w:id="511" w:name="_Toc312677504"/>
      <w:bookmarkStart w:id="512" w:name="_Toc296891244"/>
      <w:bookmarkStart w:id="513" w:name="_Toc297216205"/>
      <w:bookmarkStart w:id="514" w:name="_Toc312678030"/>
      <w:bookmarkStart w:id="515" w:name="_Toc296503204"/>
      <w:bookmarkStart w:id="516" w:name="_Toc296944543"/>
      <w:bookmarkStart w:id="517" w:name="_Toc304295571"/>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包人提出的合理化建议降低了合同价格或者提高了工程经济效益的奖励的方法和金额为：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无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6F75414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bookmarkStart w:id="518" w:name="_Toc296346700"/>
      <w:bookmarkStart w:id="519" w:name="_Toc292559404"/>
      <w:bookmarkStart w:id="520" w:name="_Toc304295574"/>
      <w:bookmarkStart w:id="521" w:name="_Toc296891027"/>
      <w:bookmarkStart w:id="522" w:name="_Toc300934997"/>
      <w:bookmarkStart w:id="523" w:name="_Toc296347198"/>
      <w:bookmarkStart w:id="524" w:name="_Toc296503199"/>
      <w:bookmarkStart w:id="525" w:name="_Toc296944538"/>
      <w:bookmarkStart w:id="526" w:name="_Toc297123548"/>
      <w:bookmarkStart w:id="527" w:name="_Toc297216207"/>
      <w:bookmarkStart w:id="528" w:name="_Toc296891239"/>
      <w:bookmarkStart w:id="529" w:name="_Toc297120499"/>
      <w:bookmarkStart w:id="530" w:name="_Toc292559909"/>
      <w:bookmarkStart w:id="531" w:name="_Toc297048385"/>
      <w:bookmarkStart w:id="532" w:name="_Toc303539154"/>
      <w:bookmarkStart w:id="533" w:name="_Toc312677507"/>
      <w:bookmarkStart w:id="534" w:name="_Toc312678033"/>
      <w:r>
        <w:rPr>
          <w:rFonts w:hint="eastAsia" w:ascii="宋体" w:hAnsi="宋体" w:eastAsia="宋体" w:cs="宋体"/>
          <w:color w:val="000000" w:themeColor="text1"/>
          <w:sz w:val="24"/>
          <w:szCs w:val="24"/>
          <w:highlight w:val="none"/>
          <w:lang w:val="en-US" w:eastAsia="zh-CN"/>
          <w14:textFill>
            <w14:solidFill>
              <w14:schemeClr w14:val="tx1"/>
            </w14:solidFill>
          </w14:textFill>
        </w:rPr>
        <w:t>0.7 暂估价</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5" w:name="_Toc312678034"/>
      <w:bookmarkStart w:id="536" w:name="_Toc318581176"/>
      <w:bookmarkStart w:id="537" w:name="_Toc312677508"/>
    </w:p>
    <w:bookmarkEnd w:id="535"/>
    <w:bookmarkEnd w:id="536"/>
    <w:bookmarkEnd w:id="537"/>
    <w:p w14:paraId="76482C7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bookmarkStart w:id="538" w:name="_Toc318581177"/>
      <w:bookmarkStart w:id="539" w:name="_Toc312678035"/>
      <w:bookmarkStart w:id="540" w:name="_Toc312677509"/>
      <w:r>
        <w:rPr>
          <w:rFonts w:hint="eastAsia" w:ascii="宋体" w:hAnsi="宋体" w:eastAsia="宋体" w:cs="宋体"/>
          <w:color w:val="000000" w:themeColor="text1"/>
          <w:sz w:val="24"/>
          <w:szCs w:val="24"/>
          <w:highlight w:val="none"/>
          <w:lang w:val="en-US" w:eastAsia="zh-CN"/>
          <w14:textFill>
            <w14:solidFill>
              <w14:schemeClr w14:val="tx1"/>
            </w14:solidFill>
          </w14:textFill>
        </w:rPr>
        <w:t>0.7.1 依法必须招标的暂估价项目</w:t>
      </w:r>
    </w:p>
    <w:bookmarkEnd w:id="538"/>
    <w:bookmarkEnd w:id="539"/>
    <w:bookmarkEnd w:id="540"/>
    <w:p w14:paraId="2C213F4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对于依法必须招标的暂估价项目的确认和批准采取招标方式确定。</w:t>
      </w:r>
    </w:p>
    <w:p w14:paraId="65C0A45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10.7.2 不属于依法必须招标的暂估价项目</w:t>
      </w:r>
    </w:p>
    <w:p w14:paraId="45179A1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对于不属于依法必须招标的暂估价项目的确认和批准采取直接实施方式确定。</w:t>
      </w:r>
    </w:p>
    <w:p w14:paraId="419EAB4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第3种方式：承包人直接实施的暂估价项目</w:t>
      </w:r>
    </w:p>
    <w:p w14:paraId="21C883A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承包人直接实施的暂估价项目的约定：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316040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10.8 暂列金额</w:t>
      </w:r>
    </w:p>
    <w:p w14:paraId="3AE490A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合同当事人关于暂列金额使用的约定：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EA96E7E">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541" w:name="_Toc351203643"/>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11. 价格调整</w:t>
      </w:r>
      <w:bookmarkEnd w:id="541"/>
    </w:p>
    <w:p w14:paraId="29A7245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42" w:name="_Toc304295577"/>
      <w:bookmarkStart w:id="543" w:name="_Toc303539157"/>
      <w:bookmarkStart w:id="544" w:name="_Toc297120501"/>
      <w:bookmarkStart w:id="545" w:name="_Toc296891241"/>
      <w:bookmarkStart w:id="546" w:name="_Toc296891029"/>
      <w:bookmarkStart w:id="547" w:name="_Toc296346702"/>
      <w:bookmarkStart w:id="548" w:name="_Toc292559911"/>
      <w:bookmarkStart w:id="549" w:name="_Toc296347200"/>
      <w:bookmarkStart w:id="550" w:name="_Toc300935000"/>
      <w:bookmarkStart w:id="551" w:name="_Toc297123550"/>
      <w:bookmarkStart w:id="552" w:name="_Toc296503201"/>
      <w:bookmarkStart w:id="553" w:name="_Toc312678039"/>
      <w:bookmarkStart w:id="554" w:name="_Toc297048387"/>
      <w:bookmarkStart w:id="555" w:name="_Toc292559406"/>
      <w:bookmarkStart w:id="556" w:name="_Toc296944540"/>
      <w:bookmarkStart w:id="557" w:name="_Toc297216209"/>
      <w:r>
        <w:rPr>
          <w:rFonts w:hint="eastAsia" w:ascii="宋体" w:hAnsi="宋体" w:eastAsia="宋体" w:cs="宋体"/>
          <w:color w:val="000000" w:themeColor="text1"/>
          <w:sz w:val="24"/>
          <w:szCs w:val="24"/>
          <w:highlight w:val="none"/>
          <w:lang w:val="en-US" w:eastAsia="zh-CN"/>
          <w14:textFill>
            <w14:solidFill>
              <w14:schemeClr w14:val="tx1"/>
            </w14:solidFill>
          </w14:textFill>
        </w:rPr>
        <w:t>11.1 市场价格波动引起的调整</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FFC954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（1）市场价格波动是否调整合同价格的约定：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538A38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因市场价格波动调整合同价格，采用以下第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种方式对合同价格进行调整：</w:t>
      </w:r>
    </w:p>
    <w:p w14:paraId="73E2B22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第1种方式：采用价格指数进行价格调整。</w:t>
      </w:r>
    </w:p>
    <w:p w14:paraId="0BBD38C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关于各可调因子、定值和变值权重，以及基本价格指数及其来源的约定：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F74232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第2种方式：采用造价信息进行价格调整。</w:t>
      </w:r>
    </w:p>
    <w:p w14:paraId="6ECB81B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（2）关于基准价格的约定：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C0C1DD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专用合同条款①承包人在已标价工程量清单或预算书中载明材料单价低于基准价格的：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专用合同条款合同履行期间材料单价涨幅以基准价格为基础超过/%时，或材料单价跌幅以在已标价工程量清单或预算书中载明材料单价为基础超过/%   时，其超过部分据实调整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8C63AD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②承包人在已标价工程量清单或预算书中载明材料单价高于基准价格的：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专用合同条款合同履行期间材料单价跌幅以基准价格为基础超过/%时，材料单价涨幅以在已标价工程量清单或预算书中载明材料单价为基础超过/%时，其超过部分据实调整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001E47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③承包人在已标价工程量清单或预算书中载明材料单价等于基准价格的：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专用合同条款合同履行期间材料单价涨跌幅以基准价格为基础超过/%时，其超过部分据实调整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F93A12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第3种方式：其他价格调整方式：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445"/>
    <w:bookmarkEnd w:id="446"/>
    <w:bookmarkEnd w:id="447"/>
    <w:bookmarkEnd w:id="448"/>
    <w:bookmarkEnd w:id="449"/>
    <w:bookmarkEnd w:id="450"/>
    <w:p w14:paraId="37B84F5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58" w:name="_Toc292559410"/>
      <w:bookmarkStart w:id="559" w:name="_Toc296347204"/>
      <w:bookmarkStart w:id="560" w:name="_Toc292559915"/>
      <w:bookmarkStart w:id="561" w:name="_Toc296891033"/>
      <w:bookmarkStart w:id="562" w:name="_Toc296944544"/>
      <w:bookmarkStart w:id="563" w:name="_Toc296503205"/>
      <w:bookmarkStart w:id="564" w:name="_Toc296346706"/>
      <w:bookmarkStart w:id="565" w:name="_Toc296891245"/>
      <w:bookmarkStart w:id="566" w:name="_Toc297120505"/>
      <w:bookmarkStart w:id="567" w:name="_Toc297048391"/>
      <w:bookmarkStart w:id="568" w:name="_Toc351203644"/>
      <w:bookmarkStart w:id="569" w:name="_Toc312678040"/>
      <w:bookmarkStart w:id="570" w:name="_Toc297123552"/>
      <w:bookmarkStart w:id="571" w:name="_Toc300935002"/>
      <w:bookmarkStart w:id="572" w:name="_Toc304295579"/>
      <w:bookmarkStart w:id="573" w:name="_Toc303539159"/>
      <w:bookmarkStart w:id="574" w:name="_Toc297216211"/>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12. </w:t>
      </w:r>
      <w:bookmarkEnd w:id="558"/>
      <w:bookmarkEnd w:id="559"/>
      <w:bookmarkEnd w:id="560"/>
      <w:bookmarkEnd w:id="561"/>
      <w:bookmarkEnd w:id="562"/>
      <w:bookmarkEnd w:id="563"/>
      <w:bookmarkEnd w:id="564"/>
      <w:bookmarkEnd w:id="565"/>
      <w:bookmarkEnd w:id="566"/>
      <w:bookmarkEnd w:id="567"/>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合同价格、计量与支付</w:t>
      </w:r>
      <w:bookmarkEnd w:id="568"/>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7F7172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75" w:name="_Toc292559916"/>
      <w:bookmarkStart w:id="576" w:name="_Toc292559411"/>
      <w:bookmarkStart w:id="577" w:name="_Toc267251461"/>
      <w:bookmarkStart w:id="578" w:name="_Toc296346707"/>
      <w:bookmarkStart w:id="579" w:name="_Toc296891034"/>
      <w:bookmarkStart w:id="580" w:name="_Toc296944545"/>
      <w:bookmarkStart w:id="581" w:name="_Toc296891246"/>
      <w:bookmarkStart w:id="582" w:name="_Toc296347205"/>
      <w:bookmarkStart w:id="583" w:name="_Toc296503206"/>
      <w:bookmarkStart w:id="584" w:name="_Toc297048392"/>
      <w:bookmarkStart w:id="585" w:name="_Toc297120506"/>
      <w:bookmarkStart w:id="586" w:name="_Toc300935003"/>
      <w:bookmarkStart w:id="587" w:name="_Toc297123553"/>
      <w:bookmarkStart w:id="588" w:name="_Toc297216212"/>
      <w:bookmarkStart w:id="589" w:name="_Toc304295580"/>
      <w:bookmarkStart w:id="590" w:name="_Toc312678041"/>
      <w:bookmarkStart w:id="591" w:name="_Toc303539160"/>
      <w:r>
        <w:rPr>
          <w:rFonts w:hint="eastAsia" w:ascii="宋体" w:hAnsi="宋体" w:eastAsia="宋体" w:cs="宋体"/>
          <w:color w:val="000000" w:themeColor="text1"/>
          <w:sz w:val="24"/>
          <w:szCs w:val="24"/>
          <w:highlight w:val="none"/>
          <w:lang w:val="en-US" w:eastAsia="zh-CN"/>
          <w14:textFill>
            <w14:solidFill>
              <w14:schemeClr w14:val="tx1"/>
            </w14:solidFill>
          </w14:textFill>
        </w:rPr>
        <w:t>12.1 合</w:t>
      </w:r>
      <w:bookmarkEnd w:id="575"/>
      <w:bookmarkEnd w:id="576"/>
      <w:bookmarkEnd w:id="577"/>
      <w:r>
        <w:rPr>
          <w:rFonts w:hint="eastAsia" w:ascii="宋体" w:hAnsi="宋体" w:eastAsia="宋体" w:cs="宋体"/>
          <w:color w:val="000000" w:themeColor="text1"/>
          <w:sz w:val="24"/>
          <w:szCs w:val="24"/>
          <w:highlight w:val="none"/>
          <w:lang w:val="en-US" w:eastAsia="zh-CN"/>
          <w14:textFill>
            <w14:solidFill>
              <w14:schemeClr w14:val="tx1"/>
            </w14:solidFill>
          </w14:textFill>
        </w:rPr>
        <w:t>同价</w:t>
      </w:r>
      <w:bookmarkEnd w:id="578"/>
      <w:bookmarkEnd w:id="579"/>
      <w:bookmarkEnd w:id="580"/>
      <w:bookmarkEnd w:id="581"/>
      <w:bookmarkEnd w:id="582"/>
      <w:bookmarkEnd w:id="583"/>
      <w:bookmarkEnd w:id="584"/>
      <w:bookmarkEnd w:id="585"/>
      <w:r>
        <w:rPr>
          <w:rFonts w:hint="eastAsia" w:ascii="宋体" w:hAnsi="宋体" w:eastAsia="宋体" w:cs="宋体"/>
          <w:color w:val="000000" w:themeColor="text1"/>
          <w:sz w:val="24"/>
          <w:szCs w:val="24"/>
          <w:highlight w:val="none"/>
          <w:lang w:val="en-US" w:eastAsia="zh-CN"/>
          <w14:textFill>
            <w14:solidFill>
              <w14:schemeClr w14:val="tx1"/>
            </w14:solidFill>
          </w14:textFill>
        </w:rPr>
        <w:t>格形式：</w:t>
      </w:r>
      <w:bookmarkEnd w:id="586"/>
      <w:bookmarkEnd w:id="587"/>
      <w:bookmarkEnd w:id="588"/>
      <w:bookmarkEnd w:id="589"/>
      <w:bookmarkEnd w:id="590"/>
      <w:bookmarkEnd w:id="591"/>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5FB577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1、单价合同。</w:t>
      </w:r>
    </w:p>
    <w:p w14:paraId="63B9911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综合单价包含的风险范围：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6D40CF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风险费用的计算方法：</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5E7832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风险范围以外合同价格的调整方法：</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8A8021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2、总价合同。</w:t>
      </w:r>
    </w:p>
    <w:p w14:paraId="3FCDCA0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总价包含的风险范围：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2225E2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风险费用的计算方法：</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20806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风险范围以外合同价格的调整方法：</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569"/>
    <w:bookmarkEnd w:id="570"/>
    <w:bookmarkEnd w:id="571"/>
    <w:bookmarkEnd w:id="572"/>
    <w:bookmarkEnd w:id="573"/>
    <w:bookmarkEnd w:id="574"/>
    <w:p w14:paraId="56F1B1F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92" w:name="_Toc297216213"/>
      <w:bookmarkStart w:id="593" w:name="_Toc297123554"/>
      <w:bookmarkStart w:id="594" w:name="_Toc312678042"/>
      <w:bookmarkStart w:id="595" w:name="_Toc303539161"/>
      <w:bookmarkStart w:id="596" w:name="_Toc300935004"/>
      <w:bookmarkStart w:id="597" w:name="_Toc304295581"/>
      <w:bookmarkStart w:id="598" w:name="_Toc296891247"/>
      <w:bookmarkStart w:id="599" w:name="_Toc297120507"/>
      <w:bookmarkStart w:id="600" w:name="_Toc297048393"/>
      <w:bookmarkStart w:id="601" w:name="_Toc292559412"/>
      <w:bookmarkStart w:id="602" w:name="_Toc296347206"/>
      <w:bookmarkStart w:id="603" w:name="_Toc292559917"/>
      <w:bookmarkStart w:id="604" w:name="_Toc296346708"/>
      <w:bookmarkStart w:id="605" w:name="_Toc296503207"/>
      <w:bookmarkStart w:id="606" w:name="_Toc296891035"/>
      <w:bookmarkStart w:id="607" w:name="_Toc296944546"/>
      <w:r>
        <w:rPr>
          <w:rFonts w:hint="eastAsia" w:ascii="宋体" w:hAnsi="宋体" w:eastAsia="宋体" w:cs="宋体"/>
          <w:color w:val="000000" w:themeColor="text1"/>
          <w:sz w:val="24"/>
          <w:szCs w:val="24"/>
          <w:highlight w:val="none"/>
          <w:lang w:val="en-US" w:eastAsia="zh-CN"/>
          <w14:textFill>
            <w14:solidFill>
              <w14:schemeClr w14:val="tx1"/>
            </w14:solidFill>
          </w14:textFill>
        </w:rPr>
        <w:t>12.2 预付款</w:t>
      </w:r>
    </w:p>
    <w:bookmarkEnd w:id="592"/>
    <w:bookmarkEnd w:id="593"/>
    <w:bookmarkEnd w:id="594"/>
    <w:bookmarkEnd w:id="595"/>
    <w:bookmarkEnd w:id="596"/>
    <w:bookmarkEnd w:id="597"/>
    <w:p w14:paraId="07EC32F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12.2.1 预付款的支付</w:t>
      </w:r>
    </w:p>
    <w:p w14:paraId="32706F7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预付款支付比例或金额：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2BC468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预付款支付期限：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F81ECA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预付款扣回的方式：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92FFF0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12.2.2 预付款担保</w:t>
      </w:r>
    </w:p>
    <w:p w14:paraId="658DC3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承包人提交预付款担保的期限：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p>
    <w:p w14:paraId="3AAA02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预付款担保的形式为：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p>
    <w:bookmarkEnd w:id="598"/>
    <w:bookmarkEnd w:id="599"/>
    <w:bookmarkEnd w:id="600"/>
    <w:bookmarkEnd w:id="601"/>
    <w:bookmarkEnd w:id="602"/>
    <w:bookmarkEnd w:id="603"/>
    <w:bookmarkEnd w:id="604"/>
    <w:bookmarkEnd w:id="605"/>
    <w:bookmarkEnd w:id="606"/>
    <w:bookmarkEnd w:id="607"/>
    <w:p w14:paraId="2D35673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 计量</w:t>
      </w:r>
    </w:p>
    <w:p w14:paraId="77EA536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12.3.1 计量原则</w:t>
      </w:r>
    </w:p>
    <w:p w14:paraId="7B7D5A0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工程量计算规则：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56243B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12.3.2 计量周期</w:t>
      </w:r>
    </w:p>
    <w:p w14:paraId="19DCE9D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关于计量周期的约定：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9B5761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12.3.3 单价合同的计量</w:t>
      </w:r>
    </w:p>
    <w:p w14:paraId="4575B94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关于单价合同计量的约定：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5D9289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12.3.4 总价合同的计量</w:t>
      </w:r>
    </w:p>
    <w:p w14:paraId="4FA347F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关于总价合同计量的约定：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1DB0BA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3D7056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12.3.6 其他价格形式合同的计量</w:t>
      </w:r>
    </w:p>
    <w:p w14:paraId="63272CB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其他价格形式的计量方式和程序：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52338C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工程进度款支付</w:t>
      </w:r>
    </w:p>
    <w:p w14:paraId="0DD5E6A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08" w:name="_Toc297216215"/>
      <w:bookmarkStart w:id="609" w:name="_Toc300935006"/>
      <w:bookmarkStart w:id="610" w:name="_Toc296944550"/>
      <w:bookmarkStart w:id="611" w:name="_Toc296347210"/>
      <w:bookmarkStart w:id="612" w:name="_Toc303539163"/>
      <w:bookmarkStart w:id="613" w:name="_Toc296503211"/>
      <w:bookmarkStart w:id="614" w:name="_Toc297123556"/>
      <w:bookmarkStart w:id="615" w:name="_Toc297048397"/>
      <w:bookmarkStart w:id="616" w:name="_Toc296346712"/>
      <w:bookmarkStart w:id="617" w:name="_Toc297120511"/>
      <w:bookmarkStart w:id="618" w:name="_Toc296891039"/>
      <w:bookmarkStart w:id="619" w:name="_Toc292559921"/>
      <w:bookmarkStart w:id="620" w:name="_Toc292559416"/>
      <w:bookmarkStart w:id="621" w:name="_Toc296891251"/>
      <w:r>
        <w:rPr>
          <w:rFonts w:hint="eastAsia" w:ascii="宋体" w:hAnsi="宋体" w:eastAsia="宋体" w:cs="宋体"/>
          <w:color w:val="000000" w:themeColor="text1"/>
          <w:sz w:val="24"/>
          <w:szCs w:val="24"/>
          <w:highlight w:val="none"/>
          <w:lang w:val="en-US" w:eastAsia="zh-CN"/>
          <w14:textFill>
            <w14:solidFill>
              <w14:schemeClr w14:val="tx1"/>
            </w14:solidFill>
          </w14:textFill>
        </w:rPr>
        <w:t>12.4.1 付款周期</w:t>
      </w:r>
    </w:p>
    <w:p w14:paraId="4D094F26">
      <w:pPr>
        <w:pageBreakBefore w:val="0"/>
        <w:kinsoku/>
        <w:wordWrap/>
        <w:overflowPunct/>
        <w:autoSpaceDE/>
        <w:autoSpaceDN/>
        <w:bidi w:val="0"/>
        <w:adjustRightInd/>
        <w:snapToGrid/>
        <w:spacing w:line="480" w:lineRule="exact"/>
        <w:textAlignment w:val="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关于付款周期的约定：</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具体以建设施工合同为准。    </w:t>
      </w:r>
    </w:p>
    <w:p w14:paraId="7AACC4B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12.4.2 进度付款申请单的编制</w:t>
      </w:r>
    </w:p>
    <w:p w14:paraId="43BF725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关于进度付款申请单编制的约定：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DD0727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hint="eastAsia" w:ascii="宋体" w:hAnsi="宋体" w:eastAsia="宋体" w:cs="宋体"/>
          <w:color w:val="000000" w:themeColor="text1"/>
          <w:sz w:val="24"/>
          <w:szCs w:val="24"/>
          <w:highlight w:val="none"/>
          <w:lang w:val="en-US" w:eastAsia="zh-CN"/>
          <w14:textFill>
            <w14:solidFill>
              <w14:schemeClr w14:val="tx1"/>
            </w14:solidFill>
          </w14:textFill>
        </w:rPr>
        <w:t>2.4.3 进度付款申请单的提交</w:t>
      </w:r>
    </w:p>
    <w:p w14:paraId="497DBE3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（1）单价合同进度付款申请单提交的约定：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6EE2A5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（2）总价合同进度付款申请单提交的约定：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838443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（3）其他价格形式合同进度付款申请单提交的约定：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EF4768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12.4.4 进度款审核和支付</w:t>
      </w:r>
    </w:p>
    <w:p w14:paraId="1114BBA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（1）监理人审查并报送发包人的期限：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F8B8C1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发包人完成审批并签发进度款支付证书的期限：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57684E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（2）发包人支付进度款的期限：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7934BA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发包人逾期支付进度款的违约金的计算方式：</w:t>
      </w:r>
    </w:p>
    <w:p w14:paraId="1E9BAAA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12.4.6 支付分解表的编制</w:t>
      </w:r>
    </w:p>
    <w:p w14:paraId="6BF08FC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2、总价合同支付分解表的编制与审批：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无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C7B05E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3、单价合同的总价项目支付分解表的编制与审批：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无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451"/>
    <w:p w14:paraId="4F7E34E9">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622" w:name="_Toc351203645"/>
      <w:bookmarkStart w:id="623" w:name="_Toc296503219"/>
      <w:bookmarkStart w:id="624" w:name="_Toc296346720"/>
      <w:bookmarkStart w:id="625" w:name="_Toc312678053"/>
      <w:bookmarkStart w:id="626" w:name="_Toc297048405"/>
      <w:bookmarkStart w:id="627" w:name="_Toc300935015"/>
      <w:bookmarkStart w:id="628" w:name="_Toc297123564"/>
      <w:bookmarkStart w:id="629" w:name="_Toc292559929"/>
      <w:bookmarkStart w:id="630" w:name="_Toc296891259"/>
      <w:bookmarkStart w:id="631" w:name="_Toc297216223"/>
      <w:bookmarkStart w:id="632" w:name="_Toc303539172"/>
      <w:bookmarkStart w:id="633" w:name="_Toc304295593"/>
      <w:bookmarkStart w:id="634" w:name="_Toc296347218"/>
      <w:bookmarkStart w:id="635" w:name="_Toc296891047"/>
      <w:bookmarkStart w:id="636" w:name="_Toc297120519"/>
      <w:bookmarkStart w:id="637" w:name="_Toc296944558"/>
      <w:bookmarkStart w:id="638" w:name="_Toc292559424"/>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13. 验收和工程试车</w:t>
      </w:r>
      <w:bookmarkEnd w:id="622"/>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14:paraId="3E36954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13.1 分部分项工程验收</w:t>
      </w:r>
    </w:p>
    <w:p w14:paraId="5CCE9FB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13.1.2监理人不能按时进行验收时，应提前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小时提交书面延期要求。</w:t>
      </w:r>
    </w:p>
    <w:p w14:paraId="2ACB21B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关于延期最长不得超过：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w:t>
      </w:r>
    </w:p>
    <w:p w14:paraId="2F8120F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39" w:name="_Toc297216224"/>
      <w:bookmarkStart w:id="640" w:name="_Toc296944562"/>
      <w:bookmarkStart w:id="641" w:name="_Toc312678056"/>
      <w:bookmarkStart w:id="642" w:name="_Toc297048409"/>
      <w:bookmarkStart w:id="643" w:name="_Toc296891263"/>
      <w:bookmarkStart w:id="644" w:name="_Toc296346724"/>
      <w:bookmarkStart w:id="645" w:name="_Toc296503223"/>
      <w:bookmarkStart w:id="646" w:name="_Toc296891051"/>
      <w:bookmarkStart w:id="647" w:name="_Toc297123565"/>
      <w:bookmarkStart w:id="648" w:name="_Toc292559933"/>
      <w:bookmarkStart w:id="649" w:name="_Toc297120523"/>
      <w:bookmarkStart w:id="650" w:name="_Toc300935016"/>
      <w:bookmarkStart w:id="651" w:name="_Toc296347222"/>
      <w:bookmarkStart w:id="652" w:name="_Toc304295596"/>
      <w:bookmarkStart w:id="653" w:name="_Toc303539173"/>
      <w:bookmarkStart w:id="654" w:name="_Toc292559428"/>
      <w:bookmarkStart w:id="655" w:name="_Toc267251470"/>
      <w:bookmarkStart w:id="656" w:name="_Toc267251473"/>
      <w:bookmarkStart w:id="657" w:name="_Toc267251476"/>
      <w:bookmarkStart w:id="658" w:name="_Toc267251474"/>
      <w:bookmarkStart w:id="659" w:name="_Toc267251471"/>
      <w:bookmarkStart w:id="660" w:name="_Toc267251475"/>
      <w:bookmarkStart w:id="661" w:name="_Toc267251472"/>
      <w:r>
        <w:rPr>
          <w:rFonts w:hint="eastAsia" w:ascii="宋体" w:hAnsi="宋体" w:eastAsia="宋体" w:cs="宋体"/>
          <w:color w:val="000000" w:themeColor="text1"/>
          <w:sz w:val="24"/>
          <w:szCs w:val="24"/>
          <w:highlight w:val="none"/>
          <w:lang w:val="en-US" w:eastAsia="zh-CN"/>
          <w14:textFill>
            <w14:solidFill>
              <w14:schemeClr w14:val="tx1"/>
            </w14:solidFill>
          </w14:textFill>
        </w:rPr>
        <w:t>13.2 竣工验收</w:t>
      </w:r>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14:paraId="7A7B119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62" w:name="_Toc280868704"/>
      <w:bookmarkStart w:id="663" w:name="_Toc280868705"/>
      <w:bookmarkStart w:id="664" w:name="_Toc280868706"/>
      <w:bookmarkStart w:id="665" w:name="_Toc280868707"/>
      <w:bookmarkStart w:id="666" w:name="_Toc280868708"/>
      <w:bookmarkStart w:id="667" w:name="_Toc280868709"/>
      <w:r>
        <w:rPr>
          <w:rFonts w:hint="eastAsia" w:ascii="宋体" w:hAnsi="宋体" w:eastAsia="宋体" w:cs="宋体"/>
          <w:color w:val="000000" w:themeColor="text1"/>
          <w:sz w:val="24"/>
          <w:szCs w:val="24"/>
          <w:highlight w:val="none"/>
          <w:lang w:val="en-US" w:eastAsia="zh-CN"/>
          <w14:textFill>
            <w14:solidFill>
              <w14:schemeClr w14:val="tx1"/>
            </w14:solidFill>
          </w14:textFill>
        </w:rPr>
        <w:t>13.2.2竣工验收程序</w:t>
      </w:r>
    </w:p>
    <w:bookmarkEnd w:id="662"/>
    <w:p w14:paraId="6BDDFA9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关于竣工验收程序的约定：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执行通用条款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FC45E5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bookmarkEnd w:id="663"/>
    <w:p w14:paraId="20647D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13.2.5移交、接收全部与部分工程</w:t>
      </w:r>
    </w:p>
    <w:bookmarkEnd w:id="664"/>
    <w:p w14:paraId="166C6D8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承包人向发包人移交工程的期限：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2215F0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665"/>
    <w:p w14:paraId="1640DB3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承包人未按时移交工程的，违约金的计算方法为：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8076E9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 工程试车</w:t>
      </w:r>
    </w:p>
    <w:bookmarkEnd w:id="666"/>
    <w:p w14:paraId="2DB50D7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13.3.1 试车程序</w:t>
      </w:r>
    </w:p>
    <w:p w14:paraId="50C5F3C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工程试车内容：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098963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（1）单机无负荷试车费用由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承担；</w:t>
      </w:r>
    </w:p>
    <w:p w14:paraId="3B2E619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（2）无负荷联动试车费用由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承担。</w:t>
      </w:r>
    </w:p>
    <w:p w14:paraId="382AADE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13.3.3 投料试车</w:t>
      </w:r>
    </w:p>
    <w:p w14:paraId="69C86F2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关于投料试车相关事项的约定：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6811CA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13.6 竣工退场</w:t>
      </w:r>
    </w:p>
    <w:p w14:paraId="3B927BA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13.6.1 竣工退场</w:t>
      </w:r>
    </w:p>
    <w:p w14:paraId="6A4D973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承包人完成竣工退场的期限：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EB148AC">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668" w:name="_Toc351203646"/>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14. 竣工结算</w:t>
      </w:r>
      <w:bookmarkEnd w:id="668"/>
    </w:p>
    <w:p w14:paraId="25D708D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14.1 竣工付款申请</w:t>
      </w:r>
    </w:p>
    <w:p w14:paraId="35C6FE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承包人提交竣工付款申请单的期限：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ECB23E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竣工付款申请单应包括的内容：                               。</w:t>
      </w:r>
    </w:p>
    <w:p w14:paraId="524CF1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14.2 竣工结算审核</w:t>
      </w:r>
    </w:p>
    <w:p w14:paraId="35F7D37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发包人审批竣工付款申请单的期限：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执行通用条款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7C42FB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发包人完成竣工付款的期限：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执行通用条款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BFBBC6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关于竣工付款证书异议部分复核的方式和程序：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执行通用条款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6A580D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14.4 最终结清</w:t>
      </w:r>
    </w:p>
    <w:p w14:paraId="35DFF95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14.4.1 最终结清申请单</w:t>
      </w:r>
    </w:p>
    <w:p w14:paraId="394500E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承包人提交最终结清申请单的份数：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8CCACC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承包人提交最终结算申请单的期限：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 </w:t>
      </w:r>
    </w:p>
    <w:p w14:paraId="602CA59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14.4.2 最终结清证书和支付</w:t>
      </w:r>
    </w:p>
    <w:p w14:paraId="2764A16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CE1714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（2）发包人完成支付的期限：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bookmarkEnd w:id="655"/>
    <w:bookmarkEnd w:id="656"/>
    <w:bookmarkEnd w:id="657"/>
    <w:bookmarkEnd w:id="658"/>
    <w:bookmarkEnd w:id="659"/>
    <w:bookmarkEnd w:id="660"/>
    <w:bookmarkEnd w:id="661"/>
    <w:bookmarkEnd w:id="667"/>
    <w:p w14:paraId="369E9C26">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669" w:name="_Toc351203647"/>
      <w:bookmarkStart w:id="670" w:name="_Toc267251483"/>
      <w:bookmarkStart w:id="671" w:name="_Toc267251482"/>
      <w:bookmarkStart w:id="672" w:name="_Toc267251484"/>
      <w:bookmarkStart w:id="673" w:name="_Toc267251486"/>
      <w:bookmarkStart w:id="674" w:name="_Toc267251490"/>
      <w:bookmarkStart w:id="675" w:name="_Toc267251489"/>
      <w:bookmarkStart w:id="676" w:name="_Toc267251485"/>
      <w:bookmarkStart w:id="677" w:name="_Toc267251488"/>
      <w:bookmarkStart w:id="678" w:name="_Toc267251497"/>
      <w:bookmarkStart w:id="679" w:name="_Toc267251496"/>
      <w:bookmarkStart w:id="680" w:name="_Toc267251502"/>
      <w:bookmarkStart w:id="681" w:name="_Toc267251494"/>
      <w:bookmarkStart w:id="682" w:name="_Toc267251503"/>
      <w:bookmarkStart w:id="683" w:name="_Toc267251492"/>
      <w:bookmarkStart w:id="684" w:name="_Toc267251491"/>
      <w:bookmarkStart w:id="685" w:name="_Toc267251501"/>
      <w:bookmarkStart w:id="686" w:name="_Toc267251495"/>
      <w:bookmarkStart w:id="687" w:name="_Toc267251493"/>
      <w:bookmarkStart w:id="688" w:name="_Toc267251498"/>
      <w:bookmarkStart w:id="689" w:name="_Toc267251499"/>
      <w:bookmarkStart w:id="690" w:name="_Toc267251506"/>
      <w:bookmarkStart w:id="691" w:name="_Toc267251504"/>
      <w:bookmarkStart w:id="692" w:name="_Toc267251507"/>
      <w:bookmarkStart w:id="693" w:name="_Toc267251508"/>
      <w:bookmarkStart w:id="694" w:name="_Toc267251514"/>
      <w:bookmarkStart w:id="695" w:name="_Toc267251513"/>
      <w:bookmarkStart w:id="696" w:name="_Toc267251509"/>
      <w:bookmarkStart w:id="697" w:name="_Toc267251511"/>
      <w:bookmarkStart w:id="698" w:name="_Toc267251510"/>
      <w:bookmarkStart w:id="699" w:name="_Toc267251515"/>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15. 缺陷责任期与保修</w:t>
      </w:r>
      <w:bookmarkEnd w:id="669"/>
    </w:p>
    <w:p w14:paraId="72D711C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15.2缺陷责任期</w:t>
      </w:r>
      <w:bookmarkEnd w:id="670"/>
    </w:p>
    <w:p w14:paraId="5A08CF0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缺陷责任期的具体期限：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12个月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6C6E44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15.3 质量保证金</w:t>
      </w:r>
    </w:p>
    <w:p w14:paraId="3D3CD43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关于是否扣留质量保证金的约定：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B9362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15.3.1 承包人提供质量保证金的方式</w:t>
      </w:r>
    </w:p>
    <w:p w14:paraId="4B46C63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质量保证金采用以下第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highlight w:val="none"/>
          <w:lang w:val="en-US" w:eastAsia="zh-CN"/>
          <w14:textFill>
            <w14:solidFill>
              <w14:schemeClr w14:val="tx1"/>
            </w14:solidFill>
          </w14:textFill>
        </w:rPr>
        <w:t>种方式：</w:t>
      </w:r>
    </w:p>
    <w:p w14:paraId="524252B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（1）质量保证金保函，保证金额为：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14BCF2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的工程款；</w:t>
      </w:r>
    </w:p>
    <w:p w14:paraId="56CF892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（3）其他方式: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82FFEA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15.3.2 质量保证金的扣留 </w:t>
      </w:r>
    </w:p>
    <w:p w14:paraId="26C09C1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质量保证金的扣留采取以下第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highlight w:val="none"/>
          <w:lang w:val="en-US" w:eastAsia="zh-CN"/>
          <w14:textFill>
            <w14:solidFill>
              <w14:schemeClr w14:val="tx1"/>
            </w14:solidFill>
          </w14:textFill>
        </w:rPr>
        <w:t>种方式：</w:t>
      </w:r>
    </w:p>
    <w:p w14:paraId="19C011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（1）在支付工程进度款时逐次扣留，在此情形下，质量保证金的计算基数不包括预付款的支付、扣回以及价格调整的金额；</w:t>
      </w:r>
    </w:p>
    <w:p w14:paraId="55603C8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（2）工程竣工结算时一次性扣留质量保证金；</w:t>
      </w:r>
    </w:p>
    <w:p w14:paraId="476A364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（3）其他扣留方式: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976518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关于质量保证金的补充约定：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bookmarkEnd w:id="671"/>
      <w:bookmarkEnd w:id="672"/>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673"/>
    <w:bookmarkEnd w:id="674"/>
    <w:bookmarkEnd w:id="675"/>
    <w:bookmarkEnd w:id="676"/>
    <w:bookmarkEnd w:id="677"/>
    <w:p w14:paraId="68C44C12">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700" w:name="_Toc351203648"/>
      <w:bookmarkStart w:id="701" w:name="_Toc280868717"/>
      <w:bookmarkStart w:id="702" w:name="_Toc280868718"/>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16. 违约</w:t>
      </w:r>
      <w:bookmarkEnd w:id="700"/>
    </w:p>
    <w:p w14:paraId="22DA060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16.1 发包人违约</w:t>
      </w:r>
    </w:p>
    <w:p w14:paraId="0C9A317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16.1.1发包人违约的情形</w:t>
      </w:r>
    </w:p>
    <w:p w14:paraId="6B926DC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发包人违约的其他情形：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236B67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16.1.2 发包人违约的责任</w:t>
      </w:r>
    </w:p>
    <w:p w14:paraId="6C78EFD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发包人违约责任的承担方式和计算方法：</w:t>
      </w:r>
    </w:p>
    <w:p w14:paraId="4B7E28E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4753FF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（2）因发包人原因未能按合同约定支付合同价款的违约责任：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7C0539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3CFA72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7F5204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（5）因发包人违反合同约定造成暂停施工的违约责任：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B59A39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4D014E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（7）其他</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DCB92A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16.1.3 因发包人违约解除合同</w:t>
      </w:r>
    </w:p>
    <w:p w14:paraId="3FD9CBD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承包人按16.1.1项〔发包人违约的情形〕约定暂停施工满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天后发包人仍不纠正其违约行为并致使合同目的不能实现的，承包人有权解除合同。</w:t>
      </w:r>
    </w:p>
    <w:p w14:paraId="12DA6FF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16.2 承包人违约</w:t>
      </w:r>
    </w:p>
    <w:p w14:paraId="31D8B02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16.2.1 承包人违约的情形</w:t>
      </w:r>
    </w:p>
    <w:p w14:paraId="436F68A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承包人违约的其他情形：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D0A879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16.2.2承包人违约的责任</w:t>
      </w:r>
    </w:p>
    <w:p w14:paraId="46FB48C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承包人违约责任的承担方式和计算方法：</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04C32A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16.2.3 因承包人违约解除合同</w:t>
      </w:r>
    </w:p>
    <w:p w14:paraId="65360C3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关于承包人违约解除合同的特别约定：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B940DF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53CEF1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03" w:name="_Toc351203649"/>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17. 不可抗力</w:t>
      </w:r>
      <w:bookmarkEnd w:id="703"/>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bookmarkEnd w:id="701"/>
    </w:p>
    <w:p w14:paraId="17B1F9C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17.1 不可抗力的确认</w:t>
      </w:r>
    </w:p>
    <w:p w14:paraId="16BDF19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DFAC27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17.4 因不可抗力解除合同</w:t>
      </w:r>
    </w:p>
    <w:p w14:paraId="102B64D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合同解除后，发包人应在商定或确定发包人应支付款项后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天内完成款项的支付。</w:t>
      </w:r>
    </w:p>
    <w:p w14:paraId="27A05127">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704" w:name="_Toc351203650"/>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 保险</w:t>
      </w:r>
      <w:bookmarkEnd w:id="704"/>
    </w:p>
    <w:bookmarkEnd w:id="702"/>
    <w:p w14:paraId="2DBE174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18.1 工程保险</w:t>
      </w:r>
    </w:p>
    <w:p w14:paraId="717A52D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关于工程保险的特别约定：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D9D083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18.3 其他保险</w:t>
      </w:r>
    </w:p>
    <w:p w14:paraId="1371D58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关于其他保险的约定：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05DC59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承包人是否应为其施工设备等办理财产保险：</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5687D0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18.7 通知义务</w:t>
      </w:r>
    </w:p>
    <w:p w14:paraId="1D90B49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关于变更保险合同时的通知义务的约定：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bookmarkEnd w:id="678"/>
    <w:bookmarkEnd w:id="679"/>
    <w:bookmarkEnd w:id="680"/>
    <w:bookmarkEnd w:id="681"/>
    <w:bookmarkEnd w:id="682"/>
    <w:bookmarkEnd w:id="683"/>
    <w:bookmarkEnd w:id="684"/>
    <w:bookmarkEnd w:id="685"/>
    <w:bookmarkEnd w:id="686"/>
    <w:bookmarkEnd w:id="687"/>
    <w:bookmarkEnd w:id="688"/>
    <w:bookmarkEnd w:id="689"/>
    <w:p w14:paraId="641873A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05" w:name="_Toc351203651"/>
      <w:r>
        <w:rPr>
          <w:rFonts w:hint="eastAsia" w:ascii="宋体" w:hAnsi="宋体" w:eastAsia="宋体" w:cs="宋体"/>
          <w:color w:val="000000" w:themeColor="text1"/>
          <w:sz w:val="24"/>
          <w:szCs w:val="24"/>
          <w:highlight w:val="none"/>
          <w:lang w:val="en-US" w:eastAsia="zh-CN"/>
          <w14:textFill>
            <w14:solidFill>
              <w14:schemeClr w14:val="tx1"/>
            </w14:solidFill>
          </w14:textFill>
        </w:rPr>
        <w:t>19. 争议解决</w:t>
      </w:r>
      <w:bookmarkEnd w:id="705"/>
    </w:p>
    <w:bookmarkEnd w:id="690"/>
    <w:bookmarkEnd w:id="691"/>
    <w:p w14:paraId="5F9DAB5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19.3 争</w:t>
      </w:r>
      <w:bookmarkEnd w:id="692"/>
      <w:r>
        <w:rPr>
          <w:rFonts w:hint="eastAsia" w:ascii="宋体" w:hAnsi="宋体" w:eastAsia="宋体" w:cs="宋体"/>
          <w:color w:val="000000" w:themeColor="text1"/>
          <w:sz w:val="24"/>
          <w:szCs w:val="24"/>
          <w:highlight w:val="none"/>
          <w:lang w:val="en-US" w:eastAsia="zh-CN"/>
          <w14:textFill>
            <w14:solidFill>
              <w14:schemeClr w14:val="tx1"/>
            </w14:solidFill>
          </w14:textFill>
        </w:rPr>
        <w:t>议评审</w:t>
      </w:r>
    </w:p>
    <w:p w14:paraId="59EEA6C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合同当事人是否同意将工程争议提交争议评审小组决定：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B69447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19.3.1 争议评审小组的确定</w:t>
      </w:r>
    </w:p>
    <w:p w14:paraId="7B981F9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争议评审小组成员的确定：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CFD2E9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选定争议评审员的期限：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5EC39D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争议评审小组成员的报酬承担方式：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0F072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其他事项的约定：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3A3294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19.3.2 争议评审小组的决定  </w:t>
      </w:r>
    </w:p>
    <w:p w14:paraId="4105EC3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合同当事人关于本项的约定：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2145C0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19.4仲裁或诉讼</w:t>
      </w:r>
      <w:bookmarkEnd w:id="693"/>
    </w:p>
    <w:bookmarkEnd w:id="694"/>
    <w:bookmarkEnd w:id="695"/>
    <w:bookmarkEnd w:id="696"/>
    <w:bookmarkEnd w:id="697"/>
    <w:bookmarkEnd w:id="698"/>
    <w:bookmarkEnd w:id="699"/>
    <w:p w14:paraId="179E0C0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因合同及合同有关事项发生的争议，按下列第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highlight w:val="none"/>
          <w:lang w:val="en-US" w:eastAsia="zh-CN"/>
          <w14:textFill>
            <w14:solidFill>
              <w14:schemeClr w14:val="tx1"/>
            </w14:solidFill>
          </w14:textFill>
        </w:rPr>
        <w:t>种方式解决：</w:t>
      </w:r>
    </w:p>
    <w:p w14:paraId="5C7C6D4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第一种解决方式：双方达成仲裁协议，向</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仲裁委员会申请仲裁；</w:t>
      </w:r>
    </w:p>
    <w:p w14:paraId="0A44885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第二种解决方式：向工程项目建设地人民法院起诉。</w:t>
      </w:r>
    </w:p>
    <w:p w14:paraId="2EE87213">
      <w:pPr>
        <w:pageBreakBefore w:val="0"/>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20、补充条款 </w:t>
      </w:r>
    </w:p>
    <w:p w14:paraId="335DFE8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无   </w:t>
      </w:r>
    </w:p>
    <w:p w14:paraId="5308DE7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1104428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48F78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43AA7FE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附件1：</w:t>
      </w:r>
    </w:p>
    <w:p w14:paraId="7DAB11F7">
      <w:pPr>
        <w:pageBreakBefore w:val="0"/>
        <w:kinsoku/>
        <w:wordWrap/>
        <w:overflowPunct/>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工 程 质 量 保 修 书</w:t>
      </w:r>
    </w:p>
    <w:p w14:paraId="3112DAA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发包人（全称）：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EF70BC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承包人（全称）：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564781A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为保证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（工程名称）在合理使用期限内正常使用，发包人承包人协商一致签订工程质量保修书。承包人在质量保修期内按照有关管理规定及双方约定承担工程质量保修责任。</w:t>
      </w:r>
    </w:p>
    <w:p w14:paraId="6F29504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一、工程质量保修范围和内容</w:t>
      </w:r>
    </w:p>
    <w:p w14:paraId="1220DE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质量保修范围包括装修工程施工等项目。具体质量保修内容双方约定如下：</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269BCE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二、质量保修期</w:t>
      </w:r>
    </w:p>
    <w:p w14:paraId="7E68C6F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质量保修期从工程实际竣工之日算起。分单项竣工验收的工程，按单项工程分别计算质量保修期。</w:t>
      </w:r>
    </w:p>
    <w:p w14:paraId="57EE935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双方根据国家有关规定，结合具体工程约定质量保修期如下：</w:t>
      </w:r>
    </w:p>
    <w:p w14:paraId="72B7F50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1、地基基础工程和主体结构工程为设计文件规定的该工程合理使用年限；</w:t>
      </w:r>
    </w:p>
    <w:p w14:paraId="5A0F0B2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p>
    <w:p w14:paraId="24957E8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3、整体工程质保期为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p>
    <w:p w14:paraId="4F3178A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4、其他项目保修期限约定如下：</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p>
    <w:p w14:paraId="38352A6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5、质量保修期自工程竣工验收合格签字之日起计算。</w:t>
      </w:r>
    </w:p>
    <w:p w14:paraId="0F80A56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三、质量保修责任</w:t>
      </w:r>
    </w:p>
    <w:p w14:paraId="48C71CF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1、属于保修范围和内容的项目， 承包人应在接到修理通知之后7天内派人修理。承包人不在约定期限内派人修理，发包人可委托其他人员修理，保修费用从质量保修金内扣除。</w:t>
      </w:r>
    </w:p>
    <w:p w14:paraId="758B8B7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2、发生须紧急抢修事故，承包人接到事故通知后，应立即到达事故现场抢修。非承包人施工质量引起的事故，抢修费用由发包人承担。</w:t>
      </w:r>
    </w:p>
    <w:p w14:paraId="29FC31B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3、在国家规定的工程合理使用期限内，承包人确保地基基础工程和主体结构的质量。因承包人原因致使工程在合理使用期限内造成人身和财产损害的，承包人应承担损害赔偿责任。</w:t>
      </w:r>
    </w:p>
    <w:p w14:paraId="566F8C7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四、质量保修金的支付：本工程约定的工程质量保金为施工结算价款的 3 %</w:t>
      </w:r>
    </w:p>
    <w:p w14:paraId="2C876DE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五、质量保修金的返还：发包人在质量保修期满无质量问题后14天内，将剩余保修金无息返还剩余质量保修金。</w:t>
      </w:r>
    </w:p>
    <w:p w14:paraId="6A35863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六、其他</w:t>
      </w:r>
    </w:p>
    <w:p w14:paraId="32B9CB0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双方约定的其他工程质量保修事项：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承包人负责保修期间收集整理完整工程资料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1F54D4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本工程质量保修书作为施工合同附件，由施工合同发包人承包人双方共同签署。</w:t>
      </w:r>
    </w:p>
    <w:p w14:paraId="5BE8894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5DDFB1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51E86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430EA9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44956C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发包人（公章）：                            承包人（公章）：</w:t>
      </w:r>
    </w:p>
    <w:p w14:paraId="32045BA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法定代表人（签字）：                        法定代表人（签字）：</w:t>
      </w:r>
    </w:p>
    <w:p w14:paraId="3CCB246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年     月     日                            年     月     日</w:t>
      </w:r>
    </w:p>
    <w:p w14:paraId="26EE2DE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32"/>
          <w:szCs w:val="32"/>
          <w:highlight w:val="none"/>
          <w14:textFill>
            <w14:solidFill>
              <w14:schemeClr w14:val="tx1"/>
            </w14:solidFill>
          </w14:textFill>
        </w:rPr>
      </w:pPr>
      <w:bookmarkStart w:id="706" w:name="_Toc349637943"/>
      <w:bookmarkStart w:id="707" w:name="_Toc349573144"/>
      <w:bookmarkStart w:id="708" w:name="_Toc298240429"/>
      <w:bookmarkStart w:id="709" w:name="_Toc527642969"/>
      <w:bookmarkStart w:id="710" w:name="_Toc507690272"/>
    </w:p>
    <w:p w14:paraId="44C7A5A2">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4336F250">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3F38977E">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660AAC73">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58C8D6E0">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314FBC64">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0404BDA1">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7C8172C6">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2CD11ABD">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6833B8E3">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0E1065FF">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799DE39A">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43D11F40">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5AD2D404">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6F8247E8">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3E30443E">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7BA276B6">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2A7F553D">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14260CCC">
      <w:pPr>
        <w:pageBreakBefore w:val="0"/>
        <w:kinsoku/>
        <w:overflowPunct/>
        <w:autoSpaceDE w:val="0"/>
        <w:autoSpaceDN w:val="0"/>
        <w:bidi w:val="0"/>
        <w:adjustRightInd w:val="0"/>
        <w:spacing w:line="48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21D14684">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36"/>
          <w:szCs w:val="36"/>
          <w:highlight w:val="none"/>
          <w:lang w:val="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第五部分　</w:t>
      </w:r>
      <w:bookmarkEnd w:id="706"/>
      <w:bookmarkEnd w:id="707"/>
      <w:bookmarkEnd w:id="708"/>
      <w:bookmarkEnd w:id="709"/>
      <w:bookmarkEnd w:id="710"/>
      <w:r>
        <w:rPr>
          <w:rFonts w:hint="eastAsia" w:ascii="宋体" w:hAnsi="宋体" w:eastAsia="宋体" w:cs="宋体"/>
          <w:b/>
          <w:color w:val="000000" w:themeColor="text1"/>
          <w:sz w:val="32"/>
          <w:szCs w:val="32"/>
          <w:highlight w:val="none"/>
          <w:lang w:val="zh-CN"/>
          <w14:textFill>
            <w14:solidFill>
              <w14:schemeClr w14:val="tx1"/>
            </w14:solidFill>
          </w14:textFill>
        </w:rPr>
        <w:t>响应文件格式</w:t>
      </w:r>
    </w:p>
    <w:p w14:paraId="70CC63A0">
      <w:pPr>
        <w:pageBreakBefore w:val="0"/>
        <w:kinsoku/>
        <w:overflowPunct/>
        <w:bidi w:val="0"/>
        <w:spacing w:line="480" w:lineRule="exact"/>
        <w:jc w:val="center"/>
        <w:textAlignment w:val="auto"/>
        <w:rPr>
          <w:rFonts w:ascii="宋体" w:hAnsi="宋体" w:eastAsia="宋体" w:cs="宋体"/>
          <w:color w:val="000000" w:themeColor="text1"/>
          <w:sz w:val="32"/>
          <w:szCs w:val="32"/>
          <w:highlight w:val="none"/>
          <w14:textFill>
            <w14:solidFill>
              <w14:schemeClr w14:val="tx1"/>
            </w14:solidFill>
          </w14:textFill>
        </w:rPr>
      </w:pPr>
    </w:p>
    <w:p w14:paraId="3180B5FF">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注：为了便于查找，标注目录及页码</w:t>
      </w:r>
    </w:p>
    <w:p w14:paraId="17212E0A">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（以下内容需按要求提供相应证明材料）</w:t>
      </w:r>
    </w:p>
    <w:p w14:paraId="78E8EFD0">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32"/>
          <w:szCs w:val="32"/>
          <w:highlight w:val="none"/>
          <w:lang w:val="zh-CN"/>
          <w14:textFill>
            <w14:solidFill>
              <w14:schemeClr w14:val="tx1"/>
            </w14:solidFill>
          </w14:textFill>
        </w:rPr>
      </w:pPr>
    </w:p>
    <w:p w14:paraId="46882807">
      <w:pPr>
        <w:pageBreakBefore w:val="0"/>
        <w:kinsoku/>
        <w:overflowPunct/>
        <w:autoSpaceDE w:val="0"/>
        <w:autoSpaceDN w:val="0"/>
        <w:bidi w:val="0"/>
        <w:adjustRightInd w:val="0"/>
        <w:spacing w:line="480" w:lineRule="exact"/>
        <w:textAlignment w:val="auto"/>
        <w:rPr>
          <w:rFonts w:ascii="宋体" w:hAnsi="宋体" w:eastAsia="宋体" w:cs="宋体"/>
          <w:b/>
          <w:bCs/>
          <w:color w:val="000000" w:themeColor="text1"/>
          <w:sz w:val="32"/>
          <w:szCs w:val="32"/>
          <w:highlight w:val="none"/>
          <w:lang w:val="zh-CN"/>
          <w14:textFill>
            <w14:solidFill>
              <w14:schemeClr w14:val="tx1"/>
            </w14:solidFill>
          </w14:textFill>
        </w:rPr>
      </w:pPr>
    </w:p>
    <w:p w14:paraId="3B3E741B">
      <w:pPr>
        <w:pStyle w:val="4"/>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br w:type="page"/>
      </w:r>
      <w:bookmarkStart w:id="711" w:name="_Toc383102810"/>
      <w:bookmarkStart w:id="712" w:name="_Toc414108641"/>
      <w:r>
        <w:rPr>
          <w:rFonts w:hint="eastAsia" w:ascii="宋体" w:hAnsi="宋体" w:eastAsia="宋体" w:cs="宋体"/>
          <w:color w:val="000000" w:themeColor="text1"/>
          <w:highlight w:val="none"/>
          <w:lang w:val="zh-CN"/>
          <w14:textFill>
            <w14:solidFill>
              <w14:schemeClr w14:val="tx1"/>
            </w14:solidFill>
          </w14:textFill>
        </w:rPr>
        <w:t>商</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务</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标</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格</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式</w:t>
      </w:r>
      <w:bookmarkEnd w:id="711"/>
      <w:bookmarkEnd w:id="712"/>
    </w:p>
    <w:p w14:paraId="55361DF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商务标封面示例</w:t>
      </w:r>
    </w:p>
    <w:p w14:paraId="48F6BDAB">
      <w:pPr>
        <w:pageBreakBefore w:val="0"/>
        <w:kinsoku/>
        <w:overflowPunct/>
        <w:autoSpaceDE w:val="0"/>
        <w:autoSpaceDN w:val="0"/>
        <w:bidi w:val="0"/>
        <w:adjustRightInd w:val="0"/>
        <w:spacing w:line="480" w:lineRule="exact"/>
        <w:ind w:firstLine="5760" w:firstLineChars="2400"/>
        <w:jc w:val="righ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正本/副本</w:t>
      </w:r>
    </w:p>
    <w:p w14:paraId="3781794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673B7B78">
      <w:pPr>
        <w:pageBreakBefore w:val="0"/>
        <w:kinsoku/>
        <w:overflowPunct/>
        <w:bidi w:val="0"/>
        <w:spacing w:line="480" w:lineRule="exact"/>
        <w:jc w:val="center"/>
        <w:textAlignment w:val="auto"/>
        <w:rPr>
          <w:rFonts w:ascii="宋体" w:hAnsi="宋体" w:eastAsia="宋体" w:cs="宋体"/>
          <w:b/>
          <w:bCs/>
          <w:color w:val="000000" w:themeColor="text1"/>
          <w:highlight w:val="none"/>
          <w:lang w:val="zh-CN"/>
          <w14:textFill>
            <w14:solidFill>
              <w14:schemeClr w14:val="tx1"/>
            </w14:solidFill>
          </w14:textFill>
        </w:rPr>
      </w:pPr>
    </w:p>
    <w:p w14:paraId="62A8BD9C">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4F989593">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22EA9B2D">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090A1646">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08892BAC">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2CA9E9F3">
      <w:pPr>
        <w:pageBreakBefore w:val="0"/>
        <w:kinsoku/>
        <w:overflowPunct/>
        <w:bidi w:val="0"/>
        <w:spacing w:line="480" w:lineRule="exact"/>
        <w:jc w:val="center"/>
        <w:textAlignment w:val="auto"/>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响应文件商务标</w:t>
      </w:r>
    </w:p>
    <w:p w14:paraId="2E2FB9E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1D2FEF6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1D37E3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102DD85E">
      <w:pPr>
        <w:pStyle w:val="16"/>
        <w:rPr>
          <w:rFonts w:ascii="宋体" w:hAnsi="宋体" w:eastAsia="宋体" w:cs="宋体"/>
          <w:color w:val="000000" w:themeColor="text1"/>
          <w:szCs w:val="21"/>
          <w:highlight w:val="none"/>
          <w14:textFill>
            <w14:solidFill>
              <w14:schemeClr w14:val="tx1"/>
            </w14:solidFill>
          </w14:textFill>
        </w:rPr>
      </w:pPr>
    </w:p>
    <w:p w14:paraId="19F6B4FB">
      <w:pPr>
        <w:pStyle w:val="16"/>
        <w:rPr>
          <w:rFonts w:ascii="宋体" w:hAnsi="宋体" w:eastAsia="宋体" w:cs="宋体"/>
          <w:color w:val="000000" w:themeColor="text1"/>
          <w:szCs w:val="21"/>
          <w:highlight w:val="none"/>
          <w14:textFill>
            <w14:solidFill>
              <w14:schemeClr w14:val="tx1"/>
            </w14:solidFill>
          </w14:textFill>
        </w:rPr>
      </w:pPr>
    </w:p>
    <w:p w14:paraId="4E1EBCDD">
      <w:pPr>
        <w:pStyle w:val="16"/>
        <w:rPr>
          <w:rFonts w:ascii="宋体" w:hAnsi="宋体" w:eastAsia="宋体" w:cs="宋体"/>
          <w:color w:val="000000" w:themeColor="text1"/>
          <w:szCs w:val="21"/>
          <w:highlight w:val="none"/>
          <w14:textFill>
            <w14:solidFill>
              <w14:schemeClr w14:val="tx1"/>
            </w14:solidFill>
          </w14:textFill>
        </w:rPr>
      </w:pPr>
    </w:p>
    <w:p w14:paraId="756A8AFF">
      <w:pPr>
        <w:pStyle w:val="21"/>
        <w:pageBreakBefore w:val="0"/>
        <w:kinsoku/>
        <w:overflowPunct/>
        <w:bidi w:val="0"/>
        <w:spacing w:line="480" w:lineRule="exact"/>
        <w:ind w:firstLine="480"/>
        <w:textAlignment w:val="auto"/>
        <w:rPr>
          <w:rFonts w:ascii="宋体" w:hAnsi="宋体" w:eastAsia="宋体" w:cs="宋体"/>
          <w:color w:val="000000" w:themeColor="text1"/>
          <w:szCs w:val="21"/>
          <w:highlight w:val="none"/>
          <w14:textFill>
            <w14:solidFill>
              <w14:schemeClr w14:val="tx1"/>
            </w14:solidFill>
          </w14:textFill>
        </w:rPr>
      </w:pPr>
    </w:p>
    <w:p w14:paraId="52DD432E">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54597869">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14:paraId="1599A342">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w:t>
      </w:r>
    </w:p>
    <w:p w14:paraId="6B353D4F">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名称：（盖章）</w:t>
      </w:r>
    </w:p>
    <w:p w14:paraId="658DD7C9">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法定代表人或被授权代理人：（盖章）</w:t>
      </w:r>
    </w:p>
    <w:p w14:paraId="41B9A263">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p w14:paraId="218C3986">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402DCF11">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492B544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0C116A1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40945144">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商务标目录</w:t>
      </w:r>
    </w:p>
    <w:p w14:paraId="1CD7F8A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6E954DC">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1、投标承诺书（一）</w:t>
      </w:r>
    </w:p>
    <w:p w14:paraId="6EF026DF">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2、投标承诺书（二）</w:t>
      </w:r>
    </w:p>
    <w:p w14:paraId="7B49466D">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3、投标承诺书（三）</w:t>
      </w:r>
    </w:p>
    <w:p w14:paraId="6496C735">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4、法定代表人身份证明书</w:t>
      </w:r>
    </w:p>
    <w:p w14:paraId="44A1FFD6">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5、法定代表人授权委托书</w:t>
      </w:r>
    </w:p>
    <w:p w14:paraId="5B377736">
      <w:pPr>
        <w:pageBreakBefore w:val="0"/>
        <w:kinsoku/>
        <w:overflowPunct/>
        <w:autoSpaceDE w:val="0"/>
        <w:autoSpaceDN w:val="0"/>
        <w:bidi w:val="0"/>
        <w:adjustRightInd w:val="0"/>
        <w:spacing w:line="480" w:lineRule="exact"/>
        <w:ind w:left="450" w:leftChars="100" w:hanging="240" w:hanging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概况（企业营业执照副本复印件、资质证书副本复印件、安全生产许可证复印件、注册建造师证书复印件</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53C43D87">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7、项目管理人员</w:t>
      </w:r>
    </w:p>
    <w:p w14:paraId="5EC9865C">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8、投标保证金收据复印件</w:t>
      </w:r>
    </w:p>
    <w:p w14:paraId="0D33C603">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9、磋商文件要求的其他证明材料</w:t>
      </w:r>
    </w:p>
    <w:p w14:paraId="3820D07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6FA407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注：为了便于查找，请按上述顺序编排商务标内容，并在目录中标明每项内容的起始页码。</w:t>
      </w:r>
    </w:p>
    <w:p w14:paraId="13B204C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FC970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DEE6AC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2C9CE5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C331EA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08837BB8">
      <w:pPr>
        <w:pStyle w:val="2"/>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13" w:name="_Toc414108642"/>
      <w:r>
        <w:rPr>
          <w:rFonts w:hint="eastAsia" w:ascii="宋体" w:hAnsi="宋体" w:eastAsia="宋体" w:cs="宋体"/>
          <w:color w:val="000000" w:themeColor="text1"/>
          <w:highlight w:val="none"/>
          <w:lang w:val="zh-CN"/>
          <w14:textFill>
            <w14:solidFill>
              <w14:schemeClr w14:val="tx1"/>
            </w14:solidFill>
          </w14:textFill>
        </w:rPr>
        <w:t>投标承诺书（一）</w:t>
      </w:r>
      <w:bookmarkEnd w:id="713"/>
    </w:p>
    <w:p w14:paraId="1A4D1FF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55D10E4">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、根据已收到的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工程的磋商文件，我单位经考察现场和研究贵方的磋商文件后，将接受该工程磋商文件中各条款内容并且以</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元</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r>
        <w:rPr>
          <w:rFonts w:hint="default" w:ascii="宋体" w:hAnsi="宋体" w:cs="宋体"/>
          <w:color w:val="000000" w:themeColor="text1"/>
          <w:sz w:val="24"/>
          <w:szCs w:val="24"/>
          <w:highlight w:val="none"/>
          <w:u w:val="single"/>
          <w:lang w:val="en-US" w:eastAsia="zh-CN"/>
          <w14:textFill>
            <w14:solidFill>
              <w14:schemeClr w14:val="tx1"/>
            </w14:solidFill>
          </w14:textFill>
        </w:rPr>
        <w:t>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w:t>
      </w:r>
      <w:r>
        <w:rPr>
          <w:rFonts w:hint="eastAsia" w:ascii="宋体" w:hAnsi="宋体" w:eastAsia="宋体" w:cs="宋体"/>
          <w:color w:val="000000" w:themeColor="text1"/>
          <w:sz w:val="24"/>
          <w:szCs w:val="24"/>
          <w:highlight w:val="none"/>
          <w:lang w:val="zh-CN"/>
          <w14:textFill>
            <w14:solidFill>
              <w14:schemeClr w14:val="tx1"/>
            </w14:solidFill>
          </w14:textFill>
        </w:rPr>
        <w:t>的投标价格承包本招标范围内的工程。</w:t>
      </w:r>
    </w:p>
    <w:p w14:paraId="7AB3993F">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、如果我方中标，非业主原因，我方保证将在下列日期内组织施工。</w:t>
      </w:r>
    </w:p>
    <w:p w14:paraId="06F7AC2A">
      <w:pPr>
        <w:pageBreakBefore w:val="0"/>
        <w:kinsoku/>
        <w:overflowPunct/>
        <w:bidi w:val="0"/>
        <w:adjustRightInd w:val="0"/>
        <w:snapToGri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4E034E9">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、如果我方中标，非业主原因，我方保证将按下列质量标准完成本工程。</w:t>
      </w:r>
    </w:p>
    <w:p w14:paraId="78E9D1C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质量标准：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3D26D3">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、如果我方中标，我方将按磋商文件规定的时间内签订承包合同。如果我方违约，除履约保证金外，我方还将以中标价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作为赔偿金，同时贵方有权终止我方中标并选择其它中标人。</w:t>
      </w:r>
    </w:p>
    <w:p w14:paraId="390A5901">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、贵方的磋商文件、中标通知书、我方的响应文件将构成约束双方的合同一部分。</w:t>
      </w:r>
    </w:p>
    <w:p w14:paraId="5888D718">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、如果我方未中标，贵方没有必要对我方做出任何解释和说明，我方将充分尊重和理解贵方的选择。</w:t>
      </w:r>
    </w:p>
    <w:p w14:paraId="6985F40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259AB2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1C92DBD9">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771AABE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法定代表人或委托代理人：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38B246F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570C88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FAB949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164B450">
      <w:pPr>
        <w:pStyle w:val="16"/>
        <w:rPr>
          <w:rFonts w:ascii="宋体" w:hAnsi="宋体" w:eastAsia="宋体" w:cs="宋体"/>
          <w:color w:val="000000" w:themeColor="text1"/>
          <w:sz w:val="24"/>
          <w:szCs w:val="24"/>
          <w:highlight w:val="none"/>
          <w14:textFill>
            <w14:solidFill>
              <w14:schemeClr w14:val="tx1"/>
            </w14:solidFill>
          </w14:textFill>
        </w:rPr>
      </w:pPr>
    </w:p>
    <w:p w14:paraId="39E9D7B6">
      <w:pPr>
        <w:pStyle w:val="16"/>
        <w:rPr>
          <w:rFonts w:ascii="宋体" w:hAnsi="宋体" w:eastAsia="宋体" w:cs="宋体"/>
          <w:color w:val="000000" w:themeColor="text1"/>
          <w:sz w:val="24"/>
          <w:szCs w:val="24"/>
          <w:highlight w:val="none"/>
          <w14:textFill>
            <w14:solidFill>
              <w14:schemeClr w14:val="tx1"/>
            </w14:solidFill>
          </w14:textFill>
        </w:rPr>
      </w:pPr>
    </w:p>
    <w:p w14:paraId="6DF9249E">
      <w:pPr>
        <w:pStyle w:val="16"/>
        <w:rPr>
          <w:rFonts w:ascii="宋体" w:hAnsi="宋体" w:eastAsia="宋体" w:cs="宋体"/>
          <w:color w:val="000000" w:themeColor="text1"/>
          <w:sz w:val="24"/>
          <w:szCs w:val="24"/>
          <w:highlight w:val="none"/>
          <w14:textFill>
            <w14:solidFill>
              <w14:schemeClr w14:val="tx1"/>
            </w14:solidFill>
          </w14:textFill>
        </w:rPr>
      </w:pPr>
    </w:p>
    <w:p w14:paraId="45EDDAE6">
      <w:pPr>
        <w:pStyle w:val="16"/>
        <w:rPr>
          <w:rFonts w:ascii="宋体" w:hAnsi="宋体" w:eastAsia="宋体" w:cs="宋体"/>
          <w:color w:val="000000" w:themeColor="text1"/>
          <w:sz w:val="24"/>
          <w:szCs w:val="24"/>
          <w:highlight w:val="none"/>
          <w14:textFill>
            <w14:solidFill>
              <w14:schemeClr w14:val="tx1"/>
            </w14:solidFill>
          </w14:textFill>
        </w:rPr>
      </w:pPr>
    </w:p>
    <w:p w14:paraId="1771B9F8">
      <w:pPr>
        <w:pStyle w:val="16"/>
        <w:rPr>
          <w:rFonts w:ascii="宋体" w:hAnsi="宋体" w:eastAsia="宋体" w:cs="宋体"/>
          <w:color w:val="000000" w:themeColor="text1"/>
          <w:sz w:val="24"/>
          <w:szCs w:val="24"/>
          <w:highlight w:val="none"/>
          <w14:textFill>
            <w14:solidFill>
              <w14:schemeClr w14:val="tx1"/>
            </w14:solidFill>
          </w14:textFill>
        </w:rPr>
      </w:pPr>
    </w:p>
    <w:p w14:paraId="5DBCF3AA">
      <w:pPr>
        <w:pStyle w:val="2"/>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14" w:name="_Toc414108643"/>
      <w:r>
        <w:rPr>
          <w:rFonts w:hint="eastAsia" w:ascii="宋体" w:hAnsi="宋体" w:eastAsia="宋体" w:cs="宋体"/>
          <w:color w:val="000000" w:themeColor="text1"/>
          <w:highlight w:val="none"/>
          <w:lang w:val="zh-CN"/>
          <w14:textFill>
            <w14:solidFill>
              <w14:schemeClr w14:val="tx1"/>
            </w14:solidFill>
          </w14:textFill>
        </w:rPr>
        <w:t>投标承诺书（二）</w:t>
      </w:r>
      <w:bookmarkEnd w:id="714"/>
    </w:p>
    <w:p w14:paraId="78202DE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77833D4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114E09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437F91A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如果我方中标，施工项目负责人为：</w:t>
      </w:r>
    </w:p>
    <w:tbl>
      <w:tblPr>
        <w:tblStyle w:val="22"/>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60C02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1DD4BDF6">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1DB1B92D">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c>
          <w:tcPr>
            <w:tcW w:w="2279" w:type="dxa"/>
            <w:tcBorders>
              <w:top w:val="single" w:color="auto" w:sz="4" w:space="0"/>
              <w:left w:val="single" w:color="auto" w:sz="4" w:space="0"/>
              <w:bottom w:val="single" w:color="auto" w:sz="4" w:space="0"/>
              <w:right w:val="single" w:color="auto" w:sz="4" w:space="0"/>
            </w:tcBorders>
            <w:vAlign w:val="center"/>
          </w:tcPr>
          <w:p w14:paraId="4CBC751F">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职称</w:t>
            </w:r>
          </w:p>
        </w:tc>
        <w:tc>
          <w:tcPr>
            <w:tcW w:w="2274" w:type="dxa"/>
            <w:tcBorders>
              <w:top w:val="single" w:color="auto" w:sz="4" w:space="0"/>
              <w:left w:val="single" w:color="auto" w:sz="4" w:space="0"/>
              <w:bottom w:val="single" w:color="auto" w:sz="4" w:space="0"/>
            </w:tcBorders>
            <w:vAlign w:val="center"/>
          </w:tcPr>
          <w:p w14:paraId="7F6C4DB6">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r>
      <w:tr w14:paraId="06038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682F1D2B">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4F32CF81">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c>
          <w:tcPr>
            <w:tcW w:w="2279" w:type="dxa"/>
            <w:tcBorders>
              <w:top w:val="single" w:color="auto" w:sz="4" w:space="0"/>
              <w:left w:val="single" w:color="auto" w:sz="4" w:space="0"/>
              <w:bottom w:val="single" w:color="auto" w:sz="4" w:space="0"/>
              <w:right w:val="single" w:color="auto" w:sz="4" w:space="0"/>
            </w:tcBorders>
            <w:vAlign w:val="center"/>
          </w:tcPr>
          <w:p w14:paraId="0E2E9579">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注册建造师证书编号</w:t>
            </w:r>
          </w:p>
        </w:tc>
        <w:tc>
          <w:tcPr>
            <w:tcW w:w="2274" w:type="dxa"/>
            <w:tcBorders>
              <w:top w:val="single" w:color="auto" w:sz="4" w:space="0"/>
              <w:left w:val="single" w:color="auto" w:sz="4" w:space="0"/>
              <w:bottom w:val="single" w:color="auto" w:sz="4" w:space="0"/>
            </w:tcBorders>
            <w:vAlign w:val="center"/>
          </w:tcPr>
          <w:p w14:paraId="41E8A3BE">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r>
      <w:tr w14:paraId="6371E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7E890118">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身份证号码</w:t>
            </w:r>
          </w:p>
        </w:tc>
        <w:tc>
          <w:tcPr>
            <w:tcW w:w="6827" w:type="dxa"/>
            <w:gridSpan w:val="3"/>
            <w:tcBorders>
              <w:top w:val="single" w:color="auto" w:sz="4" w:space="0"/>
              <w:left w:val="single" w:color="auto" w:sz="4" w:space="0"/>
              <w:bottom w:val="single" w:color="auto" w:sz="4" w:space="0"/>
            </w:tcBorders>
            <w:vAlign w:val="center"/>
          </w:tcPr>
          <w:p w14:paraId="07B38A33">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r>
    </w:tbl>
    <w:p w14:paraId="6748D4D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6030420A">
      <w:pPr>
        <w:pageBreakBefore w:val="0"/>
        <w:kinsoku/>
        <w:overflowPunct/>
        <w:autoSpaceDE w:val="0"/>
        <w:autoSpaceDN w:val="0"/>
        <w:bidi w:val="0"/>
        <w:adjustRightInd w:val="0"/>
        <w:spacing w:line="48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中标后，若由于特殊原因须更换施工项目负责人时，我方将以资质以及信誉不低于此注册建造师的人员替换，并报业主审查。经审查通过后，方可更换。若未经业主批准，我方擅自更换施工项目负责人，我方愿以合同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作为赔偿金。</w:t>
      </w:r>
    </w:p>
    <w:p w14:paraId="102F981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4B0B48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A5CD1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6081BCE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66B77259">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法定代表人或委托代理人：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23EB725C">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8E3F30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A8A9B2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A47E95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18243E0">
      <w:pPr>
        <w:pStyle w:val="16"/>
        <w:rPr>
          <w:rFonts w:ascii="宋体" w:hAnsi="宋体" w:eastAsia="宋体" w:cs="宋体"/>
          <w:color w:val="000000" w:themeColor="text1"/>
          <w:szCs w:val="21"/>
          <w:highlight w:val="none"/>
          <w14:textFill>
            <w14:solidFill>
              <w14:schemeClr w14:val="tx1"/>
            </w14:solidFill>
          </w14:textFill>
        </w:rPr>
      </w:pPr>
    </w:p>
    <w:p w14:paraId="69F03523">
      <w:pPr>
        <w:pStyle w:val="16"/>
        <w:rPr>
          <w:rFonts w:ascii="宋体" w:hAnsi="宋体" w:eastAsia="宋体" w:cs="宋体"/>
          <w:color w:val="000000" w:themeColor="text1"/>
          <w:szCs w:val="21"/>
          <w:highlight w:val="none"/>
          <w14:textFill>
            <w14:solidFill>
              <w14:schemeClr w14:val="tx1"/>
            </w14:solidFill>
          </w14:textFill>
        </w:rPr>
      </w:pPr>
    </w:p>
    <w:p w14:paraId="64D8CF25">
      <w:pPr>
        <w:pStyle w:val="16"/>
        <w:rPr>
          <w:rFonts w:ascii="宋体" w:hAnsi="宋体" w:eastAsia="宋体" w:cs="宋体"/>
          <w:color w:val="000000" w:themeColor="text1"/>
          <w:szCs w:val="21"/>
          <w:highlight w:val="none"/>
          <w14:textFill>
            <w14:solidFill>
              <w14:schemeClr w14:val="tx1"/>
            </w14:solidFill>
          </w14:textFill>
        </w:rPr>
      </w:pPr>
    </w:p>
    <w:p w14:paraId="292019D4">
      <w:pPr>
        <w:pStyle w:val="16"/>
        <w:rPr>
          <w:rFonts w:ascii="宋体" w:hAnsi="宋体" w:eastAsia="宋体" w:cs="宋体"/>
          <w:color w:val="000000" w:themeColor="text1"/>
          <w:szCs w:val="21"/>
          <w:highlight w:val="none"/>
          <w14:textFill>
            <w14:solidFill>
              <w14:schemeClr w14:val="tx1"/>
            </w14:solidFill>
          </w14:textFill>
        </w:rPr>
      </w:pPr>
    </w:p>
    <w:p w14:paraId="4923B390">
      <w:pPr>
        <w:pStyle w:val="16"/>
        <w:rPr>
          <w:rFonts w:ascii="宋体" w:hAnsi="宋体" w:eastAsia="宋体" w:cs="宋体"/>
          <w:color w:val="000000" w:themeColor="text1"/>
          <w:szCs w:val="21"/>
          <w:highlight w:val="none"/>
          <w14:textFill>
            <w14:solidFill>
              <w14:schemeClr w14:val="tx1"/>
            </w14:solidFill>
          </w14:textFill>
        </w:rPr>
      </w:pPr>
    </w:p>
    <w:p w14:paraId="11DFE2CF">
      <w:pPr>
        <w:pStyle w:val="16"/>
        <w:rPr>
          <w:rFonts w:ascii="宋体" w:hAnsi="宋体" w:eastAsia="宋体" w:cs="宋体"/>
          <w:color w:val="000000" w:themeColor="text1"/>
          <w:szCs w:val="21"/>
          <w:highlight w:val="none"/>
          <w14:textFill>
            <w14:solidFill>
              <w14:schemeClr w14:val="tx1"/>
            </w14:solidFill>
          </w14:textFill>
        </w:rPr>
      </w:pPr>
    </w:p>
    <w:p w14:paraId="275B7A3F">
      <w:pPr>
        <w:pStyle w:val="16"/>
        <w:rPr>
          <w:rFonts w:ascii="宋体" w:hAnsi="宋体" w:eastAsia="宋体" w:cs="宋体"/>
          <w:color w:val="000000" w:themeColor="text1"/>
          <w:szCs w:val="21"/>
          <w:highlight w:val="none"/>
          <w14:textFill>
            <w14:solidFill>
              <w14:schemeClr w14:val="tx1"/>
            </w14:solidFill>
          </w14:textFill>
        </w:rPr>
      </w:pPr>
    </w:p>
    <w:p w14:paraId="702FB71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4EAC8EF6">
      <w:pPr>
        <w:pageBreakBefore w:val="0"/>
        <w:kinsoku/>
        <w:overflowPunct/>
        <w:bidi w:val="0"/>
        <w:spacing w:line="480" w:lineRule="exact"/>
        <w:ind w:left="424"/>
        <w:jc w:val="center"/>
        <w:textAlignment w:val="auto"/>
        <w:rPr>
          <w:rFonts w:ascii="宋体" w:hAnsi="宋体" w:eastAsia="宋体" w:cs="宋体"/>
          <w:b/>
          <w:bCs/>
          <w:color w:val="000000" w:themeColor="text1"/>
          <w:sz w:val="32"/>
          <w:szCs w:val="32"/>
          <w:highlight w:val="none"/>
          <w:lang w:val="zh-CN"/>
          <w14:textFill>
            <w14:solidFill>
              <w14:schemeClr w14:val="tx1"/>
            </w14:solidFill>
          </w14:textFill>
        </w:rPr>
      </w:pPr>
      <w:bookmarkStart w:id="715" w:name="_Toc414108644"/>
      <w:r>
        <w:rPr>
          <w:rFonts w:hint="eastAsia" w:ascii="宋体" w:hAnsi="宋体" w:eastAsia="宋体" w:cs="宋体"/>
          <w:b/>
          <w:bCs/>
          <w:color w:val="000000" w:themeColor="text1"/>
          <w:sz w:val="32"/>
          <w:szCs w:val="32"/>
          <w:highlight w:val="none"/>
          <w:lang w:val="zh-CN"/>
          <w14:textFill>
            <w14:solidFill>
              <w14:schemeClr w14:val="tx1"/>
            </w14:solidFill>
          </w14:textFill>
        </w:rPr>
        <w:t>投标承诺书（三）</w:t>
      </w:r>
    </w:p>
    <w:p w14:paraId="6EE28141">
      <w:pPr>
        <w:pageBreakBefore w:val="0"/>
        <w:kinsoku/>
        <w:overflowPunct/>
        <w:bidi w:val="0"/>
        <w:spacing w:line="480" w:lineRule="exact"/>
        <w:ind w:left="424"/>
        <w:jc w:val="center"/>
        <w:textAlignment w:val="auto"/>
        <w:rPr>
          <w:rFonts w:ascii="宋体" w:hAnsi="宋体" w:eastAsia="宋体" w:cs="宋体"/>
          <w:b/>
          <w:color w:val="000000" w:themeColor="text1"/>
          <w:kern w:val="1"/>
          <w:sz w:val="24"/>
          <w:szCs w:val="24"/>
          <w:highlight w:val="none"/>
          <w14:textFill>
            <w14:solidFill>
              <w14:schemeClr w14:val="tx1"/>
            </w14:solidFill>
          </w14:textFill>
        </w:rPr>
      </w:pPr>
    </w:p>
    <w:p w14:paraId="4E0DAC5E">
      <w:pPr>
        <w:pageBreakBefore w:val="0"/>
        <w:kinsoku/>
        <w:overflowPunct/>
        <w:bidi w:val="0"/>
        <w:spacing w:line="480" w:lineRule="exact"/>
        <w:textAlignment w:val="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（招标人）     </w:t>
      </w:r>
    </w:p>
    <w:p w14:paraId="074D00BD">
      <w:pPr>
        <w:pageBreakBefore w:val="0"/>
        <w:kinsoku/>
        <w:overflowPunct/>
        <w:bidi w:val="0"/>
        <w:spacing w:line="480" w:lineRule="exact"/>
        <w:textAlignment w:val="auto"/>
        <w:rPr>
          <w:rFonts w:ascii="宋体" w:hAnsi="宋体" w:eastAsia="宋体" w:cs="宋体"/>
          <w:color w:val="000000" w:themeColor="text1"/>
          <w:sz w:val="24"/>
          <w:szCs w:val="24"/>
          <w:highlight w:val="none"/>
          <w:u w:val="single"/>
          <w14:textFill>
            <w14:solidFill>
              <w14:schemeClr w14:val="tx1"/>
            </w14:solidFill>
          </w14:textFill>
        </w:rPr>
      </w:pPr>
    </w:p>
    <w:p w14:paraId="75F795D7">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名称）       </w:t>
      </w:r>
      <w:r>
        <w:rPr>
          <w:rFonts w:hint="eastAsia" w:ascii="宋体" w:hAnsi="宋体" w:eastAsia="宋体" w:cs="宋体"/>
          <w:color w:val="000000" w:themeColor="text1"/>
          <w:sz w:val="24"/>
          <w:szCs w:val="24"/>
          <w:highlight w:val="none"/>
          <w14:textFill>
            <w14:solidFill>
              <w14:schemeClr w14:val="tx1"/>
            </w14:solidFill>
          </w14:textFill>
        </w:rPr>
        <w:t>作为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i/>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项目（以下简称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在此郑重承诺。</w:t>
      </w:r>
    </w:p>
    <w:p w14:paraId="2BDA4F09">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5B4ED2EA">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4F71BDBE">
      <w:pPr>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6F169D0">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6A8CD0BE">
      <w:pPr>
        <w:pStyle w:val="20"/>
        <w:pageBreakBefore w:val="0"/>
        <w:tabs>
          <w:tab w:val="left" w:pos="630"/>
        </w:tabs>
        <w:kinsoku/>
        <w:overflowPunct/>
        <w:bidi w:val="0"/>
        <w:spacing w:line="480" w:lineRule="exact"/>
        <w:ind w:firstLine="210"/>
        <w:textAlignment w:val="auto"/>
        <w:rPr>
          <w:rFonts w:ascii="宋体" w:hAnsi="宋体" w:eastAsia="宋体" w:cs="宋体"/>
          <w:color w:val="000000" w:themeColor="text1"/>
          <w:sz w:val="24"/>
          <w:szCs w:val="24"/>
          <w:highlight w:val="none"/>
          <w14:textFill>
            <w14:solidFill>
              <w14:schemeClr w14:val="tx1"/>
            </w14:solidFill>
          </w14:textFill>
        </w:rPr>
      </w:pPr>
    </w:p>
    <w:p w14:paraId="6A085D32">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法定代表人：（盖章）</w:t>
      </w:r>
    </w:p>
    <w:p w14:paraId="45F6D03D">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D173A65">
      <w:pPr>
        <w:pageBreakBefore w:val="0"/>
        <w:kinsoku/>
        <w:overflowPunct/>
        <w:bidi w:val="0"/>
        <w:spacing w:line="480" w:lineRule="exact"/>
        <w:jc w:val="right"/>
        <w:textAlignment w:val="auto"/>
        <w:rPr>
          <w:rFonts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日期：</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年</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月</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日</w:t>
      </w:r>
    </w:p>
    <w:p w14:paraId="78D94A53">
      <w:pPr>
        <w:pStyle w:val="2"/>
        <w:pageBreakBefore w:val="0"/>
        <w:kinsoku/>
        <w:overflowPunct/>
        <w:bidi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6CA2FB90">
      <w:pPr>
        <w:pageBreakBefore w:val="0"/>
        <w:kinsoku/>
        <w:overflowPunct/>
        <w:bidi w:val="0"/>
        <w:spacing w:line="480" w:lineRule="exact"/>
        <w:textAlignment w:val="auto"/>
        <w:rPr>
          <w:rFonts w:ascii="宋体" w:hAnsi="宋体" w:eastAsia="宋体" w:cs="宋体"/>
          <w:color w:val="000000" w:themeColor="text1"/>
          <w:highlight w:val="none"/>
          <w:lang w:val="zh-CN"/>
          <w14:textFill>
            <w14:solidFill>
              <w14:schemeClr w14:val="tx1"/>
            </w14:solidFill>
          </w14:textFill>
        </w:rPr>
      </w:pPr>
    </w:p>
    <w:p w14:paraId="6F0FC87A">
      <w:pPr>
        <w:pStyle w:val="37"/>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17124076">
      <w:pPr>
        <w:pStyle w:val="37"/>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6FB835B6">
      <w:pPr>
        <w:pStyle w:val="37"/>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55538DC4">
      <w:pPr>
        <w:pStyle w:val="37"/>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4C2B0D39">
      <w:pPr>
        <w:pStyle w:val="37"/>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70DDD9E3">
      <w:pPr>
        <w:pStyle w:val="2"/>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法定代表人身份证明书</w:t>
      </w:r>
      <w:bookmarkEnd w:id="715"/>
    </w:p>
    <w:p w14:paraId="544A020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企业名称：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4BD508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DFF46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企业类型：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31BF1E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F7EE37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2FACCE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31EEC68">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营业期限：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F4426A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71B43B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成立时间：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FA0B28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D88443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6EC8E61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6E2FF2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（投标单位名称）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的法定代表人。</w:t>
      </w:r>
    </w:p>
    <w:p w14:paraId="65FB9AB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408AD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D5C50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特此证明。</w:t>
      </w:r>
    </w:p>
    <w:p w14:paraId="511FF25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530B16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4DADD58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58C08D3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3154C029">
      <w:pPr>
        <w:pageBreakBefore w:val="0"/>
        <w:kinsoku/>
        <w:overflowPunct/>
        <w:autoSpaceDE w:val="0"/>
        <w:autoSpaceDN w:val="0"/>
        <w:bidi w:val="0"/>
        <w:adjustRightInd w:val="0"/>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15655CF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（附法定代表人身份证复印件）</w:t>
      </w:r>
      <w:r>
        <w:rPr>
          <w:rFonts w:hint="eastAsia" w:ascii="宋体" w:hAnsi="宋体" w:eastAsia="宋体" w:cs="宋体"/>
          <w:color w:val="000000" w:themeColor="text1"/>
          <w:sz w:val="24"/>
          <w:szCs w:val="24"/>
          <w:highlight w:val="none"/>
          <w:lang w:val="zh-CN"/>
          <w14:textFill>
            <w14:solidFill>
              <w14:schemeClr w14:val="tx1"/>
            </w14:solidFill>
          </w14:textFill>
        </w:rPr>
        <w:br w:type="page"/>
      </w:r>
    </w:p>
    <w:p w14:paraId="15593020">
      <w:pPr>
        <w:pStyle w:val="2"/>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bookmarkStart w:id="716" w:name="_Toc414108645"/>
      <w:r>
        <w:rPr>
          <w:rFonts w:hint="eastAsia" w:ascii="宋体" w:hAnsi="宋体" w:eastAsia="宋体" w:cs="宋体"/>
          <w:color w:val="000000" w:themeColor="text1"/>
          <w:highlight w:val="none"/>
          <w:lang w:val="zh-CN"/>
          <w14:textFill>
            <w14:solidFill>
              <w14:schemeClr w14:val="tx1"/>
            </w14:solidFill>
          </w14:textFill>
        </w:rPr>
        <w:t>法定代表人授权委托书</w:t>
      </w:r>
      <w:bookmarkEnd w:id="716"/>
    </w:p>
    <w:p w14:paraId="6B4024D1">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本授权委托书声明：我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（姓名）系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（投标单位名称）的法定代表人，现授权委托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（投标单位名称）的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（姓名）为我公司代理人，以本公司的名义参加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（招标人）的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招标工程的投标活动。代理人签署的响应文件和参加整个工程招标投标活动中所签署的一切文件和处理与之有关的一切事物，我均予以承认。</w:t>
      </w:r>
    </w:p>
    <w:p w14:paraId="1BB1DF5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D59F8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8115C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63344ED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单</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59CE7F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EFBF21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代理人无转委权。特此委托。</w:t>
      </w:r>
    </w:p>
    <w:p w14:paraId="3EF0E4C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F1A43F8">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2D089C2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336DDF5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6A3ED64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1823C95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754E3E7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（附被授权人身份证复印件）</w:t>
      </w:r>
    </w:p>
    <w:p w14:paraId="6BCFEF7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C9D881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C22F1B9">
      <w:pPr>
        <w:pStyle w:val="16"/>
        <w:rPr>
          <w:rFonts w:ascii="宋体" w:hAnsi="宋体" w:eastAsia="宋体" w:cs="宋体"/>
          <w:color w:val="000000" w:themeColor="text1"/>
          <w:szCs w:val="21"/>
          <w:highlight w:val="none"/>
          <w14:textFill>
            <w14:solidFill>
              <w14:schemeClr w14:val="tx1"/>
            </w14:solidFill>
          </w14:textFill>
        </w:rPr>
      </w:pPr>
    </w:p>
    <w:p w14:paraId="78097AB9">
      <w:pPr>
        <w:pStyle w:val="16"/>
        <w:rPr>
          <w:rFonts w:ascii="宋体" w:hAnsi="宋体" w:eastAsia="宋体" w:cs="宋体"/>
          <w:color w:val="000000" w:themeColor="text1"/>
          <w:szCs w:val="21"/>
          <w:highlight w:val="none"/>
          <w14:textFill>
            <w14:solidFill>
              <w14:schemeClr w14:val="tx1"/>
            </w14:solidFill>
          </w14:textFill>
        </w:rPr>
      </w:pPr>
    </w:p>
    <w:p w14:paraId="5F35176F">
      <w:pPr>
        <w:pStyle w:val="16"/>
        <w:rPr>
          <w:rFonts w:ascii="宋体" w:hAnsi="宋体" w:eastAsia="宋体" w:cs="宋体"/>
          <w:color w:val="000000" w:themeColor="text1"/>
          <w:szCs w:val="21"/>
          <w:highlight w:val="none"/>
          <w14:textFill>
            <w14:solidFill>
              <w14:schemeClr w14:val="tx1"/>
            </w14:solidFill>
          </w14:textFill>
        </w:rPr>
      </w:pPr>
    </w:p>
    <w:p w14:paraId="38A1561B">
      <w:pPr>
        <w:pStyle w:val="16"/>
        <w:rPr>
          <w:rFonts w:ascii="宋体" w:hAnsi="宋体" w:eastAsia="宋体" w:cs="宋体"/>
          <w:color w:val="000000" w:themeColor="text1"/>
          <w:szCs w:val="21"/>
          <w:highlight w:val="none"/>
          <w14:textFill>
            <w14:solidFill>
              <w14:schemeClr w14:val="tx1"/>
            </w14:solidFill>
          </w14:textFill>
        </w:rPr>
      </w:pPr>
    </w:p>
    <w:p w14:paraId="4B54D89E">
      <w:pPr>
        <w:pStyle w:val="16"/>
        <w:rPr>
          <w:rFonts w:ascii="宋体" w:hAnsi="宋体" w:eastAsia="宋体" w:cs="宋体"/>
          <w:color w:val="000000" w:themeColor="text1"/>
          <w:szCs w:val="21"/>
          <w:highlight w:val="none"/>
          <w14:textFill>
            <w14:solidFill>
              <w14:schemeClr w14:val="tx1"/>
            </w14:solidFill>
          </w14:textFill>
        </w:rPr>
      </w:pPr>
    </w:p>
    <w:p w14:paraId="3598E74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000D836">
      <w:pPr>
        <w:pStyle w:val="2"/>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17" w:name="_Toc414108646"/>
      <w:r>
        <w:rPr>
          <w:rFonts w:hint="eastAsia" w:ascii="宋体" w:hAnsi="宋体" w:eastAsia="宋体" w:cs="宋体"/>
          <w:color w:val="000000" w:themeColor="text1"/>
          <w:highlight w:val="none"/>
          <w:lang w:val="zh-CN"/>
          <w14:textFill>
            <w14:solidFill>
              <w14:schemeClr w14:val="tx1"/>
            </w14:solidFill>
          </w14:textFill>
        </w:rPr>
        <w:t>投标单位概况</w:t>
      </w:r>
      <w:bookmarkEnd w:id="717"/>
    </w:p>
    <w:p w14:paraId="23BA395F">
      <w:pPr>
        <w:pageBreakBefore w:val="0"/>
        <w:kinsoku/>
        <w:overflowPunct/>
        <w:bidi w:val="0"/>
        <w:spacing w:line="480" w:lineRule="exact"/>
        <w:jc w:val="center"/>
        <w:textAlignment w:val="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color w:val="000000" w:themeColor="text1"/>
          <w:sz w:val="24"/>
          <w:szCs w:val="24"/>
          <w:highlight w:val="none"/>
          <w14:textFill>
            <w14:solidFill>
              <w14:schemeClr w14:val="tx1"/>
            </w14:solidFill>
          </w14:textFill>
        </w:rPr>
        <w:t>概况表</w:t>
      </w:r>
    </w:p>
    <w:tbl>
      <w:tblPr>
        <w:tblStyle w:val="2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192"/>
        <w:gridCol w:w="1019"/>
        <w:gridCol w:w="992"/>
        <w:gridCol w:w="283"/>
        <w:gridCol w:w="194"/>
        <w:gridCol w:w="1244"/>
        <w:gridCol w:w="261"/>
        <w:gridCol w:w="707"/>
        <w:gridCol w:w="1300"/>
      </w:tblGrid>
      <w:tr w14:paraId="3AB6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45AFA14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投标单位</w:t>
            </w:r>
            <w:r>
              <w:rPr>
                <w:rFonts w:hint="eastAsia" w:ascii="宋体" w:hAnsi="宋体" w:eastAsia="宋体" w:cs="宋体"/>
                <w:color w:val="000000" w:themeColor="text1"/>
                <w:szCs w:val="21"/>
                <w:highlight w:val="none"/>
                <w14:textFill>
                  <w14:solidFill>
                    <w14:schemeClr w14:val="tx1"/>
                  </w14:solidFill>
                </w14:textFill>
              </w:rPr>
              <w:t>名称</w:t>
            </w:r>
          </w:p>
        </w:tc>
        <w:tc>
          <w:tcPr>
            <w:tcW w:w="7192" w:type="dxa"/>
            <w:gridSpan w:val="9"/>
            <w:vAlign w:val="center"/>
          </w:tcPr>
          <w:p w14:paraId="2C9AF57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FC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5CD5BAF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680" w:type="dxa"/>
            <w:gridSpan w:val="5"/>
            <w:vAlign w:val="center"/>
          </w:tcPr>
          <w:p w14:paraId="2CD48AB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44" w:type="dxa"/>
            <w:vAlign w:val="center"/>
          </w:tcPr>
          <w:p w14:paraId="337A43D5">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2268" w:type="dxa"/>
            <w:gridSpan w:val="3"/>
            <w:vAlign w:val="center"/>
          </w:tcPr>
          <w:p w14:paraId="5E2D2D9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86A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14:paraId="75E06EE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p>
        </w:tc>
        <w:tc>
          <w:tcPr>
            <w:tcW w:w="1192" w:type="dxa"/>
            <w:vAlign w:val="center"/>
          </w:tcPr>
          <w:p w14:paraId="40666C72">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2488" w:type="dxa"/>
            <w:gridSpan w:val="4"/>
            <w:vAlign w:val="center"/>
          </w:tcPr>
          <w:p w14:paraId="588554F8">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44" w:type="dxa"/>
            <w:vAlign w:val="center"/>
          </w:tcPr>
          <w:p w14:paraId="41696B5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tc>
        <w:tc>
          <w:tcPr>
            <w:tcW w:w="2268" w:type="dxa"/>
            <w:gridSpan w:val="3"/>
            <w:vAlign w:val="center"/>
          </w:tcPr>
          <w:p w14:paraId="31AA71C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0E85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14:paraId="0DE7A17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192" w:type="dxa"/>
            <w:vAlign w:val="center"/>
          </w:tcPr>
          <w:p w14:paraId="4F95AEF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p>
        </w:tc>
        <w:tc>
          <w:tcPr>
            <w:tcW w:w="2488" w:type="dxa"/>
            <w:gridSpan w:val="4"/>
            <w:vAlign w:val="center"/>
          </w:tcPr>
          <w:p w14:paraId="4CD6E04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44" w:type="dxa"/>
            <w:vAlign w:val="center"/>
          </w:tcPr>
          <w:p w14:paraId="20955F1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  址</w:t>
            </w:r>
          </w:p>
        </w:tc>
        <w:tc>
          <w:tcPr>
            <w:tcW w:w="2268" w:type="dxa"/>
            <w:gridSpan w:val="3"/>
            <w:vAlign w:val="center"/>
          </w:tcPr>
          <w:p w14:paraId="75760AF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5A28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3338BDF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组织结构</w:t>
            </w:r>
          </w:p>
        </w:tc>
        <w:tc>
          <w:tcPr>
            <w:tcW w:w="7192" w:type="dxa"/>
            <w:gridSpan w:val="9"/>
            <w:vAlign w:val="center"/>
          </w:tcPr>
          <w:p w14:paraId="1D27A06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0390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410F4D2">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1192" w:type="dxa"/>
            <w:vAlign w:val="center"/>
          </w:tcPr>
          <w:p w14:paraId="11DF399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019" w:type="dxa"/>
            <w:vAlign w:val="center"/>
          </w:tcPr>
          <w:p w14:paraId="05EA9F7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75" w:type="dxa"/>
            <w:gridSpan w:val="2"/>
            <w:vAlign w:val="center"/>
          </w:tcPr>
          <w:p w14:paraId="310D32FF">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699" w:type="dxa"/>
            <w:gridSpan w:val="3"/>
            <w:vAlign w:val="center"/>
          </w:tcPr>
          <w:p w14:paraId="65FF6FA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14:paraId="696153B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1300" w:type="dxa"/>
            <w:vAlign w:val="center"/>
          </w:tcPr>
          <w:p w14:paraId="154EFCE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43A3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1AF1E4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1192" w:type="dxa"/>
            <w:vAlign w:val="center"/>
          </w:tcPr>
          <w:p w14:paraId="75273AE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019" w:type="dxa"/>
            <w:vAlign w:val="center"/>
          </w:tcPr>
          <w:p w14:paraId="57A245B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75" w:type="dxa"/>
            <w:gridSpan w:val="2"/>
            <w:vAlign w:val="center"/>
          </w:tcPr>
          <w:p w14:paraId="2E024443">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699" w:type="dxa"/>
            <w:gridSpan w:val="3"/>
            <w:vAlign w:val="center"/>
          </w:tcPr>
          <w:p w14:paraId="4EB47B0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14:paraId="1450EAE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1300" w:type="dxa"/>
            <w:vAlign w:val="center"/>
          </w:tcPr>
          <w:p w14:paraId="64B7F68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019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275F5BC5">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p>
        </w:tc>
        <w:tc>
          <w:tcPr>
            <w:tcW w:w="2211" w:type="dxa"/>
            <w:gridSpan w:val="2"/>
            <w:vAlign w:val="center"/>
          </w:tcPr>
          <w:p w14:paraId="61F1C78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4981" w:type="dxa"/>
            <w:gridSpan w:val="7"/>
            <w:vAlign w:val="center"/>
          </w:tcPr>
          <w:p w14:paraId="420AF20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员工总人数：</w:t>
            </w:r>
          </w:p>
        </w:tc>
      </w:tr>
      <w:tr w14:paraId="3CF4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2ACB564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企业资质等级</w:t>
            </w:r>
          </w:p>
        </w:tc>
        <w:tc>
          <w:tcPr>
            <w:tcW w:w="2211" w:type="dxa"/>
            <w:gridSpan w:val="2"/>
            <w:vAlign w:val="center"/>
          </w:tcPr>
          <w:p w14:paraId="6B5FAF1C">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restart"/>
            <w:vAlign w:val="center"/>
          </w:tcPr>
          <w:p w14:paraId="31C1C69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tc>
        <w:tc>
          <w:tcPr>
            <w:tcW w:w="1982" w:type="dxa"/>
            <w:gridSpan w:val="4"/>
            <w:vAlign w:val="center"/>
          </w:tcPr>
          <w:p w14:paraId="6AEB0B3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p>
        </w:tc>
        <w:tc>
          <w:tcPr>
            <w:tcW w:w="2007" w:type="dxa"/>
            <w:gridSpan w:val="2"/>
            <w:vAlign w:val="center"/>
          </w:tcPr>
          <w:p w14:paraId="2044A53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36F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7432A68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营业执照号</w:t>
            </w:r>
          </w:p>
        </w:tc>
        <w:tc>
          <w:tcPr>
            <w:tcW w:w="2211" w:type="dxa"/>
            <w:gridSpan w:val="2"/>
            <w:vAlign w:val="center"/>
          </w:tcPr>
          <w:p w14:paraId="7B4B014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02C1FCFF">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1B38FFE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高级职称人员</w:t>
            </w:r>
          </w:p>
        </w:tc>
        <w:tc>
          <w:tcPr>
            <w:tcW w:w="2007" w:type="dxa"/>
            <w:gridSpan w:val="2"/>
            <w:vAlign w:val="center"/>
          </w:tcPr>
          <w:p w14:paraId="30A209C8">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48AE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B4C8895">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注册资金</w:t>
            </w:r>
          </w:p>
        </w:tc>
        <w:tc>
          <w:tcPr>
            <w:tcW w:w="2211" w:type="dxa"/>
            <w:gridSpan w:val="2"/>
            <w:vAlign w:val="center"/>
          </w:tcPr>
          <w:p w14:paraId="681342B3">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1A09181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0E08F0F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中级职称人员</w:t>
            </w:r>
          </w:p>
        </w:tc>
        <w:tc>
          <w:tcPr>
            <w:tcW w:w="2007" w:type="dxa"/>
            <w:gridSpan w:val="2"/>
            <w:vAlign w:val="center"/>
          </w:tcPr>
          <w:p w14:paraId="35A82A3F">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678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5232BAD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2211" w:type="dxa"/>
            <w:gridSpan w:val="2"/>
            <w:vAlign w:val="center"/>
          </w:tcPr>
          <w:p w14:paraId="06DC802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1BE0F80C">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7D528F5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初级职称人员</w:t>
            </w:r>
          </w:p>
        </w:tc>
        <w:tc>
          <w:tcPr>
            <w:tcW w:w="2007" w:type="dxa"/>
            <w:gridSpan w:val="2"/>
            <w:vAlign w:val="center"/>
          </w:tcPr>
          <w:p w14:paraId="1774D66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5288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35D1BB7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2211" w:type="dxa"/>
            <w:gridSpan w:val="2"/>
            <w:vAlign w:val="center"/>
          </w:tcPr>
          <w:p w14:paraId="2F9305D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6008C71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3AC9E1B8">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  工</w:t>
            </w:r>
          </w:p>
        </w:tc>
        <w:tc>
          <w:tcPr>
            <w:tcW w:w="2007" w:type="dxa"/>
            <w:gridSpan w:val="2"/>
            <w:vAlign w:val="center"/>
          </w:tcPr>
          <w:p w14:paraId="2E6BB42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02E9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933" w:type="dxa"/>
            <w:vAlign w:val="center"/>
          </w:tcPr>
          <w:p w14:paraId="0FF81F5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经营范围</w:t>
            </w:r>
          </w:p>
        </w:tc>
        <w:tc>
          <w:tcPr>
            <w:tcW w:w="7192" w:type="dxa"/>
            <w:gridSpan w:val="9"/>
            <w:vAlign w:val="center"/>
          </w:tcPr>
          <w:p w14:paraId="3FEBD2D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162E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3E297F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7192" w:type="dxa"/>
            <w:gridSpan w:val="9"/>
            <w:vAlign w:val="center"/>
          </w:tcPr>
          <w:p w14:paraId="1F06984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bl>
    <w:p w14:paraId="47FDB6FA">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备注：本表后应附企业法人营业执照的证明材料、企业资质证书副本、安全生产许可证、等材料的复印件。</w:t>
      </w:r>
    </w:p>
    <w:p w14:paraId="6D64E335">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70E4D55">
      <w:pPr>
        <w:pStyle w:val="2"/>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18" w:name="_Toc414108648"/>
      <w:r>
        <w:rPr>
          <w:rFonts w:hint="eastAsia" w:ascii="宋体" w:hAnsi="宋体" w:eastAsia="宋体" w:cs="宋体"/>
          <w:color w:val="000000" w:themeColor="text1"/>
          <w:highlight w:val="none"/>
          <w:lang w:val="zh-CN"/>
          <w14:textFill>
            <w14:solidFill>
              <w14:schemeClr w14:val="tx1"/>
            </w14:solidFill>
          </w14:textFill>
        </w:rPr>
        <w:t>项目负责人简历</w:t>
      </w:r>
      <w:bookmarkEnd w:id="718"/>
    </w:p>
    <w:p w14:paraId="09673912">
      <w:pPr>
        <w:pageBreakBefore w:val="0"/>
        <w:kinsoku/>
        <w:overflowPunct/>
        <w:bidi w:val="0"/>
        <w:spacing w:line="480" w:lineRule="exact"/>
        <w:ind w:left="210" w:hanging="240" w:hanging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项目负责人介绍应包括：姓名、性别、年龄、职称、学历、参加工作时间、从事项目管理年限、注册建造师（项目负责人）证书编号以及其他内容。</w:t>
      </w:r>
    </w:p>
    <w:p w14:paraId="08A23E78">
      <w:pPr>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2、项目负责人简历相关证明材料（注册建造师（项目负责人）证书、</w:t>
      </w:r>
      <w:r>
        <w:rPr>
          <w:rFonts w:hint="eastAsia" w:ascii="宋体" w:hAnsi="宋体" w:cs="宋体"/>
          <w:color w:val="000000" w:themeColor="text1"/>
          <w:sz w:val="24"/>
          <w:szCs w:val="24"/>
          <w:highlight w:val="none"/>
          <w:lang w:eastAsia="zh-CN"/>
          <w14:textFill>
            <w14:solidFill>
              <w14:schemeClr w14:val="tx1"/>
            </w14:solidFill>
          </w14:textFill>
        </w:rPr>
        <w:t>安全考核证</w:t>
      </w:r>
      <w:r>
        <w:rPr>
          <w:rFonts w:hint="eastAsia" w:ascii="宋体" w:hAnsi="宋体" w:eastAsia="宋体" w:cs="宋体"/>
          <w:color w:val="000000" w:themeColor="text1"/>
          <w:sz w:val="24"/>
          <w:szCs w:val="24"/>
          <w:highlight w:val="none"/>
          <w14:textFill>
            <w14:solidFill>
              <w14:schemeClr w14:val="tx1"/>
            </w14:solidFill>
          </w14:textFill>
        </w:rPr>
        <w:t>复印件）。</w:t>
      </w:r>
    </w:p>
    <w:p w14:paraId="58476BA0">
      <w:pPr>
        <w:pageBreakBefore w:val="0"/>
        <w:kinsoku/>
        <w:overflowPunct/>
        <w:bidi w:val="0"/>
        <w:spacing w:line="480" w:lineRule="exact"/>
        <w:jc w:val="center"/>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拟派项目负责人资格一览表</w:t>
      </w:r>
    </w:p>
    <w:tbl>
      <w:tblPr>
        <w:tblStyle w:val="2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951"/>
      </w:tblGrid>
      <w:tr w14:paraId="3392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7F991D75">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2123" w:type="dxa"/>
            <w:vAlign w:val="center"/>
          </w:tcPr>
          <w:p w14:paraId="00184543">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141" w:type="dxa"/>
            <w:vAlign w:val="center"/>
          </w:tcPr>
          <w:p w14:paraId="38DFBB61">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2951" w:type="dxa"/>
            <w:vAlign w:val="center"/>
          </w:tcPr>
          <w:p w14:paraId="436E9203">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428B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369AEF7C">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  历</w:t>
            </w:r>
          </w:p>
        </w:tc>
        <w:tc>
          <w:tcPr>
            <w:tcW w:w="2123" w:type="dxa"/>
            <w:vAlign w:val="center"/>
          </w:tcPr>
          <w:p w14:paraId="1691F442">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141" w:type="dxa"/>
            <w:vAlign w:val="center"/>
          </w:tcPr>
          <w:p w14:paraId="3EC8C01D">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951" w:type="dxa"/>
            <w:vAlign w:val="center"/>
          </w:tcPr>
          <w:p w14:paraId="7DC1F73D">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2B09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0F5FF481">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从事相关工作年限</w:t>
            </w:r>
          </w:p>
        </w:tc>
        <w:tc>
          <w:tcPr>
            <w:tcW w:w="5092" w:type="dxa"/>
            <w:gridSpan w:val="2"/>
            <w:vAlign w:val="center"/>
          </w:tcPr>
          <w:p w14:paraId="33930106">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4780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606823A2">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在本项目中拟担任的职务</w:t>
            </w:r>
          </w:p>
        </w:tc>
        <w:tc>
          <w:tcPr>
            <w:tcW w:w="5092" w:type="dxa"/>
            <w:gridSpan w:val="2"/>
            <w:vAlign w:val="center"/>
          </w:tcPr>
          <w:p w14:paraId="6F9B49E7">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7AAD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3932EDC7">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tc>
        <w:tc>
          <w:tcPr>
            <w:tcW w:w="7215" w:type="dxa"/>
            <w:gridSpan w:val="3"/>
            <w:vAlign w:val="center"/>
          </w:tcPr>
          <w:p w14:paraId="563A9314">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595D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1FD6BB3D">
            <w:pPr>
              <w:pStyle w:val="10"/>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tc>
        <w:tc>
          <w:tcPr>
            <w:tcW w:w="8245" w:type="dxa"/>
            <w:gridSpan w:val="4"/>
            <w:vAlign w:val="center"/>
          </w:tcPr>
          <w:p w14:paraId="692CC81D">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类似工作经历</w:t>
            </w:r>
          </w:p>
        </w:tc>
      </w:tr>
      <w:tr w14:paraId="6C84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736903B9">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w:t>
            </w:r>
          </w:p>
          <w:p w14:paraId="4B82323E">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经历</w:t>
            </w:r>
          </w:p>
        </w:tc>
        <w:tc>
          <w:tcPr>
            <w:tcW w:w="8245" w:type="dxa"/>
            <w:gridSpan w:val="4"/>
          </w:tcPr>
          <w:p w14:paraId="75481F32">
            <w:pPr>
              <w:pStyle w:val="10"/>
              <w:pageBreakBefore w:val="0"/>
              <w:kinsoku/>
              <w:overflowPunct/>
              <w:bidi w:val="0"/>
              <w:spacing w:line="480" w:lineRule="exact"/>
              <w:ind w:firstLine="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（单位、担任职务、工作时间）</w:t>
            </w:r>
          </w:p>
        </w:tc>
      </w:tr>
    </w:tbl>
    <w:p w14:paraId="2BAD0936">
      <w:pPr>
        <w:pStyle w:val="10"/>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投标单位：（盖章）</w:t>
      </w:r>
    </w:p>
    <w:p w14:paraId="7102F92D">
      <w:pPr>
        <w:pStyle w:val="10"/>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w:t>
      </w:r>
    </w:p>
    <w:p w14:paraId="3A9DEDD8">
      <w:pPr>
        <w:pageBreakBefore w:val="0"/>
        <w:kinsoku/>
        <w:overflowPunct/>
        <w:bidi w:val="0"/>
        <w:spacing w:line="48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EB49F82">
      <w:pPr>
        <w:pageBreakBefore w:val="0"/>
        <w:kinsoku/>
        <w:overflowPunct/>
        <w:bidi w:val="0"/>
        <w:spacing w:line="48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24E2A49">
      <w:pPr>
        <w:pageBreakBefore w:val="0"/>
        <w:kinsoku/>
        <w:overflowPunct/>
        <w:bidi w:val="0"/>
        <w:spacing w:line="48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D2BA260">
      <w:pPr>
        <w:pageBreakBefore w:val="0"/>
        <w:kinsoku/>
        <w:overflowPunct/>
        <w:bidi w:val="0"/>
        <w:spacing w:line="480" w:lineRule="exact"/>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6E2C2D78">
      <w:pPr>
        <w:pageBreakBefore w:val="0"/>
        <w:kinsoku/>
        <w:overflowPunct/>
        <w:bidi w:val="0"/>
        <w:spacing w:line="480" w:lineRule="exact"/>
        <w:jc w:val="right"/>
        <w:textAlignment w:val="auto"/>
        <w:rPr>
          <w:rFonts w:ascii="宋体" w:hAnsi="宋体" w:eastAsia="宋体" w:cs="宋体"/>
          <w:color w:val="000000" w:themeColor="text1"/>
          <w:sz w:val="24"/>
          <w:szCs w:val="30"/>
          <w:highlight w:val="none"/>
          <w14:textFill>
            <w14:solidFill>
              <w14:schemeClr w14:val="tx1"/>
            </w14:solidFill>
          </w14:textFill>
        </w:rPr>
      </w:pPr>
    </w:p>
    <w:p w14:paraId="34CEFB63">
      <w:pPr>
        <w:pStyle w:val="16"/>
        <w:rPr>
          <w:rFonts w:ascii="宋体" w:hAnsi="宋体" w:eastAsia="宋体" w:cs="宋体"/>
          <w:color w:val="000000" w:themeColor="text1"/>
          <w:sz w:val="24"/>
          <w:szCs w:val="30"/>
          <w:highlight w:val="none"/>
          <w14:textFill>
            <w14:solidFill>
              <w14:schemeClr w14:val="tx1"/>
            </w14:solidFill>
          </w14:textFill>
        </w:rPr>
      </w:pPr>
    </w:p>
    <w:p w14:paraId="45F06E1B">
      <w:pPr>
        <w:pStyle w:val="16"/>
        <w:rPr>
          <w:rFonts w:ascii="宋体" w:hAnsi="宋体" w:eastAsia="宋体" w:cs="宋体"/>
          <w:color w:val="000000" w:themeColor="text1"/>
          <w:sz w:val="24"/>
          <w:szCs w:val="30"/>
          <w:highlight w:val="none"/>
          <w14:textFill>
            <w14:solidFill>
              <w14:schemeClr w14:val="tx1"/>
            </w14:solidFill>
          </w14:textFill>
        </w:rPr>
      </w:pPr>
    </w:p>
    <w:p w14:paraId="07D142D4">
      <w:pPr>
        <w:pStyle w:val="16"/>
        <w:rPr>
          <w:rFonts w:ascii="宋体" w:hAnsi="宋体" w:eastAsia="宋体" w:cs="宋体"/>
          <w:color w:val="000000" w:themeColor="text1"/>
          <w:sz w:val="24"/>
          <w:szCs w:val="30"/>
          <w:highlight w:val="none"/>
          <w14:textFill>
            <w14:solidFill>
              <w14:schemeClr w14:val="tx1"/>
            </w14:solidFill>
          </w14:textFill>
        </w:rPr>
      </w:pPr>
    </w:p>
    <w:p w14:paraId="2FA80CA2">
      <w:pPr>
        <w:pStyle w:val="16"/>
        <w:rPr>
          <w:rFonts w:ascii="宋体" w:hAnsi="宋体" w:eastAsia="宋体" w:cs="宋体"/>
          <w:color w:val="000000" w:themeColor="text1"/>
          <w:sz w:val="24"/>
          <w:szCs w:val="30"/>
          <w:highlight w:val="none"/>
          <w14:textFill>
            <w14:solidFill>
              <w14:schemeClr w14:val="tx1"/>
            </w14:solidFill>
          </w14:textFill>
        </w:rPr>
      </w:pPr>
    </w:p>
    <w:p w14:paraId="320DB3F1">
      <w:pPr>
        <w:pStyle w:val="16"/>
        <w:rPr>
          <w:rFonts w:ascii="宋体" w:hAnsi="宋体" w:eastAsia="宋体" w:cs="宋体"/>
          <w:color w:val="000000" w:themeColor="text1"/>
          <w:sz w:val="24"/>
          <w:szCs w:val="30"/>
          <w:highlight w:val="none"/>
          <w14:textFill>
            <w14:solidFill>
              <w14:schemeClr w14:val="tx1"/>
            </w14:solidFill>
          </w14:textFill>
        </w:rPr>
      </w:pPr>
    </w:p>
    <w:p w14:paraId="1D962AAD">
      <w:pPr>
        <w:pStyle w:val="2"/>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bookmarkStart w:id="719" w:name="_Toc414108649"/>
      <w:r>
        <w:rPr>
          <w:rFonts w:hint="eastAsia" w:ascii="宋体" w:hAnsi="宋体" w:eastAsia="宋体" w:cs="宋体"/>
          <w:color w:val="000000" w:themeColor="text1"/>
          <w:highlight w:val="none"/>
          <w:lang w:val="zh-CN"/>
          <w14:textFill>
            <w14:solidFill>
              <w14:schemeClr w14:val="tx1"/>
            </w14:solidFill>
          </w14:textFill>
        </w:rPr>
        <w:t>项目管理人员</w:t>
      </w:r>
      <w:bookmarkEnd w:id="719"/>
    </w:p>
    <w:p w14:paraId="53DA9B1B">
      <w:pPr>
        <w:pageBreakBefore w:val="0"/>
        <w:kinsoku/>
        <w:overflowPunct/>
        <w:autoSpaceDE w:val="0"/>
        <w:autoSpaceDN w:val="0"/>
        <w:bidi w:val="0"/>
        <w:adjustRightInd w:val="0"/>
        <w:spacing w:line="480" w:lineRule="exact"/>
        <w:ind w:left="660" w:leftChars="200" w:hanging="240" w:hanging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、项目管理人员应包括：技术</w:t>
      </w:r>
      <w:r>
        <w:rPr>
          <w:rFonts w:hint="default" w:ascii="宋体" w:hAnsi="宋体" w:eastAsia="宋体" w:cs="宋体"/>
          <w:color w:val="000000" w:themeColor="text1"/>
          <w:sz w:val="24"/>
          <w:szCs w:val="24"/>
          <w:highlight w:val="none"/>
          <w:lang w:val="en-US"/>
          <w14:textFill>
            <w14:solidFill>
              <w14:schemeClr w14:val="tx1"/>
            </w14:solidFill>
          </w14:textFill>
        </w:rPr>
        <w:t>负责人</w:t>
      </w:r>
      <w:r>
        <w:rPr>
          <w:rFonts w:hint="eastAsia" w:ascii="宋体" w:hAnsi="宋体" w:eastAsia="宋体" w:cs="宋体"/>
          <w:color w:val="000000" w:themeColor="text1"/>
          <w:sz w:val="24"/>
          <w:szCs w:val="24"/>
          <w:highlight w:val="none"/>
          <w:lang w:val="zh-CN"/>
          <w14:textFill>
            <w14:solidFill>
              <w14:schemeClr w14:val="tx1"/>
            </w14:solidFill>
          </w14:textFill>
        </w:rPr>
        <w:t>、质量管理员、施工管理员、材料管理员、安全管理员、资料员等和项目项目负责人需要配备的其他关键人员</w:t>
      </w:r>
    </w:p>
    <w:p w14:paraId="20C37683">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、上述人员简历介绍应包括姓名、职称等基本信息</w:t>
      </w:r>
    </w:p>
    <w:p w14:paraId="099104A7">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、项目管理人员简历中应付职称证书或上岗证书复印件</w:t>
      </w:r>
    </w:p>
    <w:p w14:paraId="130854FA">
      <w:pPr>
        <w:pageBreakBefore w:val="0"/>
        <w:widowControl/>
        <w:kinsoku/>
        <w:overflowPunct/>
        <w:bidi w:val="0"/>
        <w:spacing w:line="480" w:lineRule="exact"/>
        <w:ind w:firstLine="600"/>
        <w:jc w:val="center"/>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拟派项目作业人员一览表</w:t>
      </w:r>
    </w:p>
    <w:tbl>
      <w:tblPr>
        <w:tblStyle w:val="22"/>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2E51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6AFE93F9">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709" w:type="dxa"/>
            <w:vAlign w:val="center"/>
          </w:tcPr>
          <w:p w14:paraId="22CDDAEA">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875" w:type="dxa"/>
            <w:vAlign w:val="center"/>
          </w:tcPr>
          <w:p w14:paraId="16FA25AF">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建议职务</w:t>
            </w:r>
          </w:p>
        </w:tc>
        <w:tc>
          <w:tcPr>
            <w:tcW w:w="2475" w:type="dxa"/>
            <w:vAlign w:val="center"/>
          </w:tcPr>
          <w:p w14:paraId="1A80DE6A">
            <w:pPr>
              <w:pStyle w:val="10"/>
              <w:pageBreakBefore w:val="0"/>
              <w:kinsoku/>
              <w:overflowPunct/>
              <w:bidi w:val="0"/>
              <w:spacing w:line="480" w:lineRule="exact"/>
              <w:ind w:left="-128" w:leftChars="-61" w:firstLine="26" w:firstLineChars="11"/>
              <w:jc w:val="center"/>
              <w:textAlignment w:val="auto"/>
              <w:rPr>
                <w:rFonts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从事相关工作年限</w:t>
            </w:r>
          </w:p>
        </w:tc>
        <w:tc>
          <w:tcPr>
            <w:tcW w:w="3075" w:type="dxa"/>
            <w:vAlign w:val="center"/>
          </w:tcPr>
          <w:p w14:paraId="5B88DD96">
            <w:pPr>
              <w:pStyle w:val="10"/>
              <w:pageBreakBefore w:val="0"/>
              <w:kinsoku/>
              <w:overflowPunct/>
              <w:bidi w:val="0"/>
              <w:spacing w:line="480" w:lineRule="exact"/>
              <w:ind w:left="-128" w:leftChars="-61" w:firstLine="26" w:firstLineChars="11"/>
              <w:jc w:val="center"/>
              <w:textAlignment w:val="auto"/>
              <w:rPr>
                <w:rFonts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在本项目中负责的内容</w:t>
            </w:r>
          </w:p>
        </w:tc>
      </w:tr>
      <w:tr w14:paraId="5B63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081354D4">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5DEF5871">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56232FD4">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1D959EBC">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51F09DB9">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10FD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6A1B2324">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23325898">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5A71DA09">
            <w:pPr>
              <w:pStyle w:val="13"/>
              <w:pageBreakBefore w:val="0"/>
              <w:kinsoku/>
              <w:overflowPunct/>
              <w:bidi w:val="0"/>
              <w:spacing w:line="480" w:lineRule="exact"/>
              <w:ind w:left="-14" w:leftChars="-22" w:hanging="32" w:hangingChars="15"/>
              <w:jc w:val="center"/>
              <w:textAlignment w:val="auto"/>
              <w:rPr>
                <w:rFonts w:ascii="宋体" w:hAnsi="宋体" w:eastAsia="宋体" w:cs="宋体"/>
                <w:color w:val="000000" w:themeColor="text1"/>
                <w:spacing w:val="-12"/>
                <w:sz w:val="24"/>
                <w:szCs w:val="24"/>
                <w:highlight w:val="none"/>
                <w14:textFill>
                  <w14:solidFill>
                    <w14:schemeClr w14:val="tx1"/>
                  </w14:solidFill>
                </w14:textFill>
              </w:rPr>
            </w:pPr>
          </w:p>
        </w:tc>
        <w:tc>
          <w:tcPr>
            <w:tcW w:w="2475" w:type="dxa"/>
            <w:vAlign w:val="center"/>
          </w:tcPr>
          <w:p w14:paraId="330011C1">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05996772">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7710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5A68BFF">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58C6E6B1">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0EDBB74E">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79A67E0F">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74A88926">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08C1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0BBE678E">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60AFC305">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2FCD1BB5">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41A0702D">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424B41A2">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2FAB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6636E0E">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763A3941">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1DB1156A">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371D62FC">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76B52B57">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6729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2957EC77">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77BC42EA">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5BC6FF51">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67251A1A">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5A6CEE99">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4BD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E44058A">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41CD140B">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160FD405">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6A96F85A">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56A35C7E">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36AD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DCC3448">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19BE9B06">
            <w:pPr>
              <w:pStyle w:val="13"/>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49E72AB1">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130CA8B4">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2DE79C51">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bl>
    <w:p w14:paraId="02DD8F3E">
      <w:pPr>
        <w:pStyle w:val="10"/>
        <w:pageBreakBefore w:val="0"/>
        <w:kinsoku/>
        <w:overflowPunct/>
        <w:bidi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：（盖章）</w:t>
      </w:r>
    </w:p>
    <w:p w14:paraId="77E23EF0">
      <w:pPr>
        <w:pStyle w:val="10"/>
        <w:pageBreakBefore w:val="0"/>
        <w:kinsoku/>
        <w:wordWrap w:val="0"/>
        <w:overflowPunct/>
        <w:bidi w:val="0"/>
        <w:spacing w:line="480" w:lineRule="exact"/>
        <w:ind w:firstLine="0"/>
        <w:textAlignment w:val="auto"/>
        <w:rPr>
          <w:rFonts w:ascii="宋体" w:hAnsi="宋体" w:eastAsia="宋体" w:cs="宋体"/>
          <w:color w:val="000000" w:themeColor="text1"/>
          <w:sz w:val="24"/>
          <w:szCs w:val="24"/>
          <w:highlight w:val="none"/>
          <w14:textFill>
            <w14:solidFill>
              <w14:schemeClr w14:val="tx1"/>
            </w14:solidFill>
          </w14:textFill>
        </w:rPr>
      </w:pPr>
    </w:p>
    <w:p w14:paraId="6477A8D9">
      <w:pPr>
        <w:pStyle w:val="10"/>
        <w:pageBreakBefore w:val="0"/>
        <w:kinsoku/>
        <w:wordWrap w:val="0"/>
        <w:overflowPunct/>
        <w:bidi w:val="0"/>
        <w:spacing w:line="480" w:lineRule="exact"/>
        <w:ind w:firstLine="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法定代表人或委托代理人：（签字或盖章）                               </w:t>
      </w:r>
    </w:p>
    <w:p w14:paraId="70A1AD8B">
      <w:pPr>
        <w:pStyle w:val="10"/>
        <w:pageBreakBefore w:val="0"/>
        <w:kinsoku/>
        <w:wordWrap w:val="0"/>
        <w:overflowPunct/>
        <w:bidi w:val="0"/>
        <w:spacing w:line="480" w:lineRule="exact"/>
        <w:ind w:firstLine="511" w:firstLineChars="213"/>
        <w:jc w:val="right"/>
        <w:textAlignment w:val="auto"/>
        <w:rPr>
          <w:rFonts w:ascii="宋体" w:hAnsi="宋体" w:eastAsia="宋体" w:cs="宋体"/>
          <w:color w:val="000000" w:themeColor="text1"/>
          <w:sz w:val="24"/>
          <w:szCs w:val="24"/>
          <w:highlight w:val="none"/>
          <w14:textFill>
            <w14:solidFill>
              <w14:schemeClr w14:val="tx1"/>
            </w14:solidFill>
          </w14:textFill>
        </w:rPr>
      </w:pPr>
    </w:p>
    <w:p w14:paraId="1E6D7526">
      <w:pPr>
        <w:pStyle w:val="10"/>
        <w:pageBreakBefore w:val="0"/>
        <w:kinsoku/>
        <w:wordWrap w:val="0"/>
        <w:overflowPunct/>
        <w:bidi w:val="0"/>
        <w:spacing w:line="480" w:lineRule="exact"/>
        <w:ind w:firstLine="511" w:firstLineChars="213"/>
        <w:jc w:val="right"/>
        <w:textAlignment w:val="auto"/>
        <w:rPr>
          <w:rFonts w:ascii="宋体" w:hAnsi="宋体" w:eastAsia="宋体" w:cs="宋体"/>
          <w:color w:val="000000" w:themeColor="text1"/>
          <w:sz w:val="24"/>
          <w:szCs w:val="24"/>
          <w:highlight w:val="none"/>
          <w14:textFill>
            <w14:solidFill>
              <w14:schemeClr w14:val="tx1"/>
            </w14:solidFill>
          </w14:textFill>
        </w:rPr>
      </w:pPr>
    </w:p>
    <w:p w14:paraId="703C5496">
      <w:pPr>
        <w:pStyle w:val="10"/>
        <w:pageBreakBefore w:val="0"/>
        <w:kinsoku/>
        <w:wordWrap w:val="0"/>
        <w:overflowPunct/>
        <w:bidi w:val="0"/>
        <w:spacing w:line="480" w:lineRule="exact"/>
        <w:ind w:firstLine="511" w:firstLineChars="213"/>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2C5009D">
      <w:pPr>
        <w:pStyle w:val="10"/>
        <w:pageBreakBefore w:val="0"/>
        <w:kinsoku/>
        <w:wordWrap w:val="0"/>
        <w:overflowPunct/>
        <w:bidi w:val="0"/>
        <w:spacing w:line="480" w:lineRule="exact"/>
        <w:ind w:firstLine="511" w:firstLineChars="213"/>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7088E051">
      <w:pPr>
        <w:pStyle w:val="12"/>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bookmarkStart w:id="720" w:name="_Toc414108650"/>
    </w:p>
    <w:p w14:paraId="4C995F15">
      <w:pPr>
        <w:pStyle w:val="12"/>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72DDA6C9">
      <w:pPr>
        <w:pStyle w:val="12"/>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5A28A850">
      <w:pPr>
        <w:pStyle w:val="12"/>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68E5FDD0">
      <w:pPr>
        <w:pStyle w:val="7"/>
        <w:pageBreakBefore w:val="0"/>
        <w:kinsoku/>
        <w:overflowPunct/>
        <w:bidi w:val="0"/>
        <w:spacing w:line="480" w:lineRule="exact"/>
        <w:ind w:left="0" w:leftChars="0" w:firstLine="0" w:firstLineChars="0"/>
        <w:textAlignment w:val="auto"/>
        <w:rPr>
          <w:rFonts w:ascii="宋体" w:hAnsi="宋体"/>
          <w:color w:val="000000" w:themeColor="text1"/>
          <w:sz w:val="24"/>
          <w:highlight w:val="none"/>
          <w14:textFill>
            <w14:solidFill>
              <w14:schemeClr w14:val="tx1"/>
            </w14:solidFill>
          </w14:textFill>
        </w:rPr>
      </w:pPr>
    </w:p>
    <w:p w14:paraId="7652D3EC">
      <w:pPr>
        <w:pStyle w:val="12"/>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投标保证金（投标保证金收据复印件或保险保函复印件）</w:t>
      </w:r>
    </w:p>
    <w:p w14:paraId="37921FC6">
      <w:pPr>
        <w:pageBreakBefore w:val="0"/>
        <w:kinsoku/>
        <w:overflowPunct/>
        <w:bidi w:val="0"/>
        <w:spacing w:line="480" w:lineRule="exact"/>
        <w:ind w:firstLine="5880" w:firstLineChars="2450"/>
        <w:jc w:val="righ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保函编号：</w:t>
      </w:r>
      <w:r>
        <w:rPr>
          <w:rFonts w:hint="eastAsia" w:ascii="宋体" w:hAnsi="宋体"/>
          <w:color w:val="000000" w:themeColor="text1"/>
          <w:sz w:val="24"/>
          <w:szCs w:val="21"/>
          <w:highlight w:val="none"/>
          <w:u w:val="single"/>
          <w14:textFill>
            <w14:solidFill>
              <w14:schemeClr w14:val="tx1"/>
            </w14:solidFill>
          </w14:textFill>
        </w:rPr>
        <w:t xml:space="preserve">       </w:t>
      </w:r>
    </w:p>
    <w:p w14:paraId="233FFB70">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（招标人名称）：</w:t>
      </w:r>
    </w:p>
    <w:p w14:paraId="78C6D0FF">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鉴于</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（投标人名称）（以下简称</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投标人</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）参加你方</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（项目名称）</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标段的施工投标，</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（担保人名称）（以下简称</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我方</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）受该投标人委托，在此无条件地、不可撤销地保证：一旦收到你方提出的下述任何一种事实的书面通知，在7日内无条件地向你方支付总额不超过</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（投标保函额度）的任何你方要求的金额：</w:t>
      </w:r>
    </w:p>
    <w:p w14:paraId="01B42381">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1．投标人在规定的投标有效期内撤销或者修改其投标文件。</w:t>
      </w:r>
    </w:p>
    <w:p w14:paraId="636E4CE0">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2．投标人在收到中标通知书后无正当理由而未在规定期限内与贵方签署合同。</w:t>
      </w:r>
    </w:p>
    <w:p w14:paraId="354031EB">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3．投标人在收到中标通知书后未能在招标文件规定期限内向贵方提交招标文件所要求的履约担保。</w:t>
      </w:r>
    </w:p>
    <w:p w14:paraId="6B8A650E">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本保函在投标有效期内保持有效，除非你方提前终止或解除本保函。要求我方承担保证责任的通知应在投标有效期内送达我方。保函失效后请将本保函交投标人退回我方注销。</w:t>
      </w:r>
    </w:p>
    <w:p w14:paraId="693FBA54">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本保函项下所有权利和义务均受中华人民共和国法律管辖和制约。</w:t>
      </w:r>
    </w:p>
    <w:p w14:paraId="51601731">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担保人名称：</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（盖单位章）</w:t>
      </w:r>
    </w:p>
    <w:p w14:paraId="708D8085">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法定代表人或其委托代理人：</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（签字）</w:t>
      </w:r>
    </w:p>
    <w:p w14:paraId="1E9C4F7C">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地    址：</w:t>
      </w:r>
      <w:r>
        <w:rPr>
          <w:rFonts w:hint="eastAsia" w:ascii="宋体" w:hAnsi="宋体"/>
          <w:color w:val="000000" w:themeColor="text1"/>
          <w:sz w:val="24"/>
          <w:szCs w:val="21"/>
          <w:highlight w:val="none"/>
          <w:u w:val="single"/>
          <w14:textFill>
            <w14:solidFill>
              <w14:schemeClr w14:val="tx1"/>
            </w14:solidFill>
          </w14:textFill>
        </w:rPr>
        <w:t xml:space="preserve">                                            </w:t>
      </w:r>
    </w:p>
    <w:p w14:paraId="0DCE2E5A">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邮政编码：</w:t>
      </w:r>
      <w:r>
        <w:rPr>
          <w:rFonts w:hint="eastAsia" w:ascii="宋体" w:hAnsi="宋体"/>
          <w:color w:val="000000" w:themeColor="text1"/>
          <w:sz w:val="24"/>
          <w:szCs w:val="21"/>
          <w:highlight w:val="none"/>
          <w:u w:val="single"/>
          <w14:textFill>
            <w14:solidFill>
              <w14:schemeClr w14:val="tx1"/>
            </w14:solidFill>
          </w14:textFill>
        </w:rPr>
        <w:t xml:space="preserve">                                            </w:t>
      </w:r>
    </w:p>
    <w:p w14:paraId="21B69632">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电    话：</w:t>
      </w:r>
      <w:r>
        <w:rPr>
          <w:rFonts w:hint="eastAsia" w:ascii="宋体" w:hAnsi="宋体"/>
          <w:color w:val="000000" w:themeColor="text1"/>
          <w:sz w:val="24"/>
          <w:szCs w:val="21"/>
          <w:highlight w:val="none"/>
          <w:u w:val="single"/>
          <w14:textFill>
            <w14:solidFill>
              <w14:schemeClr w14:val="tx1"/>
            </w14:solidFill>
          </w14:textFill>
        </w:rPr>
        <w:t xml:space="preserve">                                            </w:t>
      </w:r>
    </w:p>
    <w:p w14:paraId="5F0BAAA3">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传    真：</w:t>
      </w:r>
      <w:r>
        <w:rPr>
          <w:rFonts w:hint="eastAsia" w:ascii="宋体" w:hAnsi="宋体"/>
          <w:color w:val="000000" w:themeColor="text1"/>
          <w:sz w:val="24"/>
          <w:szCs w:val="21"/>
          <w:highlight w:val="none"/>
          <w:u w:val="single"/>
          <w14:textFill>
            <w14:solidFill>
              <w14:schemeClr w14:val="tx1"/>
            </w14:solidFill>
          </w14:textFill>
        </w:rPr>
        <w:t xml:space="preserve">                                            </w:t>
      </w:r>
    </w:p>
    <w:p w14:paraId="71DC3880">
      <w:pPr>
        <w:pageBreakBefore w:val="0"/>
        <w:kinsoku/>
        <w:overflowPunct/>
        <w:bidi w:val="0"/>
        <w:spacing w:line="480" w:lineRule="exact"/>
        <w:jc w:val="righ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 xml:space="preserve">日      </w:t>
      </w:r>
    </w:p>
    <w:p w14:paraId="0668245D">
      <w:pPr>
        <w:pStyle w:val="4"/>
        <w:pageBreakBefore w:val="0"/>
        <w:kinsoku/>
        <w:overflowPunct/>
        <w:bidi w:val="0"/>
        <w:spacing w:line="480" w:lineRule="exact"/>
        <w:jc w:val="center"/>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备注：经过招标人事先的书面同意，投标人可采用招标人认可的投标保函格式，但相关内容不得背离招标文件约定的实质性内容。</w:t>
      </w:r>
    </w:p>
    <w:p w14:paraId="5D913B6B">
      <w:pPr>
        <w:pageBreakBefore w:val="0"/>
        <w:kinsoku/>
        <w:overflowPunct/>
        <w:bidi w:val="0"/>
        <w:spacing w:line="480" w:lineRule="exact"/>
        <w:textAlignment w:val="auto"/>
        <w:rPr>
          <w:color w:val="000000" w:themeColor="text1"/>
          <w:highlight w:val="none"/>
          <w14:textFill>
            <w14:solidFill>
              <w14:schemeClr w14:val="tx1"/>
            </w14:solidFill>
          </w14:textFill>
        </w:rPr>
      </w:pPr>
    </w:p>
    <w:p w14:paraId="739E462A">
      <w:pPr>
        <w:pStyle w:val="37"/>
        <w:pageBreakBefore w:val="0"/>
        <w:kinsoku/>
        <w:overflowPunct/>
        <w:bidi w:val="0"/>
        <w:spacing w:line="480" w:lineRule="exact"/>
        <w:ind w:firstLine="420"/>
        <w:textAlignment w:val="auto"/>
        <w:rPr>
          <w:color w:val="000000" w:themeColor="text1"/>
          <w:highlight w:val="none"/>
          <w14:textFill>
            <w14:solidFill>
              <w14:schemeClr w14:val="tx1"/>
            </w14:solidFill>
          </w14:textFill>
        </w:rPr>
      </w:pPr>
    </w:p>
    <w:p w14:paraId="564CB673">
      <w:pPr>
        <w:pStyle w:val="37"/>
        <w:pageBreakBefore w:val="0"/>
        <w:kinsoku/>
        <w:overflowPunct/>
        <w:bidi w:val="0"/>
        <w:spacing w:line="480" w:lineRule="exact"/>
        <w:ind w:firstLine="420"/>
        <w:textAlignment w:val="auto"/>
        <w:rPr>
          <w:color w:val="000000" w:themeColor="text1"/>
          <w:highlight w:val="none"/>
          <w14:textFill>
            <w14:solidFill>
              <w14:schemeClr w14:val="tx1"/>
            </w14:solidFill>
          </w14:textFill>
        </w:rPr>
      </w:pPr>
    </w:p>
    <w:p w14:paraId="39E86B36">
      <w:pP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br w:type="page"/>
      </w:r>
    </w:p>
    <w:p w14:paraId="25C91FBB">
      <w:pPr>
        <w:keepNext w:val="0"/>
        <w:keepLines w:val="0"/>
        <w:widowControl/>
        <w:suppressLineNumbers w:val="0"/>
        <w:spacing w:line="360" w:lineRule="auto"/>
        <w:jc w:val="cente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中小企业声明函（工程、服务）</w:t>
      </w:r>
    </w:p>
    <w:p w14:paraId="251454F7">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本公司（联合体）郑重声明，根据《政府采购促进中小 企业发展管理办法》（财库﹝2020﹞</w:t>
      </w: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2020</w:t>
      </w: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46 号）的规定，本公司（联合体）参加（</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单位名称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A10309F">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标的名称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）；承建（承接）企业为（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企业名称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），从业人员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人，营业收入为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万元，资产总额为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万元1，属于（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060CDAEE">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标的名称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）；承建（承接）企业为（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企业名称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），从业人员</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人，营业收入为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万元，资产总额为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4D3BC17B">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1E165634">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7D232FB7">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79DA9A99">
      <w:pPr>
        <w:keepNext w:val="0"/>
        <w:keepLines w:val="0"/>
        <w:widowControl/>
        <w:suppressLineNumbers w:val="0"/>
        <w:spacing w:line="360" w:lineRule="auto"/>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2E4C680">
      <w:pPr>
        <w:keepNext w:val="0"/>
        <w:keepLines w:val="0"/>
        <w:widowControl/>
        <w:suppressLineNumbers w:val="0"/>
        <w:spacing w:line="360" w:lineRule="auto"/>
        <w:ind w:firstLine="3600" w:firstLineChars="15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企业名称（盖章）： </w:t>
      </w:r>
    </w:p>
    <w:p w14:paraId="17DB1D87">
      <w:pPr>
        <w:keepNext w:val="0"/>
        <w:keepLines w:val="0"/>
        <w:widowControl/>
        <w:suppressLineNumbers w:val="0"/>
        <w:spacing w:line="360" w:lineRule="auto"/>
        <w:ind w:firstLine="3600" w:firstLineChars="15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日 期： </w:t>
      </w:r>
    </w:p>
    <w:p w14:paraId="38E78464">
      <w:pPr>
        <w:spacing w:line="360" w:lineRule="auto"/>
        <w:rPr>
          <w:rFonts w:hint="eastAsia"/>
          <w:color w:val="000000" w:themeColor="text1"/>
          <w:sz w:val="24"/>
          <w:szCs w:val="24"/>
          <w:highlight w:val="none"/>
          <w14:textFill>
            <w14:solidFill>
              <w14:schemeClr w14:val="tx1"/>
            </w14:solidFill>
          </w14:textFill>
        </w:rPr>
      </w:pPr>
    </w:p>
    <w:p w14:paraId="3C2776F2">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注1：从业人员、营业收入、资产总额填报上一年度数据，无上一年度数据的新成立企业可不填报。</w:t>
      </w:r>
    </w:p>
    <w:p w14:paraId="7D2C165D">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注2：请在本表中填写前附表中写明的中小企业行业类别。</w:t>
      </w:r>
    </w:p>
    <w:p w14:paraId="2D10A7F2">
      <w:pPr>
        <w:pStyle w:val="4"/>
        <w:numPr>
          <w:ilvl w:val="1"/>
          <w:numId w:val="0"/>
        </w:numPr>
        <w:spacing w:before="0" w:line="360" w:lineRule="auto"/>
        <w:jc w:val="center"/>
        <w:rPr>
          <w:rFonts w:ascii="仿宋_GB2312" w:eastAsia="仿宋_GB2312"/>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监狱企业</w:t>
      </w:r>
      <w:r>
        <w:rPr>
          <w:rFonts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声明函</w:t>
      </w:r>
      <w:r>
        <w:rPr>
          <w:b/>
          <w:bCs/>
          <w:color w:val="000000" w:themeColor="text1"/>
          <w:sz w:val="24"/>
          <w:szCs w:val="24"/>
          <w:highlight w:val="none"/>
          <w14:textFill>
            <w14:solidFill>
              <w14:schemeClr w14:val="tx1"/>
            </w14:solidFill>
          </w14:textFill>
        </w:rPr>
        <w:t>（如有）</w:t>
      </w:r>
    </w:p>
    <w:p w14:paraId="060D025E">
      <w:pPr>
        <w:widowControl/>
        <w:spacing w:before="100" w:beforeAutospacing="1" w:after="100" w:afterAutospacing="1"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本单位郑重声明，本单位在参加</w:t>
      </w:r>
      <w:r>
        <w:rPr>
          <w:rFonts w:hint="eastAsia" w:ascii="宋体" w:hAnsi="宋体" w:eastAsia="宋体" w:cs="宋体"/>
          <w:color w:val="000000" w:themeColor="text1"/>
          <w:kern w:val="0"/>
          <w:sz w:val="24"/>
          <w:szCs w:val="24"/>
          <w:highlight w:val="none"/>
          <w:u w:val="single"/>
          <w14:textFill>
            <w14:solidFill>
              <w14:schemeClr w14:val="tx1"/>
            </w14:solidFill>
          </w14:textFill>
        </w:rPr>
        <w:t>（采购人名称）</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u w:val="single"/>
          <w14:textFill>
            <w14:solidFill>
              <w14:schemeClr w14:val="tx1"/>
            </w14:solidFill>
          </w14:textFill>
        </w:rPr>
        <w:t>（招标项目名称）</w:t>
      </w:r>
      <w:r>
        <w:rPr>
          <w:rFonts w:hint="eastAsia" w:ascii="宋体" w:hAnsi="宋体" w:eastAsia="宋体" w:cs="宋体"/>
          <w:color w:val="000000" w:themeColor="text1"/>
          <w:kern w:val="0"/>
          <w:sz w:val="24"/>
          <w:szCs w:val="24"/>
          <w:highlight w:val="none"/>
          <w14:textFill>
            <w14:solidFill>
              <w14:schemeClr w14:val="tx1"/>
            </w14:solidFill>
          </w14:textFill>
        </w:rPr>
        <w:t>项目采购活动提供以下监狱企业制造的货物（或监狱企业承担的工程、或监狱企业承接的服务），具体情况如下：（按照实际情况勾选或填空）</w:t>
      </w:r>
    </w:p>
    <w:p w14:paraId="1BC805A5">
      <w:pPr>
        <w:widowControl/>
        <w:spacing w:before="100" w:beforeAutospacing="1" w:after="100" w:afterAutospacing="1" w:line="360" w:lineRule="auto"/>
        <w:ind w:firstLine="360" w:firstLineChars="15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（制造商名称）</w:t>
      </w:r>
      <w:r>
        <w:rPr>
          <w:rFonts w:hint="eastAsia" w:ascii="宋体" w:hAnsi="宋体" w:eastAsia="宋体" w:cs="宋体"/>
          <w:color w:val="000000" w:themeColor="text1"/>
          <w:kern w:val="0"/>
          <w:sz w:val="24"/>
          <w:szCs w:val="24"/>
          <w:highlight w:val="none"/>
          <w14:textFill>
            <w14:solidFill>
              <w14:schemeClr w14:val="tx1"/>
            </w14:solidFill>
          </w14:textFill>
        </w:rPr>
        <w:t>属于监狱企业，后附省级以上监狱管理局、戒毒管理局（含新疆生产建设兵团）出具的属于监狱企业的证明文件。</w:t>
      </w:r>
    </w:p>
    <w:p w14:paraId="10465AFD">
      <w:pPr>
        <w:widowControl/>
        <w:spacing w:before="100" w:beforeAutospacing="1" w:after="100" w:afterAutospacing="1"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u w:val="single"/>
          <w14:textFill>
            <w14:solidFill>
              <w14:schemeClr w14:val="tx1"/>
            </w14:solidFill>
          </w14:textFill>
        </w:rPr>
        <w:t>（制造商名称）</w:t>
      </w:r>
      <w:r>
        <w:rPr>
          <w:rFonts w:hint="eastAsia" w:ascii="宋体" w:hAnsi="宋体" w:eastAsia="宋体" w:cs="宋体"/>
          <w:color w:val="000000" w:themeColor="text1"/>
          <w:kern w:val="0"/>
          <w:sz w:val="24"/>
          <w:szCs w:val="24"/>
          <w:highlight w:val="none"/>
          <w14:textFill>
            <w14:solidFill>
              <w14:schemeClr w14:val="tx1"/>
            </w14:solidFill>
          </w14:textFill>
        </w:rPr>
        <w:t>属于监狱企业并作为联合体一方，其提供协议合同金额占到共同投标协议合同总金额的比例为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。后附省级以上监狱管理局、戒毒管理局（含新疆生产建设兵团）出具的属于监狱企业的证明文件。</w:t>
      </w:r>
    </w:p>
    <w:p w14:paraId="766A1087">
      <w:pPr>
        <w:widowControl/>
        <w:spacing w:before="100" w:beforeAutospacing="1" w:after="100" w:afterAutospacing="1"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u w:val="single"/>
          <w14:textFill>
            <w14:solidFill>
              <w14:schemeClr w14:val="tx1"/>
            </w14:solidFill>
          </w14:textFill>
        </w:rPr>
        <w:t>（制造商名称）</w:t>
      </w:r>
      <w:r>
        <w:rPr>
          <w:rFonts w:hint="eastAsia" w:ascii="宋体" w:hAnsi="宋体" w:eastAsia="宋体" w:cs="宋体"/>
          <w:color w:val="000000" w:themeColor="text1"/>
          <w:kern w:val="0"/>
          <w:sz w:val="24"/>
          <w:szCs w:val="24"/>
          <w:highlight w:val="none"/>
          <w14:textFill>
            <w14:solidFill>
              <w14:schemeClr w14:val="tx1"/>
            </w14:solidFill>
          </w14:textFill>
        </w:rPr>
        <w:t>属于监狱企业并作为分包方，其提供协议合同金额占到分包意向协议合同总金额的比例为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。后附省级以上监狱管理局、戒毒管理局（含新疆生产建设兵团）出具的属于监狱企业的证明文件。</w:t>
      </w:r>
    </w:p>
    <w:p w14:paraId="04123BE6">
      <w:pPr>
        <w:widowControl/>
        <w:spacing w:before="100" w:beforeAutospacing="1" w:after="100" w:afterAutospacing="1"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本单位对上述声明的真实性负责。如有虚假，将依法承担相应责任。</w:t>
      </w:r>
    </w:p>
    <w:p w14:paraId="3C1BF84F">
      <w:pPr>
        <w:widowControl/>
        <w:spacing w:before="100" w:beforeAutospacing="1" w:after="100" w:afterAutospacing="1"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59A70AE4">
      <w:pPr>
        <w:spacing w:line="360" w:lineRule="auto"/>
        <w:ind w:left="1080" w:leftChars="257" w:hanging="54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　</w:t>
      </w:r>
    </w:p>
    <w:p w14:paraId="39C6DF9D">
      <w:pPr>
        <w:spacing w:line="588" w:lineRule="exact"/>
        <w:ind w:firstLine="5280" w:firstLineChars="2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单位名称（盖章）：</w:t>
      </w:r>
    </w:p>
    <w:p w14:paraId="18A0E184">
      <w:pPr>
        <w:widowControl/>
        <w:spacing w:before="100" w:beforeAutospacing="1" w:after="100" w:afterAutospacing="1" w:line="330" w:lineRule="atLeast"/>
        <w:ind w:firstLine="5280" w:firstLineChars="2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日  期：</w:t>
      </w:r>
    </w:p>
    <w:p w14:paraId="40039098">
      <w:pPr>
        <w:spacing w:beforeLines="100" w:afterLines="100" w:line="360" w:lineRule="auto"/>
        <w:jc w:val="center"/>
        <w:rPr>
          <w:rFonts w:hint="eastAsia"/>
          <w:b/>
          <w:bCs/>
          <w:color w:val="000000" w:themeColor="text1"/>
          <w:sz w:val="28"/>
          <w:szCs w:val="28"/>
          <w:highlight w:val="none"/>
          <w:lang w:val="en-US" w:eastAsia="zh-CN"/>
          <w14:textFill>
            <w14:solidFill>
              <w14:schemeClr w14:val="tx1"/>
            </w14:solidFill>
          </w14:textFill>
        </w:rPr>
      </w:pPr>
    </w:p>
    <w:p w14:paraId="67E53011">
      <w:pPr>
        <w:pStyle w:val="4"/>
        <w:numPr>
          <w:ilvl w:val="1"/>
          <w:numId w:val="0"/>
        </w:numPr>
        <w:spacing w:before="0" w:line="360" w:lineRule="auto"/>
        <w:jc w:val="center"/>
        <w:rPr>
          <w:rFonts w:ascii="仿宋_GB2312" w:hAnsi="Arial" w:eastAsia="仿宋_GB2312"/>
          <w:color w:val="000000" w:themeColor="text1"/>
          <w:kern w:val="0"/>
          <w:sz w:val="24"/>
          <w:szCs w:val="20"/>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残疾人福利性单位声明函</w:t>
      </w:r>
      <w:r>
        <w:rPr>
          <w:rFonts w:hint="eastAsia" w:ascii="Times New Roman" w:hAnsi="Times New Roman" w:cs="Times New Roman"/>
          <w:b/>
          <w:bCs/>
          <w:color w:val="000000" w:themeColor="text1"/>
          <w:sz w:val="24"/>
          <w:szCs w:val="24"/>
          <w:highlight w:val="none"/>
          <w:lang w:val="en-US" w:eastAsia="zh-CN" w:bidi="ar-SA"/>
          <w14:textFill>
            <w14:solidFill>
              <w14:schemeClr w14:val="tx1"/>
            </w14:solidFill>
          </w14:textFill>
        </w:rPr>
        <w:t>（如有）</w:t>
      </w:r>
    </w:p>
    <w:p w14:paraId="779B6086">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C9FB40">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本单位对上述声明的真实性负责。如有虚假，将依法承担相应责任。</w:t>
      </w:r>
    </w:p>
    <w:p w14:paraId="3790BBDE">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p>
    <w:p w14:paraId="5E2A8D46">
      <w:pPr>
        <w:spacing w:line="588" w:lineRule="exact"/>
        <w:ind w:firstLine="624" w:firstLineChars="200"/>
        <w:rPr>
          <w:rFonts w:hint="eastAsia" w:ascii="仿宋_GB2312" w:eastAsia="仿宋_GB2312"/>
          <w:color w:val="000000" w:themeColor="text1"/>
          <w:spacing w:val="6"/>
          <w:sz w:val="30"/>
          <w:szCs w:val="30"/>
          <w:highlight w:val="none"/>
          <w14:textFill>
            <w14:solidFill>
              <w14:schemeClr w14:val="tx1"/>
            </w14:solidFill>
          </w14:textFill>
        </w:rPr>
      </w:pPr>
    </w:p>
    <w:p w14:paraId="211FA4D9">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仿宋_GB2312" w:hAnsi="仿宋" w:eastAsia="仿宋_GB2312"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单位名称（盖章）：</w:t>
      </w:r>
    </w:p>
    <w:p w14:paraId="4F46E81F">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  期：</w:t>
      </w:r>
    </w:p>
    <w:p w14:paraId="7EE83602">
      <w:pPr>
        <w:rPr>
          <w:rFonts w:hint="eastAsia" w:ascii="宋体" w:hAnsi="宋体" w:eastAsia="宋体" w:cs="宋体"/>
          <w:color w:val="000000" w:themeColor="text1"/>
          <w:highlight w:val="none"/>
          <w:lang w:val="zh-CN"/>
          <w14:textFill>
            <w14:solidFill>
              <w14:schemeClr w14:val="tx1"/>
            </w14:solidFill>
          </w14:textFill>
        </w:rPr>
      </w:pPr>
    </w:p>
    <w:p w14:paraId="73B4F8A0">
      <w:pP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br w:type="page"/>
      </w:r>
    </w:p>
    <w:p w14:paraId="67DB8DEF">
      <w:pPr>
        <w:pStyle w:val="4"/>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磋商文件要求的其他证明材料</w:t>
      </w:r>
      <w:bookmarkEnd w:id="720"/>
      <w:r>
        <w:rPr>
          <w:rFonts w:hint="eastAsia" w:ascii="宋体" w:hAnsi="宋体" w:eastAsia="宋体" w:cs="宋体"/>
          <w:color w:val="000000" w:themeColor="text1"/>
          <w:highlight w:val="none"/>
          <w:lang w:val="zh-CN"/>
          <w14:textFill>
            <w14:solidFill>
              <w14:schemeClr w14:val="tx1"/>
            </w14:solidFill>
          </w14:textFill>
        </w:rPr>
        <w:br w:type="page"/>
      </w:r>
      <w:r>
        <w:rPr>
          <w:rFonts w:hint="eastAsia" w:ascii="宋体" w:hAnsi="宋体" w:eastAsia="宋体" w:cs="宋体"/>
          <w:color w:val="000000" w:themeColor="text1"/>
          <w:highlight w:val="none"/>
          <w:lang w:val="zh-CN"/>
          <w14:textFill>
            <w14:solidFill>
              <w14:schemeClr w14:val="tx1"/>
            </w14:solidFill>
          </w14:textFill>
        </w:rPr>
        <w:t>技</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术</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标</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格</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式</w:t>
      </w:r>
    </w:p>
    <w:p w14:paraId="2194241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技术标封面示例</w:t>
      </w:r>
    </w:p>
    <w:p w14:paraId="1999F7BB">
      <w:pPr>
        <w:pageBreakBefore w:val="0"/>
        <w:kinsoku/>
        <w:overflowPunct/>
        <w:autoSpaceDE w:val="0"/>
        <w:autoSpaceDN w:val="0"/>
        <w:bidi w:val="0"/>
        <w:adjustRightInd w:val="0"/>
        <w:spacing w:line="480" w:lineRule="exact"/>
        <w:ind w:firstLine="5760" w:firstLineChars="2400"/>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正本/副本</w:t>
      </w:r>
    </w:p>
    <w:p w14:paraId="2C1F56C8">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46103126">
      <w:pPr>
        <w:pageBreakBefore w:val="0"/>
        <w:kinsoku/>
        <w:overflowPunct/>
        <w:bidi w:val="0"/>
        <w:spacing w:line="480" w:lineRule="exact"/>
        <w:jc w:val="center"/>
        <w:textAlignment w:val="auto"/>
        <w:rPr>
          <w:rFonts w:ascii="宋体" w:hAnsi="宋体" w:eastAsia="宋体" w:cs="宋体"/>
          <w:b/>
          <w:bCs/>
          <w:color w:val="000000" w:themeColor="text1"/>
          <w:highlight w:val="none"/>
          <w:lang w:val="zh-CN"/>
          <w14:textFill>
            <w14:solidFill>
              <w14:schemeClr w14:val="tx1"/>
            </w14:solidFill>
          </w14:textFill>
        </w:rPr>
      </w:pPr>
    </w:p>
    <w:p w14:paraId="23AD0C67">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550F852E">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3143B811">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010F5CE8">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120DF9E6">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6B90F6D5">
      <w:pPr>
        <w:pageBreakBefore w:val="0"/>
        <w:kinsoku/>
        <w:overflowPunct/>
        <w:bidi w:val="0"/>
        <w:spacing w:line="480" w:lineRule="exact"/>
        <w:jc w:val="center"/>
        <w:textAlignment w:val="auto"/>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响应文件技术标</w:t>
      </w:r>
    </w:p>
    <w:p w14:paraId="0024893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4F906B2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00F545A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16E4D1E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58CC3B">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7DF22C19">
      <w:pPr>
        <w:pStyle w:val="21"/>
        <w:pageBreakBefore w:val="0"/>
        <w:kinsoku/>
        <w:overflowPunct/>
        <w:bidi w:val="0"/>
        <w:spacing w:line="48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p>
    <w:p w14:paraId="6A0A027C">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639B446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14:paraId="3F0959BB">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p>
    <w:p w14:paraId="4977958F">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名称：（盖章）</w:t>
      </w:r>
    </w:p>
    <w:p w14:paraId="3F473B12">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法定代表人或被授权代理人：（盖章）</w:t>
      </w:r>
    </w:p>
    <w:p w14:paraId="6BDE165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p w14:paraId="30AA2358">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028B5B7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1FB7865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59484260">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2F1727ED">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highlight w:val="none"/>
          <w:lang w:val="zh-CN"/>
          <w14:textFill>
            <w14:solidFill>
              <w14:schemeClr w14:val="tx1"/>
            </w14:solidFill>
          </w14:textFill>
        </w:rPr>
      </w:pPr>
    </w:p>
    <w:p w14:paraId="60A61EA7">
      <w:pPr>
        <w:pageBreakBefore w:val="0"/>
        <w:kinsoku/>
        <w:overflowPunct/>
        <w:bidi w:val="0"/>
        <w:spacing w:line="480" w:lineRule="exact"/>
        <w:jc w:val="center"/>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目 录</w:t>
      </w:r>
    </w:p>
    <w:p w14:paraId="335E9226">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bookmarkStart w:id="721" w:name="_Toc414108653"/>
      <w:r>
        <w:rPr>
          <w:rFonts w:hint="eastAsia" w:ascii="宋体" w:hAnsi="宋体" w:eastAsia="宋体" w:cs="宋体"/>
          <w:color w:val="000000" w:themeColor="text1"/>
          <w:sz w:val="24"/>
          <w:highlight w:val="none"/>
          <w14:textFill>
            <w14:solidFill>
              <w14:schemeClr w14:val="tx1"/>
            </w14:solidFill>
          </w14:textFill>
        </w:rPr>
        <w:t>1、工程概况及特点</w:t>
      </w:r>
    </w:p>
    <w:p w14:paraId="11D66F55">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2、施工准备计划</w:t>
      </w:r>
    </w:p>
    <w:p w14:paraId="560A60FB">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3、施工方案</w:t>
      </w:r>
    </w:p>
    <w:p w14:paraId="3F97BE13">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4、施工进度计划</w:t>
      </w:r>
    </w:p>
    <w:p w14:paraId="4B18A839">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5、施工平面图</w:t>
      </w:r>
    </w:p>
    <w:p w14:paraId="1D1BD0C1">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6、劳动力用量计划</w:t>
      </w:r>
    </w:p>
    <w:p w14:paraId="272C0BD6">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7、材料用量计划</w:t>
      </w:r>
    </w:p>
    <w:p w14:paraId="61516E43">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8、机械设备用量计划</w:t>
      </w:r>
    </w:p>
    <w:p w14:paraId="1247048F">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9、质量保证措施和体系</w:t>
      </w:r>
    </w:p>
    <w:p w14:paraId="0F1B4CAD">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10、工期保证措施和体系</w:t>
      </w:r>
    </w:p>
    <w:p w14:paraId="28428593">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11、安全保证措施和体系</w:t>
      </w:r>
    </w:p>
    <w:p w14:paraId="3FC3BE69">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12、现场文明施工措施</w:t>
      </w:r>
    </w:p>
    <w:p w14:paraId="30E361A4">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13、承诺</w:t>
      </w:r>
    </w:p>
    <w:p w14:paraId="5FAC2119">
      <w:pPr>
        <w:pageBreakBefore w:val="0"/>
        <w:kinsoku/>
        <w:overflowPunct/>
        <w:topLinePunct/>
        <w:bidi w:val="0"/>
        <w:spacing w:line="480" w:lineRule="exact"/>
        <w:textAlignment w:val="auto"/>
        <w:rPr>
          <w:rFonts w:ascii="宋体" w:hAnsi="宋体" w:eastAsia="宋体" w:cs="宋体"/>
          <w:color w:val="000000" w:themeColor="text1"/>
          <w:kern w:val="0"/>
          <w:sz w:val="24"/>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kern w:val="0"/>
          <w:sz w:val="24"/>
          <w:highlight w:val="none"/>
          <w14:textFill>
            <w14:solidFill>
              <w14:schemeClr w14:val="tx1"/>
            </w14:solidFill>
          </w14:textFill>
        </w:rPr>
        <w:t>投标文件须按技术标格式目录顺序编写</w:t>
      </w:r>
    </w:p>
    <w:p w14:paraId="656D66E4">
      <w:pPr>
        <w:pageBreakBefore w:val="0"/>
        <w:kinsoku/>
        <w:overflowPunct/>
        <w:topLine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4CA84DF0">
      <w:pPr>
        <w:pStyle w:val="2"/>
        <w:pageBreakBefore w:val="0"/>
        <w:kinsoku/>
        <w:overflowPunct/>
        <w:bidi w:val="0"/>
        <w:spacing w:line="480" w:lineRule="exact"/>
        <w:textAlignment w:val="auto"/>
        <w:rPr>
          <w:rFonts w:ascii="宋体" w:hAnsi="宋体" w:eastAsia="宋体" w:cs="宋体"/>
          <w:color w:val="000000" w:themeColor="text1"/>
          <w:sz w:val="21"/>
          <w:highlight w:val="none"/>
          <w:lang w:val="zh-CN"/>
          <w14:textFill>
            <w14:solidFill>
              <w14:schemeClr w14:val="tx1"/>
            </w14:solidFill>
          </w14:textFill>
        </w:rPr>
      </w:pPr>
    </w:p>
    <w:p w14:paraId="25FFC43F">
      <w:pPr>
        <w:pageBreakBefore w:val="0"/>
        <w:kinsoku/>
        <w:overflow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0621DA6E">
      <w:pPr>
        <w:pStyle w:val="2"/>
        <w:pageBreakBefore w:val="0"/>
        <w:kinsoku/>
        <w:overflowPunct/>
        <w:bidi w:val="0"/>
        <w:spacing w:line="480" w:lineRule="exact"/>
        <w:textAlignment w:val="auto"/>
        <w:rPr>
          <w:rFonts w:ascii="宋体" w:hAnsi="宋体" w:eastAsia="宋体" w:cs="宋体"/>
          <w:color w:val="000000" w:themeColor="text1"/>
          <w:sz w:val="21"/>
          <w:highlight w:val="none"/>
          <w:lang w:val="zh-CN"/>
          <w14:textFill>
            <w14:solidFill>
              <w14:schemeClr w14:val="tx1"/>
            </w14:solidFill>
          </w14:textFill>
        </w:rPr>
      </w:pPr>
    </w:p>
    <w:p w14:paraId="6CADCB28">
      <w:pPr>
        <w:pageBreakBefore w:val="0"/>
        <w:kinsoku/>
        <w:overflow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19517762">
      <w:pPr>
        <w:pStyle w:val="16"/>
        <w:rPr>
          <w:rFonts w:ascii="宋体" w:hAnsi="宋体" w:eastAsia="宋体" w:cs="宋体"/>
          <w:b/>
          <w:color w:val="000000" w:themeColor="text1"/>
          <w:highlight w:val="none"/>
          <w:lang w:val="zh-CN"/>
          <w14:textFill>
            <w14:solidFill>
              <w14:schemeClr w14:val="tx1"/>
            </w14:solidFill>
          </w14:textFill>
        </w:rPr>
      </w:pPr>
    </w:p>
    <w:p w14:paraId="00370C19">
      <w:pPr>
        <w:pStyle w:val="16"/>
        <w:rPr>
          <w:rFonts w:ascii="宋体" w:hAnsi="宋体" w:eastAsia="宋体" w:cs="宋体"/>
          <w:b/>
          <w:color w:val="000000" w:themeColor="text1"/>
          <w:highlight w:val="none"/>
          <w:lang w:val="zh-CN"/>
          <w14:textFill>
            <w14:solidFill>
              <w14:schemeClr w14:val="tx1"/>
            </w14:solidFill>
          </w14:textFill>
        </w:rPr>
      </w:pPr>
    </w:p>
    <w:p w14:paraId="3A9EF18B">
      <w:pPr>
        <w:pStyle w:val="16"/>
        <w:rPr>
          <w:rFonts w:ascii="宋体" w:hAnsi="宋体" w:eastAsia="宋体" w:cs="宋体"/>
          <w:b/>
          <w:color w:val="000000" w:themeColor="text1"/>
          <w:highlight w:val="none"/>
          <w:lang w:val="zh-CN"/>
          <w14:textFill>
            <w14:solidFill>
              <w14:schemeClr w14:val="tx1"/>
            </w14:solidFill>
          </w14:textFill>
        </w:rPr>
      </w:pPr>
    </w:p>
    <w:p w14:paraId="3A07A189">
      <w:pPr>
        <w:pStyle w:val="16"/>
        <w:rPr>
          <w:rFonts w:ascii="宋体" w:hAnsi="宋体" w:eastAsia="宋体" w:cs="宋体"/>
          <w:b/>
          <w:color w:val="000000" w:themeColor="text1"/>
          <w:highlight w:val="none"/>
          <w:lang w:val="zh-CN"/>
          <w14:textFill>
            <w14:solidFill>
              <w14:schemeClr w14:val="tx1"/>
            </w14:solidFill>
          </w14:textFill>
        </w:rPr>
      </w:pPr>
    </w:p>
    <w:p w14:paraId="106461B6">
      <w:pPr>
        <w:pageBreakBefore w:val="0"/>
        <w:kinsoku/>
        <w:overflow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17F9949F">
      <w:pPr>
        <w:pStyle w:val="4"/>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经</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济</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标</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格</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式</w:t>
      </w:r>
      <w:bookmarkEnd w:id="721"/>
    </w:p>
    <w:p w14:paraId="748CFFF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经济标封面示例                                  </w:t>
      </w:r>
    </w:p>
    <w:p w14:paraId="4F01532A">
      <w:pPr>
        <w:pageBreakBefore w:val="0"/>
        <w:kinsoku/>
        <w:overflowPunct/>
        <w:autoSpaceDE w:val="0"/>
        <w:autoSpaceDN w:val="0"/>
        <w:bidi w:val="0"/>
        <w:adjustRightInd w:val="0"/>
        <w:spacing w:line="480" w:lineRule="exact"/>
        <w:ind w:firstLine="6480" w:firstLineChars="2700"/>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正本/副本</w:t>
      </w:r>
    </w:p>
    <w:p w14:paraId="574DB87D">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57EDBB9E">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43DC8168">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280E749F">
      <w:pPr>
        <w:pStyle w:val="16"/>
        <w:rPr>
          <w:rFonts w:ascii="宋体" w:hAnsi="宋体" w:eastAsia="宋体" w:cs="宋体"/>
          <w:color w:val="000000" w:themeColor="text1"/>
          <w:highlight w:val="none"/>
          <w14:textFill>
            <w14:solidFill>
              <w14:schemeClr w14:val="tx1"/>
            </w14:solidFill>
          </w14:textFill>
        </w:rPr>
      </w:pPr>
    </w:p>
    <w:p w14:paraId="4F5039ED">
      <w:pPr>
        <w:pStyle w:val="16"/>
        <w:rPr>
          <w:rFonts w:ascii="宋体" w:hAnsi="宋体" w:eastAsia="宋体" w:cs="宋体"/>
          <w:color w:val="000000" w:themeColor="text1"/>
          <w:highlight w:val="none"/>
          <w14:textFill>
            <w14:solidFill>
              <w14:schemeClr w14:val="tx1"/>
            </w14:solidFill>
          </w14:textFill>
        </w:rPr>
      </w:pPr>
    </w:p>
    <w:p w14:paraId="49FA9B42">
      <w:pPr>
        <w:pStyle w:val="16"/>
        <w:rPr>
          <w:rFonts w:ascii="宋体" w:hAnsi="宋体" w:eastAsia="宋体" w:cs="宋体"/>
          <w:color w:val="000000" w:themeColor="text1"/>
          <w:highlight w:val="none"/>
          <w14:textFill>
            <w14:solidFill>
              <w14:schemeClr w14:val="tx1"/>
            </w14:solidFill>
          </w14:textFill>
        </w:rPr>
      </w:pPr>
    </w:p>
    <w:p w14:paraId="0D829133">
      <w:pPr>
        <w:pStyle w:val="16"/>
        <w:rPr>
          <w:rFonts w:ascii="宋体" w:hAnsi="宋体" w:eastAsia="宋体" w:cs="宋体"/>
          <w:color w:val="000000" w:themeColor="text1"/>
          <w:highlight w:val="none"/>
          <w14:textFill>
            <w14:solidFill>
              <w14:schemeClr w14:val="tx1"/>
            </w14:solidFill>
          </w14:textFill>
        </w:rPr>
      </w:pPr>
    </w:p>
    <w:p w14:paraId="3973BB8B">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36732269">
      <w:pPr>
        <w:pageBreakBefore w:val="0"/>
        <w:kinsoku/>
        <w:overflowPunct/>
        <w:bidi w:val="0"/>
        <w:spacing w:line="480" w:lineRule="exact"/>
        <w:jc w:val="center"/>
        <w:textAlignment w:val="auto"/>
        <w:rPr>
          <w:rFonts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响应文件经济标</w:t>
      </w:r>
    </w:p>
    <w:p w14:paraId="2C21F9D5">
      <w:pPr>
        <w:pageBreakBefore w:val="0"/>
        <w:kinsoku/>
        <w:overflowPunct/>
        <w:bidi w:val="0"/>
        <w:spacing w:line="480" w:lineRule="exact"/>
        <w:textAlignment w:val="auto"/>
        <w:rPr>
          <w:rFonts w:ascii="宋体" w:hAnsi="宋体" w:eastAsia="宋体" w:cs="宋体"/>
          <w:color w:val="000000" w:themeColor="text1"/>
          <w:sz w:val="28"/>
          <w:szCs w:val="28"/>
          <w:highlight w:val="none"/>
          <w14:textFill>
            <w14:solidFill>
              <w14:schemeClr w14:val="tx1"/>
            </w14:solidFill>
          </w14:textFill>
        </w:rPr>
      </w:pPr>
    </w:p>
    <w:p w14:paraId="79B8E7BA">
      <w:pPr>
        <w:pStyle w:val="43"/>
        <w:pageBreakBefore w:val="0"/>
        <w:kinsoku/>
        <w:overflowPunct/>
        <w:bidi w:val="0"/>
        <w:spacing w:line="480" w:lineRule="exact"/>
        <w:ind w:firstLine="0" w:firstLineChars="0"/>
        <w:textAlignment w:val="auto"/>
        <w:rPr>
          <w:rFonts w:ascii="宋体" w:hAnsi="宋体" w:eastAsia="宋体" w:cs="宋体"/>
          <w:color w:val="000000" w:themeColor="text1"/>
          <w:sz w:val="28"/>
          <w:szCs w:val="28"/>
          <w:highlight w:val="none"/>
          <w14:textFill>
            <w14:solidFill>
              <w14:schemeClr w14:val="tx1"/>
            </w14:solidFill>
          </w14:textFill>
        </w:rPr>
      </w:pPr>
    </w:p>
    <w:p w14:paraId="3D31EFAF">
      <w:pPr>
        <w:pStyle w:val="43"/>
        <w:pageBreakBefore w:val="0"/>
        <w:kinsoku/>
        <w:overflowPunct/>
        <w:bidi w:val="0"/>
        <w:spacing w:line="480" w:lineRule="exact"/>
        <w:ind w:firstLine="0" w:firstLineChars="0"/>
        <w:textAlignment w:val="auto"/>
        <w:rPr>
          <w:rFonts w:ascii="宋体" w:hAnsi="宋体" w:eastAsia="宋体" w:cs="宋体"/>
          <w:color w:val="000000" w:themeColor="text1"/>
          <w:sz w:val="28"/>
          <w:szCs w:val="28"/>
          <w:highlight w:val="none"/>
          <w14:textFill>
            <w14:solidFill>
              <w14:schemeClr w14:val="tx1"/>
            </w14:solidFill>
          </w14:textFill>
        </w:rPr>
      </w:pPr>
    </w:p>
    <w:p w14:paraId="1122AA4D">
      <w:pPr>
        <w:pStyle w:val="43"/>
        <w:pageBreakBefore w:val="0"/>
        <w:kinsoku/>
        <w:overflowPunct/>
        <w:bidi w:val="0"/>
        <w:spacing w:line="480" w:lineRule="exact"/>
        <w:ind w:firstLine="0" w:firstLineChars="0"/>
        <w:textAlignment w:val="auto"/>
        <w:rPr>
          <w:rFonts w:ascii="宋体" w:hAnsi="宋体" w:eastAsia="宋体" w:cs="宋体"/>
          <w:color w:val="000000" w:themeColor="text1"/>
          <w:sz w:val="28"/>
          <w:szCs w:val="28"/>
          <w:highlight w:val="none"/>
          <w14:textFill>
            <w14:solidFill>
              <w14:schemeClr w14:val="tx1"/>
            </w14:solidFill>
          </w14:textFill>
        </w:rPr>
      </w:pPr>
    </w:p>
    <w:p w14:paraId="14FD4273">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140393D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14:paraId="726081C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p>
    <w:p w14:paraId="33D9AF75">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名称：（盖章）</w:t>
      </w:r>
    </w:p>
    <w:p w14:paraId="36F3B970">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法定代表人或被授权代理人：（盖章）</w:t>
      </w:r>
    </w:p>
    <w:p w14:paraId="2D317B4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p w14:paraId="306FFCE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52CA637B">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1C03ECFC">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51201233">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4A052030">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highlight w:val="none"/>
          <w:lang w:val="zh-CN"/>
          <w14:textFill>
            <w14:solidFill>
              <w14:schemeClr w14:val="tx1"/>
            </w14:solidFill>
          </w14:textFill>
        </w:rPr>
      </w:pPr>
    </w:p>
    <w:p w14:paraId="772E7EF8">
      <w:pPr>
        <w:pStyle w:val="43"/>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经济标目录</w:t>
      </w:r>
    </w:p>
    <w:p w14:paraId="1F266FF3">
      <w:pPr>
        <w:pStyle w:val="43"/>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p>
    <w:p w14:paraId="56F52C8A">
      <w:pPr>
        <w:pStyle w:val="43"/>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p>
    <w:p w14:paraId="7CFC398C">
      <w:pPr>
        <w:pageBreakBefore w:val="0"/>
        <w:kinsoku/>
        <w:overflowPunct/>
        <w:bidi w:val="0"/>
        <w:spacing w:line="48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注：以工程量清单为依据编制</w:t>
      </w:r>
    </w:p>
    <w:p w14:paraId="51131E13">
      <w:pPr>
        <w:pStyle w:val="43"/>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投 标 总 价</w:t>
      </w:r>
    </w:p>
    <w:p w14:paraId="74C1CB41">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97BF2F6">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     标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FB7754">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   程  名  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D871DA5">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投标总价（小写）：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8956319">
      <w:pPr>
        <w:pStyle w:val="43"/>
        <w:pageBreakBefore w:val="0"/>
        <w:kinsoku/>
        <w:overflowPunct/>
        <w:bidi w:val="0"/>
        <w:spacing w:line="480" w:lineRule="exact"/>
        <w:ind w:left="84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（大写）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2855F1B">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2BDC920">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    标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CBE5C9">
      <w:pPr>
        <w:pageBreakBefore w:val="0"/>
        <w:kinsoku/>
        <w:overflowPunct/>
        <w:bidi w:val="0"/>
        <w:spacing w:line="480" w:lineRule="exact"/>
        <w:ind w:firstLine="600" w:firstLineChars="250"/>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（单位盖章）</w:t>
      </w:r>
    </w:p>
    <w:p w14:paraId="13460710">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27C6D63">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法定代表人或其授权人：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819DF39">
      <w:pPr>
        <w:pStyle w:val="43"/>
        <w:pageBreakBefore w:val="0"/>
        <w:kinsoku/>
        <w:overflowPunct/>
        <w:bidi w:val="0"/>
        <w:spacing w:line="480" w:lineRule="exact"/>
        <w:ind w:firstLine="600" w:firstLineChars="25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3964D32">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A31A804">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制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90D5969">
      <w:pPr>
        <w:pStyle w:val="43"/>
        <w:pageBreakBefore w:val="0"/>
        <w:kinsoku/>
        <w:overflowPunct/>
        <w:bidi w:val="0"/>
        <w:spacing w:line="480" w:lineRule="exact"/>
        <w:ind w:firstLine="600" w:firstLineChars="25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（造价人员签字并盖专用章）</w:t>
      </w:r>
    </w:p>
    <w:p w14:paraId="261AEE54">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C5C1B72">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E09149E">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22B37D">
      <w:pPr>
        <w:pStyle w:val="43"/>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编 制 时 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B698AFC">
      <w:pPr>
        <w:pageBreakBefore w:val="0"/>
        <w:kinsoku/>
        <w:overflowPunct/>
        <w:autoSpaceDE w:val="0"/>
        <w:autoSpaceDN w:val="0"/>
        <w:bidi w:val="0"/>
        <w:adjustRightInd w:val="0"/>
        <w:spacing w:line="480" w:lineRule="exact"/>
        <w:ind w:firstLine="3213" w:firstLineChars="1000"/>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15ADDD8E">
      <w:pPr>
        <w:pageBreakBefore w:val="0"/>
        <w:kinsoku/>
        <w:overflowPunct/>
        <w:autoSpaceDE w:val="0"/>
        <w:autoSpaceDN w:val="0"/>
        <w:bidi w:val="0"/>
        <w:adjustRightInd w:val="0"/>
        <w:spacing w:line="480" w:lineRule="exact"/>
        <w:ind w:firstLine="964" w:firstLineChars="300"/>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6D841AA0">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44"/>
          <w:szCs w:val="44"/>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w:t>
      </w:r>
      <w:r>
        <w:rPr>
          <w:rFonts w:hint="eastAsia" w:ascii="宋体" w:hAnsi="宋体" w:cs="宋体"/>
          <w:b/>
          <w:bCs/>
          <w:color w:val="000000" w:themeColor="text1"/>
          <w:sz w:val="32"/>
          <w:szCs w:val="32"/>
          <w:highlight w:val="none"/>
          <w:lang w:eastAsia="zh-CN"/>
          <w14:textFill>
            <w14:solidFill>
              <w14:schemeClr w14:val="tx1"/>
            </w14:solidFill>
          </w14:textFill>
        </w:rPr>
        <w:t>部分</w:t>
      </w:r>
      <w:r>
        <w:rPr>
          <w:rFonts w:hint="eastAsia" w:ascii="宋体" w:hAnsi="宋体" w:eastAsia="宋体" w:cs="宋体"/>
          <w:b/>
          <w:bCs/>
          <w:color w:val="000000" w:themeColor="text1"/>
          <w:sz w:val="32"/>
          <w:szCs w:val="32"/>
          <w:highlight w:val="none"/>
          <w14:textFill>
            <w14:solidFill>
              <w14:schemeClr w14:val="tx1"/>
            </w14:solidFill>
          </w14:textFill>
        </w:rPr>
        <w:t xml:space="preserve">  补充条款</w:t>
      </w:r>
    </w:p>
    <w:p w14:paraId="5EE52F61">
      <w:pPr>
        <w:pStyle w:val="2"/>
        <w:pageBreakBefore w:val="0"/>
        <w:kinsoku/>
        <w:overflowPunct/>
        <w:bidi w:val="0"/>
        <w:spacing w:line="480" w:lineRule="exact"/>
        <w:textAlignment w:val="auto"/>
        <w:rPr>
          <w:color w:val="000000" w:themeColor="text1"/>
          <w:sz w:val="24"/>
          <w:szCs w:val="24"/>
          <w:highlight w:val="none"/>
          <w14:textFill>
            <w14:solidFill>
              <w14:schemeClr w14:val="tx1"/>
            </w14:solidFill>
          </w14:textFill>
        </w:rPr>
      </w:pPr>
      <w:bookmarkStart w:id="722" w:name="_Toc13390"/>
      <w:bookmarkStart w:id="723" w:name="_Toc2229"/>
      <w:bookmarkStart w:id="724" w:name="_Toc28554"/>
      <w:bookmarkStart w:id="725" w:name="_Toc12061"/>
      <w:bookmarkStart w:id="726" w:name="_Toc9314_WPSOffice_Level1"/>
      <w:r>
        <w:rPr>
          <w:rFonts w:hint="eastAsia"/>
          <w:color w:val="000000" w:themeColor="text1"/>
          <w:sz w:val="24"/>
          <w:szCs w:val="24"/>
          <w:highlight w:val="none"/>
          <w14:textFill>
            <w14:solidFill>
              <w14:schemeClr w14:val="tx1"/>
            </w14:solidFill>
          </w14:textFill>
        </w:rPr>
        <w:t>附表1：</w:t>
      </w:r>
      <w:bookmarkStart w:id="727" w:name="_Toc10406"/>
      <w:r>
        <w:rPr>
          <w:rFonts w:hint="eastAsia"/>
          <w:color w:val="000000" w:themeColor="text1"/>
          <w:sz w:val="24"/>
          <w:szCs w:val="24"/>
          <w:highlight w:val="none"/>
          <w14:textFill>
            <w14:solidFill>
              <w14:schemeClr w14:val="tx1"/>
            </w14:solidFill>
          </w14:textFill>
        </w:rPr>
        <w:t>磋商响应二次报价表</w:t>
      </w:r>
      <w:bookmarkEnd w:id="722"/>
      <w:bookmarkEnd w:id="723"/>
      <w:bookmarkEnd w:id="724"/>
      <w:bookmarkEnd w:id="725"/>
      <w:bookmarkEnd w:id="726"/>
      <w:bookmarkEnd w:id="727"/>
    </w:p>
    <w:p w14:paraId="2B8924C1">
      <w:pPr>
        <w:pageBreakBefore w:val="0"/>
        <w:kinsoku/>
        <w:overflowPunct/>
        <w:autoSpaceDE w:val="0"/>
        <w:autoSpaceDN w:val="0"/>
        <w:bidi w:val="0"/>
        <w:spacing w:line="480" w:lineRule="exac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项目名称：                 </w:t>
      </w:r>
      <w:r>
        <w:rPr>
          <w:rFonts w:hint="eastAsia" w:ascii="宋体" w:hAnsi="宋体" w:cs="宋体"/>
          <w:color w:val="000000" w:themeColor="text1"/>
          <w:sz w:val="24"/>
          <w:szCs w:val="24"/>
          <w:highlight w:val="none"/>
          <w:lang w:val="zh-CN"/>
          <w14:textFill>
            <w14:solidFill>
              <w14:schemeClr w14:val="tx1"/>
            </w14:solidFill>
          </w14:textFill>
        </w:rPr>
        <w:t>招标编号：</w:t>
      </w: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106"/>
        <w:gridCol w:w="5752"/>
      </w:tblGrid>
      <w:tr w14:paraId="3E75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12B71EC1">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3BE032A">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条款名称</w:t>
            </w:r>
          </w:p>
        </w:tc>
        <w:tc>
          <w:tcPr>
            <w:tcW w:w="5752" w:type="dxa"/>
            <w:tcBorders>
              <w:top w:val="single" w:color="auto" w:sz="4" w:space="0"/>
              <w:left w:val="single" w:color="auto" w:sz="4" w:space="0"/>
              <w:bottom w:val="single" w:color="auto" w:sz="4" w:space="0"/>
              <w:right w:val="single" w:color="auto" w:sz="4" w:space="0"/>
            </w:tcBorders>
            <w:vAlign w:val="center"/>
          </w:tcPr>
          <w:p w14:paraId="640F7BAE">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内</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容</w:t>
            </w:r>
          </w:p>
        </w:tc>
      </w:tr>
      <w:tr w14:paraId="44F7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15BFE76C">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3B70AD86">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质量目标</w:t>
            </w:r>
          </w:p>
        </w:tc>
        <w:tc>
          <w:tcPr>
            <w:tcW w:w="5752" w:type="dxa"/>
            <w:tcBorders>
              <w:top w:val="single" w:color="auto" w:sz="4" w:space="0"/>
              <w:left w:val="single" w:color="auto" w:sz="4" w:space="0"/>
              <w:bottom w:val="single" w:color="auto" w:sz="4" w:space="0"/>
              <w:right w:val="single" w:color="auto" w:sz="4" w:space="0"/>
            </w:tcBorders>
            <w:vAlign w:val="center"/>
          </w:tcPr>
          <w:p w14:paraId="38B660C8">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p>
        </w:tc>
      </w:tr>
      <w:tr w14:paraId="5224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5B77DA8F">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231EC854">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项目负责人</w:t>
            </w:r>
          </w:p>
        </w:tc>
        <w:tc>
          <w:tcPr>
            <w:tcW w:w="5752" w:type="dxa"/>
            <w:tcBorders>
              <w:top w:val="single" w:color="auto" w:sz="4" w:space="0"/>
              <w:left w:val="single" w:color="auto" w:sz="4" w:space="0"/>
              <w:bottom w:val="single" w:color="auto" w:sz="4" w:space="0"/>
              <w:right w:val="single" w:color="auto" w:sz="4" w:space="0"/>
            </w:tcBorders>
            <w:vAlign w:val="center"/>
          </w:tcPr>
          <w:p w14:paraId="532EA4F6">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p>
        </w:tc>
      </w:tr>
      <w:tr w14:paraId="5859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1EEE5398">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105FC83F">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计划工期</w:t>
            </w:r>
          </w:p>
        </w:tc>
        <w:tc>
          <w:tcPr>
            <w:tcW w:w="5752" w:type="dxa"/>
            <w:tcBorders>
              <w:top w:val="single" w:color="auto" w:sz="4" w:space="0"/>
              <w:left w:val="single" w:color="auto" w:sz="4" w:space="0"/>
              <w:bottom w:val="single" w:color="auto" w:sz="4" w:space="0"/>
              <w:right w:val="single" w:color="auto" w:sz="4" w:space="0"/>
            </w:tcBorders>
            <w:vAlign w:val="center"/>
          </w:tcPr>
          <w:p w14:paraId="09C8C0A5">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p>
        </w:tc>
      </w:tr>
      <w:tr w14:paraId="1027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52BA748A">
            <w:pPr>
              <w:pageBreakBefore w:val="0"/>
              <w:kinsoku/>
              <w:overflowPunct/>
              <w:autoSpaceDE w:val="0"/>
              <w:autoSpaceDN w:val="0"/>
              <w:bidi w:val="0"/>
              <w:spacing w:line="48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41721FBA">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投标总价</w:t>
            </w:r>
          </w:p>
        </w:tc>
        <w:tc>
          <w:tcPr>
            <w:tcW w:w="5752" w:type="dxa"/>
            <w:tcBorders>
              <w:top w:val="single" w:color="auto" w:sz="4" w:space="0"/>
              <w:left w:val="single" w:color="auto" w:sz="4" w:space="0"/>
              <w:bottom w:val="single" w:color="auto" w:sz="4" w:space="0"/>
              <w:right w:val="single" w:color="auto" w:sz="4" w:space="0"/>
            </w:tcBorders>
            <w:vAlign w:val="center"/>
          </w:tcPr>
          <w:p w14:paraId="1AEBC8B4">
            <w:pPr>
              <w:pageBreakBefore w:val="0"/>
              <w:kinsoku/>
              <w:overflowPunct/>
              <w:autoSpaceDE w:val="0"/>
              <w:autoSpaceDN w:val="0"/>
              <w:bidi w:val="0"/>
              <w:spacing w:line="480" w:lineRule="exact"/>
              <w:jc w:val="lef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大写：</w:t>
            </w:r>
            <w:r>
              <w:rPr>
                <w:rFonts w:hint="eastAsia" w:hAnsi="宋体" w:cs="宋体"/>
                <w:color w:val="000000" w:themeColor="text1"/>
                <w:sz w:val="24"/>
                <w:szCs w:val="24"/>
                <w:highlight w:val="none"/>
                <w:u w:val="single"/>
                <w14:textFill>
                  <w14:solidFill>
                    <w14:schemeClr w14:val="tx1"/>
                  </w14:solidFill>
                </w14:textFill>
              </w:rPr>
              <w:t xml:space="preserve">                               </w:t>
            </w:r>
          </w:p>
          <w:p w14:paraId="7327CF5E">
            <w:pPr>
              <w:pageBreakBefore w:val="0"/>
              <w:kinsoku/>
              <w:overflowPunct/>
              <w:autoSpaceDE w:val="0"/>
              <w:autoSpaceDN w:val="0"/>
              <w:bidi w:val="0"/>
              <w:spacing w:line="480" w:lineRule="exact"/>
              <w:jc w:val="lef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小写：</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w:t>
            </w:r>
          </w:p>
        </w:tc>
      </w:tr>
      <w:tr w14:paraId="76C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7F670A54">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其他承诺（及答疑）事项：</w:t>
            </w:r>
            <w:r>
              <w:rPr>
                <w:rFonts w:hint="eastAsia" w:ascii="宋体" w:hAnsi="宋体" w:cs="宋体"/>
                <w:color w:val="000000" w:themeColor="text1"/>
                <w:sz w:val="24"/>
                <w:szCs w:val="24"/>
                <w:highlight w:val="none"/>
                <w14:textFill>
                  <w14:solidFill>
                    <w14:schemeClr w14:val="tx1"/>
                  </w14:solidFill>
                </w14:textFill>
              </w:rPr>
              <w:t xml:space="preserve"> </w:t>
            </w:r>
          </w:p>
        </w:tc>
        <w:tc>
          <w:tcPr>
            <w:tcW w:w="7858" w:type="dxa"/>
            <w:gridSpan w:val="2"/>
            <w:tcBorders>
              <w:top w:val="single" w:color="auto" w:sz="4" w:space="0"/>
              <w:left w:val="single" w:color="auto" w:sz="4" w:space="0"/>
              <w:bottom w:val="single" w:color="auto" w:sz="4" w:space="0"/>
              <w:right w:val="single" w:color="auto" w:sz="4" w:space="0"/>
            </w:tcBorders>
            <w:vAlign w:val="center"/>
          </w:tcPr>
          <w:p w14:paraId="4D972193">
            <w:pPr>
              <w:pageBreakBefore w:val="0"/>
              <w:kinsoku/>
              <w:overflowPunct/>
              <w:autoSpaceDE w:val="0"/>
              <w:autoSpaceDN w:val="0"/>
              <w:bidi w:val="0"/>
              <w:spacing w:line="480" w:lineRule="exact"/>
              <w:jc w:val="center"/>
              <w:textAlignment w:val="auto"/>
              <w:rPr>
                <w:rFonts w:hAnsi="宋体" w:cs="宋体"/>
                <w:color w:val="000000" w:themeColor="text1"/>
                <w:sz w:val="24"/>
                <w:szCs w:val="24"/>
                <w:highlight w:val="none"/>
                <w14:textFill>
                  <w14:solidFill>
                    <w14:schemeClr w14:val="tx1"/>
                  </w14:solidFill>
                </w14:textFill>
              </w:rPr>
            </w:pPr>
          </w:p>
        </w:tc>
      </w:tr>
    </w:tbl>
    <w:p w14:paraId="57F11FD7">
      <w:pPr>
        <w:pageBreakBefore w:val="0"/>
        <w:kinsoku/>
        <w:overflowPunct/>
        <w:bidi w:val="0"/>
        <w:spacing w:line="48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p>
    <w:p w14:paraId="42949277">
      <w:pPr>
        <w:pageBreakBefore w:val="0"/>
        <w:kinsoku/>
        <w:overflowPunct/>
        <w:bidi w:val="0"/>
        <w:spacing w:line="48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投标单位（公章）：</w:t>
      </w:r>
    </w:p>
    <w:p w14:paraId="61EFD2D9">
      <w:pPr>
        <w:pStyle w:val="17"/>
        <w:pageBreakBefore w:val="0"/>
        <w:kinsoku/>
        <w:overflowPunct/>
        <w:bidi w:val="0"/>
        <w:spacing w:line="480" w:lineRule="exact"/>
        <w:textAlignment w:val="auto"/>
        <w:rPr>
          <w:color w:val="000000" w:themeColor="text1"/>
          <w:highlight w:val="none"/>
          <w14:textFill>
            <w14:solidFill>
              <w14:schemeClr w14:val="tx1"/>
            </w14:solidFill>
          </w14:textFill>
        </w:rPr>
      </w:pPr>
    </w:p>
    <w:p w14:paraId="1D1274D1">
      <w:pPr>
        <w:pageBreakBefore w:val="0"/>
        <w:kinsoku/>
        <w:overflowPunct/>
        <w:bidi w:val="0"/>
        <w:spacing w:line="48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w:t>
      </w:r>
    </w:p>
    <w:p w14:paraId="445943A5">
      <w:pPr>
        <w:pageBreakBefore w:val="0"/>
        <w:kinsoku/>
        <w:overflowPunct/>
        <w:bidi w:val="0"/>
        <w:spacing w:line="480" w:lineRule="exact"/>
        <w:ind w:firstLine="480" w:firstLineChars="200"/>
        <w:jc w:val="right"/>
        <w:textAlignment w:val="auto"/>
        <w:rPr>
          <w:rFonts w:ascii="宋体" w:hAnsi="宋体" w:cs="宋体"/>
          <w:bCs/>
          <w:color w:val="000000" w:themeColor="text1"/>
          <w:kern w:val="44"/>
          <w:sz w:val="24"/>
          <w:szCs w:val="24"/>
          <w:highlight w:val="none"/>
          <w14:textFill>
            <w14:solidFill>
              <w14:schemeClr w14:val="tx1"/>
            </w14:solidFill>
          </w14:textFill>
        </w:rPr>
      </w:pPr>
      <w:r>
        <w:rPr>
          <w:rFonts w:hint="eastAsia" w:ascii="宋体" w:hAnsi="宋体" w:cs="宋体"/>
          <w:bCs/>
          <w:color w:val="000000" w:themeColor="text1"/>
          <w:kern w:val="44"/>
          <w:sz w:val="24"/>
          <w:szCs w:val="24"/>
          <w:highlight w:val="none"/>
          <w14:textFill>
            <w14:solidFill>
              <w14:schemeClr w14:val="tx1"/>
            </w14:solidFill>
          </w14:textFill>
        </w:rPr>
        <w:t>年  月  日</w:t>
      </w:r>
    </w:p>
    <w:p w14:paraId="6B884426">
      <w:pPr>
        <w:pageBreakBefore w:val="0"/>
        <w:kinsoku/>
        <w:overflowPunct/>
        <w:bidi w:val="0"/>
        <w:spacing w:line="480" w:lineRule="exact"/>
        <w:textAlignment w:val="auto"/>
        <w:rPr>
          <w:rFonts w:ascii="宋体" w:hAnsi="宋体"/>
          <w:b/>
          <w:bCs/>
          <w:color w:val="000000" w:themeColor="text1"/>
          <w:sz w:val="24"/>
          <w:szCs w:val="22"/>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1、上述报价为提供本次</w:t>
      </w: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szCs w:val="22"/>
          <w:highlight w:val="none"/>
          <w14:textFill>
            <w14:solidFill>
              <w14:schemeClr w14:val="tx1"/>
            </w14:solidFill>
          </w14:textFill>
        </w:rPr>
        <w:t>项目所有内容的总价格</w:t>
      </w:r>
      <w:r>
        <w:rPr>
          <w:rFonts w:hint="eastAsia" w:ascii="宋体" w:hAnsi="宋体" w:cs="宋体"/>
          <w:b/>
          <w:bCs/>
          <w:color w:val="000000" w:themeColor="text1"/>
          <w:kern w:val="44"/>
          <w:sz w:val="24"/>
          <w:szCs w:val="24"/>
          <w:highlight w:val="none"/>
          <w14:textFill>
            <w14:solidFill>
              <w14:schemeClr w14:val="tx1"/>
            </w14:solidFill>
          </w14:textFill>
        </w:rPr>
        <w:t>（含税金、运费、配合验收和后续服务费等的全部费用）</w:t>
      </w:r>
      <w:r>
        <w:rPr>
          <w:rFonts w:hint="eastAsia" w:ascii="宋体" w:hAnsi="宋体"/>
          <w:b/>
          <w:bCs/>
          <w:color w:val="000000" w:themeColor="text1"/>
          <w:sz w:val="24"/>
          <w:szCs w:val="22"/>
          <w:highlight w:val="none"/>
          <w14:textFill>
            <w14:solidFill>
              <w14:schemeClr w14:val="tx1"/>
            </w14:solidFill>
          </w14:textFill>
        </w:rPr>
        <w:t>；</w:t>
      </w:r>
    </w:p>
    <w:p w14:paraId="66FD55A2">
      <w:pPr>
        <w:pageBreakBefore w:val="0"/>
        <w:kinsoku/>
        <w:overflowPunct/>
        <w:bidi w:val="0"/>
        <w:spacing w:line="480" w:lineRule="exact"/>
        <w:textAlignment w:val="auto"/>
        <w:rPr>
          <w:rFonts w:hint="eastAsia" w:ascii="宋体" w:hAnsi="宋体" w:eastAsia="宋体" w:cs="Times New Roman"/>
          <w:b/>
          <w:bCs/>
          <w:color w:val="000000" w:themeColor="text1"/>
          <w:sz w:val="24"/>
          <w:szCs w:val="22"/>
          <w:highlight w:val="none"/>
          <w:lang w:eastAsia="zh-CN"/>
          <w14:textFill>
            <w14:solidFill>
              <w14:schemeClr w14:val="tx1"/>
            </w14:solidFill>
          </w14:textFill>
        </w:rPr>
      </w:pPr>
      <w:r>
        <w:rPr>
          <w:rFonts w:hint="eastAsia" w:ascii="宋体" w:hAnsi="宋体"/>
          <w:b/>
          <w:bCs/>
          <w:color w:val="000000" w:themeColor="text1"/>
          <w:sz w:val="24"/>
          <w:szCs w:val="22"/>
          <w:highlight w:val="none"/>
          <w14:textFill>
            <w14:solidFill>
              <w14:schemeClr w14:val="tx1"/>
            </w14:solidFill>
          </w14:textFill>
        </w:rPr>
        <w:t>2、</w:t>
      </w:r>
      <w:r>
        <w:rPr>
          <w:rFonts w:hint="eastAsia" w:ascii="宋体" w:hAnsi="宋体"/>
          <w:b/>
          <w:bCs/>
          <w:color w:val="000000" w:themeColor="text1"/>
          <w:sz w:val="24"/>
          <w:szCs w:val="22"/>
          <w:highlight w:val="none"/>
          <w:lang w:eastAsia="zh-CN"/>
          <w14:textFill>
            <w14:solidFill>
              <w14:schemeClr w14:val="tx1"/>
            </w14:solidFill>
          </w14:textFill>
        </w:rPr>
        <w:t>现场在线开启二次报价，各潜在投标单位在线进行二轮报价，并上传加盖</w:t>
      </w:r>
      <w:r>
        <w:rPr>
          <w:rFonts w:hint="eastAsia" w:ascii="宋体" w:hAnsi="宋体" w:eastAsia="宋体" w:cs="Times New Roman"/>
          <w:b/>
          <w:bCs/>
          <w:color w:val="000000" w:themeColor="text1"/>
          <w:sz w:val="24"/>
          <w:szCs w:val="22"/>
          <w:highlight w:val="none"/>
          <w:lang w:eastAsia="zh-CN"/>
          <w14:textFill>
            <w14:solidFill>
              <w14:schemeClr w14:val="tx1"/>
            </w14:solidFill>
          </w14:textFill>
        </w:rPr>
        <w:t>公章的磋商响应二次报价表。</w:t>
      </w:r>
    </w:p>
    <w:p w14:paraId="0686ABE3">
      <w:pPr>
        <w:pageBreakBefore w:val="0"/>
        <w:kinsoku/>
        <w:overflowPunct/>
        <w:bidi w:val="0"/>
        <w:spacing w:line="480" w:lineRule="exact"/>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p>
    <w:sectPr>
      <w:footerReference r:id="rId6" w:type="first"/>
      <w:footerReference r:id="rId5" w:type="default"/>
      <w:pgSz w:w="11907" w:h="16840"/>
      <w:pgMar w:top="1440" w:right="1080" w:bottom="1440" w:left="1080" w:header="851" w:footer="0" w:gutter="0"/>
      <w:pgBorders>
        <w:top w:val="none" w:sz="0" w:space="0"/>
        <w:left w:val="none" w:sz="0" w:space="0"/>
        <w:bottom w:val="none" w:sz="0" w:space="0"/>
        <w:right w:val="none" w:sz="0" w:space="0"/>
      </w:pgBorders>
      <w:pgNumType w:fmt="decimal" w:start="1"/>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000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9048">
    <w:pPr>
      <w:pStyle w:val="13"/>
      <w:ind w:right="360"/>
      <w:jc w:val="both"/>
    </w:pPr>
    <w:r>
      <w:rPr>
        <w:lang w:val="zh-CN"/>
      </w:rPr>
      <w:t xml:space="preserve">  </w:t>
    </w:r>
  </w:p>
  <w:p w14:paraId="271F551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8810">
    <w:pPr>
      <w:pStyle w:val="13"/>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E559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4E5594">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639B52D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02F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B173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4B173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32F7">
    <w:pPr>
      <w:pStyle w:val="14"/>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413F3"/>
    <w:multiLevelType w:val="singleLevel"/>
    <w:tmpl w:val="87D413F3"/>
    <w:lvl w:ilvl="0" w:tentative="0">
      <w:start w:val="1"/>
      <w:numFmt w:val="decimal"/>
      <w:suff w:val="nothing"/>
      <w:lvlText w:val="%1、"/>
      <w:lvlJc w:val="left"/>
    </w:lvl>
  </w:abstractNum>
  <w:abstractNum w:abstractNumId="1">
    <w:nsid w:val="9DE10300"/>
    <w:multiLevelType w:val="singleLevel"/>
    <w:tmpl w:val="9DE10300"/>
    <w:lvl w:ilvl="0" w:tentative="0">
      <w:start w:val="1"/>
      <w:numFmt w:val="chineseCounting"/>
      <w:suff w:val="space"/>
      <w:lvlText w:val="第%1部分"/>
      <w:lvlJc w:val="left"/>
      <w:rPr>
        <w:rFonts w:hint="eastAsia"/>
      </w:rPr>
    </w:lvl>
  </w:abstractNum>
  <w:abstractNum w:abstractNumId="2">
    <w:nsid w:val="CE7B96AE"/>
    <w:multiLevelType w:val="singleLevel"/>
    <w:tmpl w:val="CE7B96AE"/>
    <w:lvl w:ilvl="0" w:tentative="0">
      <w:start w:val="1"/>
      <w:numFmt w:val="decimal"/>
      <w:suff w:val="nothing"/>
      <w:lvlText w:val="%1、"/>
      <w:lvlJc w:val="left"/>
    </w:lvl>
  </w:abstractNum>
  <w:abstractNum w:abstractNumId="3">
    <w:nsid w:val="F486CED9"/>
    <w:multiLevelType w:val="singleLevel"/>
    <w:tmpl w:val="F486CED9"/>
    <w:lvl w:ilvl="0" w:tentative="0">
      <w:start w:val="1"/>
      <w:numFmt w:val="decimal"/>
      <w:suff w:val="nothing"/>
      <w:lvlText w:val="%1、"/>
      <w:lvlJc w:val="left"/>
    </w:lvl>
  </w:abstractNum>
  <w:abstractNum w:abstractNumId="4">
    <w:nsid w:val="00000000"/>
    <w:multiLevelType w:val="singleLevel"/>
    <w:tmpl w:val="00000000"/>
    <w:lvl w:ilvl="0" w:tentative="0">
      <w:start w:val="1"/>
      <w:numFmt w:val="decimal"/>
      <w:suff w:val="space"/>
      <w:lvlText w:val="%1."/>
      <w:lvlJc w:val="left"/>
    </w:lvl>
  </w:abstractNum>
  <w:abstractNum w:abstractNumId="5">
    <w:nsid w:val="00000001"/>
    <w:multiLevelType w:val="multilevel"/>
    <w:tmpl w:val="00000001"/>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singleLevel"/>
    <w:tmpl w:val="00000002"/>
    <w:lvl w:ilvl="0" w:tentative="0">
      <w:start w:val="9"/>
      <w:numFmt w:val="decimal"/>
      <w:suff w:val="space"/>
      <w:lvlText w:val="%1."/>
      <w:lvlJc w:val="left"/>
    </w:lvl>
  </w:abstractNum>
  <w:abstractNum w:abstractNumId="7">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4"/>
    <w:multiLevelType w:val="singleLevel"/>
    <w:tmpl w:val="00000004"/>
    <w:lvl w:ilvl="0" w:tentative="0">
      <w:start w:val="20"/>
      <w:numFmt w:val="decimal"/>
      <w:suff w:val="space"/>
      <w:lvlText w:val="%1."/>
      <w:lvlJc w:val="left"/>
    </w:lvl>
  </w:abstractNum>
  <w:abstractNum w:abstractNumId="9">
    <w:nsid w:val="215C7741"/>
    <w:multiLevelType w:val="singleLevel"/>
    <w:tmpl w:val="215C7741"/>
    <w:lvl w:ilvl="0" w:tentative="0">
      <w:start w:val="1"/>
      <w:numFmt w:val="decimal"/>
      <w:suff w:val="nothing"/>
      <w:lvlText w:val="%1、"/>
      <w:lvlJc w:val="left"/>
    </w:lvl>
  </w:abstractNum>
  <w:abstractNum w:abstractNumId="10">
    <w:nsid w:val="33CBA460"/>
    <w:multiLevelType w:val="singleLevel"/>
    <w:tmpl w:val="33CBA460"/>
    <w:lvl w:ilvl="0" w:tentative="0">
      <w:start w:val="1"/>
      <w:numFmt w:val="decimal"/>
      <w:suff w:val="nothing"/>
      <w:lvlText w:val="%1、"/>
      <w:lvlJc w:val="left"/>
    </w:lvl>
  </w:abstractNum>
  <w:abstractNum w:abstractNumId="11">
    <w:nsid w:val="3AF5ADC7"/>
    <w:multiLevelType w:val="singleLevel"/>
    <w:tmpl w:val="3AF5ADC7"/>
    <w:lvl w:ilvl="0" w:tentative="0">
      <w:start w:val="1"/>
      <w:numFmt w:val="decimal"/>
      <w:suff w:val="nothing"/>
      <w:lvlText w:val="%1、"/>
      <w:lvlJc w:val="left"/>
    </w:lvl>
  </w:abstractNum>
  <w:abstractNum w:abstractNumId="12">
    <w:nsid w:val="3B96F8FF"/>
    <w:multiLevelType w:val="singleLevel"/>
    <w:tmpl w:val="3B96F8FF"/>
    <w:lvl w:ilvl="0" w:tentative="0">
      <w:start w:val="1"/>
      <w:numFmt w:val="decimal"/>
      <w:suff w:val="nothing"/>
      <w:lvlText w:val="%1、"/>
      <w:lvlJc w:val="left"/>
    </w:lvl>
  </w:abstractNum>
  <w:abstractNum w:abstractNumId="13">
    <w:nsid w:val="4220CED6"/>
    <w:multiLevelType w:val="singleLevel"/>
    <w:tmpl w:val="4220CED6"/>
    <w:lvl w:ilvl="0" w:tentative="0">
      <w:start w:val="1"/>
      <w:numFmt w:val="decimal"/>
      <w:suff w:val="nothing"/>
      <w:lvlText w:val="%1、"/>
      <w:lvlJc w:val="left"/>
    </w:lvl>
  </w:abstractNum>
  <w:num w:numId="1">
    <w:abstractNumId w:val="5"/>
  </w:num>
  <w:num w:numId="2">
    <w:abstractNumId w:val="1"/>
  </w:num>
  <w:num w:numId="3">
    <w:abstractNumId w:val="13"/>
  </w:num>
  <w:num w:numId="4">
    <w:abstractNumId w:val="4"/>
  </w:num>
  <w:num w:numId="5">
    <w:abstractNumId w:val="7"/>
  </w:num>
  <w:num w:numId="6">
    <w:abstractNumId w:val="6"/>
  </w:num>
  <w:num w:numId="7">
    <w:abstractNumId w:val="8"/>
  </w:num>
  <w:num w:numId="8">
    <w:abstractNumId w:val="2"/>
  </w:num>
  <w:num w:numId="9">
    <w:abstractNumId w:val="11"/>
  </w:num>
  <w:num w:numId="10">
    <w:abstractNumId w:val="12"/>
  </w:num>
  <w:num w:numId="11">
    <w:abstractNumId w:val="9"/>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Y2I4YTZjMzAyNTY3NjBlNDg5MGFiMGE3ODFhN2MifQ=="/>
    <w:docVar w:name="KSO_WPS_MARK_KEY" w:val="91c4f659-b723-4107-84c4-8f8dcd32d148"/>
  </w:docVars>
  <w:rsids>
    <w:rsidRoot w:val="00000000"/>
    <w:rsid w:val="00164C26"/>
    <w:rsid w:val="00366766"/>
    <w:rsid w:val="004E0863"/>
    <w:rsid w:val="0066795B"/>
    <w:rsid w:val="007958E0"/>
    <w:rsid w:val="009E5347"/>
    <w:rsid w:val="00AD737B"/>
    <w:rsid w:val="00B5082F"/>
    <w:rsid w:val="00F46D15"/>
    <w:rsid w:val="00F96DAA"/>
    <w:rsid w:val="01017684"/>
    <w:rsid w:val="01057174"/>
    <w:rsid w:val="01253372"/>
    <w:rsid w:val="015C48BA"/>
    <w:rsid w:val="01707F74"/>
    <w:rsid w:val="01730582"/>
    <w:rsid w:val="017460A8"/>
    <w:rsid w:val="01771980"/>
    <w:rsid w:val="01817010"/>
    <w:rsid w:val="0183453D"/>
    <w:rsid w:val="01875268"/>
    <w:rsid w:val="018A58CB"/>
    <w:rsid w:val="018A7679"/>
    <w:rsid w:val="018D0F17"/>
    <w:rsid w:val="018F6A3E"/>
    <w:rsid w:val="01A4698D"/>
    <w:rsid w:val="01A56261"/>
    <w:rsid w:val="01A70CBC"/>
    <w:rsid w:val="01C100F8"/>
    <w:rsid w:val="01E46D89"/>
    <w:rsid w:val="01FF1E15"/>
    <w:rsid w:val="021A6C4F"/>
    <w:rsid w:val="02297737"/>
    <w:rsid w:val="027D0F8C"/>
    <w:rsid w:val="029415CA"/>
    <w:rsid w:val="02963DFC"/>
    <w:rsid w:val="02C646E1"/>
    <w:rsid w:val="02CB1CF7"/>
    <w:rsid w:val="02E8741C"/>
    <w:rsid w:val="02F4323F"/>
    <w:rsid w:val="02F503E5"/>
    <w:rsid w:val="0301396B"/>
    <w:rsid w:val="030F6088"/>
    <w:rsid w:val="031511C4"/>
    <w:rsid w:val="03200295"/>
    <w:rsid w:val="03217B69"/>
    <w:rsid w:val="033755DF"/>
    <w:rsid w:val="035B12CD"/>
    <w:rsid w:val="035E0DBD"/>
    <w:rsid w:val="03667C72"/>
    <w:rsid w:val="037428DE"/>
    <w:rsid w:val="03884483"/>
    <w:rsid w:val="038B1487"/>
    <w:rsid w:val="03B10EED"/>
    <w:rsid w:val="03BE185C"/>
    <w:rsid w:val="03C76963"/>
    <w:rsid w:val="03E5503B"/>
    <w:rsid w:val="041156E7"/>
    <w:rsid w:val="04163446"/>
    <w:rsid w:val="042E0790"/>
    <w:rsid w:val="04335DA6"/>
    <w:rsid w:val="045C354F"/>
    <w:rsid w:val="04AC7907"/>
    <w:rsid w:val="04EF43C3"/>
    <w:rsid w:val="04F33EFA"/>
    <w:rsid w:val="050B6D23"/>
    <w:rsid w:val="050D4849"/>
    <w:rsid w:val="053E4A03"/>
    <w:rsid w:val="05502DA5"/>
    <w:rsid w:val="05526700"/>
    <w:rsid w:val="05663F59"/>
    <w:rsid w:val="05760640"/>
    <w:rsid w:val="05A14F91"/>
    <w:rsid w:val="05B9677F"/>
    <w:rsid w:val="05D37841"/>
    <w:rsid w:val="05D709B3"/>
    <w:rsid w:val="05E05ABA"/>
    <w:rsid w:val="05E7509A"/>
    <w:rsid w:val="067C75A5"/>
    <w:rsid w:val="06B61737"/>
    <w:rsid w:val="06E04895"/>
    <w:rsid w:val="070954E4"/>
    <w:rsid w:val="07106873"/>
    <w:rsid w:val="073267E9"/>
    <w:rsid w:val="073E518E"/>
    <w:rsid w:val="07414C7E"/>
    <w:rsid w:val="076D693E"/>
    <w:rsid w:val="076F2A8A"/>
    <w:rsid w:val="07B73C74"/>
    <w:rsid w:val="07C82CA9"/>
    <w:rsid w:val="07FE491D"/>
    <w:rsid w:val="08204893"/>
    <w:rsid w:val="08240CF2"/>
    <w:rsid w:val="082E5202"/>
    <w:rsid w:val="084C38DA"/>
    <w:rsid w:val="084C7436"/>
    <w:rsid w:val="085766D0"/>
    <w:rsid w:val="08580653"/>
    <w:rsid w:val="08591B53"/>
    <w:rsid w:val="085B3D83"/>
    <w:rsid w:val="08BB45BC"/>
    <w:rsid w:val="08D00067"/>
    <w:rsid w:val="092263E9"/>
    <w:rsid w:val="093E3544"/>
    <w:rsid w:val="09507BBF"/>
    <w:rsid w:val="096D58B6"/>
    <w:rsid w:val="097F55EA"/>
    <w:rsid w:val="09BE4364"/>
    <w:rsid w:val="09C54E02"/>
    <w:rsid w:val="09E95BCC"/>
    <w:rsid w:val="09ED544C"/>
    <w:rsid w:val="09FB1114"/>
    <w:rsid w:val="09FC4E8C"/>
    <w:rsid w:val="0A2C37A9"/>
    <w:rsid w:val="0A2F0DBE"/>
    <w:rsid w:val="0A470509"/>
    <w:rsid w:val="0A4725AB"/>
    <w:rsid w:val="0A4F76B2"/>
    <w:rsid w:val="0A5D661E"/>
    <w:rsid w:val="0AB15C77"/>
    <w:rsid w:val="0AB37C41"/>
    <w:rsid w:val="0AB85257"/>
    <w:rsid w:val="0ABC321E"/>
    <w:rsid w:val="0AE55920"/>
    <w:rsid w:val="0AEA2F37"/>
    <w:rsid w:val="0AF142C5"/>
    <w:rsid w:val="0AFA7E6B"/>
    <w:rsid w:val="0AFD2C6A"/>
    <w:rsid w:val="0B2352E2"/>
    <w:rsid w:val="0B4C599F"/>
    <w:rsid w:val="0B4F3D8E"/>
    <w:rsid w:val="0B7B3E64"/>
    <w:rsid w:val="0BC419DA"/>
    <w:rsid w:val="0BD22349"/>
    <w:rsid w:val="0BDE2A9B"/>
    <w:rsid w:val="0BF26547"/>
    <w:rsid w:val="0BFC1173"/>
    <w:rsid w:val="0C030754"/>
    <w:rsid w:val="0C0B7609"/>
    <w:rsid w:val="0C3B7EEE"/>
    <w:rsid w:val="0C907281"/>
    <w:rsid w:val="0CD24F16"/>
    <w:rsid w:val="0CFB767D"/>
    <w:rsid w:val="0D240717"/>
    <w:rsid w:val="0D4252AC"/>
    <w:rsid w:val="0D6945E7"/>
    <w:rsid w:val="0D701E19"/>
    <w:rsid w:val="0D887163"/>
    <w:rsid w:val="0D906017"/>
    <w:rsid w:val="0D975D53"/>
    <w:rsid w:val="0DD979BE"/>
    <w:rsid w:val="0DDF0D4D"/>
    <w:rsid w:val="0DE46363"/>
    <w:rsid w:val="0DEF1F9A"/>
    <w:rsid w:val="0E0425AE"/>
    <w:rsid w:val="0E0F33E0"/>
    <w:rsid w:val="0E2F75DE"/>
    <w:rsid w:val="0E391D0F"/>
    <w:rsid w:val="0E417312"/>
    <w:rsid w:val="0E440BB0"/>
    <w:rsid w:val="0E8D2557"/>
    <w:rsid w:val="0E917E82"/>
    <w:rsid w:val="0E927B6D"/>
    <w:rsid w:val="0E99714E"/>
    <w:rsid w:val="0EAA7A7D"/>
    <w:rsid w:val="0EB16245"/>
    <w:rsid w:val="0EE06B2A"/>
    <w:rsid w:val="0EF35E5E"/>
    <w:rsid w:val="0F022F45"/>
    <w:rsid w:val="0F135152"/>
    <w:rsid w:val="0F1B7B63"/>
    <w:rsid w:val="0F1F3AF7"/>
    <w:rsid w:val="0F291812"/>
    <w:rsid w:val="0F2A5FF8"/>
    <w:rsid w:val="0F386966"/>
    <w:rsid w:val="0F39623B"/>
    <w:rsid w:val="0F422CCF"/>
    <w:rsid w:val="0F587009"/>
    <w:rsid w:val="0F7200CA"/>
    <w:rsid w:val="0F7D25CB"/>
    <w:rsid w:val="0F916077"/>
    <w:rsid w:val="0F987A27"/>
    <w:rsid w:val="0FAE6C29"/>
    <w:rsid w:val="0FB32491"/>
    <w:rsid w:val="10141182"/>
    <w:rsid w:val="104F7F92"/>
    <w:rsid w:val="10525806"/>
    <w:rsid w:val="10797237"/>
    <w:rsid w:val="109549F2"/>
    <w:rsid w:val="10B71B0D"/>
    <w:rsid w:val="10C61728"/>
    <w:rsid w:val="10D80401"/>
    <w:rsid w:val="10F13271"/>
    <w:rsid w:val="10F60887"/>
    <w:rsid w:val="11286567"/>
    <w:rsid w:val="11292A0B"/>
    <w:rsid w:val="114C66F9"/>
    <w:rsid w:val="11612347"/>
    <w:rsid w:val="116D7DF6"/>
    <w:rsid w:val="116F4196"/>
    <w:rsid w:val="11867E5D"/>
    <w:rsid w:val="118C4CA8"/>
    <w:rsid w:val="11960DCC"/>
    <w:rsid w:val="11BA3663"/>
    <w:rsid w:val="11C73FD2"/>
    <w:rsid w:val="11D748AD"/>
    <w:rsid w:val="11E04312"/>
    <w:rsid w:val="11E64458"/>
    <w:rsid w:val="12072620"/>
    <w:rsid w:val="121E0096"/>
    <w:rsid w:val="12307DC9"/>
    <w:rsid w:val="12333415"/>
    <w:rsid w:val="124D2729"/>
    <w:rsid w:val="125B6712"/>
    <w:rsid w:val="12771554"/>
    <w:rsid w:val="128123D2"/>
    <w:rsid w:val="128D0D77"/>
    <w:rsid w:val="129465AA"/>
    <w:rsid w:val="12D93FBD"/>
    <w:rsid w:val="12DA41BD"/>
    <w:rsid w:val="12FE1C75"/>
    <w:rsid w:val="130D3C66"/>
    <w:rsid w:val="13441D7E"/>
    <w:rsid w:val="13490D78"/>
    <w:rsid w:val="134D2D02"/>
    <w:rsid w:val="136E3D0D"/>
    <w:rsid w:val="13785584"/>
    <w:rsid w:val="13B660AC"/>
    <w:rsid w:val="13C24A51"/>
    <w:rsid w:val="13ED41C3"/>
    <w:rsid w:val="13F53078"/>
    <w:rsid w:val="14011A1D"/>
    <w:rsid w:val="14025795"/>
    <w:rsid w:val="140C5C8F"/>
    <w:rsid w:val="14134516"/>
    <w:rsid w:val="141352AC"/>
    <w:rsid w:val="141F00F5"/>
    <w:rsid w:val="14231504"/>
    <w:rsid w:val="143040B0"/>
    <w:rsid w:val="14353475"/>
    <w:rsid w:val="14376F98"/>
    <w:rsid w:val="144933C4"/>
    <w:rsid w:val="148D1503"/>
    <w:rsid w:val="14904B4F"/>
    <w:rsid w:val="14997EA7"/>
    <w:rsid w:val="149A59CD"/>
    <w:rsid w:val="14AA3E63"/>
    <w:rsid w:val="14B14B56"/>
    <w:rsid w:val="14BB6070"/>
    <w:rsid w:val="14C111AC"/>
    <w:rsid w:val="14C60571"/>
    <w:rsid w:val="14D7452C"/>
    <w:rsid w:val="14F74BCE"/>
    <w:rsid w:val="14FC4BCD"/>
    <w:rsid w:val="14FD0846"/>
    <w:rsid w:val="15632263"/>
    <w:rsid w:val="1594066F"/>
    <w:rsid w:val="15AA4C49"/>
    <w:rsid w:val="15BD1974"/>
    <w:rsid w:val="15C90318"/>
    <w:rsid w:val="15E458B3"/>
    <w:rsid w:val="160F7CF5"/>
    <w:rsid w:val="161378D0"/>
    <w:rsid w:val="163634D4"/>
    <w:rsid w:val="16557DFE"/>
    <w:rsid w:val="165731CD"/>
    <w:rsid w:val="1666025D"/>
    <w:rsid w:val="166B13D0"/>
    <w:rsid w:val="168B7CC4"/>
    <w:rsid w:val="16985F3D"/>
    <w:rsid w:val="16A62408"/>
    <w:rsid w:val="16B014D8"/>
    <w:rsid w:val="16BE34F8"/>
    <w:rsid w:val="16DB47A7"/>
    <w:rsid w:val="16E86EC4"/>
    <w:rsid w:val="16F07B27"/>
    <w:rsid w:val="16F2389F"/>
    <w:rsid w:val="17084E70"/>
    <w:rsid w:val="170C6032"/>
    <w:rsid w:val="171E28E6"/>
    <w:rsid w:val="17410382"/>
    <w:rsid w:val="17613699"/>
    <w:rsid w:val="17807A33"/>
    <w:rsid w:val="17872239"/>
    <w:rsid w:val="179C3ED6"/>
    <w:rsid w:val="17AA23CB"/>
    <w:rsid w:val="17C074F9"/>
    <w:rsid w:val="17C70888"/>
    <w:rsid w:val="17DF606D"/>
    <w:rsid w:val="17E20CD1"/>
    <w:rsid w:val="17E94D8E"/>
    <w:rsid w:val="17EE4066"/>
    <w:rsid w:val="17F13B56"/>
    <w:rsid w:val="180853EA"/>
    <w:rsid w:val="185A5BA0"/>
    <w:rsid w:val="18787DD4"/>
    <w:rsid w:val="187F1162"/>
    <w:rsid w:val="188E5849"/>
    <w:rsid w:val="18C13529"/>
    <w:rsid w:val="18DB5A16"/>
    <w:rsid w:val="18E67433"/>
    <w:rsid w:val="18ED431E"/>
    <w:rsid w:val="18F41B50"/>
    <w:rsid w:val="19151AC7"/>
    <w:rsid w:val="19322678"/>
    <w:rsid w:val="19436634"/>
    <w:rsid w:val="19550115"/>
    <w:rsid w:val="19662248"/>
    <w:rsid w:val="197762DD"/>
    <w:rsid w:val="198A7DBF"/>
    <w:rsid w:val="199450E1"/>
    <w:rsid w:val="19A1335A"/>
    <w:rsid w:val="19B2356A"/>
    <w:rsid w:val="19D674A8"/>
    <w:rsid w:val="19E716B5"/>
    <w:rsid w:val="19F938BF"/>
    <w:rsid w:val="19FB727A"/>
    <w:rsid w:val="19FF69FF"/>
    <w:rsid w:val="1A1F2BFD"/>
    <w:rsid w:val="1A393593"/>
    <w:rsid w:val="1A417126"/>
    <w:rsid w:val="1A5605E9"/>
    <w:rsid w:val="1A644AB4"/>
    <w:rsid w:val="1A6C5716"/>
    <w:rsid w:val="1A7D4AEA"/>
    <w:rsid w:val="1A7D519E"/>
    <w:rsid w:val="1A9F5AEC"/>
    <w:rsid w:val="1ABF141C"/>
    <w:rsid w:val="1AED2CFB"/>
    <w:rsid w:val="1B040045"/>
    <w:rsid w:val="1B0B4F2F"/>
    <w:rsid w:val="1B1D4C62"/>
    <w:rsid w:val="1B300E6D"/>
    <w:rsid w:val="1B356450"/>
    <w:rsid w:val="1B481CDF"/>
    <w:rsid w:val="1B4A1EFB"/>
    <w:rsid w:val="1B5A1A13"/>
    <w:rsid w:val="1B6D5BEA"/>
    <w:rsid w:val="1B851185"/>
    <w:rsid w:val="1BA756DE"/>
    <w:rsid w:val="1BCA6B98"/>
    <w:rsid w:val="1BCE6006"/>
    <w:rsid w:val="1BEC6B0F"/>
    <w:rsid w:val="1BFB1448"/>
    <w:rsid w:val="1C185B56"/>
    <w:rsid w:val="1C197B20"/>
    <w:rsid w:val="1C2E35CB"/>
    <w:rsid w:val="1C3109C5"/>
    <w:rsid w:val="1C372FE2"/>
    <w:rsid w:val="1C4D6056"/>
    <w:rsid w:val="1C5172BA"/>
    <w:rsid w:val="1C8F393E"/>
    <w:rsid w:val="1C9722C0"/>
    <w:rsid w:val="1CA53161"/>
    <w:rsid w:val="1CB17D58"/>
    <w:rsid w:val="1CBC1C20"/>
    <w:rsid w:val="1D1B6096"/>
    <w:rsid w:val="1D256F1E"/>
    <w:rsid w:val="1D444728"/>
    <w:rsid w:val="1D4D5CD3"/>
    <w:rsid w:val="1D5A219E"/>
    <w:rsid w:val="1D8A4831"/>
    <w:rsid w:val="1D9C2A76"/>
    <w:rsid w:val="1DE45A9B"/>
    <w:rsid w:val="1E0B5246"/>
    <w:rsid w:val="1E240E05"/>
    <w:rsid w:val="1E3A68C3"/>
    <w:rsid w:val="1E407A47"/>
    <w:rsid w:val="1E4603DD"/>
    <w:rsid w:val="1E4E3AB1"/>
    <w:rsid w:val="1E62130A"/>
    <w:rsid w:val="1E6257AE"/>
    <w:rsid w:val="1E796654"/>
    <w:rsid w:val="1E827BFE"/>
    <w:rsid w:val="1E836C5C"/>
    <w:rsid w:val="1E870D71"/>
    <w:rsid w:val="1E9D67E6"/>
    <w:rsid w:val="1EA336D1"/>
    <w:rsid w:val="1ED63AA6"/>
    <w:rsid w:val="1EDF41B4"/>
    <w:rsid w:val="1EF33ABA"/>
    <w:rsid w:val="1EF5217E"/>
    <w:rsid w:val="1F02489B"/>
    <w:rsid w:val="1F0A44E8"/>
    <w:rsid w:val="1F205410"/>
    <w:rsid w:val="1F3A4035"/>
    <w:rsid w:val="1F7237CF"/>
    <w:rsid w:val="1F7311D1"/>
    <w:rsid w:val="1F890B18"/>
    <w:rsid w:val="1FB262C1"/>
    <w:rsid w:val="1FCC29C7"/>
    <w:rsid w:val="1FD2426D"/>
    <w:rsid w:val="1FD44489"/>
    <w:rsid w:val="200F1FE5"/>
    <w:rsid w:val="20185CF2"/>
    <w:rsid w:val="20191E9C"/>
    <w:rsid w:val="2021771C"/>
    <w:rsid w:val="202D5948"/>
    <w:rsid w:val="205D622D"/>
    <w:rsid w:val="20686980"/>
    <w:rsid w:val="20731621"/>
    <w:rsid w:val="208328D1"/>
    <w:rsid w:val="209239FD"/>
    <w:rsid w:val="20A7394C"/>
    <w:rsid w:val="20AC4ABE"/>
    <w:rsid w:val="20B90CD6"/>
    <w:rsid w:val="20DF0776"/>
    <w:rsid w:val="20E5422A"/>
    <w:rsid w:val="20F36B91"/>
    <w:rsid w:val="20FF72E4"/>
    <w:rsid w:val="210112AE"/>
    <w:rsid w:val="213E63B9"/>
    <w:rsid w:val="2144119B"/>
    <w:rsid w:val="21537630"/>
    <w:rsid w:val="21680B92"/>
    <w:rsid w:val="21707F28"/>
    <w:rsid w:val="21815F4B"/>
    <w:rsid w:val="21871145"/>
    <w:rsid w:val="21D73DBD"/>
    <w:rsid w:val="2214125E"/>
    <w:rsid w:val="221B26FB"/>
    <w:rsid w:val="224202F2"/>
    <w:rsid w:val="22511DC1"/>
    <w:rsid w:val="22A53EBB"/>
    <w:rsid w:val="22C04851"/>
    <w:rsid w:val="22C80936"/>
    <w:rsid w:val="22E75B32"/>
    <w:rsid w:val="22EF3388"/>
    <w:rsid w:val="22F04164"/>
    <w:rsid w:val="231F3C6E"/>
    <w:rsid w:val="232F19D7"/>
    <w:rsid w:val="23386ADD"/>
    <w:rsid w:val="23751ADF"/>
    <w:rsid w:val="23871813"/>
    <w:rsid w:val="23A45F21"/>
    <w:rsid w:val="240F3CE2"/>
    <w:rsid w:val="241369E2"/>
    <w:rsid w:val="241E3F25"/>
    <w:rsid w:val="24335240"/>
    <w:rsid w:val="2438474A"/>
    <w:rsid w:val="245636BF"/>
    <w:rsid w:val="24596D0B"/>
    <w:rsid w:val="247C0C4C"/>
    <w:rsid w:val="24822393"/>
    <w:rsid w:val="248A3369"/>
    <w:rsid w:val="2492046F"/>
    <w:rsid w:val="24BE74B6"/>
    <w:rsid w:val="24FB6014"/>
    <w:rsid w:val="25010F47"/>
    <w:rsid w:val="2513335E"/>
    <w:rsid w:val="251946ED"/>
    <w:rsid w:val="25284930"/>
    <w:rsid w:val="25706A02"/>
    <w:rsid w:val="25A14E0E"/>
    <w:rsid w:val="25A93CC2"/>
    <w:rsid w:val="25C26B32"/>
    <w:rsid w:val="25DA20CE"/>
    <w:rsid w:val="25F018F1"/>
    <w:rsid w:val="26527EB6"/>
    <w:rsid w:val="265C6F87"/>
    <w:rsid w:val="26A809FC"/>
    <w:rsid w:val="26C32B62"/>
    <w:rsid w:val="26C575FB"/>
    <w:rsid w:val="26FE1361"/>
    <w:rsid w:val="27035654"/>
    <w:rsid w:val="27167136"/>
    <w:rsid w:val="27361586"/>
    <w:rsid w:val="2742617D"/>
    <w:rsid w:val="275859A0"/>
    <w:rsid w:val="27595274"/>
    <w:rsid w:val="276460F3"/>
    <w:rsid w:val="27671D48"/>
    <w:rsid w:val="27802801"/>
    <w:rsid w:val="27856069"/>
    <w:rsid w:val="278E13C2"/>
    <w:rsid w:val="27AB40C3"/>
    <w:rsid w:val="27AE736E"/>
    <w:rsid w:val="27B022FE"/>
    <w:rsid w:val="27B0413A"/>
    <w:rsid w:val="27E96DDF"/>
    <w:rsid w:val="285717B4"/>
    <w:rsid w:val="28612632"/>
    <w:rsid w:val="28681C13"/>
    <w:rsid w:val="286F7FBC"/>
    <w:rsid w:val="287265EE"/>
    <w:rsid w:val="2895052E"/>
    <w:rsid w:val="28BA1D43"/>
    <w:rsid w:val="28CF1C92"/>
    <w:rsid w:val="28D70B46"/>
    <w:rsid w:val="28E62B38"/>
    <w:rsid w:val="28E9665B"/>
    <w:rsid w:val="292162AF"/>
    <w:rsid w:val="29231FDE"/>
    <w:rsid w:val="29232806"/>
    <w:rsid w:val="294E10C9"/>
    <w:rsid w:val="29620A68"/>
    <w:rsid w:val="298365D8"/>
    <w:rsid w:val="29852351"/>
    <w:rsid w:val="299F1664"/>
    <w:rsid w:val="29BB2216"/>
    <w:rsid w:val="29D3130E"/>
    <w:rsid w:val="29DB69DF"/>
    <w:rsid w:val="2A1536D4"/>
    <w:rsid w:val="2A224043"/>
    <w:rsid w:val="2A2B2EF8"/>
    <w:rsid w:val="2A5621BB"/>
    <w:rsid w:val="2A614B6C"/>
    <w:rsid w:val="2A6308E4"/>
    <w:rsid w:val="2A645A37"/>
    <w:rsid w:val="2A6B1546"/>
    <w:rsid w:val="2A6B7798"/>
    <w:rsid w:val="2A816FBC"/>
    <w:rsid w:val="2A832D34"/>
    <w:rsid w:val="2A866380"/>
    <w:rsid w:val="2A9E7B6E"/>
    <w:rsid w:val="2AA679C6"/>
    <w:rsid w:val="2B226E3C"/>
    <w:rsid w:val="2B4D50F0"/>
    <w:rsid w:val="2B514BE0"/>
    <w:rsid w:val="2B724B56"/>
    <w:rsid w:val="2B9B4810"/>
    <w:rsid w:val="2BA2368E"/>
    <w:rsid w:val="2BB60EE7"/>
    <w:rsid w:val="2BBE6B4F"/>
    <w:rsid w:val="2BC33129"/>
    <w:rsid w:val="2BCD7061"/>
    <w:rsid w:val="2BF026C8"/>
    <w:rsid w:val="2BF043F9"/>
    <w:rsid w:val="2BF67536"/>
    <w:rsid w:val="2C1113FB"/>
    <w:rsid w:val="2C1F5578"/>
    <w:rsid w:val="2C330877"/>
    <w:rsid w:val="2C701096"/>
    <w:rsid w:val="2C7843EE"/>
    <w:rsid w:val="2C7A1F15"/>
    <w:rsid w:val="2C8132A3"/>
    <w:rsid w:val="2C842D93"/>
    <w:rsid w:val="2C9E20A7"/>
    <w:rsid w:val="2CB847EB"/>
    <w:rsid w:val="2CC66F08"/>
    <w:rsid w:val="2CCB09C2"/>
    <w:rsid w:val="2CD258AD"/>
    <w:rsid w:val="2CDB1766"/>
    <w:rsid w:val="2CE101E6"/>
    <w:rsid w:val="2CE675AA"/>
    <w:rsid w:val="2CEA0C1D"/>
    <w:rsid w:val="2D01593E"/>
    <w:rsid w:val="2D085772"/>
    <w:rsid w:val="2D0A3299"/>
    <w:rsid w:val="2D214A86"/>
    <w:rsid w:val="2D4F3C83"/>
    <w:rsid w:val="2D5B3AF4"/>
    <w:rsid w:val="2D6C3F53"/>
    <w:rsid w:val="2D742E08"/>
    <w:rsid w:val="2D8D7A26"/>
    <w:rsid w:val="2D9D78C8"/>
    <w:rsid w:val="2DAF0171"/>
    <w:rsid w:val="2DC810BF"/>
    <w:rsid w:val="2DE52C0A"/>
    <w:rsid w:val="2DE955A4"/>
    <w:rsid w:val="2DF34AFE"/>
    <w:rsid w:val="2E0F24E5"/>
    <w:rsid w:val="2E1B7727"/>
    <w:rsid w:val="2E2841FD"/>
    <w:rsid w:val="2E4F0AB3"/>
    <w:rsid w:val="2E582F68"/>
    <w:rsid w:val="2E6331BE"/>
    <w:rsid w:val="2E6764C9"/>
    <w:rsid w:val="2E6E5AA9"/>
    <w:rsid w:val="2EAC037F"/>
    <w:rsid w:val="2EB53283"/>
    <w:rsid w:val="2EB72FAC"/>
    <w:rsid w:val="2ED038FB"/>
    <w:rsid w:val="2EE81411"/>
    <w:rsid w:val="2EED4C20"/>
    <w:rsid w:val="2EFA3AD6"/>
    <w:rsid w:val="2F1E74CF"/>
    <w:rsid w:val="2F204FF5"/>
    <w:rsid w:val="2F3C5BA7"/>
    <w:rsid w:val="2F4B1946"/>
    <w:rsid w:val="2F522CD5"/>
    <w:rsid w:val="2F762E67"/>
    <w:rsid w:val="2F792957"/>
    <w:rsid w:val="2F996B56"/>
    <w:rsid w:val="2FB41BE1"/>
    <w:rsid w:val="2FB83A61"/>
    <w:rsid w:val="2FC8743B"/>
    <w:rsid w:val="2FD302BA"/>
    <w:rsid w:val="2FDD052C"/>
    <w:rsid w:val="2FF07EED"/>
    <w:rsid w:val="301B57BD"/>
    <w:rsid w:val="30471431"/>
    <w:rsid w:val="3062163D"/>
    <w:rsid w:val="306E1D90"/>
    <w:rsid w:val="307D6477"/>
    <w:rsid w:val="30AF0FF8"/>
    <w:rsid w:val="30B11C7D"/>
    <w:rsid w:val="30C45585"/>
    <w:rsid w:val="30DC13F0"/>
    <w:rsid w:val="30E315FF"/>
    <w:rsid w:val="30F57DBC"/>
    <w:rsid w:val="31097D0B"/>
    <w:rsid w:val="310D3357"/>
    <w:rsid w:val="31101099"/>
    <w:rsid w:val="3112096E"/>
    <w:rsid w:val="311346E6"/>
    <w:rsid w:val="31291D49"/>
    <w:rsid w:val="31322DBE"/>
    <w:rsid w:val="313E5C07"/>
    <w:rsid w:val="31622F17"/>
    <w:rsid w:val="31750EFD"/>
    <w:rsid w:val="317653A0"/>
    <w:rsid w:val="319977D3"/>
    <w:rsid w:val="31A0241D"/>
    <w:rsid w:val="31CE1D46"/>
    <w:rsid w:val="31E0281A"/>
    <w:rsid w:val="31E87920"/>
    <w:rsid w:val="31F44517"/>
    <w:rsid w:val="31F77B64"/>
    <w:rsid w:val="32002EBC"/>
    <w:rsid w:val="32230959"/>
    <w:rsid w:val="32244DFC"/>
    <w:rsid w:val="323A7982"/>
    <w:rsid w:val="32452FC5"/>
    <w:rsid w:val="324803BF"/>
    <w:rsid w:val="326C2300"/>
    <w:rsid w:val="32741B8D"/>
    <w:rsid w:val="32780CA4"/>
    <w:rsid w:val="327F64D7"/>
    <w:rsid w:val="32837F56"/>
    <w:rsid w:val="32BF2D77"/>
    <w:rsid w:val="32D61BB8"/>
    <w:rsid w:val="32FA790B"/>
    <w:rsid w:val="32FD35D6"/>
    <w:rsid w:val="33095DA0"/>
    <w:rsid w:val="330E2874"/>
    <w:rsid w:val="33345E3E"/>
    <w:rsid w:val="33437504"/>
    <w:rsid w:val="334D5163"/>
    <w:rsid w:val="335F7BE9"/>
    <w:rsid w:val="336C3624"/>
    <w:rsid w:val="3381627F"/>
    <w:rsid w:val="338C7CA4"/>
    <w:rsid w:val="338D4C23"/>
    <w:rsid w:val="339B7340"/>
    <w:rsid w:val="339C4E66"/>
    <w:rsid w:val="33B73A4E"/>
    <w:rsid w:val="33BC371B"/>
    <w:rsid w:val="33BF3E80"/>
    <w:rsid w:val="33C148CD"/>
    <w:rsid w:val="33C566E9"/>
    <w:rsid w:val="33D32439"/>
    <w:rsid w:val="33D625F2"/>
    <w:rsid w:val="33DE0FDB"/>
    <w:rsid w:val="340C5B48"/>
    <w:rsid w:val="34264730"/>
    <w:rsid w:val="342C7F98"/>
    <w:rsid w:val="34842C2E"/>
    <w:rsid w:val="34977C79"/>
    <w:rsid w:val="34AA710F"/>
    <w:rsid w:val="34B74CFC"/>
    <w:rsid w:val="34CC3262"/>
    <w:rsid w:val="34D13BB2"/>
    <w:rsid w:val="34D8179E"/>
    <w:rsid w:val="34E16FD5"/>
    <w:rsid w:val="34E341D7"/>
    <w:rsid w:val="34E70033"/>
    <w:rsid w:val="35065D4F"/>
    <w:rsid w:val="35132F06"/>
    <w:rsid w:val="3522139B"/>
    <w:rsid w:val="35492DCC"/>
    <w:rsid w:val="355C48AD"/>
    <w:rsid w:val="3578720D"/>
    <w:rsid w:val="357A2F85"/>
    <w:rsid w:val="35867372"/>
    <w:rsid w:val="359C114E"/>
    <w:rsid w:val="35AF70D3"/>
    <w:rsid w:val="35B911EC"/>
    <w:rsid w:val="35BA7826"/>
    <w:rsid w:val="35C16E06"/>
    <w:rsid w:val="35CB1A33"/>
    <w:rsid w:val="35F44AE6"/>
    <w:rsid w:val="360D5BA8"/>
    <w:rsid w:val="361270E7"/>
    <w:rsid w:val="36160F00"/>
    <w:rsid w:val="363650FE"/>
    <w:rsid w:val="36590DED"/>
    <w:rsid w:val="36820344"/>
    <w:rsid w:val="36853990"/>
    <w:rsid w:val="3687043C"/>
    <w:rsid w:val="36A209E6"/>
    <w:rsid w:val="36AB6CC6"/>
    <w:rsid w:val="36CD4EE7"/>
    <w:rsid w:val="36E7289C"/>
    <w:rsid w:val="36F56D67"/>
    <w:rsid w:val="370C29C3"/>
    <w:rsid w:val="371B478C"/>
    <w:rsid w:val="371E0FBB"/>
    <w:rsid w:val="37492C0F"/>
    <w:rsid w:val="37620FF1"/>
    <w:rsid w:val="3793032E"/>
    <w:rsid w:val="37A75A66"/>
    <w:rsid w:val="37B2058C"/>
    <w:rsid w:val="37BA3B0D"/>
    <w:rsid w:val="37C56D90"/>
    <w:rsid w:val="37D7646D"/>
    <w:rsid w:val="38044D88"/>
    <w:rsid w:val="38233460"/>
    <w:rsid w:val="38241FE4"/>
    <w:rsid w:val="38376F0C"/>
    <w:rsid w:val="383C4522"/>
    <w:rsid w:val="38514471"/>
    <w:rsid w:val="386D6DD1"/>
    <w:rsid w:val="38806B05"/>
    <w:rsid w:val="388C36FB"/>
    <w:rsid w:val="38AA06AD"/>
    <w:rsid w:val="38FD2AEC"/>
    <w:rsid w:val="39074B30"/>
    <w:rsid w:val="390A2872"/>
    <w:rsid w:val="390E58B1"/>
    <w:rsid w:val="391E0899"/>
    <w:rsid w:val="39276F80"/>
    <w:rsid w:val="393D0552"/>
    <w:rsid w:val="39406294"/>
    <w:rsid w:val="39643D30"/>
    <w:rsid w:val="396E2E01"/>
    <w:rsid w:val="39801E76"/>
    <w:rsid w:val="39A46823"/>
    <w:rsid w:val="39AF05D8"/>
    <w:rsid w:val="39C12F31"/>
    <w:rsid w:val="39D35A52"/>
    <w:rsid w:val="39E60BE9"/>
    <w:rsid w:val="39EE7A9E"/>
    <w:rsid w:val="3A080B60"/>
    <w:rsid w:val="3A091F94"/>
    <w:rsid w:val="3A0E1EEE"/>
    <w:rsid w:val="3A325BDD"/>
    <w:rsid w:val="3A40479E"/>
    <w:rsid w:val="3A683CF4"/>
    <w:rsid w:val="3A72247D"/>
    <w:rsid w:val="3A966448"/>
    <w:rsid w:val="3AC52EF5"/>
    <w:rsid w:val="3AD153F6"/>
    <w:rsid w:val="3AF31810"/>
    <w:rsid w:val="3AF62961"/>
    <w:rsid w:val="3AF630AE"/>
    <w:rsid w:val="3B4262F3"/>
    <w:rsid w:val="3B9B5A04"/>
    <w:rsid w:val="3BA0301A"/>
    <w:rsid w:val="3BAC6C4D"/>
    <w:rsid w:val="3BBF5B96"/>
    <w:rsid w:val="3BC35686"/>
    <w:rsid w:val="3BC84CE1"/>
    <w:rsid w:val="3BEE61FC"/>
    <w:rsid w:val="3BF27D19"/>
    <w:rsid w:val="3BFC46F4"/>
    <w:rsid w:val="3C0B2B89"/>
    <w:rsid w:val="3C140113"/>
    <w:rsid w:val="3C1557B6"/>
    <w:rsid w:val="3C1732DC"/>
    <w:rsid w:val="3C1934F8"/>
    <w:rsid w:val="3C1F329E"/>
    <w:rsid w:val="3C26747D"/>
    <w:rsid w:val="3C2679C3"/>
    <w:rsid w:val="3C357C06"/>
    <w:rsid w:val="3C371692"/>
    <w:rsid w:val="3C3C71E7"/>
    <w:rsid w:val="3C683B38"/>
    <w:rsid w:val="3CAB2AE0"/>
    <w:rsid w:val="3CB90837"/>
    <w:rsid w:val="3CC850DB"/>
    <w:rsid w:val="3CD97D33"/>
    <w:rsid w:val="3CE55188"/>
    <w:rsid w:val="3CEC4769"/>
    <w:rsid w:val="3CF03B2D"/>
    <w:rsid w:val="3CF44569"/>
    <w:rsid w:val="3D1B4AEB"/>
    <w:rsid w:val="3D4F6AA6"/>
    <w:rsid w:val="3D74650C"/>
    <w:rsid w:val="3D842BF3"/>
    <w:rsid w:val="3DA27781"/>
    <w:rsid w:val="3DA52B6A"/>
    <w:rsid w:val="3DB64D77"/>
    <w:rsid w:val="3DBD4357"/>
    <w:rsid w:val="3DC56D68"/>
    <w:rsid w:val="3DD53CF9"/>
    <w:rsid w:val="3DD645A5"/>
    <w:rsid w:val="3DD76099"/>
    <w:rsid w:val="3DDD67A7"/>
    <w:rsid w:val="3E175815"/>
    <w:rsid w:val="3E2972F7"/>
    <w:rsid w:val="3E3E4B92"/>
    <w:rsid w:val="3E416D36"/>
    <w:rsid w:val="3E491747"/>
    <w:rsid w:val="3E4E4FAF"/>
    <w:rsid w:val="3E810EE1"/>
    <w:rsid w:val="3E9606F3"/>
    <w:rsid w:val="3EAD1CD6"/>
    <w:rsid w:val="3EC00451"/>
    <w:rsid w:val="3ED25BE0"/>
    <w:rsid w:val="3EEA117C"/>
    <w:rsid w:val="3F0044FB"/>
    <w:rsid w:val="3F11495A"/>
    <w:rsid w:val="3F116709"/>
    <w:rsid w:val="3F195F84"/>
    <w:rsid w:val="3F2D1069"/>
    <w:rsid w:val="3F6031EC"/>
    <w:rsid w:val="3F6251B6"/>
    <w:rsid w:val="3F746C97"/>
    <w:rsid w:val="3F762A0F"/>
    <w:rsid w:val="3F836EDA"/>
    <w:rsid w:val="3F9133A5"/>
    <w:rsid w:val="3F950790"/>
    <w:rsid w:val="3FB24FA5"/>
    <w:rsid w:val="3FD41A87"/>
    <w:rsid w:val="3FE07D11"/>
    <w:rsid w:val="3FFF0C57"/>
    <w:rsid w:val="40004A8E"/>
    <w:rsid w:val="40297A82"/>
    <w:rsid w:val="402D7572"/>
    <w:rsid w:val="40493C80"/>
    <w:rsid w:val="406D5BC1"/>
    <w:rsid w:val="407C22A8"/>
    <w:rsid w:val="40914181"/>
    <w:rsid w:val="40AA12E3"/>
    <w:rsid w:val="40AB493B"/>
    <w:rsid w:val="40BD6BEA"/>
    <w:rsid w:val="40C31C84"/>
    <w:rsid w:val="40E37C31"/>
    <w:rsid w:val="410F0A26"/>
    <w:rsid w:val="41354204"/>
    <w:rsid w:val="414803DC"/>
    <w:rsid w:val="415D6156"/>
    <w:rsid w:val="417116E0"/>
    <w:rsid w:val="41740220"/>
    <w:rsid w:val="41760AA5"/>
    <w:rsid w:val="41BB6E00"/>
    <w:rsid w:val="41BE41FA"/>
    <w:rsid w:val="41E2438C"/>
    <w:rsid w:val="41E41548"/>
    <w:rsid w:val="41EF0857"/>
    <w:rsid w:val="41F61BE6"/>
    <w:rsid w:val="41FB36A0"/>
    <w:rsid w:val="41FF7B3F"/>
    <w:rsid w:val="42240501"/>
    <w:rsid w:val="42447B16"/>
    <w:rsid w:val="424E557E"/>
    <w:rsid w:val="425608D6"/>
    <w:rsid w:val="429367C5"/>
    <w:rsid w:val="42A653BA"/>
    <w:rsid w:val="42B933F4"/>
    <w:rsid w:val="42C35F6C"/>
    <w:rsid w:val="42D812EB"/>
    <w:rsid w:val="42E303BC"/>
    <w:rsid w:val="43212C92"/>
    <w:rsid w:val="432509D4"/>
    <w:rsid w:val="434846C3"/>
    <w:rsid w:val="434F5A51"/>
    <w:rsid w:val="43813731"/>
    <w:rsid w:val="438D0328"/>
    <w:rsid w:val="43B41D58"/>
    <w:rsid w:val="43BD17FC"/>
    <w:rsid w:val="43DD12AF"/>
    <w:rsid w:val="43E97C54"/>
    <w:rsid w:val="44061C4D"/>
    <w:rsid w:val="442E1B0B"/>
    <w:rsid w:val="443D3AFC"/>
    <w:rsid w:val="44501A81"/>
    <w:rsid w:val="445F1CC4"/>
    <w:rsid w:val="44A12FFE"/>
    <w:rsid w:val="44A771C7"/>
    <w:rsid w:val="44CE0BF8"/>
    <w:rsid w:val="44D02BC2"/>
    <w:rsid w:val="44EE3048"/>
    <w:rsid w:val="451C1963"/>
    <w:rsid w:val="451E56DB"/>
    <w:rsid w:val="45252F0E"/>
    <w:rsid w:val="452B7DF8"/>
    <w:rsid w:val="453F5652"/>
    <w:rsid w:val="455B6C5A"/>
    <w:rsid w:val="456128B0"/>
    <w:rsid w:val="45672879"/>
    <w:rsid w:val="456A6B72"/>
    <w:rsid w:val="45C2075D"/>
    <w:rsid w:val="45C344D5"/>
    <w:rsid w:val="45D1711C"/>
    <w:rsid w:val="45DE30BD"/>
    <w:rsid w:val="45F27617"/>
    <w:rsid w:val="46096AFC"/>
    <w:rsid w:val="46192347"/>
    <w:rsid w:val="462705C0"/>
    <w:rsid w:val="462D194E"/>
    <w:rsid w:val="46401681"/>
    <w:rsid w:val="465D0485"/>
    <w:rsid w:val="465D66D7"/>
    <w:rsid w:val="466C2476"/>
    <w:rsid w:val="469814BD"/>
    <w:rsid w:val="46C2478C"/>
    <w:rsid w:val="46CC5A5D"/>
    <w:rsid w:val="46D50A21"/>
    <w:rsid w:val="46DA3884"/>
    <w:rsid w:val="46E95032"/>
    <w:rsid w:val="46EB5A91"/>
    <w:rsid w:val="46EC3F49"/>
    <w:rsid w:val="47A520E4"/>
    <w:rsid w:val="47B71E17"/>
    <w:rsid w:val="47D227AD"/>
    <w:rsid w:val="480536FB"/>
    <w:rsid w:val="480A1F47"/>
    <w:rsid w:val="480D7C89"/>
    <w:rsid w:val="4813679C"/>
    <w:rsid w:val="482F19AD"/>
    <w:rsid w:val="4840005F"/>
    <w:rsid w:val="487E46E3"/>
    <w:rsid w:val="48A2469A"/>
    <w:rsid w:val="48C9076A"/>
    <w:rsid w:val="48D367DD"/>
    <w:rsid w:val="48E409EA"/>
    <w:rsid w:val="48EB47DC"/>
    <w:rsid w:val="48F74BC1"/>
    <w:rsid w:val="49060960"/>
    <w:rsid w:val="4941408E"/>
    <w:rsid w:val="4968786D"/>
    <w:rsid w:val="49781F29"/>
    <w:rsid w:val="497A134E"/>
    <w:rsid w:val="497C6E74"/>
    <w:rsid w:val="497F641E"/>
    <w:rsid w:val="498E6BA8"/>
    <w:rsid w:val="49920D85"/>
    <w:rsid w:val="49C32CF5"/>
    <w:rsid w:val="49C64593"/>
    <w:rsid w:val="49CA4084"/>
    <w:rsid w:val="49DE368B"/>
    <w:rsid w:val="49E62540"/>
    <w:rsid w:val="49E77774"/>
    <w:rsid w:val="49F17862"/>
    <w:rsid w:val="49F44C5D"/>
    <w:rsid w:val="4A0941C9"/>
    <w:rsid w:val="4A1946C3"/>
    <w:rsid w:val="4A4C2CEB"/>
    <w:rsid w:val="4A58168F"/>
    <w:rsid w:val="4A6307A0"/>
    <w:rsid w:val="4A6C513B"/>
    <w:rsid w:val="4A6E3785"/>
    <w:rsid w:val="4A7B712C"/>
    <w:rsid w:val="4A851D59"/>
    <w:rsid w:val="4AB909D1"/>
    <w:rsid w:val="4B1C76D6"/>
    <w:rsid w:val="4B394180"/>
    <w:rsid w:val="4B683B54"/>
    <w:rsid w:val="4B693428"/>
    <w:rsid w:val="4BA12D45"/>
    <w:rsid w:val="4BAB3A41"/>
    <w:rsid w:val="4BC32B39"/>
    <w:rsid w:val="4BCF5981"/>
    <w:rsid w:val="4BDF193C"/>
    <w:rsid w:val="4BE62CCB"/>
    <w:rsid w:val="4BF61160"/>
    <w:rsid w:val="4C1B0BC7"/>
    <w:rsid w:val="4C2757BD"/>
    <w:rsid w:val="4C2767A6"/>
    <w:rsid w:val="4C4579F1"/>
    <w:rsid w:val="4C72455F"/>
    <w:rsid w:val="4C8629AE"/>
    <w:rsid w:val="4C9B5863"/>
    <w:rsid w:val="4CA66A2C"/>
    <w:rsid w:val="4CB13B3B"/>
    <w:rsid w:val="4CE23492"/>
    <w:rsid w:val="4D3B2BA3"/>
    <w:rsid w:val="4D422183"/>
    <w:rsid w:val="4D6B792C"/>
    <w:rsid w:val="4D7560B4"/>
    <w:rsid w:val="4D76426D"/>
    <w:rsid w:val="4D785BA5"/>
    <w:rsid w:val="4D8602C2"/>
    <w:rsid w:val="4D9A5B1B"/>
    <w:rsid w:val="4DB12E65"/>
    <w:rsid w:val="4DCC674D"/>
    <w:rsid w:val="4DE82D2A"/>
    <w:rsid w:val="4DFE42FC"/>
    <w:rsid w:val="4E0B07C7"/>
    <w:rsid w:val="4E1F24C4"/>
    <w:rsid w:val="4E263853"/>
    <w:rsid w:val="4E3A64E4"/>
    <w:rsid w:val="4E3E294A"/>
    <w:rsid w:val="4E4D5283"/>
    <w:rsid w:val="4E616639"/>
    <w:rsid w:val="4E6F0D56"/>
    <w:rsid w:val="4E736BF3"/>
    <w:rsid w:val="4EA07161"/>
    <w:rsid w:val="4EAF55F6"/>
    <w:rsid w:val="4EC11450"/>
    <w:rsid w:val="4EDB63EB"/>
    <w:rsid w:val="4F16463F"/>
    <w:rsid w:val="4F4421E2"/>
    <w:rsid w:val="4F686E24"/>
    <w:rsid w:val="4F6B59C1"/>
    <w:rsid w:val="4F702FD7"/>
    <w:rsid w:val="4F806F93"/>
    <w:rsid w:val="4F93316A"/>
    <w:rsid w:val="4F9A79D9"/>
    <w:rsid w:val="4FB01626"/>
    <w:rsid w:val="4FB82BD0"/>
    <w:rsid w:val="4FFC0D0F"/>
    <w:rsid w:val="50175B49"/>
    <w:rsid w:val="501F0559"/>
    <w:rsid w:val="502838B2"/>
    <w:rsid w:val="50583834"/>
    <w:rsid w:val="507408A5"/>
    <w:rsid w:val="507B0DAF"/>
    <w:rsid w:val="50925430"/>
    <w:rsid w:val="50E0418D"/>
    <w:rsid w:val="50EF617E"/>
    <w:rsid w:val="511429EF"/>
    <w:rsid w:val="51257DF2"/>
    <w:rsid w:val="51340212"/>
    <w:rsid w:val="51581F75"/>
    <w:rsid w:val="51605661"/>
    <w:rsid w:val="51654692"/>
    <w:rsid w:val="516C4767"/>
    <w:rsid w:val="5187285A"/>
    <w:rsid w:val="518C1C1F"/>
    <w:rsid w:val="519B00B4"/>
    <w:rsid w:val="51CB489B"/>
    <w:rsid w:val="51DA0BDC"/>
    <w:rsid w:val="51E45EF2"/>
    <w:rsid w:val="51FA140B"/>
    <w:rsid w:val="520B3E30"/>
    <w:rsid w:val="520B6FE7"/>
    <w:rsid w:val="521515B8"/>
    <w:rsid w:val="521A1920"/>
    <w:rsid w:val="521D4F6D"/>
    <w:rsid w:val="522D090A"/>
    <w:rsid w:val="5253098E"/>
    <w:rsid w:val="525468E9"/>
    <w:rsid w:val="52796647"/>
    <w:rsid w:val="528C6346"/>
    <w:rsid w:val="52911BE2"/>
    <w:rsid w:val="52923AD9"/>
    <w:rsid w:val="52C378C2"/>
    <w:rsid w:val="52CA0C50"/>
    <w:rsid w:val="52CB49C9"/>
    <w:rsid w:val="52CF4157"/>
    <w:rsid w:val="530929F0"/>
    <w:rsid w:val="532C190B"/>
    <w:rsid w:val="534240A2"/>
    <w:rsid w:val="534529CD"/>
    <w:rsid w:val="53687272"/>
    <w:rsid w:val="53986FA1"/>
    <w:rsid w:val="53A72D40"/>
    <w:rsid w:val="53B86CFB"/>
    <w:rsid w:val="53BF452D"/>
    <w:rsid w:val="53CB2ED2"/>
    <w:rsid w:val="53EC109A"/>
    <w:rsid w:val="53FC2EA8"/>
    <w:rsid w:val="54065CB8"/>
    <w:rsid w:val="54085E94"/>
    <w:rsid w:val="54177EC5"/>
    <w:rsid w:val="54181E8F"/>
    <w:rsid w:val="54336CC9"/>
    <w:rsid w:val="545E7B01"/>
    <w:rsid w:val="54617393"/>
    <w:rsid w:val="546662FF"/>
    <w:rsid w:val="548E5CAE"/>
    <w:rsid w:val="549F78A0"/>
    <w:rsid w:val="54BC6C04"/>
    <w:rsid w:val="54C31C71"/>
    <w:rsid w:val="54D062C6"/>
    <w:rsid w:val="54D15109"/>
    <w:rsid w:val="54F77CF7"/>
    <w:rsid w:val="5510646B"/>
    <w:rsid w:val="55223C09"/>
    <w:rsid w:val="553535AF"/>
    <w:rsid w:val="556D1D67"/>
    <w:rsid w:val="55945546"/>
    <w:rsid w:val="55A21A11"/>
    <w:rsid w:val="55A41C2D"/>
    <w:rsid w:val="55C776C9"/>
    <w:rsid w:val="55DF4A13"/>
    <w:rsid w:val="55EF0F49"/>
    <w:rsid w:val="562C577E"/>
    <w:rsid w:val="56322D3C"/>
    <w:rsid w:val="56476BAD"/>
    <w:rsid w:val="56494582"/>
    <w:rsid w:val="569125E7"/>
    <w:rsid w:val="56B063AF"/>
    <w:rsid w:val="56C80AC9"/>
    <w:rsid w:val="56FB3ACE"/>
    <w:rsid w:val="57154464"/>
    <w:rsid w:val="576108E6"/>
    <w:rsid w:val="5774562F"/>
    <w:rsid w:val="57776ECD"/>
    <w:rsid w:val="57A910C2"/>
    <w:rsid w:val="57F64296"/>
    <w:rsid w:val="57F66044"/>
    <w:rsid w:val="57F95B34"/>
    <w:rsid w:val="580C3AB9"/>
    <w:rsid w:val="58247055"/>
    <w:rsid w:val="583B614D"/>
    <w:rsid w:val="583C439E"/>
    <w:rsid w:val="58590872"/>
    <w:rsid w:val="586438F5"/>
    <w:rsid w:val="58687149"/>
    <w:rsid w:val="589917F1"/>
    <w:rsid w:val="58AB6E2E"/>
    <w:rsid w:val="58AC2BA6"/>
    <w:rsid w:val="58BE1257"/>
    <w:rsid w:val="58C3061C"/>
    <w:rsid w:val="58DC16DE"/>
    <w:rsid w:val="58E3481A"/>
    <w:rsid w:val="58E42340"/>
    <w:rsid w:val="58E862D4"/>
    <w:rsid w:val="58F46A27"/>
    <w:rsid w:val="58FC1D80"/>
    <w:rsid w:val="592311FF"/>
    <w:rsid w:val="59307E11"/>
    <w:rsid w:val="59AD307A"/>
    <w:rsid w:val="59CF1242"/>
    <w:rsid w:val="59DB1995"/>
    <w:rsid w:val="59EC5950"/>
    <w:rsid w:val="59EF17BB"/>
    <w:rsid w:val="59F64A21"/>
    <w:rsid w:val="59FC1447"/>
    <w:rsid w:val="5A252C10"/>
    <w:rsid w:val="5A315A59"/>
    <w:rsid w:val="5A353D76"/>
    <w:rsid w:val="5A557EF1"/>
    <w:rsid w:val="5A622200"/>
    <w:rsid w:val="5A78078F"/>
    <w:rsid w:val="5A875679"/>
    <w:rsid w:val="5A89319F"/>
    <w:rsid w:val="5A9F6E67"/>
    <w:rsid w:val="5AB50438"/>
    <w:rsid w:val="5ABA77FD"/>
    <w:rsid w:val="5ABD553F"/>
    <w:rsid w:val="5AD20FEA"/>
    <w:rsid w:val="5AF95B09"/>
    <w:rsid w:val="5AFF16B3"/>
    <w:rsid w:val="5B135437"/>
    <w:rsid w:val="5B1E7D8B"/>
    <w:rsid w:val="5B417CDA"/>
    <w:rsid w:val="5B5E287E"/>
    <w:rsid w:val="5B661217"/>
    <w:rsid w:val="5B6F4BD6"/>
    <w:rsid w:val="5B857E0A"/>
    <w:rsid w:val="5B953DC6"/>
    <w:rsid w:val="5B991B08"/>
    <w:rsid w:val="5BA65FD3"/>
    <w:rsid w:val="5BE17107"/>
    <w:rsid w:val="5BE72873"/>
    <w:rsid w:val="5C007491"/>
    <w:rsid w:val="5C034E85"/>
    <w:rsid w:val="5C0351D3"/>
    <w:rsid w:val="5C0408CD"/>
    <w:rsid w:val="5C190553"/>
    <w:rsid w:val="5C277114"/>
    <w:rsid w:val="5C3D2493"/>
    <w:rsid w:val="5C4A4BB0"/>
    <w:rsid w:val="5C602626"/>
    <w:rsid w:val="5C9A5B38"/>
    <w:rsid w:val="5C9D73D6"/>
    <w:rsid w:val="5CBA7F88"/>
    <w:rsid w:val="5CCE758F"/>
    <w:rsid w:val="5CD050B5"/>
    <w:rsid w:val="5D027239"/>
    <w:rsid w:val="5D164916"/>
    <w:rsid w:val="5D30626B"/>
    <w:rsid w:val="5D451C84"/>
    <w:rsid w:val="5D4527CE"/>
    <w:rsid w:val="5D891708"/>
    <w:rsid w:val="5DF72B16"/>
    <w:rsid w:val="5DFF417F"/>
    <w:rsid w:val="5E0A0A9B"/>
    <w:rsid w:val="5E1E00A2"/>
    <w:rsid w:val="5E2C6599"/>
    <w:rsid w:val="5E3975B8"/>
    <w:rsid w:val="5E4C4C10"/>
    <w:rsid w:val="5E510478"/>
    <w:rsid w:val="5E5C21ED"/>
    <w:rsid w:val="5E7A5C21"/>
    <w:rsid w:val="5E9465B6"/>
    <w:rsid w:val="5EF157B7"/>
    <w:rsid w:val="5F0B4ACB"/>
    <w:rsid w:val="5F1507F9"/>
    <w:rsid w:val="5F2E2567"/>
    <w:rsid w:val="5F697A43"/>
    <w:rsid w:val="5F6B1C1D"/>
    <w:rsid w:val="5F73441E"/>
    <w:rsid w:val="5F85487D"/>
    <w:rsid w:val="5F9E593F"/>
    <w:rsid w:val="5FA171DD"/>
    <w:rsid w:val="5FB011CE"/>
    <w:rsid w:val="5FBE1B3D"/>
    <w:rsid w:val="5FCA6734"/>
    <w:rsid w:val="5FE923EC"/>
    <w:rsid w:val="5FFC2665"/>
    <w:rsid w:val="600268B3"/>
    <w:rsid w:val="603242D9"/>
    <w:rsid w:val="60395667"/>
    <w:rsid w:val="605F4B24"/>
    <w:rsid w:val="606D5311"/>
    <w:rsid w:val="606E3563"/>
    <w:rsid w:val="607D5554"/>
    <w:rsid w:val="608A5EC3"/>
    <w:rsid w:val="608C39E9"/>
    <w:rsid w:val="608E59B3"/>
    <w:rsid w:val="60932D75"/>
    <w:rsid w:val="60A26D69"/>
    <w:rsid w:val="60A421BF"/>
    <w:rsid w:val="60F375C4"/>
    <w:rsid w:val="61120392"/>
    <w:rsid w:val="611D0AE5"/>
    <w:rsid w:val="61225FC0"/>
    <w:rsid w:val="612C6F7A"/>
    <w:rsid w:val="613A51F3"/>
    <w:rsid w:val="614E0C9F"/>
    <w:rsid w:val="61656047"/>
    <w:rsid w:val="616B35FF"/>
    <w:rsid w:val="61860438"/>
    <w:rsid w:val="61A60ADB"/>
    <w:rsid w:val="61AE759F"/>
    <w:rsid w:val="61B9586C"/>
    <w:rsid w:val="620C24D2"/>
    <w:rsid w:val="621B3277"/>
    <w:rsid w:val="62255052"/>
    <w:rsid w:val="623460E6"/>
    <w:rsid w:val="625D388F"/>
    <w:rsid w:val="626610C2"/>
    <w:rsid w:val="626F5370"/>
    <w:rsid w:val="62762766"/>
    <w:rsid w:val="628B5DCE"/>
    <w:rsid w:val="629B7F14"/>
    <w:rsid w:val="62A321CF"/>
    <w:rsid w:val="62AF1C11"/>
    <w:rsid w:val="62BD432E"/>
    <w:rsid w:val="62F554A5"/>
    <w:rsid w:val="62FA7330"/>
    <w:rsid w:val="62FB09B2"/>
    <w:rsid w:val="633F6AEC"/>
    <w:rsid w:val="63461EEC"/>
    <w:rsid w:val="63556314"/>
    <w:rsid w:val="63640C4D"/>
    <w:rsid w:val="6368023C"/>
    <w:rsid w:val="6368410C"/>
    <w:rsid w:val="637A3FCD"/>
    <w:rsid w:val="639A7632"/>
    <w:rsid w:val="63AB23D8"/>
    <w:rsid w:val="63B53257"/>
    <w:rsid w:val="63C62C1B"/>
    <w:rsid w:val="63D23E09"/>
    <w:rsid w:val="63E678B4"/>
    <w:rsid w:val="63F630D6"/>
    <w:rsid w:val="63F7561D"/>
    <w:rsid w:val="640C3047"/>
    <w:rsid w:val="641E0DFC"/>
    <w:rsid w:val="64222990"/>
    <w:rsid w:val="64526CF8"/>
    <w:rsid w:val="645E569D"/>
    <w:rsid w:val="646E3349"/>
    <w:rsid w:val="647606DB"/>
    <w:rsid w:val="64760C38"/>
    <w:rsid w:val="649410BE"/>
    <w:rsid w:val="649A0DC1"/>
    <w:rsid w:val="64B140D9"/>
    <w:rsid w:val="64B928D3"/>
    <w:rsid w:val="64CE4497"/>
    <w:rsid w:val="64CE57E9"/>
    <w:rsid w:val="64DD2A65"/>
    <w:rsid w:val="64E35BA2"/>
    <w:rsid w:val="64F97173"/>
    <w:rsid w:val="64FE29DC"/>
    <w:rsid w:val="65051FBC"/>
    <w:rsid w:val="65077AE2"/>
    <w:rsid w:val="651915C4"/>
    <w:rsid w:val="6549634D"/>
    <w:rsid w:val="6554084E"/>
    <w:rsid w:val="6559603C"/>
    <w:rsid w:val="656B62C3"/>
    <w:rsid w:val="656E53F6"/>
    <w:rsid w:val="658A1FEA"/>
    <w:rsid w:val="658C5F83"/>
    <w:rsid w:val="65A92947"/>
    <w:rsid w:val="65D11E9E"/>
    <w:rsid w:val="65D57BE0"/>
    <w:rsid w:val="65E5679C"/>
    <w:rsid w:val="66042274"/>
    <w:rsid w:val="66522FDF"/>
    <w:rsid w:val="66524D8D"/>
    <w:rsid w:val="665A3DE7"/>
    <w:rsid w:val="667016B7"/>
    <w:rsid w:val="66807B4C"/>
    <w:rsid w:val="669F466B"/>
    <w:rsid w:val="66AB6DD7"/>
    <w:rsid w:val="66C832A1"/>
    <w:rsid w:val="66E0683D"/>
    <w:rsid w:val="670C13E0"/>
    <w:rsid w:val="671E7365"/>
    <w:rsid w:val="6747066A"/>
    <w:rsid w:val="674768BC"/>
    <w:rsid w:val="67766820"/>
    <w:rsid w:val="6779459B"/>
    <w:rsid w:val="67990036"/>
    <w:rsid w:val="679D5123"/>
    <w:rsid w:val="67A76795"/>
    <w:rsid w:val="67B87403"/>
    <w:rsid w:val="67BA0661"/>
    <w:rsid w:val="67C021CA"/>
    <w:rsid w:val="68040309"/>
    <w:rsid w:val="68295FC1"/>
    <w:rsid w:val="682C16AC"/>
    <w:rsid w:val="68331DFD"/>
    <w:rsid w:val="686D4100"/>
    <w:rsid w:val="687731D1"/>
    <w:rsid w:val="688447D5"/>
    <w:rsid w:val="688D02FE"/>
    <w:rsid w:val="68A01308"/>
    <w:rsid w:val="68A044D6"/>
    <w:rsid w:val="68A613C0"/>
    <w:rsid w:val="68D777CC"/>
    <w:rsid w:val="68D91796"/>
    <w:rsid w:val="68E87037"/>
    <w:rsid w:val="68EA74FF"/>
    <w:rsid w:val="69146C72"/>
    <w:rsid w:val="694F3806"/>
    <w:rsid w:val="696F20FA"/>
    <w:rsid w:val="697B0A9F"/>
    <w:rsid w:val="699B6A4B"/>
    <w:rsid w:val="69BE3957"/>
    <w:rsid w:val="69DF149D"/>
    <w:rsid w:val="69E20B1E"/>
    <w:rsid w:val="6A036022"/>
    <w:rsid w:val="6A220F1A"/>
    <w:rsid w:val="6A260A0B"/>
    <w:rsid w:val="6A705E52"/>
    <w:rsid w:val="6A835E5D"/>
    <w:rsid w:val="6A8B5E81"/>
    <w:rsid w:val="6AB204F0"/>
    <w:rsid w:val="6ABC4ECB"/>
    <w:rsid w:val="6ADE7537"/>
    <w:rsid w:val="6ADF0BB9"/>
    <w:rsid w:val="6AE663EC"/>
    <w:rsid w:val="6AF208ED"/>
    <w:rsid w:val="6B1B6095"/>
    <w:rsid w:val="6B1E16E2"/>
    <w:rsid w:val="6B234F4A"/>
    <w:rsid w:val="6B3158B9"/>
    <w:rsid w:val="6B3F3E52"/>
    <w:rsid w:val="6B575266"/>
    <w:rsid w:val="6B5B47E8"/>
    <w:rsid w:val="6B6C4B43"/>
    <w:rsid w:val="6B6E08BB"/>
    <w:rsid w:val="6BCA3618"/>
    <w:rsid w:val="6BCB7B12"/>
    <w:rsid w:val="6BEB1F0C"/>
    <w:rsid w:val="6C046B2A"/>
    <w:rsid w:val="6C054650"/>
    <w:rsid w:val="6C25681A"/>
    <w:rsid w:val="6C2947E2"/>
    <w:rsid w:val="6C3A254B"/>
    <w:rsid w:val="6C4B6506"/>
    <w:rsid w:val="6C663340"/>
    <w:rsid w:val="6C99007D"/>
    <w:rsid w:val="6CA83959"/>
    <w:rsid w:val="6CC462B9"/>
    <w:rsid w:val="6CD64555"/>
    <w:rsid w:val="6CEA20A3"/>
    <w:rsid w:val="6CED7215"/>
    <w:rsid w:val="6CF50B68"/>
    <w:rsid w:val="6CF7668E"/>
    <w:rsid w:val="6D17288C"/>
    <w:rsid w:val="6D262AD0"/>
    <w:rsid w:val="6D3C0545"/>
    <w:rsid w:val="6D567859"/>
    <w:rsid w:val="6D57712D"/>
    <w:rsid w:val="6D5C108B"/>
    <w:rsid w:val="6D6C0E2A"/>
    <w:rsid w:val="6D8F68C7"/>
    <w:rsid w:val="6D937D4E"/>
    <w:rsid w:val="6DC522E8"/>
    <w:rsid w:val="6DC76061"/>
    <w:rsid w:val="6DE704B1"/>
    <w:rsid w:val="6DEB098B"/>
    <w:rsid w:val="6DFB21AE"/>
    <w:rsid w:val="6E162B44"/>
    <w:rsid w:val="6E71421E"/>
    <w:rsid w:val="6E9161ED"/>
    <w:rsid w:val="6EBD7464"/>
    <w:rsid w:val="6EC25149"/>
    <w:rsid w:val="6ED45730"/>
    <w:rsid w:val="6F131540"/>
    <w:rsid w:val="6F215CBC"/>
    <w:rsid w:val="6F343BCA"/>
    <w:rsid w:val="6F771D08"/>
    <w:rsid w:val="6F7E218C"/>
    <w:rsid w:val="6F9F3E00"/>
    <w:rsid w:val="6FA06B69"/>
    <w:rsid w:val="6FA10543"/>
    <w:rsid w:val="6FA10B33"/>
    <w:rsid w:val="6FBA447B"/>
    <w:rsid w:val="6FC647F1"/>
    <w:rsid w:val="6FCC795E"/>
    <w:rsid w:val="6FD20CED"/>
    <w:rsid w:val="6FD33C04"/>
    <w:rsid w:val="702443DE"/>
    <w:rsid w:val="704569AF"/>
    <w:rsid w:val="704716DB"/>
    <w:rsid w:val="705B6F34"/>
    <w:rsid w:val="70820965"/>
    <w:rsid w:val="70BD7BEF"/>
    <w:rsid w:val="70CB5E68"/>
    <w:rsid w:val="70D32F6E"/>
    <w:rsid w:val="70D34D1C"/>
    <w:rsid w:val="70E84C6C"/>
    <w:rsid w:val="71145A61"/>
    <w:rsid w:val="71325EE7"/>
    <w:rsid w:val="71333A0D"/>
    <w:rsid w:val="71816E6E"/>
    <w:rsid w:val="71924BD7"/>
    <w:rsid w:val="719E357C"/>
    <w:rsid w:val="71C15162"/>
    <w:rsid w:val="71CF3736"/>
    <w:rsid w:val="71E76CD1"/>
    <w:rsid w:val="71EA67C2"/>
    <w:rsid w:val="71FB37ED"/>
    <w:rsid w:val="72001B41"/>
    <w:rsid w:val="72225F5B"/>
    <w:rsid w:val="72247F25"/>
    <w:rsid w:val="722C0B88"/>
    <w:rsid w:val="722F2426"/>
    <w:rsid w:val="723143F0"/>
    <w:rsid w:val="725E4ABA"/>
    <w:rsid w:val="72690921"/>
    <w:rsid w:val="726F7ACC"/>
    <w:rsid w:val="72771394"/>
    <w:rsid w:val="72AC1CC9"/>
    <w:rsid w:val="72AE660D"/>
    <w:rsid w:val="72AF5315"/>
    <w:rsid w:val="72B50B7E"/>
    <w:rsid w:val="72BD7A32"/>
    <w:rsid w:val="72C2329A"/>
    <w:rsid w:val="72DA05E4"/>
    <w:rsid w:val="72E96A79"/>
    <w:rsid w:val="72F55D14"/>
    <w:rsid w:val="730D09BA"/>
    <w:rsid w:val="73223D39"/>
    <w:rsid w:val="7348106F"/>
    <w:rsid w:val="73497518"/>
    <w:rsid w:val="7358775B"/>
    <w:rsid w:val="73893DB8"/>
    <w:rsid w:val="73AB3D2F"/>
    <w:rsid w:val="73B47087"/>
    <w:rsid w:val="73C85203"/>
    <w:rsid w:val="73CB617F"/>
    <w:rsid w:val="73D019E7"/>
    <w:rsid w:val="73D2750D"/>
    <w:rsid w:val="73D54F95"/>
    <w:rsid w:val="73D774A2"/>
    <w:rsid w:val="73F05BE5"/>
    <w:rsid w:val="73FE47A6"/>
    <w:rsid w:val="74131D61"/>
    <w:rsid w:val="74145D78"/>
    <w:rsid w:val="74181EB8"/>
    <w:rsid w:val="741C69DA"/>
    <w:rsid w:val="74237D69"/>
    <w:rsid w:val="7440091B"/>
    <w:rsid w:val="74416441"/>
    <w:rsid w:val="744E128A"/>
    <w:rsid w:val="746255B8"/>
    <w:rsid w:val="7472484C"/>
    <w:rsid w:val="748C73EC"/>
    <w:rsid w:val="74B133B5"/>
    <w:rsid w:val="74C64922"/>
    <w:rsid w:val="74D3178F"/>
    <w:rsid w:val="74D6127F"/>
    <w:rsid w:val="74D6302D"/>
    <w:rsid w:val="74DF1EE2"/>
    <w:rsid w:val="74E53270"/>
    <w:rsid w:val="74F82610"/>
    <w:rsid w:val="750A73AF"/>
    <w:rsid w:val="750E27C7"/>
    <w:rsid w:val="75130903"/>
    <w:rsid w:val="75143E7A"/>
    <w:rsid w:val="752913AF"/>
    <w:rsid w:val="75371D1E"/>
    <w:rsid w:val="755A5A0C"/>
    <w:rsid w:val="756248C1"/>
    <w:rsid w:val="756D573F"/>
    <w:rsid w:val="75722D56"/>
    <w:rsid w:val="757C3BD5"/>
    <w:rsid w:val="75907680"/>
    <w:rsid w:val="75BF1D13"/>
    <w:rsid w:val="75BF3AC1"/>
    <w:rsid w:val="75CD16B7"/>
    <w:rsid w:val="7614205F"/>
    <w:rsid w:val="762D3121"/>
    <w:rsid w:val="7677439C"/>
    <w:rsid w:val="768F7938"/>
    <w:rsid w:val="76EE465E"/>
    <w:rsid w:val="770C71DA"/>
    <w:rsid w:val="772C162A"/>
    <w:rsid w:val="773F310C"/>
    <w:rsid w:val="77737259"/>
    <w:rsid w:val="777A05E8"/>
    <w:rsid w:val="77844FC2"/>
    <w:rsid w:val="77B07B65"/>
    <w:rsid w:val="77B21B30"/>
    <w:rsid w:val="77C46274"/>
    <w:rsid w:val="77D31AA6"/>
    <w:rsid w:val="77DB1A41"/>
    <w:rsid w:val="77F04406"/>
    <w:rsid w:val="77F959B0"/>
    <w:rsid w:val="780177FB"/>
    <w:rsid w:val="784D7AAA"/>
    <w:rsid w:val="788236CA"/>
    <w:rsid w:val="78931DC3"/>
    <w:rsid w:val="78A21BA4"/>
    <w:rsid w:val="78B10039"/>
    <w:rsid w:val="78D34B0F"/>
    <w:rsid w:val="78D41F79"/>
    <w:rsid w:val="78FB12B4"/>
    <w:rsid w:val="79065BEE"/>
    <w:rsid w:val="79073098"/>
    <w:rsid w:val="79404F19"/>
    <w:rsid w:val="794744F9"/>
    <w:rsid w:val="796B01E8"/>
    <w:rsid w:val="797572B9"/>
    <w:rsid w:val="79B17BC5"/>
    <w:rsid w:val="7A2F56B9"/>
    <w:rsid w:val="7A3A41F7"/>
    <w:rsid w:val="7A440A39"/>
    <w:rsid w:val="7A814D0B"/>
    <w:rsid w:val="7AA8546C"/>
    <w:rsid w:val="7AB91427"/>
    <w:rsid w:val="7AD10DA8"/>
    <w:rsid w:val="7AF4245F"/>
    <w:rsid w:val="7AFD647A"/>
    <w:rsid w:val="7B114DBF"/>
    <w:rsid w:val="7B136D89"/>
    <w:rsid w:val="7B177864"/>
    <w:rsid w:val="7B407452"/>
    <w:rsid w:val="7B607AF4"/>
    <w:rsid w:val="7B6C6499"/>
    <w:rsid w:val="7B7B66DC"/>
    <w:rsid w:val="7B8923CC"/>
    <w:rsid w:val="7BA619AB"/>
    <w:rsid w:val="7BAB16F2"/>
    <w:rsid w:val="7BBA4ADF"/>
    <w:rsid w:val="7BC7748A"/>
    <w:rsid w:val="7BEE6EAE"/>
    <w:rsid w:val="7BF5023D"/>
    <w:rsid w:val="7C016BE2"/>
    <w:rsid w:val="7C183F2B"/>
    <w:rsid w:val="7C1942A5"/>
    <w:rsid w:val="7C1E59E5"/>
    <w:rsid w:val="7C2823C0"/>
    <w:rsid w:val="7C2D79D7"/>
    <w:rsid w:val="7CD03B28"/>
    <w:rsid w:val="7CD91526"/>
    <w:rsid w:val="7CDA3206"/>
    <w:rsid w:val="7CEC5AE4"/>
    <w:rsid w:val="7D093F95"/>
    <w:rsid w:val="7D232341"/>
    <w:rsid w:val="7D25537B"/>
    <w:rsid w:val="7D6A07B6"/>
    <w:rsid w:val="7DA43CC8"/>
    <w:rsid w:val="7DC75C09"/>
    <w:rsid w:val="7DDB4A06"/>
    <w:rsid w:val="7DDD6DD3"/>
    <w:rsid w:val="7DDE5C7E"/>
    <w:rsid w:val="7DFD084F"/>
    <w:rsid w:val="7E123328"/>
    <w:rsid w:val="7E1B4F8B"/>
    <w:rsid w:val="7E2D1F10"/>
    <w:rsid w:val="7E410422"/>
    <w:rsid w:val="7E484F9C"/>
    <w:rsid w:val="7E6A3164"/>
    <w:rsid w:val="7E6D055E"/>
    <w:rsid w:val="7E797F83"/>
    <w:rsid w:val="7E837D82"/>
    <w:rsid w:val="7E96709B"/>
    <w:rsid w:val="7E9F26E2"/>
    <w:rsid w:val="7EB737AD"/>
    <w:rsid w:val="7EDD17BD"/>
    <w:rsid w:val="7F033208"/>
    <w:rsid w:val="7F076C05"/>
    <w:rsid w:val="7F0B7D77"/>
    <w:rsid w:val="7F0C363E"/>
    <w:rsid w:val="7F135D4A"/>
    <w:rsid w:val="7F7D6EC7"/>
    <w:rsid w:val="7F8042C1"/>
    <w:rsid w:val="7F805B82"/>
    <w:rsid w:val="7F89586C"/>
    <w:rsid w:val="7F8D69DE"/>
    <w:rsid w:val="7F8F09A8"/>
    <w:rsid w:val="7F98785D"/>
    <w:rsid w:val="7FAC50B6"/>
    <w:rsid w:val="7FAC60B9"/>
    <w:rsid w:val="7FB3371E"/>
    <w:rsid w:val="7FBE14EB"/>
    <w:rsid w:val="7FD13638"/>
    <w:rsid w:val="7FD83525"/>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2">
    <w:name w:val="heading 3"/>
    <w:basedOn w:val="1"/>
    <w:next w:val="1"/>
    <w:autoRedefine/>
    <w:qFormat/>
    <w:uiPriority w:val="0"/>
    <w:pPr>
      <w:keepNext/>
      <w:keepLines/>
      <w:spacing w:before="260" w:after="260" w:line="416" w:lineRule="auto"/>
      <w:outlineLvl w:val="2"/>
    </w:pPr>
    <w:rPr>
      <w:bCs/>
      <w:sz w:val="32"/>
      <w:szCs w:val="32"/>
    </w:rPr>
  </w:style>
  <w:style w:type="paragraph" w:styleId="5">
    <w:name w:val="heading 4"/>
    <w:basedOn w:val="2"/>
    <w:next w:val="6"/>
    <w:autoRedefine/>
    <w:qFormat/>
    <w:uiPriority w:val="0"/>
    <w:pPr>
      <w:keepNext/>
      <w:keepLines/>
      <w:spacing w:before="280" w:after="290" w:line="376" w:lineRule="auto"/>
      <w:outlineLvl w:val="3"/>
    </w:pPr>
    <w:rPr>
      <w:rFonts w:ascii="Arial" w:hAnsi="Arial" w:eastAsia="黑体"/>
      <w:sz w:val="28"/>
      <w:szCs w:val="28"/>
    </w:rPr>
  </w:style>
  <w:style w:type="paragraph" w:styleId="6">
    <w:name w:val="heading 5"/>
    <w:basedOn w:val="1"/>
    <w:next w:val="1"/>
    <w:qFormat/>
    <w:uiPriority w:val="0"/>
    <w:pPr>
      <w:keepNext/>
      <w:ind w:firstLine="518" w:firstLineChars="200"/>
      <w:outlineLvl w:val="4"/>
    </w:pPr>
    <w:rPr>
      <w:rFonts w:ascii="宋体" w:hAnsi="宋体"/>
      <w:sz w:val="28"/>
      <w:szCs w:val="24"/>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rPr>
      <w:szCs w:val="24"/>
    </w:rPr>
  </w:style>
  <w:style w:type="paragraph" w:styleId="8">
    <w:name w:val="Body Text 3"/>
    <w:basedOn w:val="1"/>
    <w:qFormat/>
    <w:uiPriority w:val="0"/>
    <w:pPr>
      <w:spacing w:line="440" w:lineRule="exact"/>
    </w:pPr>
    <w:rPr>
      <w:color w:val="000000"/>
      <w:szCs w:val="18"/>
    </w:rPr>
  </w:style>
  <w:style w:type="paragraph" w:styleId="9">
    <w:name w:val="Body Text"/>
    <w:basedOn w:val="1"/>
    <w:next w:val="1"/>
    <w:qFormat/>
    <w:uiPriority w:val="0"/>
    <w:rPr>
      <w:rFonts w:ascii="Arial" w:hAnsi="Arial"/>
      <w:sz w:val="24"/>
    </w:rPr>
  </w:style>
  <w:style w:type="paragraph" w:styleId="10">
    <w:name w:val="Body Text Indent"/>
    <w:basedOn w:val="1"/>
    <w:next w:val="11"/>
    <w:qFormat/>
    <w:uiPriority w:val="0"/>
    <w:pPr>
      <w:ind w:firstLine="480"/>
    </w:pPr>
    <w:rPr>
      <w:rFonts w:ascii="宋体" w:hAnsi="宋体"/>
      <w:sz w:val="24"/>
    </w:rPr>
  </w:style>
  <w:style w:type="paragraph" w:styleId="11">
    <w:name w:val="Normal (Web)"/>
    <w:basedOn w:val="1"/>
    <w:next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2">
    <w:name w:val="Plain Text"/>
    <w:basedOn w:val="1"/>
    <w:qFormat/>
    <w:uiPriority w:val="0"/>
    <w:rPr>
      <w:rFonts w:ascii="宋体" w:hAnsi="Courier New"/>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style>
  <w:style w:type="paragraph" w:styleId="16">
    <w:name w:val="List"/>
    <w:basedOn w:val="1"/>
    <w:qFormat/>
    <w:uiPriority w:val="0"/>
    <w:pPr>
      <w:ind w:left="200" w:hanging="200" w:hangingChars="200"/>
    </w:pPr>
  </w:style>
  <w:style w:type="paragraph" w:styleId="17">
    <w:name w:val="footnote text"/>
    <w:basedOn w:val="1"/>
    <w:link w:val="47"/>
    <w:qFormat/>
    <w:uiPriority w:val="0"/>
    <w:pPr>
      <w:snapToGrid w:val="0"/>
      <w:jc w:val="left"/>
    </w:pPr>
    <w:rPr>
      <w:sz w:val="18"/>
    </w:rPr>
  </w:style>
  <w:style w:type="paragraph" w:styleId="18">
    <w:name w:val="toc 2"/>
    <w:basedOn w:val="1"/>
    <w:next w:val="1"/>
    <w:qFormat/>
    <w:uiPriority w:val="39"/>
    <w:pPr>
      <w:ind w:left="420" w:leftChars="200"/>
    </w:pPr>
  </w:style>
  <w:style w:type="paragraph" w:styleId="19">
    <w:name w:val="Body Text 2"/>
    <w:basedOn w:val="1"/>
    <w:qFormat/>
    <w:uiPriority w:val="0"/>
    <w:rPr>
      <w:rFonts w:ascii="楷体_GB2312" w:hAnsi="Copperplate Gothic Bold" w:eastAsia="楷体_GB2312"/>
      <w:sz w:val="28"/>
    </w:rPr>
  </w:style>
  <w:style w:type="paragraph" w:styleId="20">
    <w:name w:val="Body Text First Indent"/>
    <w:basedOn w:val="9"/>
    <w:qFormat/>
    <w:uiPriority w:val="0"/>
    <w:pPr>
      <w:spacing w:after="120"/>
      <w:ind w:firstLine="420" w:firstLineChars="100"/>
    </w:pPr>
    <w:rPr>
      <w:rFonts w:ascii="Times New Roman" w:hAnsi="Times New Roman"/>
      <w:sz w:val="21"/>
    </w:rPr>
  </w:style>
  <w:style w:type="paragraph" w:styleId="21">
    <w:name w:val="Body Text First Indent 2"/>
    <w:basedOn w:val="10"/>
    <w:next w:val="1"/>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color w:val="800080"/>
      <w:u w:val="none"/>
    </w:rPr>
  </w:style>
  <w:style w:type="character" w:styleId="28">
    <w:name w:val="HTML Definition"/>
    <w:basedOn w:val="24"/>
    <w:autoRedefine/>
    <w:qFormat/>
    <w:uiPriority w:val="0"/>
  </w:style>
  <w:style w:type="character" w:styleId="29">
    <w:name w:val="HTML Typewriter"/>
    <w:basedOn w:val="24"/>
    <w:autoRedefine/>
    <w:qFormat/>
    <w:uiPriority w:val="0"/>
    <w:rPr>
      <w:rFonts w:hint="default"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qFormat/>
    <w:uiPriority w:val="99"/>
    <w:rPr>
      <w:color w:val="0000FF"/>
      <w:u w:val="single"/>
    </w:rPr>
  </w:style>
  <w:style w:type="character" w:styleId="33">
    <w:name w:val="HTML Code"/>
    <w:basedOn w:val="24"/>
    <w:autoRedefine/>
    <w:qFormat/>
    <w:uiPriority w:val="0"/>
    <w:rPr>
      <w:rFonts w:ascii="monospace" w:hAnsi="monospace" w:eastAsia="monospace" w:cs="monospace"/>
      <w:sz w:val="20"/>
    </w:rPr>
  </w:style>
  <w:style w:type="character" w:styleId="34">
    <w:name w:val="HTML Cite"/>
    <w:basedOn w:val="24"/>
    <w:autoRedefine/>
    <w:qFormat/>
    <w:uiPriority w:val="0"/>
  </w:style>
  <w:style w:type="character" w:styleId="35">
    <w:name w:val="HTML Keyboard"/>
    <w:basedOn w:val="24"/>
    <w:autoRedefine/>
    <w:qFormat/>
    <w:uiPriority w:val="0"/>
    <w:rPr>
      <w:rFonts w:hint="default" w:ascii="monospace" w:hAnsi="monospace" w:eastAsia="monospace" w:cs="monospace"/>
      <w:sz w:val="20"/>
    </w:rPr>
  </w:style>
  <w:style w:type="character" w:styleId="36">
    <w:name w:val="HTML Sample"/>
    <w:basedOn w:val="24"/>
    <w:autoRedefine/>
    <w:qFormat/>
    <w:uiPriority w:val="0"/>
    <w:rPr>
      <w:rFonts w:hint="default" w:ascii="monospace" w:hAnsi="monospace" w:eastAsia="monospace" w:cs="monospace"/>
    </w:rPr>
  </w:style>
  <w:style w:type="paragraph" w:customStyle="1" w:styleId="37">
    <w:name w:val="首行缩进"/>
    <w:basedOn w:val="1"/>
    <w:autoRedefine/>
    <w:qFormat/>
    <w:uiPriority w:val="0"/>
    <w:pPr>
      <w:ind w:firstLine="480" w:firstLineChars="200"/>
    </w:pPr>
    <w:rPr>
      <w:lang w:val="zh-CN"/>
    </w:rPr>
  </w:style>
  <w:style w:type="paragraph" w:customStyle="1" w:styleId="38">
    <w:name w:val="Default"/>
    <w:autoRedefine/>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9">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40">
    <w:name w:val="Blockquote_0"/>
    <w:basedOn w:val="4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GZTB表格样式"/>
    <w:basedOn w:val="1"/>
    <w:autoRedefine/>
    <w:qFormat/>
    <w:uiPriority w:val="0"/>
    <w:pPr>
      <w:spacing w:after="200" w:line="440" w:lineRule="exact"/>
    </w:pPr>
    <w:rPr>
      <w:rFonts w:ascii="新宋体" w:hAnsi="新宋体" w:eastAsia="新宋体"/>
      <w:szCs w:val="22"/>
    </w:rPr>
  </w:style>
  <w:style w:type="paragraph" w:customStyle="1" w:styleId="43">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44">
    <w:name w:val="WPS Plain"/>
    <w:autoRedefine/>
    <w:qFormat/>
    <w:uiPriority w:val="0"/>
    <w:rPr>
      <w:rFonts w:ascii="Times New Roman" w:hAnsi="Times New Roman" w:eastAsia="宋体" w:cs="Times New Roman"/>
      <w:lang w:val="en-US" w:eastAsia="zh-CN" w:bidi="ar-SA"/>
    </w:rPr>
  </w:style>
  <w:style w:type="paragraph" w:customStyle="1" w:styleId="4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sz w:val="28"/>
    </w:rPr>
  </w:style>
  <w:style w:type="paragraph" w:customStyle="1" w:styleId="46">
    <w:name w:val="样式 标题 3 + (中文) 黑体 小四 非加粗 段前: 7.8 磅 段后: 0 磅 行距: 固定值 20 磅"/>
    <w:basedOn w:val="2"/>
    <w:autoRedefine/>
    <w:qFormat/>
    <w:uiPriority w:val="0"/>
    <w:pPr>
      <w:spacing w:before="0" w:after="0" w:line="400" w:lineRule="exact"/>
    </w:pPr>
    <w:rPr>
      <w:rFonts w:eastAsia="黑体" w:cs="宋体"/>
      <w:sz w:val="24"/>
      <w:szCs w:val="20"/>
    </w:rPr>
  </w:style>
  <w:style w:type="character" w:customStyle="1" w:styleId="47">
    <w:name w:val="脚注文本 Char"/>
    <w:basedOn w:val="24"/>
    <w:link w:val="17"/>
    <w:autoRedefine/>
    <w:qFormat/>
    <w:uiPriority w:val="0"/>
    <w:rPr>
      <w:kern w:val="2"/>
      <w:sz w:val="18"/>
    </w:rPr>
  </w:style>
  <w:style w:type="character" w:customStyle="1" w:styleId="48">
    <w:name w:val="Default Text Char Char"/>
    <w:link w:val="49"/>
    <w:autoRedefine/>
    <w:qFormat/>
    <w:uiPriority w:val="0"/>
    <w:rPr>
      <w:color w:val="000000"/>
      <w:sz w:val="24"/>
    </w:rPr>
  </w:style>
  <w:style w:type="paragraph" w:customStyle="1" w:styleId="49">
    <w:name w:val="Default Text"/>
    <w:link w:val="48"/>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0">
    <w:name w:val="表格文字"/>
    <w:basedOn w:val="1"/>
    <w:autoRedefine/>
    <w:qFormat/>
    <w:uiPriority w:val="0"/>
    <w:pPr>
      <w:spacing w:before="25" w:after="25"/>
      <w:jc w:val="left"/>
    </w:pPr>
    <w:rPr>
      <w:rFonts w:ascii="Calibri" w:hAnsi="Calibri"/>
      <w:spacing w:val="10"/>
      <w:kern w:val="0"/>
      <w:sz w:val="24"/>
    </w:rPr>
  </w:style>
  <w:style w:type="character" w:customStyle="1" w:styleId="51">
    <w:name w:val="bookmark-item"/>
    <w:basedOn w:val="24"/>
    <w:autoRedefine/>
    <w:qFormat/>
    <w:uiPriority w:val="0"/>
  </w:style>
  <w:style w:type="character" w:customStyle="1" w:styleId="52">
    <w:name w:val="NormalCharacter"/>
    <w:autoRedefine/>
    <w:qFormat/>
    <w:uiPriority w:val="0"/>
  </w:style>
  <w:style w:type="paragraph" w:styleId="53">
    <w:name w:val="List Paragraph"/>
    <w:basedOn w:val="1"/>
    <w:autoRedefine/>
    <w:qFormat/>
    <w:uiPriority w:val="99"/>
    <w:pPr>
      <w:ind w:firstLine="420" w:firstLineChars="200"/>
    </w:pPr>
  </w:style>
  <w:style w:type="paragraph" w:customStyle="1" w:styleId="5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55">
    <w:name w:val="Table Normal"/>
    <w:autoRedefine/>
    <w:qFormat/>
    <w:uiPriority w:val="0"/>
    <w:tblPr>
      <w:tblCellMar>
        <w:top w:w="0" w:type="dxa"/>
        <w:left w:w="0" w:type="dxa"/>
        <w:bottom w:w="0" w:type="dxa"/>
        <w:right w:w="0" w:type="dxa"/>
      </w:tblCellMar>
    </w:tblPr>
  </w:style>
  <w:style w:type="paragraph" w:customStyle="1" w:styleId="56">
    <w:name w:val="正文缩进_0"/>
    <w:basedOn w:val="54"/>
    <w:autoRedefine/>
    <w:semiHidden/>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26375</Words>
  <Characters>28146</Characters>
  <Paragraphs>1882</Paragraphs>
  <TotalTime>0</TotalTime>
  <ScaleCrop>false</ScaleCrop>
  <LinksUpToDate>false</LinksUpToDate>
  <CharactersWithSpaces>34623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蓝天白云</cp:lastModifiedBy>
  <cp:lastPrinted>2023-10-07T08:48:00Z</cp:lastPrinted>
  <dcterms:modified xsi:type="dcterms:W3CDTF">2024-08-21T02:43:20Z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6A91E231D02C46E28B5FA2FE81934A07_13</vt:lpwstr>
  </property>
  <property fmtid="{D5CDD505-2E9C-101B-9397-08002B2CF9AE}" pid="4" name="commondata">
    <vt:lpwstr>eyJoZGlkIjoiYTM4ZDU3NTZhZDljNDc0ZjViNmRlNWEzMDc1MGExZjcifQ==</vt:lpwstr>
  </property>
</Properties>
</file>