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adjustRightInd w:val="0"/>
        <w:snapToGrid w:val="0"/>
        <w:spacing w:line="360" w:lineRule="auto"/>
        <w:rPr>
          <w:rFonts w:hAnsi="宋体"/>
          <w:b/>
          <w:color w:val="000000" w:themeColor="text1"/>
          <w:sz w:val="44"/>
          <w:szCs w:val="44"/>
          <w14:textFill>
            <w14:solidFill>
              <w14:schemeClr w14:val="tx1"/>
            </w14:solidFill>
          </w14:textFill>
        </w:rPr>
      </w:pPr>
      <w:bookmarkStart w:id="0" w:name="第二部分第六章"/>
    </w:p>
    <w:p>
      <w:pPr>
        <w:pStyle w:val="25"/>
        <w:adjustRightInd w:val="0"/>
        <w:snapToGrid w:val="0"/>
        <w:spacing w:line="360" w:lineRule="auto"/>
        <w:jc w:val="center"/>
        <w:rPr>
          <w:rFonts w:hint="eastAsia" w:hAnsi="宋体" w:eastAsia="宋体"/>
          <w:b/>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kern w:val="0"/>
          <w:sz w:val="44"/>
          <w:szCs w:val="44"/>
          <w:lang w:eastAsia="zh-CN"/>
        </w:rPr>
        <w:t>霍尔果斯市商务局霍尔果斯市综保区粮食现代物流仓储（二期）建设项目设备采购项目 标二 公铁两用车</w:t>
      </w:r>
    </w:p>
    <w:p>
      <w:pPr>
        <w:pStyle w:val="25"/>
        <w:adjustRightInd w:val="0"/>
        <w:snapToGrid w:val="0"/>
        <w:spacing w:line="360" w:lineRule="auto"/>
        <w:jc w:val="center"/>
        <w:rPr>
          <w:rFonts w:hAnsi="宋体"/>
          <w:b/>
          <w:color w:val="000000" w:themeColor="text1"/>
          <w:sz w:val="62"/>
          <w:szCs w:val="84"/>
          <w14:textFill>
            <w14:solidFill>
              <w14:schemeClr w14:val="tx1"/>
            </w14:solidFill>
          </w14:textFill>
        </w:rPr>
      </w:pPr>
      <w:r>
        <w:rPr>
          <w:rFonts w:hint="eastAsia" w:hAnsi="宋体"/>
          <w:b/>
          <w:color w:val="000000" w:themeColor="text1"/>
          <w:sz w:val="62"/>
          <w:szCs w:val="84"/>
          <w14:textFill>
            <w14:solidFill>
              <w14:schemeClr w14:val="tx1"/>
            </w14:solidFill>
          </w14:textFill>
        </w:rPr>
        <w:t>招 标 文 件</w:t>
      </w:r>
    </w:p>
    <w:p>
      <w:pPr>
        <w:pStyle w:val="25"/>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5"/>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5"/>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5"/>
        <w:adjustRightInd w:val="0"/>
        <w:snapToGrid w:val="0"/>
        <w:spacing w:line="360" w:lineRule="auto"/>
        <w:rPr>
          <w:rFonts w:hAnsi="宋体"/>
          <w:b/>
          <w:color w:val="000000" w:themeColor="text1"/>
          <w:sz w:val="32"/>
          <w:szCs w:val="32"/>
          <w14:textFill>
            <w14:solidFill>
              <w14:schemeClr w14:val="tx1"/>
            </w14:solidFill>
          </w14:textFill>
        </w:rPr>
      </w:pPr>
    </w:p>
    <w:p>
      <w:pPr>
        <w:pStyle w:val="25"/>
        <w:adjustRightInd w:val="0"/>
        <w:snapToGrid w:val="0"/>
        <w:spacing w:line="360" w:lineRule="auto"/>
        <w:rPr>
          <w:rFonts w:hAnsi="宋体"/>
          <w:b/>
          <w:color w:val="000000" w:themeColor="text1"/>
          <w:sz w:val="32"/>
          <w:szCs w:val="32"/>
          <w14:textFill>
            <w14:solidFill>
              <w14:schemeClr w14:val="tx1"/>
            </w14:solidFill>
          </w14:textFill>
        </w:rPr>
      </w:pPr>
    </w:p>
    <w:p>
      <w:pPr>
        <w:pStyle w:val="25"/>
        <w:adjustRightInd w:val="0"/>
        <w:snapToGrid w:val="0"/>
        <w:spacing w:line="360" w:lineRule="auto"/>
        <w:rPr>
          <w:rFonts w:hAnsi="宋体"/>
          <w:b/>
          <w:color w:val="000000" w:themeColor="text1"/>
          <w:sz w:val="32"/>
          <w:szCs w:val="32"/>
          <w14:textFill>
            <w14:solidFill>
              <w14:schemeClr w14:val="tx1"/>
            </w14:solidFill>
          </w14:textFill>
        </w:rPr>
      </w:pPr>
    </w:p>
    <w:p>
      <w:pPr>
        <w:pStyle w:val="25"/>
        <w:adjustRightInd w:val="0"/>
        <w:snapToGrid w:val="0"/>
        <w:spacing w:line="360" w:lineRule="auto"/>
        <w:rPr>
          <w:rFonts w:hAnsi="宋体"/>
          <w:b/>
          <w:color w:val="000000" w:themeColor="text1"/>
          <w:sz w:val="32"/>
          <w:szCs w:val="32"/>
          <w14:textFill>
            <w14:solidFill>
              <w14:schemeClr w14:val="tx1"/>
            </w14:solidFill>
          </w14:textFill>
        </w:rPr>
      </w:pPr>
    </w:p>
    <w:p>
      <w:pPr>
        <w:pStyle w:val="25"/>
        <w:adjustRightInd w:val="0"/>
        <w:snapToGrid w:val="0"/>
        <w:spacing w:line="360" w:lineRule="auto"/>
        <w:ind w:firstLine="948" w:firstLineChars="295"/>
        <w:rPr>
          <w:rFonts w:hAnsi="宋体"/>
          <w:b/>
          <w:color w:val="000000" w:themeColor="text1"/>
          <w:sz w:val="32"/>
          <w:szCs w:val="32"/>
          <w14:textFill>
            <w14:solidFill>
              <w14:schemeClr w14:val="tx1"/>
            </w14:solidFill>
          </w14:textFill>
        </w:rPr>
      </w:pPr>
    </w:p>
    <w:p>
      <w:pPr>
        <w:pStyle w:val="25"/>
        <w:adjustRightInd w:val="0"/>
        <w:snapToGrid w:val="0"/>
        <w:spacing w:line="360" w:lineRule="auto"/>
        <w:ind w:left="1801" w:leftChars="284" w:hanging="1205" w:hangingChars="400"/>
        <w:rPr>
          <w:rFonts w:hint="eastAsia" w:hAnsi="宋体" w:eastAsia="宋体"/>
          <w:b/>
          <w:color w:val="000000" w:themeColor="text1"/>
          <w:spacing w:val="-16"/>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招标人：</w:t>
      </w:r>
      <w:r>
        <w:rPr>
          <w:rFonts w:hint="eastAsia" w:hAnsi="宋体"/>
          <w:b/>
          <w:color w:val="000000" w:themeColor="text1"/>
          <w:sz w:val="30"/>
          <w:szCs w:val="30"/>
          <w:lang w:eastAsia="zh-CN"/>
          <w14:textFill>
            <w14:solidFill>
              <w14:schemeClr w14:val="tx1"/>
            </w14:solidFill>
          </w14:textFill>
        </w:rPr>
        <w:t>霍尔果斯市商务局</w:t>
      </w:r>
    </w:p>
    <w:p>
      <w:pPr>
        <w:pStyle w:val="25"/>
        <w:adjustRightInd w:val="0"/>
        <w:snapToGrid w:val="0"/>
        <w:spacing w:line="360" w:lineRule="auto"/>
        <w:ind w:firstLine="596" w:firstLineChars="198"/>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采购代理机构: 霍尔果斯经济开发区政府采购中心</w:t>
      </w:r>
    </w:p>
    <w:p>
      <w:pPr>
        <w:pStyle w:val="25"/>
        <w:adjustRightInd w:val="0"/>
        <w:snapToGrid w:val="0"/>
        <w:spacing w:line="360" w:lineRule="auto"/>
        <w:ind w:left="592" w:leftChars="282"/>
        <w:rPr>
          <w:rFonts w:hint="eastAsia" w:hAnsi="宋体" w:eastAsia="宋体"/>
          <w:b/>
          <w:color w:val="000000" w:themeColor="text1"/>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项目编号：</w:t>
      </w:r>
      <w:r>
        <w:rPr>
          <w:rFonts w:hint="eastAsia" w:hAnsi="宋体"/>
          <w:b/>
          <w:color w:val="000000" w:themeColor="text1"/>
          <w:sz w:val="30"/>
          <w:szCs w:val="30"/>
          <w:lang w:eastAsia="zh-CN"/>
          <w14:textFill>
            <w14:solidFill>
              <w14:schemeClr w14:val="tx1"/>
            </w14:solidFill>
          </w14:textFill>
        </w:rPr>
        <w:t>HEGSCG-2024GK-40号  标二</w:t>
      </w:r>
    </w:p>
    <w:p>
      <w:pPr>
        <w:pStyle w:val="25"/>
        <w:adjustRightInd w:val="0"/>
        <w:snapToGrid w:val="0"/>
        <w:spacing w:line="360" w:lineRule="auto"/>
        <w:jc w:val="center"/>
        <w:rPr>
          <w:rFonts w:hAnsi="宋体"/>
          <w:b/>
          <w:color w:val="000000" w:themeColor="text1"/>
          <w:spacing w:val="160"/>
          <w:sz w:val="36"/>
          <w:szCs w:val="36"/>
          <w14:textFill>
            <w14:solidFill>
              <w14:schemeClr w14:val="tx1"/>
            </w14:solidFill>
          </w14:textFill>
        </w:rPr>
      </w:pPr>
    </w:p>
    <w:p>
      <w:pPr>
        <w:pStyle w:val="25"/>
        <w:spacing w:before="120" w:after="120" w:line="360" w:lineRule="auto"/>
        <w:jc w:val="center"/>
        <w:rPr>
          <w:rFonts w:hAnsi="宋体"/>
          <w:b/>
          <w:color w:val="000000" w:themeColor="text1"/>
          <w:spacing w:val="160"/>
          <w:sz w:val="36"/>
          <w:szCs w:val="36"/>
          <w14:textFill>
            <w14:solidFill>
              <w14:schemeClr w14:val="tx1"/>
            </w14:solidFill>
          </w14:textFill>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pStyle w:val="25"/>
        <w:spacing w:before="120" w:after="120" w:line="360" w:lineRule="auto"/>
        <w:jc w:val="center"/>
        <w:rPr>
          <w:rFonts w:hAnsi="宋体"/>
          <w:b/>
          <w:color w:val="000000" w:themeColor="text1"/>
          <w:spacing w:val="160"/>
          <w:sz w:val="36"/>
          <w:szCs w:val="36"/>
          <w14:textFill>
            <w14:solidFill>
              <w14:schemeClr w14:val="tx1"/>
            </w14:solidFill>
          </w14:textFill>
        </w:rPr>
      </w:pPr>
      <w:r>
        <w:rPr>
          <w:rFonts w:hint="eastAsia" w:hAnsi="宋体"/>
          <w:b/>
          <w:color w:val="000000" w:themeColor="text1"/>
          <w:spacing w:val="160"/>
          <w:sz w:val="36"/>
          <w:szCs w:val="36"/>
          <w14:textFill>
            <w14:solidFill>
              <w14:schemeClr w14:val="tx1"/>
            </w14:solidFill>
          </w14:textFill>
        </w:rPr>
        <w:t>目录</w:t>
      </w:r>
    </w:p>
    <w:p>
      <w:pPr>
        <w:pStyle w:val="25"/>
        <w:adjustRightInd w:val="0"/>
        <w:snapToGrid w:val="0"/>
        <w:spacing w:line="360" w:lineRule="auto"/>
        <w:rPr>
          <w:rFonts w:hAnsi="宋体"/>
          <w:b/>
          <w:color w:val="000000" w:themeColor="text1"/>
          <w:szCs w:val="24"/>
          <w14:textFill>
            <w14:solidFill>
              <w14:schemeClr w14:val="tx1"/>
            </w14:solidFill>
          </w14:textFill>
        </w:rPr>
      </w:pPr>
    </w:p>
    <w:tbl>
      <w:tblPr>
        <w:tblStyle w:val="47"/>
        <w:tblW w:w="7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3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"_Toc474235940" </w:instrText>
            </w:r>
            <w:r>
              <w:fldChar w:fldCharType="separate"/>
            </w:r>
            <w:r>
              <w:rPr>
                <w:rFonts w:hint="eastAsia"/>
                <w:b/>
                <w:bCs/>
              </w:rPr>
              <w:t>第一章</w:t>
            </w:r>
            <w:r>
              <w:rPr>
                <w:rFonts w:hint="eastAsia"/>
                <w:b/>
                <w:bCs/>
              </w:rPr>
              <w:fldChar w:fldCharType="end"/>
            </w:r>
            <w:r>
              <w:rPr>
                <w:rFonts w:hint="eastAsia"/>
                <w:b/>
                <w:bCs/>
              </w:rPr>
              <w:t xml:space="preserve">   </w:t>
            </w:r>
          </w:p>
        </w:tc>
        <w:tc>
          <w:tcPr>
            <w:tcW w:w="3256" w:type="dxa"/>
          </w:tcPr>
          <w:p>
            <w:pPr>
              <w:rPr>
                <w:b/>
                <w:bCs/>
              </w:rPr>
            </w:pPr>
            <w:r>
              <w:rPr>
                <w:rFonts w:hint="eastAsia"/>
                <w:b/>
                <w:bCs/>
              </w:rPr>
              <w:t>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"_Toc474235941" </w:instrText>
            </w:r>
            <w:r>
              <w:fldChar w:fldCharType="separate"/>
            </w:r>
            <w:r>
              <w:rPr>
                <w:rFonts w:hint="eastAsia"/>
                <w:b/>
                <w:bCs/>
              </w:rPr>
              <w:t>第二章</w:t>
            </w:r>
            <w:r>
              <w:rPr>
                <w:rFonts w:hint="eastAsia"/>
                <w:b/>
                <w:bCs/>
              </w:rPr>
              <w:fldChar w:fldCharType="end"/>
            </w:r>
          </w:p>
        </w:tc>
        <w:tc>
          <w:tcPr>
            <w:tcW w:w="3256" w:type="dxa"/>
          </w:tcPr>
          <w:p>
            <w:pPr>
              <w:rPr>
                <w:b/>
                <w:bCs/>
              </w:rPr>
            </w:pPr>
            <w:r>
              <w:rPr>
                <w:rFonts w:hint="eastAsia"/>
                <w:b/>
                <w:bCs/>
              </w:rPr>
              <w:t>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"_Toc474235942" </w:instrText>
            </w:r>
            <w:r>
              <w:fldChar w:fldCharType="separate"/>
            </w:r>
            <w:r>
              <w:rPr>
                <w:rFonts w:hint="eastAsia"/>
                <w:b/>
                <w:bCs/>
              </w:rPr>
              <w:t>投标须知前附表</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"_Toc474235943" </w:instrText>
            </w:r>
            <w:r>
              <w:fldChar w:fldCharType="separate"/>
            </w:r>
            <w:r>
              <w:rPr>
                <w:rFonts w:hint="eastAsia"/>
                <w:b/>
                <w:bCs/>
              </w:rPr>
              <w:t>投标须知正文</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"_Toc474235944" </w:instrText>
            </w:r>
            <w:r>
              <w:fldChar w:fldCharType="separate"/>
            </w:r>
            <w:r>
              <w:rPr>
                <w:rFonts w:hint="eastAsia"/>
                <w:b/>
                <w:bCs/>
              </w:rPr>
              <w:t>一</w:t>
            </w:r>
            <w:r>
              <w:rPr>
                <w:rFonts w:hint="eastAsia"/>
                <w:b/>
                <w:bCs/>
              </w:rPr>
              <w:fldChar w:fldCharType="end"/>
            </w:r>
          </w:p>
        </w:tc>
        <w:tc>
          <w:tcPr>
            <w:tcW w:w="3256" w:type="dxa"/>
          </w:tcPr>
          <w:p>
            <w:pPr>
              <w:rPr>
                <w:b/>
                <w:bCs/>
              </w:rPr>
            </w:pPr>
            <w:r>
              <w:rPr>
                <w:rFonts w:hint="eastAsia"/>
                <w:b/>
                <w:bCs/>
              </w:rPr>
              <w:t>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"_Toc474235945" </w:instrText>
            </w:r>
            <w:r>
              <w:fldChar w:fldCharType="separate"/>
            </w:r>
            <w:r>
              <w:rPr>
                <w:rFonts w:hint="eastAsia"/>
                <w:b/>
                <w:bCs/>
              </w:rPr>
              <w:t>二</w:t>
            </w:r>
            <w:r>
              <w:rPr>
                <w:rFonts w:hint="eastAsia"/>
                <w:b/>
                <w:bCs/>
              </w:rPr>
              <w:fldChar w:fldCharType="end"/>
            </w:r>
          </w:p>
        </w:tc>
        <w:tc>
          <w:tcPr>
            <w:tcW w:w="3256" w:type="dxa"/>
          </w:tcPr>
          <w:p>
            <w:pPr>
              <w:rPr>
                <w:b/>
                <w:bCs/>
              </w:rPr>
            </w:pPr>
            <w:r>
              <w:rPr>
                <w:rFonts w:hint="eastAsia"/>
                <w:b/>
                <w:bCs/>
              </w:rPr>
              <w:t>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"_Toc474235946"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"_Toc474235947"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投标文件的递交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"_Toc474235948"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开标和评标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"_Toc474235949" </w:instrText>
            </w:r>
            <w:r>
              <w:fldChar w:fldCharType="separate"/>
            </w:r>
            <w:r>
              <w:rPr>
                <w:rFonts w:hint="eastAsia"/>
                <w:b/>
                <w:bCs/>
              </w:rPr>
              <w:t>第三章</w:t>
            </w:r>
            <w:r>
              <w:rPr>
                <w:rFonts w:hint="eastAsia"/>
                <w:b/>
                <w:bCs/>
              </w:rPr>
              <w:fldChar w:fldCharType="end"/>
            </w:r>
          </w:p>
        </w:tc>
        <w:tc>
          <w:tcPr>
            <w:tcW w:w="3256" w:type="dxa"/>
          </w:tcPr>
          <w:p>
            <w:pPr>
              <w:rPr>
                <w:b/>
                <w:bCs/>
              </w:rPr>
            </w:pPr>
            <w:r>
              <w:rPr>
                <w:rFonts w:hint="eastAsia"/>
                <w:b/>
                <w:bCs/>
              </w:rPr>
              <w:t>评标方法及标准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"_Toc474235950" </w:instrText>
            </w:r>
            <w:r>
              <w:fldChar w:fldCharType="separate"/>
            </w:r>
            <w:r>
              <w:rPr>
                <w:rFonts w:hint="eastAsia"/>
                <w:b/>
                <w:bCs/>
              </w:rPr>
              <w:t>第四章</w:t>
            </w:r>
            <w:r>
              <w:rPr>
                <w:rFonts w:hint="eastAsia"/>
                <w:b/>
                <w:bCs/>
              </w:rPr>
              <w:fldChar w:fldCharType="end"/>
            </w:r>
          </w:p>
        </w:tc>
        <w:tc>
          <w:tcPr>
            <w:tcW w:w="3256" w:type="dxa"/>
          </w:tcPr>
          <w:p>
            <w:pPr>
              <w:rPr>
                <w:b/>
                <w:bCs/>
              </w:rPr>
            </w:pPr>
            <w:r>
              <w:rPr>
                <w:rFonts w:hint="eastAsia"/>
                <w:b/>
                <w:bCs/>
              </w:rPr>
              <w:t>政府采购合同格式、验收书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"_Toc474235951"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政府采购合同协议书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"_Toc474235952"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政府采购合同通用条款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"_Toc474235953"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政府采购合同专用条款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95" w:firstLineChars="1800"/>
              <w:rPr>
                <w:b/>
                <w:bCs/>
              </w:rPr>
            </w:pPr>
            <w:r>
              <w:rPr>
                <w:rFonts w:hint="eastAsia"/>
                <w:b/>
                <w:bCs/>
              </w:rPr>
              <w:t xml:space="preserve">四 </w:t>
            </w:r>
          </w:p>
        </w:tc>
        <w:tc>
          <w:tcPr>
            <w:tcW w:w="3256" w:type="dxa"/>
          </w:tcPr>
          <w:p>
            <w:pPr>
              <w:rPr>
                <w:b/>
                <w:bCs/>
              </w:rPr>
            </w:pPr>
            <w:r>
              <w:rPr>
                <w:rFonts w:hint="eastAsia"/>
                <w:b/>
                <w:bCs/>
              </w:rPr>
              <w:t>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"_Toc474235954" </w:instrText>
            </w:r>
            <w:r>
              <w:fldChar w:fldCharType="separate"/>
            </w:r>
            <w:r>
              <w:rPr>
                <w:rFonts w:hint="eastAsia"/>
                <w:b/>
                <w:bCs/>
              </w:rPr>
              <w:t>第五章</w:t>
            </w:r>
            <w:r>
              <w:rPr>
                <w:rFonts w:hint="eastAsia"/>
                <w:b/>
                <w:bCs/>
              </w:rPr>
              <w:fldChar w:fldCharType="end"/>
            </w:r>
          </w:p>
        </w:tc>
        <w:tc>
          <w:tcPr>
            <w:tcW w:w="3256" w:type="dxa"/>
          </w:tcPr>
          <w:p>
            <w:pPr>
              <w:rPr>
                <w:b/>
                <w:bCs/>
              </w:rPr>
            </w:pPr>
            <w:r>
              <w:rPr>
                <w:rFonts w:hint="eastAsia"/>
                <w:b/>
                <w:bCs/>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"_Toc474235955" </w:instrText>
            </w:r>
            <w:r>
              <w:fldChar w:fldCharType="separate"/>
            </w:r>
            <w:r>
              <w:rPr>
                <w:rFonts w:hint="eastAsia"/>
                <w:b/>
                <w:bCs/>
              </w:rPr>
              <w:t>第六章</w:t>
            </w:r>
            <w:r>
              <w:rPr>
                <w:rFonts w:hint="eastAsia"/>
                <w:b/>
                <w:bCs/>
              </w:rPr>
              <w:fldChar w:fldCharType="end"/>
            </w:r>
          </w:p>
        </w:tc>
        <w:tc>
          <w:tcPr>
            <w:tcW w:w="3256" w:type="dxa"/>
          </w:tcPr>
          <w:p>
            <w:pPr>
              <w:rPr>
                <w:b/>
                <w:bCs/>
              </w:rPr>
            </w:pPr>
            <w:r>
              <w:rPr>
                <w:rFonts w:hint="eastAsia"/>
                <w:b/>
                <w:bCs/>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"_Toc474235956"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"_Toc474235957"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"_Toc474235958"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开标一览表及投标报价明细表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"_Toc474235959"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投标人的资格证明材料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"_Toc474235960"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货物说明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"_Toc474235961" </w:instrText>
            </w:r>
            <w:r>
              <w:fldChar w:fldCharType="separate"/>
            </w:r>
            <w:r>
              <w:rPr>
                <w:rFonts w:hint="eastAsia"/>
                <w:b/>
                <w:bCs/>
              </w:rPr>
              <w:t xml:space="preserve">六 </w:t>
            </w:r>
            <w:r>
              <w:rPr>
                <w:rFonts w:hint="eastAsia"/>
                <w:b/>
                <w:bCs/>
              </w:rPr>
              <w:fldChar w:fldCharType="end"/>
            </w:r>
          </w:p>
        </w:tc>
        <w:tc>
          <w:tcPr>
            <w:tcW w:w="3256" w:type="dxa"/>
          </w:tcPr>
          <w:p>
            <w:pPr>
              <w:rPr>
                <w:b/>
                <w:bCs/>
              </w:rPr>
            </w:pPr>
            <w:r>
              <w:rPr>
                <w:rFonts w:hint="eastAsia"/>
                <w:b/>
                <w:bCs/>
              </w:rPr>
              <w:t>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"_Toc474235962" </w:instrText>
            </w:r>
            <w:r>
              <w:fldChar w:fldCharType="separate"/>
            </w:r>
            <w:r>
              <w:rPr>
                <w:rFonts w:hint="eastAsia"/>
                <w:b/>
                <w:bCs/>
              </w:rPr>
              <w:t xml:space="preserve">七 </w:t>
            </w:r>
            <w:r>
              <w:rPr>
                <w:rFonts w:hint="eastAsia"/>
                <w:b/>
                <w:bCs/>
              </w:rPr>
              <w:fldChar w:fldCharType="end"/>
            </w:r>
          </w:p>
        </w:tc>
        <w:tc>
          <w:tcPr>
            <w:tcW w:w="3256" w:type="dxa"/>
          </w:tcPr>
          <w:p>
            <w:pPr>
              <w:rPr>
                <w:b/>
                <w:bCs/>
              </w:rPr>
            </w:pPr>
            <w:r>
              <w:rPr>
                <w:rFonts w:hint="eastAsia"/>
                <w:b/>
                <w:bCs/>
              </w:rPr>
              <w:t>商务响应与偏离表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584" w:firstLineChars="1700"/>
              <w:jc w:val="center"/>
              <w:rPr>
                <w:b/>
                <w:bCs/>
              </w:rPr>
            </w:pPr>
            <w:r>
              <w:rPr>
                <w:rFonts w:hint="eastAsia"/>
                <w:b/>
                <w:bCs/>
              </w:rPr>
              <w:t xml:space="preserve"> </w:t>
            </w:r>
            <w:r>
              <w:fldChar w:fldCharType="begin"/>
            </w:r>
            <w:r>
              <w:instrText xml:space="preserve"> HYPERLINK \l "_Toc474235963" </w:instrText>
            </w:r>
            <w:r>
              <w:fldChar w:fldCharType="separate"/>
            </w:r>
            <w:r>
              <w:rPr>
                <w:rFonts w:hint="eastAsia"/>
                <w:b/>
                <w:bCs/>
              </w:rPr>
              <w:t xml:space="preserve">八 </w:t>
            </w:r>
            <w:r>
              <w:rPr>
                <w:rFonts w:hint="eastAsia"/>
                <w:b/>
                <w:bCs/>
              </w:rPr>
              <w:fldChar w:fldCharType="end"/>
            </w:r>
          </w:p>
        </w:tc>
        <w:tc>
          <w:tcPr>
            <w:tcW w:w="3256" w:type="dxa"/>
          </w:tcPr>
          <w:p>
            <w:pPr>
              <w:rPr>
                <w:b/>
                <w:bCs/>
              </w:rPr>
            </w:pPr>
            <w:r>
              <w:rPr>
                <w:rFonts w:hint="eastAsia"/>
                <w:b/>
                <w:bCs/>
              </w:rPr>
              <w:t>投标人认为需要提供的其它资料</w:t>
            </w:r>
          </w:p>
        </w:tc>
      </w:tr>
    </w:tbl>
    <w:p>
      <w:pPr>
        <w:pStyle w:val="32"/>
        <w:tabs>
          <w:tab w:val="right" w:leader="hyphen" w:pos="8834"/>
        </w:tabs>
        <w:rPr>
          <w:b w:val="0"/>
          <w:bCs w:val="0"/>
          <w:caps w:val="0"/>
          <w:color w:val="000000" w:themeColor="text1"/>
          <w:sz w:val="21"/>
          <w:szCs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TOC \o "1-3" \h \z \u </w:instrText>
      </w:r>
      <w:r>
        <w:rPr>
          <w:rFonts w:ascii="宋体" w:hAnsi="宋体"/>
          <w:color w:val="000000" w:themeColor="text1"/>
          <w:szCs w:val="21"/>
          <w14:textFill>
            <w14:solidFill>
              <w14:schemeClr w14:val="tx1"/>
            </w14:solidFill>
          </w14:textFill>
        </w:rPr>
        <w:fldChar w:fldCharType="separate"/>
      </w:r>
    </w:p>
    <w:p>
      <w:pPr>
        <w:pStyle w:val="32"/>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end"/>
      </w: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1" w:name="_Toc419219491"/>
      <w:bookmarkStart w:id="2" w:name="_Toc419219645"/>
      <w:bookmarkStart w:id="3" w:name="_Toc419219410"/>
      <w:bookmarkStart w:id="4" w:name="_Toc420948005"/>
    </w:p>
    <w:p>
      <w:pPr>
        <w:spacing w:line="360" w:lineRule="exact"/>
        <w:jc w:val="center"/>
        <w:outlineLvl w:val="0"/>
        <w:rPr>
          <w:rFonts w:ascii="宋体" w:hAnsi="宋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5" w:name="_Toc474235940"/>
      <w:r>
        <w:rPr>
          <w:rFonts w:hint="eastAsia" w:ascii="宋体" w:hAnsi="宋体"/>
          <w:b/>
          <w:color w:val="000000" w:themeColor="text1"/>
          <w:sz w:val="32"/>
          <w:szCs w:val="32"/>
          <w14:textFill>
            <w14:solidFill>
              <w14:schemeClr w14:val="tx1"/>
            </w14:solidFill>
          </w14:textFill>
        </w:rPr>
        <w:t>第一</w:t>
      </w:r>
      <w:r>
        <w:rPr>
          <w:rFonts w:ascii="宋体" w:hAnsi="宋体"/>
          <w:b/>
          <w:color w:val="000000" w:themeColor="text1"/>
          <w:sz w:val="32"/>
          <w:szCs w:val="32"/>
          <w14:textFill>
            <w14:solidFill>
              <w14:schemeClr w14:val="tx1"/>
            </w14:solidFill>
          </w14:textFill>
        </w:rPr>
        <w:t xml:space="preserve">章  </w:t>
      </w:r>
      <w:r>
        <w:rPr>
          <w:rFonts w:hint="eastAsia" w:ascii="宋体" w:hAnsi="宋体"/>
          <w:b/>
          <w:color w:val="000000" w:themeColor="text1"/>
          <w:sz w:val="32"/>
          <w:szCs w:val="32"/>
          <w14:textFill>
            <w14:solidFill>
              <w14:schemeClr w14:val="tx1"/>
            </w14:solidFill>
          </w14:textFill>
        </w:rPr>
        <w:t>招标公告</w:t>
      </w:r>
      <w:bookmarkEnd w:id="1"/>
      <w:bookmarkEnd w:id="2"/>
      <w:bookmarkEnd w:id="3"/>
      <w:bookmarkEnd w:id="4"/>
      <w:bookmarkEnd w:id="5"/>
      <w:bookmarkStart w:id="6" w:name="OLE_LINK3"/>
      <w:bookmarkStart w:id="7" w:name="OLE_LINK2"/>
      <w:bookmarkStart w:id="8" w:name="OLE_LINK4"/>
      <w:bookmarkStart w:id="9" w:name="OLE_LINK1"/>
    </w:p>
    <w:bookmarkEnd w:id="6"/>
    <w:bookmarkEnd w:id="7"/>
    <w:bookmarkEnd w:id="8"/>
    <w:bookmarkEnd w:id="9"/>
    <w:p>
      <w:pPr>
        <w:widowControl/>
        <w:spacing w:line="380" w:lineRule="exact"/>
        <w:ind w:firstLine="420" w:firstLineChars="200"/>
        <w:jc w:val="left"/>
        <w:rPr>
          <w:rFonts w:ascii="宋体" w:cs="Arial"/>
          <w:color w:val="000000" w:themeColor="text1"/>
          <w:kern w:val="0"/>
          <w:szCs w:val="21"/>
          <w14:textFill>
            <w14:solidFill>
              <w14:schemeClr w14:val="tx1"/>
            </w14:solidFill>
          </w14:textFill>
        </w:rPr>
      </w:pPr>
      <w:bookmarkStart w:id="10" w:name="_Toc420948006"/>
      <w:bookmarkStart w:id="11" w:name="_Toc474235941"/>
      <w:r>
        <w:rPr>
          <w:rFonts w:hint="eastAsia" w:ascii="宋体" w:hAnsi="宋体" w:cs="Arial"/>
          <w:color w:val="000000" w:themeColor="text1"/>
          <w:kern w:val="0"/>
          <w:szCs w:val="21"/>
          <w:highlight w:val="none"/>
          <w14:textFill>
            <w14:solidFill>
              <w14:schemeClr w14:val="tx1"/>
            </w14:solidFill>
          </w14:textFill>
        </w:rPr>
        <w:t>受</w:t>
      </w:r>
      <w:r>
        <w:rPr>
          <w:rFonts w:hint="eastAsia" w:ascii="宋体" w:hAnsi="宋体" w:cs="Arial"/>
          <w:color w:val="000000" w:themeColor="text1"/>
          <w:kern w:val="0"/>
          <w:szCs w:val="21"/>
          <w:highlight w:val="none"/>
          <w:lang w:eastAsia="zh-CN"/>
          <w14:textFill>
            <w14:solidFill>
              <w14:schemeClr w14:val="tx1"/>
            </w14:solidFill>
          </w14:textFill>
        </w:rPr>
        <w:t>霍尔果斯市商务局</w:t>
      </w:r>
      <w:r>
        <w:rPr>
          <w:rFonts w:hint="eastAsia" w:ascii="宋体" w:hAnsi="宋体" w:cs="Arial"/>
          <w:color w:val="000000" w:themeColor="text1"/>
          <w:kern w:val="0"/>
          <w:szCs w:val="21"/>
          <w:highlight w:val="none"/>
          <w14:textFill>
            <w14:solidFill>
              <w14:schemeClr w14:val="tx1"/>
            </w14:solidFill>
          </w14:textFill>
        </w:rPr>
        <w:t>的委托，霍尔果斯经济开发区政府采购中心对</w:t>
      </w:r>
      <w:r>
        <w:rPr>
          <w:rFonts w:hint="eastAsia" w:ascii="宋体" w:hAnsi="宋体" w:cs="Arial"/>
          <w:color w:val="000000" w:themeColor="text1"/>
          <w:kern w:val="0"/>
          <w:szCs w:val="21"/>
          <w:highlight w:val="none"/>
          <w:lang w:eastAsia="zh-CN"/>
          <w14:textFill>
            <w14:solidFill>
              <w14:schemeClr w14:val="tx1"/>
            </w14:solidFill>
          </w14:textFill>
        </w:rPr>
        <w:t>霍尔果斯市商务局霍尔果斯市综保区粮食现代物流仓储（二期）建设项目设备采购项目 标二 公铁两用车</w:t>
      </w:r>
      <w:r>
        <w:rPr>
          <w:rFonts w:hint="eastAsia" w:ascii="宋体" w:hAnsi="宋体" w:cs="Arial"/>
          <w:color w:val="000000" w:themeColor="text1"/>
          <w:kern w:val="0"/>
          <w:szCs w:val="21"/>
          <w:highlight w:val="none"/>
          <w14:textFill>
            <w14:solidFill>
              <w14:schemeClr w14:val="tx1"/>
            </w14:solidFill>
          </w14:textFill>
        </w:rPr>
        <w:t>进行公开</w:t>
      </w:r>
      <w:r>
        <w:rPr>
          <w:rFonts w:hint="eastAsia" w:ascii="宋体" w:hAnsi="宋体" w:cs="Arial"/>
          <w:color w:val="000000" w:themeColor="text1"/>
          <w:kern w:val="0"/>
          <w:szCs w:val="21"/>
          <w14:textFill>
            <w14:solidFill>
              <w14:schemeClr w14:val="tx1"/>
            </w14:solidFill>
          </w14:textFill>
        </w:rPr>
        <w:t>招标采购，欢迎符合资格条件的投标人参加投标。</w:t>
      </w:r>
    </w:p>
    <w:p>
      <w:pPr>
        <w:widowControl/>
        <w:numPr>
          <w:ilvl w:val="0"/>
          <w:numId w:val="4"/>
        </w:numPr>
        <w:spacing w:line="38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eastAsia="zh-CN"/>
          <w14:textFill>
            <w14:solidFill>
              <w14:schemeClr w14:val="tx1"/>
            </w14:solidFill>
          </w14:textFill>
        </w:rPr>
        <w:t>项目编号</w:t>
      </w:r>
      <w:r>
        <w:rPr>
          <w:rFonts w:hint="eastAsia"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eastAsia="zh-CN"/>
          <w14:textFill>
            <w14:solidFill>
              <w14:schemeClr w14:val="tx1"/>
            </w14:solidFill>
          </w14:textFill>
        </w:rPr>
        <w:t>HEGSCG-2024GK-40号  标二</w:t>
      </w:r>
    </w:p>
    <w:p>
      <w:pPr>
        <w:widowControl/>
        <w:spacing w:line="380" w:lineRule="exact"/>
        <w:ind w:firstLine="420" w:firstLineChars="200"/>
        <w:jc w:val="left"/>
        <w:rPr>
          <w:rFonts w:hint="default" w:ascii="宋体" w:hAnsi="宋体" w:eastAsia="宋体" w:cs="Arial"/>
          <w:color w:val="000000" w:themeColor="text1"/>
          <w:kern w:val="0"/>
          <w:szCs w:val="21"/>
          <w:highlight w:val="darkMagenta"/>
          <w:lang w:val="en-US" w:eastAsia="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2、项目名称：</w:t>
      </w:r>
      <w:r>
        <w:rPr>
          <w:rFonts w:hint="eastAsia" w:ascii="宋体" w:hAnsi="宋体" w:cs="Arial"/>
          <w:color w:val="000000" w:themeColor="text1"/>
          <w:kern w:val="0"/>
          <w:szCs w:val="21"/>
          <w:lang w:eastAsia="zh-CN"/>
          <w14:textFill>
            <w14:solidFill>
              <w14:schemeClr w14:val="tx1"/>
            </w14:solidFill>
          </w14:textFill>
        </w:rPr>
        <w:t>霍尔果斯市商务局霍尔果斯市综保区粮食现代物流仓储（二期）建设项目设备采购项目 标二 公铁两用车</w:t>
      </w:r>
    </w:p>
    <w:p>
      <w:pPr>
        <w:widowControl/>
        <w:spacing w:line="380" w:lineRule="exact"/>
        <w:ind w:left="420" w:left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3、招标内容及要求</w:t>
      </w:r>
    </w:p>
    <w:p>
      <w:pPr>
        <w:widowControl/>
        <w:spacing w:line="380" w:lineRule="exact"/>
        <w:ind w:firstLine="422" w:firstLineChars="200"/>
        <w:jc w:val="left"/>
        <w:rPr>
          <w:color w:val="000000" w:themeColor="text1"/>
          <w14:textFill>
            <w14:solidFill>
              <w14:schemeClr w14:val="tx1"/>
            </w14:solidFill>
          </w14:textFill>
        </w:rPr>
      </w:pPr>
      <w:r>
        <w:rPr>
          <w:rFonts w:hint="eastAsia" w:ascii="宋体" w:hAnsi="宋体" w:cs="Arial"/>
          <w:b/>
          <w:bCs/>
          <w:color w:val="000000" w:themeColor="text1"/>
          <w:kern w:val="0"/>
          <w:szCs w:val="21"/>
          <w14:textFill>
            <w14:solidFill>
              <w14:schemeClr w14:val="tx1"/>
            </w14:solidFill>
          </w14:textFill>
        </w:rPr>
        <w:t>3.1 标项：</w:t>
      </w:r>
    </w:p>
    <w:tbl>
      <w:tblPr>
        <w:tblStyle w:val="46"/>
        <w:tblW w:w="8843" w:type="dxa"/>
        <w:tblInd w:w="11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5417"/>
        <w:gridCol w:w="690"/>
        <w:gridCol w:w="690"/>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PrEx>
        <w:trPr>
          <w:trHeight w:val="23" w:hRule="atLeast"/>
        </w:trPr>
        <w:tc>
          <w:tcPr>
            <w:tcW w:w="8843" w:type="dxa"/>
            <w:gridSpan w:val="5"/>
            <w:tcBorders>
              <w:tl2br w:val="nil"/>
              <w:tr2bl w:val="nil"/>
            </w:tcBorders>
            <w:shd w:val="clear" w:color="auto" w:fill="auto"/>
            <w:noWrap/>
            <w:vAlign w:val="center"/>
          </w:tcPr>
          <w:p>
            <w:pPr>
              <w:widowControl/>
              <w:jc w:val="left"/>
              <w:textAlignment w:val="center"/>
              <w:rPr>
                <w:rFonts w:hint="eastAsia" w:ascii="黑体" w:hAnsi="黑体" w:eastAsia="黑体" w:cs="黑体"/>
                <w:color w:val="000000"/>
                <w:kern w:val="0"/>
                <w:sz w:val="20"/>
                <w:szCs w:val="20"/>
                <w:lang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名称</w:t>
            </w:r>
          </w:p>
        </w:tc>
        <w:tc>
          <w:tcPr>
            <w:tcW w:w="5417"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简要规格描述或项目基本概况</w:t>
            </w:r>
          </w:p>
        </w:tc>
        <w:tc>
          <w:tcPr>
            <w:tcW w:w="690" w:type="dxa"/>
            <w:tcBorders>
              <w:right w:val="single" w:color="auto" w:sz="4" w:space="0"/>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单位</w:t>
            </w:r>
          </w:p>
        </w:tc>
        <w:tc>
          <w:tcPr>
            <w:tcW w:w="690" w:type="dxa"/>
            <w:tcBorders>
              <w:lef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数量</w:t>
            </w:r>
          </w:p>
        </w:tc>
        <w:tc>
          <w:tcPr>
            <w:tcW w:w="68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公铁两用车</w:t>
            </w:r>
          </w:p>
        </w:tc>
        <w:tc>
          <w:tcPr>
            <w:tcW w:w="5417"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eastAsia="黑体"/>
                <w:color w:val="000000"/>
                <w:kern w:val="0"/>
                <w:sz w:val="20"/>
                <w:szCs w:val="20"/>
                <w:lang w:eastAsia="zh-CN" w:bidi="ar"/>
              </w:rPr>
              <w:t>公铁两用车，</w:t>
            </w:r>
            <w:r>
              <w:rPr>
                <w:rFonts w:hint="eastAsia" w:eastAsia="黑体"/>
                <w:color w:val="000000"/>
                <w:kern w:val="0"/>
                <w:sz w:val="20"/>
                <w:szCs w:val="20"/>
                <w:lang w:bidi="ar"/>
              </w:rPr>
              <w:t>具体明细详见采购文件</w:t>
            </w:r>
            <w:r>
              <w:rPr>
                <w:rFonts w:hint="eastAsia" w:eastAsia="黑体"/>
                <w:sz w:val="20"/>
                <w:szCs w:val="20"/>
              </w:rPr>
              <w:t>“第五章 采购需求”。</w:t>
            </w:r>
          </w:p>
        </w:tc>
        <w:tc>
          <w:tcPr>
            <w:tcW w:w="690" w:type="dxa"/>
            <w:tcBorders>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台</w:t>
            </w:r>
          </w:p>
        </w:tc>
        <w:tc>
          <w:tcPr>
            <w:tcW w:w="690" w:type="dxa"/>
            <w:tcBorders>
              <w:lef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w:t>
            </w:r>
          </w:p>
        </w:tc>
        <w:tc>
          <w:tcPr>
            <w:tcW w:w="681" w:type="dxa"/>
            <w:tcBorders>
              <w:tl2br w:val="nil"/>
              <w:tr2bl w:val="nil"/>
            </w:tcBorders>
            <w:shd w:val="clear" w:color="auto" w:fill="auto"/>
            <w:vAlign w:val="center"/>
          </w:tcPr>
          <w:p>
            <w:pPr>
              <w:jc w:val="center"/>
              <w:rPr>
                <w:rFonts w:ascii="黑体" w:hAnsi="黑体" w:eastAsia="黑体" w:cs="黑体"/>
                <w:color w:val="000000"/>
                <w:sz w:val="20"/>
                <w:szCs w:val="20"/>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、采购项目需要落实的政府采购政策：</w:t>
      </w:r>
      <w:r>
        <w:rPr>
          <w:color w:val="000000" w:themeColor="text1"/>
          <w14:textFill>
            <w14:solidFill>
              <w14:schemeClr w14:val="tx1"/>
            </w14:solidFill>
          </w14:textFill>
        </w:rPr>
        <w:t xml:space="preserve"> </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（1）财政部、国家发展改革委、生态环境部、市场监管总局《关于调整优化节能产品、环境标志产品政府采购执行机制的通知》（财库[2019]9号文）；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（2）财政部、生态环境部《关于印发环境标志产品政府采购品目清单的通知》（财库[2019]18号文）；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（3）财政部、发展改革委《关于印发节能产品政府采购品目清单的通知》（财库[2019]19号文）；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（4）市场监管总局《市场监管总局关于发布参与实施政府采购节能产品、环境标志产品认证机构名录的公告》（2019年第16号）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（5）财政部、工业和信息化部</w:t>
      </w:r>
      <w:r>
        <w:rPr>
          <w:rFonts w:hint="eastAsia" w:ascii="宋体" w:hAnsi="宋体"/>
          <w:color w:val="000000" w:themeColor="text1"/>
          <w:szCs w:val="21"/>
          <w14:textFill>
            <w14:solidFill>
              <w14:schemeClr w14:val="tx1"/>
            </w14:solidFill>
          </w14:textFill>
        </w:rPr>
        <w:t>《政府采购促进中小企业发展管理办法》（财库[2020]46号）</w:t>
      </w:r>
      <w:r>
        <w:rPr>
          <w:rFonts w:hint="eastAsia" w:ascii="宋体" w:hAnsi="宋体" w:cs="Arial"/>
          <w:kern w:val="0"/>
          <w:szCs w:val="21"/>
        </w:rPr>
        <w:t>；财政部《关于进一步加大政府采购支持中小企业力度的通知》（财库[2022]19号）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（6）财政部、民政部、中国残疾人联合会《关于促进残疾人就业政府采购政策的通知》（财库[2017]141号）；</w:t>
      </w:r>
    </w:p>
    <w:p>
      <w:pPr>
        <w:ind w:firstLine="420" w:firstLineChars="200"/>
        <w:rPr>
          <w:rFonts w:ascii="宋体" w:hAnsi="宋体" w:cs="Arial"/>
          <w:kern w:val="0"/>
          <w:szCs w:val="21"/>
        </w:rPr>
      </w:pPr>
      <w:r>
        <w:rPr>
          <w:rFonts w:hint="eastAsia" w:ascii="宋体" w:hAnsi="宋体" w:cs="Arial"/>
          <w:kern w:val="0"/>
          <w:szCs w:val="21"/>
        </w:rPr>
        <w:t>（7）财政部、司法部《关于政府采购支持监狱企业发展有关问题的通知》（财库[2014]68号文）；</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cs="Arial"/>
          <w:kern w:val="0"/>
          <w:szCs w:val="21"/>
        </w:rPr>
        <w:t>（8）根据工业和信息化部、国家统计局、国家发展改革委、财政部《关于印发中小企业划型标准规</w:t>
      </w:r>
      <w:r>
        <w:rPr>
          <w:rFonts w:hint="eastAsia" w:ascii="宋体" w:hAnsi="宋体" w:eastAsia="宋体" w:cs="Arial"/>
          <w:kern w:val="0"/>
          <w:szCs w:val="21"/>
        </w:rPr>
        <w:t>定的通知》(工信部联企业〔2011〕300号)。</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rPr>
        <w:t>（9）市场监管总局《强制性产品认证管理规定》（2009年7月3日国家质量监督检验检疫总局令第117号公布 根据2022年9月29日国家市场监督管理总局令第61号修订）</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10）</w:t>
      </w:r>
      <w:r>
        <w:rPr>
          <w:rFonts w:hint="eastAsia" w:ascii="宋体" w:hAnsi="宋体" w:eastAsia="宋体" w:cs="Arial"/>
          <w:kern w:val="0"/>
          <w:szCs w:val="21"/>
        </w:rPr>
        <w:t>市场监管总局《市场监管总局关于发布强制性产品认证目录描述与界定表的公告》（2023年第36号）</w:t>
      </w:r>
    </w:p>
    <w:p>
      <w:pPr>
        <w:widowControl/>
        <w:spacing w:line="380" w:lineRule="exact"/>
        <w:ind w:left="0" w:leftChars="0" w:firstLine="420" w:firstLineChars="200"/>
        <w:jc w:val="left"/>
        <w:rPr>
          <w:rFonts w:hint="default" w:ascii="宋体" w:hAnsi="宋体" w:eastAsia="宋体" w:cs="Arial"/>
          <w:kern w:val="0"/>
          <w:szCs w:val="21"/>
          <w:lang w:val="en-US" w:eastAsia="zh-CN"/>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11）国家市场监督管理总局2019年第44号公告《市场监管总局关于调整完善强制性产品认证目录和实施要求的公告》</w:t>
      </w:r>
    </w:p>
    <w:p>
      <w:pPr>
        <w:widowControl/>
        <w:spacing w:line="380" w:lineRule="exact"/>
        <w:ind w:left="420" w:hanging="420" w:hangingChars="200"/>
        <w:jc w:val="left"/>
        <w:rPr>
          <w:rFonts w:ascii="宋体" w:hAnsi="宋体" w:cs="Arial"/>
          <w:kern w:val="0"/>
          <w:szCs w:val="21"/>
        </w:rPr>
      </w:pPr>
      <w:r>
        <w:rPr>
          <w:rFonts w:hint="eastAsia" w:ascii="宋体" w:hAnsi="宋体" w:cs="Arial"/>
          <w:kern w:val="0"/>
          <w:szCs w:val="21"/>
        </w:rPr>
        <w:t>5、投标人的资格要求：</w:t>
      </w:r>
      <w:r>
        <w:rPr>
          <w:rFonts w:hint="eastAsia" w:ascii="宋体" w:hAnsi="宋体" w:cs="Arial"/>
          <w:kern w:val="0"/>
          <w:szCs w:val="21"/>
        </w:rPr>
        <w:br w:type="textWrapping"/>
      </w:r>
      <w:r>
        <w:rPr>
          <w:rFonts w:hint="eastAsia" w:ascii="宋体" w:hAnsi="宋体" w:cs="Arial"/>
          <w:kern w:val="0"/>
          <w:szCs w:val="21"/>
        </w:rPr>
        <w:t>（1）符合《中华人民共和国政府采购法》第二十二条规定条件；</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（2）投标人在“信用中国”（www.creditchina.gov.cn）和中国政府采购网（www.ccgp.gov.cn）网站上未被列入失信被执行人、重大税收违法案件当事人名单以及政府采购严重违法失信行为记录名单；</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rPr>
        <w:t>（3）</w:t>
      </w:r>
      <w:r>
        <w:rPr>
          <w:rFonts w:hint="eastAsia" w:ascii="宋体" w:hAnsi="宋体" w:cs="Arial"/>
          <w:b w:val="0"/>
          <w:bCs w:val="0"/>
          <w:color w:val="auto"/>
          <w:kern w:val="0"/>
          <w:szCs w:val="21"/>
          <w:highlight w:val="none"/>
          <w:lang w:val="en-US" w:eastAsia="zh-CN"/>
        </w:rPr>
        <w:t>本项目不专门面向中小企业预留。给予符合小型和微型企业产品的价格给予10%的扣除，用扣除后的价格参与评审。</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lang w:val="en-US" w:eastAsia="zh-CN"/>
        </w:rPr>
        <w:t>4）</w:t>
      </w:r>
      <w:r>
        <w:rPr>
          <w:rFonts w:hint="eastAsia" w:ascii="宋体" w:hAnsi="宋体" w:cs="Arial"/>
          <w:kern w:val="0"/>
          <w:szCs w:val="21"/>
        </w:rPr>
        <w:t>本项目不接受联合体，分公司参与投标需提供总公司营业执照及授权。</w:t>
      </w:r>
    </w:p>
    <w:p>
      <w:pPr>
        <w:widowControl/>
        <w:spacing w:line="380" w:lineRule="exact"/>
        <w:jc w:val="left"/>
        <w:rPr>
          <w:rFonts w:ascii="宋体" w:hAnsi="宋体" w:cs="Arial"/>
          <w:kern w:val="0"/>
          <w:szCs w:val="21"/>
        </w:rPr>
      </w:pPr>
      <w:r>
        <w:rPr>
          <w:rFonts w:hint="eastAsia" w:ascii="宋体" w:hAnsi="宋体" w:cs="Arial"/>
          <w:kern w:val="0"/>
          <w:szCs w:val="21"/>
        </w:rPr>
        <w:t>6、获取招标文件时间、地点、方式或事项：</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（1）供应商登陆政采云平台http://www.zcygov.cn/，在线申请获取采购文件（登录政府采购云平台 → 项目采购 → 获取采购文件 →下载招标文件，如有操作性问题，可与政采云在线客服进行咨询，咨询电话：95763）。</w:t>
      </w:r>
    </w:p>
    <w:p>
      <w:pPr>
        <w:widowControl/>
        <w:spacing w:line="380" w:lineRule="exact"/>
        <w:ind w:firstLine="420" w:firstLineChars="200"/>
        <w:jc w:val="left"/>
        <w:rPr>
          <w:rFonts w:hint="eastAsia" w:ascii="宋体" w:hAnsi="宋体" w:eastAsia="宋体" w:cs="Arial"/>
          <w:kern w:val="0"/>
          <w:szCs w:val="21"/>
          <w:highlight w:val="none"/>
          <w:lang w:eastAsia="zh-CN"/>
        </w:rPr>
      </w:pPr>
      <w:r>
        <w:rPr>
          <w:rFonts w:hint="eastAsia" w:ascii="宋体" w:hAnsi="宋体" w:cs="Arial"/>
          <w:kern w:val="0"/>
          <w:szCs w:val="21"/>
        </w:rPr>
        <w:t>（2）获取文件时间：</w:t>
      </w:r>
      <w:r>
        <w:rPr>
          <w:rFonts w:hint="eastAsia"/>
          <w:b/>
          <w:bCs/>
          <w:color w:val="000000" w:themeColor="text1"/>
          <w:highlight w:val="none"/>
          <w:lang w:eastAsia="zh-CN"/>
          <w14:textFill>
            <w14:solidFill>
              <w14:schemeClr w14:val="tx1"/>
            </w14:solidFill>
          </w14:textFill>
        </w:rPr>
        <w:t>2024年10月14日</w:t>
      </w:r>
      <w:r>
        <w:rPr>
          <w:rFonts w:hint="eastAsia"/>
          <w:b/>
          <w:bCs/>
          <w:color w:val="000000" w:themeColor="text1"/>
          <w:highlight w:val="none"/>
          <w14:textFill>
            <w14:solidFill>
              <w14:schemeClr w14:val="tx1"/>
            </w14:solidFill>
          </w14:textFill>
        </w:rPr>
        <w:t>至</w:t>
      </w:r>
      <w:r>
        <w:rPr>
          <w:rFonts w:hint="eastAsia"/>
          <w:b/>
          <w:bCs/>
          <w:color w:val="000000" w:themeColor="text1"/>
          <w:highlight w:val="none"/>
          <w:lang w:eastAsia="zh-CN"/>
          <w14:textFill>
            <w14:solidFill>
              <w14:schemeClr w14:val="tx1"/>
            </w14:solidFill>
          </w14:textFill>
        </w:rPr>
        <w:t>2024年10月21日</w:t>
      </w:r>
    </w:p>
    <w:p>
      <w:pPr>
        <w:widowControl/>
        <w:spacing w:line="380" w:lineRule="exact"/>
        <w:jc w:val="left"/>
        <w:rPr>
          <w:rFonts w:ascii="宋体" w:hAnsi="宋体" w:cs="Arial"/>
          <w:kern w:val="0"/>
          <w:szCs w:val="21"/>
        </w:rPr>
      </w:pPr>
      <w:r>
        <w:rPr>
          <w:rFonts w:hint="eastAsia" w:ascii="宋体" w:hAnsi="宋体" w:cs="Arial"/>
          <w:kern w:val="0"/>
          <w:szCs w:val="21"/>
        </w:rPr>
        <w:t>7、招标文件售价：免费</w:t>
      </w:r>
      <w:r>
        <w:rPr>
          <w:rFonts w:hint="eastAsia" w:ascii="宋体" w:hAnsi="宋体" w:cs="Arial"/>
          <w:kern w:val="0"/>
          <w:szCs w:val="21"/>
        </w:rPr>
        <w:br w:type="textWrapping"/>
      </w:r>
      <w:r>
        <w:rPr>
          <w:rFonts w:hint="eastAsia" w:ascii="宋体" w:hAnsi="宋体" w:cs="Arial"/>
          <w:kern w:val="0"/>
          <w:szCs w:val="21"/>
        </w:rPr>
        <w:t>8、报名开始时间：</w:t>
      </w:r>
      <w:r>
        <w:rPr>
          <w:rFonts w:hint="eastAsia"/>
          <w:b/>
          <w:bCs/>
          <w:color w:val="000000" w:themeColor="text1"/>
          <w:lang w:eastAsia="zh-CN"/>
          <w14:textFill>
            <w14:solidFill>
              <w14:schemeClr w14:val="tx1"/>
            </w14:solidFill>
          </w14:textFill>
        </w:rPr>
        <w:t>2024年10月14日</w:t>
      </w:r>
      <w:r>
        <w:rPr>
          <w:rFonts w:hint="eastAsia" w:ascii="宋体" w:hAnsi="宋体" w:cs="Arial"/>
          <w:b/>
          <w:bCs/>
          <w:kern w:val="0"/>
          <w:szCs w:val="21"/>
        </w:rPr>
        <w:t>10点00分</w:t>
      </w:r>
    </w:p>
    <w:p>
      <w:pPr>
        <w:widowControl/>
        <w:spacing w:line="380" w:lineRule="exact"/>
        <w:ind w:firstLine="218" w:firstLineChars="104"/>
        <w:jc w:val="left"/>
        <w:rPr>
          <w:rFonts w:ascii="宋体" w:hAnsi="宋体" w:cs="Arial"/>
          <w:kern w:val="0"/>
          <w:szCs w:val="21"/>
        </w:rPr>
      </w:pPr>
      <w:r>
        <w:rPr>
          <w:rFonts w:hint="eastAsia" w:ascii="宋体" w:hAnsi="宋体" w:cs="Arial"/>
          <w:kern w:val="0"/>
          <w:szCs w:val="21"/>
        </w:rPr>
        <w:t>报名截止时间：</w:t>
      </w:r>
      <w:r>
        <w:rPr>
          <w:rFonts w:hint="eastAsia"/>
          <w:b/>
          <w:bCs/>
          <w:color w:val="000000" w:themeColor="text1"/>
          <w:lang w:eastAsia="zh-CN"/>
          <w14:textFill>
            <w14:solidFill>
              <w14:schemeClr w14:val="tx1"/>
            </w14:solidFill>
          </w14:textFill>
        </w:rPr>
        <w:t>2024年10月21日</w:t>
      </w:r>
      <w:r>
        <w:rPr>
          <w:rFonts w:hint="eastAsia" w:ascii="宋体" w:hAnsi="宋体" w:cs="Arial"/>
          <w:b/>
          <w:bCs/>
          <w:kern w:val="0"/>
          <w:szCs w:val="21"/>
        </w:rPr>
        <w:t>20点00分</w:t>
      </w:r>
    </w:p>
    <w:p>
      <w:pPr>
        <w:widowControl/>
        <w:spacing w:line="380" w:lineRule="exact"/>
        <w:jc w:val="left"/>
        <w:rPr>
          <w:rFonts w:ascii="宋体" w:hAnsi="宋体" w:cs="Arial"/>
          <w:kern w:val="0"/>
          <w:szCs w:val="21"/>
        </w:rPr>
      </w:pPr>
      <w:r>
        <w:rPr>
          <w:rFonts w:hint="eastAsia" w:ascii="宋体" w:hAnsi="宋体" w:cs="Arial"/>
          <w:kern w:val="0"/>
          <w:szCs w:val="21"/>
        </w:rPr>
        <w:t>9、投标截止时间：投标人应于</w:t>
      </w:r>
      <w:r>
        <w:rPr>
          <w:rFonts w:hint="eastAsia"/>
          <w:b/>
          <w:bCs/>
          <w:color w:val="000000" w:themeColor="text1"/>
          <w:lang w:eastAsia="zh-CN"/>
          <w14:textFill>
            <w14:solidFill>
              <w14:schemeClr w14:val="tx1"/>
            </w14:solidFill>
          </w14:textFill>
        </w:rPr>
        <w:t>2024年11月5日10:30</w:t>
      </w:r>
      <w:r>
        <w:rPr>
          <w:rFonts w:hint="eastAsia" w:ascii="宋体" w:hAnsi="宋体" w:cs="Arial"/>
          <w:kern w:val="0"/>
          <w:szCs w:val="21"/>
        </w:rPr>
        <w:t>之前将电子投标文件上传到“政采云”平台。应按照本项目招标文件和政采云平台的要求编制、加密传输投标文件。供应商在使用系统进行投标的过程中遇到涉及平台使用的任何问题，</w:t>
      </w:r>
      <w:r>
        <w:rPr>
          <w:rFonts w:ascii="宋体" w:hAnsi="宋体" w:cs="Arial"/>
          <w:kern w:val="0"/>
          <w:szCs w:val="21"/>
        </w:rPr>
        <w:t>可通过</w:t>
      </w:r>
      <w:r>
        <w:rPr>
          <w:rFonts w:hint="eastAsia" w:ascii="宋体" w:hAnsi="宋体" w:cs="Arial"/>
          <w:kern w:val="0"/>
          <w:szCs w:val="21"/>
        </w:rPr>
        <w:t>政采云平台自助查询、</w:t>
      </w:r>
      <w:r>
        <w:rPr>
          <w:rFonts w:ascii="宋体" w:hAnsi="宋体" w:cs="Arial"/>
          <w:kern w:val="0"/>
          <w:szCs w:val="21"/>
        </w:rPr>
        <w:t>钉钉群及政采云在线客服</w:t>
      </w:r>
      <w:r>
        <w:rPr>
          <w:rFonts w:hint="eastAsia" w:ascii="宋体" w:hAnsi="宋体" w:cs="Arial"/>
          <w:kern w:val="0"/>
          <w:szCs w:val="21"/>
        </w:rPr>
        <w:t>、或致电政采云平台技术支持热线咨询，联系方式：95763。</w:t>
      </w:r>
    </w:p>
    <w:p>
      <w:pPr>
        <w:widowControl/>
        <w:spacing w:line="380" w:lineRule="exact"/>
        <w:jc w:val="left"/>
        <w:rPr>
          <w:rFonts w:ascii="宋体" w:hAnsi="宋体" w:cs="Arial"/>
          <w:kern w:val="0"/>
          <w:szCs w:val="21"/>
        </w:rPr>
      </w:pPr>
      <w:r>
        <w:rPr>
          <w:rFonts w:hint="eastAsia" w:ascii="宋体" w:hAnsi="宋体" w:cs="Arial"/>
          <w:kern w:val="0"/>
          <w:szCs w:val="21"/>
        </w:rPr>
        <w:t>10、开标、评标时间及地点（网址）：</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（1）开标时间：</w:t>
      </w:r>
      <w:r>
        <w:rPr>
          <w:rFonts w:hint="eastAsia"/>
          <w:b/>
          <w:bCs/>
          <w:color w:val="000000" w:themeColor="text1"/>
          <w:lang w:eastAsia="zh-CN"/>
          <w14:textFill>
            <w14:solidFill>
              <w14:schemeClr w14:val="tx1"/>
            </w14:solidFill>
          </w14:textFill>
        </w:rPr>
        <w:t>2024年11月5日10:30</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（2）开标地点（网址）：</w:t>
      </w:r>
      <w:r>
        <w:fldChar w:fldCharType="begin"/>
      </w:r>
      <w:r>
        <w:instrText xml:space="preserve"> HYPERLINK "https://www.zcygov.cn，投标供应商无需到达评标现场。" </w:instrText>
      </w:r>
      <w:r>
        <w:fldChar w:fldCharType="separate"/>
      </w:r>
      <w:r>
        <w:rPr>
          <w:rFonts w:hint="eastAsia" w:ascii="宋体" w:hAnsi="宋体" w:cs="Arial"/>
          <w:kern w:val="0"/>
          <w:szCs w:val="21"/>
        </w:rPr>
        <w:t>https://www.zcygov.cn</w:t>
      </w:r>
      <w:r>
        <w:rPr>
          <w:rFonts w:hint="eastAsia" w:ascii="宋体" w:hAnsi="宋体" w:cs="Arial"/>
          <w:kern w:val="0"/>
          <w:szCs w:val="21"/>
        </w:rPr>
        <w:fldChar w:fldCharType="end"/>
      </w:r>
      <w:r>
        <w:rPr>
          <w:rFonts w:hint="eastAsia" w:ascii="宋体" w:hAnsi="宋体" w:cs="Arial"/>
          <w:kern w:val="0"/>
          <w:szCs w:val="21"/>
        </w:rPr>
        <w:t>政采云电子开标大厅</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（3）评标时间：电子投标文件解密后</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（4）评标地点：霍尔果斯市政务服务中心三楼公共资源交易中心评标室，评审小组到达后开启电子评标，投标人无需到达评标地点。</w:t>
      </w:r>
    </w:p>
    <w:p>
      <w:pPr>
        <w:widowControl/>
        <w:spacing w:line="380" w:lineRule="exact"/>
        <w:jc w:val="left"/>
        <w:rPr>
          <w:rFonts w:hint="eastAsia" w:ascii="宋体" w:hAnsi="宋体" w:eastAsia="宋体" w:cs="Arial"/>
          <w:kern w:val="0"/>
          <w:szCs w:val="21"/>
          <w:highlight w:val="none"/>
          <w:lang w:eastAsia="zh-CN"/>
        </w:rPr>
      </w:pPr>
      <w:r>
        <w:rPr>
          <w:rFonts w:hint="eastAsia" w:ascii="宋体" w:hAnsi="宋体" w:cs="Arial"/>
          <w:kern w:val="0"/>
          <w:szCs w:val="21"/>
        </w:rPr>
        <w:t>11、本项目</w:t>
      </w:r>
      <w:r>
        <w:rPr>
          <w:rFonts w:hint="eastAsia" w:ascii="宋体" w:hAnsi="宋体" w:cs="Arial"/>
          <w:kern w:val="0"/>
          <w:szCs w:val="21"/>
          <w:highlight w:val="none"/>
        </w:rPr>
        <w:t>采购人：</w:t>
      </w:r>
      <w:r>
        <w:rPr>
          <w:rFonts w:hint="eastAsia" w:ascii="宋体" w:hAnsi="宋体" w:cs="Arial"/>
          <w:kern w:val="0"/>
          <w:szCs w:val="21"/>
          <w:highlight w:val="none"/>
          <w:lang w:eastAsia="zh-CN"/>
        </w:rPr>
        <w:t>霍尔果斯市商务局</w:t>
      </w:r>
    </w:p>
    <w:p>
      <w:pPr>
        <w:pStyle w:val="17"/>
        <w:ind w:firstLine="420" w:firstLineChars="200"/>
        <w:rPr>
          <w:rFonts w:hint="eastAsia" w:eastAsia="宋体"/>
          <w:highlight w:val="none"/>
          <w:lang w:eastAsia="zh-CN"/>
        </w:rPr>
      </w:pPr>
      <w:r>
        <w:rPr>
          <w:rFonts w:hint="eastAsia" w:ascii="宋体" w:hAnsi="宋体" w:cs="Arial"/>
          <w:kern w:val="0"/>
          <w:szCs w:val="21"/>
          <w:highlight w:val="none"/>
        </w:rPr>
        <w:t>地  址：</w:t>
      </w:r>
      <w:r>
        <w:rPr>
          <w:rFonts w:hint="eastAsia"/>
          <w:highlight w:val="none"/>
          <w:lang w:eastAsia="zh-CN"/>
        </w:rPr>
        <w:t>霍尔果斯市和平路市委楼709办公室</w:t>
      </w:r>
    </w:p>
    <w:p>
      <w:pPr>
        <w:pStyle w:val="17"/>
        <w:ind w:firstLine="420" w:firstLineChars="200"/>
        <w:rPr>
          <w:rFonts w:hint="eastAsia" w:eastAsia="宋体"/>
          <w:lang w:val="en-US" w:eastAsia="zh-CN"/>
        </w:rPr>
      </w:pPr>
      <w:r>
        <w:rPr>
          <w:rFonts w:hint="eastAsia" w:ascii="宋体" w:hAnsi="宋体" w:cs="Arial"/>
          <w:kern w:val="0"/>
          <w:szCs w:val="21"/>
        </w:rPr>
        <w:t>联系人：</w:t>
      </w:r>
      <w:r>
        <w:rPr>
          <w:rFonts w:hint="eastAsia"/>
          <w:lang w:val="en-US" w:eastAsia="zh-CN"/>
        </w:rPr>
        <w:t>木尼尔丁·木那吉丁</w:t>
      </w:r>
    </w:p>
    <w:p>
      <w:pPr>
        <w:pStyle w:val="17"/>
        <w:ind w:firstLine="420" w:firstLineChars="200"/>
        <w:rPr>
          <w:rFonts w:hint="default" w:eastAsia="宋体"/>
          <w:lang w:val="en-US" w:eastAsia="zh-CN"/>
        </w:rPr>
      </w:pPr>
      <w:r>
        <w:rPr>
          <w:rFonts w:hint="eastAsia" w:ascii="宋体" w:hAnsi="宋体" w:cs="Arial"/>
          <w:kern w:val="0"/>
          <w:szCs w:val="21"/>
        </w:rPr>
        <w:t>联系电话：</w:t>
      </w:r>
      <w:r>
        <w:rPr>
          <w:rFonts w:hint="eastAsia"/>
          <w:lang w:val="en-US" w:eastAsia="zh-CN"/>
        </w:rPr>
        <w:t>18160520879</w:t>
      </w:r>
    </w:p>
    <w:p>
      <w:pPr>
        <w:widowControl/>
        <w:spacing w:line="380" w:lineRule="exact"/>
        <w:ind w:firstLine="420" w:firstLineChars="200"/>
        <w:jc w:val="left"/>
        <w:rPr>
          <w:rFonts w:ascii="宋体" w:hAnsi="宋体" w:cs="Arial"/>
          <w:kern w:val="0"/>
          <w:szCs w:val="21"/>
        </w:rPr>
      </w:pP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采购代理机构：霍尔果斯经济开发区政府采购中心</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地  址：霍尔果斯市政务服务中心</w:t>
      </w:r>
      <w:r>
        <w:rPr>
          <w:rFonts w:hint="eastAsia" w:ascii="宋体" w:hAnsi="宋体" w:cs="Arial"/>
          <w:kern w:val="0"/>
          <w:szCs w:val="21"/>
          <w:lang w:eastAsia="zh-CN"/>
        </w:rPr>
        <w:t>230办公室</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联系人：</w:t>
      </w:r>
      <w:r>
        <w:rPr>
          <w:rFonts w:hint="eastAsia" w:ascii="宋体" w:hAnsi="宋体" w:cs="Arial"/>
          <w:kern w:val="0"/>
          <w:szCs w:val="21"/>
          <w:lang w:eastAsia="zh-CN"/>
        </w:rPr>
        <w:t>罗鹏</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联系电话：0999-8797331</w:t>
      </w:r>
    </w:p>
    <w:p>
      <w:pPr>
        <w:widowControl/>
        <w:spacing w:line="380" w:lineRule="exact"/>
        <w:ind w:firstLine="840" w:firstLineChars="400"/>
        <w:jc w:val="left"/>
        <w:rPr>
          <w:rFonts w:ascii="宋体" w:cs="Arial"/>
          <w:color w:val="000000" w:themeColor="text1"/>
          <w:kern w:val="0"/>
          <w:szCs w:val="21"/>
          <w14:textFill>
            <w14:solidFill>
              <w14:schemeClr w14:val="tx1"/>
            </w14:solidFill>
          </w14:textFill>
        </w:rPr>
      </w:pPr>
    </w:p>
    <w:p>
      <w:pPr>
        <w:widowControl/>
        <w:spacing w:line="4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14:textFill>
            <w14:solidFill>
              <w14:schemeClr w14:val="tx1"/>
            </w14:solidFill>
          </w14:textFill>
        </w:rPr>
        <w:t>注：本项目采购公告发布截止日后，请持续关注本项目后续网上发布变更、答疑澄清等内容。</w:t>
      </w:r>
    </w:p>
    <w:p>
      <w:pPr>
        <w:widowControl/>
        <w:spacing w:line="400" w:lineRule="exact"/>
        <w:jc w:val="center"/>
        <w:outlineLvl w:val="0"/>
        <w:rPr>
          <w:rFonts w:ascii="宋体" w:hAnsi="宋体"/>
          <w:b/>
          <w:color w:val="000000" w:themeColor="text1"/>
          <w:sz w:val="32"/>
          <w:szCs w:val="32"/>
          <w14:textFill>
            <w14:solidFill>
              <w14:schemeClr w14:val="tx1"/>
            </w14:solidFill>
          </w14:textFill>
        </w:rPr>
      </w:pPr>
    </w:p>
    <w:p>
      <w:pPr>
        <w:widowControl/>
        <w:spacing w:line="4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第二章 投标须知</w:t>
      </w:r>
      <w:bookmarkEnd w:id="10"/>
      <w:bookmarkEnd w:id="11"/>
    </w:p>
    <w:p>
      <w:pPr>
        <w:pStyle w:val="25"/>
        <w:jc w:val="center"/>
        <w:outlineLvl w:val="1"/>
        <w:rPr>
          <w:rFonts w:hAnsi="宋体"/>
          <w:b/>
          <w:color w:val="000000" w:themeColor="text1"/>
          <w:sz w:val="30"/>
          <w:szCs w:val="30"/>
          <w14:textFill>
            <w14:solidFill>
              <w14:schemeClr w14:val="tx1"/>
            </w14:solidFill>
          </w14:textFill>
        </w:rPr>
      </w:pPr>
      <w:bookmarkStart w:id="12" w:name="_Toc474235942"/>
      <w:r>
        <w:rPr>
          <w:rFonts w:hint="eastAsia" w:hAnsi="宋体"/>
          <w:b/>
          <w:color w:val="000000" w:themeColor="text1"/>
          <w:sz w:val="30"/>
          <w:szCs w:val="30"/>
          <w14:textFill>
            <w14:solidFill>
              <w14:schemeClr w14:val="tx1"/>
            </w14:solidFill>
          </w14:textFill>
        </w:rPr>
        <w:t>投标须知前附表</w:t>
      </w:r>
      <w:bookmarkEnd w:id="12"/>
    </w:p>
    <w:tbl>
      <w:tblPr>
        <w:tblStyle w:val="46"/>
        <w:tblW w:w="88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1633"/>
        <w:gridCol w:w="4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blHeader/>
          <w:jc w:val="center"/>
        </w:trPr>
        <w:tc>
          <w:tcPr>
            <w:tcW w:w="2267"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1633"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条款名称</w:t>
            </w:r>
          </w:p>
        </w:tc>
        <w:tc>
          <w:tcPr>
            <w:tcW w:w="4945"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编列内容规定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4945" w:type="dxa"/>
            <w:vAlign w:val="center"/>
          </w:tcPr>
          <w:p>
            <w:pPr>
              <w:widowControl/>
              <w:spacing w:line="380" w:lineRule="exact"/>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cs="Arial"/>
                <w:kern w:val="0"/>
                <w:szCs w:val="21"/>
                <w:lang w:eastAsia="zh-CN"/>
              </w:rPr>
              <w:t>霍尔果斯市商务局霍尔果斯市综保区粮食现代物流仓储（二期）建设项目设备采购项目 标二 公铁两用车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第二章第1.2款</w:t>
            </w:r>
          </w:p>
        </w:tc>
        <w:tc>
          <w:tcPr>
            <w:tcW w:w="1633" w:type="dxa"/>
            <w:vAlign w:val="center"/>
          </w:tcPr>
          <w:p>
            <w:pPr>
              <w:spacing w:line="380" w:lineRule="exact"/>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项目属性</w:t>
            </w:r>
          </w:p>
        </w:tc>
        <w:tc>
          <w:tcPr>
            <w:tcW w:w="4945" w:type="dxa"/>
            <w:tcBorders>
              <w:bottom w:val="single" w:color="auto" w:sz="4" w:space="0"/>
            </w:tcBorders>
            <w:vAlign w:val="center"/>
          </w:tcPr>
          <w:p>
            <w:pPr>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第二章第1.3款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项目地点</w:t>
            </w:r>
          </w:p>
        </w:tc>
        <w:tc>
          <w:tcPr>
            <w:tcW w:w="4945" w:type="dxa"/>
            <w:vAlign w:val="center"/>
          </w:tcPr>
          <w:p>
            <w:pPr>
              <w:spacing w:line="40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新疆霍尔果斯市</w:t>
            </w:r>
            <w:r>
              <w:rPr>
                <w:rFonts w:hint="eastAsia" w:ascii="宋体" w:hAnsi="宋体" w:cs="宋体"/>
                <w:color w:val="000000" w:themeColor="text1"/>
                <w:kern w:val="0"/>
                <w:szCs w:val="21"/>
                <w:lang w:eastAsia="zh-CN"/>
                <w14:textFill>
                  <w14:solidFill>
                    <w14:schemeClr w14:val="tx1"/>
                  </w14:solidFill>
                </w14:textFill>
              </w:rPr>
              <w:t>（甲方指定位置）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第二章第1.4款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w:t>
            </w:r>
          </w:p>
        </w:tc>
        <w:tc>
          <w:tcPr>
            <w:tcW w:w="4945" w:type="dxa"/>
            <w:vAlign w:val="center"/>
          </w:tcPr>
          <w:p>
            <w:p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第二章第1.5款</w:t>
            </w:r>
          </w:p>
        </w:tc>
        <w:tc>
          <w:tcPr>
            <w:tcW w:w="1633" w:type="dxa"/>
            <w:vAlign w:val="center"/>
          </w:tcPr>
          <w:p>
            <w:pPr>
              <w:adjustRightInd w:val="0"/>
              <w:snapToGrid w:val="0"/>
              <w:spacing w:line="400" w:lineRule="exact"/>
              <w:rPr>
                <w:rFonts w:hint="eastAsia" w:ascii="宋体" w:hAnsi="宋体" w:eastAsia="宋体"/>
                <w:szCs w:val="21"/>
                <w:lang w:eastAsia="zh-CN"/>
              </w:rPr>
            </w:pPr>
            <w:r>
              <w:rPr>
                <w:rFonts w:hint="eastAsia" w:ascii="宋体" w:hAnsi="宋体"/>
                <w:szCs w:val="21"/>
                <w:lang w:eastAsia="zh-CN"/>
              </w:rPr>
              <w:t>履约期限</w:t>
            </w:r>
          </w:p>
        </w:tc>
        <w:tc>
          <w:tcPr>
            <w:tcW w:w="4945" w:type="dxa"/>
            <w:tcBorders>
              <w:bottom w:val="single" w:color="auto" w:sz="4" w:space="0"/>
            </w:tcBorders>
            <w:vAlign w:val="center"/>
          </w:tcPr>
          <w:p>
            <w:pPr>
              <w:adjustRightInd w:val="0"/>
              <w:snapToGrid w:val="0"/>
              <w:spacing w:line="400" w:lineRule="exact"/>
              <w:rPr>
                <w:rFonts w:hint="eastAsia" w:ascii="宋体" w:hAnsi="宋体" w:eastAsia="宋体" w:cs="宋体"/>
                <w:kern w:val="0"/>
                <w:szCs w:val="21"/>
                <w:lang w:eastAsia="zh-CN"/>
              </w:rPr>
            </w:pPr>
            <w:r>
              <w:rPr>
                <w:rFonts w:hint="eastAsia"/>
                <w:color w:val="FF0000"/>
              </w:rPr>
              <w:t>★</w:t>
            </w:r>
            <w:r>
              <w:rPr>
                <w:rFonts w:hint="eastAsia" w:ascii="宋体" w:hAnsi="宋体" w:cs="宋体"/>
                <w:color w:val="FF0000"/>
                <w:kern w:val="0"/>
                <w:szCs w:val="21"/>
                <w:highlight w:val="none"/>
                <w:lang w:eastAsia="zh-CN"/>
              </w:rPr>
              <w:t>合同签订后60日内。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w:t>
            </w:r>
          </w:p>
        </w:tc>
        <w:tc>
          <w:tcPr>
            <w:tcW w:w="4945" w:type="dxa"/>
            <w:vAlign w:val="center"/>
          </w:tcPr>
          <w:p>
            <w:pPr>
              <w:adjustRightInd w:val="0"/>
              <w:snapToGrid w:val="0"/>
              <w:spacing w:line="300" w:lineRule="exact"/>
              <w:jc w:val="left"/>
              <w:rPr>
                <w:rFonts w:hint="eastAsia" w:ascii="宋体" w:hAnsi="宋体" w:eastAsia="宋体" w:cs="Arial"/>
                <w:kern w:val="0"/>
                <w:szCs w:val="21"/>
                <w:highlight w:val="none"/>
                <w:lang w:eastAsia="zh-CN"/>
              </w:rPr>
            </w:pPr>
            <w:r>
              <w:rPr>
                <w:rFonts w:hint="eastAsia" w:ascii="宋体" w:hAnsi="宋体"/>
                <w:szCs w:val="21"/>
              </w:rPr>
              <w:t>采购人</w:t>
            </w:r>
            <w:r>
              <w:rPr>
                <w:rFonts w:hint="eastAsia" w:ascii="宋体" w:hAnsi="宋体"/>
                <w:szCs w:val="21"/>
                <w:highlight w:val="none"/>
              </w:rPr>
              <w:t>：</w:t>
            </w:r>
            <w:r>
              <w:rPr>
                <w:rFonts w:hint="eastAsia" w:ascii="宋体" w:hAnsi="宋体" w:cs="Arial"/>
                <w:kern w:val="0"/>
                <w:szCs w:val="21"/>
                <w:highlight w:val="none"/>
                <w:lang w:eastAsia="zh-CN"/>
              </w:rPr>
              <w:t>霍尔果斯市商务局</w:t>
            </w:r>
          </w:p>
          <w:p>
            <w:pPr>
              <w:adjustRightInd w:val="0"/>
              <w:snapToGrid w:val="0"/>
              <w:spacing w:line="300" w:lineRule="exact"/>
              <w:jc w:val="left"/>
              <w:rPr>
                <w:rFonts w:hint="eastAsia" w:ascii="宋体" w:hAnsi="宋体" w:eastAsia="宋体"/>
                <w:szCs w:val="21"/>
                <w:highlight w:val="none"/>
                <w:lang w:eastAsia="zh-CN"/>
              </w:rPr>
            </w:pPr>
            <w:r>
              <w:rPr>
                <w:rFonts w:hint="eastAsia" w:ascii="宋体" w:hAnsi="宋体"/>
                <w:szCs w:val="21"/>
                <w:highlight w:val="none"/>
              </w:rPr>
              <w:t>地  址：</w:t>
            </w:r>
            <w:r>
              <w:rPr>
                <w:rFonts w:hint="eastAsia"/>
                <w:highlight w:val="none"/>
                <w:lang w:eastAsia="zh-CN"/>
              </w:rPr>
              <w:t>霍尔果斯市和平路市委楼709办公室</w:t>
            </w:r>
          </w:p>
          <w:p>
            <w:pPr>
              <w:adjustRightInd w:val="0"/>
              <w:snapToGrid w:val="0"/>
              <w:spacing w:line="300" w:lineRule="exact"/>
              <w:jc w:val="left"/>
              <w:rPr>
                <w:rFonts w:ascii="宋体" w:hAnsi="宋体"/>
                <w:szCs w:val="21"/>
                <w:highlight w:val="none"/>
              </w:rPr>
            </w:pPr>
            <w:r>
              <w:rPr>
                <w:rFonts w:hint="eastAsia" w:ascii="宋体" w:hAnsi="宋体"/>
                <w:szCs w:val="21"/>
                <w:highlight w:val="none"/>
              </w:rPr>
              <w:t>联系人：</w:t>
            </w:r>
            <w:r>
              <w:rPr>
                <w:rFonts w:hint="eastAsia"/>
                <w:highlight w:val="none"/>
                <w:lang w:val="en-US" w:eastAsia="zh-CN"/>
              </w:rPr>
              <w:t>木尼尔丁·木那吉丁</w:t>
            </w:r>
          </w:p>
          <w:p>
            <w:pPr>
              <w:adjustRightInd w:val="0"/>
              <w:snapToGrid w:val="0"/>
              <w:spacing w:line="300" w:lineRule="exact"/>
              <w:jc w:val="left"/>
              <w:rPr>
                <w:rFonts w:ascii="宋体" w:hAnsi="宋体"/>
                <w:color w:val="000000" w:themeColor="text1"/>
                <w:szCs w:val="21"/>
                <w14:textFill>
                  <w14:solidFill>
                    <w14:schemeClr w14:val="tx1"/>
                  </w14:solidFill>
                </w14:textFill>
              </w:rPr>
            </w:pPr>
            <w:r>
              <w:rPr>
                <w:rFonts w:hint="eastAsia" w:ascii="宋体" w:hAnsi="宋体"/>
                <w:szCs w:val="21"/>
                <w:highlight w:val="none"/>
              </w:rPr>
              <w:t>联系电话：</w:t>
            </w:r>
            <w:r>
              <w:rPr>
                <w:rFonts w:hint="eastAsia"/>
                <w:color w:val="000000" w:themeColor="text1"/>
                <w:highlight w:val="none"/>
                <w:lang w:val="en-US" w:eastAsia="zh-CN"/>
                <w14:textFill>
                  <w14:solidFill>
                    <w14:schemeClr w14:val="tx1"/>
                  </w14:solidFill>
                </w14:textFill>
              </w:rPr>
              <w:t>18160520879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p>
        </w:tc>
        <w:tc>
          <w:tcPr>
            <w:tcW w:w="4945" w:type="dxa"/>
            <w:vAlign w:val="center"/>
          </w:tcPr>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名  称：霍尔果斯经济开发区政府采购中心</w:t>
            </w:r>
          </w:p>
          <w:p>
            <w:pPr>
              <w:adjustRightInd w:val="0"/>
              <w:snapToGrid w:val="0"/>
              <w:spacing w:line="300" w:lineRule="exact"/>
              <w:jc w:val="left"/>
              <w:rPr>
                <w:rFonts w:hint="eastAsia" w:eastAsia="宋体"/>
                <w:lang w:eastAsia="zh-CN"/>
              </w:rPr>
            </w:pPr>
            <w:r>
              <w:rPr>
                <w:rFonts w:hint="eastAsia"/>
                <w:color w:val="000000" w:themeColor="text1"/>
                <w14:textFill>
                  <w14:solidFill>
                    <w14:schemeClr w14:val="tx1"/>
                  </w14:solidFill>
                </w14:textFill>
              </w:rPr>
              <w:t>地  址：霍尔果斯市政务服务中心</w:t>
            </w:r>
            <w:r>
              <w:rPr>
                <w:rFonts w:hint="eastAsia"/>
                <w:color w:val="000000" w:themeColor="text1"/>
                <w:lang w:eastAsia="zh-CN"/>
                <w14:textFill>
                  <w14:solidFill>
                    <w14:schemeClr w14:val="tx1"/>
                  </w14:solidFill>
                </w14:textFill>
              </w:rPr>
              <w:t>230办公室</w:t>
            </w:r>
            <w:r>
              <w:rPr>
                <w:rFonts w:hint="eastAsia"/>
                <w:color w:val="000000" w:themeColor="text1"/>
                <w14:textFill>
                  <w14:solidFill>
                    <w14:schemeClr w14:val="tx1"/>
                  </w14:solidFill>
                </w14:textFill>
              </w:rPr>
              <w:t xml:space="preserve">     联系人：</w:t>
            </w:r>
            <w:r>
              <w:rPr>
                <w:rFonts w:hint="eastAsia"/>
                <w:color w:val="000000" w:themeColor="text1"/>
                <w:lang w:eastAsia="zh-CN"/>
                <w14:textFill>
                  <w14:solidFill>
                    <w14:schemeClr w14:val="tx1"/>
                  </w14:solidFill>
                </w14:textFill>
              </w:rPr>
              <w:t>罗鹏</w:t>
            </w:r>
          </w:p>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联系电话：0999-8797331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第二章第3.1款</w:t>
            </w:r>
          </w:p>
        </w:tc>
        <w:tc>
          <w:tcPr>
            <w:tcW w:w="163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投标人资格条件</w:t>
            </w:r>
          </w:p>
          <w:p>
            <w:pPr>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（要求请查看本文件后附《投标人的资格证明材料说明》）</w:t>
            </w:r>
          </w:p>
        </w:tc>
        <w:tc>
          <w:tcPr>
            <w:tcW w:w="4945" w:type="dxa"/>
            <w:vAlign w:val="center"/>
          </w:tcPr>
          <w:p>
            <w:pPr>
              <w:adjustRightInd w:val="0"/>
              <w:snapToGrid w:val="0"/>
              <w:spacing w:line="360" w:lineRule="exact"/>
              <w:jc w:val="left"/>
            </w:pPr>
            <w:r>
              <w:rPr>
                <w:rFonts w:hint="eastAsia"/>
              </w:rPr>
              <w:t>1、符合政府采购法二十二条规定：</w:t>
            </w:r>
          </w:p>
          <w:p>
            <w:pPr>
              <w:adjustRightInd w:val="0"/>
              <w:snapToGrid w:val="0"/>
              <w:spacing w:line="360" w:lineRule="exact"/>
              <w:jc w:val="left"/>
            </w:pPr>
            <w:r>
              <w:rPr>
                <w:rFonts w:hint="eastAsia"/>
              </w:rPr>
              <w:t>（一）具有独立承担民事责任的能力；</w:t>
            </w:r>
          </w:p>
          <w:p>
            <w:pPr>
              <w:adjustRightInd w:val="0"/>
              <w:snapToGrid w:val="0"/>
              <w:spacing w:line="360" w:lineRule="exact"/>
              <w:jc w:val="left"/>
            </w:pPr>
            <w:r>
              <w:rPr>
                <w:rFonts w:hint="eastAsia"/>
              </w:rPr>
              <w:t>（二）具有良好的商业信誉和健全的财务会计制度；</w:t>
            </w:r>
          </w:p>
          <w:p>
            <w:pPr>
              <w:adjustRightInd w:val="0"/>
              <w:snapToGrid w:val="0"/>
              <w:spacing w:line="360" w:lineRule="exact"/>
              <w:jc w:val="left"/>
            </w:pPr>
            <w:r>
              <w:rPr>
                <w:rFonts w:hint="eastAsia"/>
              </w:rPr>
              <w:t>（三）具有履行合同所必需的设备和专业技术能力；</w:t>
            </w:r>
          </w:p>
          <w:p>
            <w:pPr>
              <w:adjustRightInd w:val="0"/>
              <w:snapToGrid w:val="0"/>
              <w:spacing w:line="360" w:lineRule="exact"/>
              <w:jc w:val="left"/>
            </w:pPr>
            <w:r>
              <w:rPr>
                <w:rFonts w:hint="eastAsia"/>
              </w:rPr>
              <w:t>（四）有依法缴纳税收和社会保障资金的良好记录；</w:t>
            </w:r>
          </w:p>
          <w:p>
            <w:pPr>
              <w:adjustRightInd w:val="0"/>
              <w:snapToGrid w:val="0"/>
              <w:spacing w:line="360" w:lineRule="exact"/>
              <w:jc w:val="left"/>
            </w:pPr>
            <w:r>
              <w:rPr>
                <w:rFonts w:hint="eastAsia"/>
              </w:rPr>
              <w:t>（五）参加政府采购活动前三年内，在经营活动中没有重大违法记录；</w:t>
            </w:r>
          </w:p>
          <w:p>
            <w:pPr>
              <w:adjustRightInd w:val="0"/>
              <w:snapToGrid w:val="0"/>
              <w:spacing w:line="360" w:lineRule="exact"/>
              <w:jc w:val="left"/>
            </w:pPr>
            <w:r>
              <w:rPr>
                <w:rFonts w:hint="eastAsia"/>
              </w:rPr>
              <w:t>（六）法律、行政法规规定的其他条件。</w:t>
            </w:r>
          </w:p>
          <w:p>
            <w:pPr>
              <w:adjustRightInd w:val="0"/>
              <w:snapToGrid w:val="0"/>
              <w:spacing w:line="360" w:lineRule="exact"/>
              <w:jc w:val="left"/>
              <w:rPr>
                <w:rFonts w:hint="default" w:eastAsia="宋体"/>
                <w:lang w:val="en-US" w:eastAsia="zh-CN"/>
              </w:rPr>
            </w:pPr>
            <w:r>
              <w:rPr>
                <w:rFonts w:hint="eastAsia"/>
              </w:rPr>
              <w:t>2、提供“信用中国”及“中国政府采购网”查询截图，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第二章第6.1款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联合体形式</w:t>
            </w:r>
          </w:p>
        </w:tc>
        <w:tc>
          <w:tcPr>
            <w:tcW w:w="4945"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现场勘察</w:t>
            </w:r>
          </w:p>
        </w:tc>
        <w:tc>
          <w:tcPr>
            <w:tcW w:w="4945"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无需提供现场勘察证明</w:t>
            </w:r>
            <w:r>
              <w:rPr>
                <w:rFonts w:hint="eastAsia"/>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3" w:hRule="atLeast"/>
          <w:jc w:val="center"/>
        </w:trPr>
        <w:tc>
          <w:tcPr>
            <w:tcW w:w="2267"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第二章第9.1款</w:t>
            </w: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ascii="宋体" w:hAnsi="宋体"/>
                <w:szCs w:val="21"/>
              </w:rPr>
              <w:t>政府采购优先采购节能产品</w:t>
            </w:r>
            <w:r>
              <w:rPr>
                <w:rFonts w:hint="eastAsia" w:ascii="宋体" w:hAnsi="宋体"/>
                <w:szCs w:val="21"/>
              </w:rPr>
              <w:t>、</w:t>
            </w:r>
            <w:r>
              <w:rPr>
                <w:rFonts w:ascii="宋体" w:hAnsi="宋体"/>
                <w:szCs w:val="21"/>
              </w:rPr>
              <w:t xml:space="preserve">环境标志产品 </w:t>
            </w:r>
          </w:p>
        </w:tc>
        <w:tc>
          <w:tcPr>
            <w:tcW w:w="4945" w:type="dxa"/>
            <w:vAlign w:val="center"/>
          </w:tcPr>
          <w:p>
            <w:pPr>
              <w:pStyle w:val="41"/>
              <w:spacing w:before="0" w:beforeAutospacing="0" w:after="0" w:afterAutospacing="0" w:line="12" w:lineRule="atLeast"/>
              <w:ind w:firstLine="420" w:firstLineChars="200"/>
              <w:jc w:val="both"/>
              <w:textAlignment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41"/>
              <w:spacing w:before="0" w:beforeAutospacing="0" w:after="0" w:afterAutospacing="0" w:line="12" w:lineRule="atLeast"/>
              <w:ind w:firstLine="420"/>
              <w:jc w:val="both"/>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01" w:hRule="atLeast"/>
          <w:jc w:val="center"/>
        </w:trPr>
        <w:tc>
          <w:tcPr>
            <w:tcW w:w="2267"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支持</w:t>
            </w:r>
            <w:r>
              <w:rPr>
                <w:rFonts w:hint="eastAsia" w:ascii="宋体" w:hAnsi="宋体"/>
                <w:color w:val="000000" w:themeColor="text1"/>
                <w:szCs w:val="21"/>
                <w14:textFill>
                  <w14:solidFill>
                    <w14:schemeClr w14:val="tx1"/>
                  </w14:solidFill>
                </w14:textFill>
              </w:rPr>
              <w:t>中小企业发展</w:t>
            </w:r>
          </w:p>
        </w:tc>
        <w:tc>
          <w:tcPr>
            <w:tcW w:w="4945" w:type="dxa"/>
            <w:vAlign w:val="center"/>
          </w:tcPr>
          <w:p>
            <w:pPr>
              <w:spacing w:line="3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本项目不专门面向中小企业预留。</w:t>
            </w:r>
            <w:r>
              <w:rPr>
                <w:rFonts w:hint="eastAsia" w:ascii="宋体" w:hAnsi="宋体"/>
                <w:b w:val="0"/>
                <w:bCs w:val="0"/>
                <w:color w:val="000000" w:themeColor="text1"/>
                <w:szCs w:val="21"/>
                <w:lang w:eastAsia="zh-CN"/>
                <w14:textFill>
                  <w14:solidFill>
                    <w14:schemeClr w14:val="tx1"/>
                  </w14:solidFill>
                </w14:textFill>
              </w:rPr>
              <w:t>给予符合小型和微型企业产品的价格给予10%的扣除，用扣除后的价格参与评审。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第二章第10.1款</w:t>
            </w:r>
          </w:p>
        </w:tc>
        <w:tc>
          <w:tcPr>
            <w:tcW w:w="1633" w:type="dxa"/>
            <w:vAlign w:val="center"/>
          </w:tcPr>
          <w:p>
            <w:pPr>
              <w:spacing w:line="300" w:lineRule="exact"/>
              <w:rPr>
                <w:rFonts w:ascii="宋体" w:hAnsi="宋体"/>
                <w:szCs w:val="21"/>
              </w:rPr>
            </w:pPr>
            <w:r>
              <w:rPr>
                <w:rFonts w:hint="eastAsia" w:ascii="宋体" w:hAnsi="宋体"/>
                <w:szCs w:val="21"/>
              </w:rPr>
              <w:t>质保期</w:t>
            </w:r>
          </w:p>
        </w:tc>
        <w:tc>
          <w:tcPr>
            <w:tcW w:w="4945" w:type="dxa"/>
            <w:vAlign w:val="center"/>
          </w:tcPr>
          <w:p>
            <w:pPr>
              <w:rPr>
                <w:rFonts w:hint="eastAsia" w:ascii="宋体" w:hAnsi="宋体" w:eastAsia="宋体"/>
                <w:szCs w:val="21"/>
                <w:lang w:eastAsia="zh-CN"/>
              </w:rPr>
            </w:pPr>
            <w:r>
              <w:rPr>
                <w:rFonts w:hint="eastAsia"/>
                <w:color w:val="FF0000"/>
                <w:lang w:eastAsia="zh-CN"/>
              </w:rPr>
              <w:t>★</w:t>
            </w:r>
            <w:r>
              <w:rPr>
                <w:rFonts w:hint="eastAsia"/>
                <w:color w:val="FF0000"/>
                <w:highlight w:val="none"/>
                <w:lang w:eastAsia="zh-CN"/>
              </w:rPr>
              <w:t>验收合格后三年内提供维修、保养</w:t>
            </w:r>
            <w:r>
              <w:rPr>
                <w:rFonts w:hint="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第二章第11.1款</w:t>
            </w:r>
          </w:p>
        </w:tc>
        <w:tc>
          <w:tcPr>
            <w:tcW w:w="1633" w:type="dxa"/>
            <w:tcBorders>
              <w:bottom w:val="single" w:color="auto" w:sz="4" w:space="0"/>
            </w:tcBorders>
            <w:vAlign w:val="center"/>
          </w:tcPr>
          <w:p>
            <w:pPr>
              <w:adjustRightInd w:val="0"/>
              <w:snapToGrid w:val="0"/>
              <w:spacing w:line="340" w:lineRule="exact"/>
              <w:rPr>
                <w:rFonts w:ascii="宋体" w:hAnsi="宋体"/>
                <w:color w:val="000000" w:themeColor="text1"/>
                <w:szCs w:val="21"/>
                <w:highlight w:val="red"/>
                <w14:textFill>
                  <w14:solidFill>
                    <w14:schemeClr w14:val="tx1"/>
                  </w14:solidFill>
                </w14:textFill>
              </w:rPr>
            </w:pPr>
            <w:r>
              <w:rPr>
                <w:rFonts w:hint="eastAsia" w:ascii="宋体" w:hAnsi="宋体"/>
                <w:color w:val="000000" w:themeColor="text1"/>
                <w:szCs w:val="21"/>
                <w14:textFill>
                  <w14:solidFill>
                    <w14:schemeClr w14:val="tx1"/>
                  </w14:solidFill>
                </w14:textFill>
              </w:rPr>
              <w:t>提交电子投标文件的截止时间</w:t>
            </w:r>
          </w:p>
        </w:tc>
        <w:tc>
          <w:tcPr>
            <w:tcW w:w="4945" w:type="dxa"/>
            <w:tcBorders>
              <w:bottom w:val="single" w:color="auto" w:sz="4" w:space="0"/>
            </w:tcBorders>
            <w:vAlign w:val="center"/>
          </w:tcPr>
          <w:p>
            <w:pPr>
              <w:adjustRightInd w:val="0"/>
              <w:snapToGrid w:val="0"/>
              <w:spacing w:line="340" w:lineRule="exact"/>
              <w:jc w:val="left"/>
              <w:rPr>
                <w:rFonts w:hint="eastAsia" w:ascii="宋体" w:hAnsi="宋体" w:eastAsia="宋体"/>
                <w:bCs/>
                <w:szCs w:val="21"/>
                <w:lang w:eastAsia="zh-CN"/>
              </w:rPr>
            </w:pPr>
            <w:r>
              <w:rPr>
                <w:rFonts w:hint="eastAsia" w:ascii="宋体" w:hAnsi="宋体"/>
                <w:b/>
                <w:szCs w:val="21"/>
                <w:highlight w:val="none"/>
                <w:u w:val="single"/>
                <w:lang w:eastAsia="zh-CN"/>
              </w:rPr>
              <w:t>2024年11月5日10:30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57" w:hRule="atLeast"/>
          <w:jc w:val="center"/>
        </w:trPr>
        <w:tc>
          <w:tcPr>
            <w:tcW w:w="2267" w:type="dxa"/>
            <w:vMerge w:val="continue"/>
            <w:tcBorders>
              <w:right w:val="single" w:color="auto" w:sz="4" w:space="0"/>
            </w:tcBorders>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电子投标文件解密时间</w:t>
            </w:r>
          </w:p>
        </w:tc>
        <w:tc>
          <w:tcPr>
            <w:tcW w:w="4945" w:type="dxa"/>
            <w:tcBorders>
              <w:top w:val="single" w:color="auto" w:sz="4" w:space="0"/>
              <w:left w:val="single" w:color="auto" w:sz="4" w:space="0"/>
              <w:bottom w:val="single" w:color="auto" w:sz="4" w:space="0"/>
            </w:tcBorders>
            <w:vAlign w:val="center"/>
          </w:tcPr>
          <w:p>
            <w:pPr>
              <w:pStyle w:val="25"/>
              <w:rPr>
                <w:rFonts w:ascii="宋体" w:hAnsi="宋体"/>
                <w:bCs/>
                <w:szCs w:val="21"/>
              </w:rPr>
            </w:pPr>
            <w:r>
              <w:rPr>
                <w:rFonts w:hint="eastAsia" w:ascii="宋体" w:hAnsi="宋体"/>
                <w:bCs/>
                <w:sz w:val="21"/>
                <w:szCs w:val="21"/>
              </w:rPr>
              <w:t>开标时间后30分钟内（</w:t>
            </w:r>
            <w:r>
              <w:rPr>
                <w:rFonts w:hint="eastAsia" w:ascii="宋体" w:hAnsi="宋体"/>
                <w:b/>
                <w:sz w:val="21"/>
                <w:szCs w:val="21"/>
                <w:lang w:eastAsia="zh-CN"/>
              </w:rPr>
              <w:t>2024年11月5日10:30</w:t>
            </w:r>
            <w:r>
              <w:rPr>
                <w:rFonts w:hint="eastAsia" w:ascii="宋体" w:hAnsi="宋体"/>
                <w:b/>
                <w:sz w:val="21"/>
                <w:szCs w:val="21"/>
              </w:rPr>
              <w:t>-</w:t>
            </w:r>
            <w:r>
              <w:rPr>
                <w:rFonts w:hint="eastAsia" w:ascii="宋体" w:hAnsi="宋体"/>
                <w:b/>
                <w:sz w:val="21"/>
                <w:szCs w:val="21"/>
                <w:lang w:eastAsia="zh-CN"/>
              </w:rPr>
              <w:t>11:00</w:t>
            </w:r>
            <w:r>
              <w:rPr>
                <w:rFonts w:hint="eastAsia" w:ascii="宋体" w:hAnsi="宋体"/>
                <w:b/>
                <w:sz w:val="21"/>
                <w:szCs w:val="21"/>
              </w:rPr>
              <w:t>前</w:t>
            </w:r>
            <w:r>
              <w:rPr>
                <w:rFonts w:hint="eastAsia" w:ascii="宋体" w:hAnsi="宋体"/>
                <w:bCs/>
                <w:sz w:val="21"/>
                <w:szCs w:val="21"/>
              </w:rPr>
              <w:t>）供应商登录“政采云”平台，用“项目采购-开标评标”功能进行解密投标文件。若供应商在规定时间内未按时解密的，视为无效投标。</w:t>
            </w:r>
            <w:r>
              <w:rPr>
                <w:rFonts w:hint="eastAsia" w:ascii="宋体" w:hAnsi="宋体"/>
                <w:bCs/>
                <w:sz w:val="21"/>
                <w:szCs w:val="21"/>
                <w:u w:val="single"/>
              </w:rPr>
              <w:t>（解密时间开始时政采云平台将以短信形式向供应商在政采云平台预留的手机号发送短信通知，请供应商及时关注。）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7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三、投标文件的编写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14" w:hRule="exac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第二章第15.4款</w:t>
            </w:r>
          </w:p>
        </w:tc>
        <w:tc>
          <w:tcPr>
            <w:tcW w:w="1633" w:type="dxa"/>
            <w:vAlign w:val="center"/>
          </w:tcPr>
          <w:p>
            <w:pPr>
              <w:adjustRightInd w:val="0"/>
              <w:snapToGrid w:val="0"/>
              <w:spacing w:line="40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预算总价</w:t>
            </w:r>
          </w:p>
        </w:tc>
        <w:tc>
          <w:tcPr>
            <w:tcW w:w="4945" w:type="dxa"/>
            <w:tcBorders>
              <w:bottom w:val="single" w:color="auto" w:sz="4" w:space="0"/>
            </w:tcBorders>
            <w:vAlign w:val="center"/>
          </w:tcPr>
          <w:p>
            <w:pPr>
              <w:pStyle w:val="24"/>
              <w:ind w:left="0"/>
              <w:rPr>
                <w:rFonts w:hint="default" w:eastAsia="宋体"/>
                <w:i w:val="0"/>
                <w:iCs w:val="0"/>
                <w:lang w:val="en-US" w:eastAsia="zh-CN"/>
              </w:rPr>
            </w:pPr>
            <w:r>
              <w:rPr>
                <w:rFonts w:hint="eastAsia" w:ascii="宋体" w:hAnsi="宋体"/>
                <w:b/>
                <w:bCs/>
                <w:i w:val="0"/>
                <w:iCs w:val="0"/>
                <w:color w:val="000000" w:themeColor="text1"/>
                <w:sz w:val="21"/>
                <w:szCs w:val="21"/>
                <w:highlight w:val="none"/>
                <w:lang w:val="en-US" w:eastAsia="zh-CN"/>
                <w14:textFill>
                  <w14:solidFill>
                    <w14:schemeClr w14:val="tx1"/>
                  </w14:solidFill>
                </w14:textFill>
              </w:rPr>
              <w:t>3800000.00元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第二章第16.3款</w:t>
            </w:r>
          </w:p>
        </w:tc>
        <w:tc>
          <w:tcPr>
            <w:tcW w:w="1633" w:type="dxa"/>
            <w:vAlign w:val="center"/>
          </w:tcPr>
          <w:p>
            <w:pPr>
              <w:adjustRightInd w:val="0"/>
              <w:snapToGrid w:val="0"/>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tc>
        <w:tc>
          <w:tcPr>
            <w:tcW w:w="4945" w:type="dxa"/>
            <w:tcBorders>
              <w:bottom w:val="single" w:color="auto" w:sz="4" w:space="0"/>
            </w:tcBorders>
            <w:vAlign w:val="center"/>
          </w:tcPr>
          <w:p>
            <w:pPr>
              <w:adjustRightInd w:val="0"/>
              <w:snapToGrid w:val="0"/>
              <w:spacing w:line="3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提供同类项目近</w:t>
            </w:r>
            <w:r>
              <w:rPr>
                <w:rFonts w:hint="eastAsia" w:ascii="宋体" w:hAnsi="宋体"/>
                <w:bCs/>
                <w:color w:val="000000" w:themeColor="text1"/>
                <w:szCs w:val="21"/>
                <w:lang w:eastAsia="zh-CN"/>
                <w14:textFill>
                  <w14:solidFill>
                    <w14:schemeClr w14:val="tx1"/>
                  </w14:solidFill>
                </w14:textFill>
              </w:rPr>
              <w:t>三</w:t>
            </w:r>
            <w:r>
              <w:rPr>
                <w:rFonts w:hint="eastAsia" w:ascii="宋体" w:hAnsi="宋体"/>
                <w:bCs/>
                <w:color w:val="000000" w:themeColor="text1"/>
                <w:szCs w:val="21"/>
                <w14:textFill>
                  <w14:solidFill>
                    <w14:schemeClr w14:val="tx1"/>
                  </w14:solidFill>
                </w14:textFill>
              </w:rPr>
              <w:t>年的业绩（20</w:t>
            </w:r>
            <w:r>
              <w:rPr>
                <w:rFonts w:hint="eastAsia" w:ascii="宋体" w:hAnsi="宋体"/>
                <w:bCs/>
                <w:color w:val="000000" w:themeColor="text1"/>
                <w:szCs w:val="21"/>
                <w:lang w:val="en-US" w:eastAsia="zh-CN"/>
                <w14:textFill>
                  <w14:solidFill>
                    <w14:schemeClr w14:val="tx1"/>
                  </w14:solidFill>
                </w14:textFill>
              </w:rPr>
              <w:t>21</w:t>
            </w:r>
            <w:r>
              <w:rPr>
                <w:rFonts w:hint="eastAsia" w:ascii="宋体" w:hAnsi="宋体"/>
                <w:bCs/>
                <w:color w:val="000000" w:themeColor="text1"/>
                <w:szCs w:val="21"/>
                <w14:textFill>
                  <w14:solidFill>
                    <w14:schemeClr w14:val="tx1"/>
                  </w14:solidFill>
                </w14:textFill>
              </w:rPr>
              <w:t>年1月1日至今），证明材料扫描件编制于投标文件内（具体查看评分因素）。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第二章第17.1款</w:t>
            </w:r>
          </w:p>
        </w:tc>
        <w:tc>
          <w:tcPr>
            <w:tcW w:w="1633" w:type="dxa"/>
            <w:vAlign w:val="center"/>
          </w:tcPr>
          <w:p>
            <w:pPr>
              <w:adjustRightInd w:val="0"/>
              <w:snapToGrid w:val="0"/>
              <w:spacing w:line="400" w:lineRule="exact"/>
              <w:ind w:left="-533" w:leftChars="-254" w:firstLine="533" w:firstLineChars="25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p>
        </w:tc>
        <w:tc>
          <w:tcPr>
            <w:tcW w:w="4945" w:type="dxa"/>
            <w:vAlign w:val="center"/>
          </w:tcPr>
          <w:p>
            <w:pPr>
              <w:adjustRightInd w:val="0"/>
              <w:snapToGrid w:val="0"/>
              <w:spacing w:line="400" w:lineRule="exact"/>
              <w:jc w:val="left"/>
              <w:rPr>
                <w:rFonts w:hint="default"/>
                <w:lang w:val="en-US"/>
              </w:rPr>
            </w:pPr>
            <w:r>
              <w:rPr>
                <w:rFonts w:hint="eastAsia"/>
                <w:lang w:val="en-US"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第二章第18.1款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投标文件有效期</w:t>
            </w:r>
          </w:p>
        </w:tc>
        <w:tc>
          <w:tcPr>
            <w:tcW w:w="4945" w:type="dxa"/>
            <w:vAlign w:val="center"/>
          </w:tcPr>
          <w:p>
            <w:pPr>
              <w:adjustRightInd w:val="0"/>
              <w:snapToGrid w:val="0"/>
              <w:spacing w:line="400" w:lineRule="exact"/>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90</w:t>
            </w:r>
            <w:r>
              <w:rPr>
                <w:rFonts w:hint="eastAsia" w:ascii="宋体" w:hAnsi="宋体"/>
                <w:color w:val="000000" w:themeColor="text1"/>
                <w:szCs w:val="21"/>
                <w:lang w:eastAsia="zh-CN"/>
                <w14:textFill>
                  <w14:solidFill>
                    <w14:schemeClr w14:val="tx1"/>
                  </w14:solidFill>
                </w14:textFill>
              </w:rPr>
              <w:t>（含）</w:t>
            </w:r>
            <w:r>
              <w:rPr>
                <w:rFonts w:hint="eastAsia" w:ascii="宋体" w:hAnsi="宋体"/>
                <w:color w:val="000000" w:themeColor="text1"/>
                <w:szCs w:val="21"/>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第二章第19.1款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投标文件份数</w:t>
            </w:r>
          </w:p>
        </w:tc>
        <w:tc>
          <w:tcPr>
            <w:tcW w:w="4945"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电子加密投标文件一份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四、投标文件递交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p>
        </w:tc>
        <w:tc>
          <w:tcPr>
            <w:tcW w:w="4945" w:type="dxa"/>
            <w:vAlign w:val="center"/>
          </w:tcPr>
          <w:p>
            <w:pPr>
              <w:adjustRightInd w:val="0"/>
              <w:snapToGrid w:val="0"/>
              <w:spacing w:line="400" w:lineRule="exact"/>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电子版投标文件提交至政采云平台</w:t>
            </w:r>
            <w:r>
              <w:rPr>
                <w:rFonts w:hint="eastAsia" w:ascii="宋体" w:hAnsi="宋体"/>
                <w:bCs/>
                <w:color w:val="000000" w:themeColor="text1"/>
                <w:szCs w:val="21"/>
                <w14:textFill>
                  <w14:solidFill>
                    <w14:schemeClr w14:val="tx1"/>
                  </w14:solidFill>
                </w14:textFill>
              </w:rPr>
              <w:t>（</w:t>
            </w:r>
            <w:r>
              <w:fldChar w:fldCharType="begin"/>
            </w:r>
            <w:r>
              <w:instrText xml:space="preserve"> HYPERLINK "https://www.zcygov.cn，投标供应商无需到达评标现场。" </w:instrText>
            </w:r>
            <w:r>
              <w:fldChar w:fldCharType="separate"/>
            </w:r>
            <w:r>
              <w:rPr>
                <w:rFonts w:hint="eastAsia" w:ascii="宋体" w:hAnsi="宋体" w:cs="Arial"/>
                <w:bCs/>
                <w:kern w:val="0"/>
                <w:szCs w:val="21"/>
              </w:rPr>
              <w:t>https://www.zcygov.cn</w:t>
            </w:r>
            <w:r>
              <w:rPr>
                <w:rFonts w:hint="eastAsia" w:ascii="宋体" w:hAnsi="宋体" w:cs="Arial"/>
                <w:bCs/>
                <w:kern w:val="0"/>
                <w:szCs w:val="21"/>
              </w:rPr>
              <w:fldChar w:fldCharType="end"/>
            </w:r>
            <w:r>
              <w:rPr>
                <w:rFonts w:hint="eastAsia" w:ascii="宋体" w:hAnsi="宋体" w:cs="Arial"/>
                <w:bCs/>
                <w:kern w:val="0"/>
                <w:szCs w:val="21"/>
              </w:rPr>
              <w:t>）</w:t>
            </w:r>
            <w:r>
              <w:rPr>
                <w:rFonts w:hint="eastAsia" w:ascii="宋体" w:hAnsi="宋体"/>
                <w:b/>
                <w:color w:val="000000" w:themeColor="text1"/>
                <w:szCs w:val="21"/>
                <w14:textFill>
                  <w14:solidFill>
                    <w14:schemeClr w14:val="tx1"/>
                  </w14:solidFill>
                </w14:textFill>
              </w:rPr>
              <w:t>在线投标，投标人无需到达评标现场。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五、开标和评标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第二章第25.1款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4945" w:type="dxa"/>
            <w:vAlign w:val="center"/>
          </w:tcPr>
          <w:p>
            <w:pPr>
              <w:adjustRightInd w:val="0"/>
              <w:snapToGrid w:val="0"/>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六、中标结果信息公布与履约保证金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第二章第30.1款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财政部门指定的媒体</w:t>
            </w:r>
          </w:p>
        </w:tc>
        <w:tc>
          <w:tcPr>
            <w:tcW w:w="4945" w:type="dxa"/>
            <w:vAlign w:val="center"/>
          </w:tcPr>
          <w:p>
            <w:pPr>
              <w:adjustRightInd w:val="0"/>
              <w:snapToGrid w:val="0"/>
              <w:spacing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新疆政府采购网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第二章第32.3款</w:t>
            </w:r>
          </w:p>
        </w:tc>
        <w:tc>
          <w:tcPr>
            <w:tcW w:w="1633" w:type="dxa"/>
            <w:vAlign w:val="center"/>
          </w:tcPr>
          <w:p>
            <w:pPr>
              <w:adjustRightInd w:val="0"/>
              <w:snapToGrid w:val="0"/>
              <w:spacing w:line="400" w:lineRule="exact"/>
              <w:rPr>
                <w:rFonts w:ascii="宋体" w:hAnsi="宋体"/>
                <w:color w:val="000000" w:themeColor="text1"/>
                <w:szCs w:val="21"/>
                <w:highlight w:val="cyan"/>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4945" w:type="dxa"/>
            <w:vAlign w:val="center"/>
          </w:tcPr>
          <w:p>
            <w:pPr>
              <w:adjustRightInd w:val="0"/>
              <w:snapToGrid w:val="0"/>
              <w:spacing w:line="320" w:lineRule="exact"/>
              <w:jc w:val="left"/>
              <w:rPr>
                <w:rFonts w:hint="eastAsia"/>
                <w:b/>
                <w:bCs/>
                <w:lang w:val="en-US" w:eastAsia="zh-CN"/>
              </w:rPr>
            </w:pPr>
            <w:r>
              <w:rPr>
                <w:rFonts w:hint="eastAsia"/>
                <w:b/>
                <w:bCs/>
                <w:lang w:val="en-US" w:eastAsia="zh-CN"/>
              </w:rPr>
              <w:t>本项目不收取履约保证金。</w:t>
            </w:r>
          </w:p>
          <w:p>
            <w:pPr>
              <w:adjustRightInd w:val="0"/>
              <w:snapToGrid w:val="0"/>
              <w:spacing w:line="320" w:lineRule="exact"/>
              <w:jc w:val="left"/>
              <w:rPr>
                <w:rFonts w:hint="eastAsia"/>
                <w:lang w:val="en-US" w:eastAsia="zh-CN"/>
              </w:rPr>
            </w:pPr>
            <w:r>
              <w:rPr>
                <w:rFonts w:hint="eastAsia"/>
                <w:lang w:val="en-US" w:eastAsia="zh-CN"/>
              </w:rPr>
              <w:t>供应商应在合同签订之日起10日内以企业名义（基本户）通过电汇、转账、保函、电子保函等非现金形式缴纳或提交履约保证金采购单位银行账户；不允许以个人名义或现金方式缴纳保证金。</w:t>
            </w:r>
          </w:p>
          <w:p>
            <w:pPr>
              <w:adjustRightInd w:val="0"/>
              <w:snapToGrid w:val="0"/>
              <w:spacing w:line="320" w:lineRule="exact"/>
              <w:jc w:val="left"/>
              <w:rPr>
                <w:rFonts w:hint="eastAsia"/>
                <w:lang w:val="en-US" w:eastAsia="zh-CN"/>
              </w:rPr>
            </w:pPr>
            <w:r>
              <w:rPr>
                <w:rFonts w:hint="eastAsia"/>
                <w:lang w:val="en-US" w:eastAsia="zh-CN"/>
              </w:rPr>
              <w:t>1.履约保证金递交方式及相关条款要求</w:t>
            </w:r>
            <w:r>
              <w:rPr>
                <w:rFonts w:hint="eastAsia" w:ascii="宋体" w:hAnsi="宋体" w:cs="宋体"/>
                <w:color w:val="000000"/>
                <w:kern w:val="0"/>
                <w:szCs w:val="21"/>
              </w:rPr>
              <w:t>与采购人签订合同约定</w:t>
            </w:r>
            <w:r>
              <w:rPr>
                <w:rFonts w:hint="eastAsia"/>
                <w:lang w:val="en-US" w:eastAsia="zh-CN"/>
              </w:rPr>
              <w:t>；</w:t>
            </w:r>
          </w:p>
          <w:p>
            <w:pPr>
              <w:adjustRightInd w:val="0"/>
              <w:snapToGrid w:val="0"/>
              <w:spacing w:line="320" w:lineRule="exact"/>
              <w:jc w:val="left"/>
              <w:rPr>
                <w:rFonts w:hint="eastAsia"/>
                <w:lang w:val="en-US" w:eastAsia="zh-CN"/>
              </w:rPr>
            </w:pPr>
            <w:r>
              <w:rPr>
                <w:rFonts w:hint="eastAsia"/>
                <w:lang w:val="en-US" w:eastAsia="zh-CN"/>
              </w:rPr>
              <w:t>1.1</w:t>
            </w:r>
            <w:r>
              <w:rPr>
                <w:rFonts w:hint="eastAsia"/>
                <w:b/>
                <w:bCs/>
                <w:lang w:val="en-US" w:eastAsia="zh-CN"/>
              </w:rPr>
              <w:t>建议优先使用政采云电子保函，</w:t>
            </w:r>
            <w:r>
              <w:rPr>
                <w:rFonts w:hint="eastAsia"/>
                <w:lang w:val="en-US" w:eastAsia="zh-CN"/>
              </w:rPr>
              <w:t>具体办理流程详见新疆政府采购网《新疆维吾尔自治区政府采购电子保函工作方案》。供应商以电子保函形式缴纳履约保证金的，可通过“新疆政府采购网”的“电子保函”模块申请购买：</w:t>
            </w:r>
          </w:p>
          <w:p>
            <w:pPr>
              <w:adjustRightInd w:val="0"/>
              <w:snapToGrid w:val="0"/>
              <w:spacing w:line="320" w:lineRule="exact"/>
              <w:jc w:val="left"/>
              <w:rPr>
                <w:rFonts w:hint="eastAsia"/>
                <w:lang w:val="en-US" w:eastAsia="zh-CN"/>
              </w:rPr>
            </w:pPr>
            <w:r>
              <w:rPr>
                <w:rFonts w:hint="eastAsia"/>
                <w:lang w:val="en-US" w:eastAsia="zh-CN"/>
              </w:rPr>
              <w:t>直达链接（电子保函）：</w:t>
            </w:r>
          </w:p>
          <w:p>
            <w:pPr>
              <w:adjustRightInd w:val="0"/>
              <w:snapToGrid w:val="0"/>
              <w:spacing w:line="320" w:lineRule="exact"/>
              <w:jc w:val="left"/>
              <w:rPr>
                <w:rFonts w:hint="eastAsia"/>
                <w:lang w:val="en-US" w:eastAsia="zh-CN"/>
              </w:rPr>
            </w:pPr>
            <w:r>
              <w:rPr>
                <w:rFonts w:hint="eastAsia"/>
                <w:lang w:val="en-US" w:eastAsia="zh-CN"/>
              </w:rPr>
              <w:t>https://jinrong.zcygov.cn/luban/finance/letter/xinjiang?pageModelFlag=650000</w:t>
            </w:r>
          </w:p>
          <w:p>
            <w:pPr>
              <w:adjustRightInd w:val="0"/>
              <w:snapToGrid w:val="0"/>
              <w:spacing w:line="320" w:lineRule="exact"/>
              <w:jc w:val="left"/>
              <w:rPr>
                <w:rFonts w:hint="eastAsia"/>
                <w:lang w:val="en-US" w:eastAsia="zh-CN"/>
              </w:rPr>
            </w:pPr>
            <w:r>
              <w:rPr>
                <w:rFonts w:hint="eastAsia"/>
                <w:lang w:val="en-US" w:eastAsia="zh-CN"/>
              </w:rPr>
              <w:t>电子保函咨询电话：0991-2661159</w:t>
            </w:r>
          </w:p>
          <w:p>
            <w:pPr>
              <w:rPr>
                <w:rFonts w:hint="eastAsia" w:ascii="Times New Roman" w:hAnsi="Times New Roman" w:eastAsia="宋体" w:cs="Times New Roman"/>
                <w:lang w:val="en-US" w:eastAsia="zh-CN"/>
              </w:rPr>
            </w:pPr>
            <w:r>
              <w:rPr>
                <w:rFonts w:hint="eastAsia"/>
                <w:lang w:val="en-US" w:eastAsia="zh-CN"/>
              </w:rPr>
              <w:t>2.履约保证金的退还与</w:t>
            </w:r>
            <w:r>
              <w:rPr>
                <w:rFonts w:hint="eastAsia" w:ascii="宋体" w:hAnsi="宋体" w:cs="宋体"/>
                <w:color w:val="000000"/>
                <w:kern w:val="0"/>
                <w:szCs w:val="21"/>
              </w:rPr>
              <w:t>采购人签订合同约定</w:t>
            </w:r>
            <w:r>
              <w:rPr>
                <w:rFonts w:hint="eastAsia"/>
                <w:lang w:val="en-US" w:eastAsia="zh-CN"/>
              </w:rPr>
              <w:t>。</w:t>
            </w:r>
          </w:p>
          <w:p>
            <w:pPr>
              <w:pStyle w:val="15"/>
              <w:ind w:left="0" w:leftChars="0" w:firstLine="0" w:firstLineChars="0"/>
              <w:rPr>
                <w:rFonts w:hint="default"/>
                <w:lang w:val="en-US" w:eastAsia="zh-CN"/>
              </w:rPr>
            </w:pPr>
            <w:r>
              <w:rPr>
                <w:rFonts w:hint="eastAsia" w:ascii="Times New Roman" w:hAnsi="Times New Roman" w:eastAsia="宋体" w:cs="Times New Roman"/>
                <w:kern w:val="2"/>
                <w:sz w:val="21"/>
                <w:szCs w:val="24"/>
                <w:lang w:val="en-US" w:eastAsia="zh-CN" w:bidi="ar-SA"/>
              </w:rPr>
              <w:t>3.中标人没有按照约定提交履约保证金</w:t>
            </w:r>
            <w:r>
              <w:rPr>
                <w:rFonts w:hint="eastAsia" w:cs="Times New Roman"/>
                <w:kern w:val="2"/>
                <w:sz w:val="21"/>
                <w:szCs w:val="24"/>
                <w:lang w:val="en-US" w:eastAsia="zh-CN" w:bidi="ar-SA"/>
              </w:rPr>
              <w:t>或履约保函</w:t>
            </w:r>
            <w:r>
              <w:rPr>
                <w:rFonts w:hint="eastAsia" w:ascii="Times New Roman" w:hAnsi="Times New Roman" w:eastAsia="宋体" w:cs="Times New Roman"/>
                <w:kern w:val="2"/>
                <w:sz w:val="21"/>
                <w:szCs w:val="24"/>
                <w:lang w:val="en-US" w:eastAsia="zh-CN" w:bidi="ar-SA"/>
              </w:rPr>
              <w:t>的，视同拒绝履行合同，采购人有权解除合同并对本项目依法对项目进行处理。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b/>
                <w:szCs w:val="21"/>
              </w:rPr>
            </w:pPr>
            <w:r>
              <w:rPr>
                <w:rFonts w:hint="eastAsia" w:ascii="宋体" w:hAnsi="宋体"/>
                <w:b/>
                <w:szCs w:val="21"/>
              </w:rPr>
              <w:t>七、其他规定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2267"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付款方式</w:t>
            </w:r>
          </w:p>
        </w:tc>
        <w:tc>
          <w:tcPr>
            <w:tcW w:w="6578" w:type="dxa"/>
            <w:gridSpan w:val="2"/>
            <w:vAlign w:val="center"/>
          </w:tcPr>
          <w:p>
            <w:pPr>
              <w:adjustRightInd w:val="0"/>
              <w:snapToGrid w:val="0"/>
              <w:spacing w:line="400" w:lineRule="exact"/>
              <w:jc w:val="left"/>
              <w:rPr>
                <w:rFonts w:ascii="宋体" w:hAnsi="宋体"/>
                <w:bCs/>
                <w:szCs w:val="21"/>
              </w:rPr>
            </w:pPr>
            <w:r>
              <w:rPr>
                <w:rFonts w:hint="eastAsia" w:ascii="宋体" w:hAnsi="宋体"/>
                <w:bCs/>
                <w:szCs w:val="21"/>
                <w:highlight w:val="none"/>
                <w:lang w:eastAsia="zh-CN"/>
              </w:rPr>
              <w:t>签订合同后支付合同总价的30%预付款，设备安装调试验收完毕后支付剩余70%的尾款。</w:t>
            </w:r>
            <w:r>
              <w:rPr>
                <w:rFonts w:hint="eastAsia" w:ascii="宋体" w:hAnsi="宋体"/>
                <w:bCs/>
                <w:szCs w:val="21"/>
                <w:highlight w:val="none"/>
              </w:rPr>
              <w:t>（具体要求与采购人签订合同约定）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样品</w:t>
            </w:r>
          </w:p>
        </w:tc>
        <w:tc>
          <w:tcPr>
            <w:tcW w:w="6578" w:type="dxa"/>
            <w:gridSpan w:val="2"/>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bookmarkStart w:id="13" w:name="_Toc420948007"/>
            <w:r>
              <w:rPr>
                <w:rFonts w:hint="eastAsia" w:ascii="宋体" w:hAnsi="宋体"/>
                <w:color w:val="000000" w:themeColor="text1"/>
                <w:szCs w:val="21"/>
                <w:lang w:val="zh-CN"/>
                <w14:textFill>
                  <w14:solidFill>
                    <w14:schemeClr w14:val="tx1"/>
                  </w14:solidFill>
                </w14:textFill>
              </w:rPr>
              <w:t>场地费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jc w:val="center"/>
              <w:rPr>
                <w:rFonts w:ascii="宋体" w:hAnsi="宋体" w:cs="宋体"/>
                <w:b/>
                <w:bCs/>
                <w:szCs w:val="21"/>
              </w:rPr>
            </w:pPr>
            <w:r>
              <w:rPr>
                <w:rFonts w:hint="eastAsia" w:ascii="宋体" w:hAnsi="宋体" w:cs="宋体"/>
                <w:b/>
                <w:bCs/>
                <w:szCs w:val="21"/>
              </w:rPr>
              <w:t>关于政采云平台线上电子招投标的注意事项</w:t>
            </w:r>
          </w:p>
          <w:p>
            <w:pPr>
              <w:spacing w:before="62" w:beforeLines="20" w:line="288" w:lineRule="auto"/>
              <w:rPr>
                <w:rFonts w:ascii="宋体" w:hAnsi="宋体"/>
                <w:color w:val="000000" w:themeColor="text1"/>
                <w:szCs w:val="21"/>
                <w14:textFill>
                  <w14:solidFill>
                    <w14:schemeClr w14:val="tx1"/>
                  </w14:solidFill>
                </w14:textFill>
              </w:rPr>
            </w:pPr>
          </w:p>
        </w:tc>
        <w:tc>
          <w:tcPr>
            <w:tcW w:w="6578" w:type="dxa"/>
            <w:gridSpan w:val="2"/>
            <w:vAlign w:val="center"/>
          </w:tcPr>
          <w:p>
            <w:pPr>
              <w:adjustRightInd w:val="0"/>
              <w:snapToGrid w:val="0"/>
              <w:spacing w:line="400" w:lineRule="exact"/>
              <w:jc w:val="left"/>
            </w:pPr>
            <w:r>
              <w:rPr>
                <w:rFonts w:hint="eastAsia"/>
                <w:b/>
                <w:bCs/>
              </w:rPr>
              <w:t>1、投标文件解密时间：</w:t>
            </w:r>
            <w:r>
              <w:rPr>
                <w:rFonts w:hint="eastAsia"/>
              </w:rPr>
              <w:t>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（解密时间开始时政采云平台将以短信形式向供应商在政采云平台预留的手机号发送短信通知，请供应商及时关注。）</w:t>
            </w:r>
          </w:p>
          <w:p>
            <w:pPr>
              <w:adjustRightInd w:val="0"/>
              <w:snapToGrid w:val="0"/>
              <w:spacing w:line="400" w:lineRule="exact"/>
              <w:jc w:val="left"/>
            </w:pPr>
            <w:r>
              <w:rPr>
                <w:rFonts w:hint="eastAsia"/>
                <w:b/>
                <w:bCs/>
              </w:rPr>
              <w:t>2、供应商报价CA签字确认：</w:t>
            </w:r>
            <w:r>
              <w:rPr>
                <w:rFonts w:hint="eastAsia"/>
              </w:rPr>
              <w:t>报价文件开启后将开启签字时段，供应商须在</w:t>
            </w:r>
            <w:r>
              <w:rPr>
                <w:rFonts w:hint="eastAsia"/>
                <w:lang w:val="en-US" w:eastAsia="zh-CN"/>
              </w:rPr>
              <w:t>1</w:t>
            </w:r>
            <w:r>
              <w:rPr>
                <w:rFonts w:hint="eastAsia"/>
                <w:b/>
                <w:bCs/>
                <w:color w:val="000000" w:themeColor="text1"/>
                <w14:textFill>
                  <w14:solidFill>
                    <w14:schemeClr w14:val="tx1"/>
                  </w14:solidFill>
                </w14:textFill>
              </w:rPr>
              <w:t>0分钟内用CA证书对报价进行签字确认，如未按时签字确认视为默认投标报价。</w:t>
            </w:r>
          </w:p>
          <w:p>
            <w:pPr>
              <w:adjustRightInd w:val="0"/>
              <w:snapToGrid w:val="0"/>
              <w:spacing w:line="400" w:lineRule="exact"/>
              <w:jc w:val="left"/>
              <w:rPr>
                <w:b/>
                <w:bCs/>
              </w:rPr>
            </w:pPr>
            <w:r>
              <w:rPr>
                <w:rFonts w:hint="eastAsia"/>
                <w:b/>
                <w:bCs/>
              </w:rPr>
              <w:t>3、备注:</w:t>
            </w:r>
          </w:p>
          <w:p>
            <w:pPr>
              <w:adjustRightInd w:val="0"/>
              <w:snapToGrid w:val="0"/>
              <w:spacing w:line="400" w:lineRule="exact"/>
              <w:jc w:val="left"/>
            </w:pPr>
            <w:r>
              <w:rPr>
                <w:rFonts w:hint="eastAsia"/>
              </w:rPr>
              <w:t>（1）本次采购采用电子交易方式，电子交易平台为“政府采购云平台（www.zcygov.cn）”。供应商参与本项目电子交易活动前，应注册成为政府采购云平台供应商。编制电子投标文件前还需申领CA证书并绑定帐号.</w:t>
            </w:r>
          </w:p>
          <w:p>
            <w:pPr>
              <w:adjustRightInd w:val="0"/>
              <w:snapToGrid w:val="0"/>
              <w:spacing w:line="400" w:lineRule="exact"/>
              <w:jc w:val="left"/>
            </w:pPr>
            <w:r>
              <w:rPr>
                <w:rFonts w:hint="eastAsi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adjustRightInd w:val="0"/>
              <w:snapToGrid w:val="0"/>
              <w:spacing w:line="400" w:lineRule="exact"/>
              <w:jc w:val="left"/>
            </w:pPr>
            <w:r>
              <w:rPr>
                <w:rFonts w:hint="eastAsia"/>
              </w:rPr>
              <w:t>（3）供应商应当在投标截止时间前，将“电子招投标供应商客户端”生成的“电子加密投标文件”上传电子交易平台。</w:t>
            </w:r>
          </w:p>
          <w:p>
            <w:pPr>
              <w:adjustRightInd w:val="0"/>
              <w:snapToGrid w:val="0"/>
              <w:spacing w:line="400" w:lineRule="exact"/>
              <w:jc w:val="left"/>
            </w:pPr>
            <w:r>
              <w:rPr>
                <w:rFonts w:hint="eastAsia"/>
              </w:rPr>
              <w:t>（4）服务与支持。各政府采购代理机构（含集采机构）及供应商对不见面开评标系统的技术操作咨询，可通过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，“项目采购—操作流程—电子招投标—政府采购项目电子交易管理操作指南-供应商”版面获取操作指南，同时对自助查询无法解决的问题可通过钉钉群及政采云在线客服获取服务支</w:t>
            </w:r>
            <w:r>
              <w:t>持。</w:t>
            </w:r>
            <w:r>
              <w:rPr>
                <w:rFonts w:hint="eastAsia"/>
              </w:rPr>
              <w:t>政采云热线人工号码：95763</w:t>
            </w:r>
          </w:p>
          <w:p>
            <w:pPr>
              <w:adjustRightInd w:val="0"/>
              <w:snapToGrid w:val="0"/>
              <w:spacing w:line="400" w:lineRule="exact"/>
              <w:jc w:val="left"/>
            </w:pPr>
            <w:r>
              <w:rPr>
                <w:rFonts w:hint="eastAsia"/>
              </w:rPr>
              <w:t>（5）建议投标人使用带有摄像头和麦克风的设备，以备评标演示时使用，投标人自行承担因投标人设备原因而产生的不利后果。浏览器要求：建议使用者谷歌Chrome浏览器或360极速浏览器。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96" w:hRule="atLeast"/>
          <w:jc w:val="center"/>
        </w:trPr>
        <w:tc>
          <w:tcPr>
            <w:tcW w:w="2267" w:type="dxa"/>
            <w:vAlign w:val="center"/>
          </w:tcPr>
          <w:p>
            <w:pPr>
              <w:spacing w:before="62" w:beforeLines="20" w:line="288" w:lineRule="auto"/>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CA办理及技术支持</w:t>
            </w:r>
          </w:p>
        </w:tc>
        <w:tc>
          <w:tcPr>
            <w:tcW w:w="6578" w:type="dxa"/>
            <w:gridSpan w:val="2"/>
            <w:vAlign w:val="center"/>
          </w:tcPr>
          <w:p>
            <w:pPr>
              <w:pStyle w:val="25"/>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CA服务电话：0991-2819290</w:t>
            </w:r>
          </w:p>
          <w:p>
            <w:pPr>
              <w:pStyle w:val="25"/>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CA申领地址：https://www.xjca.com.cn/article/content/201802/582/1.html</w:t>
            </w:r>
          </w:p>
        </w:tc>
      </w:tr>
    </w:tbl>
    <w:p>
      <w:pPr>
        <w:adjustRightInd w:val="0"/>
        <w:snapToGrid w:val="0"/>
        <w:spacing w:line="360" w:lineRule="auto"/>
        <w:jc w:val="center"/>
        <w:outlineLvl w:val="1"/>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bookmarkStart w:id="14" w:name="_Toc474235943"/>
      <w:r>
        <w:rPr>
          <w:rFonts w:hint="eastAsia" w:ascii="宋体" w:hAnsi="宋体"/>
          <w:b/>
          <w:color w:val="000000" w:themeColor="text1"/>
          <w:sz w:val="24"/>
          <w14:textFill>
            <w14:solidFill>
              <w14:schemeClr w14:val="tx1"/>
            </w14:solidFill>
          </w14:textFill>
        </w:rPr>
        <w:t>投标须知正文</w:t>
      </w:r>
      <w:bookmarkEnd w:id="13"/>
      <w:bookmarkEnd w:id="14"/>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5" w:name="_Toc420948008"/>
      <w:bookmarkStart w:id="16" w:name="_Toc474235944"/>
      <w:r>
        <w:rPr>
          <w:rFonts w:hint="eastAsia" w:ascii="宋体" w:hAnsi="宋体"/>
          <w:b/>
          <w:color w:val="000000" w:themeColor="text1"/>
          <w:sz w:val="24"/>
          <w14:textFill>
            <w14:solidFill>
              <w14:schemeClr w14:val="tx1"/>
            </w14:solidFill>
          </w14:textFill>
        </w:rPr>
        <w:t>一、</w:t>
      </w:r>
      <w:bookmarkEnd w:id="15"/>
      <w:r>
        <w:rPr>
          <w:rFonts w:hint="eastAsia" w:ascii="宋体" w:hAnsi="宋体"/>
          <w:b/>
          <w:color w:val="000000" w:themeColor="text1"/>
          <w:sz w:val="24"/>
          <w14:textFill>
            <w14:solidFill>
              <w14:schemeClr w14:val="tx1"/>
            </w14:solidFill>
          </w14:textFill>
        </w:rPr>
        <w:t>总则</w:t>
      </w:r>
      <w:bookmarkEnd w:id="16"/>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项目概况</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1.2采购范围：详见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1.3项目地点：详见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1.4采购方式：详见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lang w:eastAsia="zh-CN"/>
          <w14:textFill>
            <w14:solidFill>
              <w14:schemeClr w14:val="tx1"/>
            </w14:solidFill>
          </w14:textFill>
        </w:rPr>
        <w:t>履约期限</w:t>
      </w:r>
      <w:r>
        <w:rPr>
          <w:rFonts w:hint="eastAsia" w:ascii="宋体" w:hAnsi="宋体"/>
          <w:color w:val="000000" w:themeColor="text1"/>
          <w:szCs w:val="21"/>
          <w14:textFill>
            <w14:solidFill>
              <w14:schemeClr w14:val="tx1"/>
            </w14:solidFill>
          </w14:textFill>
        </w:rPr>
        <w:t>：详见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2.定义</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“采购人”是指依法进行政府采购的国家机关、事业单位、团体组织。采购人名称、地址、电话、联系人见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“采购代理机构”是指接受采购人委托，代理采购项目的集中采购机构和其他采购代理机构。采购代理机构名称、地址、电话、联系人见</w:t>
      </w:r>
      <w:r>
        <w:rPr>
          <w:rFonts w:hint="eastAsia" w:ascii="宋体" w:hAnsi="宋体"/>
          <w:b/>
          <w:color w:val="000000" w:themeColor="text1"/>
          <w:szCs w:val="21"/>
          <w14:textFill>
            <w14:solidFill>
              <w14:schemeClr w14:val="tx1"/>
            </w14:solidFill>
          </w14:textFill>
        </w:rPr>
        <w:t>投标须知前附表。</w:t>
      </w: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2.3 “投标人”是指响应招标文件要求、参加招标采购的法人、其他组织或者自然人。</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“货物”是指各种形态和种类的物品，包括原材料、燃料、设备、产品等，详见《政府采购品目分类目录》(</w:t>
      </w:r>
      <w:r>
        <w:rPr>
          <w:rStyle w:val="49"/>
          <w:rFonts w:ascii="宋体" w:hAnsi="宋体"/>
          <w:b w:val="0"/>
          <w:color w:val="000000" w:themeColor="text1"/>
          <w14:textFill>
            <w14:solidFill>
              <w14:schemeClr w14:val="tx1"/>
            </w14:solidFill>
          </w14:textFill>
        </w:rPr>
        <w:t>财库</w:t>
      </w:r>
      <w:r>
        <w:rPr>
          <w:rStyle w:val="49"/>
          <w:rFonts w:hint="eastAsia" w:ascii="宋体" w:hAnsi="宋体"/>
          <w:b w:val="0"/>
          <w:color w:val="000000" w:themeColor="text1"/>
          <w14:textFill>
            <w14:solidFill>
              <w14:schemeClr w14:val="tx1"/>
            </w14:solidFill>
          </w14:textFill>
        </w:rPr>
        <w:t>[</w:t>
      </w:r>
      <w:r>
        <w:rPr>
          <w:rStyle w:val="49"/>
          <w:rFonts w:ascii="宋体" w:hAnsi="宋体"/>
          <w:b w:val="0"/>
          <w:color w:val="000000" w:themeColor="text1"/>
          <w14:textFill>
            <w14:solidFill>
              <w14:schemeClr w14:val="tx1"/>
            </w14:solidFill>
          </w14:textFill>
        </w:rPr>
        <w:t>20</w:t>
      </w:r>
      <w:r>
        <w:rPr>
          <w:rStyle w:val="49"/>
          <w:rFonts w:hint="eastAsia" w:ascii="宋体" w:hAnsi="宋体"/>
          <w:b w:val="0"/>
          <w:color w:val="000000" w:themeColor="text1"/>
          <w14:textFill>
            <w14:solidFill>
              <w14:schemeClr w14:val="tx1"/>
            </w14:solidFill>
          </w14:textFill>
        </w:rPr>
        <w:t>22]31</w:t>
      </w:r>
      <w:r>
        <w:rPr>
          <w:rStyle w:val="49"/>
          <w:rFonts w:ascii="宋体" w:hAnsi="宋体"/>
          <w:b w:val="0"/>
          <w:color w:val="000000" w:themeColor="text1"/>
          <w14:textFill>
            <w14:solidFill>
              <w14:schemeClr w14:val="tx1"/>
            </w14:solidFill>
          </w14:textFill>
        </w:rPr>
        <w:t>号</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 “进口产品”是指通过中国海关报关验收进入中国境内且产自关境外的产品，详见《</w:t>
      </w:r>
      <w:r>
        <w:rPr>
          <w:rFonts w:ascii="宋体" w:hAnsi="宋体" w:cs="宋体"/>
          <w:color w:val="000000" w:themeColor="text1"/>
          <w:kern w:val="0"/>
          <w:szCs w:val="21"/>
          <w14:textFill>
            <w14:solidFill>
              <w14:schemeClr w14:val="tx1"/>
            </w14:solidFill>
          </w14:textFill>
        </w:rPr>
        <w:t>关于政府采购进口产品管理有关问题的通知</w:t>
      </w:r>
      <w:r>
        <w:rPr>
          <w:rFonts w:hint="eastAsia" w:ascii="宋体" w:hAnsi="宋体" w:cs="宋体"/>
          <w:color w:val="000000" w:themeColor="text1"/>
          <w:kern w:val="0"/>
          <w:szCs w:val="21"/>
          <w14:textFill>
            <w14:solidFill>
              <w14:schemeClr w14:val="tx1"/>
            </w14:solidFill>
          </w14:textFill>
        </w:rPr>
        <w:t>》(财库[2007]119号)。</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2.6偏离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2.6.1本条所称偏离为投标文件对招标文件的偏离，即不满足、</w:t>
      </w:r>
      <w:r>
        <w:rPr>
          <w:rFonts w:hint="eastAsia" w:ascii="宋体" w:hAnsi="宋体" w:cs="宋体"/>
          <w:color w:val="000000" w:themeColor="text1"/>
          <w:kern w:val="0"/>
          <w:szCs w:val="21"/>
          <w:lang w:eastAsia="zh-CN"/>
          <w14:textFill>
            <w14:solidFill>
              <w14:schemeClr w14:val="tx1"/>
            </w14:solidFill>
          </w14:textFill>
        </w:rPr>
        <w:t>劣于招标文件要求</w:t>
      </w:r>
      <w:r>
        <w:rPr>
          <w:rFonts w:hint="eastAsia" w:ascii="宋体" w:hAnsi="宋体" w:cs="宋体"/>
          <w:color w:val="000000" w:themeColor="text1"/>
          <w:kern w:val="0"/>
          <w:szCs w:val="21"/>
          <w14:textFill>
            <w14:solidFill>
              <w14:schemeClr w14:val="tx1"/>
            </w14:solidFill>
          </w14:textFill>
        </w:rPr>
        <w:t>或不响应招标文件的要求。偏离分为对招标文件的实质性要求条款偏离和对招标文件的一般商务和技术条款偏离。</w:t>
      </w:r>
    </w:p>
    <w:p>
      <w:pPr>
        <w:adjustRightInd w:val="0"/>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2.6.2除法律、法规和规章规定外，招标文件中用“拒绝”、“不接受”、“无效”、“不得”等文字规定的条款为实质性要求条款（即重要条款），对其中任何一条的偏离，在评标时将其视为无效投标。未用上述文字规定或符号标注的条款为非实质性要求条款(即一般条款)。</w:t>
      </w:r>
    </w:p>
    <w:p>
      <w:pPr>
        <w:adjustRightInd w:val="0"/>
        <w:snapToGrid w:val="0"/>
        <w:spacing w:line="360" w:lineRule="auto"/>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2.7.特别说明</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2.7.1投标人投标所使用的资格、信誉、荣誉、业绩与企业认证等必须为投标人所拥有。</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2.7.2投标人应仔细阅读招标文件的所有内容，按照招标文件的要求提交投标文件，并对所提供的全部资料的真实性承担法律责任。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2.7.3投标人在投标活动中提供任何虚假材料，其投标无效并承担相应法律责任。</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3.投标人的资格要求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投标人应当符合</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中规定的资格条件要求；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投标人不得存在下列情形之一：</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（l）与采购人、采购代理机构存在</w:t>
      </w:r>
      <w:r>
        <w:rPr>
          <w:rFonts w:hint="eastAsia" w:ascii="宋体" w:hAnsi="宋体"/>
          <w:bCs/>
          <w:color w:val="000000" w:themeColor="text1"/>
          <w:szCs w:val="21"/>
          <w14:textFill>
            <w14:solidFill>
              <w14:schemeClr w14:val="tx1"/>
            </w14:solidFill>
          </w14:textFill>
        </w:rPr>
        <w:t>利害关系</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（2）单位负责人为同一人或者存在直接控股、管理关系的不同投标单位，不得参加同一合同项下的政府采购活动。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（3）除单一来源采购项目外，为采购项目提供整体设计、规范编制或者项目管理、监理、检测等服务的投标单位，不得再参加该采购项目的其他采购活动。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投标人具有履行合同所必需的设备和专业技术能力，在人员、设备、资金等方面具有相应能力；投标人提供的的产品必须是</w:t>
      </w:r>
      <w:r>
        <w:rPr>
          <w:rFonts w:hint="eastAsia" w:ascii="宋体" w:hAnsi="宋体"/>
          <w:color w:val="auto"/>
          <w:szCs w:val="21"/>
        </w:rPr>
        <w:t>必须</w:t>
      </w:r>
      <w:r>
        <w:rPr>
          <w:rFonts w:hint="eastAsia" w:ascii="宋体" w:hAnsi="宋体"/>
          <w:color w:val="auto"/>
          <w:szCs w:val="21"/>
          <w:lang w:eastAsia="zh-CN"/>
        </w:rPr>
        <w:t>满足国家相关规范要求及质量要求</w:t>
      </w:r>
      <w:r>
        <w:rPr>
          <w:rFonts w:hint="eastAsia" w:ascii="宋体" w:hAnsi="宋体"/>
          <w:color w:val="000000" w:themeColor="text1"/>
          <w:szCs w:val="21"/>
          <w14:textFill>
            <w14:solidFill>
              <w14:schemeClr w14:val="tx1"/>
            </w14:solidFill>
          </w14:textFill>
        </w:rPr>
        <w:t>；在项目地具有技术支持和后续服务等能力。</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 投标费用和知识产权</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4.1投标人应承担其参加本招标活动自身所发生的费用。招标文件所提供的资料，是采购人现有的能被投标人利用的资料，采购人对投标人做出的任何推论、理解和结论均不负责任。</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pPr>
        <w:pStyle w:val="25"/>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授权委托</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5.1投标人代表为投标人法定代表人的，应提供法定代表人身份证明。投标人代表不是投标人法定代表人的，应提供法定代表人授权书。</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6．联合体形式</w:t>
      </w:r>
      <w:r>
        <w:rPr>
          <w:rFonts w:hint="eastAsia" w:ascii="宋体" w:hAnsi="宋体"/>
          <w:color w:val="000000" w:themeColor="text1"/>
          <w:sz w:val="21"/>
          <w:szCs w:val="21"/>
          <w14:textFill>
            <w14:solidFill>
              <w14:schemeClr w14:val="tx1"/>
            </w14:solidFill>
          </w14:textFill>
        </w:rPr>
        <w:t xml:space="preserve"> </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6.1除</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中另有规定，本次招标采购不接受为联合体形式的投标人。</w:t>
      </w:r>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7.现场勘察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7.1投标人应按</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对招标采购项目现场设备型号、数量和周围环境进行现场考察。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7.2勘察现场的费用由投标人自己承担，勘察期间所发生的人身伤害及 财产损失由投标人自己负责。</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7.3采购人不对投标人据此而做出的推论、理解和结论负责。一旦中标，投标人不得以任何借口，而提出额外补偿，或延长合同期限的要求。</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8.采购进口产品</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8.1除</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另有规定外，本项目</w:t>
      </w:r>
      <w:r>
        <w:rPr>
          <w:rFonts w:hint="eastAsia" w:ascii="宋体" w:hAnsi="宋体" w:cs="宋体"/>
          <w:color w:val="000000" w:themeColor="text1"/>
          <w:kern w:val="0"/>
          <w:szCs w:val="21"/>
          <w14:textFill>
            <w14:solidFill>
              <w14:schemeClr w14:val="tx1"/>
            </w14:solidFill>
          </w14:textFill>
        </w:rPr>
        <w:t>拒绝进口产品参加</w:t>
      </w:r>
      <w:r>
        <w:rPr>
          <w:rFonts w:hint="eastAsia" w:ascii="宋体" w:hAnsi="宋体"/>
          <w:color w:val="000000" w:themeColor="text1"/>
          <w:szCs w:val="21"/>
          <w14:textFill>
            <w14:solidFill>
              <w14:schemeClr w14:val="tx1"/>
            </w14:solidFill>
          </w14:textFill>
        </w:rPr>
        <w:t>招标采购活动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w:t>
      </w:r>
      <w:r>
        <w:rPr>
          <w:rFonts w:hint="eastAsia" w:ascii="宋体" w:hAnsi="宋体"/>
          <w:color w:val="000000" w:themeColor="text1"/>
          <w:szCs w:val="21"/>
          <w14:textFill>
            <w14:solidFill>
              <w14:schemeClr w14:val="tx1"/>
            </w14:solidFill>
          </w14:textFill>
        </w:rPr>
        <w:t>本章第8.1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w:t>
      </w:r>
      <w:r>
        <w:rPr>
          <w:rFonts w:ascii="宋体" w:hAnsi="宋体" w:cs="宋体"/>
          <w:color w:val="000000" w:themeColor="text1"/>
          <w:kern w:val="0"/>
          <w:szCs w:val="21"/>
          <w14:textFill>
            <w14:solidFill>
              <w14:schemeClr w14:val="tx1"/>
            </w14:solidFill>
          </w14:textFill>
        </w:rPr>
        <w:t>同意购买进口产品的</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w:t>
      </w:r>
      <w:r>
        <w:rPr>
          <w:rFonts w:hint="eastAsia" w:ascii="宋体" w:hAnsi="宋体" w:cs="宋体"/>
          <w:color w:val="000000" w:themeColor="text1"/>
          <w:kern w:val="0"/>
          <w:szCs w:val="21"/>
          <w:lang w:val="zh-CN"/>
          <w14:textFill>
            <w14:solidFill>
              <w14:schemeClr w14:val="tx1"/>
            </w14:solidFill>
          </w14:textFill>
        </w:rPr>
        <w:t>采购活动</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限制满足</w:t>
      </w:r>
      <w:r>
        <w:rPr>
          <w:rFonts w:hint="eastAsia" w:ascii="宋体" w:hAnsi="宋体"/>
          <w:color w:val="000000" w:themeColor="text1"/>
          <w:szCs w:val="21"/>
          <w14:textFill>
            <w14:solidFill>
              <w14:schemeClr w14:val="tx1"/>
            </w14:solidFill>
          </w14:textFill>
        </w:rPr>
        <w:t>招标文件要求</w:t>
      </w:r>
      <w:r>
        <w:rPr>
          <w:rFonts w:ascii="宋体" w:hAnsi="宋体" w:cs="宋体"/>
          <w:color w:val="000000" w:themeColor="text1"/>
          <w:kern w:val="0"/>
          <w:szCs w:val="21"/>
          <w14:textFill>
            <w14:solidFill>
              <w14:schemeClr w14:val="tx1"/>
            </w14:solidFill>
          </w14:textFill>
        </w:rPr>
        <w:t>的国内产品参与</w:t>
      </w:r>
      <w:r>
        <w:rPr>
          <w:rFonts w:hint="eastAsia" w:ascii="宋体" w:hAnsi="宋体"/>
          <w:color w:val="000000" w:themeColor="text1"/>
          <w:szCs w:val="21"/>
          <w14:textFill>
            <w14:solidFill>
              <w14:schemeClr w14:val="tx1"/>
            </w14:solidFill>
          </w14:textFill>
        </w:rPr>
        <w:t>招标</w:t>
      </w:r>
      <w:r>
        <w:rPr>
          <w:rFonts w:ascii="宋体" w:hAnsi="宋体" w:cs="宋体"/>
          <w:color w:val="000000" w:themeColor="text1"/>
          <w:kern w:val="0"/>
          <w:szCs w:val="21"/>
          <w14:textFill>
            <w14:solidFill>
              <w14:schemeClr w14:val="tx1"/>
            </w14:solidFill>
          </w14:textFill>
        </w:rPr>
        <w:t>。</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 xml:space="preserve">政府采购政策支持 </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9.1为</w:t>
      </w:r>
      <w:r>
        <w:rPr>
          <w:rFonts w:hint="eastAsia" w:ascii="宋体" w:hAnsi="宋体" w:cs="宋体"/>
          <w:color w:val="000000" w:themeColor="text1"/>
          <w:szCs w:val="21"/>
          <w14:textFill>
            <w14:solidFill>
              <w14:schemeClr w14:val="tx1"/>
            </w14:solidFill>
          </w14:textFill>
        </w:rPr>
        <w:t>推进政府采购诚信体系建设，</w:t>
      </w:r>
      <w:r>
        <w:rPr>
          <w:rFonts w:hint="eastAsia" w:ascii="宋体" w:hAnsi="宋体"/>
          <w:color w:val="000000" w:themeColor="text1"/>
          <w:szCs w:val="21"/>
          <w14:textFill>
            <w14:solidFill>
              <w14:schemeClr w14:val="tx1"/>
            </w14:solidFill>
          </w14:textFill>
        </w:rPr>
        <w:t>投标人在签署相关承诺，提供相关信息前，应认真阅读财政部门相关政策规定。符合本章第9.1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的，应提供相关证明材料。</w:t>
      </w:r>
    </w:p>
    <w:p>
      <w:pPr>
        <w:pStyle w:val="25"/>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9.2本招标文件有列明投标人须提供所投产品属国家强制性要求或认证(如3C、强制性节能产品)相关证书等证明材料的，按招标文件要求提供;本招标文件未要求但投标人所投产品属国家强制性要求或认证(如3C、强制性节能产品)的，投标人须提供有效证书或提供承诺“承诺招标文件未要求但其所投产品属国家强制性要求或认证的，均能满足国家强制性要求或认证(如3C、强制性节能产品)要求”的承诺，并对其真实性负责。</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7" w:name="_Toc420948009"/>
      <w:bookmarkStart w:id="18" w:name="_Toc474235945"/>
      <w:r>
        <w:rPr>
          <w:rFonts w:hint="eastAsia" w:ascii="宋体" w:hAnsi="宋体"/>
          <w:b/>
          <w:color w:val="000000" w:themeColor="text1"/>
          <w:sz w:val="24"/>
          <w14:textFill>
            <w14:solidFill>
              <w14:schemeClr w14:val="tx1"/>
            </w14:solidFill>
          </w14:textFill>
        </w:rPr>
        <w:t>二、招标</w:t>
      </w:r>
      <w:bookmarkEnd w:id="17"/>
      <w:r>
        <w:rPr>
          <w:rFonts w:hint="eastAsia" w:ascii="宋体" w:hAnsi="宋体"/>
          <w:b/>
          <w:color w:val="000000" w:themeColor="text1"/>
          <w:sz w:val="24"/>
          <w14:textFill>
            <w14:solidFill>
              <w14:schemeClr w14:val="tx1"/>
            </w14:solidFill>
          </w14:textFill>
        </w:rPr>
        <w:t>文件</w:t>
      </w:r>
      <w:bookmarkEnd w:id="18"/>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10.招标文件的组成</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 招标文件由下列文件组成：</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第一章 招标公告</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第二章 投标须知</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第三章 评标方法及标准</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第四章 政府采购合同格式条款</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第五章 采购需求</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第六章 投标文件格式</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10.2</w:t>
      </w:r>
      <w:r>
        <w:rPr>
          <w:rFonts w:hint="eastAsia" w:ascii="宋体" w:hAnsi="宋体"/>
          <w:bCs/>
          <w:color w:val="000000" w:themeColor="text1"/>
          <w:sz w:val="21"/>
          <w:szCs w:val="21"/>
          <w14:textFill>
            <w14:solidFill>
              <w14:schemeClr w14:val="tx1"/>
            </w14:solidFill>
          </w14:textFill>
        </w:rPr>
        <w:t>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bCs/>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提交投标文件截止时间前对招标文件澄清或者修改内容，为招标文件的组成部分。</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10.3</w:t>
      </w:r>
      <w:r>
        <w:rPr>
          <w:rFonts w:hint="eastAsia" w:ascii="宋体" w:hAnsi="宋体"/>
          <w:color w:val="000000" w:themeColor="text1"/>
          <w:szCs w:val="21"/>
          <w14:textFill>
            <w14:solidFill>
              <w14:schemeClr w14:val="tx1"/>
            </w14:solidFill>
          </w14:textFill>
        </w:rPr>
        <w:t>投标人应仔细阅读</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的全部内容，按照</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要求编制投标文件。任何对</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的忽略或误解不能作为投标文件存在缺陷或瑕疵的理由，其风险由投标人承担。</w:t>
      </w:r>
    </w:p>
    <w:p>
      <w:pPr>
        <w:pStyle w:val="25"/>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11.</w:t>
      </w:r>
      <w:r>
        <w:rPr>
          <w:rFonts w:hint="eastAsia" w:ascii="宋体" w:hAnsi="宋体" w:cs="宋体"/>
          <w:b/>
          <w:color w:val="000000" w:themeColor="text1"/>
          <w:kern w:val="0"/>
          <w:sz w:val="21"/>
          <w:szCs w:val="21"/>
          <w14:textFill>
            <w14:solidFill>
              <w14:schemeClr w14:val="tx1"/>
            </w14:solidFill>
          </w14:textFill>
        </w:rPr>
        <w:t>提交投标文件</w:t>
      </w:r>
      <w:r>
        <w:rPr>
          <w:rFonts w:hint="eastAsia" w:ascii="宋体" w:hAnsi="宋体"/>
          <w:b/>
          <w:color w:val="000000" w:themeColor="text1"/>
          <w:sz w:val="21"/>
          <w:szCs w:val="21"/>
          <w14:textFill>
            <w14:solidFill>
              <w14:schemeClr w14:val="tx1"/>
            </w14:solidFill>
          </w14:textFill>
        </w:rPr>
        <w:t>的</w:t>
      </w:r>
      <w:r>
        <w:rPr>
          <w:rFonts w:hint="eastAsia" w:ascii="宋体" w:hAnsi="宋体" w:cs="宋体"/>
          <w:b/>
          <w:color w:val="000000" w:themeColor="text1"/>
          <w:kern w:val="0"/>
          <w:sz w:val="21"/>
          <w:szCs w:val="21"/>
          <w14:textFill>
            <w14:solidFill>
              <w14:schemeClr w14:val="tx1"/>
            </w14:solidFill>
          </w14:textFill>
        </w:rPr>
        <w:t>截止</w:t>
      </w:r>
      <w:r>
        <w:rPr>
          <w:rFonts w:hint="eastAsia" w:ascii="宋体" w:hAnsi="宋体"/>
          <w:b/>
          <w:color w:val="000000" w:themeColor="text1"/>
          <w:sz w:val="21"/>
          <w:szCs w:val="21"/>
          <w14:textFill>
            <w14:solidFill>
              <w14:schemeClr w14:val="tx1"/>
            </w14:solidFill>
          </w14:textFill>
        </w:rPr>
        <w:t>时间</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11.1投标人</w:t>
      </w:r>
      <w:r>
        <w:rPr>
          <w:rFonts w:hint="eastAsia" w:ascii="宋体" w:hAnsi="宋体" w:cs="宋体"/>
          <w:color w:val="000000" w:themeColor="text1"/>
          <w:kern w:val="0"/>
          <w:sz w:val="21"/>
          <w:szCs w:val="21"/>
          <w14:textFill>
            <w14:solidFill>
              <w14:schemeClr w14:val="tx1"/>
            </w14:solidFill>
          </w14:textFill>
        </w:rPr>
        <w:t>提交投标文件截止</w:t>
      </w:r>
      <w:r>
        <w:rPr>
          <w:rFonts w:hint="eastAsia" w:ascii="宋体" w:hAnsi="宋体"/>
          <w:color w:val="000000" w:themeColor="text1"/>
          <w:sz w:val="21"/>
          <w:szCs w:val="21"/>
          <w14:textFill>
            <w14:solidFill>
              <w14:schemeClr w14:val="tx1"/>
            </w14:solidFill>
          </w14:textFill>
        </w:rPr>
        <w:t>时间见</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12.招标文件的澄清</w:t>
      </w:r>
      <w:r>
        <w:rPr>
          <w:rFonts w:hint="eastAsia" w:ascii="宋体" w:hAnsi="宋体"/>
          <w:b/>
          <w:color w:val="000000" w:themeColor="text1"/>
          <w:kern w:val="0"/>
          <w:szCs w:val="21"/>
          <w:lang w:val="zh-CN"/>
          <w14:textFill>
            <w14:solidFill>
              <w14:schemeClr w14:val="tx1"/>
            </w14:solidFill>
          </w14:textFill>
        </w:rPr>
        <w:t>或者</w:t>
      </w:r>
      <w:r>
        <w:rPr>
          <w:rFonts w:hint="eastAsia" w:ascii="宋体" w:hAnsi="宋体"/>
          <w:b/>
          <w:bCs/>
          <w:color w:val="000000" w:themeColor="text1"/>
          <w:szCs w:val="21"/>
          <w14:textFill>
            <w14:solidFill>
              <w14:schemeClr w14:val="tx1"/>
            </w14:solidFill>
          </w14:textFill>
        </w:rPr>
        <w:t>修改</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bookmarkStart w:id="19" w:name="_Toc420948010"/>
      <w:r>
        <w:rPr>
          <w:rFonts w:hint="eastAsia" w:ascii="宋体" w:hAnsi="宋体"/>
          <w:color w:val="000000" w:themeColor="text1"/>
          <w:sz w:val="21"/>
          <w:szCs w:val="21"/>
          <w14:textFill>
            <w14:solidFill>
              <w14:schemeClr w14:val="tx1"/>
            </w14:solidFill>
          </w14:textFill>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http://www.ccgp-xinjiang.gov.cn)或通过政采云平台自行获取，投标人应自行查阅澄清公告或更正公告，澄清或者修改文件作为招标文件的组成部分对投标人具有约束力。</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12.2 如果澄清或者修改发出的时间距规定的投标截止时间不足十五日，将相应顺延投标截止时间。</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12.3采购代理机构可以视采购具体情况，延长投标截止时间和开标时间，但应当在规定的提交投标文件的截止时间三日前，将变更时间书面通知所有招标文件收受人，并在指定的媒体上发布更正公告。</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12.4投标人认为招标文件存在歧视性条款的，应在收到招标文件之日或者招标文件公告期限届满之日起7个工作日内以书面形式向本代理机构提出。</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0" w:name="_Toc474235946"/>
      <w:r>
        <w:rPr>
          <w:rFonts w:hint="eastAsia" w:ascii="宋体" w:hAnsi="宋体"/>
          <w:b/>
          <w:color w:val="000000" w:themeColor="text1"/>
          <w:sz w:val="24"/>
          <w14:textFill>
            <w14:solidFill>
              <w14:schemeClr w14:val="tx1"/>
            </w14:solidFill>
          </w14:textFill>
        </w:rPr>
        <w:t>三、投标文件</w:t>
      </w:r>
      <w:bookmarkEnd w:id="19"/>
      <w:bookmarkEnd w:id="20"/>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13.一般要求</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应仔细阅读招标文件的所有内容，按招标文件的要求编制投标文件，并保证所提供的全部资料的真实性，以使其投标文件对招标文件做出实质性的投标。</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13.2 </w:t>
      </w:r>
      <w:r>
        <w:rPr>
          <w:rFonts w:hint="eastAsia" w:ascii="宋体" w:hAnsi="宋体"/>
          <w:color w:val="000000" w:themeColor="text1"/>
          <w:szCs w:val="21"/>
          <w14:textFill>
            <w14:solidFill>
              <w14:schemeClr w14:val="tx1"/>
            </w14:solidFill>
          </w14:textFill>
        </w:rPr>
        <w:t>投标人提交的投标文件及投标人与采购人或采购代理机构就有关招标的所有来往函电均使用中文。投标人可以提交其它语言的资料，但应附中文注释，在有差异时以中文为准。</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13.3 </w:t>
      </w:r>
      <w:r>
        <w:rPr>
          <w:rFonts w:hint="eastAsia" w:ascii="宋体" w:hAnsi="宋体"/>
          <w:color w:val="000000" w:themeColor="text1"/>
          <w:sz w:val="21"/>
          <w:szCs w:val="21"/>
          <w14:textFill>
            <w14:solidFill>
              <w14:schemeClr w14:val="tx1"/>
            </w14:solidFill>
          </w14:textFill>
        </w:rPr>
        <w:t>计量单位应使用我国法定计量单位，未列明时应默认为我国法定计量单位。</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13.4 投标文件应采用书面形式，传真、电子邮件形式的投标文件概不接受。</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13.5 投标人应按招标文件中提供的投标文件格式填写。</w:t>
      </w:r>
    </w:p>
    <w:p>
      <w:pPr>
        <w:adjustRightInd w:val="0"/>
        <w:snapToGrid w:val="0"/>
        <w:spacing w:line="360" w:lineRule="auto"/>
        <w:ind w:firstLine="420" w:firstLineChars="20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13.</w:t>
      </w:r>
      <w:r>
        <w:rPr>
          <w:rFonts w:hint="eastAsia" w:ascii="宋体" w:hAnsi="宋体" w:cs="宋体"/>
          <w:color w:val="000000" w:themeColor="text1"/>
          <w:szCs w:val="21"/>
          <w:lang w:val="en-US" w:eastAsia="zh-CN"/>
          <w14:textFill>
            <w14:solidFill>
              <w14:schemeClr w14:val="tx1"/>
            </w14:solidFill>
          </w14:textFill>
        </w:rPr>
        <w:t>6 电子版投标文件内所有资格证明文件，投标人须逐页加盖电子签章。</w:t>
      </w:r>
      <w:r>
        <w:rPr>
          <w:rFonts w:hint="eastAsia" w:ascii="宋体" w:hAnsi="宋体"/>
          <w:color w:val="000000" w:themeColor="text1"/>
          <w:szCs w:val="21"/>
          <w:lang w:eastAsia="zh-CN"/>
          <w14:textFill>
            <w14:solidFill>
              <w14:schemeClr w14:val="tx1"/>
            </w14:solidFill>
          </w14:textFill>
        </w:rPr>
        <w:t>　</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14.</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的组成</w:t>
      </w:r>
    </w:p>
    <w:p>
      <w:pPr>
        <w:adjustRightInd w:val="0"/>
        <w:snapToGrid w:val="0"/>
        <w:spacing w:line="360" w:lineRule="auto"/>
        <w:ind w:firstLine="420" w:firstLineChars="200"/>
        <w:jc w:val="left"/>
        <w:rPr>
          <w:rFonts w:ascii="宋体" w:hAnsi="宋体"/>
          <w:szCs w:val="21"/>
        </w:rPr>
      </w:pPr>
      <w:bookmarkStart w:id="21" w:name="_Toc420948011"/>
      <w:bookmarkStart w:id="22" w:name="_Toc427862404"/>
      <w:r>
        <w:rPr>
          <w:rFonts w:hint="eastAsia" w:ascii="宋体" w:hAnsi="宋体"/>
        </w:rPr>
        <w:t>14.1 投标文件包括但不限于下列内容：</w:t>
      </w:r>
      <w:bookmarkEnd w:id="21"/>
      <w:bookmarkEnd w:id="22"/>
      <w:r>
        <w:rPr>
          <w:rFonts w:hint="eastAsia" w:ascii="宋体" w:hAnsi="宋体"/>
          <w:szCs w:val="21"/>
        </w:rPr>
        <w:t xml:space="preserve"> </w:t>
      </w:r>
    </w:p>
    <w:p>
      <w:pPr>
        <w:pStyle w:val="25"/>
        <w:adjustRightInd w:val="0"/>
        <w:snapToGrid w:val="0"/>
        <w:spacing w:line="360" w:lineRule="auto"/>
        <w:ind w:firstLine="420" w:firstLineChars="200"/>
        <w:rPr>
          <w:rFonts w:ascii="宋体" w:hAnsi="宋体"/>
          <w:sz w:val="21"/>
          <w:szCs w:val="21"/>
        </w:rPr>
      </w:pPr>
      <w:r>
        <w:rPr>
          <w:rFonts w:hint="eastAsia" w:ascii="宋体" w:hAnsi="宋体"/>
          <w:sz w:val="21"/>
          <w:szCs w:val="21"/>
        </w:rPr>
        <w:t>（1）投标函</w:t>
      </w:r>
    </w:p>
    <w:p>
      <w:pPr>
        <w:pStyle w:val="25"/>
        <w:adjustRightInd w:val="0"/>
        <w:snapToGrid w:val="0"/>
        <w:spacing w:line="360" w:lineRule="auto"/>
        <w:ind w:firstLine="420" w:firstLineChars="200"/>
        <w:rPr>
          <w:rFonts w:ascii="宋体" w:hAnsi="宋体"/>
          <w:sz w:val="21"/>
          <w:szCs w:val="21"/>
        </w:rPr>
      </w:pPr>
      <w:r>
        <w:rPr>
          <w:rFonts w:hint="eastAsia" w:ascii="宋体" w:hAnsi="宋体"/>
          <w:sz w:val="21"/>
          <w:szCs w:val="21"/>
        </w:rPr>
        <w:t>（2）开标一览表及投标报价明细表</w:t>
      </w:r>
    </w:p>
    <w:p>
      <w:pPr>
        <w:pStyle w:val="25"/>
        <w:adjustRightInd w:val="0"/>
        <w:snapToGrid w:val="0"/>
        <w:spacing w:line="360" w:lineRule="auto"/>
        <w:ind w:firstLine="420" w:firstLineChars="200"/>
        <w:rPr>
          <w:rFonts w:ascii="宋体" w:hAnsi="宋体"/>
          <w:sz w:val="21"/>
          <w:szCs w:val="21"/>
        </w:rPr>
      </w:pPr>
      <w:r>
        <w:rPr>
          <w:rFonts w:hint="eastAsia" w:ascii="宋体" w:hAnsi="宋体"/>
          <w:sz w:val="21"/>
          <w:szCs w:val="21"/>
        </w:rPr>
        <w:t>（3）投标人的资格证明文件</w:t>
      </w:r>
    </w:p>
    <w:p>
      <w:pPr>
        <w:pStyle w:val="25"/>
        <w:adjustRightInd w:val="0"/>
        <w:snapToGrid w:val="0"/>
        <w:spacing w:line="360" w:lineRule="auto"/>
        <w:ind w:firstLine="420" w:firstLineChars="200"/>
        <w:rPr>
          <w:rFonts w:ascii="宋体" w:hAnsi="宋体"/>
          <w:sz w:val="21"/>
          <w:szCs w:val="21"/>
        </w:rPr>
      </w:pPr>
      <w:r>
        <w:rPr>
          <w:rFonts w:hint="eastAsia" w:ascii="宋体" w:hAnsi="宋体"/>
          <w:sz w:val="21"/>
          <w:szCs w:val="21"/>
        </w:rPr>
        <w:t>（4）货物说明</w:t>
      </w:r>
    </w:p>
    <w:p>
      <w:pPr>
        <w:pStyle w:val="25"/>
        <w:adjustRightInd w:val="0"/>
        <w:snapToGrid w:val="0"/>
        <w:spacing w:line="360" w:lineRule="auto"/>
        <w:ind w:firstLine="420" w:firstLineChars="200"/>
        <w:rPr>
          <w:rFonts w:ascii="宋体" w:hAnsi="宋体"/>
          <w:sz w:val="21"/>
          <w:szCs w:val="21"/>
        </w:rPr>
      </w:pPr>
      <w:r>
        <w:rPr>
          <w:rFonts w:hint="eastAsia" w:ascii="宋体" w:hAnsi="宋体"/>
          <w:sz w:val="21"/>
          <w:szCs w:val="21"/>
        </w:rPr>
        <w:t>（5）实施方案</w:t>
      </w:r>
    </w:p>
    <w:p>
      <w:pPr>
        <w:pStyle w:val="25"/>
        <w:adjustRightInd w:val="0"/>
        <w:snapToGrid w:val="0"/>
        <w:spacing w:line="360" w:lineRule="auto"/>
        <w:ind w:firstLine="420" w:firstLineChars="200"/>
        <w:rPr>
          <w:rFonts w:ascii="宋体" w:hAnsi="宋体"/>
          <w:sz w:val="21"/>
          <w:szCs w:val="21"/>
        </w:rPr>
      </w:pPr>
      <w:r>
        <w:rPr>
          <w:rFonts w:hint="eastAsia" w:ascii="宋体" w:hAnsi="宋体"/>
          <w:sz w:val="21"/>
          <w:szCs w:val="21"/>
        </w:rPr>
        <w:t>（6）商务响应与偏离表</w:t>
      </w:r>
    </w:p>
    <w:p>
      <w:pPr>
        <w:pStyle w:val="25"/>
        <w:adjustRightInd w:val="0"/>
        <w:snapToGrid w:val="0"/>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（7）</w:t>
      </w:r>
      <w:r>
        <w:rPr>
          <w:rFonts w:hint="eastAsia" w:ascii="宋体" w:hAnsi="宋体"/>
          <w:sz w:val="21"/>
          <w:szCs w:val="21"/>
          <w:lang w:eastAsia="zh-CN"/>
        </w:rPr>
        <w:t>重要参数相应情况</w:t>
      </w:r>
    </w:p>
    <w:p>
      <w:pPr>
        <w:pStyle w:val="25"/>
        <w:adjustRightInd w:val="0"/>
        <w:snapToGrid w:val="0"/>
        <w:spacing w:line="360" w:lineRule="auto"/>
        <w:ind w:firstLine="420" w:firstLineChars="200"/>
        <w:rPr>
          <w:rFonts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8）</w:t>
      </w:r>
      <w:r>
        <w:rPr>
          <w:rFonts w:hint="eastAsia" w:ascii="宋体" w:hAnsi="宋体"/>
          <w:sz w:val="21"/>
          <w:szCs w:val="21"/>
        </w:rPr>
        <w:t>投标人认为需提供的其他资料</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15.报价</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15.1投标人应当根据招标文件要求和范围，以</w:t>
      </w:r>
      <w:r>
        <w:rPr>
          <w:rFonts w:hint="eastAsia" w:ascii="宋体" w:hAnsi="宋体"/>
          <w:bCs/>
          <w:color w:val="000000" w:themeColor="text1"/>
          <w:szCs w:val="21"/>
          <w14:textFill>
            <w14:solidFill>
              <w14:schemeClr w14:val="tx1"/>
            </w14:solidFill>
          </w14:textFill>
        </w:rPr>
        <w:t>人民币</w:t>
      </w:r>
      <w:r>
        <w:rPr>
          <w:rFonts w:hint="eastAsia" w:ascii="宋体" w:hAnsi="宋体" w:eastAsia="宋体" w:cs="Times New Roman"/>
          <w:bCs/>
          <w:color w:val="000000" w:themeColor="text1"/>
          <w:szCs w:val="21"/>
          <w14:textFill>
            <w14:solidFill>
              <w14:schemeClr w14:val="tx1"/>
            </w14:solidFill>
          </w14:textFill>
        </w:rPr>
        <w:t>报价，以元为</w:t>
      </w:r>
      <w:r>
        <w:rPr>
          <w:rFonts w:hint="eastAsia" w:ascii="宋体" w:hAnsi="宋体"/>
          <w:color w:val="000000" w:themeColor="text1"/>
          <w:szCs w:val="21"/>
          <w14:textFill>
            <w14:solidFill>
              <w14:schemeClr w14:val="tx1"/>
            </w14:solidFill>
          </w14:textFill>
        </w:rPr>
        <w:t>单位，</w:t>
      </w:r>
      <w:r>
        <w:rPr>
          <w:rFonts w:hint="eastAsia" w:ascii="宋体" w:hAnsi="宋体"/>
          <w:b/>
          <w:bCs/>
          <w:color w:val="000000" w:themeColor="text1"/>
          <w:szCs w:val="21"/>
          <w14:textFill>
            <w14:solidFill>
              <w14:schemeClr w14:val="tx1"/>
            </w14:solidFill>
          </w14:textFill>
        </w:rPr>
        <w:t>保留小数点后两位</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15.2投标报价是履行合同的最终价格，应包括为完成本项目采购范围内所有货物、配套工具及软件费用、</w:t>
      </w:r>
      <w:r>
        <w:rPr>
          <w:rFonts w:hint="eastAsia" w:ascii="宋体" w:hAnsi="宋体"/>
          <w:color w:val="000000" w:themeColor="text1"/>
          <w:szCs w:val="21"/>
          <w:lang w:eastAsia="zh-CN"/>
          <w14:textFill>
            <w14:solidFill>
              <w14:schemeClr w14:val="tx1"/>
            </w14:solidFill>
          </w14:textFill>
        </w:rPr>
        <w:t>施工安装费、</w:t>
      </w:r>
      <w:r>
        <w:rPr>
          <w:rFonts w:hint="eastAsia" w:ascii="宋体" w:hAnsi="宋体"/>
          <w:color w:val="000000" w:themeColor="text1"/>
          <w:szCs w:val="21"/>
          <w14:textFill>
            <w14:solidFill>
              <w14:schemeClr w14:val="tx1"/>
            </w14:solidFill>
          </w14:textFill>
        </w:rPr>
        <w:t>人工费、运输、</w:t>
      </w:r>
      <w:r>
        <w:rPr>
          <w:rFonts w:hint="eastAsia" w:ascii="宋体" w:hAnsi="宋体"/>
          <w:color w:val="000000" w:themeColor="text1"/>
          <w:szCs w:val="21"/>
          <w:lang w:eastAsia="zh-CN"/>
          <w14:textFill>
            <w14:solidFill>
              <w14:schemeClr w14:val="tx1"/>
            </w14:solidFill>
          </w14:textFill>
        </w:rPr>
        <w:t>仓储</w:t>
      </w:r>
      <w:r>
        <w:rPr>
          <w:rFonts w:hint="eastAsia" w:ascii="宋体" w:hAnsi="宋体"/>
          <w:color w:val="000000" w:themeColor="text1"/>
          <w:szCs w:val="21"/>
          <w14:textFill>
            <w14:solidFill>
              <w14:schemeClr w14:val="tx1"/>
            </w14:solidFill>
          </w14:textFill>
        </w:rPr>
        <w:t>、培训、保险、税金及其它附带服务的全部费用。投标人漏报的单价或每项单价报价中漏报、少报的费用，视为此项费用已隐含在其他报价中，中标后不予调整。</w:t>
      </w:r>
    </w:p>
    <w:p>
      <w:pPr>
        <w:pStyle w:val="167"/>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15.3投标人应按第五章“采购需求”要求及第六章“投标文件组成”格式填写。投标人在</w:t>
      </w:r>
      <w:r>
        <w:rPr>
          <w:rFonts w:hint="eastAsia" w:ascii="宋体" w:hAnsi="宋体"/>
          <w:bCs/>
          <w:color w:val="000000" w:themeColor="text1"/>
          <w14:textFill>
            <w14:solidFill>
              <w14:schemeClr w14:val="tx1"/>
            </w14:solidFill>
          </w14:textFill>
        </w:rPr>
        <w:t>本章第11.1</w:t>
      </w:r>
      <w:r>
        <w:rPr>
          <w:rFonts w:hint="eastAsia" w:ascii="宋体" w:hAnsi="宋体" w:cs="宋体"/>
          <w:color w:val="000000" w:themeColor="text1"/>
          <w:lang w:val="zh-CN"/>
          <w14:textFill>
            <w14:solidFill>
              <w14:schemeClr w14:val="tx1"/>
            </w14:solidFill>
          </w14:textFill>
        </w:rPr>
        <w:t>款</w:t>
      </w:r>
      <w:r>
        <w:rPr>
          <w:rFonts w:hint="eastAsia" w:ascii="宋体" w:hAnsi="宋体"/>
          <w:bCs/>
          <w:color w:val="000000" w:themeColor="text1"/>
          <w14:textFill>
            <w14:solidFill>
              <w14:schemeClr w14:val="tx1"/>
            </w14:solidFill>
          </w14:textFill>
        </w:rPr>
        <w:t>规定的</w:t>
      </w:r>
      <w:r>
        <w:rPr>
          <w:rFonts w:hint="eastAsia" w:ascii="宋体" w:hAnsi="宋体" w:cs="宋体"/>
          <w:color w:val="000000" w:themeColor="text1"/>
          <w14:textFill>
            <w14:solidFill>
              <w14:schemeClr w14:val="tx1"/>
            </w14:solidFill>
          </w14:textFill>
        </w:rPr>
        <w:t>提交投标文件截止之日前</w:t>
      </w:r>
      <w:r>
        <w:rPr>
          <w:rFonts w:hint="eastAsia" w:ascii="宋体" w:hAnsi="宋体"/>
          <w:color w:val="000000" w:themeColor="text1"/>
          <w14:textFill>
            <w14:solidFill>
              <w14:schemeClr w14:val="tx1"/>
            </w14:solidFill>
          </w14:textFill>
        </w:rPr>
        <w:t>修改开标一览表中的报价，应同时修改其按第六章要求填写的相应表格中的报价。此修改须符合本章第21.1款的有关要求。</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15.4投标文件中标明的价格在合同执行过程中是固定不变的，不得以任何理由予以变更。以可变动价格提交的报价将被认为是非实质投标而被拒绝。</w:t>
      </w:r>
    </w:p>
    <w:p>
      <w:pPr>
        <w:pStyle w:val="25"/>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15.5</w:t>
      </w:r>
      <w:r>
        <w:rPr>
          <w:rFonts w:hint="eastAsia" w:ascii="宋体" w:hAnsi="宋体"/>
          <w:b/>
          <w:color w:val="000000" w:themeColor="text1"/>
          <w:sz w:val="21"/>
          <w:szCs w:val="21"/>
          <w14:textFill>
            <w14:solidFill>
              <w14:schemeClr w14:val="tx1"/>
            </w14:solidFill>
          </w14:textFill>
        </w:rPr>
        <w:t>投标人的报价不得超过采购项目</w:t>
      </w:r>
      <w:r>
        <w:rPr>
          <w:rFonts w:hint="eastAsia" w:ascii="宋体" w:hAnsi="宋体"/>
          <w:b/>
          <w:color w:val="000000" w:themeColor="text1"/>
          <w:sz w:val="21"/>
          <w:szCs w:val="21"/>
          <w:lang w:eastAsia="zh-CN"/>
          <w14:textFill>
            <w14:solidFill>
              <w14:schemeClr w14:val="tx1"/>
            </w14:solidFill>
          </w14:textFill>
        </w:rPr>
        <w:t>预算单价或</w:t>
      </w:r>
      <w:r>
        <w:rPr>
          <w:rFonts w:hint="eastAsia" w:ascii="宋体" w:hAnsi="宋体"/>
          <w:b/>
          <w:color w:val="000000" w:themeColor="text1"/>
          <w:sz w:val="21"/>
          <w:szCs w:val="21"/>
          <w14:textFill>
            <w14:solidFill>
              <w14:schemeClr w14:val="tx1"/>
            </w14:solidFill>
          </w14:textFill>
        </w:rPr>
        <w:t>预算总金额，</w:t>
      </w:r>
      <w:r>
        <w:rPr>
          <w:rFonts w:hint="eastAsia" w:ascii="宋体" w:hAnsi="宋体"/>
          <w:color w:val="000000" w:themeColor="text1"/>
          <w:sz w:val="21"/>
          <w:szCs w:val="21"/>
          <w14:textFill>
            <w14:solidFill>
              <w14:schemeClr w14:val="tx1"/>
            </w14:solidFill>
          </w14:textFill>
        </w:rPr>
        <w:t>采购项目预算或其计算方法见</w:t>
      </w:r>
      <w:r>
        <w:rPr>
          <w:rFonts w:hint="eastAsia" w:ascii="宋体" w:hAnsi="宋体"/>
          <w:b/>
          <w:color w:val="000000" w:themeColor="text1"/>
          <w:sz w:val="21"/>
          <w:szCs w:val="21"/>
          <w14:textFill>
            <w14:solidFill>
              <w14:schemeClr w14:val="tx1"/>
            </w14:solidFill>
          </w14:textFill>
        </w:rPr>
        <w:t>招标须知前附表</w:t>
      </w:r>
      <w:r>
        <w:rPr>
          <w:rFonts w:hint="eastAsia" w:ascii="宋体" w:hAnsi="宋体"/>
          <w:color w:val="000000" w:themeColor="text1"/>
          <w:sz w:val="21"/>
          <w:szCs w:val="21"/>
          <w14:textFill>
            <w14:solidFill>
              <w14:schemeClr w14:val="tx1"/>
            </w14:solidFill>
          </w14:textFill>
        </w:rPr>
        <w:t>。</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16.</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投标人满足招标文件规定的资格证明文件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16.1</w:t>
      </w:r>
      <w:r>
        <w:rPr>
          <w:rFonts w:hint="eastAsia" w:ascii="宋体" w:hAnsi="宋体"/>
          <w:color w:val="000000" w:themeColor="text1"/>
          <w:szCs w:val="21"/>
          <w14:textFill>
            <w14:solidFill>
              <w14:schemeClr w14:val="tx1"/>
            </w14:solidFill>
          </w14:textFill>
        </w:rPr>
        <w:t>投标人应提供资格证明材料，以证实其各项条件能满足本章第3.1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规定的投标人资格条件要求。</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16.2投标人应当提交满足招标文件规定的业绩证明文件，该证明文件作为投标文件的一部分，业绩证明文件要求详见</w:t>
      </w:r>
      <w:r>
        <w:rPr>
          <w:rFonts w:hint="eastAsia" w:ascii="宋体" w:hAnsi="宋体" w:cs="宋体"/>
          <w:b/>
          <w:color w:val="000000" w:themeColor="text1"/>
          <w:kern w:val="0"/>
          <w:szCs w:val="21"/>
          <w14:textFill>
            <w14:solidFill>
              <w14:schemeClr w14:val="tx1"/>
            </w14:solidFill>
          </w14:textFill>
        </w:rPr>
        <w:t>投标须知前附表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16.3投标单位在货物说明一览表中应当说明货物的品牌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型号、规格参数、制造商及原产地等，交货时应出具原产地证明及出厂合格证明。</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16.4上述证明文件可以是文字资料、图纸和数据，并须提供：</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（1）货物主要性能和参数的详细说明； </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（2）对照招标文件技术规格，逐条说明所提供货物和服务对招标文件的技术规格条文的响应与偏离。对有具体参数要求的指标，投标单位应提供具体参数值；</w:t>
      </w:r>
    </w:p>
    <w:p>
      <w:pPr>
        <w:adjustRightInd w:val="0"/>
        <w:snapToGrid w:val="0"/>
        <w:spacing w:line="360" w:lineRule="auto"/>
        <w:rPr>
          <w:rFonts w:hint="default"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17.投标保证金</w:t>
      </w:r>
    </w:p>
    <w:p>
      <w:pPr>
        <w:pStyle w:val="25"/>
        <w:adjustRightInd w:val="0"/>
        <w:snapToGri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规定交纳投标</w:t>
      </w:r>
      <w:r>
        <w:rPr>
          <w:rFonts w:hint="eastAsia" w:ascii="宋体" w:hAnsi="宋体"/>
          <w:bCs/>
          <w:color w:val="000000" w:themeColor="text1"/>
          <w:sz w:val="21"/>
          <w:szCs w:val="21"/>
          <w14:textFill>
            <w14:solidFill>
              <w14:schemeClr w14:val="tx1"/>
            </w14:solidFill>
          </w14:textFill>
        </w:rPr>
        <w:t>保证金的</w:t>
      </w:r>
      <w:r>
        <w:rPr>
          <w:rFonts w:hint="eastAsia" w:ascii="宋体" w:hAnsi="宋体"/>
          <w:color w:val="000000" w:themeColor="text1"/>
          <w:sz w:val="21"/>
          <w:szCs w:val="21"/>
          <w14:textFill>
            <w14:solidFill>
              <w14:schemeClr w14:val="tx1"/>
            </w14:solidFill>
          </w14:textFill>
        </w:rPr>
        <w:t>，应按</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规定的</w:t>
      </w:r>
      <w:r>
        <w:rPr>
          <w:rFonts w:hint="eastAsia" w:ascii="宋体" w:hAnsi="宋体"/>
          <w:bCs/>
          <w:color w:val="000000" w:themeColor="text1"/>
          <w:sz w:val="21"/>
          <w:szCs w:val="21"/>
          <w14:textFill>
            <w14:solidFill>
              <w14:schemeClr w14:val="tx1"/>
            </w14:solidFill>
          </w14:textFill>
        </w:rPr>
        <w:t>形式、金额，</w:t>
      </w:r>
      <w:r>
        <w:rPr>
          <w:rFonts w:hint="eastAsia" w:ascii="宋体" w:hAnsi="宋体"/>
          <w:color w:val="000000" w:themeColor="text1"/>
          <w:sz w:val="21"/>
          <w:szCs w:val="21"/>
          <w14:textFill>
            <w14:solidFill>
              <w14:schemeClr w14:val="tx1"/>
            </w14:solidFill>
          </w14:textFill>
        </w:rPr>
        <w:t>在本章第11.1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w:t>
      </w:r>
      <w:r>
        <w:rPr>
          <w:rFonts w:hint="eastAsia" w:ascii="宋体" w:hAnsi="宋体"/>
          <w:color w:val="000000" w:themeColor="text1"/>
          <w:sz w:val="21"/>
          <w:szCs w:val="21"/>
          <w14:textFill>
            <w14:solidFill>
              <w14:schemeClr w14:val="tx1"/>
            </w14:solidFill>
          </w14:textFill>
        </w:rPr>
        <w:t>前，</w:t>
      </w:r>
      <w:r>
        <w:rPr>
          <w:rFonts w:hint="eastAsia" w:ascii="宋体" w:hAnsi="宋体"/>
          <w:bCs/>
          <w:color w:val="000000" w:themeColor="text1"/>
          <w:sz w:val="21"/>
          <w:szCs w:val="21"/>
          <w14:textFill>
            <w14:solidFill>
              <w14:schemeClr w14:val="tx1"/>
            </w14:solidFill>
          </w14:textFill>
        </w:rPr>
        <w:t>提交投标保证金</w:t>
      </w:r>
      <w:r>
        <w:rPr>
          <w:rFonts w:hint="eastAsia" w:ascii="宋体" w:hAnsi="宋体"/>
          <w:color w:val="000000" w:themeColor="text1"/>
          <w:sz w:val="21"/>
          <w:szCs w:val="21"/>
          <w14:textFill>
            <w14:solidFill>
              <w14:schemeClr w14:val="tx1"/>
            </w14:solidFill>
          </w14:textFill>
        </w:rPr>
        <w:t>。</w:t>
      </w:r>
    </w:p>
    <w:p>
      <w:pPr>
        <w:pStyle w:val="25"/>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18.</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投标文件有效期</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14:textFill>
            <w14:solidFill>
              <w14:schemeClr w14:val="tx1"/>
            </w14:solidFill>
          </w14:textFill>
        </w:rPr>
        <w:t>18.1投标文件</w:t>
      </w:r>
      <w:r>
        <w:rPr>
          <w:rFonts w:hint="eastAsia" w:ascii="宋体" w:hAnsi="宋体"/>
          <w:color w:val="000000" w:themeColor="text1"/>
          <w:szCs w:val="21"/>
          <w14:textFill>
            <w14:solidFill>
              <w14:schemeClr w14:val="tx1"/>
            </w14:solidFill>
          </w14:textFill>
        </w:rPr>
        <w:t>有效期见</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，在此期间</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文件对投标人具有法律约束力，</w:t>
      </w:r>
      <w:r>
        <w:rPr>
          <w:rFonts w:hint="eastAsia" w:ascii="宋体" w:hAnsi="宋体" w:cs="Arial"/>
          <w:color w:val="000000" w:themeColor="text1"/>
          <w14:textFill>
            <w14:solidFill>
              <w14:schemeClr w14:val="tx1"/>
            </w14:solidFill>
          </w14:textFill>
        </w:rPr>
        <w:t>从</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w:t>
      </w:r>
      <w:r>
        <w:rPr>
          <w:rFonts w:hint="eastAsia" w:ascii="宋体" w:hAnsi="宋体"/>
          <w:color w:val="000000" w:themeColor="text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提交投标文件截止时间</w:t>
      </w:r>
      <w:r>
        <w:rPr>
          <w:rFonts w:hint="eastAsia" w:ascii="宋体" w:hAnsi="宋体"/>
          <w:color w:val="000000" w:themeColor="text1"/>
          <w:highlight w:val="none"/>
          <w14:textFill>
            <w14:solidFill>
              <w14:schemeClr w14:val="tx1"/>
            </w14:solidFill>
          </w14:textFill>
        </w:rPr>
        <w:t>之日</w:t>
      </w:r>
      <w:r>
        <w:rPr>
          <w:rFonts w:hint="eastAsia" w:ascii="宋体" w:hAnsi="宋体" w:cs="Arial"/>
          <w:color w:val="000000" w:themeColor="text1"/>
          <w:highlight w:val="none"/>
          <w14:textFill>
            <w14:solidFill>
              <w14:schemeClr w14:val="tx1"/>
            </w14:solidFill>
          </w14:textFill>
        </w:rPr>
        <w:t>起计算。</w:t>
      </w:r>
      <w:r>
        <w:rPr>
          <w:rFonts w:hint="eastAsia" w:ascii="宋体" w:hAnsi="宋体"/>
          <w:color w:val="000000" w:themeColor="text1"/>
          <w:highlight w:val="none"/>
          <w14:textFill>
            <w14:solidFill>
              <w14:schemeClr w14:val="tx1"/>
            </w14:solidFill>
          </w14:textFill>
        </w:rPr>
        <w:t>投标文件有效期不足的将被视为无效投标。</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19.投标文件的签署及规定</w:t>
      </w:r>
    </w:p>
    <w:p>
      <w:pPr>
        <w:spacing w:line="360" w:lineRule="exact"/>
        <w:ind w:firstLine="420" w:firstLineChars="200"/>
        <w:rPr>
          <w:rFonts w:hint="eastAsia" w:ascii="宋体" w:hAnsi="宋体"/>
          <w:color w:val="000000"/>
          <w:sz w:val="21"/>
          <w:szCs w:val="21"/>
        </w:rPr>
      </w:pPr>
      <w:r>
        <w:rPr>
          <w:rFonts w:hint="eastAsia" w:ascii="宋体" w:hAnsi="宋体"/>
          <w:color w:val="000000" w:themeColor="text1"/>
          <w:sz w:val="21"/>
          <w:szCs w:val="21"/>
          <w14:textFill>
            <w14:solidFill>
              <w14:schemeClr w14:val="tx1"/>
            </w14:solidFill>
          </w14:textFill>
        </w:rPr>
        <w:t>19.1</w:t>
      </w:r>
      <w:r>
        <w:rPr>
          <w:rFonts w:hint="eastAsia" w:ascii="宋体" w:hAnsi="宋体"/>
          <w:color w:val="000000"/>
          <w:sz w:val="21"/>
          <w:szCs w:val="21"/>
        </w:rPr>
        <w:t>采用电子签章或</w:t>
      </w:r>
      <w:r>
        <w:rPr>
          <w:rFonts w:hint="eastAsia" w:ascii="宋体" w:hAnsi="宋体"/>
          <w:color w:val="000000"/>
          <w:sz w:val="21"/>
          <w:szCs w:val="21"/>
          <w:lang w:eastAsia="zh-CN"/>
        </w:rPr>
        <w:t>签字及加盖</w:t>
      </w:r>
      <w:r>
        <w:rPr>
          <w:rFonts w:hint="eastAsia" w:ascii="宋体" w:hAnsi="宋体"/>
          <w:color w:val="000000"/>
          <w:sz w:val="21"/>
          <w:szCs w:val="21"/>
        </w:rPr>
        <w:t>公章</w:t>
      </w:r>
      <w:r>
        <w:rPr>
          <w:rFonts w:hint="eastAsia" w:ascii="宋体" w:hAnsi="宋体"/>
          <w:color w:val="000000"/>
          <w:sz w:val="21"/>
          <w:szCs w:val="21"/>
          <w:lang w:eastAsia="zh-CN"/>
        </w:rPr>
        <w:t>均具有同等效力</w:t>
      </w:r>
      <w:r>
        <w:rPr>
          <w:rFonts w:hint="eastAsia" w:ascii="宋体" w:hAnsi="宋体"/>
          <w:color w:val="000000"/>
          <w:sz w:val="21"/>
          <w:szCs w:val="21"/>
        </w:rPr>
        <w:t>。</w:t>
      </w:r>
    </w:p>
    <w:p>
      <w:pPr>
        <w:spacing w:line="36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eastAsia="宋体"/>
          <w:color w:val="000000"/>
          <w:sz w:val="21"/>
          <w:szCs w:val="21"/>
          <w:lang w:val="en-US" w:eastAsia="zh-CN"/>
        </w:rPr>
        <w:t xml:space="preserve">19.2 </w:t>
      </w:r>
      <w:r>
        <w:rPr>
          <w:rFonts w:hint="eastAsia" w:ascii="宋体" w:hAnsi="宋体" w:eastAsia="宋体"/>
          <w:b/>
          <w:bCs/>
          <w:color w:val="000000"/>
          <w:sz w:val="21"/>
          <w:szCs w:val="21"/>
          <w:lang w:val="en-US" w:eastAsia="zh-CN"/>
        </w:rPr>
        <w:t>个人名印章不能代替本人签字</w:t>
      </w:r>
      <w:r>
        <w:rPr>
          <w:rFonts w:hint="eastAsia" w:ascii="宋体" w:hAnsi="宋体" w:eastAsia="宋体"/>
          <w:color w:val="000000"/>
          <w:sz w:val="21"/>
          <w:szCs w:val="21"/>
          <w:lang w:val="en-US" w:eastAsia="zh-CN"/>
        </w:rPr>
        <w:t>，电子签名与本人签字具有同等效力。</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3" w:name="_Toc474235947"/>
      <w:bookmarkStart w:id="24" w:name="_Toc420948012"/>
      <w:r>
        <w:rPr>
          <w:rFonts w:hint="eastAsia" w:ascii="宋体" w:hAnsi="宋体"/>
          <w:b/>
          <w:color w:val="000000" w:themeColor="text1"/>
          <w:sz w:val="24"/>
          <w14:textFill>
            <w14:solidFill>
              <w14:schemeClr w14:val="tx1"/>
            </w14:solidFill>
          </w14:textFill>
        </w:rPr>
        <w:t>四、投标文件的递交</w:t>
      </w:r>
      <w:bookmarkEnd w:id="23"/>
      <w:bookmarkEnd w:id="24"/>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20.</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的密封和标记</w:t>
      </w:r>
    </w:p>
    <w:p>
      <w:pPr>
        <w:adjustRightInd w:val="0"/>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20.1“电子加密投标文件”的递交：在线上传递交。投标人应在投标截止时间前将“电子加密投标文件”成功上传递交至“政府采购云平台”，否则投标无效。</w:t>
      </w:r>
    </w:p>
    <w:p>
      <w:pPr>
        <w:autoSpaceDE w:val="0"/>
        <w:autoSpaceDN w:val="0"/>
        <w:snapToGrid w:val="0"/>
        <w:spacing w:line="360" w:lineRule="auto"/>
        <w:ind w:firstLine="42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20.2“电子加密投标文件”成功上传递交后，投标人可自行打印投标文件接收回执。</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20.3投标文件如果未按上述规定上传，</w:t>
      </w:r>
      <w:r>
        <w:rPr>
          <w:rFonts w:hint="eastAsia" w:ascii="宋体" w:hAnsi="宋体"/>
          <w:b w:val="0"/>
          <w:bCs/>
          <w:color w:val="000000" w:themeColor="text1"/>
          <w:szCs w:val="21"/>
          <w14:textFill>
            <w14:solidFill>
              <w14:schemeClr w14:val="tx1"/>
            </w14:solidFill>
          </w14:textFill>
        </w:rPr>
        <w:t>采购人或采购代理机构将视为无效投标</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14:textFill>
            <w14:solidFill>
              <w14:schemeClr w14:val="tx1"/>
            </w14:solidFill>
          </w14:textFill>
        </w:rPr>
        <w:t>21.投标文件的</w:t>
      </w:r>
      <w:r>
        <w:rPr>
          <w:rFonts w:hint="eastAsia" w:ascii="宋体" w:hAnsi="宋体" w:cs="宋体"/>
          <w:b/>
          <w:color w:val="000000" w:themeColor="text1"/>
          <w:kern w:val="0"/>
          <w:szCs w:val="21"/>
          <w:lang w:val="zh-CN"/>
          <w14:textFill>
            <w14:solidFill>
              <w14:schemeClr w14:val="tx1"/>
            </w14:solidFill>
          </w14:textFill>
        </w:rPr>
        <w:t>补充、修改或者撤回</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21.1投标人</w:t>
      </w:r>
      <w:r>
        <w:rPr>
          <w:rFonts w:hint="eastAsia" w:ascii="宋体" w:hAnsi="宋体" w:cs="宋体"/>
          <w:color w:val="000000" w:themeColor="text1"/>
          <w:kern w:val="0"/>
          <w:sz w:val="21"/>
          <w:szCs w:val="21"/>
          <w:highlight w:val="none"/>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本章第11.1</w:t>
      </w:r>
      <w:r>
        <w:rPr>
          <w:rFonts w:hint="eastAsia" w:ascii="宋体" w:hAnsi="宋体" w:cs="宋体"/>
          <w:color w:val="000000" w:themeColor="text1"/>
          <w:kern w:val="0"/>
          <w:sz w:val="21"/>
          <w:szCs w:val="21"/>
          <w:highlight w:val="none"/>
          <w:lang w:val="zh-CN"/>
          <w14:textFill>
            <w14:solidFill>
              <w14:schemeClr w14:val="tx1"/>
            </w14:solidFill>
          </w14:textFill>
        </w:rPr>
        <w:t>款</w:t>
      </w:r>
      <w:r>
        <w:rPr>
          <w:rFonts w:hint="eastAsia" w:ascii="宋体" w:hAnsi="宋体"/>
          <w:color w:val="000000" w:themeColor="text1"/>
          <w:sz w:val="21"/>
          <w:szCs w:val="21"/>
          <w:highlight w:val="none"/>
          <w14:textFill>
            <w14:solidFill>
              <w14:schemeClr w14:val="tx1"/>
            </w14:solidFill>
          </w14:textFill>
        </w:rPr>
        <w:t>规定的</w:t>
      </w:r>
      <w:r>
        <w:rPr>
          <w:rFonts w:hint="eastAsia" w:ascii="宋体" w:hAnsi="宋体" w:cs="宋体"/>
          <w:color w:val="000000" w:themeColor="text1"/>
          <w:kern w:val="0"/>
          <w:sz w:val="21"/>
          <w:szCs w:val="21"/>
          <w:highlight w:val="none"/>
          <w14:textFill>
            <w14:solidFill>
              <w14:schemeClr w14:val="tx1"/>
            </w14:solidFill>
          </w14:textFill>
        </w:rPr>
        <w:t>提交投标文件截止时间前，可以对所提交的投标文件进行补充、修改或者撤回，并书面通知采购人、采购代理机构。</w:t>
      </w:r>
      <w:r>
        <w:rPr>
          <w:rFonts w:hint="eastAsia" w:ascii="宋体" w:hAnsi="宋体"/>
          <w:color w:val="000000" w:themeColor="text1"/>
          <w:sz w:val="21"/>
          <w:szCs w:val="21"/>
          <w:highlight w:val="none"/>
          <w14:textFill>
            <w14:solidFill>
              <w14:schemeClr w14:val="tx1"/>
            </w14:solidFill>
          </w14:textFill>
        </w:rPr>
        <w:t>该通</w:t>
      </w:r>
      <w:r>
        <w:rPr>
          <w:rFonts w:hint="eastAsia" w:ascii="宋体" w:hAnsi="宋体"/>
          <w:color w:val="000000" w:themeColor="text1"/>
          <w:sz w:val="21"/>
          <w:szCs w:val="21"/>
          <w14:textFill>
            <w14:solidFill>
              <w14:schemeClr w14:val="tx1"/>
            </w14:solidFill>
          </w14:textFill>
        </w:rPr>
        <w:t>知应有投标人法定代表人或其委托代理人签字。</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21.2</w:t>
      </w:r>
      <w:r>
        <w:rPr>
          <w:rFonts w:hint="eastAsia" w:ascii="宋体" w:hAnsi="宋体" w:cs="宋体"/>
          <w:color w:val="000000" w:themeColor="text1"/>
          <w:kern w:val="0"/>
          <w:sz w:val="21"/>
          <w:szCs w:val="21"/>
          <w:lang w:val="zh-CN"/>
          <w14:textFill>
            <w14:solidFill>
              <w14:schemeClr w14:val="tx1"/>
            </w14:solidFill>
          </w14:textFill>
        </w:rPr>
        <w:t>补充、修改的内容与投标文件不一致时，以补充、修改的内容为准。</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22.投标文件的递交与接收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 投标人应在</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规定的</w:t>
      </w:r>
      <w:r>
        <w:rPr>
          <w:rFonts w:hint="eastAsia" w:ascii="宋体" w:hAnsi="宋体" w:cs="宋体"/>
          <w:color w:val="000000" w:themeColor="text1"/>
          <w:kern w:val="0"/>
          <w:szCs w:val="21"/>
          <w14:textFill>
            <w14:solidFill>
              <w14:schemeClr w14:val="tx1"/>
            </w14:solidFill>
          </w14:textFill>
        </w:rPr>
        <w:t>提交投标文件截止时间</w:t>
      </w:r>
      <w:r>
        <w:rPr>
          <w:rFonts w:hint="eastAsia" w:ascii="宋体" w:hAnsi="宋体"/>
          <w:color w:val="000000" w:themeColor="text1"/>
          <w:szCs w:val="21"/>
          <w14:textFill>
            <w14:solidFill>
              <w14:schemeClr w14:val="tx1"/>
            </w14:solidFill>
          </w14:textFill>
        </w:rPr>
        <w:t>前，将投标文件送</w:t>
      </w:r>
      <w:r>
        <w:rPr>
          <w:rFonts w:hint="eastAsia" w:ascii="宋体" w:hAnsi="宋体" w:cs="Arial"/>
          <w:color w:val="000000" w:themeColor="text1"/>
          <w:szCs w:val="21"/>
          <w14:textFill>
            <w14:solidFill>
              <w14:schemeClr w14:val="tx1"/>
            </w14:solidFill>
          </w14:textFill>
        </w:rPr>
        <w:t>达（上传)</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中指定的地点（网址）。</w:t>
      </w:r>
      <w:r>
        <w:rPr>
          <w:rFonts w:hint="eastAsia" w:ascii="宋体" w:hAnsi="宋体" w:cs="宋体"/>
          <w:color w:val="000000" w:themeColor="text1"/>
          <w:kern w:val="0"/>
          <w14:textFill>
            <w14:solidFill>
              <w14:schemeClr w14:val="tx1"/>
            </w14:solidFill>
          </w14:textFill>
        </w:rPr>
        <w:t>在截止时间后送达的投标文件，采购人、采购代理机构应当拒收。</w:t>
      </w:r>
    </w:p>
    <w:p>
      <w:pPr>
        <w:pStyle w:val="41"/>
        <w:adjustRightInd w:val="0"/>
        <w:snapToGrid w:val="0"/>
        <w:spacing w:before="156" w:beforeLines="50" w:beforeAutospacing="0" w:after="0" w:afterAutospacing="0" w:line="360" w:lineRule="auto"/>
        <w:outlineLvl w:val="2"/>
        <w:rPr>
          <w:b/>
          <w:color w:val="000000" w:themeColor="text1"/>
          <w:sz w:val="21"/>
          <w:szCs w:val="21"/>
          <w14:textFill>
            <w14:solidFill>
              <w14:schemeClr w14:val="tx1"/>
            </w14:solidFill>
          </w14:textFill>
        </w:rPr>
      </w:pPr>
      <w:bookmarkStart w:id="25" w:name="_Toc474235948"/>
      <w:bookmarkStart w:id="26" w:name="_Toc420948013"/>
      <w:r>
        <w:rPr>
          <w:rFonts w:hint="eastAsia"/>
          <w:b/>
          <w:color w:val="000000" w:themeColor="text1"/>
          <w14:textFill>
            <w14:solidFill>
              <w14:schemeClr w14:val="tx1"/>
            </w14:solidFill>
          </w14:textFill>
        </w:rPr>
        <w:t>五、</w:t>
      </w:r>
      <w:r>
        <w:rPr>
          <w:rFonts w:cs="Times New Roman"/>
          <w:b/>
          <w:color w:val="000000" w:themeColor="text1"/>
          <w:kern w:val="2"/>
          <w14:textFill>
            <w14:solidFill>
              <w14:schemeClr w14:val="tx1"/>
            </w14:solidFill>
          </w14:textFill>
        </w:rPr>
        <w:t>开标和评标</w:t>
      </w:r>
      <w:bookmarkEnd w:id="25"/>
    </w:p>
    <w:p>
      <w:pPr>
        <w:pStyle w:val="25"/>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23.开标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23.1 采购组织机构将按照招标文件规定的时间通过“政府采购云平台”组织开标，所有投标人均应当准时在线参加。投标人自行承担因不参加在线开标而产生的不利后果。</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 向各投标投标人发出电子加密投标文件【开始解密】通知，各投标投标人代表应当在接到解密通知后</w:t>
      </w:r>
      <w:r>
        <w:rPr>
          <w:rFonts w:hint="eastAsia" w:ascii="宋体" w:hAnsi="宋体"/>
          <w:b/>
          <w:bCs/>
          <w:color w:val="000000" w:themeColor="text1"/>
          <w:szCs w:val="21"/>
          <w14:textFill>
            <w14:solidFill>
              <w14:schemeClr w14:val="tx1"/>
            </w14:solidFill>
          </w14:textFill>
        </w:rPr>
        <w:t>30分钟内自行完成“电子加密投标文件”的在线解密，如未按时解密则视为无效投标。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23.3 开启《开标一览表》，公布投标投标人报价，各投标投标人代表应当在</w:t>
      </w:r>
      <w:r>
        <w:rPr>
          <w:rFonts w:hint="eastAsia" w:ascii="宋体" w:hAnsi="宋体"/>
          <w:b/>
          <w:bCs/>
          <w:color w:val="000000" w:themeColor="text1"/>
          <w:szCs w:val="21"/>
          <w:lang w:val="en-US" w:eastAsia="zh-CN"/>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0分钟内CA签字确认，如未按时签字确认视为默认投标报价。</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23.4 开启资格证明文件，由采购人在监督下进行资格审查；评审小组对通过资格审查的投标投标人进行符合性审查。</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23.5 通过电子交易平台公布无效投标人名单及导致无效的原因。</w:t>
      </w:r>
    </w:p>
    <w:p>
      <w:pPr>
        <w:autoSpaceDE w:val="0"/>
        <w:autoSpaceDN w:val="0"/>
        <w:adjustRightIn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23.6 </w:t>
      </w:r>
      <w:r>
        <w:rPr>
          <w:rFonts w:hint="eastAsia" w:ascii="宋体" w:hAnsi="宋体"/>
          <w:color w:val="000000" w:themeColor="text1"/>
          <w:szCs w:val="21"/>
          <w:highlight w:val="none"/>
          <w14:textFill>
            <w14:solidFill>
              <w14:schemeClr w14:val="tx1"/>
            </w14:solidFill>
          </w14:textFill>
        </w:rPr>
        <w:t>开启在线</w:t>
      </w:r>
      <w:r>
        <w:rPr>
          <w:rFonts w:hint="eastAsia" w:ascii="宋体" w:hAnsi="宋体"/>
          <w:color w:val="000000" w:themeColor="text1"/>
          <w:szCs w:val="21"/>
          <w:highlight w:val="none"/>
          <w:lang w:eastAsia="zh-CN"/>
          <w14:textFill>
            <w14:solidFill>
              <w14:schemeClr w14:val="tx1"/>
            </w14:solidFill>
          </w14:textFill>
        </w:rPr>
        <w:t>商务技术评审，评审专家独立对各投标人商务技术文件打分。</w:t>
      </w:r>
    </w:p>
    <w:p>
      <w:pPr>
        <w:autoSpaceDE w:val="0"/>
        <w:autoSpaceDN w:val="0"/>
        <w:adjustRightIn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23.7 报价符合性评审，报价评审汇总。</w:t>
      </w:r>
      <w:r>
        <w:rPr>
          <w:rFonts w:hint="eastAsia" w:ascii="宋体" w:hAnsi="宋体"/>
          <w:color w:val="000000" w:themeColor="text1"/>
          <w:szCs w:val="21"/>
          <w:highlight w:val="none"/>
          <w:lang w:eastAsia="zh-CN"/>
          <w14:textFill>
            <w14:solidFill>
              <w14:schemeClr w14:val="tx1"/>
            </w14:solidFill>
          </w14:textFill>
        </w:rPr>
        <w:t>对符合要求享受中小企业扶持政策的供应商报价，按照</w:t>
      </w:r>
      <w:r>
        <w:rPr>
          <w:rFonts w:hint="eastAsia" w:ascii="宋体" w:hAnsi="宋体"/>
          <w:color w:val="000000" w:themeColor="text1"/>
          <w:szCs w:val="21"/>
          <w:highlight w:val="none"/>
          <w14:textFill>
            <w14:solidFill>
              <w14:schemeClr w14:val="tx1"/>
            </w14:solidFill>
          </w14:textFill>
        </w:rPr>
        <w:t>《政府采购促进中小企业发展管理办法》（财库[2020]46号）文件</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w:t>
      </w:r>
      <w:r>
        <w:rPr>
          <w:rFonts w:hint="eastAsia" w:ascii="宋体" w:hAnsi="宋体"/>
          <w:color w:val="000000" w:themeColor="text1"/>
          <w:szCs w:val="21"/>
          <w:highlight w:val="none"/>
          <w14:textFill>
            <w14:solidFill>
              <w14:schemeClr w14:val="tx1"/>
            </w14:solidFill>
          </w14:textFill>
        </w:rPr>
        <w:t>的规定</w:t>
      </w:r>
      <w:r>
        <w:rPr>
          <w:rFonts w:hint="eastAsia" w:cs="Times New Roman"/>
          <w:color w:val="000000" w:themeColor="text1"/>
          <w:kern w:val="2"/>
          <w:sz w:val="21"/>
          <w:szCs w:val="21"/>
          <w:highlight w:val="none"/>
          <w:lang w:val="en-US" w:eastAsia="zh-CN"/>
          <w14:textFill>
            <w14:solidFill>
              <w14:schemeClr w14:val="tx1"/>
            </w14:solidFill>
          </w14:textFill>
        </w:rPr>
        <w:t>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23.8</w:t>
      </w:r>
      <w:r>
        <w:rPr>
          <w:rFonts w:hint="eastAsia" w:ascii="宋体" w:hAnsi="宋体"/>
          <w:color w:val="000000" w:themeColor="text1"/>
          <w:szCs w:val="21"/>
          <w:lang w:eastAsia="zh-CN"/>
          <w14:textFill>
            <w14:solidFill>
              <w14:schemeClr w14:val="tx1"/>
            </w14:solidFill>
          </w14:textFill>
        </w:rPr>
        <w:t>评审结果汇总</w:t>
      </w:r>
      <w:r>
        <w:rPr>
          <w:rFonts w:hint="eastAsia" w:ascii="宋体" w:hAnsi="宋体"/>
          <w:color w:val="000000" w:themeColor="text1"/>
          <w:szCs w:val="21"/>
          <w14:textFill>
            <w14:solidFill>
              <w14:schemeClr w14:val="tx1"/>
            </w14:solidFill>
          </w14:textFill>
        </w:rPr>
        <w:t>，得出有效投标（响应）供应商评分排名。</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xml:space="preserve"> </w:t>
      </w:r>
      <w:r>
        <w:rPr>
          <w:rFonts w:hint="eastAsia" w:ascii="宋体" w:hAnsi="宋体"/>
          <w:i w:val="0"/>
          <w:iCs w:val="0"/>
          <w:color w:val="000000" w:themeColor="text1"/>
          <w:sz w:val="21"/>
          <w:szCs w:val="21"/>
          <w14:textFill>
            <w14:solidFill>
              <w14:schemeClr w14:val="tx1"/>
            </w14:solidFill>
          </w14:textFill>
        </w:rPr>
        <w:t>推荐3个中标候选供应商名单，采购人在</w:t>
      </w:r>
      <w:r>
        <w:rPr>
          <w:rFonts w:hint="eastAsia" w:ascii="宋体" w:hAnsi="宋体"/>
          <w:i w:val="0"/>
          <w:iCs w:val="0"/>
          <w:color w:val="000000" w:themeColor="text1"/>
          <w:sz w:val="21"/>
          <w:szCs w:val="21"/>
          <w:lang w:val="en-US" w:eastAsia="zh-CN"/>
          <w14:textFill>
            <w14:solidFill>
              <w14:schemeClr w14:val="tx1"/>
            </w14:solidFill>
          </w14:textFill>
        </w:rPr>
        <w:t>5</w:t>
      </w:r>
      <w:r>
        <w:rPr>
          <w:rFonts w:hint="eastAsia" w:ascii="宋体" w:hAnsi="宋体"/>
          <w:i w:val="0"/>
          <w:iCs w:val="0"/>
          <w:color w:val="000000" w:themeColor="text1"/>
          <w:sz w:val="21"/>
          <w:szCs w:val="21"/>
          <w14:textFill>
            <w14:solidFill>
              <w14:schemeClr w14:val="tx1"/>
            </w14:solidFill>
          </w14:textFill>
        </w:rPr>
        <w:t>个工作日内确认中标供应商，公示结果。</w:t>
      </w:r>
    </w:p>
    <w:p>
      <w:pPr>
        <w:tabs>
          <w:tab w:val="left" w:pos="0"/>
        </w:tabs>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24.评标委员会</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24.1评标委员会由采购人代表和评审专家组成，成员人数应当为5人以上单数，其中评审专家不得少于成员总数的三分之二。</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采购项目符合下列情形之一的，评标委员会成员人数应当为7人以上单数：</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（一）采购预算金额在1000万元以上；</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（二）技术复杂；</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（三）社会影响较大。</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评审专家对本单位的采购项目只能作为采购人代表参与评标</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24.2评标委员会成员与投标人存在利害关系的，应当回避。</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25</w:t>
      </w:r>
      <w:r>
        <w:rPr>
          <w:rFonts w:hint="eastAsia" w:ascii="宋体" w:hAnsi="宋体"/>
          <w:b/>
          <w:color w:val="000000" w:themeColor="text1"/>
          <w:sz w:val="21"/>
          <w:szCs w:val="21"/>
          <w14:textFill>
            <w14:solidFill>
              <w14:schemeClr w14:val="tx1"/>
            </w14:solidFill>
          </w14:textFill>
        </w:rPr>
        <w:t>.评标</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25.1 评标委员会按照第三章“评标方法及标准”规定的评标方法、评审因素、标准和程序以及有关法律、法规及规章对投标文件进行评审。</w:t>
      </w:r>
    </w:p>
    <w:bookmarkEnd w:id="26"/>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26.确定中标人</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26.1</w:t>
      </w:r>
      <w:r>
        <w:rPr>
          <w:rFonts w:hint="eastAsia" w:ascii="宋体" w:hAnsi="宋体" w:eastAsia="宋体" w:cs="宋体"/>
          <w:color w:val="auto"/>
          <w:spacing w:val="-2"/>
          <w:sz w:val="21"/>
          <w:szCs w:val="21"/>
        </w:rPr>
        <w:t>本次采购项目的评审采用</w:t>
      </w:r>
      <w:r>
        <w:rPr>
          <w:rFonts w:hint="eastAsia" w:ascii="宋体" w:hAnsi="宋体" w:cs="宋体"/>
          <w:color w:val="auto"/>
          <w:spacing w:val="-2"/>
          <w:sz w:val="21"/>
          <w:szCs w:val="21"/>
          <w:lang w:eastAsia="zh-CN"/>
        </w:rPr>
        <w:t>综合评分法</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综合评分</w:t>
      </w:r>
      <w:r>
        <w:rPr>
          <w:rFonts w:hint="eastAsia" w:ascii="宋体" w:hAnsi="宋体" w:eastAsia="宋体" w:cs="宋体"/>
          <w:color w:val="auto"/>
          <w:spacing w:val="-2"/>
          <w:sz w:val="21"/>
          <w:szCs w:val="21"/>
          <w:lang w:eastAsia="zh-CN"/>
        </w:rPr>
        <w:t>法，是指投标文件满足招标文件全部实质性要求且按照评审因素的量化指标评审得分最高的供应商为中标候选人的评标方法。</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26.2采购代理机构应当在评审结束后2个工作日内将结果确认单送采购人确认。</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26.3采购人应当在收到评标报告后5个工作日内，从评标报告提出中标候选人中，合同将授予实质上响应采购文件要求，经评定认为具备履行合同义务能力、技术和商务条件都符合采购文件要求的、政策享受优惠后</w:t>
      </w:r>
      <w:r>
        <w:rPr>
          <w:rFonts w:hint="eastAsia" w:ascii="宋体" w:hAnsi="宋体" w:eastAsia="宋体" w:cs="宋体"/>
          <w:color w:val="auto"/>
          <w:spacing w:val="-2"/>
          <w:sz w:val="21"/>
          <w:szCs w:val="21"/>
        </w:rPr>
        <w:t>且</w:t>
      </w:r>
      <w:r>
        <w:rPr>
          <w:rFonts w:hint="eastAsia" w:ascii="宋体" w:hAnsi="宋体" w:cs="宋体"/>
          <w:color w:val="auto"/>
          <w:spacing w:val="-2"/>
          <w:sz w:val="21"/>
          <w:szCs w:val="21"/>
          <w:lang w:eastAsia="zh-CN"/>
        </w:rPr>
        <w:t>评分最高</w:t>
      </w:r>
      <w:r>
        <w:rPr>
          <w:rFonts w:hint="eastAsia" w:ascii="宋体" w:hAnsi="宋体" w:eastAsia="宋体" w:cs="宋体"/>
          <w:color w:val="auto"/>
          <w:spacing w:val="-2"/>
          <w:sz w:val="21"/>
          <w:szCs w:val="21"/>
        </w:rPr>
        <w:t>的原则确定成交供应商</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投标得分相同的</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按照报价由低到高的原则选择</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得分报价均相同的</w:t>
      </w:r>
      <w:r>
        <w:rPr>
          <w:rFonts w:hint="eastAsia" w:ascii="宋体" w:hAnsi="宋体"/>
          <w:color w:val="000000" w:themeColor="text1"/>
          <w:sz w:val="21"/>
          <w:szCs w:val="21"/>
          <w14:textFill>
            <w14:solidFill>
              <w14:schemeClr w14:val="tx1"/>
            </w14:solidFill>
          </w14:textFill>
        </w:rPr>
        <w:t>，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27.招标终止</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pPr>
        <w:pStyle w:val="25"/>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27.2 </w:t>
      </w:r>
      <w:r>
        <w:rPr>
          <w:rFonts w:hint="eastAsia" w:ascii="宋体" w:hAnsi="宋体"/>
          <w:bCs/>
          <w:color w:val="000000" w:themeColor="text1"/>
          <w:sz w:val="21"/>
          <w:szCs w:val="21"/>
          <w14:textFill>
            <w14:solidFill>
              <w14:schemeClr w14:val="tx1"/>
            </w14:solidFill>
          </w14:textFill>
        </w:rPr>
        <w:t>采购过程中出现以下情形，导致电子交易平台无法正常运行，或者无法保证电子交易的公平、公正和安全时，采购人（或代理机构）可中止电子交易活动：</w:t>
      </w:r>
    </w:p>
    <w:p>
      <w:pPr>
        <w:pStyle w:val="25"/>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（1）电子交易平台发生故障而无法登录访问的； </w:t>
      </w:r>
    </w:p>
    <w:p>
      <w:pPr>
        <w:pStyle w:val="25"/>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（2）电子交易平台应用或数据库出现错误，不能进行正常操作的；</w:t>
      </w:r>
    </w:p>
    <w:p>
      <w:pPr>
        <w:pStyle w:val="25"/>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（3）电子交易平台发现严重安全漏洞，有潜在泄密危险的；</w:t>
      </w:r>
    </w:p>
    <w:p>
      <w:pPr>
        <w:pStyle w:val="25"/>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（4）病毒发作导致不能进行正常操作的；</w:t>
      </w:r>
    </w:p>
    <w:p>
      <w:pPr>
        <w:pStyle w:val="25"/>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（5）其他无法保证电子交易的公平、公正和安全的情况。</w:t>
      </w:r>
    </w:p>
    <w:p>
      <w:pPr>
        <w:pStyle w:val="25"/>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出现上述规定情形，不影响采购公平、公正性的，采购人（或代理机构）可以待上述情形消除后继续组织电子交易活动，也可以决定某些环节以纸质形式进行。</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28.重新评审</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29.纪律与保密事项</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29.1评标委员会成员以及与评标工作有关的人员不得泄露评审情况以及评标过程中获悉的国家秘密、商业秘密。</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29.2投标人不得与采购人、采购代理机构、其他投标人恶意串通；不得向采购人、采购代理机构或者评标委员会成员行贿或者提供其他不正当利益；不得提供虚假材料谋取中标；不得以任何方式干扰、影响采购工作。</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29.3</w:t>
      </w:r>
      <w:r>
        <w:rPr>
          <w:rFonts w:ascii="宋体" w:hAnsi="宋体"/>
          <w:color w:val="000000" w:themeColor="text1"/>
          <w:sz w:val="21"/>
          <w:szCs w:val="21"/>
          <w14:textFill>
            <w14:solidFill>
              <w14:schemeClr w14:val="tx1"/>
            </w14:solidFill>
          </w14:textFill>
        </w:rPr>
        <w:t>有下列情形之一的，属于恶意串通，中标无效，并依照《政府采购法》第七十七条的规定追究法律责任：</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（1）投标人直接或者间接从采购人、采购代理机构获得其他投标人的投标情况，并修改其投标文件的；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（2）采购人、采购代理机构授意投标人撤换、修改投标文件的；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（3）投标人之间协商技术方案、合同条款以及报价等投标文件实质性内容的；</w:t>
      </w:r>
    </w:p>
    <w:p>
      <w:pPr>
        <w:pStyle w:val="25"/>
        <w:adjustRightInd w:val="0"/>
        <w:snapToGrid w:val="0"/>
        <w:spacing w:line="360" w:lineRule="auto"/>
        <w:ind w:firstLine="420" w:firstLineChars="200"/>
        <w:rPr>
          <w:rFonts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pacing w:val="-4"/>
          <w:sz w:val="21"/>
          <w:szCs w:val="21"/>
          <w14:textFill>
            <w14:solidFill>
              <w14:schemeClr w14:val="tx1"/>
            </w14:solidFill>
          </w14:textFill>
        </w:rPr>
        <w:t>属于同一集团、协会、商会等组织成员的投标人按照该组织要求协同参加政府采购活动的；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（5）投标人之间事先约定由某一特定投标人中标的；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（6）投标人之间商定部分投标人放弃提交投标文件或者退出招标或者放弃中标的；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（7）投标人与采购人、采购代理机构以及评标委员会成员之间、投标人相互之间，为谋求特定投标人中标或者排斥其他投标人的其他串通行为的。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8</w:t>
      </w:r>
      <w:r>
        <w:rPr>
          <w:rFonts w:ascii="宋体" w:hAnsi="宋体"/>
          <w:color w:val="000000" w:themeColor="text1"/>
          <w:sz w:val="21"/>
          <w:szCs w:val="21"/>
          <w14:textFill>
            <w14:solidFill>
              <w14:schemeClr w14:val="tx1"/>
            </w14:solidFill>
          </w14:textFill>
        </w:rPr>
        <w:t>）法律、行政法规或规章规定的其他串通行为。</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bookmarkStart w:id="27" w:name="_Toc420948014"/>
      <w:r>
        <w:rPr>
          <w:rFonts w:hint="eastAsia" w:ascii="宋体" w:hAnsi="宋体"/>
          <w:b/>
          <w:color w:val="000000" w:themeColor="text1"/>
          <w:sz w:val="21"/>
          <w:szCs w:val="21"/>
          <w14:textFill>
            <w14:solidFill>
              <w14:schemeClr w14:val="tx1"/>
            </w14:solidFill>
          </w14:textFill>
        </w:rPr>
        <w:t>六、中标结果信息公布与授予合同</w:t>
      </w:r>
      <w:bookmarkEnd w:id="27"/>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30.中标信息的公布</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30.1中标人确定后2个工作日内，采购人或者采购代理机构应将中标结果信息在投标须知前附表指定的媒体上（新疆政府采购网www.ccgp-xinjiang.gov.cn）公布。</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31.询问及质疑</w:t>
      </w:r>
    </w:p>
    <w:p>
      <w:pPr>
        <w:pStyle w:val="25"/>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31.1投标人对政府采购活动事项有疑问的，可以向采购人或采购代理机构提出询问。采购人或采购代理机构将在三个工作日内作出答复。</w:t>
      </w:r>
    </w:p>
    <w:p>
      <w:pPr>
        <w:pStyle w:val="25"/>
        <w:adjustRightInd w:val="0"/>
        <w:snapToGrid w:val="0"/>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1）对采购需求、评分标准、特定资质要求等事项的询问及质疑，向采购人提出并由采购人答复。</w:t>
      </w:r>
    </w:p>
    <w:p>
      <w:pPr>
        <w:pStyle w:val="25"/>
        <w:adjustRightInd w:val="0"/>
        <w:snapToGrid w:val="0"/>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（2）对有关政府采购法律法规及采购程序方面的询问及质疑，向采购代理机构提出并由代理机构答复。</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31.2投标人若认为招标文件、招标过程和中标结果使自己的权益受到损害，应当在下列时间内以书面形式向采购人或采购代理机构提出：</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（1）关于采购过程的质疑，应在采购程序环节结束之日起七个工作日内提出。</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（2）关于中标结果的质疑，应在中标结果信息发布后七个工作日内提出。</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31.3 投标人提出质疑的，应提供质疑书原件。采购人或采购代理机构应当向质疑投标人签收回执。</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31.4 质疑书应当包括下列内容：依照新疆政府采购网http://www.ccgp-xinjiang.gov.cn/ 办事指南栏目中的模板）</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（1）质疑投标人的名称、地址及有效联系方式；</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（2）质疑事项；</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（3）事实依据及相关证明材料；</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（4）相关请求及主张。</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31.5 质疑书应当由投标人法定代表人或其授权的代理人签字并加盖投标人单位章，质疑书由授权的代理人签字的应附投标人法定代表人委托授权书。</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31.6 采购人或采购代理机构将在签收回执之日起七个工作日内作出书面答复，并以书面形式通知质疑投标人和其他有关的投标人。</w:t>
      </w:r>
    </w:p>
    <w:p>
      <w:pPr>
        <w:pStyle w:val="25"/>
        <w:adjustRightInd w:val="0"/>
        <w:snapToGrid w:val="0"/>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31.7投标人对采购人或采购代理机构的答复不满意，或采购人或采购代理机构未在规定的期限作出答复的，可在答复期满后十五个工作日内，按政府采购相关法律法规规章的规定及程序，向同级财政部门提出投诉。</w:t>
      </w:r>
    </w:p>
    <w:p>
      <w:pPr>
        <w:pStyle w:val="25"/>
        <w:adjustRightInd w:val="0"/>
        <w:snapToGrid w:val="0"/>
        <w:spacing w:line="360" w:lineRule="auto"/>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32.中标通知</w:t>
      </w:r>
      <w:r>
        <w:rPr>
          <w:rFonts w:hint="eastAsia" w:ascii="宋体" w:hAnsi="宋体"/>
          <w:b/>
          <w:color w:val="000000" w:themeColor="text1"/>
          <w:sz w:val="21"/>
          <w:szCs w:val="21"/>
          <w:lang w:eastAsia="zh-CN"/>
          <w14:textFill>
            <w14:solidFill>
              <w14:schemeClr w14:val="tx1"/>
            </w14:solidFill>
          </w14:textFill>
        </w:rPr>
        <w:t>及履约保证金</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32.1中标人确定后，采购人或采购代理机构将以书面形式向中标人发出中标通知书。中标通知书对采购人和中标人具有同等法律效力。</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32.2 中标通知书是合同文件的组成部分。</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32.3 中标人</w:t>
      </w:r>
      <w:r>
        <w:rPr>
          <w:rFonts w:hint="eastAsia" w:ascii="宋体" w:hAnsi="宋体"/>
          <w:b w:val="0"/>
          <w:bCs w:val="0"/>
          <w:color w:val="000000" w:themeColor="text1"/>
          <w:sz w:val="21"/>
          <w:szCs w:val="21"/>
          <w14:textFill>
            <w14:solidFill>
              <w14:schemeClr w14:val="tx1"/>
            </w14:solidFill>
          </w14:textFill>
        </w:rPr>
        <w:t>应按照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color w:val="000000" w:themeColor="text1"/>
          <w:sz w:val="21"/>
          <w:szCs w:val="21"/>
          <w14:textFill>
            <w14:solidFill>
              <w14:schemeClr w14:val="tx1"/>
            </w14:solidFill>
          </w14:textFill>
        </w:rPr>
        <w:t>，向采</w:t>
      </w:r>
      <w:r>
        <w:rPr>
          <w:rFonts w:hint="eastAsia" w:ascii="宋体" w:hAnsi="宋体"/>
          <w:color w:val="000000" w:themeColor="text1"/>
          <w:sz w:val="21"/>
          <w:szCs w:val="21"/>
          <w14:textFill>
            <w14:solidFill>
              <w14:schemeClr w14:val="tx1"/>
            </w14:solidFill>
          </w14:textFill>
        </w:rPr>
        <w:t>购人提交履约保证金。</w:t>
      </w:r>
    </w:p>
    <w:p>
      <w:pPr>
        <w:pStyle w:val="25"/>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32.4 中标人没有按照约定提交履约保证金的，</w:t>
      </w:r>
      <w:r>
        <w:rPr>
          <w:rFonts w:hint="eastAsia" w:ascii="Times New Roman" w:hAnsi="Times New Roman" w:eastAsia="宋体" w:cs="Times New Roman"/>
          <w:kern w:val="2"/>
          <w:sz w:val="21"/>
          <w:szCs w:val="24"/>
          <w:lang w:val="en-US" w:eastAsia="zh-CN" w:bidi="ar-SA"/>
        </w:rPr>
        <w:t>视同拒绝履行合同，采购人有权解除合同并依法对</w:t>
      </w:r>
      <w:r>
        <w:rPr>
          <w:rFonts w:hint="eastAsia" w:ascii="Times New Roman" w:hAnsi="Times New Roman" w:cs="Times New Roman"/>
          <w:kern w:val="2"/>
          <w:sz w:val="21"/>
          <w:szCs w:val="24"/>
          <w:lang w:val="en-US" w:eastAsia="zh-CN" w:bidi="ar-SA"/>
        </w:rPr>
        <w:t>本</w:t>
      </w:r>
      <w:r>
        <w:rPr>
          <w:rFonts w:hint="eastAsia" w:ascii="Times New Roman" w:hAnsi="Times New Roman" w:eastAsia="宋体" w:cs="Times New Roman"/>
          <w:kern w:val="2"/>
          <w:sz w:val="21"/>
          <w:szCs w:val="24"/>
          <w:lang w:val="en-US" w:eastAsia="zh-CN" w:bidi="ar-SA"/>
        </w:rPr>
        <w:t>项目进行</w:t>
      </w:r>
      <w:r>
        <w:rPr>
          <w:rFonts w:hint="eastAsia" w:ascii="Times New Roman" w:hAnsi="Times New Roman" w:cs="Times New Roman"/>
          <w:kern w:val="2"/>
          <w:sz w:val="21"/>
          <w:szCs w:val="24"/>
          <w:lang w:val="en-US" w:eastAsia="zh-CN" w:bidi="ar-SA"/>
        </w:rPr>
        <w:t>后续</w:t>
      </w:r>
      <w:r>
        <w:rPr>
          <w:rFonts w:hint="eastAsia" w:ascii="Times New Roman" w:hAnsi="Times New Roman" w:eastAsia="宋体" w:cs="Times New Roman"/>
          <w:kern w:val="2"/>
          <w:sz w:val="21"/>
          <w:szCs w:val="24"/>
          <w:lang w:val="en-US" w:eastAsia="zh-CN" w:bidi="ar-SA"/>
        </w:rPr>
        <w:t>处理。</w:t>
      </w:r>
    </w:p>
    <w:p>
      <w:pPr>
        <w:pStyle w:val="25"/>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color w:val="000000" w:themeColor="text1"/>
          <w:sz w:val="21"/>
          <w:szCs w:val="21"/>
          <w14:textFill>
            <w14:solidFill>
              <w14:schemeClr w14:val="tx1"/>
            </w14:solidFill>
          </w14:textFill>
        </w:rPr>
        <w:t>32.</w:t>
      </w:r>
      <w:r>
        <w:rPr>
          <w:rFonts w:hint="eastAsia" w:ascii="宋体" w:hAnsi="宋体"/>
          <w:sz w:val="21"/>
          <w:szCs w:val="21"/>
        </w:rPr>
        <w:t>5</w:t>
      </w:r>
      <w:r>
        <w:rPr>
          <w:rFonts w:hint="eastAsia" w:ascii="宋体" w:hAnsi="宋体"/>
          <w:sz w:val="21"/>
          <w:szCs w:val="21"/>
          <w:lang w:val="en-US" w:eastAsia="zh-CN"/>
        </w:rPr>
        <w:t xml:space="preserve"> </w:t>
      </w:r>
      <w:r>
        <w:rPr>
          <w:rFonts w:hint="eastAsia" w:ascii="宋体" w:hAnsi="宋体"/>
          <w:bCs/>
          <w:sz w:val="21"/>
          <w:szCs w:val="21"/>
          <w:highlight w:val="none"/>
        </w:rPr>
        <w:t>履约保证金可以以履约保函（保险）形式提供，</w:t>
      </w:r>
      <w:r>
        <w:rPr>
          <w:rFonts w:hint="eastAsia" w:ascii="宋体" w:hAnsi="宋体"/>
          <w:b/>
          <w:bCs w:val="0"/>
          <w:sz w:val="21"/>
          <w:szCs w:val="21"/>
          <w:highlight w:val="none"/>
        </w:rPr>
        <w:t>建议优先使用政采云电子保函</w:t>
      </w:r>
      <w:r>
        <w:rPr>
          <w:rFonts w:hint="eastAsia" w:ascii="宋体" w:hAnsi="宋体"/>
          <w:bCs/>
          <w:sz w:val="21"/>
          <w:szCs w:val="21"/>
          <w:highlight w:val="none"/>
        </w:rPr>
        <w:t>，具体办理流程详见新疆政府采购网《新疆维吾尔自治区政府采购电子保函工作方案》。供应商以电子保函形式缴纳履约保证金的，可通过“新疆政府采购网”的“电子保函”模块申请购买：</w:t>
      </w:r>
    </w:p>
    <w:p>
      <w:pPr>
        <w:pStyle w:val="25"/>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直达链接（电子保函）：</w:t>
      </w:r>
    </w:p>
    <w:p>
      <w:pPr>
        <w:pStyle w:val="25"/>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https://jinrong.zcygov.cn/luban/finance/letter/xinjiang?pageModelFlag=650000</w:t>
      </w:r>
    </w:p>
    <w:p>
      <w:pPr>
        <w:pStyle w:val="25"/>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电子保函咨询电话：0991-2661159</w:t>
      </w:r>
    </w:p>
    <w:p>
      <w:pPr>
        <w:pStyle w:val="25"/>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val="en-US" w:eastAsia="zh-CN"/>
        </w:rPr>
        <w:t>32.6</w:t>
      </w:r>
      <w:r>
        <w:rPr>
          <w:rFonts w:hint="eastAsia" w:ascii="宋体" w:hAnsi="宋体"/>
          <w:bCs/>
          <w:sz w:val="21"/>
          <w:szCs w:val="21"/>
          <w:highlight w:val="none"/>
        </w:rPr>
        <w:t xml:space="preserve"> </w:t>
      </w:r>
      <w:r>
        <w:rPr>
          <w:rFonts w:hint="eastAsia" w:ascii="宋体" w:hAnsi="宋体"/>
          <w:sz w:val="21"/>
          <w:szCs w:val="21"/>
          <w:lang w:val="en-US" w:eastAsia="zh-CN"/>
        </w:rPr>
        <w:t>项目验收合格后采购单位</w:t>
      </w:r>
      <w:r>
        <w:rPr>
          <w:rFonts w:hint="eastAsia" w:ascii="宋体" w:hAnsi="宋体"/>
          <w:color w:val="000000" w:themeColor="text1"/>
          <w:sz w:val="21"/>
          <w:szCs w:val="21"/>
          <w14:textFill>
            <w14:solidFill>
              <w14:schemeClr w14:val="tx1"/>
            </w14:solidFill>
          </w14:textFill>
        </w:rPr>
        <w:t>按</w:t>
      </w:r>
      <w:r>
        <w:rPr>
          <w:rFonts w:hint="eastAsia" w:ascii="宋体" w:hAnsi="宋体"/>
          <w:b w:val="0"/>
          <w:bCs w:val="0"/>
          <w:color w:val="000000" w:themeColor="text1"/>
          <w:sz w:val="21"/>
          <w:szCs w:val="21"/>
          <w14:textFill>
            <w14:solidFill>
              <w14:schemeClr w14:val="tx1"/>
            </w14:solidFill>
          </w14:textFill>
        </w:rPr>
        <w:t>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sz w:val="21"/>
          <w:szCs w:val="21"/>
          <w:lang w:val="en-US" w:eastAsia="zh-CN"/>
        </w:rPr>
        <w:t>退还履约保</w:t>
      </w:r>
      <w:r>
        <w:rPr>
          <w:rFonts w:hint="eastAsia" w:ascii="宋体" w:hAnsi="宋体"/>
          <w:sz w:val="21"/>
          <w:szCs w:val="21"/>
          <w:lang w:val="en-US" w:eastAsia="zh-CN"/>
        </w:rPr>
        <w:t>证金。</w:t>
      </w:r>
    </w:p>
    <w:p>
      <w:pPr>
        <w:pStyle w:val="25"/>
        <w:adjustRightInd w:val="0"/>
        <w:snapToGrid w:val="0"/>
        <w:spacing w:line="36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宋体" w:hAnsi="宋体"/>
          <w:bCs/>
          <w:sz w:val="21"/>
          <w:szCs w:val="21"/>
          <w:highlight w:val="none"/>
          <w:lang w:val="en-US" w:eastAsia="zh-CN"/>
        </w:rPr>
        <w:t xml:space="preserve">32.7 </w:t>
      </w:r>
      <w:r>
        <w:rPr>
          <w:rFonts w:hint="eastAsia" w:ascii="Times New Roman" w:hAnsi="Times New Roman" w:eastAsia="宋体" w:cs="Times New Roman"/>
          <w:kern w:val="2"/>
          <w:sz w:val="21"/>
          <w:szCs w:val="24"/>
          <w:lang w:val="en-US" w:eastAsia="zh-CN" w:bidi="ar-SA"/>
        </w:rPr>
        <w:t>如中标人未按照招标文件要求交付使用期的时间内交货，将按照合同约定从支付款项中扣除。</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33.签订合同</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33.1 招标文件、中标人的投标文件及其补充的投标文件等均为签订政府采购合同的依据。</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33.3 中标人应当按照合同约定履行义务。中标人不得向他人转让中标项目，也不得将中标项目分包后分别向他人转让。</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33.4 中标人有下列情形之一的，责令限期改正，情节严重的，列入不良行为记录名单，在1至3年内禁止参加政府采购活动，并予以通报：</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（一）中标后无正当理由不与采购人签订合同的；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（二）未按照招标文件确定的事项签订政府采购合同，或者与采购人另行订立背离合同实质性内容的协议的；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（三）拒绝履行合同义务的；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（四）违反法律、规章、规范性文件规定的。</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33.5采购人应当自政府采购合同签订之日起2个工作日内，将政府采购合同在省级以上人民政府财政部门指定的媒体上公告，但政府采购合同中涉及国家秘密、商业秘密的内容除外。</w:t>
      </w:r>
    </w:p>
    <w:p>
      <w:pPr>
        <w:pStyle w:val="25"/>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34. 政府采购合同履行中数量的变更</w:t>
      </w:r>
    </w:p>
    <w:p>
      <w:pPr>
        <w:pStyle w:val="25"/>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sectPr>
          <w:pgSz w:w="11906" w:h="16838"/>
          <w:pgMar w:top="1474" w:right="1531" w:bottom="1474" w:left="1531" w:header="851" w:footer="992" w:gutter="0"/>
          <w:cols w:space="720" w:num="1"/>
          <w:docGrid w:type="lines" w:linePitch="312" w:charSpace="0"/>
        </w:sectPr>
      </w:pPr>
      <w:r>
        <w:rPr>
          <w:rFonts w:hint="eastAsia" w:ascii="宋体" w:hAnsi="宋体"/>
          <w:color w:val="000000" w:themeColor="text1"/>
          <w:sz w:val="21"/>
          <w:szCs w:val="21"/>
          <w14:textFill>
            <w14:solidFill>
              <w14:schemeClr w14:val="tx1"/>
            </w14:solidFill>
          </w14:textFill>
        </w:rPr>
        <w:t>34.1政府采购合同履行中，采购人需追加与合同标的相同的货物服务的，在不改变合同其他条款的前提下，可以与中标人协商签订补充合同，但所有补充合同的采购金额不得超过原合同采购金额的百分之十。</w:t>
      </w:r>
    </w:p>
    <w:p>
      <w:pPr>
        <w:pStyle w:val="25"/>
        <w:adjustRightInd w:val="0"/>
        <w:snapToGrid w:val="0"/>
        <w:spacing w:line="360" w:lineRule="auto"/>
        <w:jc w:val="center"/>
        <w:rPr>
          <w:rFonts w:ascii="宋体" w:hAnsi="宋体"/>
          <w:b/>
          <w:bCs/>
          <w:color w:val="000000" w:themeColor="text1"/>
          <w:sz w:val="32"/>
          <w:szCs w:val="32"/>
          <w14:textFill>
            <w14:solidFill>
              <w14:schemeClr w14:val="tx1"/>
            </w14:solidFill>
          </w14:textFill>
        </w:rPr>
      </w:pPr>
      <w:bookmarkStart w:id="28" w:name="_Toc430715133"/>
      <w:bookmarkStart w:id="29" w:name="_Toc474235949"/>
      <w:bookmarkStart w:id="30" w:name="_Toc420948016"/>
      <w:r>
        <w:rPr>
          <w:rFonts w:hint="eastAsia" w:ascii="宋体" w:hAnsi="宋体"/>
          <w:b/>
          <w:bCs/>
          <w:color w:val="000000" w:themeColor="text1"/>
          <w:sz w:val="32"/>
          <w:szCs w:val="32"/>
          <w14:textFill>
            <w14:solidFill>
              <w14:schemeClr w14:val="tx1"/>
            </w14:solidFill>
          </w14:textFill>
        </w:rPr>
        <w:t>第三章 评标方法及标准</w:t>
      </w:r>
      <w:bookmarkEnd w:id="28"/>
      <w:bookmarkEnd w:id="29"/>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一、资格审核</w:t>
      </w:r>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1.评标前投标文件的初步</w:t>
      </w:r>
      <w:r>
        <w:rPr>
          <w:rFonts w:hint="eastAsia" w:ascii="宋体" w:hAnsi="宋体"/>
          <w:b/>
          <w:color w:val="000000" w:themeColor="text1"/>
          <w:szCs w:val="21"/>
          <w14:textFill>
            <w14:solidFill>
              <w14:schemeClr w14:val="tx1"/>
            </w14:solidFill>
          </w14:textFill>
        </w:rPr>
        <w:t>审核</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1.1初步</w:t>
      </w:r>
      <w:r>
        <w:rPr>
          <w:rFonts w:hint="eastAsia" w:ascii="宋体" w:hAnsi="宋体"/>
          <w:color w:val="000000" w:themeColor="text1"/>
          <w:szCs w:val="21"/>
          <w14:textFill>
            <w14:solidFill>
              <w14:schemeClr w14:val="tx1"/>
            </w14:solidFill>
          </w14:textFill>
        </w:rPr>
        <w:t>评审为资格性检查和符合性检查。</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 资格性检查。根据法律法规和招标文件的规定，对投标文件中的资格证明、投标保证金等进行审查，以确定投标人是否具备投标资格。</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1.1.3投标人不得通过修正或撤销不合要求的偏离从而使其投标成为实质上响应的投标。</w:t>
      </w:r>
    </w:p>
    <w:tbl>
      <w:tblPr>
        <w:tblStyle w:val="46"/>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783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审核</w:t>
            </w:r>
            <w:r>
              <w:rPr>
                <w:rFonts w:ascii="宋体" w:hAnsi="宋体"/>
                <w:b/>
                <w:color w:val="000000" w:themeColor="text1"/>
                <w:szCs w:val="21"/>
                <w14:textFill>
                  <w14:solidFill>
                    <w14:schemeClr w14:val="tx1"/>
                  </w14:solidFill>
                </w14:textFill>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资格性检查</w:t>
            </w:r>
          </w:p>
        </w:tc>
        <w:tc>
          <w:tcPr>
            <w:tcW w:w="7836" w:type="dxa"/>
            <w:vAlign w:val="center"/>
          </w:tcPr>
          <w:p>
            <w:pPr>
              <w:spacing w:line="400" w:lineRule="exac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7836" w:type="dxa"/>
            <w:vAlign w:val="center"/>
          </w:tcPr>
          <w:p>
            <w:pPr>
              <w:spacing w:line="400" w:lineRule="exac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法人提供法定代表人身份证明，</w:t>
            </w:r>
            <w:r>
              <w:rPr>
                <w:rFonts w:hint="eastAsia"/>
                <w:b/>
                <w:bCs/>
                <w:color w:val="000000" w:themeColor="text1"/>
                <w14:textFill>
                  <w14:solidFill>
                    <w14:schemeClr w14:val="tx1"/>
                  </w14:solidFill>
                </w14:textFill>
              </w:rPr>
              <w:t>或</w:t>
            </w:r>
            <w:r>
              <w:rPr>
                <w:rFonts w:hint="eastAsia"/>
                <w:color w:val="000000" w:themeColor="text1"/>
                <w14:textFill>
                  <w14:solidFill>
                    <w14:schemeClr w14:val="tx1"/>
                  </w14:solidFill>
                </w14:textFill>
              </w:rPr>
              <w:t>委托代理人提供授权委托书；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7836" w:type="dxa"/>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w:t>
            </w:r>
            <w:r>
              <w:rPr>
                <w:rFonts w:hint="eastAsia"/>
              </w:rPr>
              <w:t>具有良好的商业信誉和健全的财务会计制度，</w:t>
            </w:r>
            <w:r>
              <w:rPr>
                <w:rFonts w:hint="eastAsia"/>
                <w:color w:val="000000" w:themeColor="text1"/>
                <w14:textFill>
                  <w14:solidFill>
                    <w14:schemeClr w14:val="tx1"/>
                  </w14:solidFill>
                </w14:textFill>
              </w:rPr>
              <w:t> </w:t>
            </w:r>
            <w:r>
              <w:rPr>
                <w:rFonts w:hint="eastAsia"/>
                <w:color w:val="000000" w:themeColor="text1"/>
                <w:lang w:eastAsia="zh-CN"/>
                <w14:textFill>
                  <w14:solidFill>
                    <w14:schemeClr w14:val="tx1"/>
                  </w14:solidFill>
                </w14:textFill>
              </w:rPr>
              <w:t>可</w:t>
            </w:r>
            <w:r>
              <w:rPr>
                <w:rFonts w:hint="eastAsia"/>
              </w:rPr>
              <w:t>提供《政府采购供应商信用承诺函》；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7836" w:type="dxa"/>
            <w:vAlign w:val="center"/>
          </w:tcPr>
          <w:p>
            <w:pPr>
              <w:adjustRightInd w:val="0"/>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rPr>
              <w:t>具有履行合同所必需的设备和专业技术能力，</w:t>
            </w:r>
            <w:r>
              <w:rPr>
                <w:rFonts w:hint="eastAsia"/>
                <w:color w:val="000000" w:themeColor="text1"/>
                <w:lang w:eastAsia="zh-CN"/>
                <w14:textFill>
                  <w14:solidFill>
                    <w14:schemeClr w14:val="tx1"/>
                  </w14:solidFill>
                </w14:textFill>
              </w:rPr>
              <w:t>可</w:t>
            </w:r>
            <w:r>
              <w:rPr>
                <w:rFonts w:hint="eastAsia"/>
              </w:rPr>
              <w:t>提供《政府采购供应商信用承诺函》；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7836" w:type="dxa"/>
            <w:vAlign w:val="center"/>
          </w:tcPr>
          <w:p>
            <w:pPr>
              <w:adjustRightInd w:val="0"/>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rPr>
              <w:t>有依法缴纳税收和社会保障资金的良好记录，</w:t>
            </w:r>
            <w:r>
              <w:rPr>
                <w:rFonts w:hint="eastAsia"/>
                <w:color w:val="000000" w:themeColor="text1"/>
                <w:lang w:eastAsia="zh-CN"/>
                <w14:textFill>
                  <w14:solidFill>
                    <w14:schemeClr w14:val="tx1"/>
                  </w14:solidFill>
                </w14:textFill>
              </w:rPr>
              <w:t>可</w:t>
            </w:r>
            <w:r>
              <w:rPr>
                <w:rFonts w:hint="eastAsia"/>
              </w:rPr>
              <w:t>提供《政府采购供应商信用承诺函》；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7836" w:type="dxa"/>
            <w:vAlign w:val="center"/>
          </w:tcPr>
          <w:p>
            <w:pPr>
              <w:adjustRightInd w:val="0"/>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6、无重大违法记录，</w:t>
            </w:r>
            <w:r>
              <w:rPr>
                <w:rFonts w:hint="eastAsia"/>
                <w:color w:val="000000" w:themeColor="text1"/>
                <w:lang w:eastAsia="zh-CN"/>
                <w14:textFill>
                  <w14:solidFill>
                    <w14:schemeClr w14:val="tx1"/>
                  </w14:solidFill>
                </w14:textFill>
              </w:rPr>
              <w:t>可</w:t>
            </w:r>
            <w:r>
              <w:rPr>
                <w:rFonts w:hint="eastAsia"/>
              </w:rPr>
              <w:t>提供《政府采购供应商信用承诺函》；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7836" w:type="dxa"/>
            <w:vAlign w:val="center"/>
          </w:tcPr>
          <w:p>
            <w:pPr>
              <w:adjustRightInd w:val="0"/>
              <w:snapToGrid w:val="0"/>
              <w:spacing w:line="400" w:lineRule="exact"/>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7、“信用中国”（www.creditchina.gov.cn）和中国政府采购网（www.ccgp.gov.cn）网站上未被列入失信被执行人、重大税收违法案件当事人名单以及政府采购严重违法失信行为记录名单；</w:t>
            </w:r>
            <w:r>
              <w:rPr>
                <w:rFonts w:hint="eastAsia"/>
                <w:color w:val="000000" w:themeColor="text1"/>
                <w:lang w:eastAsia="zh-CN"/>
                <w14:textFill>
                  <w14:solidFill>
                    <w14:schemeClr w14:val="tx1"/>
                  </w14:solidFill>
                </w14:textFill>
              </w:rPr>
              <w:t>可</w:t>
            </w:r>
            <w:r>
              <w:rPr>
                <w:rFonts w:hint="eastAsia"/>
                <w:lang w:val="en-US" w:eastAsia="zh-CN"/>
              </w:rPr>
              <w:t>提供《政府采购供应商信用承诺函》</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符合性检查</w:t>
            </w:r>
          </w:p>
        </w:tc>
        <w:tc>
          <w:tcPr>
            <w:tcW w:w="7836"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1.投标文件按照按招标文件要求上传、解密、签署电子章的；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7836"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开标一览表</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内报价具有唯一性，</w:t>
            </w:r>
            <w:r>
              <w:rPr>
                <w:rFonts w:hint="eastAsia" w:ascii="宋体" w:hAnsi="宋体"/>
                <w:color w:val="000000" w:themeColor="text1"/>
                <w:szCs w:val="21"/>
                <w:lang w:eastAsia="zh-CN"/>
                <w14:textFill>
                  <w14:solidFill>
                    <w14:schemeClr w14:val="tx1"/>
                  </w14:solidFill>
                </w14:textFill>
              </w:rPr>
              <w:t>且</w:t>
            </w:r>
            <w:r>
              <w:rPr>
                <w:rFonts w:hint="eastAsia" w:ascii="宋体" w:hAnsi="宋体"/>
                <w:color w:val="000000" w:themeColor="text1"/>
                <w:szCs w:val="21"/>
                <w14:textFill>
                  <w14:solidFill>
                    <w14:schemeClr w14:val="tx1"/>
                  </w14:solidFill>
                </w14:textFill>
              </w:rPr>
              <w:t>报价未超过招标文件中规定的</w:t>
            </w:r>
            <w:r>
              <w:rPr>
                <w:rFonts w:hint="eastAsia" w:ascii="宋体" w:hAnsi="宋体"/>
                <w:color w:val="000000" w:themeColor="text1"/>
                <w:szCs w:val="21"/>
                <w:lang w:eastAsia="zh-CN"/>
                <w14:textFill>
                  <w14:solidFill>
                    <w14:schemeClr w14:val="tx1"/>
                  </w14:solidFill>
                </w14:textFill>
              </w:rPr>
              <w:t>预算单价或</w:t>
            </w:r>
            <w:r>
              <w:rPr>
                <w:rFonts w:hint="eastAsia" w:ascii="宋体" w:hAnsi="宋体"/>
                <w:color w:val="000000" w:themeColor="text1"/>
                <w:szCs w:val="21"/>
                <w:lang w:val="en-US" w:eastAsia="zh-CN"/>
                <w14:textFill>
                  <w14:solidFill>
                    <w14:schemeClr w14:val="tx1"/>
                  </w14:solidFill>
                </w14:textFill>
              </w:rPr>
              <w:t>预算总金额；</w:t>
            </w:r>
            <w:r>
              <w:rPr>
                <w:rFonts w:hint="eastAsia" w:ascii="宋体" w:hAnsi="宋体"/>
                <w:color w:val="000000" w:themeColor="text1"/>
                <w:szCs w:val="21"/>
                <w:lang w:eastAsia="zh-CN"/>
                <w14:textFill>
                  <w14:solidFill>
                    <w14:schemeClr w14:val="tx1"/>
                  </w14:solidFill>
                </w14:textFill>
              </w:rPr>
              <w:t>核心产品品牌具有唯一性；履约期限及质保期满足招标文件要求；且与《投标报价明细表》总金额一致。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7836"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满足招标文件</w:t>
            </w:r>
            <w:r>
              <w:rPr>
                <w:rFonts w:hint="eastAsia" w:ascii="宋体" w:hAnsi="宋体"/>
                <w:color w:val="000000" w:themeColor="text1"/>
                <w:szCs w:val="21"/>
                <w:highlight w:val="none"/>
                <w:lang w:eastAsia="zh-CN"/>
                <w14:textFill>
                  <w14:solidFill>
                    <w14:schemeClr w14:val="tx1"/>
                  </w14:solidFill>
                </w14:textFill>
              </w:rPr>
              <w:t>实质性要求提供《参数偏离表》、《投标报价明细表》，《参数偏离表》中投标响应参数与《投标报价明细表》中投标参数内容一致</w:t>
            </w:r>
            <w:r>
              <w:rPr>
                <w:rFonts w:hint="eastAsia" w:ascii="宋体" w:hAnsi="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7836" w:type="dxa"/>
            <w:vAlign w:val="center"/>
          </w:tcPr>
          <w:p>
            <w:pPr>
              <w:spacing w:line="400" w:lineRule="exact"/>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投标有效期满足招标文件要求。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7836" w:type="dxa"/>
            <w:vAlign w:val="center"/>
          </w:tcPr>
          <w:p>
            <w:pPr>
              <w:spacing w:line="40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5.提供《公铁两用车合规使用承诺书》，承诺内容与招标文件模版一致。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结论</w:t>
            </w:r>
          </w:p>
        </w:tc>
        <w:tc>
          <w:tcPr>
            <w:tcW w:w="7836" w:type="dxa"/>
            <w:vAlign w:val="center"/>
          </w:tcPr>
          <w:p>
            <w:pPr>
              <w:spacing w:line="400" w:lineRule="exac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是否通过资格审查，进入下一阶段报价评审。</w:t>
            </w:r>
          </w:p>
        </w:tc>
      </w:tr>
    </w:tbl>
    <w:p>
      <w:pPr>
        <w:tabs>
          <w:tab w:val="left" w:pos="0"/>
        </w:tabs>
        <w:adjustRightInd w:val="0"/>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注：表中全部符合，则为有效投标，进入专家评标阶段。</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有下列情形之一时，采购人或采购代理机构应予此次招标活动无效，并将理由通知所有投标人：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（1）符合专业条件的投标人或者对招标文件作实质性响应的投标人不足三家的；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（2）出现影响招标公正的违法、违规行为的；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（3）投标人的报价均超过了采购预算；</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1.3邀请招标数额标准以上的采购项目，投标截止后投标人不足3家或者通过资格审查或符合性审查的投标人不足3家的，除采购任务取消情形外，按照以下方式处理：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（1）招标文件存在不合理条款或者招标程序不符合规定的，采购人、采购代理机构改正后依法重新招标；</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（2）招标文件没有不合理条款、招标程序符合规定，需要采用其他采购方式采购的，采购人应当依法报财政部门批准。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1.4有下列情形之一的，视为投标人串通投标，其投标无效：</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（1）不同投标人的投标文件由同一单位或者个人编制；</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（2）不同投标人委托同一单位或者个人办理投标事宜；</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（3）不同投标人的投标文件载明的项目管理成员或者联系人员为同一人；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（4）不同投标人的投标文件异常一致或者投标报价呈规律性差别；</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（5）不同投标人的投标文件相互混装；</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（6）不同投标人的投标保证金从同一单位或者个人的账户转出。</w:t>
      </w:r>
    </w:p>
    <w:p>
      <w:pPr>
        <w:tabs>
          <w:tab w:val="left" w:pos="0"/>
        </w:tabs>
        <w:adjustRightInd w:val="0"/>
        <w:snapToGrid w:val="0"/>
        <w:spacing w:before="156" w:beforeLines="50" w:line="360" w:lineRule="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二、评标程序</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评标委员会</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2.1评标由依法组成的评标委员会负责。</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评标方法</w:t>
      </w:r>
    </w:p>
    <w:p>
      <w:pPr>
        <w:tabs>
          <w:tab w:val="left" w:pos="0"/>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3.1评标方法：</w:t>
      </w:r>
      <w:r>
        <w:rPr>
          <w:rFonts w:hint="eastAsia" w:ascii="宋体" w:hAnsi="宋体"/>
          <w:b/>
          <w:bCs/>
          <w:color w:val="000000" w:themeColor="text1"/>
          <w:szCs w:val="21"/>
          <w:lang w:eastAsia="zh-CN"/>
          <w14:textFill>
            <w14:solidFill>
              <w14:schemeClr w14:val="tx1"/>
            </w14:solidFill>
          </w14:textFill>
        </w:rPr>
        <w:t>综合评分法</w:t>
      </w:r>
      <w:r>
        <w:rPr>
          <w:rFonts w:hint="eastAsia" w:ascii="宋体" w:hAnsi="宋体"/>
          <w:color w:val="000000" w:themeColor="text1"/>
          <w:szCs w:val="21"/>
          <w14:textFill>
            <w14:solidFill>
              <w14:schemeClr w14:val="tx1"/>
            </w14:solidFill>
          </w14:textFill>
        </w:rPr>
        <w:t>，是指投标文件满足招标文件全部实质性要求且按照评审因素的量化指标评审得分最高的供应商为中标候选人的评标方法。</w:t>
      </w:r>
    </w:p>
    <w:p>
      <w:pPr>
        <w:tabs>
          <w:tab w:val="left" w:pos="0"/>
        </w:tabs>
        <w:adjustRightInd w:val="0"/>
        <w:snapToGrid w:val="0"/>
        <w:spacing w:before="156" w:beforeLines="50" w:line="360" w:lineRule="auto"/>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3.2本招标项目</w:t>
      </w:r>
      <w:r>
        <w:rPr>
          <w:rFonts w:hint="eastAsia" w:ascii="宋体" w:hAnsi="宋体"/>
          <w:color w:val="000000" w:themeColor="text1"/>
          <w:szCs w:val="21"/>
          <w14:textFill>
            <w14:solidFill>
              <w14:schemeClr w14:val="tx1"/>
            </w14:solidFill>
          </w14:textFill>
        </w:rPr>
        <w:t>的评标因素：价格、技术、信誉、业绩、服务、对招标文件的响应程度，以及相应的比重或者权值等，但不包括第二章“投标须知”第3.1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w:t>
      </w:r>
    </w:p>
    <w:p>
      <w:pPr>
        <w:adjustRightInd w:val="0"/>
        <w:snapToGrid w:val="0"/>
        <w:spacing w:before="156" w:beforeLines="50" w:line="360" w:lineRule="auto"/>
        <w:ind w:right="-109" w:rightChars="-52"/>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4.澄清有关问题</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4.2投标人不得对下列内容进行澄清或补充：</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（1）开标时，未宣读的投标价格、价格折扣等实质性内容。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（2）招标文件规定的实质性要求。</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4.3投标文件报价出现前后不一致的，除招标文件另有规定外，按照下列规定修正：</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（1）电子交易平台生成的开标一览表内容与投标文件中相应内容不一致的，以电子交易平台生成的开标一览表为准；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（2）大写金额和小写金额不一致的，以大写金额为准；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（3）单价金额小数点或者百分比有明显错位的，以电子交易平台生成的开标一览表为准，并修改单价；</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（5）总价金额与按单价汇总金额不一致的，以单价金额计算结果为准。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对不同文字文本投标文件的解释发生异议的，以中文文本为准。若投标人拒绝接受上述修正，在评标时将其视为无效投标。</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4.5评标委员会成员对需要共同认定的事项存在争议的，应当按照少数服从多数的原则作出结论。持不同意见的评标委员会成员应当在评标报告上签署不同意见及理由，否则视为同意评标报告。</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投标人的澄清、说明或者补正应该采用书面形式，并加盖公章，或者由法定代表人或其授权的代理人签字。投标人的澄清、说明或者补正不得超出投标文件的范围或者改变投标文件的实质性内容。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4.7 有效的书面澄清材料，是投标文件的补充材料，成为投标文件的组成部分。</w:t>
      </w:r>
    </w:p>
    <w:p>
      <w:pPr>
        <w:tabs>
          <w:tab w:val="left" w:pos="0"/>
        </w:tabs>
        <w:adjustRightInd w:val="0"/>
        <w:snapToGrid w:val="0"/>
        <w:spacing w:before="156" w:beforeLines="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5.投标文件的详细</w:t>
      </w:r>
      <w:r>
        <w:rPr>
          <w:rFonts w:hint="eastAsia" w:ascii="宋体" w:hAnsi="宋体"/>
          <w:b/>
          <w:color w:val="000000" w:themeColor="text1"/>
          <w:szCs w:val="21"/>
          <w14:textFill>
            <w14:solidFill>
              <w14:schemeClr w14:val="tx1"/>
            </w14:solidFill>
          </w14:textFill>
        </w:rPr>
        <w:t>评审</w:t>
      </w:r>
    </w:p>
    <w:p>
      <w:pPr>
        <w:tabs>
          <w:tab w:val="left" w:pos="0"/>
        </w:tabs>
        <w:adjustRightInd w:val="0"/>
        <w:snapToGrid w:val="0"/>
        <w:spacing w:before="156" w:beforeLines="5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5.1评标委员会应按照招标文件中规定的评标方法、</w:t>
      </w:r>
      <w:r>
        <w:rPr>
          <w:rFonts w:hint="eastAsia" w:ascii="宋体" w:hAnsi="宋体"/>
          <w:color w:val="000000" w:themeColor="text1"/>
          <w:szCs w:val="21"/>
          <w14:textFill>
            <w14:solidFill>
              <w14:schemeClr w14:val="tx1"/>
            </w14:solidFill>
          </w14:textFill>
        </w:rPr>
        <w:t>标准和评标因素，</w:t>
      </w:r>
      <w:r>
        <w:rPr>
          <w:rFonts w:hint="eastAsia" w:ascii="宋体" w:hAnsi="宋体"/>
          <w:bCs/>
          <w:color w:val="000000" w:themeColor="text1"/>
          <w:szCs w:val="21"/>
          <w14:textFill>
            <w14:solidFill>
              <w14:schemeClr w14:val="tx1"/>
            </w14:solidFill>
          </w14:textFill>
        </w:rPr>
        <w:t>对</w:t>
      </w:r>
      <w:r>
        <w:rPr>
          <w:rFonts w:hint="eastAsia" w:ascii="宋体" w:hAnsi="宋体"/>
          <w:color w:val="000000" w:themeColor="text1"/>
          <w:szCs w:val="21"/>
          <w14:textFill>
            <w14:solidFill>
              <w14:schemeClr w14:val="tx1"/>
            </w14:solidFill>
          </w14:textFill>
        </w:rPr>
        <w:t>资格性检查</w:t>
      </w:r>
      <w:r>
        <w:rPr>
          <w:rFonts w:hint="eastAsia" w:ascii="宋体" w:hAnsi="宋体"/>
          <w:bCs/>
          <w:color w:val="000000" w:themeColor="text1"/>
          <w:szCs w:val="21"/>
          <w14:textFill>
            <w14:solidFill>
              <w14:schemeClr w14:val="tx1"/>
            </w14:solidFill>
          </w14:textFill>
        </w:rPr>
        <w:t>合格的投标文件进行详细评审。</w:t>
      </w:r>
    </w:p>
    <w:p>
      <w:pPr>
        <w:widowControl/>
        <w:adjustRightInd w:val="0"/>
        <w:snapToGrid w:val="0"/>
        <w:spacing w:before="156" w:beforeLines="50"/>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评标时，评标委员会各成员应当</w:t>
      </w:r>
      <w:r>
        <w:rPr>
          <w:rFonts w:hint="eastAsia" w:ascii="宋体" w:hAnsi="宋体"/>
          <w:b/>
          <w:color w:val="000000" w:themeColor="text1"/>
          <w:szCs w:val="21"/>
          <w14:textFill>
            <w14:solidFill>
              <w14:schemeClr w14:val="tx1"/>
            </w14:solidFill>
          </w14:textFill>
        </w:rPr>
        <w:t>独立</w:t>
      </w:r>
      <w:r>
        <w:rPr>
          <w:rFonts w:hint="eastAsia" w:ascii="宋体" w:hAnsi="宋体"/>
          <w:color w:val="000000" w:themeColor="text1"/>
          <w:szCs w:val="21"/>
          <w14:textFill>
            <w14:solidFill>
              <w14:schemeClr w14:val="tx1"/>
            </w14:solidFill>
          </w14:textFill>
        </w:rPr>
        <w:t>对每个投标人的</w:t>
      </w:r>
      <w:r>
        <w:rPr>
          <w:rFonts w:hint="eastAsia" w:ascii="宋体" w:hAnsi="宋体"/>
          <w:bCs/>
          <w:color w:val="000000" w:themeColor="text1"/>
          <w:szCs w:val="21"/>
          <w14:textFill>
            <w14:solidFill>
              <w14:schemeClr w14:val="tx1"/>
            </w14:solidFill>
          </w14:textFill>
        </w:rPr>
        <w:t>投标文件</w:t>
      </w:r>
      <w:r>
        <w:rPr>
          <w:rFonts w:hint="eastAsia" w:ascii="宋体" w:hAnsi="宋体"/>
          <w:color w:val="000000" w:themeColor="text1"/>
          <w:szCs w:val="21"/>
          <w14:textFill>
            <w14:solidFill>
              <w14:schemeClr w14:val="tx1"/>
            </w14:solidFill>
          </w14:textFill>
        </w:rPr>
        <w:t>进行评价、评分，然后汇总每个投标人每项评分因素的得分。</w:t>
      </w:r>
    </w:p>
    <w:p>
      <w:pPr>
        <w:ind w:firstLine="420" w:firstLineChars="200"/>
        <w:rPr>
          <w:rFonts w:ascii="宋体" w:hAnsi="宋体" w:cs="宋体"/>
          <w:b/>
          <w:bCs/>
          <w:szCs w:val="21"/>
        </w:rPr>
      </w:pPr>
      <w:r>
        <w:rPr>
          <w:rFonts w:hint="eastAsia" w:ascii="宋体" w:hAnsi="宋体"/>
          <w:color w:val="000000" w:themeColor="text1"/>
          <w:szCs w:val="21"/>
          <w14:textFill>
            <w14:solidFill>
              <w14:schemeClr w14:val="tx1"/>
            </w14:solidFill>
          </w14:textFill>
        </w:rPr>
        <w:t>5.3</w:t>
      </w:r>
      <w:r>
        <w:rPr>
          <w:rFonts w:hint="eastAsia" w:ascii="宋体" w:hAnsi="宋体" w:cs="宋体"/>
          <w:b/>
          <w:bCs/>
          <w:szCs w:val="21"/>
          <w:lang w:bidi="ar"/>
        </w:rPr>
        <w:t>有下列情况之一的投标文件应作无效文件处理：</w:t>
      </w:r>
    </w:p>
    <w:p>
      <w:pPr>
        <w:spacing w:line="380" w:lineRule="exact"/>
        <w:ind w:firstLine="420" w:firstLineChars="200"/>
        <w:rPr>
          <w:rFonts w:ascii="宋体" w:hAnsi="宋体" w:cs="宋体"/>
          <w:szCs w:val="21"/>
        </w:rPr>
      </w:pPr>
      <w:r>
        <w:rPr>
          <w:rFonts w:hint="eastAsia" w:ascii="宋体" w:hAnsi="宋体" w:cs="宋体"/>
          <w:szCs w:val="21"/>
          <w:lang w:bidi="ar"/>
        </w:rPr>
        <w:t>（1）未在规定时间内按时解密的；</w:t>
      </w:r>
    </w:p>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lang w:bidi="ar"/>
        </w:rPr>
        <w:t>（2）应交未交投标保证金的；</w:t>
      </w:r>
    </w:p>
    <w:p>
      <w:pPr>
        <w:spacing w:line="380" w:lineRule="exact"/>
        <w:ind w:firstLine="420" w:firstLineChars="200"/>
        <w:rPr>
          <w:rFonts w:ascii="宋体" w:hAnsi="宋体" w:cs="宋体"/>
          <w:szCs w:val="21"/>
        </w:rPr>
      </w:pPr>
      <w:r>
        <w:rPr>
          <w:rFonts w:hint="eastAsia" w:ascii="宋体" w:hAnsi="宋体" w:cs="宋体"/>
          <w:szCs w:val="21"/>
          <w:lang w:bidi="ar"/>
        </w:rPr>
        <w:t>（3）不具备采购文件中规定资格要求的；</w:t>
      </w:r>
    </w:p>
    <w:p>
      <w:pPr>
        <w:spacing w:line="380" w:lineRule="exact"/>
        <w:ind w:firstLine="420" w:firstLineChars="200"/>
        <w:rPr>
          <w:rFonts w:ascii="宋体" w:hAnsi="宋体" w:cs="宋体"/>
          <w:szCs w:val="21"/>
        </w:rPr>
      </w:pPr>
      <w:r>
        <w:rPr>
          <w:rFonts w:hint="eastAsia" w:ascii="宋体" w:hAnsi="宋体" w:cs="宋体"/>
          <w:szCs w:val="21"/>
          <w:lang w:bidi="ar"/>
        </w:rPr>
        <w:t>（4）投标文件未按规定由供应商法定代表人或其授权代理人签字和加盖公章的；</w:t>
      </w:r>
    </w:p>
    <w:p>
      <w:pPr>
        <w:spacing w:line="380" w:lineRule="exact"/>
        <w:ind w:firstLine="420" w:firstLineChars="200"/>
        <w:rPr>
          <w:rFonts w:ascii="宋体" w:hAnsi="宋体" w:cs="宋体"/>
          <w:szCs w:val="21"/>
        </w:rPr>
      </w:pPr>
      <w:r>
        <w:rPr>
          <w:rFonts w:hint="eastAsia" w:ascii="宋体" w:hAnsi="宋体" w:cs="宋体"/>
          <w:szCs w:val="21"/>
          <w:lang w:bidi="ar"/>
        </w:rPr>
        <w:t>（5）</w:t>
      </w:r>
      <w:r>
        <w:rPr>
          <w:rFonts w:hint="eastAsia" w:ascii="宋体" w:hAnsi="宋体" w:cs="宋体"/>
          <w:spacing w:val="15"/>
          <w:kern w:val="0"/>
          <w:szCs w:val="21"/>
          <w:lang w:bidi="ar"/>
        </w:rPr>
        <w:t>投标文件未按照采购文件规定要求签章的；</w:t>
      </w:r>
    </w:p>
    <w:p>
      <w:pPr>
        <w:spacing w:line="380" w:lineRule="exact"/>
        <w:ind w:firstLine="420" w:firstLineChars="200"/>
        <w:rPr>
          <w:rFonts w:ascii="宋体" w:hAnsi="宋体" w:cs="宋体"/>
          <w:szCs w:val="21"/>
        </w:rPr>
      </w:pPr>
      <w:r>
        <w:rPr>
          <w:rFonts w:hint="eastAsia" w:ascii="宋体" w:hAnsi="宋体" w:cs="宋体"/>
          <w:szCs w:val="21"/>
          <w:lang w:bidi="ar"/>
        </w:rPr>
        <w:t>（6）投标文件载明的采购项目</w:t>
      </w:r>
      <w:r>
        <w:rPr>
          <w:rFonts w:hint="eastAsia" w:ascii="宋体" w:hAnsi="宋体" w:cs="宋体"/>
          <w:szCs w:val="21"/>
          <w:lang w:eastAsia="zh-CN" w:bidi="ar"/>
        </w:rPr>
        <w:t>履约期限</w:t>
      </w:r>
      <w:r>
        <w:rPr>
          <w:rFonts w:hint="eastAsia" w:ascii="宋体" w:hAnsi="宋体" w:cs="宋体"/>
          <w:szCs w:val="21"/>
          <w:lang w:bidi="ar"/>
        </w:rPr>
        <w:t>超过采购文件规定期限的；</w:t>
      </w:r>
    </w:p>
    <w:p>
      <w:pPr>
        <w:spacing w:line="380" w:lineRule="exact"/>
        <w:ind w:firstLine="420" w:firstLineChars="200"/>
        <w:rPr>
          <w:rFonts w:ascii="宋体" w:hAnsi="宋体" w:cs="宋体"/>
          <w:szCs w:val="21"/>
        </w:rPr>
      </w:pPr>
      <w:r>
        <w:rPr>
          <w:rFonts w:hint="eastAsia" w:ascii="宋体" w:hAnsi="宋体" w:cs="宋体"/>
          <w:szCs w:val="21"/>
          <w:lang w:bidi="ar"/>
        </w:rPr>
        <w:t>（7）评标过程中拒绝澄清相关事宜和问题的；</w:t>
      </w:r>
    </w:p>
    <w:p>
      <w:pPr>
        <w:spacing w:line="380" w:lineRule="exact"/>
        <w:ind w:firstLine="420" w:firstLineChars="200"/>
        <w:rPr>
          <w:rFonts w:ascii="宋体" w:hAnsi="宋体" w:cs="宋体"/>
          <w:szCs w:val="21"/>
        </w:rPr>
      </w:pPr>
      <w:r>
        <w:rPr>
          <w:rFonts w:hint="eastAsia" w:ascii="宋体" w:hAnsi="宋体" w:cs="宋体"/>
          <w:szCs w:val="21"/>
          <w:lang w:bidi="ar"/>
        </w:rPr>
        <w:t>（8）投标文件不真实，有欺骗行为的；</w:t>
      </w:r>
    </w:p>
    <w:p>
      <w:pPr>
        <w:spacing w:line="400" w:lineRule="exact"/>
        <w:ind w:firstLine="420" w:firstLineChars="200"/>
        <w:rPr>
          <w:rFonts w:ascii="宋体" w:hAnsi="宋体" w:cs="宋体"/>
          <w:szCs w:val="21"/>
        </w:rPr>
      </w:pPr>
      <w:r>
        <w:rPr>
          <w:rFonts w:hint="eastAsia" w:ascii="宋体" w:hAnsi="宋体" w:cs="宋体"/>
          <w:szCs w:val="21"/>
          <w:lang w:bidi="ar"/>
        </w:rPr>
        <w:t>（9）</w:t>
      </w:r>
      <w:r>
        <w:rPr>
          <w:rFonts w:hint="eastAsia" w:ascii="宋体" w:hAnsi="宋体"/>
          <w:color w:val="000000" w:themeColor="text1"/>
          <w:szCs w:val="21"/>
          <w14:textFill>
            <w14:solidFill>
              <w14:schemeClr w14:val="tx1"/>
            </w14:solidFill>
          </w14:textFill>
        </w:rPr>
        <w:t>报价超过招标文件中规定的</w:t>
      </w:r>
      <w:r>
        <w:rPr>
          <w:rFonts w:hint="eastAsia" w:ascii="宋体" w:hAnsi="宋体"/>
          <w:color w:val="000000" w:themeColor="text1"/>
          <w:szCs w:val="21"/>
          <w:lang w:val="en-US" w:eastAsia="zh-CN"/>
          <w14:textFill>
            <w14:solidFill>
              <w14:schemeClr w14:val="tx1"/>
            </w14:solidFill>
          </w14:textFill>
        </w:rPr>
        <w:t>预算总价或预算单价的；</w:t>
      </w:r>
    </w:p>
    <w:p>
      <w:pPr>
        <w:spacing w:line="360" w:lineRule="auto"/>
        <w:ind w:firstLine="420" w:firstLineChars="200"/>
        <w:outlineLvl w:val="0"/>
        <w:rPr>
          <w:rFonts w:hint="eastAsia" w:ascii="宋体" w:hAnsi="宋体" w:cs="宋体"/>
          <w:szCs w:val="21"/>
          <w:lang w:bidi="ar"/>
        </w:rPr>
      </w:pPr>
      <w:r>
        <w:rPr>
          <w:rFonts w:hint="eastAsia" w:ascii="宋体" w:hAnsi="宋体" w:cs="宋体"/>
          <w:szCs w:val="21"/>
          <w:lang w:bidi="ar"/>
        </w:rPr>
        <w:t>（10）投标文件附有采购人和组织采购方不能接受的其它条件的；</w:t>
      </w:r>
    </w:p>
    <w:p>
      <w:pPr>
        <w:spacing w:line="360" w:lineRule="auto"/>
        <w:ind w:firstLine="420" w:firstLineChars="200"/>
        <w:outlineLvl w:val="0"/>
        <w:rPr>
          <w:rFonts w:hint="eastAsia" w:ascii="宋体" w:hAnsi="宋体" w:cs="宋体"/>
          <w:szCs w:val="21"/>
          <w:lang w:val="en-US" w:eastAsia="zh-CN" w:bidi="ar"/>
        </w:rPr>
      </w:pPr>
      <w:r>
        <w:rPr>
          <w:rFonts w:hint="eastAsia" w:ascii="宋体" w:hAnsi="宋体" w:cs="宋体"/>
          <w:szCs w:val="21"/>
          <w:lang w:eastAsia="zh-CN" w:bidi="ar"/>
        </w:rPr>
        <w:t>（</w:t>
      </w:r>
      <w:r>
        <w:rPr>
          <w:rFonts w:hint="eastAsia" w:ascii="宋体" w:hAnsi="宋体" w:cs="宋体"/>
          <w:szCs w:val="21"/>
          <w:lang w:val="en-US" w:eastAsia="zh-CN" w:bidi="ar"/>
        </w:rPr>
        <w:t>11）不满足采购文件实质性要求的；</w:t>
      </w:r>
    </w:p>
    <w:p>
      <w:pPr>
        <w:spacing w:line="360" w:lineRule="auto"/>
        <w:ind w:firstLine="422" w:firstLineChars="200"/>
        <w:outlineLvl w:val="0"/>
        <w:rPr>
          <w:rFonts w:hint="eastAsia" w:ascii="宋体" w:hAnsi="宋体" w:cs="宋体"/>
          <w:b/>
          <w:bCs/>
          <w:szCs w:val="21"/>
          <w:lang w:val="en-US" w:eastAsia="zh-CN" w:bidi="ar"/>
        </w:rPr>
      </w:pPr>
      <w:r>
        <w:rPr>
          <w:rFonts w:hint="eastAsia" w:ascii="宋体" w:hAnsi="宋体" w:cs="宋体"/>
          <w:b/>
          <w:bCs/>
          <w:szCs w:val="21"/>
          <w:lang w:val="en-US" w:eastAsia="zh-CN" w:bidi="ar"/>
        </w:rPr>
        <w:t xml:space="preserve"> (12)“第四章 采购需求”中标“★”且标红条款为实质条款，不得负偏离，否则投标无效；</w:t>
      </w:r>
    </w:p>
    <w:bookmarkEnd w:id="30"/>
    <w:p>
      <w:pPr>
        <w:ind w:firstLine="420" w:firstLineChars="200"/>
        <w:rPr>
          <w:rFonts w:hint="eastAsia" w:ascii="宋体" w:hAnsi="宋体" w:eastAsia="宋体" w:cs="宋体"/>
          <w:b/>
          <w:bCs/>
          <w:kern w:val="2"/>
          <w:sz w:val="21"/>
          <w:szCs w:val="21"/>
        </w:rPr>
      </w:pPr>
      <w:bookmarkStart w:id="31" w:name="_Toc474235950"/>
      <w:bookmarkStart w:id="32" w:name="_Toc420948020"/>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eastAsia="宋体" w:cs="宋体"/>
          <w:b/>
          <w:bCs/>
          <w:kern w:val="2"/>
          <w:sz w:val="21"/>
          <w:szCs w:val="21"/>
          <w:lang w:val="en-US" w:eastAsia="zh-CN" w:bidi="ar"/>
        </w:rPr>
        <w:t xml:space="preserve"> 评分标准：</w:t>
      </w:r>
    </w:p>
    <w:p>
      <w:pPr>
        <w:keepNext w:val="0"/>
        <w:keepLines w:val="0"/>
        <w:widowControl w:val="0"/>
        <w:suppressLineNumbers w:val="0"/>
        <w:spacing w:before="0" w:beforeAutospacing="0" w:after="0" w:afterAutospacing="0" w:line="380" w:lineRule="exact"/>
        <w:ind w:left="0" w:right="0" w:firstLine="422" w:firstLineChars="200"/>
        <w:jc w:val="both"/>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具体评分细则如下：</w:t>
      </w:r>
    </w:p>
    <w:p>
      <w:pPr>
        <w:pStyle w:val="24"/>
        <w:ind w:left="0" w:leftChars="0" w:firstLine="0" w:firstLineChars="0"/>
        <w:jc w:val="left"/>
        <w:rPr>
          <w:rFonts w:hint="eastAsia" w:ascii="黑体" w:hAnsi="黑体" w:eastAsia="黑体" w:cs="黑体"/>
          <w:i w:val="0"/>
          <w:iCs w:val="0"/>
          <w:color w:val="FF0000"/>
          <w:sz w:val="28"/>
          <w:szCs w:val="28"/>
          <w:highlight w:val="yellow"/>
          <w:lang w:val="en-US" w:eastAsia="zh-CN"/>
        </w:rPr>
      </w:pPr>
      <w:r>
        <w:rPr>
          <w:rFonts w:hint="eastAsia" w:ascii="黑体" w:hAnsi="黑体" w:eastAsia="黑体" w:cs="黑体"/>
          <w:i w:val="0"/>
          <w:iCs w:val="0"/>
          <w:color w:val="FF0000"/>
          <w:sz w:val="28"/>
          <w:szCs w:val="28"/>
          <w:highlight w:val="yellow"/>
          <w:lang w:val="en-US" w:eastAsia="zh-CN"/>
        </w:rPr>
        <w:t>注：为方便电子评审，目录需关联至指定信息处，评审小组未找到相应资料视同为未提供。</w:t>
      </w:r>
    </w:p>
    <w:p>
      <w:pPr>
        <w:rPr>
          <w:rFonts w:hint="eastAsia"/>
          <w:lang w:val="en-US" w:eastAsia="zh-CN"/>
        </w:rPr>
      </w:pPr>
      <w:r>
        <w:rPr>
          <w:rFonts w:hint="eastAsia"/>
          <w:lang w:val="en-US" w:eastAsia="zh-CN"/>
        </w:rPr>
        <w:br w:type="page"/>
      </w:r>
    </w:p>
    <w:p>
      <w:pPr>
        <w:pStyle w:val="34"/>
        <w:rPr>
          <w:rFonts w:hint="eastAsia"/>
          <w:lang w:val="en-US" w:eastAsia="zh-CN"/>
        </w:rPr>
      </w:pPr>
    </w:p>
    <w:tbl>
      <w:tblPr>
        <w:tblStyle w:val="46"/>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5577"/>
        <w:gridCol w:w="876"/>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blHeader/>
          <w:jc w:val="center"/>
        </w:trPr>
        <w:tc>
          <w:tcPr>
            <w:tcW w:w="1308" w:type="dxa"/>
            <w:noWrap w:val="0"/>
            <w:vAlign w:val="center"/>
          </w:tcPr>
          <w:p>
            <w:pPr>
              <w:pStyle w:val="25"/>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项目</w:t>
            </w:r>
          </w:p>
        </w:tc>
        <w:tc>
          <w:tcPr>
            <w:tcW w:w="5577" w:type="dxa"/>
            <w:noWrap w:val="0"/>
            <w:vAlign w:val="center"/>
          </w:tcPr>
          <w:p>
            <w:pPr>
              <w:pStyle w:val="25"/>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评审内容</w:t>
            </w:r>
          </w:p>
        </w:tc>
        <w:tc>
          <w:tcPr>
            <w:tcW w:w="876" w:type="dxa"/>
            <w:noWrap w:val="0"/>
            <w:vAlign w:val="center"/>
          </w:tcPr>
          <w:p>
            <w:pPr>
              <w:pStyle w:val="25"/>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分值</w:t>
            </w:r>
          </w:p>
        </w:tc>
        <w:tc>
          <w:tcPr>
            <w:tcW w:w="1106" w:type="dxa"/>
            <w:noWrap w:val="0"/>
            <w:vAlign w:val="center"/>
          </w:tcPr>
          <w:p>
            <w:pPr>
              <w:pStyle w:val="25"/>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867" w:type="dxa"/>
            <w:gridSpan w:val="4"/>
            <w:noWrap w:val="0"/>
            <w:vAlign w:val="center"/>
          </w:tcPr>
          <w:p>
            <w:pPr>
              <w:pStyle w:val="25"/>
              <w:snapToGrid w:val="0"/>
              <w:spacing w:line="240" w:lineRule="exact"/>
              <w:rPr>
                <w:rFonts w:ascii="宋体" w:hAnsi="宋体" w:cs="Courier New"/>
                <w:b/>
                <w:color w:val="auto"/>
                <w:sz w:val="21"/>
                <w:szCs w:val="21"/>
                <w:highlight w:val="none"/>
              </w:rPr>
            </w:pPr>
            <w:r>
              <w:rPr>
                <w:rFonts w:hint="eastAsia" w:ascii="宋体" w:hAnsi="宋体" w:cs="Courier New"/>
                <w:b/>
                <w:color w:val="auto"/>
                <w:sz w:val="21"/>
                <w:szCs w:val="21"/>
                <w:highlight w:val="none"/>
              </w:rPr>
              <w:t>A：投标</w:t>
            </w:r>
            <w:r>
              <w:rPr>
                <w:rFonts w:hint="eastAsia" w:ascii="宋体" w:hAnsi="宋体" w:cs="Courier New"/>
                <w:b/>
                <w:color w:val="auto"/>
                <w:sz w:val="21"/>
                <w:szCs w:val="21"/>
                <w:highlight w:val="none"/>
                <w:lang w:eastAsia="zh-CN"/>
              </w:rPr>
              <w:t>报价</w:t>
            </w:r>
            <w:r>
              <w:rPr>
                <w:rFonts w:hint="eastAsia" w:ascii="宋体" w:hAnsi="宋体" w:cs="Courier New"/>
                <w:b/>
                <w:color w:val="auto"/>
                <w:sz w:val="21"/>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jc w:val="center"/>
        </w:trPr>
        <w:tc>
          <w:tcPr>
            <w:tcW w:w="1308" w:type="dxa"/>
            <w:noWrap w:val="0"/>
            <w:vAlign w:val="center"/>
          </w:tcPr>
          <w:p>
            <w:pPr>
              <w:pStyle w:val="25"/>
              <w:snapToGrid w:val="0"/>
              <w:spacing w:line="240" w:lineRule="exact"/>
              <w:jc w:val="center"/>
              <w:rPr>
                <w:rFonts w:hint="eastAsia" w:ascii="宋体" w:hAnsi="宋体" w:eastAsia="宋体" w:cs="Courier New"/>
                <w:color w:val="auto"/>
                <w:sz w:val="21"/>
                <w:szCs w:val="21"/>
                <w:highlight w:val="none"/>
                <w:lang w:eastAsia="zh-CN"/>
              </w:rPr>
            </w:pPr>
            <w:r>
              <w:rPr>
                <w:rFonts w:hint="eastAsia" w:ascii="宋体" w:hAnsi="宋体" w:cs="Courier New"/>
                <w:color w:val="auto"/>
                <w:sz w:val="21"/>
                <w:szCs w:val="21"/>
                <w:highlight w:val="none"/>
                <w:lang w:eastAsia="zh-CN"/>
              </w:rPr>
              <w:t>报价</w:t>
            </w:r>
          </w:p>
        </w:tc>
        <w:tc>
          <w:tcPr>
            <w:tcW w:w="5577" w:type="dxa"/>
            <w:noWrap w:val="0"/>
            <w:vAlign w:val="center"/>
          </w:tcPr>
          <w:p>
            <w:pPr>
              <w:pStyle w:val="25"/>
              <w:snapToGrid w:val="0"/>
              <w:spacing w:line="240" w:lineRule="exact"/>
              <w:rPr>
                <w:rFonts w:hint="eastAsia" w:ascii="宋体" w:hAnsi="宋体" w:cs="Courier New"/>
                <w:color w:val="auto"/>
                <w:sz w:val="21"/>
                <w:szCs w:val="21"/>
                <w:highlight w:val="none"/>
              </w:rPr>
            </w:pPr>
            <w:r>
              <w:rPr>
                <w:rFonts w:hint="eastAsia" w:ascii="宋体" w:hAnsi="宋体" w:cs="Courier New"/>
                <w:b/>
                <w:color w:val="auto"/>
                <w:sz w:val="21"/>
                <w:szCs w:val="21"/>
                <w:highlight w:val="none"/>
              </w:rPr>
              <w:t>投标报价得分=(评标基准价/</w:t>
            </w:r>
            <w:r>
              <w:rPr>
                <w:rFonts w:hint="eastAsia" w:ascii="宋体" w:hAnsi="宋体" w:cs="Courier New"/>
                <w:b/>
                <w:color w:val="auto"/>
                <w:kern w:val="0"/>
                <w:sz w:val="21"/>
                <w:szCs w:val="21"/>
                <w:highlight w:val="none"/>
              </w:rPr>
              <w:t>修正后</w:t>
            </w:r>
            <w:r>
              <w:rPr>
                <w:rFonts w:hint="eastAsia" w:ascii="宋体" w:hAnsi="宋体" w:cs="Courier New"/>
                <w:b/>
                <w:color w:val="auto"/>
                <w:sz w:val="21"/>
                <w:szCs w:val="21"/>
                <w:highlight w:val="none"/>
              </w:rPr>
              <w:t>投标报价)×</w:t>
            </w:r>
            <w:r>
              <w:rPr>
                <w:rFonts w:hint="eastAsia" w:ascii="宋体" w:hAnsi="宋体" w:cs="Courier New"/>
                <w:b/>
                <w:color w:val="auto"/>
                <w:sz w:val="21"/>
                <w:szCs w:val="21"/>
                <w:highlight w:val="none"/>
                <w:lang w:val="en-US" w:eastAsia="zh-CN"/>
              </w:rPr>
              <w:t>4</w:t>
            </w:r>
            <w:r>
              <w:rPr>
                <w:rFonts w:hint="eastAsia" w:ascii="宋体" w:hAnsi="宋体" w:cs="Courier New"/>
                <w:b/>
                <w:color w:val="auto"/>
                <w:sz w:val="21"/>
                <w:szCs w:val="21"/>
                <w:highlight w:val="none"/>
              </w:rPr>
              <w:t>0%×100</w:t>
            </w:r>
          </w:p>
          <w:p>
            <w:pPr>
              <w:pStyle w:val="25"/>
              <w:snapToGrid w:val="0"/>
              <w:spacing w:line="240" w:lineRule="exact"/>
              <w:rPr>
                <w:rFonts w:hint="eastAsia" w:ascii="宋体" w:hAnsi="宋体" w:cs="Courier New"/>
                <w:color w:val="auto"/>
                <w:sz w:val="21"/>
                <w:szCs w:val="21"/>
                <w:highlight w:val="none"/>
              </w:rPr>
            </w:pPr>
            <w:r>
              <w:rPr>
                <w:rFonts w:hint="eastAsia" w:ascii="宋体" w:hAnsi="宋体" w:cs="Courier New"/>
                <w:color w:val="auto"/>
                <w:sz w:val="21"/>
                <w:szCs w:val="21"/>
                <w:highlight w:val="none"/>
              </w:rPr>
              <w:t>备注：</w:t>
            </w:r>
          </w:p>
          <w:p>
            <w:pPr>
              <w:pStyle w:val="25"/>
              <w:snapToGrid w:val="0"/>
              <w:spacing w:line="240" w:lineRule="exact"/>
              <w:rPr>
                <w:rFonts w:hint="eastAsia" w:ascii="宋体" w:hAnsi="宋体" w:cs="Courier New"/>
                <w:color w:val="auto"/>
                <w:kern w:val="0"/>
                <w:sz w:val="21"/>
                <w:szCs w:val="21"/>
                <w:highlight w:val="none"/>
              </w:rPr>
            </w:pPr>
            <w:r>
              <w:rPr>
                <w:rFonts w:hint="eastAsia" w:ascii="宋体" w:hAnsi="宋体" w:cs="Courier New"/>
                <w:color w:val="auto"/>
                <w:kern w:val="0"/>
                <w:sz w:val="21"/>
                <w:szCs w:val="21"/>
                <w:highlight w:val="none"/>
              </w:rPr>
              <w:t>1.投标</w:t>
            </w:r>
            <w:r>
              <w:rPr>
                <w:rFonts w:hint="eastAsia" w:ascii="宋体" w:hAnsi="宋体" w:cs="Courier New"/>
                <w:color w:val="auto"/>
                <w:kern w:val="0"/>
                <w:sz w:val="21"/>
                <w:szCs w:val="21"/>
                <w:highlight w:val="none"/>
                <w:lang w:eastAsia="zh-CN"/>
              </w:rPr>
              <w:t>报价</w:t>
            </w:r>
            <w:r>
              <w:rPr>
                <w:rFonts w:hint="eastAsia" w:ascii="宋体" w:hAnsi="宋体" w:cs="Courier New"/>
                <w:color w:val="auto"/>
                <w:kern w:val="0"/>
                <w:sz w:val="21"/>
                <w:szCs w:val="21"/>
                <w:highlight w:val="none"/>
              </w:rPr>
              <w:t>评分采用低价优先法计算；</w:t>
            </w:r>
          </w:p>
          <w:p>
            <w:pPr>
              <w:pStyle w:val="25"/>
              <w:snapToGrid w:val="0"/>
              <w:spacing w:line="240" w:lineRule="exact"/>
              <w:rPr>
                <w:rFonts w:hint="eastAsia" w:ascii="宋体" w:hAnsi="宋体" w:cs="Courier New"/>
                <w:color w:val="auto"/>
                <w:kern w:val="0"/>
                <w:sz w:val="21"/>
                <w:szCs w:val="21"/>
                <w:highlight w:val="none"/>
              </w:rPr>
            </w:pPr>
            <w:r>
              <w:rPr>
                <w:rFonts w:hint="eastAsia" w:ascii="宋体" w:hAnsi="宋体" w:cs="Courier New"/>
                <w:color w:val="auto"/>
                <w:kern w:val="0"/>
                <w:sz w:val="21"/>
                <w:szCs w:val="21"/>
                <w:highlight w:val="none"/>
              </w:rPr>
              <w:t>2.评标基准价：满足招标文件要求且经算术修正，依据政府采购政策进行价格扣除后的有效最低报价为评标基准价；</w:t>
            </w:r>
          </w:p>
          <w:p>
            <w:pPr>
              <w:pStyle w:val="25"/>
              <w:snapToGrid w:val="0"/>
              <w:spacing w:line="240" w:lineRule="exact"/>
              <w:rPr>
                <w:rFonts w:hint="default" w:ascii="宋体" w:hAnsi="宋体" w:eastAsia="宋体" w:cs="Courier New"/>
                <w:color w:val="auto"/>
                <w:kern w:val="0"/>
                <w:sz w:val="21"/>
                <w:szCs w:val="21"/>
                <w:highlight w:val="none"/>
                <w:lang w:val="en-US" w:eastAsia="zh-CN"/>
              </w:rPr>
            </w:pPr>
            <w:r>
              <w:rPr>
                <w:rFonts w:hint="eastAsia" w:ascii="宋体" w:hAnsi="宋体" w:cs="Courier New"/>
                <w:color w:val="auto"/>
                <w:kern w:val="0"/>
                <w:sz w:val="21"/>
                <w:szCs w:val="21"/>
                <w:highlight w:val="none"/>
              </w:rPr>
              <w:t>3.修正后投标报价：评标委员会以开标一览表中投标报价为基础，对其进行算术修正，依据政府采购政策进行价格扣除后，作为投标报价计算的依据。</w:t>
            </w:r>
          </w:p>
        </w:tc>
        <w:tc>
          <w:tcPr>
            <w:tcW w:w="876" w:type="dxa"/>
            <w:noWrap w:val="0"/>
            <w:vAlign w:val="center"/>
          </w:tcPr>
          <w:p>
            <w:pPr>
              <w:pStyle w:val="25"/>
              <w:snapToGrid w:val="0"/>
              <w:spacing w:line="240" w:lineRule="exact"/>
              <w:jc w:val="center"/>
              <w:rPr>
                <w:rFonts w:ascii="宋体" w:hAnsi="宋体" w:cs="Courier New"/>
                <w:color w:val="auto"/>
                <w:sz w:val="21"/>
                <w:szCs w:val="21"/>
                <w:highlight w:val="none"/>
              </w:rPr>
            </w:pPr>
            <w:r>
              <w:rPr>
                <w:rFonts w:hint="eastAsia" w:ascii="宋体" w:hAnsi="宋体" w:cs="Courier New"/>
                <w:color w:val="auto"/>
                <w:sz w:val="21"/>
                <w:szCs w:val="21"/>
                <w:highlight w:val="none"/>
                <w:lang w:val="en-US" w:eastAsia="zh-CN"/>
              </w:rPr>
              <w:t>0-40</w:t>
            </w:r>
            <w:r>
              <w:rPr>
                <w:rFonts w:hint="eastAsia" w:ascii="宋体" w:hAnsi="宋体" w:cs="Courier New"/>
                <w:color w:val="auto"/>
                <w:sz w:val="21"/>
                <w:szCs w:val="21"/>
                <w:highlight w:val="none"/>
              </w:rPr>
              <w:t>分</w:t>
            </w:r>
          </w:p>
        </w:tc>
        <w:tc>
          <w:tcPr>
            <w:tcW w:w="1106" w:type="dxa"/>
            <w:noWrap w:val="0"/>
            <w:vAlign w:val="center"/>
          </w:tcPr>
          <w:p>
            <w:pPr>
              <w:pStyle w:val="25"/>
              <w:snapToGrid w:val="0"/>
              <w:spacing w:line="240" w:lineRule="exact"/>
              <w:jc w:val="center"/>
              <w:rPr>
                <w:rFonts w:ascii="宋体" w:hAnsi="宋体" w:cs="Courier New"/>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867" w:type="dxa"/>
            <w:gridSpan w:val="4"/>
            <w:noWrap w:val="0"/>
            <w:vAlign w:val="center"/>
          </w:tcPr>
          <w:p>
            <w:pPr>
              <w:pStyle w:val="25"/>
              <w:snapToGrid w:val="0"/>
              <w:spacing w:line="240" w:lineRule="exact"/>
              <w:rPr>
                <w:rFonts w:ascii="宋体" w:hAnsi="宋体" w:cs="Courier New"/>
                <w:b/>
                <w:color w:val="auto"/>
                <w:sz w:val="21"/>
                <w:szCs w:val="21"/>
                <w:highlight w:val="none"/>
              </w:rPr>
            </w:pPr>
            <w:r>
              <w:rPr>
                <w:rFonts w:hint="eastAsia" w:ascii="宋体" w:hAnsi="宋体" w:cs="Courier New"/>
                <w:b/>
                <w:color w:val="auto"/>
                <w:sz w:val="21"/>
                <w:szCs w:val="21"/>
                <w:highlight w:val="none"/>
              </w:rPr>
              <w:t>B：</w:t>
            </w:r>
            <w:r>
              <w:rPr>
                <w:rFonts w:hint="eastAsia" w:ascii="宋体" w:hAnsi="宋体" w:cs="Courier New"/>
                <w:b/>
                <w:color w:val="auto"/>
                <w:sz w:val="21"/>
                <w:szCs w:val="21"/>
                <w:highlight w:val="none"/>
                <w:lang w:eastAsia="zh-CN"/>
              </w:rPr>
              <w:t>技术</w:t>
            </w:r>
            <w:r>
              <w:rPr>
                <w:rFonts w:hint="eastAsia" w:ascii="宋体" w:hAnsi="宋体" w:cs="Courier New"/>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08" w:type="dxa"/>
            <w:noWrap w:val="0"/>
            <w:vAlign w:val="center"/>
          </w:tcPr>
          <w:p>
            <w:pPr>
              <w:spacing w:line="240" w:lineRule="exact"/>
              <w:jc w:val="center"/>
              <w:rPr>
                <w:rFonts w:hint="eastAsia" w:hAnsi="宋体" w:eastAsia="宋体"/>
                <w:color w:val="auto"/>
                <w:highlight w:val="none"/>
              </w:rPr>
            </w:pPr>
            <w:r>
              <w:rPr>
                <w:rFonts w:hint="eastAsia" w:hAnsi="宋体"/>
                <w:color w:val="auto"/>
                <w:highlight w:val="none"/>
                <w:lang w:val="en-US" w:eastAsia="zh-CN"/>
              </w:rPr>
              <w:t>1、投标产品技术参数响应程度</w:t>
            </w:r>
          </w:p>
        </w:tc>
        <w:tc>
          <w:tcPr>
            <w:tcW w:w="5577" w:type="dxa"/>
            <w:noWrap w:val="0"/>
            <w:vAlign w:val="center"/>
          </w:tcPr>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（1）采购需求中非标“★”且标红条款的技术参数要求无偏离的，得15分；</w:t>
            </w:r>
          </w:p>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（2）采购需求中非标“★”且标红条款的技术参数要求优于文件要求，每出现1条以上情形加0.5分，最多加5分；（</w:t>
            </w:r>
            <w:r>
              <w:rPr>
                <w:rFonts w:hint="eastAsia" w:ascii="宋体" w:hAnsi="宋体" w:cs="Courier New"/>
                <w:color w:val="auto"/>
                <w:sz w:val="21"/>
                <w:szCs w:val="21"/>
                <w:highlight w:val="none"/>
                <w:lang w:val="en-US" w:eastAsia="zh-CN"/>
              </w:rPr>
              <w:t>上述</w:t>
            </w:r>
            <w:r>
              <w:rPr>
                <w:rFonts w:hint="default" w:ascii="宋体" w:hAnsi="宋体" w:cs="Courier New"/>
                <w:color w:val="auto"/>
                <w:sz w:val="21"/>
                <w:szCs w:val="21"/>
                <w:highlight w:val="none"/>
                <w:lang w:val="en-US" w:eastAsia="zh-CN"/>
              </w:rPr>
              <w:t>两项评分最高得20分）</w:t>
            </w:r>
          </w:p>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（3）采购需求中非标“★”且标红条款的技术参数要求劣于文件要求、未做应答或缺漏项不足20条的，每出现1条以上情形减1分，</w:t>
            </w:r>
            <w:r>
              <w:rPr>
                <w:rFonts w:hint="eastAsia" w:ascii="宋体" w:hAnsi="宋体" w:cs="Courier New"/>
                <w:color w:val="auto"/>
                <w:sz w:val="21"/>
                <w:szCs w:val="21"/>
                <w:highlight w:val="none"/>
                <w:lang w:val="en-US" w:eastAsia="zh-CN"/>
              </w:rPr>
              <w:t>本项</w:t>
            </w:r>
            <w:r>
              <w:rPr>
                <w:rFonts w:hint="default" w:ascii="宋体" w:hAnsi="宋体" w:cs="Courier New"/>
                <w:color w:val="auto"/>
                <w:sz w:val="21"/>
                <w:szCs w:val="21"/>
                <w:highlight w:val="none"/>
                <w:lang w:val="en-US" w:eastAsia="zh-CN"/>
              </w:rPr>
              <w:t>最低得0分；</w:t>
            </w:r>
          </w:p>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（4）采购需求中非标“★”且标红条款的技术参数要求劣于文件要求或未做应答≥20条的，本项得0分。</w:t>
            </w:r>
          </w:p>
          <w:p>
            <w:pPr>
              <w:pStyle w:val="25"/>
              <w:snapToGrid w:val="0"/>
              <w:spacing w:line="280" w:lineRule="exact"/>
              <w:rPr>
                <w:rFonts w:hint="default" w:ascii="宋体" w:hAnsi="宋体" w:cs="Courier New"/>
                <w:color w:val="auto"/>
                <w:sz w:val="21"/>
                <w:szCs w:val="21"/>
                <w:highlight w:val="none"/>
                <w:lang w:val="en-US" w:eastAsia="zh-CN"/>
              </w:rPr>
            </w:pPr>
            <w:r>
              <w:rPr>
                <w:rFonts w:hint="eastAsia" w:ascii="宋体" w:hAnsi="宋体" w:cs="Courier New"/>
                <w:color w:val="auto"/>
                <w:sz w:val="21"/>
                <w:szCs w:val="21"/>
                <w:highlight w:val="none"/>
                <w:lang w:val="en-US" w:eastAsia="zh-CN"/>
              </w:rPr>
              <w:t>注：本评分项第（2）条情形，投标人需提供国家认可的认证（检测）机构出具检测报告，检测报告中相应参数指标未达到相应偏离数据，不得分。</w:t>
            </w:r>
          </w:p>
        </w:tc>
        <w:tc>
          <w:tcPr>
            <w:tcW w:w="876" w:type="dxa"/>
            <w:noWrap w:val="0"/>
            <w:vAlign w:val="center"/>
          </w:tcPr>
          <w:p>
            <w:pPr>
              <w:pStyle w:val="32"/>
              <w:snapToGrid w:val="0"/>
              <w:spacing w:line="240" w:lineRule="exact"/>
              <w:jc w:val="center"/>
              <w:rPr>
                <w:rFonts w:hint="eastAsia" w:ascii="宋体" w:hAnsi="宋体"/>
                <w:bCs/>
                <w:color w:val="auto"/>
                <w:sz w:val="21"/>
                <w:szCs w:val="21"/>
                <w:highlight w:val="none"/>
                <w:lang w:val="en-US" w:eastAsia="zh-CN"/>
              </w:rPr>
            </w:pPr>
            <w:r>
              <w:rPr>
                <w:rFonts w:hint="eastAsia" w:ascii="宋体" w:hAnsi="宋体" w:cs="Courier New"/>
                <w:b w:val="0"/>
                <w:color w:val="auto"/>
                <w:sz w:val="21"/>
                <w:szCs w:val="21"/>
                <w:highlight w:val="none"/>
                <w:lang w:val="en-US" w:eastAsia="zh-CN"/>
              </w:rPr>
              <w:t>0-20</w:t>
            </w:r>
            <w:r>
              <w:rPr>
                <w:rFonts w:hint="eastAsia" w:ascii="宋体" w:hAnsi="宋体" w:cs="Courier New"/>
                <w:b w:val="0"/>
                <w:color w:val="auto"/>
                <w:sz w:val="21"/>
                <w:szCs w:val="21"/>
                <w:highlight w:val="none"/>
              </w:rPr>
              <w:t>分</w:t>
            </w:r>
          </w:p>
        </w:tc>
        <w:tc>
          <w:tcPr>
            <w:tcW w:w="1106" w:type="dxa"/>
            <w:noWrap w:val="0"/>
            <w:vAlign w:val="center"/>
          </w:tcPr>
          <w:p>
            <w:pPr>
              <w:pStyle w:val="25"/>
              <w:snapToGrid w:val="0"/>
              <w:spacing w:line="2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5" w:hRule="atLeast"/>
          <w:jc w:val="center"/>
        </w:trPr>
        <w:tc>
          <w:tcPr>
            <w:tcW w:w="1308" w:type="dxa"/>
            <w:noWrap w:val="0"/>
            <w:vAlign w:val="center"/>
          </w:tcPr>
          <w:p>
            <w:pPr>
              <w:spacing w:line="240" w:lineRule="exact"/>
              <w:rPr>
                <w:rFonts w:hint="eastAsia" w:hAnsi="宋体" w:eastAsia="宋体"/>
                <w:color w:val="auto"/>
                <w:highlight w:val="none"/>
              </w:rPr>
            </w:pPr>
            <w:r>
              <w:rPr>
                <w:rFonts w:hint="eastAsia" w:ascii="宋体" w:hAnsi="宋体"/>
                <w:color w:val="000000"/>
                <w:sz w:val="24"/>
                <w:lang w:val="en-US" w:eastAsia="zh-CN"/>
              </w:rPr>
              <w:t>2、实施方案评价</w:t>
            </w:r>
          </w:p>
        </w:tc>
        <w:tc>
          <w:tcPr>
            <w:tcW w:w="5577" w:type="dxa"/>
            <w:noWrap w:val="0"/>
            <w:vAlign w:val="center"/>
          </w:tcPr>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针对本项目特性，根据投标单位对本项目的理解制定实施方案（包括</w:t>
            </w:r>
            <w:r>
              <w:rPr>
                <w:rFonts w:hint="default" w:ascii="宋体" w:hAnsi="宋体" w:cs="Courier New"/>
                <w:b/>
                <w:bCs/>
                <w:color w:val="auto"/>
                <w:sz w:val="21"/>
                <w:szCs w:val="21"/>
                <w:highlight w:val="none"/>
                <w:lang w:val="en-US" w:eastAsia="zh-CN"/>
              </w:rPr>
              <w:t>运输、供货、安装及调试以及工作时间进度表、工作程序和步骤、管理和协调方法、关键步骤的思路和重点要点、安全措施、项目质量保证体系及保证措施</w:t>
            </w:r>
            <w:r>
              <w:rPr>
                <w:rFonts w:hint="default" w:ascii="宋体" w:hAnsi="宋体" w:cs="Courier New"/>
                <w:color w:val="auto"/>
                <w:sz w:val="21"/>
                <w:szCs w:val="21"/>
                <w:highlight w:val="none"/>
                <w:lang w:val="en-US" w:eastAsia="zh-CN"/>
              </w:rPr>
              <w:t>等实施要点）的描述。</w:t>
            </w:r>
          </w:p>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①方案内容详细、合理、可实施性强，方案内容涵盖上述全部实施要点内容，充分满足采购需求的计10分；</w:t>
            </w:r>
          </w:p>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②方案内容不够详细、基本合理、可实施，方案内容存在1-2处漏项或存在1-2处描述实施要点内容不完善，满足采购需求的计7分；</w:t>
            </w:r>
          </w:p>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③方案内容基本合理、基本可实施，方案内容存在3-4处漏项或存在3-4处描述实施要点内容不完善，基本满足采购需求的计5分；</w:t>
            </w:r>
          </w:p>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④方案内容不合理、方案内容有5处及以上漏项，无法满足采购需求的计0分；</w:t>
            </w:r>
          </w:p>
          <w:p>
            <w:pPr>
              <w:pStyle w:val="25"/>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⑤其他不得分。</w:t>
            </w:r>
          </w:p>
          <w:p>
            <w:pPr>
              <w:pStyle w:val="25"/>
              <w:snapToGrid w:val="0"/>
              <w:spacing w:line="280" w:lineRule="exact"/>
              <w:rPr>
                <w:rFonts w:hint="default" w:ascii="宋体" w:hAnsi="宋体" w:cs="Courier New"/>
                <w:b/>
                <w:bCs/>
                <w:color w:val="auto"/>
                <w:sz w:val="21"/>
                <w:szCs w:val="21"/>
                <w:highlight w:val="none"/>
                <w:lang w:val="en-US" w:eastAsia="zh-CN"/>
              </w:rPr>
            </w:pPr>
            <w:r>
              <w:rPr>
                <w:rFonts w:hint="default" w:ascii="宋体" w:hAnsi="宋体" w:cs="Courier New"/>
                <w:color w:val="auto"/>
                <w:sz w:val="21"/>
                <w:szCs w:val="21"/>
                <w:highlight w:val="none"/>
                <w:lang w:val="en-US" w:eastAsia="zh-CN"/>
              </w:rPr>
              <w:t>注：</w:t>
            </w:r>
            <w:r>
              <w:rPr>
                <w:rFonts w:hint="eastAsia" w:ascii="宋体" w:hAnsi="宋体" w:cs="Courier New"/>
                <w:b/>
                <w:bCs/>
                <w:color w:val="auto"/>
                <w:sz w:val="21"/>
                <w:szCs w:val="21"/>
                <w:highlight w:val="none"/>
                <w:lang w:val="en-US" w:eastAsia="zh-CN"/>
              </w:rPr>
              <w:t>“</w:t>
            </w:r>
            <w:r>
              <w:rPr>
                <w:rFonts w:hint="default" w:ascii="宋体" w:hAnsi="宋体" w:cs="Courier New"/>
                <w:b/>
                <w:bCs/>
                <w:color w:val="auto"/>
                <w:sz w:val="21"/>
                <w:szCs w:val="21"/>
                <w:highlight w:val="none"/>
                <w:lang w:val="en-US" w:eastAsia="zh-CN"/>
              </w:rPr>
              <w:t>漏项</w:t>
            </w:r>
            <w:r>
              <w:rPr>
                <w:rFonts w:hint="eastAsia" w:ascii="宋体" w:hAnsi="宋体" w:cs="Courier New"/>
                <w:b/>
                <w:bCs/>
                <w:color w:val="auto"/>
                <w:sz w:val="21"/>
                <w:szCs w:val="21"/>
                <w:highlight w:val="none"/>
                <w:lang w:val="en-US" w:eastAsia="zh-CN"/>
              </w:rPr>
              <w:t>”</w:t>
            </w:r>
            <w:r>
              <w:rPr>
                <w:rFonts w:hint="default" w:ascii="宋体" w:hAnsi="宋体" w:cs="Courier New"/>
                <w:b/>
                <w:bCs/>
                <w:color w:val="auto"/>
                <w:sz w:val="21"/>
                <w:szCs w:val="21"/>
                <w:highlight w:val="none"/>
                <w:lang w:val="en-US" w:eastAsia="zh-CN"/>
              </w:rPr>
              <w:t>指上述加粗字体的实施要点在实施方案中未描述</w:t>
            </w:r>
          </w:p>
          <w:p>
            <w:pPr>
              <w:pStyle w:val="25"/>
              <w:snapToGrid w:val="0"/>
              <w:spacing w:line="280" w:lineRule="exact"/>
              <w:rPr>
                <w:rFonts w:hint="default" w:ascii="宋体" w:hAnsi="宋体" w:cs="Courier New"/>
                <w:color w:val="auto"/>
                <w:sz w:val="21"/>
                <w:szCs w:val="21"/>
                <w:highlight w:val="none"/>
                <w:lang w:val="en-US" w:eastAsia="zh-CN"/>
              </w:rPr>
            </w:pPr>
            <w:r>
              <w:rPr>
                <w:rFonts w:hint="eastAsia" w:ascii="宋体" w:hAnsi="宋体" w:cs="Courier New"/>
                <w:b/>
                <w:bCs/>
                <w:color w:val="auto"/>
                <w:sz w:val="21"/>
                <w:szCs w:val="21"/>
                <w:highlight w:val="none"/>
                <w:lang w:val="en-US" w:eastAsia="zh-CN"/>
              </w:rPr>
              <w:t>“</w:t>
            </w:r>
            <w:r>
              <w:rPr>
                <w:rFonts w:hint="default" w:ascii="宋体" w:hAnsi="宋体" w:cs="Courier New"/>
                <w:b/>
                <w:bCs/>
                <w:color w:val="auto"/>
                <w:sz w:val="21"/>
                <w:szCs w:val="21"/>
                <w:highlight w:val="none"/>
                <w:lang w:val="en-US" w:eastAsia="zh-CN"/>
              </w:rPr>
              <w:t>不完善</w:t>
            </w:r>
            <w:r>
              <w:rPr>
                <w:rFonts w:hint="eastAsia" w:ascii="宋体" w:hAnsi="宋体" w:cs="Courier New"/>
                <w:b/>
                <w:bCs/>
                <w:color w:val="auto"/>
                <w:sz w:val="21"/>
                <w:szCs w:val="21"/>
                <w:highlight w:val="none"/>
                <w:lang w:val="en-US" w:eastAsia="zh-CN"/>
              </w:rPr>
              <w:t>”</w:t>
            </w:r>
            <w:r>
              <w:rPr>
                <w:rFonts w:hint="default" w:ascii="宋体" w:hAnsi="宋体" w:cs="Courier New"/>
                <w:b/>
                <w:bCs/>
                <w:color w:val="auto"/>
                <w:sz w:val="21"/>
                <w:szCs w:val="21"/>
                <w:highlight w:val="none"/>
                <w:lang w:val="en-US" w:eastAsia="zh-CN"/>
              </w:rPr>
              <w:t>指各投标人在实施方案中对实施要点描述的横向对比中存在切实有效细节差异。</w:t>
            </w:r>
          </w:p>
        </w:tc>
        <w:tc>
          <w:tcPr>
            <w:tcW w:w="876" w:type="dxa"/>
            <w:noWrap w:val="0"/>
            <w:vAlign w:val="center"/>
          </w:tcPr>
          <w:p>
            <w:pPr>
              <w:pStyle w:val="25"/>
              <w:snapToGrid w:val="0"/>
              <w:spacing w:line="280" w:lineRule="exact"/>
              <w:jc w:val="center"/>
              <w:rPr>
                <w:rFonts w:hint="eastAsia" w:ascii="宋体" w:hAnsi="宋体"/>
                <w:bCs/>
                <w:color w:val="auto"/>
                <w:sz w:val="21"/>
                <w:szCs w:val="21"/>
                <w:highlight w:val="none"/>
                <w:lang w:val="en-US" w:eastAsia="zh-CN"/>
              </w:rPr>
            </w:pPr>
            <w:r>
              <w:rPr>
                <w:rFonts w:hint="eastAsia" w:ascii="宋体" w:hAnsi="宋体" w:cs="Courier New"/>
                <w:color w:val="auto"/>
                <w:sz w:val="21"/>
                <w:szCs w:val="21"/>
                <w:highlight w:val="none"/>
                <w:lang w:val="en-US" w:eastAsia="zh-CN"/>
              </w:rPr>
              <w:t>0-10分</w:t>
            </w:r>
          </w:p>
        </w:tc>
        <w:tc>
          <w:tcPr>
            <w:tcW w:w="1106" w:type="dxa"/>
            <w:noWrap w:val="0"/>
            <w:vAlign w:val="center"/>
          </w:tcPr>
          <w:p>
            <w:pPr>
              <w:pStyle w:val="25"/>
              <w:snapToGrid w:val="0"/>
              <w:spacing w:line="2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308" w:type="dxa"/>
            <w:noWrap w:val="0"/>
            <w:vAlign w:val="center"/>
          </w:tcPr>
          <w:p>
            <w:pPr>
              <w:spacing w:line="240" w:lineRule="exact"/>
              <w:rPr>
                <w:rFonts w:hint="eastAsia" w:hAnsi="宋体" w:eastAsia="宋体"/>
                <w:color w:val="auto"/>
                <w:highlight w:val="none"/>
              </w:rPr>
            </w:pPr>
            <w:r>
              <w:rPr>
                <w:rFonts w:hint="eastAsia" w:hAnsi="宋体"/>
                <w:color w:val="auto"/>
                <w:highlight w:val="none"/>
                <w:lang w:val="en-US" w:eastAsia="zh-CN"/>
              </w:rPr>
              <w:t>3、</w:t>
            </w:r>
            <w:r>
              <w:rPr>
                <w:rFonts w:hint="eastAsia"/>
              </w:rPr>
              <w:t>售后服务方案</w:t>
            </w:r>
          </w:p>
        </w:tc>
        <w:tc>
          <w:tcPr>
            <w:tcW w:w="5577" w:type="dxa"/>
            <w:noWrap w:val="0"/>
            <w:vAlign w:val="center"/>
          </w:tcPr>
          <w:p>
            <w:pPr>
              <w:rPr>
                <w:rFonts w:hint="eastAsia"/>
              </w:rPr>
            </w:pPr>
            <w:r>
              <w:rPr>
                <w:rFonts w:hint="eastAsia"/>
              </w:rPr>
              <w:t>①供应商设有正规完善的售后维修服务机构，有至少1名的专职工程师，提供24小时故障响应，12小时之内工程师修复并排除故障的应急</w:t>
            </w:r>
            <w:r>
              <w:rPr>
                <w:rFonts w:hint="eastAsia"/>
                <w:lang w:val="en-US" w:eastAsia="zh-CN"/>
              </w:rPr>
              <w:t>响应</w:t>
            </w:r>
            <w:r>
              <w:rPr>
                <w:rFonts w:hint="eastAsia"/>
              </w:rPr>
              <w:t>方案。</w:t>
            </w:r>
          </w:p>
          <w:p>
            <w:pPr>
              <w:numPr>
                <w:ilvl w:val="0"/>
                <w:numId w:val="5"/>
              </w:numPr>
              <w:rPr>
                <w:rFonts w:hint="eastAsia"/>
                <w:lang w:val="en-US" w:eastAsia="zh-CN"/>
              </w:rPr>
            </w:pPr>
            <w:r>
              <w:rPr>
                <w:rFonts w:hint="eastAsia"/>
                <w:lang w:val="en-US" w:eastAsia="zh-CN"/>
              </w:rPr>
              <w:t>应急响应</w:t>
            </w:r>
            <w:r>
              <w:rPr>
                <w:rFonts w:hint="eastAsia"/>
              </w:rPr>
              <w:t>方案</w:t>
            </w:r>
            <w:r>
              <w:rPr>
                <w:rFonts w:hint="eastAsia"/>
                <w:lang w:val="en-US" w:eastAsia="zh-CN"/>
              </w:rPr>
              <w:t>可实施性强且描述</w:t>
            </w:r>
            <w:r>
              <w:rPr>
                <w:rFonts w:hint="eastAsia"/>
              </w:rPr>
              <w:t>合理可行</w:t>
            </w:r>
            <w:r>
              <w:rPr>
                <w:rFonts w:hint="eastAsia"/>
                <w:lang w:eastAsia="zh-CN"/>
              </w:rPr>
              <w:t>，</w:t>
            </w:r>
            <w:r>
              <w:rPr>
                <w:rFonts w:hint="eastAsia"/>
                <w:lang w:val="en-US" w:eastAsia="zh-CN"/>
              </w:rPr>
              <w:t>2</w:t>
            </w:r>
            <w:r>
              <w:rPr>
                <w:rFonts w:hint="eastAsia"/>
              </w:rPr>
              <w:t>个小时</w:t>
            </w:r>
            <w:r>
              <w:rPr>
                <w:rFonts w:hint="eastAsia"/>
                <w:lang w:val="en-US" w:eastAsia="zh-CN"/>
              </w:rPr>
              <w:t>内</w:t>
            </w:r>
            <w:r>
              <w:rPr>
                <w:rFonts w:hint="eastAsia"/>
              </w:rPr>
              <w:t>技术人员能到达现场，8个小时</w:t>
            </w:r>
            <w:r>
              <w:rPr>
                <w:rFonts w:hint="eastAsia"/>
                <w:lang w:val="en-US" w:eastAsia="zh-CN"/>
              </w:rPr>
              <w:t>内</w:t>
            </w:r>
            <w:r>
              <w:rPr>
                <w:rFonts w:hint="eastAsia"/>
              </w:rPr>
              <w:t>解决问题</w:t>
            </w:r>
            <w:r>
              <w:rPr>
                <w:rFonts w:hint="eastAsia"/>
                <w:lang w:eastAsia="zh-CN"/>
              </w:rPr>
              <w:t>，</w:t>
            </w:r>
            <w:r>
              <w:rPr>
                <w:rFonts w:hint="eastAsia"/>
                <w:lang w:val="en-US" w:eastAsia="zh-CN"/>
              </w:rPr>
              <w:t>得12分；</w:t>
            </w:r>
          </w:p>
          <w:p>
            <w:pPr>
              <w:numPr>
                <w:ilvl w:val="0"/>
                <w:numId w:val="5"/>
              </w:numPr>
              <w:rPr>
                <w:rFonts w:hint="default" w:eastAsiaTheme="minorEastAsia"/>
                <w:lang w:val="en-US" w:eastAsia="zh-CN"/>
              </w:rPr>
            </w:pPr>
            <w:r>
              <w:rPr>
                <w:rFonts w:hint="eastAsia"/>
                <w:lang w:val="en-US" w:eastAsia="zh-CN"/>
              </w:rPr>
              <w:t>应急响应</w:t>
            </w:r>
            <w:r>
              <w:rPr>
                <w:rFonts w:hint="eastAsia"/>
              </w:rPr>
              <w:t>方案</w:t>
            </w:r>
            <w:r>
              <w:rPr>
                <w:rFonts w:hint="eastAsia"/>
                <w:lang w:val="en-US" w:eastAsia="zh-CN"/>
              </w:rPr>
              <w:t>可实施性一般，描述较为</w:t>
            </w:r>
            <w:r>
              <w:rPr>
                <w:rFonts w:hint="eastAsia"/>
              </w:rPr>
              <w:t>合理</w:t>
            </w:r>
            <w:r>
              <w:rPr>
                <w:rFonts w:hint="eastAsia"/>
                <w:lang w:eastAsia="zh-CN"/>
              </w:rPr>
              <w:t>，</w:t>
            </w:r>
            <w:r>
              <w:rPr>
                <w:rFonts w:hint="eastAsia"/>
                <w:lang w:val="en-US" w:eastAsia="zh-CN"/>
              </w:rPr>
              <w:t>2-</w:t>
            </w:r>
            <w:r>
              <w:rPr>
                <w:rFonts w:hint="eastAsia"/>
              </w:rPr>
              <w:t>4个小时</w:t>
            </w:r>
            <w:r>
              <w:rPr>
                <w:rFonts w:hint="eastAsia"/>
                <w:lang w:val="en-US" w:eastAsia="zh-CN"/>
              </w:rPr>
              <w:t>内</w:t>
            </w:r>
            <w:r>
              <w:rPr>
                <w:rFonts w:hint="eastAsia"/>
              </w:rPr>
              <w:t>技术人员能到达现场，</w:t>
            </w:r>
            <w:r>
              <w:rPr>
                <w:rFonts w:hint="eastAsia"/>
                <w:lang w:val="en-US" w:eastAsia="zh-CN"/>
              </w:rPr>
              <w:t>8-</w:t>
            </w:r>
            <w:r>
              <w:rPr>
                <w:rFonts w:hint="eastAsia"/>
              </w:rPr>
              <w:t>12个小时</w:t>
            </w:r>
            <w:r>
              <w:rPr>
                <w:rFonts w:hint="eastAsia"/>
                <w:lang w:val="en-US" w:eastAsia="zh-CN"/>
              </w:rPr>
              <w:t>内</w:t>
            </w:r>
            <w:r>
              <w:rPr>
                <w:rFonts w:hint="eastAsia"/>
              </w:rPr>
              <w:t>解决问题</w:t>
            </w:r>
            <w:r>
              <w:rPr>
                <w:rFonts w:hint="eastAsia"/>
                <w:lang w:eastAsia="zh-CN"/>
              </w:rPr>
              <w:t>，</w:t>
            </w:r>
            <w:r>
              <w:rPr>
                <w:rFonts w:hint="eastAsia"/>
                <w:lang w:val="en-US" w:eastAsia="zh-CN"/>
              </w:rPr>
              <w:t>得6分；</w:t>
            </w:r>
          </w:p>
          <w:p>
            <w:pPr>
              <w:pStyle w:val="34"/>
              <w:rPr>
                <w:rFonts w:hint="default"/>
                <w:lang w:val="en-US" w:eastAsia="zh-CN"/>
              </w:rPr>
            </w:pPr>
            <w:r>
              <w:rPr>
                <w:rFonts w:hint="eastAsia"/>
                <w:lang w:val="en-US" w:eastAsia="zh-CN"/>
              </w:rPr>
              <w:t>3、应急响应方案描述不合理，可实施性差，4</w:t>
            </w:r>
            <w:r>
              <w:rPr>
                <w:rFonts w:hint="eastAsia"/>
              </w:rPr>
              <w:t>个小时</w:t>
            </w:r>
            <w:r>
              <w:rPr>
                <w:rFonts w:hint="eastAsia"/>
                <w:lang w:val="en-US" w:eastAsia="zh-CN"/>
              </w:rPr>
              <w:t>以上</w:t>
            </w:r>
            <w:r>
              <w:rPr>
                <w:rFonts w:hint="eastAsia"/>
              </w:rPr>
              <w:t>技术人员能到达现场，</w:t>
            </w:r>
            <w:r>
              <w:rPr>
                <w:rFonts w:hint="eastAsia"/>
                <w:lang w:val="en-US" w:eastAsia="zh-CN"/>
              </w:rPr>
              <w:t>12</w:t>
            </w:r>
            <w:r>
              <w:rPr>
                <w:rFonts w:hint="eastAsia"/>
              </w:rPr>
              <w:t>个小时</w:t>
            </w:r>
            <w:r>
              <w:rPr>
                <w:rFonts w:hint="eastAsia"/>
                <w:lang w:val="en-US" w:eastAsia="zh-CN"/>
              </w:rPr>
              <w:t>以上</w:t>
            </w:r>
            <w:r>
              <w:rPr>
                <w:rFonts w:hint="eastAsia"/>
              </w:rPr>
              <w:t>解决问题</w:t>
            </w:r>
            <w:r>
              <w:rPr>
                <w:rFonts w:hint="eastAsia"/>
                <w:lang w:eastAsia="zh-CN"/>
              </w:rPr>
              <w:t>，</w:t>
            </w:r>
            <w:r>
              <w:rPr>
                <w:rFonts w:hint="eastAsia"/>
                <w:lang w:val="en-US" w:eastAsia="zh-CN"/>
              </w:rPr>
              <w:t>不得分。</w:t>
            </w:r>
          </w:p>
        </w:tc>
        <w:tc>
          <w:tcPr>
            <w:tcW w:w="876" w:type="dxa"/>
            <w:noWrap w:val="0"/>
            <w:vAlign w:val="center"/>
          </w:tcPr>
          <w:p>
            <w:pPr>
              <w:pStyle w:val="25"/>
              <w:snapToGrid w:val="0"/>
              <w:spacing w:line="280" w:lineRule="exact"/>
              <w:jc w:val="center"/>
              <w:rPr>
                <w:rFonts w:hint="eastAsia" w:ascii="宋体" w:hAnsi="宋体"/>
                <w:bCs/>
                <w:color w:val="auto"/>
                <w:sz w:val="21"/>
                <w:szCs w:val="21"/>
                <w:highlight w:val="none"/>
                <w:lang w:val="en-US" w:eastAsia="zh-CN"/>
              </w:rPr>
            </w:pPr>
            <w:r>
              <w:rPr>
                <w:rFonts w:hint="eastAsia" w:ascii="宋体" w:hAnsi="宋体" w:cs="宋体"/>
                <w:bCs/>
                <w:color w:val="auto"/>
                <w:sz w:val="21"/>
                <w:szCs w:val="21"/>
                <w:highlight w:val="none"/>
                <w:lang w:val="en-US" w:eastAsia="zh-CN"/>
              </w:rPr>
              <w:t>0-12</w:t>
            </w:r>
            <w:r>
              <w:rPr>
                <w:rFonts w:hint="eastAsia" w:ascii="宋体" w:hAnsi="宋体" w:cs="宋体"/>
                <w:bCs/>
                <w:color w:val="auto"/>
                <w:sz w:val="21"/>
                <w:szCs w:val="21"/>
                <w:highlight w:val="none"/>
              </w:rPr>
              <w:t>分</w:t>
            </w:r>
          </w:p>
        </w:tc>
        <w:tc>
          <w:tcPr>
            <w:tcW w:w="1106" w:type="dxa"/>
            <w:noWrap w:val="0"/>
            <w:vAlign w:val="center"/>
          </w:tcPr>
          <w:p>
            <w:pPr>
              <w:pStyle w:val="25"/>
              <w:snapToGrid w:val="0"/>
              <w:spacing w:line="240" w:lineRule="exact"/>
              <w:rPr>
                <w:rFonts w:hint="eastAsia"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67" w:type="dxa"/>
            <w:gridSpan w:val="4"/>
            <w:noWrap w:val="0"/>
            <w:vAlign w:val="center"/>
          </w:tcPr>
          <w:p>
            <w:pPr>
              <w:spacing w:line="240" w:lineRule="exact"/>
              <w:jc w:val="left"/>
              <w:rPr>
                <w:color w:val="auto"/>
                <w:highlight w:val="none"/>
              </w:rPr>
            </w:pPr>
            <w:r>
              <w:rPr>
                <w:rFonts w:hint="eastAsia" w:ascii="宋体" w:hAnsi="宋体" w:cs="Courier New"/>
                <w:b/>
                <w:bCs/>
                <w:color w:val="auto"/>
                <w:szCs w:val="21"/>
                <w:highlight w:val="none"/>
              </w:rPr>
              <w:t>C:</w:t>
            </w:r>
            <w:r>
              <w:rPr>
                <w:rFonts w:hint="eastAsia" w:ascii="宋体" w:hAnsi="宋体" w:cs="Courier New"/>
                <w:b/>
                <w:bCs/>
                <w:color w:val="auto"/>
                <w:szCs w:val="21"/>
                <w:highlight w:val="none"/>
                <w:lang w:eastAsia="zh-CN"/>
              </w:rPr>
              <w:t>商务</w:t>
            </w:r>
            <w:r>
              <w:rPr>
                <w:rFonts w:hint="eastAsia" w:ascii="宋体" w:hAnsi="宋体" w:cs="Courier New"/>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spacing w:line="240" w:lineRule="exact"/>
              <w:rPr>
                <w:rFonts w:hint="eastAsia" w:ascii="宋体" w:hAnsi="宋体" w:eastAsia="宋体" w:cs="Courier New"/>
                <w:color w:val="auto"/>
                <w:kern w:val="2"/>
                <w:sz w:val="21"/>
                <w:szCs w:val="21"/>
                <w:highlight w:val="none"/>
                <w:lang w:val="en-US" w:eastAsia="zh-CN" w:bidi="ar-SA"/>
              </w:rPr>
            </w:pPr>
            <w:r>
              <w:rPr>
                <w:rFonts w:hint="eastAsia" w:hAnsi="宋体"/>
                <w:color w:val="auto"/>
                <w:highlight w:val="none"/>
                <w:lang w:val="en-US" w:eastAsia="zh-CN"/>
              </w:rPr>
              <w:t>4、</w:t>
            </w:r>
            <w:r>
              <w:rPr>
                <w:rFonts w:hint="eastAsia"/>
              </w:rPr>
              <w:t>人员配备</w:t>
            </w:r>
          </w:p>
        </w:tc>
        <w:tc>
          <w:tcPr>
            <w:tcW w:w="5577" w:type="dxa"/>
            <w:noWrap w:val="0"/>
            <w:vAlign w:val="center"/>
          </w:tcPr>
          <w:p>
            <w:pPr>
              <w:pStyle w:val="34"/>
              <w:rPr>
                <w:rFonts w:hint="default" w:ascii="宋体" w:hAnsi="宋体" w:eastAsia="宋体" w:cs="Courier New"/>
                <w:color w:val="auto"/>
                <w:kern w:val="2"/>
                <w:sz w:val="21"/>
                <w:szCs w:val="21"/>
                <w:highlight w:val="none"/>
                <w:lang w:val="en-US" w:eastAsia="zh-CN" w:bidi="ar-SA"/>
              </w:rPr>
            </w:pPr>
            <w:r>
              <w:rPr>
                <w:rFonts w:hint="eastAsia"/>
              </w:rPr>
              <w:t>项目负责人</w:t>
            </w:r>
            <w:r>
              <w:rPr>
                <w:rFonts w:hint="eastAsia"/>
                <w:lang w:val="en-US" w:eastAsia="zh-CN"/>
              </w:rPr>
              <w:t>及专职售后服务工程师需</w:t>
            </w:r>
            <w:r>
              <w:rPr>
                <w:rFonts w:hint="eastAsia"/>
              </w:rPr>
              <w:t>具备中级（及）以上工程师职称，专业类别为自动化、电气、机电等专业，满足其中任意1个专业即可得3分，</w:t>
            </w:r>
            <w:r>
              <w:rPr>
                <w:rFonts w:hint="eastAsia"/>
                <w:lang w:val="en-US" w:eastAsia="zh-CN"/>
              </w:rPr>
              <w:t>本项最高得6分。</w:t>
            </w:r>
          </w:p>
        </w:tc>
        <w:tc>
          <w:tcPr>
            <w:tcW w:w="876" w:type="dxa"/>
            <w:noWrap w:val="0"/>
            <w:vAlign w:val="center"/>
          </w:tcPr>
          <w:p>
            <w:pPr>
              <w:pStyle w:val="25"/>
              <w:snapToGrid w:val="0"/>
              <w:spacing w:line="28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0-6分</w:t>
            </w:r>
          </w:p>
        </w:tc>
        <w:tc>
          <w:tcPr>
            <w:tcW w:w="1106" w:type="dxa"/>
            <w:noWrap w:val="0"/>
            <w:vAlign w:val="center"/>
          </w:tcPr>
          <w:p>
            <w:pPr>
              <w:pStyle w:val="25"/>
              <w:snapToGrid w:val="0"/>
              <w:spacing w:line="2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spacing w:line="240" w:lineRule="exact"/>
              <w:rPr>
                <w:rFonts w:hint="eastAsia" w:ascii="宋体" w:hAnsi="宋体"/>
                <w:color w:val="000000"/>
                <w:sz w:val="24"/>
                <w:lang w:val="en-US" w:eastAsia="zh-CN"/>
              </w:rPr>
            </w:pPr>
            <w:r>
              <w:rPr>
                <w:rFonts w:hint="eastAsia" w:hAnsi="宋体"/>
                <w:color w:val="auto"/>
                <w:highlight w:val="none"/>
                <w:lang w:val="en-US" w:eastAsia="zh-CN"/>
              </w:rPr>
              <w:t>5、</w:t>
            </w:r>
            <w:r>
              <w:rPr>
                <w:rFonts w:hint="eastAsia"/>
              </w:rPr>
              <w:t>企业业绩</w:t>
            </w:r>
          </w:p>
        </w:tc>
        <w:tc>
          <w:tcPr>
            <w:tcW w:w="5577" w:type="dxa"/>
            <w:noWrap w:val="0"/>
            <w:vAlign w:val="center"/>
          </w:tcPr>
          <w:p>
            <w:pPr>
              <w:pStyle w:val="34"/>
              <w:rPr>
                <w:rFonts w:hint="default"/>
                <w:lang w:val="en-US" w:eastAsia="zh-CN"/>
              </w:rPr>
            </w:pPr>
            <w:r>
              <w:rPr>
                <w:rFonts w:hint="default"/>
                <w:lang w:val="en-US" w:eastAsia="zh-CN"/>
              </w:rPr>
              <w:t>供应商自2021年1月1日以来(以合同签订时间为准)承接的类似项目，每提供1个合同得</w:t>
            </w:r>
            <w:r>
              <w:rPr>
                <w:rFonts w:hint="eastAsia"/>
                <w:lang w:val="en-US" w:eastAsia="zh-CN"/>
              </w:rPr>
              <w:t>2</w:t>
            </w:r>
            <w:r>
              <w:rPr>
                <w:rFonts w:hint="default"/>
                <w:lang w:val="en-US" w:eastAsia="zh-CN"/>
              </w:rPr>
              <w:t>分，满分6分；</w:t>
            </w:r>
          </w:p>
          <w:p>
            <w:pPr>
              <w:pStyle w:val="34"/>
              <w:rPr>
                <w:rFonts w:hint="eastAsia"/>
              </w:rPr>
            </w:pPr>
            <w:r>
              <w:rPr>
                <w:rFonts w:hint="default"/>
                <w:lang w:val="en-US" w:eastAsia="zh-CN"/>
              </w:rPr>
              <w:t>注：须同时提供成交通知书、合同签订时间、合同签署页、验收合格的报告等能反映上述相关信息的复印件加盖公章，方可得分。</w:t>
            </w:r>
          </w:p>
        </w:tc>
        <w:tc>
          <w:tcPr>
            <w:tcW w:w="876" w:type="dxa"/>
            <w:noWrap w:val="0"/>
            <w:vAlign w:val="center"/>
          </w:tcPr>
          <w:p>
            <w:pPr>
              <w:pStyle w:val="25"/>
              <w:snapToGrid w:val="0"/>
              <w:spacing w:line="280" w:lineRule="exact"/>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0-6分</w:t>
            </w:r>
          </w:p>
        </w:tc>
        <w:tc>
          <w:tcPr>
            <w:tcW w:w="1106" w:type="dxa"/>
            <w:noWrap w:val="0"/>
            <w:vAlign w:val="center"/>
          </w:tcPr>
          <w:p>
            <w:pPr>
              <w:pStyle w:val="25"/>
              <w:snapToGrid w:val="0"/>
              <w:spacing w:line="2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pStyle w:val="25"/>
              <w:snapToGrid w:val="0"/>
              <w:spacing w:line="240" w:lineRule="exact"/>
              <w:jc w:val="center"/>
              <w:rPr>
                <w:rFonts w:hint="eastAsia" w:ascii="宋体" w:hAnsi="宋体"/>
                <w:color w:val="000000"/>
                <w:sz w:val="24"/>
                <w:lang w:val="en-US" w:eastAsia="zh-CN"/>
              </w:rPr>
            </w:pPr>
            <w:r>
              <w:rPr>
                <w:rFonts w:hint="eastAsia" w:ascii="宋体" w:hAnsi="宋体"/>
                <w:color w:val="000000"/>
                <w:sz w:val="24"/>
                <w:lang w:val="en-US" w:eastAsia="zh-CN"/>
              </w:rPr>
              <w:t>6、供货期</w:t>
            </w:r>
          </w:p>
        </w:tc>
        <w:tc>
          <w:tcPr>
            <w:tcW w:w="5577" w:type="dxa"/>
            <w:noWrap w:val="0"/>
            <w:vAlign w:val="center"/>
          </w:tcPr>
          <w:p>
            <w:pPr>
              <w:pStyle w:val="34"/>
              <w:rPr>
                <w:rFonts w:hint="eastAsia"/>
                <w:lang w:eastAsia="zh-CN"/>
              </w:rPr>
            </w:pPr>
            <w:r>
              <w:rPr>
                <w:rFonts w:hint="eastAsia"/>
              </w:rPr>
              <w:t>满足招标文件要求，提前</w:t>
            </w:r>
            <w:r>
              <w:rPr>
                <w:rFonts w:hint="eastAsia"/>
                <w:lang w:val="en-US" w:eastAsia="zh-CN"/>
              </w:rPr>
              <w:t>9</w:t>
            </w:r>
            <w:r>
              <w:rPr>
                <w:rFonts w:hint="eastAsia"/>
              </w:rPr>
              <w:t>天（含）以上完成供货安装并调试完毕，得</w:t>
            </w:r>
            <w:r>
              <w:rPr>
                <w:rFonts w:hint="eastAsia"/>
                <w:lang w:val="en-US" w:eastAsia="zh-CN"/>
              </w:rPr>
              <w:t>6</w:t>
            </w:r>
            <w:r>
              <w:rPr>
                <w:rFonts w:hint="eastAsia"/>
              </w:rPr>
              <w:t>分</w:t>
            </w:r>
            <w:r>
              <w:rPr>
                <w:rFonts w:hint="eastAsia"/>
                <w:lang w:eastAsia="zh-CN"/>
              </w:rPr>
              <w:t>，</w:t>
            </w:r>
            <w:r>
              <w:rPr>
                <w:rFonts w:hint="eastAsia"/>
              </w:rPr>
              <w:t>提前</w:t>
            </w:r>
            <w:r>
              <w:rPr>
                <w:rFonts w:hint="eastAsia"/>
                <w:lang w:val="en-US" w:eastAsia="zh-CN"/>
              </w:rPr>
              <w:t>6</w:t>
            </w:r>
            <w:r>
              <w:rPr>
                <w:rFonts w:hint="eastAsia"/>
              </w:rPr>
              <w:t>-</w:t>
            </w:r>
            <w:r>
              <w:rPr>
                <w:rFonts w:hint="eastAsia"/>
                <w:lang w:val="en-US" w:eastAsia="zh-CN"/>
              </w:rPr>
              <w:t>8</w:t>
            </w:r>
            <w:r>
              <w:rPr>
                <w:rFonts w:hint="eastAsia"/>
              </w:rPr>
              <w:t>天完成供货安装并调试完毕，得</w:t>
            </w:r>
            <w:r>
              <w:rPr>
                <w:rFonts w:hint="eastAsia"/>
                <w:lang w:val="en-US" w:eastAsia="zh-CN"/>
              </w:rPr>
              <w:t>3</w:t>
            </w:r>
            <w:r>
              <w:rPr>
                <w:rFonts w:hint="eastAsia"/>
              </w:rPr>
              <w:t>分，提前</w:t>
            </w:r>
            <w:r>
              <w:rPr>
                <w:rFonts w:hint="eastAsia"/>
                <w:lang w:val="en-US" w:eastAsia="zh-CN"/>
              </w:rPr>
              <w:t>3</w:t>
            </w:r>
            <w:r>
              <w:rPr>
                <w:rFonts w:hint="eastAsia"/>
              </w:rPr>
              <w:t>-</w:t>
            </w:r>
            <w:r>
              <w:rPr>
                <w:rFonts w:hint="eastAsia"/>
                <w:lang w:val="en-US" w:eastAsia="zh-CN"/>
              </w:rPr>
              <w:t>5</w:t>
            </w:r>
            <w:r>
              <w:rPr>
                <w:rFonts w:hint="eastAsia"/>
              </w:rPr>
              <w:t>天完成供货安装并调试完毕，得</w:t>
            </w:r>
            <w:r>
              <w:rPr>
                <w:rFonts w:hint="eastAsia"/>
                <w:lang w:val="en-US" w:eastAsia="zh-CN"/>
              </w:rPr>
              <w:t>1</w:t>
            </w:r>
            <w:r>
              <w:rPr>
                <w:rFonts w:hint="eastAsia"/>
              </w:rPr>
              <w:t>分</w:t>
            </w:r>
            <w:r>
              <w:rPr>
                <w:rFonts w:hint="eastAsia"/>
                <w:lang w:eastAsia="zh-CN"/>
              </w:rPr>
              <w:t>。</w:t>
            </w:r>
          </w:p>
          <w:p>
            <w:pPr>
              <w:pStyle w:val="34"/>
              <w:rPr>
                <w:rFonts w:hint="eastAsia"/>
                <w:lang w:eastAsia="zh-CN"/>
              </w:rPr>
            </w:pPr>
            <w:r>
              <w:rPr>
                <w:rFonts w:hint="eastAsia"/>
                <w:lang w:eastAsia="zh-CN"/>
              </w:rPr>
              <w:t>注：提供《投标及履约承诺函》，承诺的履约期限与政采云平台《开标记录表》不一致的不得分。</w:t>
            </w:r>
          </w:p>
        </w:tc>
        <w:tc>
          <w:tcPr>
            <w:tcW w:w="876" w:type="dxa"/>
            <w:noWrap w:val="0"/>
            <w:vAlign w:val="center"/>
          </w:tcPr>
          <w:p>
            <w:pPr>
              <w:pStyle w:val="25"/>
              <w:snapToGrid w:val="0"/>
              <w:spacing w:line="280" w:lineRule="exact"/>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0-6分</w:t>
            </w:r>
          </w:p>
        </w:tc>
        <w:tc>
          <w:tcPr>
            <w:tcW w:w="1106" w:type="dxa"/>
            <w:noWrap w:val="0"/>
            <w:vAlign w:val="center"/>
          </w:tcPr>
          <w:p>
            <w:pPr>
              <w:pStyle w:val="25"/>
              <w:snapToGrid w:val="0"/>
              <w:spacing w:line="240" w:lineRule="exact"/>
              <w:rPr>
                <w:color w:val="auto"/>
                <w:highlight w:val="none"/>
              </w:rPr>
            </w:pPr>
          </w:p>
        </w:tc>
      </w:tr>
    </w:tbl>
    <w:p>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
          <w:bCs/>
          <w:kern w:val="2"/>
          <w:sz w:val="21"/>
          <w:szCs w:val="21"/>
          <w:u w:val="single"/>
        </w:rPr>
      </w:pPr>
      <w:r>
        <w:rPr>
          <w:rFonts w:hint="eastAsia" w:ascii="宋体" w:hAnsi="宋体" w:cs="宋体"/>
          <w:kern w:val="2"/>
          <w:sz w:val="21"/>
          <w:szCs w:val="21"/>
          <w:lang w:val="en-US" w:eastAsia="zh-CN" w:bidi="ar"/>
        </w:rPr>
        <w:t>说明：1.</w:t>
      </w:r>
      <w:r>
        <w:rPr>
          <w:rFonts w:hint="eastAsia" w:ascii="宋体" w:hAnsi="宋体" w:cs="宋体"/>
          <w:b/>
          <w:bCs/>
          <w:kern w:val="2"/>
          <w:sz w:val="21"/>
          <w:szCs w:val="21"/>
          <w:u w:val="single"/>
          <w:lang w:val="en-US" w:eastAsia="zh-CN" w:bidi="ar"/>
        </w:rPr>
        <w:t>采购</w:t>
      </w:r>
      <w:r>
        <w:rPr>
          <w:rFonts w:hint="eastAsia" w:ascii="宋体" w:hAnsi="宋体" w:eastAsia="宋体" w:cs="宋体"/>
          <w:b/>
          <w:bCs/>
          <w:kern w:val="2"/>
          <w:sz w:val="21"/>
          <w:szCs w:val="21"/>
          <w:u w:val="single"/>
          <w:lang w:val="en-US" w:eastAsia="zh-CN" w:bidi="ar"/>
        </w:rPr>
        <w:t>文件中加注“★”号且标红条款为实质条款，若有负偏离或不满足则导致投标无效；</w:t>
      </w:r>
    </w:p>
    <w:p>
      <w:pPr>
        <w:widowControl/>
        <w:adjustRightInd w:val="0"/>
        <w:snapToGrid w:val="0"/>
        <w:spacing w:before="156" w:beforeLines="50"/>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5.4评标结果汇总完成后，除下列情形外，任何人不得修改评标结果：</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（一）分值汇总计算错误的；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（二）分项评分超出评分标准范围的；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（三）评标委员会成员对客观评审因素评分不一致的；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（四）经评标委员会认定评分畸高、畸低的。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投标人对本条第一款情形提出质疑的，采购人或者采购代理机构可以组织原评标委员会进行重新评审，重新评审改变评标结果的，应当书面报告本级财政部门。</w:t>
      </w:r>
    </w:p>
    <w:p>
      <w:pPr>
        <w:widowControl/>
        <w:adjustRightInd w:val="0"/>
        <w:snapToGrid w:val="0"/>
        <w:spacing w:before="156" w:beforeLines="5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5.5</w:t>
      </w:r>
      <w:r>
        <w:rPr>
          <w:rFonts w:hint="eastAsia" w:ascii="宋体" w:hAnsi="宋体" w:cs="宋体"/>
          <w:color w:val="000000" w:themeColor="text1"/>
          <w:kern w:val="0"/>
          <w:szCs w:val="21"/>
          <w14:textFill>
            <w14:solidFill>
              <w14:schemeClr w14:val="tx1"/>
            </w14:solidFill>
          </w14:textFill>
        </w:rPr>
        <w:t>评标结果汇总完成后，除下列情形外，任何人不得修改评标结果：</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（一）分值汇总计算错误的；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（二）分项评分超出评分标准范围的；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（三）评标委员会成员对客观评审因素评分不一致的；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（四）经评标委员会认定评分畸高、畸低的。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idowControl/>
        <w:spacing w:line="360" w:lineRule="auto"/>
        <w:ind w:firstLine="42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tabs>
          <w:tab w:val="left" w:pos="0"/>
        </w:tabs>
        <w:adjustRightInd w:val="0"/>
        <w:snapToGrid w:val="0"/>
        <w:spacing w:before="156" w:beforeLines="50"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6.推荐中标候选人名单</w:t>
      </w:r>
    </w:p>
    <w:p>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6.1中标候选人家数：3家。</w:t>
      </w:r>
    </w:p>
    <w:p>
      <w:pPr>
        <w:ind w:firstLine="420" w:firstLineChars="200"/>
        <w:sectPr>
          <w:pgSz w:w="11906" w:h="16838"/>
          <w:pgMar w:top="1474" w:right="1531" w:bottom="1474" w:left="1531" w:header="851" w:footer="992" w:gutter="0"/>
          <w:cols w:space="720" w:num="1"/>
          <w:docGrid w:type="lines" w:linePitch="312" w:charSpace="0"/>
        </w:sectPr>
      </w:pPr>
      <w:r>
        <w:rPr>
          <w:rFonts w:hint="eastAsia" w:ascii="宋体" w:hAnsi="宋体" w:cs="宋体"/>
          <w:color w:val="000000" w:themeColor="text1"/>
          <w:szCs w:val="21"/>
          <w14:textFill>
            <w14:solidFill>
              <w14:schemeClr w14:val="tx1"/>
            </w14:solidFill>
          </w14:textFill>
        </w:rPr>
        <w:t>6.2按评审后得分由高到低顺序排列。得分相同的，按投标报价由低到高顺序排列。得分且投标报价相同的并列。投标文件满足招标文件全部实质性要求，且按照评审因素的量化指标评审得分最高的前三名为中标候选人名单。</w:t>
      </w:r>
    </w:p>
    <w:p>
      <w:pPr>
        <w:spacing w:line="360" w:lineRule="exact"/>
        <w:jc w:val="center"/>
        <w:outlineLvl w:val="0"/>
        <w:rPr>
          <w:rFonts w:ascii="宋体" w:hAnsi="宋体"/>
          <w:b/>
          <w:bCs/>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第四章  政府采购合同格式</w:t>
      </w:r>
      <w:bookmarkEnd w:id="31"/>
      <w:r>
        <w:rPr>
          <w:rFonts w:hint="eastAsia" w:ascii="宋体" w:hAnsi="宋体"/>
          <w:b/>
          <w:color w:val="000000" w:themeColor="text1"/>
          <w:sz w:val="32"/>
          <w:szCs w:val="32"/>
          <w14:textFill>
            <w14:solidFill>
              <w14:schemeClr w14:val="tx1"/>
            </w14:solidFill>
          </w14:textFill>
        </w:rPr>
        <w:t>、验收书</w:t>
      </w:r>
    </w:p>
    <w:p>
      <w:pPr>
        <w:pStyle w:val="192"/>
        <w:ind w:firstLine="0"/>
        <w:jc w:val="center"/>
        <w:rPr>
          <w:rFonts w:hAnsi="宋体" w:eastAsia="宋体" w:cs="宋体"/>
          <w:b/>
          <w:color w:val="000000" w:themeColor="text1"/>
          <w:szCs w:val="24"/>
          <w14:textFill>
            <w14:solidFill>
              <w14:schemeClr w14:val="tx1"/>
            </w14:solidFill>
          </w14:textFill>
        </w:rPr>
      </w:pPr>
    </w:p>
    <w:p>
      <w:pPr>
        <w:pageBreakBefore w:val="0"/>
        <w:bidi w:val="0"/>
        <w:spacing w:beforeAutospacing="0" w:afterAutospacing="0"/>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pageBreakBefore w:val="0"/>
        <w:bidi w:val="0"/>
        <w:spacing w:beforeAutospacing="0" w:afterAutospacing="0"/>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ageBreakBefore w:val="0"/>
        <w:bidi w:val="0"/>
        <w:spacing w:beforeAutospacing="0" w:afterAutospacing="0"/>
        <w:ind w:firstLine="880" w:firstLineChars="200"/>
        <w:jc w:val="both"/>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pageBreakBefore w:val="0"/>
        <w:bidi w:val="0"/>
        <w:adjustRightInd w:val="0"/>
        <w:snapToGrid w:val="0"/>
        <w:spacing w:before="0" w:beforeAutospacing="0" w:after="0" w:afterAutospacing="0" w:line="400" w:lineRule="exact"/>
        <w:jc w:val="center"/>
        <w:rPr>
          <w:rFonts w:hint="eastAsia" w:ascii="黑体" w:hAnsi="黑体" w:eastAsia="黑体"/>
          <w:sz w:val="28"/>
          <w:szCs w:val="28"/>
        </w:rPr>
      </w:pPr>
      <w:bookmarkStart w:id="33" w:name="_Toc22209"/>
    </w:p>
    <w:p>
      <w:pPr>
        <w:pStyle w:val="4"/>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3"/>
    </w:p>
    <w:p>
      <w:pPr>
        <w:pStyle w:val="4"/>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pageBreakBefore w:val="0"/>
        <w:bidi w:val="0"/>
        <w:adjustRightInd w:val="0"/>
        <w:snapToGrid w:val="0"/>
        <w:spacing w:beforeAutospacing="0" w:afterAutospacing="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adjustRightInd w:val="0"/>
        <w:snapToGrid w:val="0"/>
        <w:spacing w:beforeAutospacing="0" w:afterAutospacing="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spacing w:beforeAutospacing="0" w:afterAutospacing="0" w:line="400" w:lineRule="exact"/>
        <w:rPr>
          <w:rFonts w:hint="default" w:eastAsia="宋体"/>
          <w:lang w:val="en-US" w:eastAsia="zh-CN"/>
        </w:rPr>
      </w:pPr>
    </w:p>
    <w:p>
      <w:pPr>
        <w:pStyle w:val="20"/>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pageBreakBefore w:val="0"/>
        <w:numPr>
          <w:ilvl w:val="0"/>
          <w:numId w:val="6"/>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项目信息</w:t>
      </w:r>
    </w:p>
    <w:p>
      <w:pPr>
        <w:pStyle w:val="20"/>
        <w:pageBreakBefore w:val="0"/>
        <w:numPr>
          <w:ilvl w:val="0"/>
          <w:numId w:val="7"/>
        </w:numPr>
        <w:bidi w:val="0"/>
        <w:adjustRightInd w:val="0"/>
        <w:snapToGrid w:val="0"/>
        <w:spacing w:beforeAutospacing="0" w:afterAutospacing="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20"/>
        <w:pageBreakBefore w:val="0"/>
        <w:numPr>
          <w:ilvl w:val="0"/>
          <w:numId w:val="0"/>
        </w:numPr>
        <w:tabs>
          <w:tab w:val="left" w:pos="999"/>
        </w:tabs>
        <w:bidi w:val="0"/>
        <w:adjustRightInd w:val="0"/>
        <w:snapToGrid w:val="0"/>
        <w:spacing w:beforeAutospacing="0" w:afterAutospacing="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20"/>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szCs w:val="21"/>
        </w:rPr>
      </w:pPr>
      <w:r>
        <w:rPr>
          <w:rFonts w:hint="eastAsia" w:ascii="宋体" w:hAnsi="宋体"/>
          <w:szCs w:val="21"/>
        </w:rPr>
        <w:t>（3）项目内容：</w:t>
      </w:r>
    </w:p>
    <w:p>
      <w:pPr>
        <w:pageBreakBefore w:val="0"/>
        <w:bidi w:val="0"/>
        <w:adjustRightInd w:val="0"/>
        <w:snapToGrid w:val="0"/>
        <w:spacing w:beforeAutospacing="0" w:afterAutospacing="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pageBreakBefore w:val="0"/>
        <w:bidi w:val="0"/>
        <w:adjustRightInd w:val="0"/>
        <w:snapToGrid w:val="0"/>
        <w:spacing w:beforeAutospacing="0" w:afterAutospacing="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pageBreakBefore w:val="0"/>
        <w:numPr>
          <w:ilvl w:val="0"/>
          <w:numId w:val="0"/>
        </w:numPr>
        <w:bidi w:val="0"/>
        <w:adjustRightInd w:val="0"/>
        <w:snapToGrid w:val="0"/>
        <w:spacing w:beforeAutospacing="0" w:afterAutospacing="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332"/>
        <w:pageBreakBefore w:val="0"/>
        <w:numPr>
          <w:ilvl w:val="0"/>
          <w:numId w:val="0"/>
        </w:numPr>
        <w:bidi w:val="0"/>
        <w:adjustRightInd w:val="0"/>
        <w:snapToGrid w:val="0"/>
        <w:spacing w:beforeAutospacing="0" w:afterAutospacing="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332"/>
        <w:pageBreakBefore w:val="0"/>
        <w:numPr>
          <w:ilvl w:val="0"/>
          <w:numId w:val="0"/>
        </w:numPr>
        <w:bidi w:val="0"/>
        <w:adjustRightInd w:val="0"/>
        <w:snapToGrid w:val="0"/>
        <w:spacing w:beforeAutospacing="0" w:afterAutospacing="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snapToGrid w:val="0"/>
        <w:spacing w:beforeAutospacing="0" w:afterAutospacing="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pageBreakBefore w:val="0"/>
        <w:bidi w:val="0"/>
        <w:adjustRightInd w:val="0"/>
        <w:snapToGrid w:val="0"/>
        <w:spacing w:beforeAutospacing="0" w:afterAutospacing="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pageBreakBefore w:val="0"/>
        <w:bidi w:val="0"/>
        <w:adjustRightInd w:val="0"/>
        <w:snapToGrid w:val="0"/>
        <w:spacing w:beforeAutospacing="0" w:afterAutospacing="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pageBreakBefore w:val="0"/>
        <w:bidi w:val="0"/>
        <w:adjustRightInd w:val="0"/>
        <w:snapToGrid w:val="0"/>
        <w:spacing w:beforeAutospacing="0" w:afterAutospacing="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332"/>
        <w:pageBreakBefore w:val="0"/>
        <w:tabs>
          <w:tab w:val="left" w:pos="1340"/>
        </w:tabs>
        <w:bidi w:val="0"/>
        <w:spacing w:beforeAutospacing="0" w:afterAutospacing="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332"/>
        <w:pageBreakBefore w:val="0"/>
        <w:bidi w:val="0"/>
        <w:spacing w:beforeAutospacing="0" w:afterAutospacing="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332"/>
        <w:pageBreakBefore w:val="0"/>
        <w:bidi w:val="0"/>
        <w:spacing w:beforeAutospacing="0" w:afterAutospacing="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pageBreakBefore w:val="0"/>
        <w:numPr>
          <w:ilvl w:val="0"/>
          <w:numId w:val="6"/>
        </w:numPr>
        <w:bidi w:val="0"/>
        <w:adjustRightInd w:val="0"/>
        <w:snapToGrid w:val="0"/>
        <w:spacing w:beforeAutospacing="0" w:afterAutospacing="0" w:line="400" w:lineRule="exact"/>
        <w:ind w:firstLine="422" w:firstLineChars="200"/>
        <w:rPr>
          <w:rFonts w:ascii="宋体" w:hAnsi="宋体"/>
          <w:b/>
          <w:szCs w:val="21"/>
          <w:highlight w:val="none"/>
        </w:rPr>
      </w:pPr>
      <w:r>
        <w:rPr>
          <w:rFonts w:hint="eastAsia" w:ascii="宋体" w:hAnsi="宋体"/>
          <w:b/>
          <w:szCs w:val="21"/>
          <w:highlight w:val="none"/>
        </w:rPr>
        <w:t>合同金额</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pageBreakBefore w:val="0"/>
        <w:bidi w:val="0"/>
        <w:adjustRightInd w:val="0"/>
        <w:snapToGrid w:val="0"/>
        <w:spacing w:beforeAutospacing="0" w:afterAutospacing="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126"/>
        <w:pageBreakBefore w:val="0"/>
        <w:bidi w:val="0"/>
        <w:spacing w:beforeAutospacing="0" w:afterAutospacing="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pageBreakBefore w:val="0"/>
        <w:bidi w:val="0"/>
        <w:snapToGrid w:val="0"/>
        <w:spacing w:beforeAutospacing="0" w:afterAutospacing="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pageBreakBefore w:val="0"/>
        <w:bidi w:val="0"/>
        <w:adjustRightInd w:val="0"/>
        <w:snapToGrid w:val="0"/>
        <w:spacing w:beforeAutospacing="0" w:afterAutospacing="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pageBreakBefore w:val="0"/>
        <w:numPr>
          <w:ilvl w:val="0"/>
          <w:numId w:val="6"/>
        </w:numPr>
        <w:bidi w:val="0"/>
        <w:adjustRightInd w:val="0"/>
        <w:snapToGrid w:val="0"/>
        <w:spacing w:beforeAutospacing="0" w:afterAutospacing="0" w:line="400" w:lineRule="exact"/>
        <w:ind w:firstLine="422" w:firstLineChars="200"/>
        <w:rPr>
          <w:rFonts w:ascii="宋体" w:hAnsi="宋体"/>
          <w:b/>
          <w:bCs w:val="0"/>
          <w:szCs w:val="21"/>
          <w:u w:val="single"/>
        </w:rPr>
      </w:pPr>
      <w:r>
        <w:rPr>
          <w:rFonts w:hint="eastAsia" w:ascii="宋体" w:hAnsi="宋体"/>
          <w:b/>
          <w:bCs w:val="0"/>
          <w:szCs w:val="21"/>
        </w:rPr>
        <w:t>合同履行</w:t>
      </w:r>
    </w:p>
    <w:p>
      <w:pPr>
        <w:pageBreakBefore w:val="0"/>
        <w:bidi w:val="0"/>
        <w:adjustRightInd w:val="0"/>
        <w:snapToGrid w:val="0"/>
        <w:spacing w:beforeAutospacing="0" w:afterAutospacing="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pageBreakBefore w:val="0"/>
        <w:bidi w:val="0"/>
        <w:snapToGrid w:val="0"/>
        <w:spacing w:beforeAutospacing="0" w:afterAutospacing="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pageBreakBefore w:val="0"/>
        <w:numPr>
          <w:ilvl w:val="0"/>
          <w:numId w:val="6"/>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合同验收</w:t>
      </w:r>
    </w:p>
    <w:p>
      <w:pPr>
        <w:pageBreakBefore w:val="0"/>
        <w:numPr>
          <w:ilvl w:val="0"/>
          <w:numId w:val="8"/>
        </w:numPr>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pageBreakBefore w:val="0"/>
        <w:numPr>
          <w:ilvl w:val="0"/>
          <w:numId w:val="0"/>
        </w:numPr>
        <w:bidi w:val="0"/>
        <w:adjustRightInd w:val="0"/>
        <w:snapToGrid w:val="0"/>
        <w:spacing w:beforeAutospacing="0" w:afterAutospacing="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pageBreakBefore w:val="0"/>
        <w:bidi w:val="0"/>
        <w:adjustRightInd w:val="0"/>
        <w:snapToGrid w:val="0"/>
        <w:spacing w:beforeAutospacing="0" w:afterAutospacing="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332"/>
        <w:pageBreakBefore w:val="0"/>
        <w:bidi w:val="0"/>
        <w:spacing w:beforeAutospacing="0" w:afterAutospacing="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pageBreakBefore w:val="0"/>
        <w:numPr>
          <w:ilvl w:val="0"/>
          <w:numId w:val="6"/>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组成合同的文件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pageBreakBefore w:val="0"/>
        <w:bidi w:val="0"/>
        <w:adjustRightInd w:val="0"/>
        <w:snapToGrid w:val="0"/>
        <w:spacing w:beforeAutospacing="0" w:afterAutospacing="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pageBreakBefore w:val="0"/>
        <w:bidi w:val="0"/>
        <w:adjustRightInd w:val="0"/>
        <w:snapToGrid w:val="0"/>
        <w:spacing w:beforeAutospacing="0" w:afterAutospacing="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（6）采购文件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（7）有关技术文件，图纸</w:t>
      </w:r>
    </w:p>
    <w:p>
      <w:pPr>
        <w:pStyle w:val="332"/>
        <w:pageBreakBefore w:val="0"/>
        <w:bidi w:val="0"/>
        <w:spacing w:beforeAutospacing="0" w:afterAutospacing="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pageBreakBefore w:val="0"/>
        <w:numPr>
          <w:ilvl w:val="0"/>
          <w:numId w:val="6"/>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合同生效</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pageBreakBefore w:val="0"/>
        <w:numPr>
          <w:ilvl w:val="0"/>
          <w:numId w:val="6"/>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合同份数</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126"/>
        <w:pageBreakBefore w:val="0"/>
        <w:bidi w:val="0"/>
        <w:spacing w:beforeAutospacing="0" w:afterAutospacing="0" w:line="400" w:lineRule="exact"/>
      </w:pPr>
    </w:p>
    <w:p>
      <w:pPr>
        <w:pStyle w:val="4"/>
        <w:pageBreakBefore w:val="0"/>
        <w:bidi w:val="0"/>
        <w:spacing w:before="0" w:beforeAutospacing="0" w:after="0" w:afterAutospacing="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pageBreakBefore w:val="0"/>
        <w:bidi w:val="0"/>
        <w:spacing w:beforeAutospacing="0" w:afterAutospacing="0"/>
        <w:rPr>
          <w:rFonts w:hint="eastAsia"/>
        </w:rPr>
      </w:pPr>
      <w:r>
        <w:rPr>
          <w:rFonts w:hint="eastAsia"/>
        </w:rPr>
        <w:br w:type="page"/>
      </w:r>
    </w:p>
    <w:p>
      <w:pPr>
        <w:pStyle w:val="126"/>
        <w:pageBreakBefore w:val="0"/>
        <w:bidi w:val="0"/>
        <w:spacing w:beforeAutospacing="0" w:afterAutospacing="0"/>
        <w:rPr>
          <w:rFonts w:hint="eastAsia"/>
        </w:rPr>
      </w:pPr>
    </w:p>
    <w:tbl>
      <w:tblPr>
        <w:tblStyle w:val="4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20"/>
              <w:pageBreakBefore w:val="0"/>
              <w:bidi w:val="0"/>
              <w:adjustRightInd w:val="0"/>
              <w:snapToGrid w:val="0"/>
              <w:spacing w:beforeAutospacing="0" w:afterAutospacing="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4"/>
        <w:pageBreakBefore w:val="0"/>
        <w:bidi w:val="0"/>
        <w:adjustRightInd w:val="0"/>
        <w:snapToGrid w:val="0"/>
        <w:spacing w:before="0" w:beforeAutospacing="0" w:after="0" w:afterAutospacing="0"/>
        <w:jc w:val="center"/>
        <w:rPr>
          <w:rFonts w:ascii="黑体" w:hAnsi="黑体" w:eastAsia="黑体"/>
          <w:sz w:val="28"/>
          <w:szCs w:val="28"/>
        </w:rPr>
      </w:pPr>
      <w:r>
        <w:rPr>
          <w:rFonts w:ascii="宋体" w:hAnsi="宋体"/>
          <w:sz w:val="21"/>
          <w:szCs w:val="21"/>
          <w:u w:val="single"/>
        </w:rPr>
        <w:br w:type="page"/>
      </w:r>
      <w:bookmarkStart w:id="34" w:name="_Toc27624"/>
      <w:r>
        <w:rPr>
          <w:rFonts w:hint="eastAsia" w:ascii="黑体" w:hAnsi="黑体" w:eastAsia="黑体"/>
          <w:b w:val="0"/>
          <w:bCs w:val="0"/>
          <w:sz w:val="28"/>
          <w:szCs w:val="28"/>
        </w:rPr>
        <w:t>第二节 政府采购合同通用条款</w:t>
      </w:r>
      <w:bookmarkEnd w:id="34"/>
    </w:p>
    <w:p>
      <w:pPr>
        <w:pageBreakBefore w:val="0"/>
        <w:tabs>
          <w:tab w:val="left" w:pos="8820"/>
          <w:tab w:val="left" w:pos="9345"/>
          <w:tab w:val="left" w:pos="9765"/>
        </w:tabs>
        <w:bidi w:val="0"/>
        <w:adjustRightInd w:val="0"/>
        <w:snapToGrid w:val="0"/>
        <w:spacing w:beforeAutospacing="0" w:afterAutospacing="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numPr>
          <w:ilvl w:val="0"/>
          <w:numId w:val="9"/>
        </w:numPr>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pageBreakBefore w:val="0"/>
        <w:bidi w:val="0"/>
        <w:adjustRightInd w:val="0"/>
        <w:snapToGrid w:val="0"/>
        <w:spacing w:beforeAutospacing="0" w:afterAutospacing="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pageBreakBefore w:val="0"/>
        <w:bidi w:val="0"/>
        <w:snapToGrid w:val="0"/>
        <w:spacing w:beforeAutospacing="0" w:afterAutospacing="0"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2"/>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pPr>
        <w:pStyle w:val="2"/>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pPr>
        <w:pageBreakBefore w:val="0"/>
        <w:numPr>
          <w:ilvl w:val="0"/>
          <w:numId w:val="10"/>
        </w:numPr>
        <w:autoSpaceDE w:val="0"/>
        <w:autoSpaceDN w:val="0"/>
        <w:bidi w:val="0"/>
        <w:adjustRightInd w:val="0"/>
        <w:snapToGrid w:val="0"/>
        <w:spacing w:beforeAutospacing="0" w:afterAutospacing="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pageBreakBefore w:val="0"/>
        <w:autoSpaceDE w:val="0"/>
        <w:autoSpaceDN w:val="0"/>
        <w:bidi w:val="0"/>
        <w:adjustRightInd w:val="0"/>
        <w:snapToGrid w:val="0"/>
        <w:spacing w:beforeAutospacing="0" w:afterAutospacing="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pageBreakBefore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332"/>
        <w:pageBreakBefore w:val="0"/>
        <w:bidi w:val="0"/>
        <w:spacing w:beforeAutospacing="0" w:afterAutospacing="0"/>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pageBreakBefore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25"/>
        <w:pageBreakBefore w:val="0"/>
        <w:bidi w:val="0"/>
        <w:adjustRightInd w:val="0"/>
        <w:snapToGrid w:val="0"/>
        <w:spacing w:beforeAutospacing="0" w:afterAutospacing="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25"/>
        <w:pageBreakBefore w:val="0"/>
        <w:bidi w:val="0"/>
        <w:adjustRightInd w:val="0"/>
        <w:snapToGrid w:val="0"/>
        <w:spacing w:beforeAutospacing="0" w:afterAutospacing="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pageBreakBefore w:val="0"/>
        <w:bidi w:val="0"/>
        <w:adjustRightInd w:val="0"/>
        <w:snapToGrid w:val="0"/>
        <w:spacing w:beforeAutospacing="0" w:afterAutospacing="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5"/>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pageBreakBefore w:val="0"/>
        <w:autoSpaceDE/>
        <w:autoSpaceDN/>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4"/>
        <w:pageBreakBefore w:val="0"/>
        <w:bidi w:val="0"/>
        <w:spacing w:before="0" w:beforeAutospacing="0" w:after="0" w:afterAutospacing="0"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
        <w:pageBreakBefore w:val="0"/>
        <w:bidi w:val="0"/>
        <w:spacing w:beforeAutospacing="0" w:afterAutospacing="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pageBreakBefore w:val="0"/>
        <w:bidi w:val="0"/>
        <w:spacing w:beforeAutospacing="0" w:afterAutospacing="0"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pageBreakBefore w:val="0"/>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332"/>
        <w:pageBreakBefore w:val="0"/>
        <w:bidi w:val="0"/>
        <w:spacing w:beforeAutospacing="0" w:afterAutospacing="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pageBreakBefore w:val="0"/>
        <w:numPr>
          <w:ilvl w:val="0"/>
          <w:numId w:val="11"/>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pageBreakBefore w:val="0"/>
        <w:autoSpaceDE/>
        <w:autoSpaceDN/>
        <w:bidi w:val="0"/>
        <w:adjustRightInd w:val="0"/>
        <w:snapToGrid w:val="0"/>
        <w:spacing w:beforeAutospacing="0" w:afterAutospacing="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332"/>
        <w:pageBreakBefore w:val="0"/>
        <w:bidi w:val="0"/>
        <w:spacing w:beforeAutospacing="0" w:afterAutospacing="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pageBreakBefore w:val="0"/>
        <w:bidi w:val="0"/>
        <w:snapToGrid w:val="0"/>
        <w:spacing w:beforeAutospacing="0" w:afterAutospacing="0"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pageBreakBefore w:val="0"/>
        <w:bidi w:val="0"/>
        <w:snapToGrid w:val="0"/>
        <w:spacing w:beforeAutospacing="0" w:afterAutospacing="0"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332"/>
        <w:pageBreakBefore w:val="0"/>
        <w:bidi w:val="0"/>
        <w:spacing w:beforeAutospacing="0" w:afterAutospacing="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332"/>
        <w:pageBreakBefore w:val="0"/>
        <w:bidi w:val="0"/>
        <w:spacing w:beforeAutospacing="0" w:afterAutospacing="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pageBreakBefore w:val="0"/>
        <w:autoSpaceDE w:val="0"/>
        <w:autoSpaceDN w:val="0"/>
        <w:bidi w:val="0"/>
        <w:adjustRightInd w:val="0"/>
        <w:snapToGrid w:val="0"/>
        <w:spacing w:beforeAutospacing="0" w:afterAutospacing="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
        <w:pageBreakBefore w:val="0"/>
        <w:bidi w:val="0"/>
        <w:spacing w:beforeAutospacing="0" w:afterAutospacing="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autoSpaceDE w:val="0"/>
        <w:autoSpaceDN w:val="0"/>
        <w:bidi w:val="0"/>
        <w:adjustRightInd w:val="0"/>
        <w:snapToGrid w:val="0"/>
        <w:spacing w:beforeAutospacing="0" w:afterAutospacing="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pageBreakBefore w:val="0"/>
        <w:numPr>
          <w:ilvl w:val="0"/>
          <w:numId w:val="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332"/>
        <w:pageBreakBefore w:val="0"/>
        <w:bidi w:val="0"/>
        <w:spacing w:beforeAutospacing="0" w:afterAutospacing="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pageBreakBefore w:val="0"/>
        <w:numPr>
          <w:ilvl w:val="0"/>
          <w:numId w:val="12"/>
        </w:numPr>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pageBreakBefore w:val="0"/>
        <w:bidi w:val="0"/>
        <w:adjustRightInd w:val="0"/>
        <w:snapToGrid w:val="0"/>
        <w:spacing w:beforeAutospacing="0" w:afterAutospacing="0"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6" w:name="_Toc20313"/>
    </w:p>
    <w:p>
      <w:pPr>
        <w:pageBreakBefore w:val="0"/>
        <w:bidi w:val="0"/>
        <w:adjustRightInd w:val="0"/>
        <w:snapToGrid w:val="0"/>
        <w:spacing w:beforeAutospacing="0" w:afterAutospacing="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4"/>
        <w:pageBreakBefore w:val="0"/>
        <w:bidi w:val="0"/>
        <w:adjustRightInd w:val="0"/>
        <w:snapToGrid w:val="0"/>
        <w:spacing w:before="0" w:beforeAutospacing="0" w:after="0" w:afterAutospacing="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6"/>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pPr>
              <w:pageBreakBefore w:val="0"/>
              <w:bidi w:val="0"/>
              <w:spacing w:beforeAutospacing="0" w:afterAutospacing="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pageBreakBefore w:val="0"/>
              <w:bidi w:val="0"/>
              <w:adjustRightInd w:val="0"/>
              <w:snapToGrid w:val="0"/>
              <w:spacing w:beforeAutospacing="0" w:afterAutospacing="0"/>
              <w:jc w:val="center"/>
              <w:rPr>
                <w:rFonts w:hint="eastAsia" w:ascii="宋体" w:hAnsi="宋体"/>
                <w:szCs w:val="21"/>
              </w:rPr>
            </w:pP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质量保证期</w:t>
            </w:r>
          </w:p>
        </w:tc>
        <w:tc>
          <w:tcPr>
            <w:tcW w:w="5170" w:type="dxa"/>
            <w:noWrap w:val="0"/>
            <w:vAlign w:val="center"/>
          </w:tcPr>
          <w:p>
            <w:pPr>
              <w:pageBreakBefore w:val="0"/>
              <w:autoSpaceDE w:val="0"/>
              <w:autoSpaceDN w:val="0"/>
              <w:bidi w:val="0"/>
              <w:adjustRightInd w:val="0"/>
              <w:snapToGrid w:val="0"/>
              <w:spacing w:beforeAutospacing="0" w:afterAutospacing="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货物质量缺陷</w:t>
            </w:r>
          </w:p>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响应时间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snapToGrid w:val="0"/>
              <w:spacing w:beforeAutospacing="0" w:afterAutospacing="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332"/>
              <w:pageBreakBefore w:val="0"/>
              <w:bidi w:val="0"/>
              <w:spacing w:beforeAutospacing="0" w:afterAutospacing="0"/>
              <w:ind w:firstLine="0" w:firstLineChars="0"/>
              <w:jc w:val="center"/>
              <w:rPr>
                <w:rFonts w:hint="default"/>
                <w:lang w:val="en-US" w:eastAsia="zh-CN"/>
              </w:rPr>
            </w:pPr>
            <w:r>
              <w:rPr>
                <w:rFonts w:hint="eastAsia" w:ascii="宋体" w:hAnsi="宋体" w:eastAsia="宋体" w:cs="宋体"/>
                <w:szCs w:val="21"/>
                <w:lang w:val="en-US" w:eastAsia="zh-CN"/>
              </w:rPr>
              <w:t>第   款</w:t>
            </w:r>
          </w:p>
        </w:tc>
        <w:tc>
          <w:tcPr>
            <w:tcW w:w="1742" w:type="dxa"/>
            <w:noWrap w:val="0"/>
            <w:vAlign w:val="center"/>
          </w:tcPr>
          <w:p>
            <w:pPr>
              <w:pageBreakBefore w:val="0"/>
              <w:bidi w:val="0"/>
              <w:adjustRightInd w:val="0"/>
              <w:snapToGrid w:val="0"/>
              <w:spacing w:beforeAutospacing="0" w:afterAutospacing="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乙方提供的其他服务</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迟延交货赔偿费</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szCs w:val="21"/>
              </w:rPr>
              <w:t>逾期付款利息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pageBreakBefore w:val="0"/>
              <w:bidi w:val="0"/>
              <w:adjustRightInd w:val="0"/>
              <w:snapToGrid w:val="0"/>
              <w:spacing w:beforeAutospacing="0" w:afterAutospacing="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lang w:eastAsia="zh-CN"/>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p>
        </w:tc>
      </w:tr>
    </w:tbl>
    <w:p>
      <w:pPr>
        <w:pageBreakBefore w:val="0"/>
        <w:bidi w:val="0"/>
        <w:spacing w:beforeAutospacing="0" w:afterAutospacing="0"/>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Style w:val="4"/>
        <w:spacing w:line="240" w:lineRule="atLeast"/>
        <w:ind w:left="1080" w:leftChars="257" w:hanging="540"/>
        <w:rPr>
          <w:rFonts w:ascii="仿宋_GB2312" w:hAnsi="宋体" w:eastAsia="仿宋_GB2312"/>
          <w:color w:val="000000" w:themeColor="text1"/>
          <w14:textFill>
            <w14:solidFill>
              <w14:schemeClr w14:val="tx1"/>
            </w14:solidFill>
          </w14:textFill>
        </w:rPr>
      </w:pPr>
    </w:p>
    <w:p>
      <w:pPr>
        <w:rPr>
          <w:color w:val="000000" w:themeColor="text1"/>
          <w14:textFill>
            <w14:solidFill>
              <w14:schemeClr w14:val="tx1"/>
            </w14:solidFill>
          </w14:textFill>
        </w:rPr>
      </w:pPr>
    </w:p>
    <w:bookmarkEnd w:id="32"/>
    <w:p>
      <w:pPr>
        <w:pStyle w:val="2"/>
        <w:snapToGrid w:val="0"/>
        <w:jc w:val="left"/>
        <w:rPr>
          <w:rFonts w:ascii="宋体" w:hAnsi="宋体"/>
          <w:b/>
          <w:color w:val="000000" w:themeColor="text1"/>
          <w:sz w:val="28"/>
          <w:szCs w:val="28"/>
          <w14:textFill>
            <w14:solidFill>
              <w14:schemeClr w14:val="tx1"/>
            </w14:solidFill>
          </w14:textFill>
        </w:rPr>
      </w:pPr>
      <w:bookmarkStart w:id="37" w:name="_Toc474235954"/>
      <w:bookmarkStart w:id="38" w:name="_Toc420948021"/>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四、验收书</w:t>
      </w:r>
    </w:p>
    <w:p>
      <w:pPr>
        <w:spacing w:line="720" w:lineRule="auto"/>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政府采购项目验收书</w:t>
      </w:r>
    </w:p>
    <w:p>
      <w:pPr>
        <w:pStyle w:val="3"/>
        <w:spacing w:line="360" w:lineRule="auto"/>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（本验收书为验收书样稿，最终稿由双方协商后确定）</w:t>
      </w:r>
    </w:p>
    <w:tbl>
      <w:tblPr>
        <w:tblStyle w:val="46"/>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项目名称及编号</w:t>
            </w:r>
          </w:p>
        </w:tc>
        <w:tc>
          <w:tcPr>
            <w:tcW w:w="7410" w:type="dxa"/>
            <w:gridSpan w:val="5"/>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霍尔果斯市                   项目</w:t>
            </w:r>
          </w:p>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HEGSCG-20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20"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w:t>
            </w:r>
          </w:p>
        </w:tc>
        <w:tc>
          <w:tcPr>
            <w:tcW w:w="3046" w:type="dxa"/>
            <w:gridSpan w:val="3"/>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w:t>
            </w:r>
          </w:p>
        </w:tc>
        <w:tc>
          <w:tcPr>
            <w:tcW w:w="2955"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验收人</w:t>
            </w:r>
          </w:p>
        </w:tc>
        <w:tc>
          <w:tcPr>
            <w:tcW w:w="3046" w:type="dxa"/>
            <w:gridSpan w:val="3"/>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交货人</w:t>
            </w:r>
          </w:p>
        </w:tc>
        <w:tc>
          <w:tcPr>
            <w:tcW w:w="2955"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trPr>
        <w:tc>
          <w:tcPr>
            <w:tcW w:w="1920"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046" w:type="dxa"/>
            <w:gridSpan w:val="3"/>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2955" w:type="dxa"/>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w:t>
            </w:r>
            <w:r>
              <w:rPr>
                <w:rFonts w:hint="eastAsia" w:ascii="宋体" w:hAnsi="宋体"/>
                <w:color w:val="000000" w:themeColor="text1"/>
                <w:szCs w:val="21"/>
                <w:lang w:eastAsia="zh-CN"/>
                <w14:textFill>
                  <w14:solidFill>
                    <w14:schemeClr w14:val="tx1"/>
                  </w14:solidFill>
                </w14:textFill>
              </w:rPr>
              <w:t>标的物</w:t>
            </w:r>
            <w:r>
              <w:rPr>
                <w:rFonts w:hint="eastAsia" w:ascii="宋体" w:hAnsi="宋体"/>
                <w:color w:val="000000" w:themeColor="text1"/>
                <w:szCs w:val="21"/>
                <w14:textFill>
                  <w14:solidFill>
                    <w14:schemeClr w14:val="tx1"/>
                  </w14:solidFill>
                </w14:textFill>
              </w:rPr>
              <w:t>名称</w:t>
            </w:r>
          </w:p>
        </w:tc>
        <w:tc>
          <w:tcPr>
            <w:tcW w:w="213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数量（单位）</w:t>
            </w:r>
          </w:p>
        </w:tc>
        <w:tc>
          <w:tcPr>
            <w:tcW w:w="4364"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138"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4364" w:type="dxa"/>
            <w:gridSpan w:val="2"/>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验收情况</w:t>
            </w:r>
          </w:p>
        </w:tc>
        <w:tc>
          <w:tcPr>
            <w:tcW w:w="6502" w:type="dxa"/>
            <w:gridSpan w:val="4"/>
            <w:tcBorders>
              <w:bottom w:val="single" w:color="auto" w:sz="4" w:space="0"/>
            </w:tcBorders>
            <w:vAlign w:val="center"/>
          </w:tcPr>
          <w:p>
            <w:pPr>
              <w:pStyle w:val="2"/>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2"/>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验收单位（盖章）：</w:t>
            </w:r>
          </w:p>
          <w:p>
            <w:pPr>
              <w:pStyle w:val="2"/>
              <w:snapToGrid w:val="0"/>
              <w:spacing w:line="380" w:lineRule="exact"/>
              <w:jc w:val="center"/>
              <w:rPr>
                <w:rFonts w:ascii="宋体" w:hAnsi="宋体"/>
                <w:color w:val="000000" w:themeColor="text1"/>
                <w:szCs w:val="21"/>
                <w14:textFill>
                  <w14:solidFill>
                    <w14:schemeClr w14:val="tx1"/>
                  </w14:solidFill>
                </w14:textFill>
              </w:rPr>
            </w:pPr>
          </w:p>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2"/>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交货单位（盖章）：</w:t>
            </w:r>
          </w:p>
          <w:p>
            <w:pPr>
              <w:pStyle w:val="2"/>
              <w:snapToGrid w:val="0"/>
              <w:spacing w:line="380" w:lineRule="exact"/>
              <w:jc w:val="center"/>
              <w:rPr>
                <w:rFonts w:ascii="宋体" w:hAnsi="宋体"/>
                <w:color w:val="000000" w:themeColor="text1"/>
                <w:szCs w:val="21"/>
                <w14:textFill>
                  <w14:solidFill>
                    <w14:schemeClr w14:val="tx1"/>
                  </w14:solidFill>
                </w14:textFill>
              </w:rPr>
            </w:pPr>
          </w:p>
          <w:p>
            <w:pPr>
              <w:pStyle w:val="2"/>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r>
    </w:tbl>
    <w:p>
      <w:pPr>
        <w:ind w:firstLine="630" w:firstLineChars="300"/>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sectPr>
          <w:footerReference r:id="rId11" w:type="first"/>
          <w:headerReference r:id="rId9" w:type="default"/>
          <w:footerReference r:id="rId10" w:type="default"/>
          <w:pgSz w:w="11906" w:h="16838"/>
          <w:pgMar w:top="1134" w:right="1134" w:bottom="1134" w:left="1418" w:header="851" w:footer="992" w:gutter="0"/>
          <w:cols w:space="720" w:num="1"/>
          <w:docGrid w:type="lines" w:linePitch="333" w:charSpace="0"/>
        </w:sectPr>
      </w:pPr>
      <w:r>
        <w:rPr>
          <w:rFonts w:hint="eastAsia" w:ascii="宋体" w:hAnsi="宋体"/>
          <w:color w:val="000000" w:themeColor="text1"/>
          <w:szCs w:val="21"/>
          <w14:textFill>
            <w14:solidFill>
              <w14:schemeClr w14:val="tx1"/>
            </w14:solidFill>
          </w14:textFill>
        </w:rPr>
        <w:t>备注：本验收书一式四份，采购单位、中标供应商各一份，并报送采购办、采购中心留档</w:t>
      </w:r>
    </w:p>
    <w:p>
      <w:pPr>
        <w:numPr>
          <w:ilvl w:val="0"/>
          <w:numId w:val="13"/>
        </w:numPr>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采购需求</w:t>
      </w:r>
    </w:p>
    <w:p>
      <w:pPr>
        <w:keepNext w:val="0"/>
        <w:keepLines w:val="0"/>
        <w:pageBreakBefore w:val="0"/>
        <w:widowControl w:val="0"/>
        <w:kinsoku/>
        <w:overflowPunct/>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hAnsi="黑体" w:eastAsia="黑体" w:cs="Times New Roman"/>
          <w:sz w:val="32"/>
          <w:szCs w:val="32"/>
          <w:lang w:eastAsia="zh-CN"/>
        </w:rPr>
        <w:t>标的物</w:t>
      </w:r>
      <w:r>
        <w:rPr>
          <w:rFonts w:ascii="Times New Roman" w:hAnsi="黑体" w:eastAsia="黑体" w:cs="Times New Roman"/>
          <w:sz w:val="32"/>
          <w:szCs w:val="32"/>
        </w:rPr>
        <w:t>名称、数量和技术参数</w:t>
      </w:r>
    </w:p>
    <w:bookmarkEnd w:id="37"/>
    <w:bookmarkEnd w:id="38"/>
    <w:tbl>
      <w:tblPr>
        <w:tblStyle w:val="46"/>
        <w:tblpPr w:leftFromText="180" w:rightFromText="180" w:vertAnchor="text" w:horzAnchor="page" w:tblpX="1431" w:tblpY="543"/>
        <w:tblOverlap w:val="never"/>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03"/>
        <w:gridCol w:w="1704"/>
        <w:gridCol w:w="8269"/>
        <w:gridCol w:w="616"/>
        <w:gridCol w:w="666"/>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65" w:type="dxa"/>
            <w:shd w:val="clear" w:color="auto" w:fill="auto"/>
            <w:noWrap/>
            <w:vAlign w:val="center"/>
          </w:tcPr>
          <w:p>
            <w:pPr>
              <w:widowControl/>
              <w:jc w:val="center"/>
              <w:textAlignment w:val="center"/>
              <w:rPr>
                <w:rFonts w:hint="eastAsia" w:eastAsia="黑体"/>
                <w:color w:val="000000"/>
                <w:kern w:val="0"/>
                <w:sz w:val="20"/>
                <w:szCs w:val="20"/>
                <w:highlight w:val="none"/>
                <w:lang w:bidi="ar"/>
              </w:rPr>
            </w:pPr>
            <w:bookmarkStart w:id="39" w:name="RANGE!A1:G393"/>
            <w:bookmarkStart w:id="40" w:name="_Toc474235955"/>
            <w:r>
              <w:rPr>
                <w:rFonts w:hint="eastAsia" w:eastAsia="黑体"/>
                <w:color w:val="000000"/>
                <w:kern w:val="0"/>
                <w:sz w:val="20"/>
                <w:szCs w:val="20"/>
                <w:highlight w:val="none"/>
                <w:lang w:bidi="ar"/>
              </w:rPr>
              <w:t>序号</w:t>
            </w:r>
            <w:bookmarkEnd w:id="39"/>
          </w:p>
        </w:tc>
        <w:tc>
          <w:tcPr>
            <w:tcW w:w="1203" w:type="dxa"/>
            <w:shd w:val="clear" w:color="auto" w:fill="auto"/>
            <w:noWrap w:val="0"/>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标的物名称</w:t>
            </w:r>
          </w:p>
        </w:tc>
        <w:tc>
          <w:tcPr>
            <w:tcW w:w="1704" w:type="dxa"/>
            <w:shd w:val="clear" w:color="auto" w:fill="auto"/>
            <w:noWrap/>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标的物所属行业</w:t>
            </w:r>
          </w:p>
        </w:tc>
        <w:tc>
          <w:tcPr>
            <w:tcW w:w="8269" w:type="dxa"/>
            <w:shd w:val="clear" w:color="auto" w:fill="auto"/>
            <w:noWrap w:val="0"/>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技术参数要求</w:t>
            </w:r>
          </w:p>
        </w:tc>
        <w:tc>
          <w:tcPr>
            <w:tcW w:w="616" w:type="dxa"/>
            <w:shd w:val="clear" w:color="auto" w:fill="auto"/>
            <w:noWrap/>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单位</w:t>
            </w:r>
          </w:p>
        </w:tc>
        <w:tc>
          <w:tcPr>
            <w:tcW w:w="666" w:type="dxa"/>
            <w:shd w:val="clear" w:color="auto" w:fill="auto"/>
            <w:noWrap/>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数量</w:t>
            </w:r>
          </w:p>
        </w:tc>
        <w:tc>
          <w:tcPr>
            <w:tcW w:w="929" w:type="dxa"/>
            <w:shd w:val="clear" w:color="auto" w:fill="auto"/>
            <w:noWrap w:val="0"/>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765" w:type="dxa"/>
            <w:shd w:val="clear" w:color="auto" w:fill="auto"/>
            <w:noWrap/>
            <w:vAlign w:val="center"/>
          </w:tcPr>
          <w:p>
            <w:pPr>
              <w:keepNext w:val="0"/>
              <w:keepLines w:val="0"/>
              <w:widowControl/>
              <w:suppressLineNumbers w:val="0"/>
              <w:jc w:val="center"/>
              <w:textAlignment w:val="center"/>
              <w:rPr>
                <w:rFonts w:hint="eastAsia" w:eastAsia="黑体"/>
                <w:color w:val="000000"/>
                <w:kern w:val="0"/>
                <w:sz w:val="20"/>
                <w:szCs w:val="20"/>
                <w:highlight w:val="none"/>
                <w:lang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20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▲公铁两用车（7000吨牵引力）</w:t>
            </w:r>
          </w:p>
        </w:tc>
        <w:tc>
          <w:tcPr>
            <w:tcW w:w="1704" w:type="dxa"/>
            <w:shd w:val="clear" w:color="auto" w:fill="auto"/>
            <w:noWrap w:val="0"/>
            <w:vAlign w:val="center"/>
          </w:tcPr>
          <w:p>
            <w:pPr>
              <w:widowControl/>
              <w:jc w:val="center"/>
              <w:textAlignment w:val="center"/>
              <w:rPr>
                <w:rFonts w:hint="eastAsia" w:eastAsia="黑体"/>
                <w:color w:val="000000"/>
                <w:kern w:val="0"/>
                <w:sz w:val="20"/>
                <w:szCs w:val="20"/>
                <w:highlight w:val="none"/>
                <w:lang w:eastAsia="zh-CN" w:bidi="ar"/>
              </w:rPr>
            </w:pPr>
            <w:r>
              <w:rPr>
                <w:rFonts w:hint="eastAsia" w:eastAsia="黑体"/>
                <w:color w:val="000000"/>
                <w:kern w:val="0"/>
                <w:sz w:val="20"/>
                <w:szCs w:val="20"/>
                <w:highlight w:val="none"/>
                <w:lang w:eastAsia="zh-CN" w:bidi="ar"/>
              </w:rPr>
              <w:t>工业</w:t>
            </w:r>
          </w:p>
        </w:tc>
        <w:tc>
          <w:tcPr>
            <w:tcW w:w="8269" w:type="dxa"/>
            <w:shd w:val="clear" w:color="auto" w:fill="auto"/>
            <w:noWrap w:val="0"/>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color w:val="FF0000"/>
                <w:lang w:val="en-US" w:eastAsia="zh-CN"/>
              </w:rPr>
            </w:pPr>
            <w:r>
              <w:rPr>
                <w:rFonts w:hint="eastAsia"/>
                <w:color w:val="FF0000"/>
                <w:lang w:val="en-US" w:eastAsia="zh-CN"/>
              </w:rPr>
              <w:t>★额定牵引吨位≥7000吨</w:t>
            </w:r>
            <w:r>
              <w:rPr>
                <w:rFonts w:hint="eastAsia"/>
                <w:color w:val="FF0000"/>
                <w:lang w:val="en-US" w:eastAsia="zh-CN"/>
              </w:rPr>
              <w:tab/>
            </w:r>
            <w:r>
              <w:rPr>
                <w:rFonts w:hint="eastAsia"/>
                <w:color w:val="FF0000"/>
                <w:lang w:val="en-US" w:eastAsia="zh-CN"/>
              </w:rPr>
              <w:t>平直干燥线路</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车钩牵引力</w:t>
            </w:r>
            <w:r>
              <w:rPr>
                <w:rFonts w:hint="eastAsia"/>
                <w:lang w:val="en-US" w:eastAsia="zh-CN"/>
              </w:rPr>
              <w:tab/>
            </w:r>
            <w:r>
              <w:rPr>
                <w:rFonts w:hint="eastAsia"/>
                <w:lang w:val="en-US" w:eastAsia="zh-CN"/>
              </w:rPr>
              <w:t>≥260KN</w:t>
            </w:r>
            <w:r>
              <w:rPr>
                <w:rFonts w:hint="eastAsia"/>
                <w:lang w:val="en-US" w:eastAsia="zh-CN"/>
              </w:rPr>
              <w:tab/>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 xml:space="preserve">充风系统：缓解制动时间≤8min </w:t>
            </w:r>
            <w:r>
              <w:rPr>
                <w:rFonts w:hint="eastAsia"/>
                <w:lang w:val="en-US" w:eastAsia="zh-CN"/>
              </w:rPr>
              <w:tab/>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传动方式：静液压传动</w:t>
            </w:r>
            <w:r>
              <w:rPr>
                <w:rFonts w:hint="eastAsia"/>
                <w:lang w:val="en-US" w:eastAsia="zh-CN"/>
              </w:rPr>
              <w:tab/>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驱动方式：液压驱动</w:t>
            </w:r>
            <w:r>
              <w:rPr>
                <w:rFonts w:hint="eastAsia"/>
                <w:lang w:val="en-US" w:eastAsia="zh-CN"/>
              </w:rPr>
              <w:tab/>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制动形式：单机：液压制动</w:t>
            </w:r>
            <w:r>
              <w:rPr>
                <w:rFonts w:hint="eastAsia"/>
                <w:lang w:val="en-US" w:eastAsia="zh-CN"/>
              </w:rPr>
              <w:tab/>
            </w:r>
            <w:r>
              <w:rPr>
                <w:rFonts w:hint="eastAsia"/>
                <w:lang w:val="en-US" w:eastAsia="zh-CN"/>
              </w:rPr>
              <w:t>，车列制动：排气制动</w:t>
            </w:r>
            <w:r>
              <w:rPr>
                <w:rFonts w:hint="eastAsia"/>
                <w:lang w:val="en-US" w:eastAsia="zh-CN"/>
              </w:rPr>
              <w:tab/>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轨距≥1520 mm</w:t>
            </w:r>
            <w:r>
              <w:rPr>
                <w:rFonts w:hint="eastAsia"/>
                <w:lang w:val="en-US" w:eastAsia="zh-CN"/>
              </w:rPr>
              <w:tab/>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行驶速度：重载≤10Km/h，</w:t>
            </w:r>
            <w:r>
              <w:rPr>
                <w:rFonts w:hint="eastAsia"/>
                <w:lang w:val="en-US" w:eastAsia="zh-CN"/>
              </w:rPr>
              <w:tab/>
            </w:r>
            <w:r>
              <w:rPr>
                <w:rFonts w:hint="eastAsia"/>
                <w:lang w:val="en-US" w:eastAsia="zh-CN"/>
              </w:rPr>
              <w:t>空载≤25Km/h</w:t>
            </w:r>
            <w:r>
              <w:rPr>
                <w:rFonts w:hint="eastAsia"/>
                <w:lang w:val="en-US" w:eastAsia="zh-CN"/>
              </w:rPr>
              <w:tab/>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基本配置：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lang w:val="en-US" w:eastAsia="zh-CN"/>
              </w:rPr>
            </w:pPr>
            <w:r>
              <w:rPr>
                <w:rFonts w:hint="eastAsia"/>
                <w:lang w:val="en-US" w:eastAsia="zh-CN"/>
              </w:rPr>
              <w:t>①导轮定位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lang w:val="en-US" w:eastAsia="zh-CN"/>
              </w:rPr>
            </w:pPr>
            <w:r>
              <w:rPr>
                <w:rFonts w:hint="eastAsia"/>
                <w:lang w:val="en-US" w:eastAsia="zh-CN"/>
              </w:rPr>
              <w:t>②空调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lang w:val="en-US" w:eastAsia="zh-CN"/>
              </w:rPr>
            </w:pPr>
            <w:r>
              <w:rPr>
                <w:rFonts w:hint="eastAsia"/>
                <w:lang w:val="en-US" w:eastAsia="zh-CN"/>
              </w:rPr>
              <w:t>③暖风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lang w:val="en-US" w:eastAsia="zh-CN"/>
              </w:rPr>
            </w:pPr>
            <w:r>
              <w:rPr>
                <w:rFonts w:hint="eastAsia"/>
                <w:lang w:val="en-US" w:eastAsia="zh-CN"/>
              </w:rPr>
              <w:t>④视频监控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lang w:val="en-US" w:eastAsia="zh-CN"/>
              </w:rPr>
            </w:pPr>
            <w:r>
              <w:rPr>
                <w:rFonts w:hint="eastAsia"/>
                <w:lang w:val="en-US" w:eastAsia="zh-CN"/>
              </w:rPr>
              <w:t>⑤液压自锁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lang w:val="en-US" w:eastAsia="zh-CN"/>
              </w:rPr>
            </w:pPr>
            <w:r>
              <w:rPr>
                <w:rFonts w:hint="eastAsia"/>
                <w:lang w:val="en-US" w:eastAsia="zh-CN"/>
              </w:rPr>
              <w:t>⑥紧急开关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lang w:val="en-US" w:eastAsia="zh-CN"/>
              </w:rPr>
            </w:pPr>
            <w:r>
              <w:rPr>
                <w:rFonts w:hint="eastAsia"/>
                <w:lang w:val="en-US" w:eastAsia="zh-CN"/>
              </w:rPr>
              <w:t>⑦航空座椅</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产品构成：公铁两用牵引车主要由车体、司机室、液压系统、控制系统、导向装置、发动机、制动系统、耦合器系统、电气系统、行车监控系统等部分组成。公铁两用牵引车为一体式车身，后桥均为驱动桥，前桥为转向驱动桥。</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车体设计：车体主体结构为全焊接箱型结构，由优质高强度钢板采用先进焊接工艺的焊接，具有足够的刚性和耐用性，有限元分析，能有效承受各种扭力及冲击载荷，无开裂、撕裂、变形风险。车辆刚度加强，有利于车体稳定，同时，有利于提高车辆稳定性，防止牵引车在铁轨上掉道。</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司机室：司机室采用优质板材造型焊接的结构，司机室的结构合理，坚实、牢固。全景式挡风玻璃、视野更加开阔。司机室的门、窗玻璃使用安全玻璃且符合国家的相关规定。前后挡风玻璃设有雨刮器，保证行车安全。司机室内设有驾驶座椅1个，副座椅1个，驾驶座椅为是指带有独立扶手和腿托，可以变换成躺椅的加宽座椅，符合人机工程学原理，副座椅为普通座椅。驾驶室内操纵台能显示以下数据：车辆牵引速度、总风缸压力、柴油机水温指示、柴油机机油压力指示、柴油箱油量表、小时计、蓄电池电压、变速箱油温指示，同时要设置各种开关、按钮、指示灯等。</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default"/>
                <w:lang w:val="en-US" w:eastAsia="zh-CN"/>
              </w:rPr>
            </w:pPr>
            <w:r>
              <w:rPr>
                <w:rFonts w:hint="eastAsia"/>
                <w:lang w:val="en-US" w:eastAsia="zh-CN"/>
              </w:rPr>
              <w:t>液压系统：液压系统分为转向液压系统、工作液压系统和静液压驱动系统。转向液压系统为全液压转向系统，操纵灵活轻便，工作可靠，故障率低，结构简单、紧凑，安装布置方便，维修保养方便。工作液压系统为公铁转换系统，控制路轨导向系统升降。静液压驱动系统:用来在发动机与驱动轮之间传递动力。静液式传动由油泵、液压马达、管路等组成。用液压马达驱动驱动桥达到驱动效果，具有传动效率高、体积小、质量轻的优点。</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发动机：额定功率不小于300Kw，污染物排放达到国家四阶段排放标准。</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制动系统：公铁两用牵引车制动系统由铁路和公路两套独立的系统组成，铁路、公路单机运行时，采用液压制动，脚控操作；牵引轨道车辆时，采用车列自身的自动机制动。</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制动需要具有常规制动和紧急制动两种模式。制气装置能够提供铁路、公路两种工况下所需的压缩空气量。</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车钩：车辆前端与后端分别配置一个国标车钩，用于货运列车的连挂，牵引车的能够实现双向牵引。</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 xml:space="preserve">电气系统：设备各电气走线为不可见线，采用单线制，电压为DC24V，各主要用电气均配有保险片，实现过流保护。电线有套管保护，走线合理，且外观美观。启动蓄电池采用两块12V免维护铅酸蓄电池，单块蓄电池容量不小于150Ah。车体前后分别装有不少于两盏的照明灯，每灯发光强度符合 GB／T20418-2011的规定。灯光优先采用LED灯，包括前后工作灯、照明灯、警示灯及边灯等，满足公铁两用牵引车夜间作业要求。 </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行车监控系统： 牵引车配置道路专用监控设备。前后车钩、导向轮及驾驶室安装等不少于12路监控摄像头，监控自带存储功能，并且存储影像可以拷贝到U盘等存储元件内，在电脑、笔记本等影音播放设备上播放。监控摄像头带有红外辅助成像功能能够满足夜间的使用要求。</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公铁转换系统：公铁两用牵引车的公铁转换系统为钢轮导向装置。与钢轨的轨内、轨侧接触面大，增加运行的稳定性和防掉道性能，提高安全性。钢轮导向装置实现公铁两用牵引车沿轨道运行，不会出现脱轨的情况。钢轮导向装置通过液压升降油缸实现导向轮的升降，完成公铁转换，具有到位指示功能。液压系统具备自锁功能，导向轮升降用液压油缸与中间闭锁用液压油缸安装有双向液压锁，防止液压管路因不可</w:t>
            </w:r>
            <w:r>
              <w:rPr>
                <w:rFonts w:hint="default"/>
                <w:lang w:val="en-US" w:eastAsia="zh-CN"/>
              </w:rPr>
              <w:t>抗力</w:t>
            </w:r>
            <w:r>
              <w:rPr>
                <w:rFonts w:hint="eastAsia"/>
                <w:lang w:val="en-US" w:eastAsia="zh-CN"/>
              </w:rPr>
              <w:t>因素造成的漏油、破裂等原因造成导向装置。</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铭牌和标记：提供包含公铁两用牵引车制造厂及型号、厂商地址和制造日期等的铭牌，所有控制杆、指示灯、仪表和开关等皆配有标识和标志，且用中文标明，符合 GB 20178-2006的相关规定。</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清障系统</w:t>
            </w:r>
            <w:r>
              <w:rPr>
                <w:rFonts w:hint="default"/>
                <w:lang w:val="en-US" w:eastAsia="zh-CN"/>
              </w:rPr>
              <w:t>：</w:t>
            </w:r>
            <w:r>
              <w:rPr>
                <w:rFonts w:hint="eastAsia"/>
                <w:lang w:val="en-US" w:eastAsia="zh-CN"/>
              </w:rPr>
              <w:t>公铁两用牵引车配备钢轨清障装置，由高强度、高耐磨性的材料制作，用于清理轨道面上散落物料或杂物的清障装置且清障过程中不会对轨面造成损伤。</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辅助加热系统</w:t>
            </w:r>
            <w:r>
              <w:rPr>
                <w:rFonts w:hint="default"/>
                <w:lang w:val="en-US" w:eastAsia="zh-CN"/>
              </w:rPr>
              <w:t>：</w:t>
            </w:r>
            <w:r>
              <w:rPr>
                <w:rFonts w:hint="eastAsia"/>
                <w:lang w:val="en-US" w:eastAsia="zh-CN"/>
              </w:rPr>
              <w:t>公铁两用牵引车配置辅助加热系统，确保冬季驾驶室内温度满足司乘要求。</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噪音控制：公铁两用牵引车噪声要求符合 GB 16710-2010 的规定。设备司机室及发动机应采用有效的减震方式，从噪音源上降低设备噪音。设备司机室及发动机护罩应采用隔音棉进行处理，从传播途径上降低设备</w:t>
            </w:r>
            <w:r>
              <w:rPr>
                <w:rFonts w:hint="default"/>
                <w:lang w:val="en-US" w:eastAsia="zh-CN"/>
              </w:rPr>
              <w:t>噪声</w:t>
            </w:r>
            <w:r>
              <w:rPr>
                <w:rFonts w:hint="eastAsia"/>
                <w:lang w:val="en-US"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exact"/>
              <w:ind w:left="425" w:leftChars="0" w:hanging="425" w:firstLineChars="0"/>
              <w:textAlignment w:val="auto"/>
              <w:rPr>
                <w:rFonts w:hint="eastAsia"/>
                <w:lang w:val="en-US" w:eastAsia="zh-CN"/>
              </w:rPr>
            </w:pPr>
            <w:r>
              <w:rPr>
                <w:rFonts w:hint="eastAsia"/>
                <w:lang w:val="en-US" w:eastAsia="zh-CN"/>
              </w:rPr>
              <w:t>涂漆：公铁两用牵引车喷漆采用工程用油漆，经久耐用。外观涂装光滑平整，无鼓泡、裂纹、皱褶、漏涂、剥落，各色漆相互不沾染，交界清晰，其中漆膜厚度 80μm～120μm，漆膜附着力不低于2级。公铁两用牵引车颜色主要为工程黄色，下段围裙为灰色，车钩颜色为黑色。</w:t>
            </w:r>
          </w:p>
          <w:p>
            <w:pPr>
              <w:pStyle w:val="14"/>
              <w:ind w:left="0" w:leftChars="0" w:firstLine="0" w:firstLineChars="0"/>
              <w:rPr>
                <w:rFonts w:hint="default"/>
                <w:lang w:val="en-US" w:eastAsia="zh-CN"/>
              </w:rPr>
            </w:pPr>
            <w:r>
              <w:rPr>
                <w:rFonts w:hint="eastAsia" w:ascii="Times New Roman" w:hAnsi="Times New Roman" w:eastAsia="宋体" w:cs="Times New Roman"/>
                <w:color w:val="FF0000"/>
                <w:kern w:val="2"/>
                <w:sz w:val="21"/>
                <w:szCs w:val="24"/>
                <w:lang w:val="en-US" w:eastAsia="zh-CN" w:bidi="ar-SA"/>
              </w:rPr>
              <w:t>26）★需要投标人提供公铁两用车在霍尔果斯综保区铁路专用线宽轨线能够进行安全行车达到中国铁路乌鲁木齐局集团公司的安全行车要求，并同意我专用线使用的证明（投标人需要开具承诺书，如果中标后无法满足此项要求，则甲方有权利单方面解除合同并要求乙方退回签订合同后所支付的所有款项）</w:t>
            </w:r>
          </w:p>
        </w:tc>
        <w:tc>
          <w:tcPr>
            <w:tcW w:w="61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commentRangeStart w:id="0"/>
            <w:r>
              <w:rPr>
                <w:rFonts w:hint="eastAsia" w:ascii="宋体" w:hAnsi="宋体" w:cs="宋体"/>
                <w:i w:val="0"/>
                <w:iCs w:val="0"/>
                <w:color w:val="000000"/>
                <w:kern w:val="0"/>
                <w:sz w:val="20"/>
                <w:szCs w:val="20"/>
                <w:highlight w:val="none"/>
                <w:u w:val="none"/>
                <w:lang w:val="en-US" w:eastAsia="zh-CN" w:bidi="ar"/>
              </w:rPr>
              <w:t>辆</w:t>
            </w:r>
            <w:commentRangeEnd w:id="0"/>
            <w:r>
              <w:commentReference w:id="0"/>
            </w:r>
          </w:p>
        </w:tc>
        <w:tc>
          <w:tcPr>
            <w:tcW w:w="666"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commentRangeStart w:id="1"/>
            <w:r>
              <w:rPr>
                <w:rFonts w:hint="eastAsia" w:ascii="宋体" w:hAnsi="宋体" w:cs="宋体"/>
                <w:i w:val="0"/>
                <w:iCs w:val="0"/>
                <w:color w:val="000000"/>
                <w:kern w:val="0"/>
                <w:sz w:val="20"/>
                <w:szCs w:val="20"/>
                <w:highlight w:val="none"/>
                <w:u w:val="none"/>
                <w:lang w:val="en-US" w:eastAsia="zh-CN" w:bidi="ar"/>
              </w:rPr>
              <w:t>1</w:t>
            </w:r>
            <w:commentRangeEnd w:id="1"/>
            <w:r>
              <w:commentReference w:id="1"/>
            </w:r>
          </w:p>
        </w:tc>
        <w:tc>
          <w:tcPr>
            <w:tcW w:w="929" w:type="dxa"/>
            <w:shd w:val="clear" w:color="auto" w:fill="auto"/>
            <w:noWrap w:val="0"/>
            <w:vAlign w:val="center"/>
          </w:tcPr>
          <w:p>
            <w:pPr>
              <w:widowControl/>
              <w:jc w:val="center"/>
              <w:textAlignment w:val="center"/>
              <w:rPr>
                <w:rFonts w:hint="eastAsia" w:eastAsia="黑体"/>
                <w:color w:val="000000"/>
                <w:kern w:val="0"/>
                <w:sz w:val="20"/>
                <w:szCs w:val="20"/>
                <w:highlight w:val="none"/>
                <w:lang w:bidi="ar"/>
              </w:rPr>
            </w:pPr>
            <w:r>
              <w:rPr>
                <w:rFonts w:hint="eastAsia" w:eastAsia="黑体"/>
                <w:color w:val="000000"/>
                <w:kern w:val="0"/>
                <w:sz w:val="20"/>
                <w:szCs w:val="20"/>
                <w:highlight w:val="none"/>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4152" w:type="dxa"/>
            <w:gridSpan w:val="7"/>
            <w:shd w:val="clear" w:color="auto" w:fill="auto"/>
            <w:noWrap/>
            <w:vAlign w:val="center"/>
          </w:tcPr>
          <w:p>
            <w:pPr>
              <w:widowControl/>
              <w:jc w:val="left"/>
              <w:textAlignment w:val="center"/>
              <w:rPr>
                <w:rFonts w:hint="eastAsia"/>
              </w:rPr>
            </w:pPr>
            <w:r>
              <w:rPr>
                <w:rFonts w:hint="eastAsia"/>
              </w:rPr>
              <w:t>备注：</w:t>
            </w:r>
            <w:r>
              <w:rPr>
                <w:rFonts w:hint="eastAsia"/>
                <w:lang w:val="en-US" w:eastAsia="zh-CN"/>
              </w:rPr>
              <w:t>1、</w:t>
            </w:r>
            <w:r>
              <w:rPr>
                <w:rFonts w:hint="eastAsia"/>
              </w:rPr>
              <w:t>费用包括人工费、材料费、税费、运输费、</w:t>
            </w:r>
            <w:r>
              <w:t>安装调试</w:t>
            </w:r>
            <w:r>
              <w:rPr>
                <w:rFonts w:hint="eastAsia"/>
              </w:rPr>
              <w:t>、</w:t>
            </w:r>
            <w:r>
              <w:rPr>
                <w:rFonts w:hint="eastAsia"/>
                <w:lang w:eastAsia="zh-CN"/>
              </w:rPr>
              <w:t>培训</w:t>
            </w:r>
            <w:r>
              <w:rPr>
                <w:rFonts w:hint="eastAsia"/>
              </w:rPr>
              <w:t>、其他平台数据对接费用</w:t>
            </w:r>
            <w:r>
              <w:rPr>
                <w:rFonts w:hint="eastAsia"/>
                <w:lang w:eastAsia="zh-CN"/>
              </w:rPr>
              <w:t>、配套工具及软件费用</w:t>
            </w:r>
            <w:r>
              <w:rPr>
                <w:rFonts w:hint="eastAsia"/>
              </w:rPr>
              <w:t>等完成项目所需的所有费用。</w:t>
            </w:r>
          </w:p>
          <w:p>
            <w:pPr>
              <w:pStyle w:val="2"/>
              <w:rPr>
                <w:rFonts w:hint="eastAsia" w:eastAsia="宋体"/>
                <w:lang w:val="en-US" w:eastAsia="zh-CN"/>
              </w:rPr>
            </w:pPr>
            <w:r>
              <w:rPr>
                <w:rFonts w:hint="eastAsia"/>
                <w:lang w:val="en-US" w:eastAsia="zh-CN"/>
              </w:rPr>
              <w:t>2、投标人提供优于采购需求参数设备的，需提供国家认可的认证(检测)机构出具检测报告，相应优于采购需求的参数检测数据达到偏离数据的方可得分，检测数据未达到偏离数据的不得分。</w:t>
            </w:r>
          </w:p>
        </w:tc>
      </w:tr>
    </w:tbl>
    <w:p>
      <w:pPr>
        <w:pStyle w:val="34"/>
      </w:pPr>
    </w:p>
    <w:p>
      <w:pPr>
        <w:rPr>
          <w:rFonts w:ascii="宋体" w:hAnsi="宋体"/>
          <w:b/>
          <w:color w:val="FF0000"/>
          <w:szCs w:val="21"/>
        </w:rPr>
      </w:pPr>
      <w:r>
        <w:rPr>
          <w:rFonts w:hint="eastAsia" w:ascii="宋体" w:hAnsi="宋体"/>
          <w:b/>
          <w:color w:val="FF0000"/>
          <w:szCs w:val="21"/>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ascii="宋体" w:hAnsi="宋体"/>
          <w:b/>
          <w:bCs/>
          <w:sz w:val="24"/>
          <w:highlight w:val="yellow"/>
        </w:rPr>
      </w:pPr>
      <w:r>
        <w:rPr>
          <w:rFonts w:hint="eastAsia" w:ascii="宋体" w:hAnsi="宋体"/>
          <w:b/>
          <w:sz w:val="24"/>
        </w:rPr>
        <w:t>（1）</w:t>
      </w:r>
      <w:r>
        <w:rPr>
          <w:rFonts w:hint="eastAsia" w:ascii="宋体" w:hAnsi="宋体"/>
          <w:b w:val="0"/>
          <w:bCs/>
          <w:sz w:val="24"/>
        </w:rPr>
        <w:t>加注“★”号且标红条款为实质条款，</w:t>
      </w:r>
      <w:r>
        <w:rPr>
          <w:rFonts w:hint="eastAsia" w:ascii="宋体" w:hAnsi="宋体"/>
          <w:b w:val="0"/>
          <w:bCs/>
          <w:sz w:val="24"/>
          <w:lang w:eastAsia="zh-CN"/>
        </w:rPr>
        <w:t>投标参数不符合招标文件要求</w:t>
      </w:r>
      <w:r>
        <w:rPr>
          <w:rFonts w:hint="eastAsia" w:ascii="宋体" w:hAnsi="宋体"/>
          <w:b w:val="0"/>
          <w:bCs/>
          <w:sz w:val="24"/>
        </w:rPr>
        <w:t>视同为无效投标；</w:t>
      </w:r>
    </w:p>
    <w:p>
      <w:pPr>
        <w:spacing w:line="360" w:lineRule="auto"/>
        <w:ind w:firstLine="480" w:firstLineChars="200"/>
        <w:outlineLvl w:val="0"/>
        <w:rPr>
          <w:rFonts w:ascii="宋体" w:hAnsi="宋体"/>
          <w:sz w:val="24"/>
        </w:rPr>
      </w:pPr>
      <w:r>
        <w:rPr>
          <w:rFonts w:hint="eastAsia" w:ascii="宋体" w:hAnsi="宋体"/>
          <w:sz w:val="24"/>
        </w:rPr>
        <w:t>（2）加注“▲”号的产品为核心产品，任意一种核心产品为同一品牌时，按照87号令第三十一条执行。</w:t>
      </w:r>
    </w:p>
    <w:p>
      <w:pPr>
        <w:spacing w:line="360" w:lineRule="auto"/>
        <w:ind w:firstLine="480" w:firstLineChars="200"/>
        <w:outlineLvl w:val="0"/>
        <w:rPr>
          <w:rFonts w:hint="default" w:ascii="宋体" w:hAnsi="宋体"/>
          <w:sz w:val="24"/>
          <w:lang w:val="en-US" w:eastAsia="zh-CN"/>
        </w:rPr>
        <w:sectPr>
          <w:footerReference r:id="rId12" w:type="default"/>
          <w:pgSz w:w="16838" w:h="11906" w:orient="landscape"/>
          <w:pgMar w:top="1800" w:right="1440" w:bottom="1800" w:left="1440" w:header="851" w:footer="992" w:gutter="0"/>
          <w:cols w:space="720" w:num="1"/>
          <w:docGrid w:type="lines" w:linePitch="312" w:charSpace="0"/>
        </w:sectPr>
      </w:pPr>
      <w:r>
        <w:rPr>
          <w:rFonts w:hint="eastAsia" w:hAnsi="宋体"/>
          <w:sz w:val="24"/>
        </w:rPr>
        <w:t>（3）</w:t>
      </w:r>
      <w:r>
        <w:rPr>
          <w:rFonts w:hint="eastAsia" w:ascii="宋体" w:hAnsi="宋体"/>
          <w:sz w:val="24"/>
        </w:rPr>
        <w:t>标书中需附所投产品的品牌、规格、参数和清晰图例。</w:t>
      </w: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第六章 投标文件格式</w:t>
      </w:r>
      <w:bookmarkEnd w:id="40"/>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r>
        <w:rPr>
          <w:rFonts w:hint="eastAsia" w:ascii="宋体" w:hAnsi="宋体"/>
          <w:bCs/>
          <w:color w:val="000000" w:themeColor="text1"/>
          <w:sz w:val="52"/>
          <w:szCs w:val="52"/>
          <w14:textFill>
            <w14:solidFill>
              <w14:schemeClr w14:val="tx1"/>
            </w14:solidFill>
          </w14:textFill>
        </w:rPr>
        <w:t>投 标 文 件</w:t>
      </w:r>
    </w:p>
    <w:p>
      <w:pPr>
        <w:spacing w:before="312" w:beforeLines="100"/>
        <w:jc w:val="center"/>
        <w:rPr>
          <w:rFonts w:ascii="宋体" w:hAnsi="宋体"/>
          <w:b/>
          <w:bCs/>
          <w:color w:val="000000" w:themeColor="text1"/>
          <w:sz w:val="28"/>
          <w:szCs w:val="28"/>
          <w14:textFill>
            <w14:solidFill>
              <w14:schemeClr w14:val="tx1"/>
            </w14:solidFill>
          </w14:textFill>
        </w:rPr>
      </w:pPr>
    </w:p>
    <w:p>
      <w:pPr>
        <w:spacing w:before="312" w:beforeLines="100"/>
        <w:jc w:val="center"/>
        <w:rPr>
          <w:rFonts w:ascii="宋体" w:hAnsi="宋体"/>
          <w:b/>
          <w:color w:val="000000" w:themeColor="text1"/>
          <w:sz w:val="44"/>
          <w:szCs w:val="44"/>
          <w14:textFill>
            <w14:solidFill>
              <w14:schemeClr w14:val="tx1"/>
            </w14:solidFill>
          </w14:textFill>
        </w:rPr>
      </w:pPr>
    </w:p>
    <w:p>
      <w:pPr>
        <w:snapToGrid w:val="0"/>
        <w:spacing w:before="312" w:beforeLines="100" w:after="312" w:afterLines="100" w:line="360" w:lineRule="auto"/>
        <w:ind w:firstLine="993" w:firstLineChars="412"/>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p>
    <w:p>
      <w:pPr>
        <w:snapToGrid w:val="0"/>
        <w:spacing w:before="312" w:beforeLines="100" w:after="312" w:afterLines="100" w:line="360" w:lineRule="auto"/>
        <w:ind w:firstLine="985" w:firstLineChars="409"/>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项目编号（标项号）：</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w:t>
      </w:r>
    </w:p>
    <w:p>
      <w:pPr>
        <w:pStyle w:val="14"/>
        <w:snapToGrid w:val="0"/>
        <w:spacing w:before="312" w:beforeLines="100" w:after="312" w:afterLines="100" w:line="360" w:lineRule="auto"/>
        <w:ind w:firstLine="981" w:firstLineChars="407"/>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投标人名称：</w:t>
      </w:r>
      <w:r>
        <w:rPr>
          <w:rFonts w:hint="eastAsia" w:ascii="宋体" w:hAnsi="宋体"/>
          <w:b/>
          <w:bCs/>
          <w:color w:val="000000" w:themeColor="text1"/>
          <w:sz w:val="24"/>
          <w:szCs w:val="24"/>
          <w:u w:val="single"/>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加盖签章）</w:t>
      </w:r>
    </w:p>
    <w:p>
      <w:pPr>
        <w:pStyle w:val="14"/>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投标人地址：</w:t>
      </w:r>
      <w:r>
        <w:rPr>
          <w:rFonts w:hint="eastAsia" w:ascii="宋体" w:hAnsi="宋体"/>
          <w:b/>
          <w:bCs/>
          <w:color w:val="000000" w:themeColor="text1"/>
          <w:sz w:val="24"/>
          <w:szCs w:val="24"/>
          <w:u w:val="single"/>
          <w14:textFill>
            <w14:solidFill>
              <w14:schemeClr w14:val="tx1"/>
            </w14:solidFill>
          </w14:textFill>
        </w:rPr>
        <w:t xml:space="preserve">                                 </w:t>
      </w:r>
    </w:p>
    <w:p>
      <w:pPr>
        <w:pStyle w:val="14"/>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投标联系人：</w:t>
      </w:r>
      <w:r>
        <w:rPr>
          <w:rFonts w:hint="eastAsia" w:ascii="宋体" w:hAnsi="宋体"/>
          <w:b/>
          <w:bCs/>
          <w:color w:val="000000" w:themeColor="text1"/>
          <w:sz w:val="24"/>
          <w:szCs w:val="24"/>
          <w:u w:val="single"/>
          <w14:textFill>
            <w14:solidFill>
              <w14:schemeClr w14:val="tx1"/>
            </w14:solidFill>
          </w14:textFill>
        </w:rPr>
        <w:t xml:space="preserve">                                 </w:t>
      </w:r>
    </w:p>
    <w:p>
      <w:pPr>
        <w:pStyle w:val="14"/>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联系电话/传真:</w:t>
      </w:r>
      <w:r>
        <w:rPr>
          <w:rFonts w:hint="eastAsia" w:ascii="宋体" w:hAnsi="宋体"/>
          <w:b/>
          <w:bCs/>
          <w:color w:val="000000" w:themeColor="text1"/>
          <w:sz w:val="24"/>
          <w:szCs w:val="24"/>
          <w:u w:val="single"/>
          <w14:textFill>
            <w14:solidFill>
              <w14:schemeClr w14:val="tx1"/>
            </w14:solidFill>
          </w14:textFill>
        </w:rPr>
        <w:t xml:space="preserve">                               </w:t>
      </w:r>
    </w:p>
    <w:p>
      <w:pPr>
        <w:autoSpaceDE w:val="0"/>
        <w:autoSpaceDN w:val="0"/>
        <w:adjustRightInd w:val="0"/>
        <w:snapToGrid w:val="0"/>
        <w:spacing w:before="156" w:beforeLines="50" w:after="156" w:afterLines="50" w:line="360" w:lineRule="auto"/>
        <w:jc w:val="right"/>
        <w:rPr>
          <w:rFonts w:ascii="宋体" w:hAnsi="宋体"/>
          <w:b/>
          <w:color w:val="000000" w:themeColor="text1"/>
          <w:sz w:val="32"/>
          <w:szCs w:val="32"/>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电子版投标文件编制顺序</w:t>
      </w:r>
    </w:p>
    <w:tbl>
      <w:tblPr>
        <w:tblStyle w:val="47"/>
        <w:tblW w:w="83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0"/>
        <w:gridCol w:w="2660"/>
        <w:gridCol w:w="292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w:t>
            </w:r>
          </w:p>
        </w:tc>
        <w:tc>
          <w:tcPr>
            <w:tcW w:w="2660"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编制内容</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ascii="宋体" w:hAnsi="宋体"/>
                <w:b/>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开标一览表</w:t>
            </w:r>
          </w:p>
        </w:tc>
        <w:tc>
          <w:tcPr>
            <w:tcW w:w="2660" w:type="dxa"/>
            <w:vAlign w:val="center"/>
          </w:tcPr>
          <w:p>
            <w:pPr>
              <w:adjustRightInd w:val="0"/>
              <w:snapToGri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投标人于电子交易平台填写</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需与报价文件中价格一致，电子交易平台生成的开标一览表内容与报价文件中相应内容不一致的，以电子交易平台生成的开标一览表为准。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资格响应文件</w:t>
            </w:r>
          </w:p>
        </w:tc>
        <w:tc>
          <w:tcPr>
            <w:tcW w:w="2660" w:type="dxa"/>
            <w:vAlign w:val="center"/>
          </w:tcPr>
          <w:p>
            <w:pPr>
              <w:adjustRightInd w:val="0"/>
              <w:snapToGrid w:val="0"/>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有效的营业执照</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投标单位是事业单位的，应提供其有效的“事业单位法人证书”；投标单位是非企业专业服务机构的，应提供其有效的执业许可证；投标单位是个体工商户的，应提供其有效的“个体工商户营业执照”</w:t>
            </w:r>
          </w:p>
        </w:tc>
        <w:tc>
          <w:tcPr>
            <w:tcW w:w="1499" w:type="dxa"/>
            <w:vMerge w:val="restart"/>
            <w:vAlign w:val="center"/>
          </w:tcPr>
          <w:p>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具体要求查看投标人的资格证明材料说明</w:t>
            </w:r>
          </w:p>
          <w:p>
            <w:pPr>
              <w:pStyle w:val="4"/>
              <w:rPr>
                <w:rFonts w:hint="eastAsia"/>
              </w:rPr>
            </w:pPr>
          </w:p>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shd w:val="clear" w:color="auto" w:fill="auto"/>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w:t>
            </w:r>
            <w:r>
              <w:rPr>
                <w:rFonts w:hint="eastAsia" w:ascii="宋体" w:hAnsi="宋体"/>
                <w:color w:val="000000" w:themeColor="text1"/>
                <w:szCs w:val="21"/>
                <w14:textFill>
                  <w14:solidFill>
                    <w14:schemeClr w14:val="tx1"/>
                  </w14:solidFill>
                </w14:textFill>
              </w:rPr>
              <w:t>法定代表人身份证明(法定代表人参加招标)</w:t>
            </w:r>
          </w:p>
          <w:p>
            <w:pPr>
              <w:adjustRightInd w:val="0"/>
              <w:snapToGrid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或</w:t>
            </w:r>
          </w:p>
          <w:p>
            <w:pPr>
              <w:adjustRightInd w:val="0"/>
              <w:snapToGrid w:val="0"/>
              <w:rPr>
                <w:rFonts w:ascii="宋体" w:hAnsi="宋体"/>
                <w:b/>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附件2：</w:t>
            </w:r>
            <w:r>
              <w:rPr>
                <w:rFonts w:hint="eastAsia" w:ascii="宋体" w:hAnsi="宋体"/>
                <w:color w:val="000000" w:themeColor="text1"/>
                <w:szCs w:val="21"/>
                <w14:textFill>
                  <w14:solidFill>
                    <w14:schemeClr w14:val="tx1"/>
                  </w14:solidFill>
                </w14:textFill>
              </w:rPr>
              <w:t>法定代表人授权书(委托代理人参加招标)</w:t>
            </w:r>
          </w:p>
        </w:tc>
        <w:tc>
          <w:tcPr>
            <w:tcW w:w="2925" w:type="dxa"/>
            <w:shd w:val="clear" w:color="auto" w:fill="auto"/>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仅需提供任意一项即可。</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color w:val="000000" w:themeColor="text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附件3：</w:t>
            </w:r>
            <w:r>
              <w:rPr>
                <w:rFonts w:hint="eastAsia" w:ascii="宋体" w:hAnsi="宋体"/>
                <w:color w:val="000000" w:themeColor="text1"/>
                <w:szCs w:val="21"/>
                <w14:textFill>
                  <w14:solidFill>
                    <w14:schemeClr w14:val="tx1"/>
                  </w14:solidFill>
                </w14:textFill>
              </w:rPr>
              <w:t>政府采购供应商信用承诺函</w:t>
            </w:r>
          </w:p>
        </w:tc>
        <w:tc>
          <w:tcPr>
            <w:tcW w:w="2925" w:type="dxa"/>
            <w:vAlign w:val="center"/>
          </w:tcPr>
          <w:p>
            <w:pPr>
              <w:adjustRightInd w:val="0"/>
              <w:snapToGrid w:val="0"/>
              <w:spacing w:line="240" w:lineRule="auto"/>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1.投标供应商可自行选择是否提供本承诺函，若不提供本承诺函，应按备注要求提供相应的证明材料。</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2.提供承诺函投标人须在投标文件中按模板提供承诺函，未按照此模版承诺内容提供视为不提供承诺函。</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highlight w:val="green"/>
                <w14:textFill>
                  <w14:solidFill>
                    <w14:schemeClr w14:val="tx1"/>
                  </w14:solidFill>
                </w14:textFill>
              </w:rPr>
            </w:pPr>
            <w:r>
              <w:rPr>
                <w:rFonts w:hint="eastAsia" w:ascii="黑体" w:hAnsi="黑体" w:eastAsia="黑体" w:cs="黑体"/>
                <w:color w:val="000000" w:themeColor="text1"/>
                <w:sz w:val="20"/>
                <w:szCs w:val="20"/>
                <w:highlight w:val="none"/>
                <w14:textFill>
                  <w14:solidFill>
                    <w14:schemeClr w14:val="tx1"/>
                  </w14:solidFill>
                </w14:textFill>
              </w:rPr>
              <w:t>附件5：</w:t>
            </w:r>
            <w:r>
              <w:rPr>
                <w:rFonts w:hint="eastAsia" w:ascii="宋体" w:hAnsi="宋体"/>
                <w:color w:val="000000" w:themeColor="text1"/>
                <w:szCs w:val="21"/>
                <w:highlight w:val="none"/>
                <w14:textFill>
                  <w14:solidFill>
                    <w14:schemeClr w14:val="tx1"/>
                  </w14:solidFill>
                </w14:textFill>
              </w:rPr>
              <w:t>投标保证金缴纳证明</w:t>
            </w:r>
          </w:p>
        </w:tc>
        <w:tc>
          <w:tcPr>
            <w:tcW w:w="2925" w:type="dxa"/>
            <w:vAlign w:val="center"/>
          </w:tcPr>
          <w:p>
            <w:pPr>
              <w:adjustRightInd w:val="0"/>
              <w:snapToGrid w:val="0"/>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本项目无需提供</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szCs w:val="21"/>
              </w:rPr>
              <w:t>针对本项目的其他相关资质</w:t>
            </w:r>
          </w:p>
        </w:tc>
        <w:tc>
          <w:tcPr>
            <w:tcW w:w="2925" w:type="dxa"/>
            <w:vAlign w:val="center"/>
          </w:tcPr>
          <w:p>
            <w:pPr>
              <w:adjustRightInd w:val="0"/>
              <w:snapToGrid w:val="0"/>
              <w:jc w:val="center"/>
              <w:rPr>
                <w:rFonts w:ascii="宋体" w:hAnsi="宋体"/>
                <w:bCs/>
                <w:color w:val="000000" w:themeColor="text1"/>
                <w:szCs w:val="21"/>
                <w:highlight w:val="yellow"/>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第三部分：</w:t>
            </w:r>
          </w:p>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商务技术文件</w:t>
            </w: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符合性审查文件</w:t>
            </w: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附件6：开标一览表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报价具有唯一性；报价金额不超过项目预算价；核心产品品牌具有唯一性，服务期限及质保期符合招标文件要求。</w:t>
            </w:r>
          </w:p>
        </w:tc>
        <w:tc>
          <w:tcPr>
            <w:tcW w:w="1499" w:type="dxa"/>
            <w:vMerge w:val="restart"/>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附件7：投标函</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有效期满足文件要求，盖章及签字（如有）齐全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附件10：参数偏离表</w:t>
            </w:r>
          </w:p>
        </w:tc>
        <w:tc>
          <w:tcPr>
            <w:tcW w:w="2925" w:type="dxa"/>
            <w:vAlign w:val="center"/>
          </w:tcPr>
          <w:p>
            <w:pPr>
              <w:adjustRightInd w:val="0"/>
              <w:snapToGrid w:val="0"/>
              <w:jc w:val="center"/>
              <w:rPr>
                <w:rFonts w:hint="eastAsia" w:ascii="宋体" w:hAnsi="宋体" w:eastAsia="宋体" w:cs="Times New Roman"/>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(1)《参数偏离表》与《投标报价明细表》参数一致； （2）加注“★”号且标红条款为实质条款，投标参数不符合招标文件要求视同为无效投标 （3）盖章及签字（如有）齐全。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eastAsia="宋体" w:cs="Times New Roman"/>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hint="eastAsia" w:ascii="宋体" w:hAnsi="宋体" w:eastAsia="宋体" w:cs="Times New Roman"/>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(1)《参数偏离表》与《投标报价明细表》参数一致； （2）《投标报价明细表》中品牌、型号填写完整，符合实际要求。（3）盖章及签字（如有）齐全。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olor w:val="auto"/>
                <w:szCs w:val="21"/>
                <w:highlight w:val="none"/>
                <w:lang w:val="en-US" w:eastAsia="zh-CN"/>
              </w:rPr>
              <w:t>附件17：</w:t>
            </w:r>
            <w:r>
              <w:rPr>
                <w:rFonts w:hint="eastAsia" w:ascii="宋体" w:hAnsi="宋体"/>
                <w:color w:val="000000" w:themeColor="text1"/>
                <w:szCs w:val="21"/>
                <w:lang w:val="en-US" w:eastAsia="zh-CN"/>
                <w14:textFill>
                  <w14:solidFill>
                    <w14:schemeClr w14:val="tx1"/>
                  </w14:solidFill>
                </w14:textFill>
              </w:rPr>
              <w:t>公铁两用车合规使用承诺书</w:t>
            </w:r>
          </w:p>
        </w:tc>
        <w:tc>
          <w:tcPr>
            <w:tcW w:w="2925" w:type="dxa"/>
            <w:vAlign w:val="center"/>
          </w:tcPr>
          <w:p>
            <w:pPr>
              <w:adjustRightInd w:val="0"/>
              <w:snapToGrid w:val="0"/>
              <w:jc w:val="center"/>
              <w:rPr>
                <w:rFonts w:hint="eastAsia" w:ascii="宋体" w:hAnsi="宋体" w:eastAsia="宋体" w:cs="Times New Roman"/>
                <w:b w:val="0"/>
                <w:bCs/>
                <w:color w:val="auto"/>
                <w:sz w:val="18"/>
                <w:szCs w:val="18"/>
                <w:vertAlign w:val="baseline"/>
                <w:lang w:val="en-US" w:eastAsia="zh-CN"/>
              </w:rPr>
            </w:pPr>
            <w:r>
              <w:rPr>
                <w:rFonts w:hint="eastAsia" w:ascii="宋体" w:hAnsi="宋体" w:cs="Times New Roman"/>
                <w:b w:val="0"/>
                <w:bCs/>
                <w:color w:val="auto"/>
                <w:sz w:val="18"/>
                <w:szCs w:val="18"/>
                <w:vertAlign w:val="baseline"/>
                <w:lang w:val="en-US" w:eastAsia="zh-CN"/>
              </w:rPr>
              <w:t>承诺内容与招标文件模版一致</w:t>
            </w:r>
            <w:r>
              <w:rPr>
                <w:rFonts w:hint="eastAsia" w:ascii="宋体" w:hAnsi="宋体" w:eastAsia="宋体" w:cs="Times New Roman"/>
                <w:b w:val="0"/>
                <w:bCs/>
                <w:color w:val="auto"/>
                <w:sz w:val="18"/>
                <w:szCs w:val="18"/>
                <w:vertAlign w:val="baseline"/>
                <w:lang w:val="en-US" w:eastAsia="zh-CN"/>
              </w:rPr>
              <w:t>，</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商务技术响应文件</w:t>
            </w: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附件8：</w:t>
            </w:r>
            <w:r>
              <w:rPr>
                <w:rFonts w:hint="eastAsia" w:ascii="宋体" w:hAnsi="宋体"/>
                <w:color w:val="000000" w:themeColor="text1"/>
                <w:szCs w:val="21"/>
                <w14:textFill>
                  <w14:solidFill>
                    <w14:schemeClr w14:val="tx1"/>
                  </w14:solidFill>
                </w14:textFill>
              </w:rPr>
              <w:t>投标人基本情况表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附件9：</w:t>
            </w:r>
            <w:r>
              <w:rPr>
                <w:rFonts w:hint="eastAsia" w:ascii="宋体" w:hAnsi="宋体"/>
                <w:color w:val="000000" w:themeColor="text1"/>
                <w:szCs w:val="21"/>
                <w14:textFill>
                  <w14:solidFill>
                    <w14:schemeClr w14:val="tx1"/>
                  </w14:solidFill>
                </w14:textFill>
              </w:rPr>
              <w:t>具备履行合同所必需的设备和专业技术能力的承诺</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highlight w:val="yellow"/>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附件11：</w:t>
            </w:r>
            <w:r>
              <w:rPr>
                <w:rFonts w:hint="eastAsia" w:ascii="宋体" w:hAnsi="宋体"/>
                <w:color w:val="000000" w:themeColor="text1"/>
                <w:szCs w:val="21"/>
                <w14:textFill>
                  <w14:solidFill>
                    <w14:schemeClr w14:val="tx1"/>
                  </w14:solidFill>
                </w14:textFill>
              </w:rPr>
              <w:t>近</w:t>
            </w:r>
            <w:r>
              <w:rPr>
                <w:rFonts w:hint="eastAsia" w:ascii="宋体" w:hAnsi="宋体"/>
                <w:color w:val="000000" w:themeColor="text1"/>
                <w:szCs w:val="21"/>
                <w:lang w:eastAsia="zh-CN"/>
                <w14:textFill>
                  <w14:solidFill>
                    <w14:schemeClr w14:val="tx1"/>
                  </w14:solidFill>
                </w14:textFill>
              </w:rPr>
              <w:t>三年</w:t>
            </w:r>
            <w:r>
              <w:rPr>
                <w:rFonts w:hint="eastAsia" w:ascii="宋体" w:hAnsi="宋体"/>
                <w:color w:val="000000" w:themeColor="text1"/>
                <w:szCs w:val="21"/>
                <w14:textFill>
                  <w14:solidFill>
                    <w14:schemeClr w14:val="tx1"/>
                  </w14:solidFill>
                </w14:textFill>
              </w:rPr>
              <w:t>同类项目业绩表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topLinePunct/>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附件12：</w:t>
            </w:r>
            <w:r>
              <w:rPr>
                <w:rFonts w:hint="eastAsia" w:ascii="宋体" w:hAnsi="宋体"/>
                <w:color w:val="000000" w:themeColor="text1"/>
                <w:szCs w:val="21"/>
                <w14:textFill>
                  <w14:solidFill>
                    <w14:schemeClr w14:val="tx1"/>
                  </w14:solidFill>
                </w14:textFill>
              </w:rPr>
              <w:t>拟投入本项目的服务人员及设备一览表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附件13：</w:t>
            </w:r>
            <w:r>
              <w:rPr>
                <w:rFonts w:hint="eastAsia" w:ascii="宋体" w:hAnsi="宋体"/>
                <w:color w:val="000000" w:themeColor="text1"/>
                <w:szCs w:val="21"/>
                <w14:textFill>
                  <w14:solidFill>
                    <w14:schemeClr w14:val="tx1"/>
                  </w14:solidFill>
                </w14:textFill>
              </w:rPr>
              <w:t>服务附表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附件16</w:t>
            </w:r>
            <w:r>
              <w:rPr>
                <w:rFonts w:hint="eastAsia" w:ascii="宋体" w:hAnsi="宋体" w:eastAsia="宋体" w:cs="Times New Roman"/>
                <w:color w:val="000000" w:themeColor="text1"/>
                <w:szCs w:val="21"/>
                <w:highlight w:val="none"/>
                <w14:textFill>
                  <w14:solidFill>
                    <w14:schemeClr w14:val="tx1"/>
                  </w14:solidFill>
                </w14:textFill>
              </w:rPr>
              <w:t xml:space="preserve"> 投标及履约承诺函</w:t>
            </w:r>
          </w:p>
        </w:tc>
        <w:tc>
          <w:tcPr>
            <w:tcW w:w="2925" w:type="dxa"/>
            <w:vAlign w:val="center"/>
          </w:tcPr>
          <w:p>
            <w:pPr>
              <w:adjustRightInd w:val="0"/>
              <w:snapToGrid w:val="0"/>
              <w:jc w:val="center"/>
              <w:rPr>
                <w:rFonts w:hint="eastAsia"/>
                <w:color w:val="000000" w:themeColor="text1"/>
                <w14:textFill>
                  <w14:solidFill>
                    <w14:schemeClr w14:val="tx1"/>
                  </w14:solidFill>
                </w14:textFill>
              </w:rPr>
            </w:pPr>
            <w:r>
              <w:rPr>
                <w:rFonts w:hint="eastAsia" w:ascii="宋体" w:hAnsi="宋体" w:eastAsia="宋体" w:cs="Times New Roman"/>
                <w:b w:val="0"/>
                <w:bCs/>
                <w:color w:val="auto"/>
                <w:sz w:val="18"/>
                <w:szCs w:val="18"/>
                <w:vertAlign w:val="baseline"/>
                <w:lang w:val="en-US" w:eastAsia="zh-CN"/>
              </w:rPr>
              <w:t>承诺内容满足招标文件要求，</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有利于评分的其他相关资料</w:t>
            </w:r>
          </w:p>
        </w:tc>
        <w:tc>
          <w:tcPr>
            <w:tcW w:w="2925"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投标人可根据项目具体情况提供其他有利于评审的资料</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报价文件</w:t>
            </w: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附件6：</w:t>
            </w:r>
            <w:r>
              <w:rPr>
                <w:rFonts w:hint="eastAsia" w:ascii="宋体" w:hAnsi="宋体"/>
                <w:color w:val="000000" w:themeColor="text1"/>
                <w:szCs w:val="21"/>
                <w14:textFill>
                  <w14:solidFill>
                    <w14:schemeClr w14:val="tx1"/>
                  </w14:solidFill>
                </w14:textFill>
              </w:rPr>
              <w:t>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黑体" w:hAnsi="黑体" w:eastAsia="黑体" w:cs="黑体"/>
                <w:color w:val="000000" w:themeColor="text1"/>
                <w:sz w:val="20"/>
                <w:szCs w:val="20"/>
                <w14:textFill>
                  <w14:solidFill>
                    <w14:schemeClr w14:val="tx1"/>
                  </w14:solidFill>
                </w14:textFill>
              </w:rPr>
            </w:pPr>
            <w:r>
              <w:rPr>
                <w:rFonts w:hint="eastAsia" w:ascii="宋体" w:hAnsi="宋体"/>
                <w:szCs w:val="21"/>
              </w:rPr>
              <w:t>附件1</w:t>
            </w:r>
            <w:r>
              <w:rPr>
                <w:rFonts w:hint="eastAsia" w:ascii="宋体" w:hAnsi="宋体"/>
                <w:szCs w:val="21"/>
                <w:lang w:val="en-US" w:eastAsia="zh-CN"/>
              </w:rPr>
              <w:t>5</w:t>
            </w:r>
            <w:r>
              <w:rPr>
                <w:rFonts w:hint="eastAsia" w:ascii="宋体" w:hAnsi="宋体"/>
                <w:szCs w:val="21"/>
              </w:rPr>
              <w:t>：中小企业声明函（监狱企业、残疾人福利性单位证明）</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如不符合可不提供</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bookmarkStart w:id="41" w:name="_Toc466288481"/>
            <w:bookmarkStart w:id="42" w:name="_Toc474235956"/>
          </w:p>
        </w:tc>
        <w:tc>
          <w:tcPr>
            <w:tcW w:w="2660" w:type="dxa"/>
            <w:vAlign w:val="center"/>
          </w:tcPr>
          <w:p>
            <w:pPr>
              <w:adjustRightInd w:val="0"/>
              <w:snapToGrid w:val="0"/>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bl>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法定代表人身份证明(法定代表人参加招标)</w:t>
      </w:r>
    </w:p>
    <w:p>
      <w:pPr>
        <w:snapToGrid w:val="0"/>
        <w:spacing w:line="480" w:lineRule="auto"/>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注册号：</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成立时间：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日</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经营期限：</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经营范围：主营：</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；兼营：</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名称）的法定代表人。</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pPr>
        <w:autoSpaceDE w:val="0"/>
        <w:autoSpaceDN w:val="0"/>
        <w:adjustRightInd w:val="0"/>
        <w:snapToGrid w:val="0"/>
        <w:spacing w:before="156" w:beforeLines="50" w:line="360" w:lineRule="auto"/>
        <w:jc w:val="left"/>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附：法定代表人身份证复印件</w:t>
      </w:r>
    </w:p>
    <w:p>
      <w:pPr>
        <w:snapToGrid w:val="0"/>
        <w:spacing w:line="480" w:lineRule="auto"/>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名称（盖单位章）：</w:t>
      </w: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附件2</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法定代表人授权书(委托代理人参加招标)</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（授权单位名称）</w:t>
      </w:r>
      <w:r>
        <w:rPr>
          <w:rFonts w:hint="eastAsia" w:ascii="宋体" w:hAnsi="宋体" w:cs="宋体"/>
          <w:color w:val="000000" w:themeColor="text1"/>
          <w:szCs w:val="21"/>
          <w14:textFill>
            <w14:solidFill>
              <w14:schemeClr w14:val="tx1"/>
            </w14:solidFill>
          </w14:textFill>
        </w:rPr>
        <w:t>的法定代表人，现委托</w:t>
      </w:r>
      <w:r>
        <w:rPr>
          <w:rFonts w:hint="eastAsia" w:ascii="宋体" w:hAnsi="宋体" w:cs="宋体"/>
          <w:color w:val="000000" w:themeColor="text1"/>
          <w:szCs w:val="21"/>
          <w:u w:val="single"/>
          <w14:textFill>
            <w14:solidFill>
              <w14:schemeClr w14:val="tx1"/>
            </w14:solidFill>
          </w14:textFill>
        </w:rPr>
        <w:t>（姓名）</w:t>
      </w:r>
      <w:r>
        <w:rPr>
          <w:rFonts w:hint="eastAsia" w:ascii="宋体" w:hAnsi="宋体" w:cs="宋体"/>
          <w:color w:val="000000" w:themeColor="text1"/>
          <w:szCs w:val="21"/>
          <w14:textFill>
            <w14:solidFill>
              <w14:schemeClr w14:val="tx1"/>
            </w14:solidFill>
          </w14:textFill>
        </w:rPr>
        <w:t>为我方代理人。代理人根据授权，以我的名义签署、澄清、说明、补正、递交、撤回、修改</w:t>
      </w:r>
      <w:r>
        <w:rPr>
          <w:rFonts w:hint="eastAsia" w:ascii="宋体" w:hAnsi="宋体" w:cs="宋体"/>
          <w:color w:val="000000" w:themeColor="text1"/>
          <w:szCs w:val="21"/>
          <w:u w:val="single"/>
          <w14:textFill>
            <w14:solidFill>
              <w14:schemeClr w14:val="tx1"/>
            </w14:solidFill>
          </w14:textFill>
        </w:rPr>
        <w:t xml:space="preserve">（项目名称）    </w:t>
      </w:r>
      <w:r>
        <w:rPr>
          <w:rFonts w:hint="eastAsia" w:ascii="宋体" w:hAnsi="宋体" w:cs="宋体"/>
          <w:color w:val="000000" w:themeColor="text1"/>
          <w:szCs w:val="21"/>
          <w14:textFill>
            <w14:solidFill>
              <w14:schemeClr w14:val="tx1"/>
            </w14:solidFill>
          </w14:textFill>
        </w:rPr>
        <w:t>标段投标文件、鉴定合同和处理有关事宜，其法律后果由我方承担。</w:t>
      </w:r>
    </w:p>
    <w:p>
      <w:pPr>
        <w:spacing w:line="560" w:lineRule="exact"/>
        <w:ind w:firstLine="57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pStyle w:val="25"/>
        <w:spacing w:line="560" w:lineRule="exact"/>
        <w:ind w:right="-553" w:firstLine="57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代理人:</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。性别:</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。年龄:</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pPr>
        <w:pStyle w:val="25"/>
        <w:spacing w:line="560" w:lineRule="exact"/>
        <w:ind w:right="-553" w:firstLine="57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部门:</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。职务:</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non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tbl>
      <w:tblPr>
        <w:tblStyle w:val="46"/>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487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法定代表人</w:t>
            </w:r>
            <w:r>
              <w:rPr>
                <w:rFonts w:hint="eastAsia" w:ascii="宋体" w:hAnsi="宋体" w:cs="宋体"/>
                <w:color w:val="000000" w:themeColor="text1"/>
                <w:szCs w:val="21"/>
                <w14:textFill>
                  <w14:solidFill>
                    <w14:schemeClr w14:val="tx1"/>
                  </w14:solidFill>
                </w14:textFill>
              </w:rPr>
              <w:t>身份证复印件（人像面）</w:t>
            </w:r>
          </w:p>
        </w:tc>
        <w:tc>
          <w:tcPr>
            <w:tcW w:w="445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代理人</w:t>
            </w:r>
            <w:r>
              <w:rPr>
                <w:rFonts w:hint="eastAsia" w:ascii="宋体" w:hAnsi="宋体" w:cs="宋体"/>
                <w:color w:val="000000" w:themeColor="text1"/>
                <w:szCs w:val="21"/>
                <w14:textFill>
                  <w14:solidFill>
                    <w14:schemeClr w14:val="tx1"/>
                  </w14:solidFill>
                </w14:textFill>
              </w:rPr>
              <w:t>身份证复印件（人像面）</w:t>
            </w:r>
          </w:p>
        </w:tc>
      </w:tr>
    </w:tbl>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投标单位：（盖企业公章）</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法定代表人：（签字）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委托代理人：（签字）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电话：</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传真：</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邮政编号：</w:t>
      </w:r>
    </w:p>
    <w:p>
      <w:pPr>
        <w:tabs>
          <w:tab w:val="left" w:pos="0"/>
        </w:tabs>
        <w:spacing w:line="560" w:lineRule="exact"/>
        <w:ind w:firstLine="3465" w:firstLineChars="16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二0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before="156" w:beforeLines="50"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kern w:val="0"/>
          <w:sz w:val="28"/>
          <w:szCs w:val="28"/>
          <w14:textFill>
            <w14:solidFill>
              <w14:schemeClr w14:val="tx1"/>
            </w14:solidFill>
          </w14:textFill>
        </w:rPr>
        <w:t>附件3</w:t>
      </w:r>
    </w:p>
    <w:p>
      <w:pPr>
        <w:adjustRightInd w:val="0"/>
        <w:snapToGrid w:val="0"/>
        <w:spacing w:line="360" w:lineRule="auto"/>
        <w:ind w:firstLine="562" w:firstLineChars="200"/>
        <w:jc w:val="center"/>
        <w:rPr>
          <w:rFonts w:hint="eastAsia" w:ascii="宋体" w:hAnsi="宋体"/>
          <w:b/>
          <w:sz w:val="28"/>
          <w:szCs w:val="28"/>
          <w:highlight w:val="none"/>
          <w:lang w:eastAsia="zh-CN"/>
        </w:rPr>
      </w:pPr>
      <w:r>
        <w:rPr>
          <w:rFonts w:hint="eastAsia" w:ascii="宋体" w:hAnsi="宋体"/>
          <w:b/>
          <w:sz w:val="28"/>
          <w:szCs w:val="28"/>
          <w:highlight w:val="none"/>
          <w:lang w:eastAsia="zh-CN"/>
        </w:rPr>
        <w:t>政府采购供应商信用承诺函</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r>
        <w:rPr>
          <w:rFonts w:hint="eastAsia"/>
        </w:rPr>
        <w:t>致_</w:t>
      </w:r>
      <w:r>
        <w:rPr>
          <w:rFonts w:hint="eastAsia"/>
          <w:u w:val="single"/>
          <w:lang w:val="en-US" w:eastAsia="zh-CN"/>
        </w:rPr>
        <w:t xml:space="preserve">                </w:t>
      </w:r>
      <w:r>
        <w:rPr>
          <w:rFonts w:hint="eastAsia"/>
        </w:rPr>
        <w:t>(采购人或采购代理机构)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单位名称(自然人姓名):</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统一社会信用代码( 身份证号码):</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法定代表人(负责人):</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联系地址和电话:</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一、我单位(本人)自愿参加</w:t>
      </w:r>
      <w:r>
        <w:rPr>
          <w:rFonts w:hint="eastAsia"/>
          <w:u w:val="single"/>
          <w:lang w:val="en-US" w:eastAsia="zh-CN"/>
        </w:rPr>
        <w:t xml:space="preserve">   （项目名称、项目编号、标段）   </w:t>
      </w:r>
      <w:r>
        <w:rPr>
          <w:rFonts w:hint="eastAsia"/>
        </w:rPr>
        <w:t>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(五)参加政府采购活动前三年内，在经营活动中没有重大违法记录;成立不足三年的，为实际时间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(七)未被相关监管部门作出行政处罚且尚在处罚有效期内;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(八)未曾作出虚假采购承诺;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供应商(印章):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法定代表人、负责人、本人、或授权代表(签字):</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ind w:firstLine="420" w:firstLineChars="200"/>
      </w:pPr>
      <w:r>
        <w:rPr>
          <w:rFonts w:hint="eastAsia"/>
        </w:rPr>
        <w:t xml:space="preserve">注: </w:t>
      </w:r>
      <w:r>
        <w:rPr>
          <w:rFonts w:hint="eastAsia"/>
          <w:b/>
          <w:bCs/>
        </w:rPr>
        <w:t>1.条款投标供应商可自行选择是否提供本承诺函，若不提供本承诺函，应按《中华人民共和国政府采购法》《中华人民共和国政府采购法实施条例》及采购文件资格要求提供相应的证明材料。（①</w:t>
      </w:r>
      <w:r>
        <w:rPr>
          <w:rFonts w:hint="eastAsia" w:ascii="宋体" w:hAnsi="宋体"/>
          <w:b/>
          <w:bCs/>
          <w:color w:val="000000" w:themeColor="text1"/>
          <w:szCs w:val="21"/>
          <w14:textFill>
            <w14:solidFill>
              <w14:schemeClr w14:val="tx1"/>
            </w14:solidFill>
          </w14:textFill>
        </w:rPr>
        <w:t>无重大违法记录声明书、</w:t>
      </w:r>
      <w:r>
        <w:rPr>
          <w:rFonts w:hint="eastAsia" w:ascii="宋体" w:hAnsi="宋体" w:cs="宋体"/>
          <w:b/>
          <w:bCs/>
          <w:szCs w:val="21"/>
        </w:rPr>
        <w:t>②</w:t>
      </w:r>
      <w:r>
        <w:rPr>
          <w:rFonts w:hint="eastAsia" w:ascii="宋体" w:hAnsi="宋体" w:cs="宋体"/>
          <w:b/>
          <w:bCs/>
          <w:szCs w:val="21"/>
          <w:lang w:eastAsia="zh-CN"/>
        </w:rPr>
        <w:t>2023年</w:t>
      </w:r>
      <w:r>
        <w:rPr>
          <w:rFonts w:hint="eastAsia" w:ascii="宋体" w:hAnsi="宋体" w:cs="宋体"/>
          <w:b/>
          <w:bCs/>
          <w:szCs w:val="21"/>
        </w:rPr>
        <w:t>度财务审计报告或近六个月内银行出具的资信证明、③</w:t>
      </w:r>
      <w:r>
        <w:rPr>
          <w:rFonts w:hint="eastAsia" w:ascii="宋体" w:hAnsi="宋体" w:cs="宋体"/>
          <w:b/>
          <w:bCs/>
          <w:color w:val="000000" w:themeColor="text1"/>
          <w:szCs w:val="21"/>
          <w14:textFill>
            <w14:solidFill>
              <w14:schemeClr w14:val="tx1"/>
            </w14:solidFill>
          </w14:textFill>
        </w:rPr>
        <w:t>税务部门出具的</w:t>
      </w:r>
      <w:r>
        <w:rPr>
          <w:rFonts w:hint="eastAsia" w:ascii="宋体" w:hAnsi="宋体" w:cs="宋体"/>
          <w:b/>
          <w:bCs/>
          <w:color w:val="000000" w:themeColor="text1"/>
          <w:szCs w:val="21"/>
          <w:lang w:val="en-US" w:eastAsia="zh-CN"/>
          <w14:textFill>
            <w14:solidFill>
              <w14:schemeClr w14:val="tx1"/>
            </w14:solidFill>
          </w14:textFill>
        </w:rPr>
        <w:t>2024</w:t>
      </w:r>
      <w:r>
        <w:rPr>
          <w:rFonts w:hint="eastAsia" w:ascii="宋体" w:hAnsi="宋体" w:cs="宋体"/>
          <w:b/>
          <w:bCs/>
          <w:color w:val="000000" w:themeColor="text1"/>
          <w:szCs w:val="21"/>
          <w14:textFill>
            <w14:solidFill>
              <w14:schemeClr w14:val="tx1"/>
            </w14:solidFill>
          </w14:textFill>
        </w:rPr>
        <w:t>年任一个月完税证明、④</w:t>
      </w:r>
      <w:r>
        <w:rPr>
          <w:rFonts w:hint="eastAsia"/>
          <w:b/>
          <w:bCs/>
        </w:rPr>
        <w:t>社保机构出具的投标单位给员工近三个月社保缴纳证明、</w:t>
      </w:r>
      <w:r>
        <w:rPr>
          <w:rFonts w:hint="eastAsia" w:ascii="宋体" w:hAnsi="宋体" w:cs="宋体"/>
          <w:b/>
          <w:bCs/>
          <w:color w:val="000000" w:themeColor="text1"/>
          <w:szCs w:val="21"/>
          <w14:textFill>
            <w14:solidFill>
              <w14:schemeClr w14:val="tx1"/>
            </w14:solidFill>
          </w14:textFill>
        </w:rPr>
        <w:t>⑤具备履行合同所必需的设备和专业技术能力的承诺</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lang w:eastAsia="zh-CN"/>
          <w14:textFill>
            <w14:solidFill>
              <w14:schemeClr w14:val="tx1"/>
            </w14:solidFill>
          </w14:textFill>
        </w:rPr>
        <w:t>⑥在“信用中国”（www.creditchina.gov.cn）和中国政府采购网（www.ccgp.gov.cn）网站上未被列入失信被执行人、重大税收违法案件当事人名单以及政府采购严重违法失信行为记录名单的网页打印件（网页打印件须自招标文件发布之日起至投标截止时间从上述网站中打印）</w:t>
      </w:r>
      <w:r>
        <w:rPr>
          <w:rFonts w:hint="eastAsia"/>
          <w:b/>
          <w:bCs/>
        </w:rPr>
        <w:t>）</w:t>
      </w:r>
    </w:p>
    <w:p>
      <w:pPr>
        <w:ind w:firstLine="420" w:firstLineChars="200"/>
        <w:rPr>
          <w:highlight w:val="none"/>
        </w:rPr>
      </w:pPr>
      <w:r>
        <w:rPr>
          <w:rFonts w:hint="eastAsia"/>
        </w:rPr>
        <w:t>2.提供本承诺函投标人须在投标文件中按此模板提供承诺函，</w:t>
      </w:r>
      <w:r>
        <w:rPr>
          <w:rFonts w:hint="eastAsia"/>
          <w:b/>
          <w:bCs/>
          <w:highlight w:val="none"/>
        </w:rPr>
        <w:t>未按照此模版承诺内容提供视为</w:t>
      </w:r>
      <w:r>
        <w:rPr>
          <w:rFonts w:hint="eastAsia"/>
          <w:b/>
          <w:bCs/>
          <w:highlight w:val="none"/>
          <w:lang w:eastAsia="zh-CN"/>
        </w:rPr>
        <w:t>选择不提供承诺函</w:t>
      </w:r>
      <w:r>
        <w:rPr>
          <w:rFonts w:hint="eastAsia"/>
          <w:highlight w:val="none"/>
        </w:rPr>
        <w:t>。</w:t>
      </w:r>
    </w:p>
    <w:p>
      <w:pPr>
        <w:ind w:firstLine="420" w:firstLineChars="200"/>
      </w:pPr>
      <w:r>
        <w:rPr>
          <w:rFonts w:hint="eastAsia"/>
        </w:rPr>
        <w:t>3.投标人的法定代表人或者授权代表的签字应真实、有效，如由授权代表签字的，应提供“法定代表人授权书”。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spacing w:line="360" w:lineRule="auto"/>
      </w:pPr>
    </w:p>
    <w:p>
      <w:pPr>
        <w:adjustRightInd w:val="0"/>
        <w:snapToGrid w:val="0"/>
        <w:spacing w:line="360" w:lineRule="auto"/>
        <w:ind w:right="24"/>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附件4</w:t>
      </w:r>
    </w:p>
    <w:p>
      <w:pPr>
        <w:autoSpaceDE w:val="0"/>
        <w:autoSpaceDN w:val="0"/>
        <w:adjustRightInd w:val="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b/>
          <w:color w:val="000000" w:themeColor="text1"/>
          <w:kern w:val="0"/>
          <w:sz w:val="28"/>
          <w:szCs w:val="28"/>
          <w14:textFill>
            <w14:solidFill>
              <w14:schemeClr w14:val="tx1"/>
            </w14:solidFill>
          </w14:textFill>
        </w:rPr>
        <w:t xml:space="preserve">         信用记录</w:t>
      </w:r>
    </w:p>
    <w:p>
      <w:pPr>
        <w:widowControl/>
        <w:adjustRightInd w:val="0"/>
        <w:snapToGrid w:val="0"/>
        <w:spacing w:line="360" w:lineRule="auto"/>
        <w:ind w:firstLine="444" w:firstLineChars="200"/>
        <w:jc w:val="center"/>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（复印件并加盖投标单位公章）</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依据财库[2016]125号文件规定，投标单位须符合《关于在政府采购活动中查询及使用信用记录有关问题的通知》的相关要求，即具有良好的信用记录。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投标单位须提供本单位近3年（本项目至递交投标文件截止日前）“信用中国”网站（www.creditchina.gov.cn）及中国政府采购网（www.ccgp.gov.cn）已公布的信用记录查询截图。</w:t>
      </w:r>
      <w:r>
        <w:rPr>
          <w:rFonts w:hint="eastAsia"/>
          <w:b/>
          <w:bCs/>
        </w:rPr>
        <w:t>（网页打印件须自招标文件发布之日起至投标截止时间从上述网站中</w:t>
      </w:r>
      <w:r>
        <w:rPr>
          <w:rFonts w:hint="eastAsia"/>
          <w:b/>
          <w:bCs/>
          <w:lang w:eastAsia="zh-CN"/>
        </w:rPr>
        <w:t>通过浏览器打印</w:t>
      </w:r>
      <w:r>
        <w:rPr>
          <w:rFonts w:hint="eastAsia"/>
          <w:b/>
          <w:bCs/>
        </w:rPr>
        <w:t>）</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截图含1）被列入失信被执行人</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2）重大税收违法案件当事人名单的投标单位</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3）列入政府采购严重违法失信行为记录名单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adjustRightInd w:val="0"/>
        <w:snapToGrid w:val="0"/>
        <w:ind w:left="-88" w:leftChars="-42" w:firstLine="222" w:firstLineChars="100"/>
        <w:jc w:val="center"/>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例如：网站搜索页输入投标单位名称，</w:t>
      </w:r>
      <w:r>
        <w:rPr>
          <w:rFonts w:hint="eastAsia" w:ascii="宋体" w:hAnsi="宋体" w:cs="宋体"/>
          <w:color w:val="000000" w:themeColor="text1"/>
          <w:spacing w:val="6"/>
          <w:kern w:val="0"/>
          <w:szCs w:val="21"/>
          <w:lang w:eastAsia="zh-CN"/>
          <w14:textFill>
            <w14:solidFill>
              <w14:schemeClr w14:val="tx1"/>
            </w14:solidFill>
          </w14:textFill>
        </w:rPr>
        <w:t>通过浏览器</w:t>
      </w:r>
      <w:r>
        <w:rPr>
          <w:rFonts w:hint="eastAsia" w:ascii="宋体" w:hAnsi="宋体" w:cs="宋体"/>
          <w:color w:val="000000" w:themeColor="text1"/>
          <w:spacing w:val="6"/>
          <w:kern w:val="0"/>
          <w:szCs w:val="21"/>
          <w14:textFill>
            <w14:solidFill>
              <w14:schemeClr w14:val="tx1"/>
            </w14:solidFill>
          </w14:textFill>
        </w:rPr>
        <w:t>查询结果</w:t>
      </w: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sectPr>
          <w:headerReference r:id="rId13" w:type="default"/>
          <w:footerReference r:id="rId1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ascii="宋体" w:hAnsi="宋体"/>
          <w:bCs/>
          <w:sz w:val="28"/>
          <w:szCs w:val="28"/>
        </w:rPr>
      </w:pPr>
      <w:r>
        <w:rPr>
          <w:rFonts w:hint="eastAsia" w:ascii="宋体" w:hAnsi="宋体" w:cs="宋体"/>
          <w:bCs/>
          <w:sz w:val="28"/>
          <w:szCs w:val="28"/>
        </w:rPr>
        <w:t>附件5：</w:t>
      </w:r>
      <w:r>
        <w:rPr>
          <w:rFonts w:hint="eastAsia" w:ascii="宋体" w:hAnsi="宋体"/>
          <w:bCs/>
          <w:sz w:val="28"/>
          <w:szCs w:val="28"/>
        </w:rPr>
        <w:t>保证金缴纳证明</w:t>
      </w:r>
    </w:p>
    <w:p>
      <w:pPr>
        <w:pStyle w:val="24"/>
        <w:tabs>
          <w:tab w:val="left" w:pos="1470"/>
          <w:tab w:val="right" w:leader="dot" w:pos="8296"/>
        </w:tabs>
        <w:jc w:val="center"/>
        <w:rPr>
          <w:rFonts w:ascii="宋体" w:hAnsi="宋体"/>
          <w:b/>
          <w:bCs/>
          <w:i w:val="0"/>
          <w:iCs w:val="0"/>
          <w:sz w:val="28"/>
          <w:szCs w:val="28"/>
        </w:rPr>
      </w:pPr>
    </w:p>
    <w:p>
      <w:pPr>
        <w:pStyle w:val="24"/>
        <w:tabs>
          <w:tab w:val="left" w:pos="1470"/>
          <w:tab w:val="right" w:leader="dot" w:pos="8296"/>
        </w:tabs>
        <w:jc w:val="center"/>
        <w:rPr>
          <w:rFonts w:ascii="宋体" w:hAnsi="宋体"/>
          <w:b/>
          <w:bCs/>
          <w:i w:val="0"/>
          <w:iCs w:val="0"/>
          <w:sz w:val="28"/>
          <w:szCs w:val="28"/>
        </w:rPr>
      </w:pPr>
      <w:r>
        <w:rPr>
          <w:rFonts w:hint="eastAsia" w:ascii="宋体" w:hAnsi="宋体"/>
          <w:b/>
          <w:bCs/>
          <w:i w:val="0"/>
          <w:iCs w:val="0"/>
          <w:sz w:val="28"/>
          <w:szCs w:val="28"/>
        </w:rPr>
        <w:t>本页附自行打印的银行流水单复印件/支票复印件/保函复印件等。</w:t>
      </w:r>
    </w:p>
    <w:p>
      <w:pPr>
        <w:autoSpaceDE w:val="0"/>
        <w:autoSpaceDN w:val="0"/>
        <w:adjustRightInd w:val="0"/>
        <w:jc w:val="both"/>
        <w:rPr>
          <w:rFonts w:hint="eastAsia"/>
          <w:lang w:val="en-US" w:eastAsia="zh-CN"/>
        </w:rPr>
      </w:pPr>
      <w:r>
        <w:rPr>
          <w:rFonts w:hint="eastAsia" w:ascii="宋体" w:hAnsi="宋体" w:eastAsia="宋体"/>
          <w:b w:val="0"/>
          <w:bCs w:val="0"/>
        </w:rPr>
        <w:t>注：</w:t>
      </w:r>
      <w:r>
        <w:rPr>
          <w:rFonts w:hint="eastAsia" w:ascii="宋体" w:hAnsi="宋体"/>
          <w:b w:val="0"/>
          <w:bCs w:val="0"/>
          <w:lang w:val="en-US" w:eastAsia="zh-CN"/>
        </w:rPr>
        <w:t>如</w:t>
      </w:r>
      <w:r>
        <w:rPr>
          <w:rFonts w:hint="eastAsia"/>
        </w:rPr>
        <w:t>通过以支票、汇票、本票、保函等非现金形式缴纳或提交保证金</w:t>
      </w:r>
      <w:r>
        <w:rPr>
          <w:rFonts w:hint="eastAsia"/>
          <w:lang w:val="en-US" w:eastAsia="zh-CN"/>
        </w:rPr>
        <w:t>，请附相关证明于此页。</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jc w:val="center"/>
        <w:rPr>
          <w:rFonts w:hint="default" w:ascii="宋体" w:hAnsi="宋体" w:eastAsia="宋体" w:cs="Times New Roman"/>
          <w:b/>
          <w:bCs/>
          <w:i w:val="0"/>
          <w:iCs w:val="0"/>
          <w:kern w:val="2"/>
          <w:sz w:val="28"/>
          <w:szCs w:val="28"/>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i w:val="0"/>
          <w:iCs w:val="0"/>
          <w:kern w:val="2"/>
          <w:sz w:val="28"/>
          <w:szCs w:val="28"/>
          <w:highlight w:val="yellow"/>
          <w:lang w:val="en-US" w:eastAsia="zh-CN" w:bidi="ar-SA"/>
        </w:rPr>
        <w:t>本项目无需提供</w:t>
      </w:r>
    </w:p>
    <w:p>
      <w:pPr>
        <w:adjustRightInd w:val="0"/>
        <w:snapToGrid w:val="0"/>
        <w:spacing w:line="360" w:lineRule="auto"/>
        <w:ind w:right="24"/>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附件6</w:t>
      </w:r>
    </w:p>
    <w:p>
      <w:pPr>
        <w:adjustRightInd w:val="0"/>
        <w:snapToGrid w:val="0"/>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开标一览表 </w:t>
      </w:r>
    </w:p>
    <w:p>
      <w:pPr>
        <w:pStyle w:val="24"/>
        <w:tabs>
          <w:tab w:val="left" w:pos="1470"/>
          <w:tab w:val="right" w:leader="dot" w:pos="8296"/>
        </w:tabs>
        <w:rPr>
          <w:rFonts w:ascii="宋体" w:hAnsi="宋体" w:cs="宋体"/>
          <w:color w:val="000000" w:themeColor="text1"/>
          <w14:textFill>
            <w14:solidFill>
              <w14:schemeClr w14:val="tx1"/>
            </w14:solidFill>
          </w14:textFill>
        </w:rPr>
      </w:pPr>
    </w:p>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bl>
      <w:tblPr>
        <w:tblStyle w:val="46"/>
        <w:tblW w:w="84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127"/>
        <w:gridCol w:w="4012"/>
        <w:gridCol w:w="1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6139" w:type="dxa"/>
            <w:gridSpan w:val="2"/>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7"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p>
        </w:tc>
        <w:tc>
          <w:tcPr>
            <w:tcW w:w="4012"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r>
              <w:rPr>
                <w:rFonts w:hint="eastAsia" w:ascii="宋体" w:hAnsi="宋体" w:cs="宋体"/>
                <w:color w:val="000000" w:themeColor="text1"/>
                <w:szCs w:val="21"/>
                <w:lang w:eastAsia="zh-CN"/>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履约期限</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u w:val="single"/>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质保期</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5</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核心产品品牌</w:t>
            </w:r>
          </w:p>
        </w:tc>
        <w:tc>
          <w:tcPr>
            <w:tcW w:w="4012"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1、报价一经涂改，应在涂改处加盖单位公章或者由法定代表人或授权委托人签字或盖章，否则其投标作无效标处理。</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2、报价包括完成本项目招标范围内所有其他平台数据对接费用、运输费、人工费、保险费、增值税、仓储费，操作方面的培训费、调试费、保修期内的维修所需的备件费以及上门服务等所有相关费用。</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项目须附详细的投标报价明细表，投标报价明细表中金额和开标一览表金额一致。</w:t>
      </w:r>
    </w:p>
    <w:p>
      <w:pPr>
        <w:adjustRightInd w:val="0"/>
        <w:snapToGrid w:val="0"/>
        <w:spacing w:line="360" w:lineRule="auto"/>
        <w:ind w:firstLine="420" w:firstLineChars="200"/>
        <w:rPr>
          <w:rFonts w:hint="eastAsia" w:ascii="宋体" w:hAnsi="宋体" w:eastAsia="黑体" w:cs="宋体"/>
          <w:color w:val="000000" w:themeColor="text1"/>
          <w:szCs w:val="21"/>
          <w:highlight w:val="none"/>
          <w:lang w:eastAsia="zh-CN"/>
          <w14:textFill>
            <w14:solidFill>
              <w14:schemeClr w14:val="tx1"/>
            </w14:solidFill>
          </w14:textFill>
        </w:rPr>
      </w:pPr>
      <w:r>
        <w:rPr>
          <w:rFonts w:hint="eastAsia" w:ascii="宋体" w:hAnsi="宋体" w:cs="宋体"/>
          <w:szCs w:val="21"/>
          <w:highlight w:val="none"/>
        </w:rPr>
        <w:t>4、加注“▲”号的产品为核心产品，任意一种核心产品为同一品牌时，按照87号令第三十一条执行。</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jc w:val="right"/>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附件7</w:t>
      </w:r>
    </w:p>
    <w:p>
      <w:pPr>
        <w:pStyle w:val="74"/>
        <w:numPr>
          <w:ilvl w:val="0"/>
          <w:numId w:val="0"/>
        </w:numPr>
        <w:rPr>
          <w:b/>
          <w:bCs/>
          <w:color w:val="000000" w:themeColor="text1"/>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投标函</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(采购人或采购代理机构)：</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我方己仔细研究了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(项目名称)的招标文件（项目编号：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）的全部内容，知悉参加投标的风险，我方承诺接受招标文件的全部条款且无任何异议。</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一、我方同意在招标文件中规定的提交投标文件截止时间起</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r>
        <w:rPr>
          <w:rFonts w:hint="eastAsia" w:ascii="宋体" w:hAnsi="宋体"/>
          <w:color w:val="000000" w:themeColor="text1"/>
          <w:sz w:val="21"/>
          <w:szCs w:val="21"/>
          <w:lang w:eastAsia="zh-CN"/>
          <w14:textFill>
            <w14:solidFill>
              <w14:schemeClr w14:val="tx1"/>
            </w14:solidFill>
          </w14:textFill>
        </w:rPr>
        <w:t>（含）</w:t>
      </w:r>
      <w:r>
        <w:rPr>
          <w:rFonts w:hint="eastAsia" w:ascii="宋体" w:hAnsi="宋体"/>
          <w:color w:val="000000" w:themeColor="text1"/>
          <w:sz w:val="21"/>
          <w:szCs w:val="21"/>
          <w14:textFill>
            <w14:solidFill>
              <w14:schemeClr w14:val="tx1"/>
            </w14:solidFill>
          </w14:textFill>
        </w:rPr>
        <w:t>内(投标文件有效期)遵守本投标文件中的承诺且在此期限期满之前均具有法律约束力。</w:t>
      </w:r>
    </w:p>
    <w:p>
      <w:pPr>
        <w:pStyle w:val="25"/>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二、我方提交加密投标文件电子版</w:t>
      </w:r>
      <w:r>
        <w:rPr>
          <w:rFonts w:hint="eastAsia" w:ascii="宋体" w:hAnsi="宋体"/>
          <w:color w:val="000000" w:themeColor="text1"/>
          <w:sz w:val="21"/>
          <w:szCs w:val="21"/>
          <w:u w:val="single"/>
          <w14:textFill>
            <w14:solidFill>
              <w14:schemeClr w14:val="tx1"/>
            </w14:solidFill>
          </w14:textFill>
        </w:rPr>
        <w:t xml:space="preserve">   壹  </w:t>
      </w:r>
      <w:r>
        <w:rPr>
          <w:rFonts w:hint="eastAsia" w:ascii="宋体" w:hAnsi="宋体"/>
          <w:color w:val="000000" w:themeColor="text1"/>
          <w:sz w:val="21"/>
          <w:szCs w:val="21"/>
          <w14:textFill>
            <w14:solidFill>
              <w14:schemeClr w14:val="tx1"/>
            </w14:solidFill>
          </w14:textFill>
        </w:rPr>
        <w:t>份，并保证投标文件提供的数据和材料是真实、准确的。否则，愿承担《政府采购法》</w:t>
      </w:r>
      <w:r>
        <w:rPr>
          <w:rFonts w:hint="eastAsia" w:ascii="宋体" w:hAnsi="宋体"/>
          <w:bCs/>
          <w:color w:val="000000" w:themeColor="text1"/>
          <w:sz w:val="21"/>
          <w:szCs w:val="21"/>
          <w14:textFill>
            <w14:solidFill>
              <w14:schemeClr w14:val="tx1"/>
            </w14:solidFill>
          </w14:textFill>
        </w:rPr>
        <w:t>第七十七条规定的法律责任。</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三、我方愿意向贵方提供任何与本项采购有关的数据、情况和技术资料。若贵方需要，我方愿意提供我方作出的一切承诺的证明材料。</w:t>
      </w:r>
    </w:p>
    <w:p>
      <w:pPr>
        <w:pStyle w:val="25"/>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四、我方承诺遵守《政府采购法》的有关规定，保证在获得中标资格后，按照招标文件确定的事项签订政府采购合同，履行双方所签订的合同，并承担合同规定的责任和义务。</w:t>
      </w:r>
    </w:p>
    <w:p>
      <w:pPr>
        <w:pStyle w:val="25"/>
        <w:adjustRightInd w:val="0"/>
        <w:snapToGrid w:val="0"/>
        <w:spacing w:line="360" w:lineRule="auto"/>
        <w:ind w:firstLine="480" w:firstLineChars="200"/>
        <w:rPr>
          <w:rFonts w:ascii="宋体" w:hAnsi="宋体" w:cs="宋体"/>
          <w:color w:val="000000" w:themeColor="text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附件1：</w:t>
      </w:r>
      <w:r>
        <w:rPr>
          <w:rFonts w:hint="eastAsia" w:ascii="宋体" w:hAnsi="宋体" w:cs="宋体"/>
          <w:color w:val="000000" w:themeColor="text1"/>
          <w:szCs w:val="21"/>
          <w14:textFill>
            <w14:solidFill>
              <w14:schemeClr w14:val="tx1"/>
            </w14:solidFill>
          </w14:textFill>
        </w:rPr>
        <w:t>法定代表人身份证明(法定代表人参加招标)</w:t>
      </w: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附件2</w:t>
      </w:r>
      <w:r>
        <w:rPr>
          <w:rFonts w:hint="eastAsia" w:ascii="宋体" w:hAnsi="宋体" w:cs="宋体"/>
          <w:color w:val="000000" w:themeColor="text1"/>
          <w:szCs w:val="21"/>
          <w14:textFill>
            <w14:solidFill>
              <w14:schemeClr w14:val="tx1"/>
            </w14:solidFill>
          </w14:textFill>
        </w:rPr>
        <w:t>：法定代表人授权书(委托代理人参加招标)</w:t>
      </w:r>
    </w:p>
    <w:p>
      <w:pPr>
        <w:pStyle w:val="25"/>
        <w:adjustRightInd w:val="0"/>
        <w:snapToGrid w:val="0"/>
        <w:spacing w:line="360" w:lineRule="auto"/>
        <w:rPr>
          <w:rFonts w:ascii="宋体" w:hAnsi="宋体" w:cs="宋体"/>
          <w:color w:val="000000" w:themeColor="text1"/>
          <w14:textFill>
            <w14:solidFill>
              <w14:schemeClr w14:val="tx1"/>
            </w14:solidFill>
          </w14:textFill>
        </w:rPr>
      </w:pPr>
    </w:p>
    <w:p>
      <w:pPr>
        <w:pStyle w:val="25"/>
        <w:adjustRightInd w:val="0"/>
        <w:snapToGrid w:val="0"/>
        <w:spacing w:line="360" w:lineRule="auto"/>
        <w:rPr>
          <w:rFonts w:ascii="宋体" w:hAnsi="宋体" w:cs="宋体"/>
          <w:color w:val="000000" w:themeColor="text1"/>
          <w14:textFill>
            <w14:solidFill>
              <w14:schemeClr w14:val="tx1"/>
            </w14:solidFill>
          </w14:textFill>
        </w:rPr>
      </w:pPr>
    </w:p>
    <w:p>
      <w:pPr>
        <w:pStyle w:val="25"/>
        <w:adjustRightInd w:val="0"/>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投标人名称(盖单位章)：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附件8</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投标人基本情况表</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盖投标人单位章</w:t>
      </w:r>
    </w:p>
    <w:tbl>
      <w:tblPr>
        <w:tblStyle w:val="46"/>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777"/>
        <w:gridCol w:w="163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组织机构代码</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上年营业收入</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固定电话</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主管部门</w:t>
            </w:r>
          </w:p>
        </w:tc>
        <w:tc>
          <w:tcPr>
            <w:tcW w:w="1409" w:type="dxa"/>
            <w:vAlign w:val="center"/>
          </w:tcPr>
          <w:p>
            <w:pPr>
              <w:topLinePunct/>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restart"/>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注册号码</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发证日期</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营业范围</w:t>
            </w:r>
          </w:p>
        </w:tc>
        <w:tc>
          <w:tcPr>
            <w:tcW w:w="5555" w:type="dxa"/>
            <w:gridSpan w:val="6"/>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基本账户开户行及帐号</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税务登记机关</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资质名称</w:t>
            </w: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等级</w:t>
            </w: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258"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7060" w:type="dxa"/>
            <w:gridSpan w:val="8"/>
            <w:vAlign w:val="center"/>
          </w:tcPr>
          <w:p>
            <w:pPr>
              <w:topLinePunct/>
              <w:spacing w:line="44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jc w:val="center"/>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32"/>
          <w:szCs w:val="32"/>
          <w14:textFill>
            <w14:solidFill>
              <w14:schemeClr w14:val="tx1"/>
            </w14:solidFill>
          </w14:textFill>
        </w:rPr>
      </w:pP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附件9</w:t>
      </w:r>
    </w:p>
    <w:p>
      <w:pPr>
        <w:adjustRightInd w:val="0"/>
        <w:snapToGrid w:val="0"/>
        <w:spacing w:line="360" w:lineRule="auto"/>
        <w:ind w:firstLine="560" w:firstLineChars="200"/>
        <w:jc w:val="center"/>
        <w:rPr>
          <w:rFonts w:ascii="宋体" w:hAnsi="宋体" w:cs="宋体"/>
          <w:color w:val="000000" w:themeColor="text1"/>
          <w:sz w:val="28"/>
          <w:szCs w:val="28"/>
          <w:highlight w:val="yellow"/>
          <w14:textFill>
            <w14:solidFill>
              <w14:schemeClr w14:val="tx1"/>
            </w14:solidFill>
          </w14:textFill>
        </w:rPr>
      </w:pPr>
    </w:p>
    <w:p>
      <w:pPr>
        <w:adjustRightInd w:val="0"/>
        <w:snapToGrid w:val="0"/>
        <w:spacing w:line="360" w:lineRule="auto"/>
        <w:ind w:firstLine="562" w:firstLineChars="20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具备履行合同所必需的设备和专业技术能力的承诺</w:t>
      </w:r>
    </w:p>
    <w:p>
      <w:pPr>
        <w:adjustRightInd w:val="0"/>
        <w:snapToGrid w:val="0"/>
        <w:spacing w:line="360" w:lineRule="auto"/>
        <w:ind w:firstLine="560" w:firstLineChars="200"/>
        <w:jc w:val="center"/>
        <w:rPr>
          <w:rFonts w:ascii="宋体" w:hAnsi="宋体" w:cs="宋体"/>
          <w:color w:val="000000" w:themeColor="text1"/>
          <w:sz w:val="28"/>
          <w:szCs w:val="28"/>
          <w14:textFill>
            <w14:solidFill>
              <w14:schemeClr w14:val="tx1"/>
            </w14:solidFill>
          </w14:textFill>
        </w:rPr>
      </w:pP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本投标单位郑重声明： </w:t>
      </w:r>
    </w:p>
    <w:p>
      <w:pPr>
        <w:autoSpaceDE w:val="0"/>
        <w:autoSpaceDN w:val="0"/>
        <w:adjustRightInd w:val="0"/>
        <w:spacing w:line="440" w:lineRule="exact"/>
        <w:ind w:left="420"/>
        <w:jc w:val="left"/>
        <w:rPr>
          <w:rFonts w:ascii="宋体" w:hAnsi="宋体" w:cs="宋体"/>
          <w:color w:val="000000" w:themeColor="text1"/>
          <w:kern w:val="0"/>
          <w:sz w:val="23"/>
          <w:szCs w:val="23"/>
          <w14:textFill>
            <w14:solidFill>
              <w14:schemeClr w14:val="tx1"/>
            </w14:solidFill>
          </w14:textFill>
        </w:rPr>
      </w:pPr>
    </w:p>
    <w:p>
      <w:pPr>
        <w:autoSpaceDE w:val="0"/>
        <w:autoSpaceDN w:val="0"/>
        <w:adjustRightInd w:val="0"/>
        <w:spacing w:line="440" w:lineRule="exact"/>
        <w:ind w:firstLine="460" w:firstLineChars="200"/>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本公司（或单位）具备本项目履行合同所必需的设备和专业技术能力，特此承诺。 </w:t>
      </w: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投标单位</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w:t>
      </w:r>
    </w:p>
    <w:p>
      <w:pPr>
        <w:pStyle w:val="4"/>
        <w:rPr>
          <w:rFonts w:hint="eastAsia" w:ascii="宋体" w:hAnsi="宋体" w:cs="宋体"/>
          <w:bCs/>
          <w:color w:val="000000" w:themeColor="text1"/>
          <w:szCs w:val="21"/>
          <w14:textFill>
            <w14:solidFill>
              <w14:schemeClr w14:val="tx1"/>
            </w14:solidFill>
          </w14:textFill>
        </w:rPr>
      </w:pPr>
    </w:p>
    <w:p>
      <w: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附件10</w:t>
      </w:r>
    </w:p>
    <w:p>
      <w:pPr>
        <w:pStyle w:val="21"/>
        <w:ind w:left="0" w:leftChars="0" w:firstLine="0" w:firstLineChars="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参数偏离表（商务、技术）</w:t>
      </w:r>
    </w:p>
    <w:p>
      <w:pPr>
        <w:pStyle w:val="21"/>
        <w:ind w:left="0" w:leftChars="0" w:firstLine="0" w:firstLineChars="0"/>
        <w:jc w:val="center"/>
        <w:rPr>
          <w:rFonts w:ascii="宋体" w:hAnsi="宋体" w:cs="宋体"/>
          <w:color w:val="000000"/>
          <w:szCs w:val="21"/>
        </w:rPr>
      </w:pPr>
      <w:r>
        <w:rPr>
          <w:rFonts w:hint="eastAsia" w:ascii="宋体" w:hAnsi="宋体" w:cs="宋体"/>
          <w:color w:val="000000"/>
          <w:szCs w:val="21"/>
        </w:rPr>
        <w:t>（此页需关联至评分项“产品配置、技术参数”中）</w:t>
      </w:r>
    </w:p>
    <w:p>
      <w:pPr>
        <w:autoSpaceDE w:val="0"/>
        <w:autoSpaceDN w:val="0"/>
        <w:ind w:right="471"/>
        <w:textAlignment w:val="bottom"/>
        <w:rPr>
          <w:rFonts w:ascii="宋体" w:hAnsi="宋体" w:cs="Arial"/>
          <w:color w:val="000000" w:themeColor="text1"/>
          <w:u w:val="single"/>
          <w14:textFill>
            <w14:solidFill>
              <w14:schemeClr w14:val="tx1"/>
            </w14:solidFill>
          </w14:textFill>
        </w:rPr>
      </w:pPr>
    </w:p>
    <w:tbl>
      <w:tblPr>
        <w:tblStyle w:val="46"/>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676"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605"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采购文件品目名称</w:t>
            </w:r>
          </w:p>
        </w:tc>
        <w:tc>
          <w:tcPr>
            <w:tcW w:w="1994"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采购文件要求参数</w:t>
            </w:r>
          </w:p>
        </w:tc>
        <w:tc>
          <w:tcPr>
            <w:tcW w:w="1932"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投标文件响应参数（</w:t>
            </w:r>
            <w:r>
              <w:rPr>
                <w:rFonts w:hint="eastAsia" w:ascii="宋体" w:hAnsi="宋体"/>
                <w:color w:val="000000" w:themeColor="text1"/>
                <w:szCs w:val="21"/>
                <w14:textFill>
                  <w14:solidFill>
                    <w14:schemeClr w14:val="tx1"/>
                  </w14:solidFill>
                </w14:textFill>
              </w:rPr>
              <w:t>投标文件技术参数</w:t>
            </w:r>
            <w:r>
              <w:rPr>
                <w:rFonts w:hint="eastAsia" w:ascii="宋体" w:hAnsi="宋体"/>
                <w:color w:val="000000" w:themeColor="text1"/>
                <w14:textFill>
                  <w14:solidFill>
                    <w14:schemeClr w14:val="tx1"/>
                  </w14:solidFill>
                </w14:textFill>
              </w:rPr>
              <w:t>）</w:t>
            </w:r>
          </w:p>
        </w:tc>
        <w:tc>
          <w:tcPr>
            <w:tcW w:w="1560"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相关证明文件中的描述在投标文件中的具体页码</w:t>
            </w:r>
          </w:p>
        </w:tc>
        <w:tc>
          <w:tcPr>
            <w:tcW w:w="1103"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1</w:t>
            </w:r>
          </w:p>
        </w:tc>
        <w:tc>
          <w:tcPr>
            <w:tcW w:w="1605" w:type="dxa"/>
            <w:vAlign w:val="center"/>
          </w:tcPr>
          <w:p>
            <w:pPr>
              <w:snapToGrid w:val="0"/>
              <w:spacing w:line="400" w:lineRule="exact"/>
              <w:jc w:val="center"/>
              <w:rPr>
                <w:rFonts w:hint="eastAsia" w:ascii="宋体" w:hAnsi="宋体" w:eastAsia="宋体" w:cs="宋体"/>
                <w:i/>
                <w:iCs/>
                <w:szCs w:val="21"/>
                <w:lang w:eastAsia="zh-CN"/>
              </w:rPr>
            </w:pPr>
            <w:r>
              <w:rPr>
                <w:rFonts w:hint="eastAsia" w:ascii="宋体" w:hAnsi="宋体"/>
                <w:szCs w:val="21"/>
              </w:rPr>
              <w:t>第二章第1.5款：</w:t>
            </w:r>
            <w:r>
              <w:rPr>
                <w:rFonts w:hint="eastAsia" w:ascii="宋体" w:hAnsi="宋体"/>
                <w:lang w:eastAsia="zh-CN"/>
              </w:rPr>
              <w:t>履约期限</w:t>
            </w:r>
          </w:p>
        </w:tc>
        <w:tc>
          <w:tcPr>
            <w:tcW w:w="1994" w:type="dxa"/>
            <w:vAlign w:val="center"/>
          </w:tcPr>
          <w:p>
            <w:pPr>
              <w:shd w:val="clear" w:color="auto" w:fill="FFFFFF"/>
              <w:spacing w:line="400" w:lineRule="exact"/>
              <w:ind w:left="-88" w:leftChars="-42"/>
              <w:jc w:val="center"/>
              <w:rPr>
                <w:rFonts w:hint="eastAsia" w:ascii="宋体" w:hAnsi="宋体" w:eastAsia="宋体"/>
                <w:lang w:eastAsia="zh-CN"/>
              </w:rPr>
            </w:pPr>
            <w:r>
              <w:rPr>
                <w:rFonts w:hint="eastAsia"/>
                <w:color w:val="FF0000"/>
              </w:rPr>
              <w:t>★</w:t>
            </w:r>
            <w:r>
              <w:rPr>
                <w:rFonts w:hint="eastAsia"/>
                <w:color w:val="FF0000"/>
                <w:lang w:eastAsia="zh-CN"/>
              </w:rPr>
              <w:t>合同签订后60日内</w:t>
            </w:r>
          </w:p>
        </w:tc>
        <w:tc>
          <w:tcPr>
            <w:tcW w:w="1932" w:type="dxa"/>
            <w:vAlign w:val="center"/>
          </w:tcPr>
          <w:p>
            <w:pPr>
              <w:shd w:val="clear" w:color="auto" w:fill="FFFFFF"/>
              <w:spacing w:line="400" w:lineRule="exact"/>
              <w:ind w:left="-88" w:leftChars="-42"/>
              <w:rPr>
                <w:rFonts w:ascii="宋体" w:hAnsi="宋体" w:cs="宋体"/>
                <w:i/>
                <w:iCs/>
                <w:szCs w:val="21"/>
              </w:rPr>
            </w:pPr>
            <w:r>
              <w:rPr>
                <w:rFonts w:hint="eastAsia" w:ascii="宋体" w:hAnsi="宋体"/>
                <w:szCs w:val="21"/>
              </w:rPr>
              <w:t xml:space="preserve"> </w:t>
            </w: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 xml:space="preserve">开标一览表（符合性审查文件） </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2</w:t>
            </w:r>
          </w:p>
        </w:tc>
        <w:tc>
          <w:tcPr>
            <w:tcW w:w="1605" w:type="dxa"/>
            <w:vAlign w:val="center"/>
          </w:tcPr>
          <w:p>
            <w:pPr>
              <w:snapToGrid w:val="0"/>
              <w:spacing w:line="400" w:lineRule="exact"/>
              <w:jc w:val="center"/>
              <w:rPr>
                <w:rFonts w:ascii="宋体" w:hAnsi="宋体"/>
              </w:rPr>
            </w:pPr>
            <w:r>
              <w:rPr>
                <w:rFonts w:hint="eastAsia" w:ascii="宋体" w:hAnsi="宋体"/>
                <w:szCs w:val="21"/>
              </w:rPr>
              <w:t>第二章第10.1款：</w:t>
            </w:r>
            <w:r>
              <w:rPr>
                <w:rFonts w:hint="eastAsia" w:ascii="宋体" w:hAnsi="宋体"/>
              </w:rPr>
              <w:t>质保期</w:t>
            </w:r>
          </w:p>
        </w:tc>
        <w:tc>
          <w:tcPr>
            <w:tcW w:w="1994" w:type="dxa"/>
            <w:vAlign w:val="center"/>
          </w:tcPr>
          <w:p>
            <w:pPr>
              <w:pStyle w:val="17"/>
              <w:rPr>
                <w:rFonts w:hint="eastAsia" w:ascii="宋体" w:hAnsi="宋体" w:eastAsia="宋体"/>
                <w:lang w:eastAsia="zh-CN"/>
              </w:rPr>
            </w:pPr>
            <w:r>
              <w:rPr>
                <w:rFonts w:hint="eastAsia"/>
                <w:color w:val="FF0000"/>
                <w:lang w:eastAsia="zh-CN"/>
              </w:rPr>
              <w:t>★</w:t>
            </w:r>
            <w:r>
              <w:rPr>
                <w:rFonts w:hint="eastAsia"/>
                <w:color w:val="FF0000"/>
                <w:highlight w:val="none"/>
                <w:lang w:eastAsia="zh-CN"/>
              </w:rPr>
              <w:t>验收合格后三年内提供免费维修、保养</w:t>
            </w:r>
            <w:r>
              <w:rPr>
                <w:rFonts w:hint="eastAsia"/>
                <w:color w:val="FF0000"/>
                <w:lang w:eastAsia="zh-CN"/>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开标一览表（符合性审查文件）</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r>
              <w:rPr>
                <w:rFonts w:hint="eastAsia"/>
              </w:rPr>
              <w:t>3</w:t>
            </w:r>
          </w:p>
        </w:tc>
        <w:tc>
          <w:tcPr>
            <w:tcW w:w="1605" w:type="dxa"/>
            <w:vAlign w:val="center"/>
          </w:tcPr>
          <w:p>
            <w:pPr>
              <w:snapToGrid w:val="0"/>
              <w:spacing w:line="400" w:lineRule="exact"/>
              <w:jc w:val="center"/>
              <w:rPr>
                <w:rFonts w:hint="eastAsia" w:ascii="宋体" w:hAnsi="宋体" w:eastAsia="宋体"/>
                <w:lang w:eastAsia="zh-CN"/>
              </w:rPr>
            </w:pPr>
            <w:r>
              <w:rPr>
                <w:rFonts w:hint="eastAsia" w:ascii="宋体" w:hAnsi="宋体"/>
              </w:rPr>
              <w:t>第五章第1款：</w:t>
            </w:r>
            <w:r>
              <w:rPr>
                <w:rFonts w:hint="eastAsia" w:ascii="宋体" w:hAnsi="宋体" w:cs="宋体"/>
                <w:i w:val="0"/>
                <w:iCs w:val="0"/>
                <w:color w:val="000000"/>
                <w:kern w:val="0"/>
                <w:sz w:val="20"/>
                <w:szCs w:val="20"/>
                <w:highlight w:val="none"/>
                <w:u w:val="none"/>
                <w:lang w:val="en-US" w:eastAsia="zh-CN" w:bidi="ar"/>
              </w:rPr>
              <w:t>公铁两用车</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szCs w:val="21"/>
              </w:rPr>
              <w:t xml:space="preserve"> </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rPr>
              <w:t>投标明细表</w:t>
            </w:r>
          </w:p>
          <w:p>
            <w:pPr>
              <w:shd w:val="clear" w:color="auto" w:fill="FFFFFF"/>
              <w:spacing w:line="400" w:lineRule="exact"/>
              <w:ind w:left="-88" w:leftChars="-42"/>
              <w:jc w:val="center"/>
              <w:rPr>
                <w:rFonts w:ascii="宋体" w:hAnsi="宋体"/>
              </w:rPr>
            </w:pPr>
            <w:r>
              <w:rPr>
                <w:rFonts w:hint="eastAsia" w:ascii="宋体" w:hAnsi="宋体"/>
              </w:rPr>
              <w:t>（页码）</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napToGrid w:val="0"/>
              <w:spacing w:line="400" w:lineRule="exact"/>
              <w:ind w:firstLine="630" w:firstLineChars="300"/>
              <w:jc w:val="both"/>
            </w:pPr>
            <w:r>
              <w:rPr>
                <w:rFonts w:hint="eastAsia" w:ascii="宋体" w:hAnsi="宋体" w:cs="宋体"/>
                <w:szCs w:val="21"/>
              </w:rPr>
              <w:t>……</w:t>
            </w:r>
          </w:p>
        </w:tc>
        <w:tc>
          <w:tcPr>
            <w:tcW w:w="1932" w:type="dxa"/>
            <w:vAlign w:val="center"/>
          </w:tcPr>
          <w:p>
            <w:pPr>
              <w:snapToGrid w:val="0"/>
              <w:spacing w:line="400" w:lineRule="exact"/>
              <w:jc w:val="cente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bl>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投标单位（盖单位章）：</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法定代表人或其委托代理人（签字）：</w:t>
      </w:r>
      <w:r>
        <w:rPr>
          <w:rFonts w:hint="eastAsia" w:ascii="宋体" w:hAnsi="宋体" w:cs="宋体"/>
          <w:color w:val="000000"/>
          <w:szCs w:val="21"/>
          <w:u w:val="single"/>
        </w:rPr>
        <w:t xml:space="preserve">               </w:t>
      </w:r>
    </w:p>
    <w:p>
      <w:pPr>
        <w:adjustRightInd w:val="0"/>
        <w:snapToGrid w:val="0"/>
        <w:spacing w:line="360" w:lineRule="auto"/>
        <w:rPr>
          <w:rFonts w:ascii="宋体" w:hAnsi="宋体" w:cs="宋体"/>
          <w:bCs/>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bCs/>
          <w:color w:val="000000"/>
          <w:szCs w:val="21"/>
        </w:rPr>
        <w:t>日</w:t>
      </w:r>
    </w:p>
    <w:p>
      <w:pPr>
        <w:spacing w:line="360" w:lineRule="auto"/>
        <w:ind w:firstLine="3502" w:firstLineChars="1668"/>
        <w:rPr>
          <w:rFonts w:ascii="宋体" w:hAnsi="宋体" w:cs="宋体"/>
          <w:color w:val="000000"/>
          <w:szCs w:val="21"/>
        </w:rPr>
      </w:pPr>
    </w:p>
    <w:p>
      <w:pPr>
        <w:autoSpaceDE w:val="0"/>
        <w:autoSpaceDN w:val="0"/>
        <w:spacing w:line="360" w:lineRule="auto"/>
        <w:ind w:right="471"/>
        <w:textAlignment w:val="bottom"/>
        <w:rPr>
          <w:rFonts w:ascii="宋体" w:hAnsi="宋体" w:cs="Arial"/>
        </w:rPr>
      </w:pPr>
      <w:r>
        <w:rPr>
          <w:rFonts w:hint="eastAsia" w:ascii="宋体" w:hAnsi="宋体" w:cs="Arial"/>
        </w:rPr>
        <w:t>注：</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1、投标单位应在响应技术文件中对本技术规格书逐条按顺序响应，做出必要的解释并列出技术偏差表。而不应完全复制招标文件中技术参数要求，统一回答“响应”“无偏离”“正偏离”等。</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2、此表1-2项均为实质性要求，不得存在负偏离，否则视同为无效投标。</w:t>
      </w:r>
    </w:p>
    <w:p>
      <w:pPr>
        <w:autoSpaceDE w:val="0"/>
        <w:autoSpaceDN w:val="0"/>
        <w:spacing w:line="360" w:lineRule="auto"/>
        <w:ind w:right="471"/>
        <w:textAlignment w:val="bottom"/>
        <w:rPr>
          <w:rFonts w:ascii="宋体" w:hAnsi="宋体" w:cs="Arial"/>
          <w:szCs w:val="21"/>
          <w:lang w:val="zh-CN"/>
        </w:rPr>
      </w:pPr>
      <w:r>
        <w:rPr>
          <w:rFonts w:hint="eastAsia" w:ascii="宋体" w:hAnsi="宋体" w:cs="Arial"/>
          <w:b/>
          <w:bCs/>
          <w:szCs w:val="21"/>
        </w:rPr>
        <w:t>3、此表3项往后，请</w:t>
      </w:r>
      <w:r>
        <w:rPr>
          <w:rFonts w:hint="eastAsia" w:ascii="宋体" w:hAnsi="宋体" w:cs="Arial"/>
          <w:b/>
          <w:bCs/>
          <w:szCs w:val="21"/>
          <w:lang w:val="zh-CN"/>
        </w:rPr>
        <w:t>供应商应根据投标</w:t>
      </w:r>
      <w:r>
        <w:rPr>
          <w:rFonts w:hint="eastAsia" w:ascii="宋体" w:hAnsi="宋体" w:cs="Arial"/>
          <w:b/>
          <w:bCs/>
          <w:szCs w:val="21"/>
        </w:rPr>
        <w:t>货物</w:t>
      </w:r>
      <w:r>
        <w:rPr>
          <w:rFonts w:hint="eastAsia" w:ascii="宋体" w:hAnsi="宋体" w:cs="Arial"/>
          <w:b/>
          <w:bCs/>
          <w:szCs w:val="21"/>
          <w:lang w:val="zh-CN"/>
        </w:rPr>
        <w:t>的性能指标、对照文件中“</w:t>
      </w:r>
      <w:r>
        <w:rPr>
          <w:rFonts w:hint="eastAsia" w:ascii="宋体" w:hAnsi="宋体" w:cs="Arial"/>
          <w:b/>
          <w:bCs/>
          <w:szCs w:val="21"/>
        </w:rPr>
        <w:t>第五部分 采购需求</w:t>
      </w:r>
      <w:r>
        <w:rPr>
          <w:rFonts w:hint="eastAsia" w:ascii="宋体" w:hAnsi="宋体" w:cs="Arial"/>
          <w:b/>
          <w:bCs/>
          <w:szCs w:val="21"/>
          <w:lang w:val="zh-CN"/>
        </w:rPr>
        <w:t>”中的</w:t>
      </w:r>
      <w:r>
        <w:rPr>
          <w:rFonts w:hint="eastAsia" w:ascii="宋体" w:hAnsi="宋体" w:cs="Arial"/>
          <w:b/>
          <w:bCs/>
          <w:szCs w:val="21"/>
        </w:rPr>
        <w:t>所有</w:t>
      </w:r>
      <w:r>
        <w:rPr>
          <w:rFonts w:hint="eastAsia" w:ascii="宋体" w:hAnsi="宋体" w:cs="Arial"/>
          <w:b/>
          <w:bCs/>
          <w:szCs w:val="21"/>
          <w:lang w:val="zh-CN"/>
        </w:rPr>
        <w:t>参数要求，如实逐条一一对应填写响应情况。</w:t>
      </w:r>
    </w:p>
    <w:p>
      <w:pPr>
        <w:autoSpaceDE w:val="0"/>
        <w:autoSpaceDN w:val="0"/>
        <w:spacing w:line="360" w:lineRule="auto"/>
        <w:ind w:right="471"/>
        <w:textAlignment w:val="bottom"/>
        <w:rPr>
          <w:rFonts w:hint="eastAsia" w:ascii="宋体" w:hAnsi="宋体" w:cs="Arial"/>
          <w:szCs w:val="21"/>
        </w:rPr>
      </w:pPr>
      <w:r>
        <w:rPr>
          <w:rFonts w:hint="eastAsia" w:ascii="宋体" w:hAnsi="宋体" w:cs="Arial"/>
          <w:szCs w:val="21"/>
        </w:rPr>
        <w:t>4、请依照实际投标参数填写，验收时如发现为谋取中标而填写虚假信息，将上报失信名单并追究相关责任</w:t>
      </w:r>
      <w:r>
        <w:rPr>
          <w:rFonts w:hint="eastAsia" w:ascii="宋体" w:hAnsi="宋体" w:cs="Arial"/>
          <w:szCs w:val="21"/>
          <w:lang w:eastAsia="zh-CN"/>
        </w:rPr>
        <w:t>，并取消中标资格，由此产生的不利后果由投标人承担</w:t>
      </w:r>
      <w:r>
        <w:rPr>
          <w:rFonts w:hint="eastAsia" w:ascii="宋体" w:hAnsi="宋体" w:cs="Arial"/>
          <w:szCs w:val="21"/>
        </w:rPr>
        <w:t>。</w:t>
      </w:r>
    </w:p>
    <w:p>
      <w:pPr>
        <w:numPr>
          <w:ilvl w:val="0"/>
          <w:numId w:val="0"/>
        </w:numPr>
        <w:autoSpaceDE w:val="0"/>
        <w:autoSpaceDN w:val="0"/>
        <w:spacing w:line="360" w:lineRule="auto"/>
        <w:ind w:right="471" w:rightChars="0"/>
        <w:textAlignment w:val="bottom"/>
        <w:rPr>
          <w:rFonts w:hint="eastAsia" w:ascii="宋体" w:hAnsi="宋体" w:eastAsia="宋体" w:cs="Arial"/>
          <w:b/>
          <w:bCs/>
          <w:color w:val="auto"/>
          <w:szCs w:val="21"/>
          <w:lang w:val="en-US" w:eastAsia="zh-CN"/>
        </w:rPr>
      </w:pPr>
      <w:r>
        <w:rPr>
          <w:rFonts w:hint="eastAsia" w:ascii="宋体" w:hAnsi="宋体" w:cs="Arial"/>
          <w:szCs w:val="21"/>
          <w:lang w:val="en-US" w:eastAsia="zh-CN"/>
        </w:rPr>
        <w:t>5、</w:t>
      </w:r>
      <w:r>
        <w:rPr>
          <w:rFonts w:hint="eastAsia" w:ascii="宋体" w:hAnsi="宋体" w:cs="Arial"/>
          <w:b/>
          <w:bCs/>
          <w:color w:val="auto"/>
          <w:szCs w:val="21"/>
          <w:lang w:val="en-US" w:eastAsia="zh-CN"/>
        </w:rPr>
        <w:t>此表</w:t>
      </w:r>
      <w:r>
        <w:rPr>
          <w:rFonts w:hint="eastAsia" w:ascii="宋体" w:hAnsi="宋体" w:eastAsia="宋体" w:cs="Arial"/>
          <w:b/>
          <w:bCs/>
          <w:color w:val="auto"/>
          <w:szCs w:val="21"/>
          <w:lang w:val="en-US" w:eastAsia="zh-CN"/>
        </w:rPr>
        <w:t>“投标文件响应参数”内容应当与《投标报价明细表》中参数内容一致。</w:t>
      </w:r>
    </w:p>
    <w:p>
      <w:pPr>
        <w:autoSpaceDE w:val="0"/>
        <w:autoSpaceDN w:val="0"/>
        <w:spacing w:line="360" w:lineRule="auto"/>
        <w:ind w:right="471"/>
        <w:textAlignment w:val="bottom"/>
        <w:rPr>
          <w:rFonts w:hint="default" w:ascii="宋体" w:hAnsi="宋体" w:cs="Arial"/>
          <w:szCs w:val="21"/>
          <w:lang w:val="en-US" w:eastAsia="zh-CN"/>
        </w:rPr>
      </w:pPr>
      <w:r>
        <w:rPr>
          <w:rFonts w:hint="eastAsia" w:ascii="宋体" w:hAnsi="宋体" w:cs="Arial"/>
          <w:szCs w:val="21"/>
          <w:lang w:val="en-US" w:eastAsia="zh-CN"/>
        </w:rPr>
        <w:t>6、本表偏离说明中优于采购需求参数设备的，需提供</w:t>
      </w:r>
      <w:r>
        <w:rPr>
          <w:rFonts w:hint="eastAsia" w:ascii="宋体" w:hAnsi="宋体" w:cs="Arial"/>
          <w:b/>
          <w:bCs/>
          <w:szCs w:val="21"/>
          <w:lang w:val="en-US" w:eastAsia="zh-CN"/>
        </w:rPr>
        <w:t>国家认可的认证(检测)机构出具检测报告</w:t>
      </w:r>
      <w:r>
        <w:rPr>
          <w:rFonts w:hint="eastAsia" w:ascii="宋体" w:hAnsi="宋体" w:cs="Arial"/>
          <w:szCs w:val="21"/>
          <w:lang w:val="en-US" w:eastAsia="zh-CN"/>
        </w:rPr>
        <w:t>，相应优于采购需求的参数检测数据达到偏离数据方可得分，检测数据未达到偏离数据的不得分。</w:t>
      </w:r>
    </w:p>
    <w:p>
      <w:pPr>
        <w:pStyle w:val="34"/>
        <w:rPr>
          <w:rFonts w:hint="eastAsia" w:eastAsia="宋体"/>
          <w:lang w:val="en-US" w:eastAsia="zh-CN"/>
        </w:rPr>
      </w:pPr>
    </w:p>
    <w:p>
      <w:pPr>
        <w:numPr>
          <w:ilvl w:val="0"/>
          <w:numId w:val="15"/>
        </w:numPr>
        <w:autoSpaceDE w:val="0"/>
        <w:autoSpaceDN w:val="0"/>
        <w:spacing w:line="360" w:lineRule="auto"/>
        <w:ind w:right="471"/>
        <w:textAlignment w:val="bottom"/>
        <w:rPr>
          <w:rFonts w:ascii="宋体" w:hAnsi="宋体" w:cs="Arial"/>
          <w:color w:val="000000" w:themeColor="text1"/>
          <w:szCs w:val="21"/>
          <w14:textFill>
            <w14:solidFill>
              <w14:schemeClr w14:val="tx1"/>
            </w14:solidFill>
          </w14:textFill>
        </w:rPr>
      </w:pPr>
      <w:r>
        <w:rPr>
          <w:rFonts w:hint="eastAsia" w:ascii="宋体" w:hAnsi="宋体" w:cs="Arial"/>
          <w:szCs w:val="21"/>
        </w:rPr>
        <w:br w:type="page"/>
      </w:r>
    </w:p>
    <w:p>
      <w:pPr>
        <w:adjustRightInd w:val="0"/>
        <w:snapToGrid w:val="0"/>
        <w:spacing w:line="360" w:lineRule="auto"/>
        <w:rPr>
          <w:rFonts w:ascii="宋体" w:hAnsi="宋体"/>
          <w:bCs/>
          <w:color w:val="000000" w:themeColor="text1"/>
          <w:sz w:val="28"/>
          <w:szCs w:val="28"/>
          <w14:textFill>
            <w14:solidFill>
              <w14:schemeClr w14:val="tx1"/>
            </w14:solidFill>
          </w14:textFill>
        </w:rPr>
      </w:pPr>
      <w:r>
        <w:rPr>
          <w:rFonts w:hint="eastAsia" w:hAnsi="宋体"/>
          <w:bCs/>
          <w:color w:val="000000" w:themeColor="text1"/>
          <w:sz w:val="28"/>
          <w:szCs w:val="28"/>
          <w14:textFill>
            <w14:solidFill>
              <w14:schemeClr w14:val="tx1"/>
            </w14:solidFill>
          </w14:textFill>
        </w:rPr>
        <w:t>附件11</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近</w:t>
      </w:r>
      <w:r>
        <w:rPr>
          <w:rFonts w:hint="eastAsia" w:ascii="宋体" w:hAnsi="宋体" w:cs="宋体"/>
          <w:color w:val="000000" w:themeColor="text1"/>
          <w:sz w:val="28"/>
          <w:szCs w:val="28"/>
          <w:lang w:eastAsia="zh-CN"/>
          <w14:textFill>
            <w14:solidFill>
              <w14:schemeClr w14:val="tx1"/>
            </w14:solidFill>
          </w14:textFill>
        </w:rPr>
        <w:t>三年</w:t>
      </w:r>
      <w:r>
        <w:rPr>
          <w:rFonts w:hint="eastAsia" w:ascii="宋体" w:hAnsi="宋体" w:cs="宋体"/>
          <w:color w:val="000000" w:themeColor="text1"/>
          <w:sz w:val="28"/>
          <w:szCs w:val="28"/>
          <w14:textFill>
            <w14:solidFill>
              <w14:schemeClr w14:val="tx1"/>
            </w14:solidFill>
          </w14:textFill>
        </w:rPr>
        <w:t>同类项目业绩表</w:t>
      </w:r>
    </w:p>
    <w:p>
      <w:pPr>
        <w:tabs>
          <w:tab w:val="left" w:pos="3600"/>
        </w:tabs>
        <w:adjustRightInd w:val="0"/>
        <w:snapToGrid w:val="0"/>
        <w:jc w:val="center"/>
        <w:rPr>
          <w:rFonts w:ascii="宋体" w:hAnsi="宋体" w:cs="宋体"/>
          <w:b/>
          <w:bCs/>
          <w:color w:val="000000" w:themeColor="text1"/>
          <w:spacing w:val="6"/>
          <w:kern w:val="0"/>
          <w:szCs w:val="21"/>
          <w14:textFill>
            <w14:solidFill>
              <w14:schemeClr w14:val="tx1"/>
            </w14:solidFill>
          </w14:textFill>
        </w:rPr>
      </w:pPr>
    </w:p>
    <w:p>
      <w:pPr>
        <w:tabs>
          <w:tab w:val="left" w:pos="5580"/>
        </w:tabs>
        <w:spacing w:before="1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w:t>
      </w:r>
      <w:r>
        <w:rPr>
          <w:rFonts w:hint="eastAsia" w:ascii="宋体" w:hAnsi="宋体" w:cs="宋体"/>
          <w:color w:val="000000" w:themeColor="text1"/>
          <w:szCs w:val="21"/>
          <w:lang w:eastAsia="zh-CN"/>
          <w14:textFill>
            <w14:solidFill>
              <w14:schemeClr w14:val="tx1"/>
            </w14:solidFill>
          </w14:textFill>
        </w:rPr>
        <w:t>三年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2021年</w:t>
      </w:r>
      <w:r>
        <w:rPr>
          <w:rFonts w:hint="eastAsia" w:ascii="宋体" w:hAnsi="宋体" w:cs="宋体"/>
          <w:color w:val="000000" w:themeColor="text1"/>
          <w:szCs w:val="21"/>
          <w14:textFill>
            <w14:solidFill>
              <w14:schemeClr w14:val="tx1"/>
            </w14:solidFill>
          </w14:textFill>
        </w:rPr>
        <w:t>1月1日至今）</w:t>
      </w:r>
      <w:r>
        <w:rPr>
          <w:rFonts w:hint="eastAsia" w:ascii="宋体" w:hAnsi="宋体" w:cs="宋体"/>
          <w:b/>
          <w:bCs/>
          <w:color w:val="000000" w:themeColor="text1"/>
          <w:szCs w:val="21"/>
          <w14:textFill>
            <w14:solidFill>
              <w14:schemeClr w14:val="tx1"/>
            </w14:solidFill>
          </w14:textFill>
        </w:rPr>
        <w:t>同类项目</w:t>
      </w:r>
      <w:r>
        <w:rPr>
          <w:rFonts w:hint="eastAsia" w:ascii="宋体" w:hAnsi="宋体" w:cs="宋体"/>
          <w:color w:val="000000" w:themeColor="text1"/>
          <w:szCs w:val="21"/>
          <w14:textFill>
            <w14:solidFill>
              <w14:schemeClr w14:val="tx1"/>
            </w14:solidFill>
          </w14:textFill>
        </w:rPr>
        <w:t>业绩统计：</w:t>
      </w:r>
    </w:p>
    <w:tbl>
      <w:tblPr>
        <w:tblStyle w:val="4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地　　区</w:t>
            </w:r>
          </w:p>
        </w:tc>
        <w:tc>
          <w:tcPr>
            <w:tcW w:w="2106" w:type="dxa"/>
            <w:vAlign w:val="center"/>
          </w:tcPr>
          <w:p>
            <w:pPr>
              <w:pStyle w:val="116"/>
              <w:spacing w:line="320" w:lineRule="exact"/>
              <w:ind w:right="-107" w:rightChars="-51"/>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项目名称</w:t>
            </w:r>
          </w:p>
        </w:tc>
        <w:tc>
          <w:tcPr>
            <w:tcW w:w="1841"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中标日期或</w:t>
            </w:r>
          </w:p>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合同签订日期</w:t>
            </w:r>
          </w:p>
        </w:tc>
        <w:tc>
          <w:tcPr>
            <w:tcW w:w="15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中标金额</w:t>
            </w:r>
          </w:p>
        </w:tc>
        <w:tc>
          <w:tcPr>
            <w:tcW w:w="16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bl>
    <w:p>
      <w:pPr>
        <w:tabs>
          <w:tab w:val="left" w:pos="5580"/>
        </w:tabs>
        <w:spacing w:before="120" w:line="360" w:lineRule="auto"/>
        <w:ind w:firstLine="210" w:firstLineChars="100"/>
        <w:rPr>
          <w:rFonts w:ascii="宋体" w:hAnsi="宋体" w:cs="宋体"/>
          <w:b/>
          <w:bCs/>
          <w:sz w:val="24"/>
          <w:u w:val="single"/>
        </w:rPr>
      </w:pPr>
      <w:r>
        <w:rPr>
          <w:rFonts w:hint="eastAsia" w:ascii="宋体" w:hAnsi="宋体" w:cs="宋体"/>
          <w:color w:val="000000" w:themeColor="text1"/>
          <w:szCs w:val="21"/>
          <w14:textFill>
            <w14:solidFill>
              <w14:schemeClr w14:val="tx1"/>
            </w14:solidFill>
          </w14:textFill>
        </w:rPr>
        <w:t>注：1、此表可向下延伸</w:t>
      </w:r>
      <w:r>
        <w:rPr>
          <w:rFonts w:hint="eastAsia" w:ascii="宋体" w:hAnsi="宋体" w:cs="宋体"/>
          <w:szCs w:val="21"/>
        </w:rPr>
        <w:t>，</w:t>
      </w:r>
      <w:r>
        <w:rPr>
          <w:rFonts w:hint="eastAsia" w:ascii="宋体" w:hAnsi="宋体" w:cs="宋体"/>
          <w:b/>
          <w:bCs/>
          <w:sz w:val="24"/>
          <w:u w:val="single"/>
        </w:rPr>
        <w:t>后附须同时提供能反映上述相关信息的成交通知书、合同</w:t>
      </w:r>
      <w:r>
        <w:rPr>
          <w:rFonts w:hint="eastAsia" w:ascii="宋体" w:hAnsi="宋体" w:cs="宋体"/>
          <w:b/>
          <w:bCs/>
          <w:sz w:val="24"/>
          <w:u w:val="single"/>
          <w:lang w:eastAsia="zh-CN"/>
        </w:rPr>
        <w:t>签订时间</w:t>
      </w:r>
      <w:r>
        <w:rPr>
          <w:rFonts w:hint="eastAsia" w:ascii="宋体" w:hAnsi="宋体" w:cs="宋体"/>
          <w:b/>
          <w:bCs/>
          <w:sz w:val="24"/>
          <w:u w:val="single"/>
        </w:rPr>
        <w:t>、合同签署页、验收合格的报告等，复印件加盖公章，方可得分。</w:t>
      </w:r>
    </w:p>
    <w:p>
      <w:pPr>
        <w:pStyle w:val="24"/>
        <w:tabs>
          <w:tab w:val="left" w:pos="1470"/>
          <w:tab w:val="right" w:leader="dot" w:pos="8296"/>
        </w:tabs>
        <w:spacing w:line="360" w:lineRule="auto"/>
        <w:ind w:left="0" w:firstLine="630" w:firstLineChars="300"/>
        <w:rPr>
          <w:rFonts w:ascii="宋体" w:hAnsi="宋体" w:cs="宋体"/>
          <w:i w:val="0"/>
          <w:iCs w:val="0"/>
          <w:sz w:val="21"/>
          <w:szCs w:val="21"/>
        </w:rPr>
      </w:pPr>
      <w:r>
        <w:rPr>
          <w:rFonts w:hint="eastAsia" w:ascii="宋体" w:hAnsi="宋体" w:cs="宋体"/>
          <w:i w:val="0"/>
          <w:iCs w:val="0"/>
          <w:sz w:val="21"/>
          <w:szCs w:val="21"/>
        </w:rPr>
        <w:t>2、表格内需提供同类项目业绩，请勿提供其他无关项目业绩影响评分，</w:t>
      </w:r>
    </w:p>
    <w:p>
      <w:pPr>
        <w:tabs>
          <w:tab w:val="left" w:pos="5580"/>
        </w:tabs>
        <w:spacing w:before="120"/>
        <w:ind w:firstLine="454"/>
        <w:rPr>
          <w:rFonts w:ascii="宋体" w:hAnsi="宋体" w:cs="宋体"/>
          <w:color w:val="000000" w:themeColor="text1"/>
          <w:szCs w:val="21"/>
          <w14:textFill>
            <w14:solidFill>
              <w14:schemeClr w14:val="tx1"/>
            </w14:solidFill>
          </w14:textFill>
        </w:rPr>
      </w:pPr>
    </w:p>
    <w:p>
      <w:pPr>
        <w:tabs>
          <w:tab w:val="left" w:pos="5580"/>
        </w:tabs>
        <w:spacing w:before="120"/>
        <w:ind w:firstLine="45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兹证明上述声明是真实、正确的，我们同意遵照贵方要求出示有关证明文件。</w:t>
      </w:r>
    </w:p>
    <w:p>
      <w:pPr>
        <w:tabs>
          <w:tab w:val="left" w:pos="5580"/>
        </w:tabs>
        <w:spacing w:before="120"/>
        <w:rPr>
          <w:rFonts w:ascii="宋体" w:hAnsi="宋体" w:cs="宋体"/>
          <w:color w:val="000000" w:themeColor="text1"/>
          <w:szCs w:val="21"/>
          <w14:textFill>
            <w14:solidFill>
              <w14:schemeClr w14:val="tx1"/>
            </w14:solidFill>
          </w14:textFill>
        </w:rPr>
      </w:pP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签章：__________________________________________</w:t>
      </w:r>
    </w:p>
    <w:p>
      <w:pPr>
        <w:adjustRightInd w:val="0"/>
        <w:snapToGrid w:val="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附件12</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拟投入本项目的服务人员</w:t>
      </w:r>
      <w:r>
        <w:rPr>
          <w:rFonts w:hint="eastAsia" w:ascii="宋体" w:hAnsi="宋体"/>
          <w:bCs/>
          <w:color w:val="000000" w:themeColor="text1"/>
          <w:sz w:val="28"/>
          <w:szCs w:val="28"/>
          <w:lang w:eastAsia="zh-CN"/>
          <w14:textFill>
            <w14:solidFill>
              <w14:schemeClr w14:val="tx1"/>
            </w14:solidFill>
          </w14:textFill>
        </w:rPr>
        <w:t>、设备</w:t>
      </w:r>
      <w:r>
        <w:rPr>
          <w:rFonts w:hint="eastAsia" w:ascii="宋体" w:hAnsi="宋体"/>
          <w:bCs/>
          <w:color w:val="000000" w:themeColor="text1"/>
          <w:sz w:val="28"/>
          <w:szCs w:val="28"/>
          <w14:textFill>
            <w14:solidFill>
              <w14:schemeClr w14:val="tx1"/>
            </w14:solidFill>
          </w14:textFill>
        </w:rPr>
        <w:t>一览表</w:t>
      </w:r>
    </w:p>
    <w:p>
      <w:pPr>
        <w:spacing w:line="420" w:lineRule="exact"/>
        <w:jc w:val="center"/>
        <w:rPr>
          <w:rFonts w:ascii="宋体" w:hAnsi="宋体"/>
          <w:b/>
          <w:color w:val="000000" w:themeColor="text1"/>
          <w:szCs w:val="21"/>
          <w14:textFill>
            <w14:solidFill>
              <w14:schemeClr w14:val="tx1"/>
            </w14:solidFill>
          </w14:textFill>
        </w:rPr>
      </w:pPr>
    </w:p>
    <w:tbl>
      <w:tblPr>
        <w:tblStyle w:val="46"/>
        <w:tblW w:w="8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jc w:val="center"/>
        </w:trPr>
        <w:tc>
          <w:tcPr>
            <w:tcW w:w="8512" w:type="dxa"/>
            <w:gridSpan w:val="7"/>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职责分工</w:t>
            </w:r>
          </w:p>
        </w:tc>
        <w:tc>
          <w:tcPr>
            <w:tcW w:w="1183"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94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年龄</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在本项目中担任的岗位</w:t>
            </w:r>
          </w:p>
        </w:tc>
        <w:tc>
          <w:tcPr>
            <w:tcW w:w="1470" w:type="dxa"/>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从事类似工作年限</w:t>
            </w:r>
          </w:p>
        </w:tc>
        <w:tc>
          <w:tcPr>
            <w:tcW w:w="1142" w:type="dxa"/>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备注（类似业绩）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项目负责人</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pStyle w:val="149"/>
              <w:keepNext w:val="0"/>
              <w:adjustRightInd/>
              <w:spacing w:before="0" w:after="0" w:line="240" w:lineRule="auto"/>
              <w:textAlignment w:val="auto"/>
              <w:rPr>
                <w:rFonts w:ascii="宋体" w:hAnsi="宋体"/>
                <w:snapToGrid/>
                <w:color w:val="000000" w:themeColor="text1"/>
                <w:spacing w:val="0"/>
                <w:kern w:val="2"/>
                <w:szCs w:val="24"/>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ind w:firstLine="12"/>
              <w:jc w:val="center"/>
              <w:rPr>
                <w:rFonts w:ascii="宋体" w:hAnsi="宋体"/>
                <w:color w:val="000000" w:themeColor="text1"/>
                <w14:textFill>
                  <w14:solidFill>
                    <w14:schemeClr w14:val="tx1"/>
                  </w14:solidFill>
                </w14:textFill>
              </w:rPr>
            </w:pPr>
          </w:p>
        </w:tc>
        <w:tc>
          <w:tcPr>
            <w:tcW w:w="1142" w:type="dxa"/>
            <w:vAlign w:val="center"/>
          </w:tcPr>
          <w:p>
            <w:pPr>
              <w:ind w:firstLine="12"/>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restar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其他</w:t>
            </w:r>
            <w:r>
              <w:rPr>
                <w:rFonts w:hint="eastAsia" w:ascii="宋体" w:hAnsi="宋体"/>
                <w:color w:val="000000" w:themeColor="text1"/>
                <w14:textFill>
                  <w14:solidFill>
                    <w14:schemeClr w14:val="tx1"/>
                  </w14:solidFill>
                </w14:textFill>
              </w:rPr>
              <w:t>人员</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vAlign w:val="center"/>
          </w:tcPr>
          <w:p>
            <w:pPr>
              <w:jc w:val="center"/>
              <w:rPr>
                <w:rFonts w:ascii="宋体" w:hAnsi="宋体"/>
                <w:color w:val="000000" w:themeColor="text1"/>
                <w14:textFill>
                  <w14:solidFill>
                    <w14:schemeClr w14:val="tx1"/>
                  </w14:solidFill>
                </w14:textFill>
              </w:rPr>
            </w:pP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83" w:type="dxa"/>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exact"/>
          <w:jc w:val="center"/>
        </w:trPr>
        <w:tc>
          <w:tcPr>
            <w:tcW w:w="8512" w:type="dxa"/>
            <w:gridSpan w:val="7"/>
            <w:tcBorders>
              <w:top w:val="single" w:color="auto" w:sz="4" w:space="0"/>
              <w:bottom w:val="single" w:color="auto" w:sz="4" w:space="0"/>
            </w:tcBorders>
            <w:vAlign w:val="center"/>
          </w:tcPr>
          <w:p>
            <w:pPr>
              <w:jc w:val="center"/>
            </w:pPr>
            <w:r>
              <w:rPr>
                <w:rFonts w:hint="eastAsia"/>
              </w:rPr>
              <w:t>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设备名称</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规格型号</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p>
        </w:tc>
        <w:tc>
          <w:tcPr>
            <w:tcW w:w="1470"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c>
          <w:tcPr>
            <w:tcW w:w="1142"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bl>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pStyle w:val="27"/>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附件13</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售后服务附表</w:t>
      </w:r>
    </w:p>
    <w:p>
      <w:pPr>
        <w:topLinePunct/>
        <w:spacing w:line="440" w:lineRule="exact"/>
        <w:rPr>
          <w:rFonts w:ascii="宋体" w:hAnsi="宋体"/>
          <w:b/>
          <w:color w:val="000000" w:themeColor="text1"/>
          <w:szCs w:val="21"/>
          <w14:textFill>
            <w14:solidFill>
              <w14:schemeClr w14:val="tx1"/>
            </w14:solidFill>
          </w14:textFill>
        </w:rPr>
      </w:pPr>
    </w:p>
    <w:p>
      <w:pPr>
        <w:topLinePunct/>
        <w:spacing w:line="440" w:lineRule="exac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项目编号：</w:t>
      </w:r>
      <w:r>
        <w:rPr>
          <w:rFonts w:hint="eastAsia" w:ascii="宋体" w:hAnsi="宋体"/>
          <w:b/>
          <w:color w:val="000000" w:themeColor="text1"/>
          <w:szCs w:val="21"/>
          <w:u w:val="single"/>
          <w14:textFill>
            <w14:solidFill>
              <w14:schemeClr w14:val="tx1"/>
            </w14:solidFill>
          </w14:textFill>
        </w:rPr>
        <w:t xml:space="preserve">                           </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投标人名称：</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p>
    <w:tbl>
      <w:tblPr>
        <w:tblStyle w:val="46"/>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注册资本金</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其中：投标人出资比例</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其中：技术人员数</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本地化（伊犁州、霍尔果斯）售后服务协议</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注:如外地企业在伊犁州或霍尔果斯有本地售后服务机构可提供相关证明材料。本地企业可不填写。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服务承诺</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ind w:firstLine="21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2"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负责人</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2"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r>
    </w:tbl>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备注：售后服务、售后计划等方案可另起页说明。</w:t>
      </w:r>
    </w:p>
    <w:p>
      <w:pPr>
        <w:pStyle w:val="27"/>
        <w:adjustRightInd w:val="0"/>
        <w:snapToGrid w:val="0"/>
        <w:spacing w:line="360" w:lineRule="auto"/>
        <w:rPr>
          <w:rFonts w:ascii="宋体" w:hAnsi="宋体"/>
          <w:color w:val="000000" w:themeColor="text1"/>
          <w:sz w:val="21"/>
          <w:szCs w:val="21"/>
          <w14:textFill>
            <w14:solidFill>
              <w14:schemeClr w14:val="tx1"/>
            </w14:solidFill>
          </w14:textFill>
        </w:rPr>
      </w:pPr>
    </w:p>
    <w:p>
      <w:pPr>
        <w:pStyle w:val="27"/>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topLinePunct/>
        <w:spacing w:line="44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日          期：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年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月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日</w:t>
      </w:r>
    </w:p>
    <w:p>
      <w:pPr>
        <w:jc w:val="center"/>
        <w:rPr>
          <w:rFonts w:ascii="宋体" w:hAnsi="宋体"/>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商务技术响应文件说明</w:t>
      </w:r>
    </w:p>
    <w:p>
      <w:pPr>
        <w:adjustRightInd w:val="0"/>
        <w:snapToGrid w:val="0"/>
        <w:spacing w:line="360" w:lineRule="auto"/>
        <w:ind w:left="-88" w:leftChars="-42" w:firstLine="210" w:firstLineChars="100"/>
        <w:rPr>
          <w:rFonts w:ascii="宋体" w:hAnsi="宋体" w:cs="宋体"/>
          <w:color w:val="000000" w:themeColor="text1"/>
          <w:szCs w:val="21"/>
          <w14:textFill>
            <w14:solidFill>
              <w14:schemeClr w14:val="tx1"/>
            </w14:solidFill>
          </w14:textFill>
        </w:rPr>
      </w:pPr>
    </w:p>
    <w:p>
      <w:pPr>
        <w:adjustRightInd w:val="0"/>
        <w:snapToGrid w:val="0"/>
        <w:spacing w:line="360" w:lineRule="auto"/>
        <w:ind w:left="-88" w:leftChars="-42" w:firstLine="211" w:firstLineChars="1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商务技术响应文件</w:t>
      </w:r>
      <w:r>
        <w:rPr>
          <w:rFonts w:hint="eastAsia" w:ascii="宋体" w:hAnsi="宋体" w:cs="宋体"/>
          <w:b/>
          <w:color w:val="000000" w:themeColor="text1"/>
          <w:szCs w:val="21"/>
          <w:highlight w:val="yellow"/>
          <w14:textFill>
            <w14:solidFill>
              <w14:schemeClr w14:val="tx1"/>
            </w14:solidFill>
          </w14:textFill>
        </w:rPr>
        <w:t>可依照项目具体要求灵活提供</w:t>
      </w:r>
      <w:r>
        <w:rPr>
          <w:rFonts w:hint="eastAsia" w:ascii="宋体" w:hAnsi="宋体" w:cs="宋体"/>
          <w:b/>
          <w:color w:val="000000" w:themeColor="text1"/>
          <w:szCs w:val="21"/>
          <w14:textFill>
            <w14:solidFill>
              <w14:schemeClr w14:val="tx1"/>
            </w14:solidFill>
          </w14:textFill>
        </w:rPr>
        <w:t>：</w:t>
      </w:r>
    </w:p>
    <w:p>
      <w:pPr>
        <w:pStyle w:val="6"/>
      </w:pPr>
    </w:p>
    <w:p>
      <w:pPr>
        <w:adjustRightInd w:val="0"/>
        <w:snapToGrid w:val="0"/>
        <w:spacing w:line="360" w:lineRule="auto"/>
        <w:rPr>
          <w:rFonts w:ascii="宋体" w:hAnsi="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附件14</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投标报价明细表</w:t>
      </w:r>
    </w:p>
    <w:p>
      <w:pPr>
        <w:adjustRightInd w:val="0"/>
        <w:snapToGrid w:val="0"/>
        <w:spacing w:line="360" w:lineRule="auto"/>
        <w:jc w:val="center"/>
      </w:pPr>
      <w:r>
        <w:rPr>
          <w:rFonts w:hint="eastAsia" w:ascii="宋体" w:hAnsi="宋体" w:cs="宋体"/>
          <w:bCs/>
          <w:szCs w:val="21"/>
        </w:rPr>
        <w:t>（此</w:t>
      </w:r>
      <w:r>
        <w:rPr>
          <w:rFonts w:hint="eastAsia" w:ascii="宋体" w:hAnsi="宋体"/>
          <w:bCs/>
          <w:sz w:val="24"/>
        </w:rPr>
        <w:t>表</w:t>
      </w:r>
      <w:r>
        <w:rPr>
          <w:rFonts w:hint="eastAsia" w:ascii="宋体" w:hAnsi="宋体"/>
          <w:bCs/>
          <w:sz w:val="24"/>
          <w:lang w:eastAsia="zh-CN"/>
        </w:rPr>
        <w:t>内容</w:t>
      </w:r>
      <w:r>
        <w:rPr>
          <w:rFonts w:hint="eastAsia" w:ascii="宋体" w:hAnsi="宋体"/>
          <w:bCs/>
          <w:sz w:val="24"/>
        </w:rPr>
        <w:t>将公示于中标结果公告中</w:t>
      </w:r>
      <w:r>
        <w:rPr>
          <w:rFonts w:hint="eastAsia" w:ascii="宋体" w:hAnsi="宋体" w:cs="宋体"/>
          <w:bCs/>
          <w:szCs w:val="21"/>
        </w:rPr>
        <w:t>）</w:t>
      </w:r>
      <w:r>
        <w:rPr>
          <w:rFonts w:hint="eastAsia" w:ascii="宋体" w:hAnsi="宋体" w:cs="宋体"/>
          <w:b/>
          <w:sz w:val="28"/>
          <w:szCs w:val="28"/>
        </w:rPr>
        <w:t xml:space="preserve">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项目名称：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46"/>
        <w:tblW w:w="85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制造商、品牌</w:t>
            </w: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投标参数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合计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总报价</w:t>
            </w:r>
          </w:p>
        </w:tc>
        <w:tc>
          <w:tcPr>
            <w:tcW w:w="6875"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cs="宋体"/>
                <w:szCs w:val="21"/>
              </w:rPr>
            </w:pPr>
            <w:r>
              <w:rPr>
                <w:rFonts w:hint="eastAsia" w:ascii="宋体" w:hAnsi="宋体" w:cs="宋体"/>
                <w:szCs w:val="21"/>
              </w:rPr>
              <w:t>大写：</w:t>
            </w:r>
          </w:p>
          <w:p>
            <w:pPr>
              <w:tabs>
                <w:tab w:val="left" w:pos="1418"/>
              </w:tabs>
              <w:snapToGrid w:val="0"/>
              <w:spacing w:before="50" w:after="50"/>
              <w:jc w:val="left"/>
              <w:rPr>
                <w:rFonts w:ascii="宋体" w:hAnsi="宋体" w:cs="宋体"/>
                <w:szCs w:val="21"/>
              </w:rPr>
            </w:pPr>
          </w:p>
          <w:p>
            <w:pPr>
              <w:tabs>
                <w:tab w:val="left" w:pos="1418"/>
              </w:tabs>
              <w:snapToGrid w:val="0"/>
              <w:spacing w:before="50" w:after="50"/>
              <w:jc w:val="left"/>
            </w:pPr>
            <w:r>
              <w:rPr>
                <w:rFonts w:hint="eastAsia" w:ascii="宋体" w:hAnsi="宋体" w:cs="宋体"/>
                <w:szCs w:val="21"/>
              </w:rPr>
              <w:t>小写：</w:t>
            </w:r>
          </w:p>
        </w:tc>
      </w:tr>
    </w:tbl>
    <w:p>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pPr>
        <w:adjustRightInd w:val="0"/>
        <w:snapToGrid w:val="0"/>
        <w:spacing w:line="360" w:lineRule="auto"/>
        <w:ind w:left="-88" w:leftChars="-42"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注：1、投标人可在此表后附其报价详细说明</w:t>
      </w:r>
      <w:r>
        <w:rPr>
          <w:rFonts w:hint="eastAsia" w:ascii="宋体" w:hAnsi="宋体" w:cs="宋体"/>
          <w:color w:val="000000" w:themeColor="text1"/>
          <w:szCs w:val="21"/>
          <w:lang w:eastAsia="zh-CN"/>
          <w14:textFill>
            <w14:solidFill>
              <w14:schemeClr w14:val="tx1"/>
            </w14:solidFill>
          </w14:textFill>
        </w:rPr>
        <w:t>及图示</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bookmarkEnd w:id="0"/>
    <w:bookmarkEnd w:id="41"/>
    <w:bookmarkEnd w:id="42"/>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w:t>
      </w:r>
    </w:p>
    <w:p>
      <w:pPr>
        <w:tabs>
          <w:tab w:val="left" w:pos="3600"/>
        </w:tabs>
        <w:adjustRightInd w:val="0"/>
        <w:snapToGrid w:val="0"/>
        <w:spacing w:line="360" w:lineRule="auto"/>
        <w:jc w:val="center"/>
        <w:rPr>
          <w:rFonts w:ascii="宋体" w:hAnsi="宋体" w:cs="宋体"/>
          <w:b/>
          <w:bCs/>
          <w:color w:val="000000" w:themeColor="text1"/>
          <w:spacing w:val="6"/>
          <w:kern w:val="0"/>
          <w:sz w:val="24"/>
          <w14:textFill>
            <w14:solidFill>
              <w14:schemeClr w14:val="tx1"/>
            </w14:solidFill>
          </w14:textFill>
        </w:rPr>
      </w:pPr>
      <w:r>
        <w:rPr>
          <w:rFonts w:hint="eastAsia" w:ascii="宋体" w:hAnsi="宋体" w:cs="宋体"/>
          <w:b/>
          <w:bCs/>
          <w:color w:val="000000" w:themeColor="text1"/>
          <w:spacing w:val="6"/>
          <w:kern w:val="0"/>
          <w:sz w:val="24"/>
          <w14:textFill>
            <w14:solidFill>
              <w14:schemeClr w14:val="tx1"/>
            </w14:solidFill>
          </w14:textFill>
        </w:rPr>
        <w:t>中小企业声明函（货物）</w:t>
      </w:r>
    </w:p>
    <w:p>
      <w:pPr>
        <w:autoSpaceDE w:val="0"/>
        <w:autoSpaceDN w:val="0"/>
        <w:spacing w:line="500" w:lineRule="exact"/>
        <w:ind w:firstLine="480" w:firstLineChars="200"/>
        <w:jc w:val="left"/>
        <w:rPr>
          <w:rFonts w:ascii="宋体" w:hAnsi="宋体" w:cs="宋体"/>
          <w:sz w:val="24"/>
        </w:rPr>
      </w:pPr>
    </w:p>
    <w:p>
      <w:pPr>
        <w:autoSpaceDE w:val="0"/>
        <w:autoSpaceDN w:val="0"/>
        <w:spacing w:line="500" w:lineRule="exact"/>
        <w:ind w:firstLine="480" w:firstLineChars="200"/>
        <w:jc w:val="left"/>
        <w:rPr>
          <w:rFonts w:ascii="宋体" w:hAnsi="宋体" w:cs="宋体"/>
          <w:sz w:val="24"/>
        </w:rPr>
      </w:pPr>
      <w:r>
        <w:rPr>
          <w:rFonts w:ascii="宋体" w:hAnsi="宋体" w:cs="宋体"/>
          <w:sz w:val="24"/>
        </w:rPr>
        <w:t>本公司（联合体）郑重声明，根据《政府采购促进中小企业发展管理办法》（财库﹝2020﹞46 号）的规定，本公司（联合体）参加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 供的货物全部由符合政策要求的中小企业制造。相关企业 （含联合体中的中小企业、签订分包意向协议的中小企业） 的具体情况如下：</w:t>
      </w:r>
    </w:p>
    <w:p>
      <w:pPr>
        <w:autoSpaceDE w:val="0"/>
        <w:autoSpaceDN w:val="0"/>
        <w:spacing w:line="500" w:lineRule="exact"/>
        <w:ind w:firstLine="480" w:firstLineChars="200"/>
        <w:jc w:val="left"/>
        <w:rPr>
          <w:rFonts w:ascii="宋体" w:hAnsi="宋体" w:cs="宋体"/>
          <w:szCs w:val="21"/>
          <w:u w:val="single"/>
        </w:rPr>
      </w:pPr>
      <w:r>
        <w:rPr>
          <w:rFonts w:ascii="宋体" w:hAnsi="宋体" w:cs="宋体"/>
          <w:sz w:val="24"/>
        </w:rPr>
        <w:t>1.</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20" w:firstLineChars="200"/>
        <w:jc w:val="left"/>
        <w:rPr>
          <w:rFonts w:ascii="宋体" w:hAnsi="宋体" w:cs="宋体"/>
          <w:szCs w:val="21"/>
        </w:rPr>
      </w:pPr>
      <w:r>
        <w:rPr>
          <w:rFonts w:hint="eastAsia" w:ascii="宋体" w:hAnsi="宋体" w:cs="宋体"/>
          <w:szCs w:val="21"/>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以上企业，不属于大型企业的分支机构，不存在控股股东为大型企业的情形，也不存在与大型企业的负责人为同一人的情形。</w:t>
      </w:r>
    </w:p>
    <w:p>
      <w:pPr>
        <w:widowControl/>
        <w:shd w:val="clear" w:color="auto" w:fill="FFFFFF"/>
        <w:spacing w:beforeAutospacing="1" w:afterAutospacing="1" w:line="348" w:lineRule="atLeast"/>
        <w:ind w:firstLine="384"/>
        <w:jc w:val="left"/>
        <w:rPr>
          <w:rFonts w:ascii="宋体" w:hAnsi="宋体" w:cs="宋体"/>
          <w:color w:val="333333"/>
          <w:kern w:val="0"/>
          <w:szCs w:val="21"/>
          <w:shd w:val="clear" w:color="auto" w:fill="FFFFFF"/>
          <w:lang w:bidi="ar"/>
        </w:rPr>
      </w:pPr>
      <w:r>
        <w:rPr>
          <w:rFonts w:hint="eastAsia" w:ascii="宋体" w:hAnsi="宋体" w:cs="宋体"/>
          <w:sz w:val="24"/>
        </w:rPr>
        <w:t>本企业对上述声明内容的真实性负责。如有虚假，将依法承担相应责任。 </w:t>
      </w:r>
      <w:r>
        <w:rPr>
          <w:rFonts w:hint="eastAsia" w:ascii="宋体" w:hAnsi="宋体" w:cs="宋体"/>
          <w:color w:val="333333"/>
          <w:kern w:val="0"/>
          <w:szCs w:val="21"/>
          <w:shd w:val="clear" w:color="auto" w:fill="FFFFFF"/>
          <w:lang w:bidi="ar"/>
        </w:rPr>
        <w:t xml:space="preserve">                                           </w:t>
      </w:r>
    </w:p>
    <w:p>
      <w:pPr>
        <w:widowControl/>
        <w:shd w:val="clear" w:color="auto" w:fill="FFFFFF"/>
        <w:spacing w:beforeAutospacing="1" w:afterAutospacing="1" w:line="348" w:lineRule="atLeast"/>
        <w:ind w:firstLine="384"/>
        <w:jc w:val="left"/>
        <w:rPr>
          <w:rFonts w:ascii="宋体" w:hAnsi="宋体" w:cs="宋体"/>
          <w:sz w:val="24"/>
        </w:rPr>
      </w:pPr>
      <w:r>
        <w:rPr>
          <w:rFonts w:hint="eastAsia" w:ascii="宋体" w:hAnsi="宋体" w:cs="宋体"/>
          <w:color w:val="333333"/>
          <w:kern w:val="0"/>
          <w:szCs w:val="21"/>
          <w:shd w:val="clear" w:color="auto" w:fill="FFFFFF"/>
          <w:lang w:bidi="ar"/>
        </w:rPr>
        <w:t xml:space="preserve">                                            </w:t>
      </w:r>
      <w:r>
        <w:rPr>
          <w:rFonts w:hint="eastAsia" w:ascii="宋体" w:hAnsi="宋体" w:cs="宋体"/>
          <w:sz w:val="24"/>
        </w:rPr>
        <w:t>企业名称（盖章）：</w:t>
      </w:r>
    </w:p>
    <w:p>
      <w:pPr>
        <w:widowControl/>
        <w:shd w:val="clear" w:color="auto" w:fill="FFFFFF"/>
        <w:spacing w:beforeAutospacing="1" w:afterAutospacing="1" w:line="348" w:lineRule="atLeast"/>
        <w:ind w:firstLine="5040" w:firstLineChars="2100"/>
        <w:jc w:val="left"/>
        <w:rPr>
          <w:rFonts w:ascii="宋体" w:hAnsi="宋体" w:cs="宋体"/>
          <w:sz w:val="24"/>
        </w:rPr>
      </w:pPr>
      <w:r>
        <w:rPr>
          <w:rFonts w:hint="eastAsia" w:ascii="宋体" w:hAnsi="宋体" w:cs="宋体"/>
          <w:sz w:val="24"/>
        </w:rPr>
        <w:t>日 期：</w:t>
      </w:r>
    </w:p>
    <w:p>
      <w:pPr>
        <w:adjustRightInd w:val="0"/>
        <w:snapToGrid w:val="0"/>
        <w:spacing w:line="360" w:lineRule="auto"/>
        <w:ind w:firstLine="420" w:firstLineChars="200"/>
        <w:rPr>
          <w:rFonts w:ascii="宋体" w:hAnsi="宋体"/>
          <w:szCs w:val="21"/>
        </w:rPr>
      </w:pPr>
      <w:r>
        <w:rPr>
          <w:rFonts w:hint="eastAsia" w:ascii="宋体" w:hAnsi="宋体"/>
          <w:szCs w:val="21"/>
        </w:rPr>
        <w:t>说明：（1）本声明函所称中小企业，是指在中华人民共和国境内依法设立，依据国务院批准的 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中标人为中小企业的，本声明函将随中标结果同时公告</w:t>
      </w:r>
      <w:r>
        <w:rPr>
          <w:rFonts w:hint="eastAsia" w:ascii="宋体" w:hAnsi="宋体"/>
          <w:color w:val="auto"/>
          <w:sz w:val="21"/>
          <w:szCs w:val="21"/>
          <w:lang w:eastAsia="zh-CN"/>
        </w:rPr>
        <w:t>，</w:t>
      </w:r>
      <w:r>
        <w:rPr>
          <w:rFonts w:hint="eastAsia" w:ascii="宋体" w:hAnsi="宋体"/>
          <w:color w:val="auto"/>
          <w:sz w:val="21"/>
          <w:szCs w:val="21"/>
          <w:lang w:val="en-US" w:eastAsia="zh-CN"/>
        </w:rPr>
        <w:t>接受社会监督</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240" w:lineRule="auto"/>
        <w:ind w:firstLine="422" w:firstLineChars="200"/>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涉及本项目的行业标准：</w:t>
      </w:r>
    </w:p>
    <w:p>
      <w:pPr>
        <w:pStyle w:val="20"/>
        <w:ind w:left="0" w:leftChars="0" w:firstLine="422" w:firstLineChars="200"/>
        <w:rPr>
          <w:rFonts w:hint="eastAsia" w:ascii="宋体" w:hAnsi="宋体" w:eastAsia="宋体" w:cs="Times New Roman"/>
          <w:kern w:val="2"/>
          <w:sz w:val="21"/>
          <w:szCs w:val="21"/>
          <w:lang w:val="en-US" w:eastAsia="zh-CN" w:bidi="ar-SA"/>
        </w:rPr>
      </w:pPr>
      <w:r>
        <w:rPr>
          <w:rFonts w:hint="eastAsia" w:ascii="宋体" w:hAnsi="宋体"/>
          <w:b/>
          <w:bCs/>
          <w:i w:val="0"/>
          <w:iCs w:val="0"/>
          <w:color w:val="000000" w:themeColor="text1"/>
          <w:sz w:val="21"/>
          <w:szCs w:val="21"/>
          <w:highlight w:val="none"/>
          <w:lang w:eastAsia="zh-CN"/>
          <w14:textFill>
            <w14:solidFill>
              <w14:schemeClr w14:val="tx1"/>
            </w14:solidFill>
          </w14:textFill>
        </w:rPr>
        <w:t>工业。</w:t>
      </w:r>
      <w:r>
        <w:rPr>
          <w:rFonts w:hint="eastAsia" w:ascii="宋体" w:hAnsi="宋体" w:eastAsia="宋体" w:cs="Times New Roman"/>
          <w:kern w:val="2"/>
          <w:sz w:val="21"/>
          <w:szCs w:val="21"/>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0"/>
        <w:ind w:left="0" w:leftChars="0" w:firstLine="422" w:firstLineChars="200"/>
        <w:rPr>
          <w:rFonts w:hint="default"/>
          <w:highlight w:val="yellow"/>
          <w:lang w:val="en-US"/>
        </w:rPr>
      </w:pPr>
      <w:r>
        <w:rPr>
          <w:rFonts w:hint="eastAsia" w:ascii="宋体" w:hAnsi="宋体"/>
          <w:b/>
          <w:bCs/>
          <w:i w:val="0"/>
          <w:iCs w:val="0"/>
          <w:color w:val="000000" w:themeColor="text1"/>
          <w:sz w:val="21"/>
          <w:szCs w:val="21"/>
          <w:highlight w:val="none"/>
          <w:lang w:eastAsia="zh-CN"/>
          <w14:textFill>
            <w14:solidFill>
              <w14:schemeClr w14:val="tx1"/>
            </w14:solidFill>
          </w14:textFill>
        </w:rPr>
        <w:t>（</w:t>
      </w:r>
      <w:r>
        <w:rPr>
          <w:rFonts w:hint="eastAsia" w:ascii="宋体" w:hAnsi="宋体"/>
          <w:b/>
          <w:bCs/>
          <w:i w:val="0"/>
          <w:iCs w:val="0"/>
          <w:color w:val="000000" w:themeColor="text1"/>
          <w:sz w:val="21"/>
          <w:szCs w:val="21"/>
          <w:highlight w:val="none"/>
          <w:lang w:val="en-US" w:eastAsia="zh-CN"/>
          <w14:textFill>
            <w14:solidFill>
              <w14:schemeClr w14:val="tx1"/>
            </w14:solidFill>
          </w14:textFill>
        </w:rPr>
        <w:t>5</w:t>
      </w:r>
      <w:r>
        <w:rPr>
          <w:rFonts w:hint="eastAsia" w:ascii="宋体" w:hAnsi="宋体"/>
          <w:b/>
          <w:bCs/>
          <w:i w:val="0"/>
          <w:iCs w:val="0"/>
          <w:color w:val="000000" w:themeColor="text1"/>
          <w:sz w:val="21"/>
          <w:szCs w:val="21"/>
          <w:highlight w:val="none"/>
          <w:lang w:eastAsia="zh-CN"/>
          <w14:textFill>
            <w14:solidFill>
              <w14:schemeClr w14:val="tx1"/>
            </w14:solidFill>
          </w14:textFill>
        </w:rPr>
        <w:t>）例：</w:t>
      </w:r>
      <w:r>
        <w:rPr>
          <w:rFonts w:hint="eastAsia" w:ascii="宋体" w:hAnsi="宋体" w:cs="宋体"/>
          <w:color w:val="FF0000"/>
          <w:sz w:val="24"/>
          <w:u w:val="single"/>
          <w:lang w:val="en-US" w:eastAsia="zh-CN"/>
        </w:rPr>
        <w:t xml:space="preserve"> 公铁两用车</w:t>
      </w:r>
      <w:r>
        <w:rPr>
          <w:rFonts w:hint="eastAsia" w:ascii="宋体" w:hAnsi="宋体"/>
          <w:b/>
          <w:bCs/>
          <w:i w:val="0"/>
          <w:iCs w:val="0"/>
          <w:color w:val="000000" w:themeColor="text1"/>
          <w:sz w:val="21"/>
          <w:szCs w:val="21"/>
          <w:highlight w:val="none"/>
          <w:lang w:eastAsia="zh-CN"/>
          <w14:textFill>
            <w14:solidFill>
              <w14:schemeClr w14:val="tx1"/>
            </w14:solidFill>
          </w14:textFill>
        </w:rPr>
        <w:t>，属于</w:t>
      </w:r>
      <w:r>
        <w:rPr>
          <w:rFonts w:hint="eastAsia" w:ascii="宋体" w:hAnsi="宋体"/>
          <w:b/>
          <w:bCs/>
          <w:i w:val="0"/>
          <w:iCs w:val="0"/>
          <w:color w:val="FF0000"/>
          <w:sz w:val="21"/>
          <w:szCs w:val="21"/>
          <w:highlight w:val="none"/>
          <w:u w:val="single"/>
          <w:lang w:val="en-US" w:eastAsia="zh-CN"/>
        </w:rPr>
        <w:t xml:space="preserve"> 工业 </w:t>
      </w:r>
      <w:r>
        <w:rPr>
          <w:rFonts w:hint="eastAsia" w:ascii="宋体" w:hAnsi="宋体"/>
          <w:b/>
          <w:bCs/>
          <w:i w:val="0"/>
          <w:iCs w:val="0"/>
          <w:color w:val="000000" w:themeColor="text1"/>
          <w:sz w:val="21"/>
          <w:szCs w:val="21"/>
          <w:highlight w:val="none"/>
          <w:lang w:eastAsia="zh-CN"/>
          <w14:textFill>
            <w14:solidFill>
              <w14:schemeClr w14:val="tx1"/>
            </w14:solidFill>
          </w14:textFill>
        </w:rPr>
        <w:t>；制造商为</w:t>
      </w:r>
      <w:r>
        <w:rPr>
          <w:rFonts w:hint="eastAsia" w:ascii="宋体" w:hAnsi="宋体"/>
          <w:b/>
          <w:bCs/>
          <w:i w:val="0"/>
          <w:iCs w:val="0"/>
          <w:color w:val="FF0000"/>
          <w:sz w:val="21"/>
          <w:szCs w:val="21"/>
          <w:highlight w:val="none"/>
          <w:u w:val="single"/>
          <w:lang w:eastAsia="zh-CN"/>
        </w:rPr>
        <w:t>***有限公司</w:t>
      </w:r>
      <w:r>
        <w:rPr>
          <w:rFonts w:hint="eastAsia" w:ascii="宋体" w:hAnsi="宋体"/>
          <w:b/>
          <w:bCs/>
          <w:i w:val="0"/>
          <w:iCs w:val="0"/>
          <w:color w:val="000000" w:themeColor="text1"/>
          <w:sz w:val="21"/>
          <w:szCs w:val="21"/>
          <w:highlight w:val="none"/>
          <w:lang w:eastAsia="zh-CN"/>
          <w14:textFill>
            <w14:solidFill>
              <w14:schemeClr w14:val="tx1"/>
            </w14:solidFill>
          </w14:textFill>
        </w:rPr>
        <w:t>，从业人员</w:t>
      </w:r>
      <w:r>
        <w:rPr>
          <w:rFonts w:hint="eastAsia" w:ascii="宋体" w:hAnsi="宋体"/>
          <w:b/>
          <w:bCs/>
          <w:i w:val="0"/>
          <w:iCs w:val="0"/>
          <w:color w:val="FF0000"/>
          <w:sz w:val="21"/>
          <w:szCs w:val="21"/>
          <w:highlight w:val="none"/>
          <w:u w:val="single"/>
          <w:lang w:eastAsia="zh-CN"/>
        </w:rPr>
        <w:t xml:space="preserve"> 30 </w:t>
      </w:r>
      <w:r>
        <w:rPr>
          <w:rFonts w:hint="eastAsia" w:ascii="宋体" w:hAnsi="宋体"/>
          <w:b/>
          <w:bCs/>
          <w:i w:val="0"/>
          <w:iCs w:val="0"/>
          <w:color w:val="000000" w:themeColor="text1"/>
          <w:sz w:val="21"/>
          <w:szCs w:val="21"/>
          <w:highlight w:val="none"/>
          <w:lang w:eastAsia="zh-CN"/>
          <w14:textFill>
            <w14:solidFill>
              <w14:schemeClr w14:val="tx1"/>
            </w14:solidFill>
          </w14:textFill>
        </w:rPr>
        <w:t>人，营业收入为</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5</w:t>
      </w:r>
      <w:r>
        <w:rPr>
          <w:rFonts w:hint="eastAsia" w:ascii="宋体" w:hAnsi="宋体"/>
          <w:b/>
          <w:bCs/>
          <w:i w:val="0"/>
          <w:iCs w:val="0"/>
          <w:color w:val="FF0000"/>
          <w:sz w:val="21"/>
          <w:szCs w:val="21"/>
          <w:highlight w:val="none"/>
          <w:u w:val="single"/>
          <w:lang w:eastAsia="zh-CN"/>
        </w:rPr>
        <w:t xml:space="preserve">50 </w:t>
      </w:r>
      <w:r>
        <w:rPr>
          <w:rFonts w:hint="eastAsia" w:ascii="宋体" w:hAnsi="宋体"/>
          <w:b/>
          <w:bCs/>
          <w:i w:val="0"/>
          <w:iCs w:val="0"/>
          <w:color w:val="000000" w:themeColor="text1"/>
          <w:sz w:val="21"/>
          <w:szCs w:val="21"/>
          <w:highlight w:val="none"/>
          <w:lang w:eastAsia="zh-CN"/>
          <w14:textFill>
            <w14:solidFill>
              <w14:schemeClr w14:val="tx1"/>
            </w14:solidFill>
          </w14:textFill>
        </w:rPr>
        <w:t>万元，资产总额为</w:t>
      </w:r>
      <w:r>
        <w:rPr>
          <w:rFonts w:hint="eastAsia" w:ascii="宋体" w:hAnsi="宋体"/>
          <w:b/>
          <w:bCs/>
          <w:i w:val="0"/>
          <w:iCs w:val="0"/>
          <w:color w:val="FF0000"/>
          <w:sz w:val="21"/>
          <w:szCs w:val="21"/>
          <w:highlight w:val="none"/>
          <w:u w:val="single"/>
          <w:lang w:eastAsia="zh-CN"/>
        </w:rPr>
        <w:t xml:space="preserve"> 150 </w:t>
      </w:r>
      <w:r>
        <w:rPr>
          <w:rFonts w:hint="eastAsia" w:ascii="宋体" w:hAnsi="宋体"/>
          <w:b/>
          <w:bCs/>
          <w:i w:val="0"/>
          <w:iCs w:val="0"/>
          <w:color w:val="000000" w:themeColor="text1"/>
          <w:sz w:val="21"/>
          <w:szCs w:val="21"/>
          <w:highlight w:val="none"/>
          <w:lang w:eastAsia="zh-CN"/>
          <w14:textFill>
            <w14:solidFill>
              <w14:schemeClr w14:val="tx1"/>
            </w14:solidFill>
          </w14:textFill>
        </w:rPr>
        <w:t>万元，属于</w:t>
      </w:r>
      <w:r>
        <w:rPr>
          <w:rFonts w:hint="eastAsia" w:ascii="宋体" w:hAnsi="宋体"/>
          <w:b/>
          <w:bCs/>
          <w:i w:val="0"/>
          <w:iCs w:val="0"/>
          <w:color w:val="FF0000"/>
          <w:sz w:val="21"/>
          <w:szCs w:val="21"/>
          <w:highlight w:val="none"/>
          <w:u w:val="single"/>
          <w:lang w:eastAsia="zh-CN"/>
        </w:rPr>
        <w:t>微型企业</w:t>
      </w:r>
      <w:r>
        <w:rPr>
          <w:rFonts w:hint="eastAsia" w:ascii="宋体" w:hAnsi="宋体"/>
          <w:b/>
          <w:bCs/>
          <w:i w:val="0"/>
          <w:iCs w:val="0"/>
          <w:color w:val="000000" w:themeColor="text1"/>
          <w:sz w:val="21"/>
          <w:szCs w:val="21"/>
          <w:highlight w:val="none"/>
          <w:lang w:eastAsia="zh-CN"/>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6）供应商填写中小企业声明函应根据标的物逐一填写，制造商具体信息投标人应根据实际情况据实填写，投标人自行承担因填写信息不真实、内容不齐全等原因造成的不利后果。</w:t>
      </w:r>
    </w:p>
    <w:p>
      <w:pPr>
        <w:rPr>
          <w:rFonts w:hint="default"/>
          <w:lang w:val="en-US" w:eastAsia="zh-CN"/>
        </w:rPr>
      </w:pPr>
      <w:r>
        <w:rPr>
          <w:rFonts w:hint="default"/>
          <w:lang w:val="en-US" w:eastAsia="zh-CN"/>
        </w:rP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附件15-1</w:t>
      </w:r>
    </w:p>
    <w:p>
      <w:pPr>
        <w:tabs>
          <w:tab w:val="left" w:pos="3600"/>
        </w:tabs>
        <w:adjustRightInd w:val="0"/>
        <w:snapToGrid w:val="0"/>
        <w:jc w:val="center"/>
        <w:rPr>
          <w:rFonts w:ascii="宋体" w:hAnsi="宋体" w:cs="宋体"/>
          <w:b/>
          <w:bCs/>
          <w:spacing w:val="6"/>
          <w:kern w:val="0"/>
          <w:sz w:val="24"/>
        </w:rPr>
      </w:pPr>
      <w:r>
        <w:rPr>
          <w:rFonts w:hint="eastAsia" w:ascii="宋体" w:hAnsi="宋体" w:cs="宋体"/>
          <w:b/>
          <w:bCs/>
          <w:spacing w:val="6"/>
          <w:kern w:val="0"/>
          <w:sz w:val="24"/>
        </w:rPr>
        <w:t>残疾人福利性单位声明函</w:t>
      </w:r>
    </w:p>
    <w:p>
      <w:pPr>
        <w:spacing w:line="588" w:lineRule="exact"/>
        <w:rPr>
          <w:rFonts w:ascii="仿宋_GB2312" w:eastAsia="仿宋_GB2312"/>
          <w:b/>
          <w:spacing w:val="6"/>
          <w:sz w:val="30"/>
          <w:szCs w:val="30"/>
        </w:rPr>
      </w:pP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本单位郑重声明，根据《财政部</w:t>
      </w:r>
      <w:r>
        <w:rPr>
          <w:rFonts w:ascii="宋体" w:hAnsi="宋体" w:cs="宋体"/>
          <w:spacing w:val="6"/>
          <w:kern w:val="0"/>
          <w:szCs w:val="21"/>
        </w:rPr>
        <w:t xml:space="preserve"> </w:t>
      </w:r>
      <w:r>
        <w:rPr>
          <w:rFonts w:hint="eastAsia" w:ascii="宋体" w:hAnsi="宋体" w:cs="宋体"/>
          <w:spacing w:val="6"/>
          <w:kern w:val="0"/>
          <w:szCs w:val="21"/>
        </w:rPr>
        <w:t>民政部</w:t>
      </w:r>
      <w:r>
        <w:rPr>
          <w:rFonts w:ascii="宋体" w:hAnsi="宋体" w:cs="宋体"/>
          <w:spacing w:val="6"/>
          <w:kern w:val="0"/>
          <w:szCs w:val="21"/>
        </w:rPr>
        <w:t xml:space="preserve"> </w:t>
      </w:r>
      <w:r>
        <w:rPr>
          <w:rFonts w:hint="eastAsia" w:ascii="宋体" w:hAnsi="宋体" w:cs="宋体"/>
          <w:spacing w:val="6"/>
          <w:kern w:val="0"/>
          <w:szCs w:val="21"/>
        </w:rPr>
        <w:t>中国残疾人联合会关于促进残疾人就业政府采购政策的通知》（财库〔</w:t>
      </w:r>
      <w:r>
        <w:rPr>
          <w:rFonts w:ascii="宋体" w:hAnsi="宋体" w:cs="宋体"/>
          <w:spacing w:val="6"/>
          <w:kern w:val="0"/>
          <w:szCs w:val="21"/>
        </w:rPr>
        <w:t>2017</w:t>
      </w:r>
      <w:r>
        <w:rPr>
          <w:rFonts w:hint="eastAsia" w:ascii="宋体" w:hAnsi="宋体" w:cs="宋体"/>
          <w:spacing w:val="6"/>
          <w:kern w:val="0"/>
          <w:szCs w:val="21"/>
        </w:rPr>
        <w:t>〕</w:t>
      </w:r>
      <w:r>
        <w:rPr>
          <w:rFonts w:ascii="宋体" w:hAnsi="宋体" w:cs="宋体"/>
          <w:spacing w:val="6"/>
          <w:kern w:val="0"/>
          <w:szCs w:val="21"/>
        </w:rPr>
        <w:t xml:space="preserve"> 141</w:t>
      </w:r>
      <w:r>
        <w:rPr>
          <w:rFonts w:hint="eastAsia" w:ascii="宋体" w:hAnsi="宋体" w:cs="宋体"/>
          <w:spacing w:val="6"/>
          <w:kern w:val="0"/>
          <w:szCs w:val="21"/>
        </w:rPr>
        <w:t>号）的规定，本单位为符合条件的残疾人福利性单位，且本单位参加</w:t>
      </w:r>
      <w:r>
        <w:rPr>
          <w:rFonts w:ascii="宋体" w:hAnsi="宋体" w:cs="宋体"/>
          <w:spacing w:val="6"/>
          <w:kern w:val="0"/>
          <w:szCs w:val="21"/>
        </w:rPr>
        <w:t>______</w:t>
      </w:r>
      <w:r>
        <w:rPr>
          <w:rFonts w:hint="eastAsia" w:ascii="宋体" w:hAnsi="宋体" w:cs="宋体"/>
          <w:spacing w:val="6"/>
          <w:kern w:val="0"/>
          <w:szCs w:val="21"/>
        </w:rPr>
        <w:t>单位的</w:t>
      </w:r>
      <w:r>
        <w:rPr>
          <w:rFonts w:ascii="宋体" w:hAnsi="宋体" w:cs="宋体"/>
          <w:spacing w:val="6"/>
          <w:kern w:val="0"/>
          <w:szCs w:val="21"/>
        </w:rPr>
        <w:t>______</w:t>
      </w:r>
      <w:r>
        <w:rPr>
          <w:rFonts w:hint="eastAsia" w:ascii="宋体" w:hAnsi="宋体" w:cs="宋体"/>
          <w:spacing w:val="6"/>
          <w:kern w:val="0"/>
          <w:szCs w:val="21"/>
        </w:rPr>
        <w:t>项目采购活动提供本单位制造的货物（由本单位承担工程</w:t>
      </w:r>
      <w:r>
        <w:rPr>
          <w:rFonts w:ascii="宋体" w:hAnsi="宋体" w:cs="宋体"/>
          <w:spacing w:val="6"/>
          <w:kern w:val="0"/>
          <w:szCs w:val="21"/>
        </w:rPr>
        <w:t>/</w:t>
      </w:r>
      <w:r>
        <w:rPr>
          <w:rFonts w:hint="eastAsia" w:ascii="宋体" w:hAnsi="宋体" w:cs="宋体"/>
          <w:spacing w:val="6"/>
          <w:kern w:val="0"/>
          <w:szCs w:val="21"/>
        </w:rPr>
        <w:t>提供服务），或者提供其他残疾人福利性单位制造的货物（不包括使用非残疾人福利性单位注册商标的货物）。</w:t>
      </w: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588" w:lineRule="exact"/>
        <w:ind w:firstLine="624" w:firstLineChars="200"/>
        <w:rPr>
          <w:rFonts w:ascii="仿宋_GB2312" w:eastAsia="仿宋_GB2312"/>
          <w:spacing w:val="6"/>
          <w:sz w:val="30"/>
          <w:szCs w:val="30"/>
        </w:rPr>
      </w:pPr>
    </w:p>
    <w:p>
      <w:pPr>
        <w:widowControl/>
        <w:adjustRightInd w:val="0"/>
        <w:snapToGrid w:val="0"/>
        <w:spacing w:line="360" w:lineRule="auto"/>
        <w:ind w:firstLine="624" w:firstLineChars="200"/>
        <w:jc w:val="center"/>
        <w:rPr>
          <w:rFonts w:ascii="宋体" w:hAnsi="宋体" w:cs="宋体"/>
          <w:spacing w:val="6"/>
          <w:kern w:val="0"/>
          <w:szCs w:val="21"/>
        </w:rPr>
      </w:pPr>
      <w:r>
        <w:rPr>
          <w:rFonts w:ascii="仿宋_GB2312" w:eastAsia="仿宋_GB2312"/>
          <w:spacing w:val="6"/>
          <w:sz w:val="30"/>
          <w:szCs w:val="30"/>
        </w:rPr>
        <w:t xml:space="preserve">       </w:t>
      </w:r>
      <w:r>
        <w:rPr>
          <w:rFonts w:hint="eastAsia" w:ascii="宋体" w:hAnsi="宋体" w:cs="宋体"/>
          <w:spacing w:val="6"/>
          <w:kern w:val="0"/>
          <w:szCs w:val="21"/>
        </w:rPr>
        <w:t xml:space="preserve">投标单位名称（盖单位章）： </w:t>
      </w:r>
    </w:p>
    <w:p>
      <w:pPr>
        <w:widowControl/>
        <w:adjustRightInd w:val="0"/>
        <w:snapToGrid w:val="0"/>
        <w:spacing w:line="360" w:lineRule="auto"/>
        <w:ind w:firstLine="444" w:firstLineChars="200"/>
        <w:jc w:val="center"/>
        <w:rPr>
          <w:rFonts w:ascii="宋体" w:hAnsi="宋体"/>
          <w:szCs w:val="21"/>
        </w:rPr>
      </w:pPr>
      <w:r>
        <w:rPr>
          <w:rFonts w:hint="eastAsia" w:ascii="宋体" w:hAnsi="宋体" w:cs="宋体"/>
          <w:spacing w:val="6"/>
          <w:kern w:val="0"/>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ascii="宋体" w:hAnsi="宋体"/>
          <w:b/>
          <w:sz w:val="28"/>
          <w:szCs w:val="28"/>
        </w:rPr>
      </w:pPr>
    </w:p>
    <w:p>
      <w:pPr>
        <w:pStyle w:val="41"/>
        <w:spacing w:before="0" w:beforeAutospacing="0" w:after="0" w:afterAutospacing="0"/>
        <w:rPr>
          <w:spacing w:val="6"/>
          <w:sz w:val="21"/>
          <w:szCs w:val="21"/>
        </w:rPr>
      </w:pPr>
      <w:r>
        <w:rPr>
          <w:rFonts w:hint="eastAsia"/>
          <w:spacing w:val="6"/>
          <w:sz w:val="21"/>
          <w:szCs w:val="21"/>
        </w:rPr>
        <w:t>说明：</w:t>
      </w:r>
    </w:p>
    <w:p>
      <w:pPr>
        <w:pStyle w:val="41"/>
        <w:spacing w:before="0" w:beforeAutospacing="0" w:after="0" w:afterAutospacing="0"/>
        <w:ind w:firstLine="444" w:firstLineChars="200"/>
        <w:rPr>
          <w:spacing w:val="6"/>
          <w:sz w:val="21"/>
          <w:szCs w:val="21"/>
        </w:rPr>
      </w:pPr>
      <w:r>
        <w:rPr>
          <w:rFonts w:hint="eastAsia"/>
          <w:spacing w:val="6"/>
          <w:sz w:val="21"/>
          <w:szCs w:val="21"/>
        </w:rPr>
        <w:t>1、</w:t>
      </w:r>
      <w:r>
        <w:rPr>
          <w:rFonts w:hint="eastAsia"/>
          <w:b/>
          <w:bCs/>
          <w:spacing w:val="6"/>
          <w:sz w:val="21"/>
          <w:szCs w:val="21"/>
        </w:rPr>
        <w:t>残疾人福利性单位视同小微企业</w:t>
      </w:r>
      <w:r>
        <w:rPr>
          <w:rFonts w:hint="eastAsia"/>
          <w:spacing w:val="6"/>
          <w:sz w:val="21"/>
          <w:szCs w:val="21"/>
        </w:rPr>
        <w:t>，残疾人福利性单位应当同时满足以下条件：</w:t>
      </w:r>
    </w:p>
    <w:p>
      <w:pPr>
        <w:pStyle w:val="41"/>
        <w:spacing w:before="0" w:beforeAutospacing="0" w:after="0" w:afterAutospacing="0"/>
        <w:ind w:firstLine="444" w:firstLineChars="200"/>
        <w:rPr>
          <w:spacing w:val="6"/>
          <w:sz w:val="21"/>
          <w:szCs w:val="21"/>
        </w:rPr>
      </w:pPr>
      <w:r>
        <w:rPr>
          <w:rFonts w:hint="eastAsia"/>
          <w:spacing w:val="6"/>
          <w:sz w:val="21"/>
          <w:szCs w:val="21"/>
        </w:rPr>
        <w:t>①安置的残疾人占本单位在职职工人数的比例不低于25%（含25%），并且安置的残疾人人数不少于10人（含10人）；</w:t>
      </w:r>
    </w:p>
    <w:p>
      <w:pPr>
        <w:pStyle w:val="41"/>
        <w:spacing w:before="0" w:beforeAutospacing="0" w:after="0" w:afterAutospacing="0"/>
        <w:ind w:firstLine="444" w:firstLineChars="200"/>
        <w:rPr>
          <w:spacing w:val="6"/>
          <w:sz w:val="21"/>
          <w:szCs w:val="21"/>
        </w:rPr>
      </w:pPr>
      <w:r>
        <w:rPr>
          <w:rFonts w:hint="eastAsia"/>
          <w:spacing w:val="6"/>
          <w:sz w:val="21"/>
          <w:szCs w:val="21"/>
        </w:rPr>
        <w:t>②依法与安置的每位残疾人签订了一年以上（含一年）的劳动合同或服务协议；</w:t>
      </w:r>
    </w:p>
    <w:p>
      <w:pPr>
        <w:pStyle w:val="41"/>
        <w:spacing w:before="0" w:beforeAutospacing="0" w:after="0" w:afterAutospacing="0"/>
        <w:ind w:firstLine="444" w:firstLineChars="200"/>
        <w:rPr>
          <w:spacing w:val="6"/>
          <w:sz w:val="21"/>
          <w:szCs w:val="21"/>
        </w:rPr>
      </w:pPr>
      <w:r>
        <w:rPr>
          <w:rFonts w:hint="eastAsia"/>
          <w:spacing w:val="6"/>
          <w:sz w:val="21"/>
          <w:szCs w:val="21"/>
        </w:rPr>
        <w:t>③为安置的每位残疾人按月足额缴纳了基本养老保险、基本医疗保险、失业保险、工伤保险和生育保险等社会保险费；</w:t>
      </w:r>
    </w:p>
    <w:p>
      <w:pPr>
        <w:pStyle w:val="41"/>
        <w:spacing w:before="0" w:beforeAutospacing="0" w:after="0" w:afterAutospacing="0"/>
        <w:ind w:firstLine="444" w:firstLineChars="200"/>
        <w:rPr>
          <w:spacing w:val="6"/>
          <w:sz w:val="21"/>
          <w:szCs w:val="21"/>
        </w:rPr>
      </w:pPr>
      <w:r>
        <w:rPr>
          <w:rFonts w:hint="eastAsia"/>
          <w:spacing w:val="6"/>
          <w:sz w:val="21"/>
          <w:szCs w:val="21"/>
        </w:rPr>
        <w:t>④通过银行等金融机构向安置的每位残疾人，按月支付了不低于单位所在区县适用的经省级人民政府批准的月最低工资标准的工资；</w:t>
      </w:r>
    </w:p>
    <w:p>
      <w:pPr>
        <w:pStyle w:val="41"/>
        <w:spacing w:before="0" w:beforeAutospacing="0" w:after="0" w:afterAutospacing="0"/>
        <w:ind w:firstLine="444" w:firstLineChars="200"/>
        <w:rPr>
          <w:spacing w:val="6"/>
          <w:sz w:val="21"/>
          <w:szCs w:val="21"/>
        </w:rPr>
      </w:pPr>
      <w:r>
        <w:rPr>
          <w:rFonts w:hint="eastAsia"/>
          <w:spacing w:val="6"/>
          <w:sz w:val="21"/>
          <w:szCs w:val="21"/>
        </w:rPr>
        <w:t>⑤提供本单位制造的货物、承担的工程或者服务（以下简称产品），或者提供其他残疾人福利性单位制造的货物（不包括使用非残疾人福利性单位注册商标的货物）。</w:t>
      </w:r>
    </w:p>
    <w:p>
      <w:pPr>
        <w:pStyle w:val="41"/>
        <w:spacing w:before="0" w:beforeAutospacing="0" w:after="0" w:afterAutospacing="0"/>
        <w:rPr>
          <w:spacing w:val="6"/>
          <w:sz w:val="21"/>
          <w:szCs w:val="21"/>
        </w:rPr>
      </w:pPr>
    </w:p>
    <w:p>
      <w:pPr>
        <w:pStyle w:val="41"/>
        <w:spacing w:before="0" w:beforeAutospacing="0" w:after="0" w:afterAutospacing="0"/>
        <w:ind w:firstLine="444" w:firstLineChars="200"/>
        <w:rPr>
          <w:spacing w:val="6"/>
          <w:sz w:val="21"/>
          <w:szCs w:val="21"/>
        </w:rPr>
      </w:pPr>
    </w:p>
    <w:p>
      <w:pPr>
        <w:pStyle w:val="41"/>
        <w:spacing w:before="0" w:beforeAutospacing="0" w:after="0" w:afterAutospacing="0"/>
        <w:ind w:firstLine="444" w:firstLineChars="200"/>
        <w:rPr>
          <w:spacing w:val="6"/>
          <w:sz w:val="21"/>
          <w:szCs w:val="21"/>
        </w:rPr>
      </w:pPr>
      <w:r>
        <w:rPr>
          <w:rFonts w:hint="eastAsia"/>
          <w:spacing w:val="6"/>
          <w:sz w:val="21"/>
          <w:szCs w:val="21"/>
        </w:rPr>
        <w:t>2、</w:t>
      </w:r>
      <w:r>
        <w:rPr>
          <w:rFonts w:hint="eastAsia"/>
          <w:b/>
          <w:bCs/>
          <w:spacing w:val="6"/>
          <w:sz w:val="21"/>
          <w:szCs w:val="21"/>
        </w:rPr>
        <w:t>监狱企业视同为小微企业。</w:t>
      </w:r>
      <w:r>
        <w:rPr>
          <w:rFonts w:hint="eastAsia"/>
          <w:spacing w:val="6"/>
          <w:sz w:val="21"/>
          <w:szCs w:val="21"/>
        </w:rPr>
        <w:t>如属于监狱企业，需提供由省级以上监狱管理局、戒毒管理局（含新疆生产建设兵团）出具的属于监狱企业的证明文件。</w:t>
      </w:r>
    </w:p>
    <w:p>
      <w:pPr>
        <w:rPr>
          <w:rFonts w:hint="eastAsia"/>
          <w:spacing w:val="6"/>
          <w:sz w:val="21"/>
          <w:szCs w:val="21"/>
        </w:rPr>
      </w:pPr>
      <w:r>
        <w:rPr>
          <w:rFonts w:hint="eastAsia"/>
          <w:spacing w:val="6"/>
          <w:sz w:val="21"/>
          <w:szCs w:val="21"/>
        </w:rPr>
        <w:br w:type="page"/>
      </w:r>
    </w:p>
    <w:p>
      <w:pPr>
        <w:pStyle w:val="6"/>
        <w:rPr>
          <w:rFonts w:hint="eastAsia"/>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16</w:t>
      </w:r>
      <w:r>
        <w:rPr>
          <w:rFonts w:hint="eastAsia" w:ascii="宋体" w:hAnsi="宋体" w:eastAsia="宋体" w:cs="宋体"/>
          <w:color w:val="auto"/>
          <w:sz w:val="32"/>
          <w:szCs w:val="32"/>
        </w:rPr>
        <w:t xml:space="preserve">    </w:t>
      </w:r>
    </w:p>
    <w:p>
      <w:pPr>
        <w:tabs>
          <w:tab w:val="left" w:pos="3600"/>
        </w:tabs>
        <w:adjustRightInd w:val="0"/>
        <w:snapToGrid w:val="0"/>
        <w:jc w:val="center"/>
        <w:rPr>
          <w:rFonts w:hint="eastAsia" w:ascii="宋体" w:hAnsi="宋体" w:cs="宋体"/>
          <w:b/>
          <w:bCs/>
          <w:color w:val="auto"/>
          <w:spacing w:val="6"/>
          <w:kern w:val="0"/>
          <w:sz w:val="24"/>
          <w:lang w:eastAsia="zh-CN"/>
        </w:rPr>
      </w:pPr>
      <w:r>
        <w:rPr>
          <w:rFonts w:hint="eastAsia" w:ascii="宋体" w:hAnsi="宋体" w:cs="宋体"/>
          <w:b/>
          <w:bCs/>
          <w:color w:val="auto"/>
          <w:spacing w:val="6"/>
          <w:kern w:val="0"/>
          <w:sz w:val="24"/>
          <w:lang w:eastAsia="zh-CN"/>
        </w:rPr>
        <w:t>投标及履约承诺函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p>
    <w:p>
      <w:pPr>
        <w:adjustRightInd w:val="0"/>
        <w:snapToGrid w:val="0"/>
        <w:spacing w:line="360" w:lineRule="auto"/>
        <w:ind w:left="0" w:leftChars="0" w:firstLine="420" w:firstLineChars="200"/>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我单位深知以下承诺事项对本项目的重要性，我单位郑重承诺，如我单位中标，所提供的投标产品</w:t>
      </w:r>
      <w:r>
        <w:rPr>
          <w:rFonts w:hint="eastAsia" w:ascii="宋体" w:hAnsi="宋体"/>
          <w:color w:val="000000"/>
          <w:szCs w:val="21"/>
          <w:highlight w:val="none"/>
          <w:lang w:val="en-US" w:eastAsia="zh-CN"/>
        </w:rPr>
        <w:t>、服务</w:t>
      </w:r>
      <w:r>
        <w:rPr>
          <w:rFonts w:hint="eastAsia" w:ascii="宋体" w:hAnsi="宋体" w:eastAsia="宋体"/>
          <w:color w:val="000000"/>
          <w:szCs w:val="21"/>
          <w:highlight w:val="none"/>
          <w:lang w:val="en-US" w:eastAsia="zh-CN"/>
        </w:rPr>
        <w:t>能够满足以下承诺事项：</w:t>
      </w:r>
    </w:p>
    <w:p>
      <w:pPr>
        <w:adjustRightInd w:val="0"/>
        <w:snapToGrid w:val="0"/>
        <w:spacing w:line="360" w:lineRule="auto"/>
        <w:ind w:left="0" w:leftChars="0" w:firstLine="420" w:firstLineChars="200"/>
        <w:rPr>
          <w:rFonts w:hint="eastAsia" w:ascii="宋体" w:hAnsi="宋体"/>
          <w:color w:val="000000"/>
          <w:szCs w:val="21"/>
          <w:highlight w:val="none"/>
          <w:lang w:eastAsia="zh-CN"/>
        </w:rPr>
      </w:pPr>
      <w:r>
        <w:rPr>
          <w:rFonts w:hint="eastAsia" w:ascii="宋体" w:hAnsi="宋体" w:eastAsia="宋体"/>
          <w:color w:val="000000"/>
          <w:szCs w:val="21"/>
          <w:highlight w:val="none"/>
          <w:lang w:val="en-US" w:eastAsia="zh-CN"/>
        </w:rPr>
        <w:t>1</w:t>
      </w:r>
      <w:r>
        <w:rPr>
          <w:rFonts w:hint="eastAsia" w:ascii="宋体" w:hAnsi="宋体" w:eastAsia="宋体"/>
          <w:b/>
          <w:bCs/>
          <w:color w:val="000000"/>
          <w:szCs w:val="21"/>
          <w:highlight w:val="none"/>
          <w:lang w:val="en-US" w:eastAsia="zh-CN"/>
        </w:rPr>
        <w:t>.</w:t>
      </w:r>
      <w:r>
        <w:rPr>
          <w:rFonts w:hint="eastAsia"/>
          <w:lang w:val="en-US" w:eastAsia="zh-CN"/>
        </w:rPr>
        <w:t>我单位</w:t>
      </w:r>
      <w:r>
        <w:rPr>
          <w:rFonts w:hint="eastAsia"/>
          <w:b/>
          <w:bCs/>
          <w:lang w:val="en-US" w:eastAsia="zh-CN"/>
        </w:rPr>
        <w:t>承诺履约期限为</w:t>
      </w:r>
      <w:r>
        <w:rPr>
          <w:rFonts w:hint="eastAsia"/>
          <w:b/>
          <w:bCs/>
          <w:u w:val="single"/>
          <w:lang w:val="en-US" w:eastAsia="zh-CN"/>
        </w:rPr>
        <w:t xml:space="preserve">  </w:t>
      </w:r>
      <w:r>
        <w:rPr>
          <w:rFonts w:hint="eastAsia"/>
          <w:b/>
          <w:bCs/>
          <w:lang w:val="en-US" w:eastAsia="zh-CN"/>
        </w:rPr>
        <w:t>天</w:t>
      </w:r>
      <w:r>
        <w:rPr>
          <w:rFonts w:hint="eastAsia"/>
          <w:lang w:val="en-US" w:eastAsia="zh-CN"/>
        </w:rPr>
        <w:t>，如我单位不能在承诺期限内完成项目实施及交付使用，视同为“</w:t>
      </w:r>
      <w:r>
        <w:rPr>
          <w:rFonts w:hint="eastAsia" w:ascii="宋体" w:hAnsi="宋体" w:eastAsia="宋体"/>
          <w:color w:val="000000"/>
          <w:szCs w:val="21"/>
          <w:highlight w:val="none"/>
          <w:lang w:eastAsia="zh-CN"/>
        </w:rPr>
        <w:t>提供虚假材料谋取中标、成交”</w:t>
      </w:r>
      <w:r>
        <w:rPr>
          <w:rFonts w:hint="eastAsia" w:ascii="宋体" w:hAnsi="宋体"/>
          <w:color w:val="000000"/>
          <w:szCs w:val="21"/>
          <w:highlight w:val="none"/>
          <w:lang w:eastAsia="zh-CN"/>
        </w:rPr>
        <w:t>；如承诺履约期限</w:t>
      </w:r>
      <w:r>
        <w:rPr>
          <w:rFonts w:hint="eastAsia" w:ascii="宋体" w:hAnsi="宋体"/>
          <w:b/>
          <w:bCs/>
          <w:color w:val="000000"/>
          <w:szCs w:val="21"/>
          <w:highlight w:val="none"/>
          <w:lang w:eastAsia="zh-CN"/>
        </w:rPr>
        <w:t>与政采云平台填写的内容不一致</w:t>
      </w:r>
      <w:r>
        <w:rPr>
          <w:rFonts w:hint="eastAsia" w:ascii="宋体" w:hAnsi="宋体"/>
          <w:color w:val="000000"/>
          <w:szCs w:val="21"/>
          <w:highlight w:val="none"/>
          <w:lang w:eastAsia="zh-CN"/>
        </w:rPr>
        <w:t>，我单位自愿放弃该评分项评审得分，且承诺的履约期限依然具有法律效力。</w:t>
      </w:r>
    </w:p>
    <w:p>
      <w:pPr>
        <w:adjustRightInd w:val="0"/>
        <w:snapToGrid w:val="0"/>
        <w:spacing w:line="360" w:lineRule="auto"/>
        <w:ind w:left="0" w:leftChars="0"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w:t>
      </w:r>
      <w:r>
        <w:rPr>
          <w:rFonts w:hint="eastAsia" w:ascii="宋体" w:hAnsi="宋体" w:eastAsia="宋体"/>
          <w:color w:val="000000"/>
          <w:szCs w:val="21"/>
          <w:highlight w:val="none"/>
          <w:lang w:val="en-US" w:eastAsia="zh-CN"/>
        </w:rPr>
        <w:t>.我公司承诺，本项目招标文件未要求但我公司所投产品</w:t>
      </w:r>
      <w:r>
        <w:rPr>
          <w:rFonts w:hint="eastAsia" w:ascii="宋体" w:hAnsi="宋体" w:eastAsia="宋体"/>
          <w:b/>
          <w:bCs/>
          <w:color w:val="000000"/>
          <w:szCs w:val="21"/>
          <w:highlight w:val="none"/>
          <w:lang w:val="en-US" w:eastAsia="zh-CN"/>
        </w:rPr>
        <w:t>属国家强制节能认证</w:t>
      </w:r>
      <w:r>
        <w:rPr>
          <w:rFonts w:hint="eastAsia" w:ascii="宋体" w:hAnsi="宋体"/>
          <w:b/>
          <w:bCs/>
          <w:color w:val="000000"/>
          <w:szCs w:val="21"/>
          <w:highlight w:val="none"/>
          <w:lang w:val="en-US" w:eastAsia="zh-CN"/>
        </w:rPr>
        <w:t>或</w:t>
      </w:r>
      <w:r>
        <w:rPr>
          <w:rFonts w:hint="eastAsia" w:ascii="宋体" w:hAnsi="宋体" w:cs="宋体"/>
          <w:b/>
          <w:bCs/>
          <w:szCs w:val="21"/>
          <w:lang w:eastAsia="zh-CN"/>
        </w:rPr>
        <w:t>国家强制性认证</w:t>
      </w:r>
      <w:r>
        <w:rPr>
          <w:rFonts w:hint="eastAsia" w:ascii="宋体" w:hAnsi="宋体" w:eastAsia="宋体"/>
          <w:color w:val="000000"/>
          <w:szCs w:val="21"/>
          <w:highlight w:val="none"/>
          <w:lang w:val="en-US" w:eastAsia="zh-CN"/>
        </w:rPr>
        <w:t>的，我公司在供货时随产品一并提供有效证书</w:t>
      </w:r>
      <w:r>
        <w:rPr>
          <w:rFonts w:hint="eastAsia" w:ascii="宋体" w:hAnsi="宋体"/>
          <w:color w:val="000000"/>
          <w:szCs w:val="21"/>
          <w:highlight w:val="none"/>
          <w:lang w:val="en-US" w:eastAsia="zh-CN"/>
        </w:rPr>
        <w:t>及相关材料</w:t>
      </w:r>
      <w:r>
        <w:rPr>
          <w:rFonts w:hint="eastAsia" w:ascii="宋体" w:hAnsi="宋体" w:eastAsia="宋体"/>
          <w:color w:val="000000"/>
          <w:szCs w:val="21"/>
          <w:highlight w:val="none"/>
          <w:lang w:val="en-US" w:eastAsia="zh-CN"/>
        </w:rPr>
        <w:t>，且均能满足国家强制节能认证</w:t>
      </w:r>
      <w:r>
        <w:rPr>
          <w:rFonts w:hint="eastAsia" w:ascii="宋体" w:hAnsi="宋体"/>
          <w:color w:val="000000"/>
          <w:szCs w:val="21"/>
          <w:highlight w:val="none"/>
          <w:lang w:val="en-US" w:eastAsia="zh-CN"/>
        </w:rPr>
        <w:t>或</w:t>
      </w:r>
      <w:r>
        <w:rPr>
          <w:rFonts w:hint="eastAsia" w:ascii="宋体" w:hAnsi="宋体" w:cs="宋体"/>
          <w:szCs w:val="21"/>
          <w:lang w:eastAsia="zh-CN"/>
        </w:rPr>
        <w:t>国家强制性认证</w:t>
      </w:r>
      <w:r>
        <w:rPr>
          <w:rFonts w:hint="eastAsia" w:ascii="宋体" w:hAnsi="宋体" w:eastAsia="宋体"/>
          <w:color w:val="000000"/>
          <w:szCs w:val="21"/>
          <w:highlight w:val="none"/>
          <w:lang w:val="en-US" w:eastAsia="zh-CN"/>
        </w:rPr>
        <w:t>要求，并对其真实性负责。</w:t>
      </w:r>
    </w:p>
    <w:p>
      <w:pPr>
        <w:adjustRightInd w:val="0"/>
        <w:snapToGrid w:val="0"/>
        <w:spacing w:line="360" w:lineRule="auto"/>
        <w:ind w:left="0" w:leftChars="0" w:firstLine="420" w:firstLineChars="200"/>
        <w:rPr>
          <w:rFonts w:hint="eastAsia" w:ascii="宋体" w:hAnsi="宋体" w:eastAsia="宋体"/>
          <w:color w:val="000000"/>
          <w:szCs w:val="21"/>
          <w:highlight w:val="none"/>
          <w:lang w:eastAsia="zh-CN"/>
        </w:rPr>
      </w:pPr>
      <w:r>
        <w:rPr>
          <w:rFonts w:hint="default" w:ascii="宋体" w:hAnsi="宋体" w:eastAsia="宋体"/>
          <w:color w:val="000000"/>
          <w:szCs w:val="21"/>
          <w:highlight w:val="none"/>
          <w:lang w:eastAsia="zh-CN"/>
        </w:rPr>
        <w:t>上述承诺事项均为本企业真实意见表达，愿承担一切责任。若</w:t>
      </w:r>
      <w:r>
        <w:rPr>
          <w:rFonts w:hint="eastAsia" w:ascii="宋体" w:hAnsi="宋体" w:eastAsia="宋体"/>
          <w:color w:val="000000"/>
          <w:szCs w:val="21"/>
          <w:highlight w:val="none"/>
          <w:lang w:eastAsia="zh-CN"/>
        </w:rPr>
        <w:t>提供的产品不能满足</w:t>
      </w:r>
      <w:r>
        <w:rPr>
          <w:rFonts w:hint="default" w:ascii="宋体" w:hAnsi="宋体" w:eastAsia="宋体"/>
          <w:color w:val="000000"/>
          <w:szCs w:val="21"/>
          <w:highlight w:val="none"/>
          <w:lang w:eastAsia="zh-CN"/>
        </w:rPr>
        <w:t>本承诺内容，自愿接受自动放弃中标资格</w:t>
      </w:r>
      <w:r>
        <w:rPr>
          <w:rFonts w:hint="eastAsia" w:ascii="宋体" w:hAnsi="宋体" w:eastAsia="宋体"/>
          <w:color w:val="000000"/>
          <w:szCs w:val="21"/>
          <w:highlight w:val="none"/>
          <w:lang w:eastAsia="zh-CN"/>
        </w:rPr>
        <w:t>、按照规定将违背承诺行为作为失信行为记录到社会信用信息平台，并视同为“提供虚假材料谋取中标、成交”按照《政府采购法》第七十七、七十九条规定处理</w:t>
      </w:r>
      <w:r>
        <w:rPr>
          <w:rFonts w:hint="default" w:ascii="宋体" w:hAnsi="宋体" w:eastAsia="宋体"/>
          <w:color w:val="000000"/>
          <w:szCs w:val="21"/>
          <w:highlight w:val="none"/>
          <w:lang w:eastAsia="zh-CN"/>
        </w:rPr>
        <w:t>、没收保证金等有关处理，并承担法律责任;给招标人造成损失的</w:t>
      </w:r>
      <w:r>
        <w:rPr>
          <w:rFonts w:hint="eastAsia" w:ascii="宋体" w:hAnsi="宋体" w:eastAsia="宋体"/>
          <w:color w:val="000000"/>
          <w:szCs w:val="21"/>
          <w:highlight w:val="none"/>
          <w:lang w:eastAsia="zh-CN"/>
        </w:rPr>
        <w:t>，</w:t>
      </w:r>
      <w:r>
        <w:rPr>
          <w:rFonts w:hint="default" w:ascii="宋体" w:hAnsi="宋体" w:eastAsia="宋体"/>
          <w:color w:val="000000"/>
          <w:szCs w:val="21"/>
          <w:highlight w:val="none"/>
          <w:lang w:eastAsia="zh-CN"/>
        </w:rPr>
        <w:t>依法承担赔偿责任</w:t>
      </w:r>
      <w:r>
        <w:rPr>
          <w:rFonts w:hint="eastAsia" w:ascii="宋体" w:hAnsi="宋体" w:eastAsia="宋体"/>
          <w:color w:val="000000"/>
          <w:szCs w:val="21"/>
          <w:highlight w:val="none"/>
          <w:lang w:eastAsia="zh-CN"/>
        </w:rPr>
        <w:t>。</w:t>
      </w:r>
    </w:p>
    <w:p>
      <w:pPr>
        <w:pStyle w:val="2"/>
        <w:rPr>
          <w:rFonts w:hint="eastAsia"/>
          <w:lang w:eastAsia="zh-CN"/>
        </w:rPr>
      </w:pPr>
    </w:p>
    <w:p>
      <w:pPr>
        <w:rPr>
          <w:rFonts w:hint="eastAsia" w:ascii="宋体" w:hAnsi="宋体" w:eastAsia="宋体"/>
          <w:color w:val="000000"/>
          <w:szCs w:val="21"/>
          <w:highlight w:val="none"/>
          <w:lang w:eastAsia="zh-CN"/>
        </w:rPr>
      </w:pPr>
    </w:p>
    <w:p>
      <w:pPr>
        <w:pStyle w:val="6"/>
        <w:rPr>
          <w:rFonts w:hint="eastAsia"/>
          <w:lang w:eastAsia="zh-CN"/>
        </w:rPr>
      </w:pP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企业名称（盖章）:</w:t>
      </w:r>
      <w:r>
        <w:rPr>
          <w:rFonts w:hint="eastAsia" w:ascii="宋体" w:hAnsi="宋体"/>
          <w:color w:val="000000"/>
          <w:szCs w:val="21"/>
          <w:highlight w:val="none"/>
          <w:lang w:val="en-US" w:eastAsia="zh-CN"/>
        </w:rPr>
        <w:t xml:space="preserve">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法定代表人(签字)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年   月   日</w:t>
      </w:r>
    </w:p>
    <w:p>
      <w:pPr>
        <w:rPr>
          <w:rFonts w:hint="eastAsia"/>
          <w:lang w:eastAsia="zh-CN"/>
        </w:rPr>
      </w:pPr>
    </w:p>
    <w:p>
      <w:pPr>
        <w:rPr>
          <w:rFonts w:hint="eastAsia" w:ascii="宋体" w:hAnsi="宋体" w:cs="宋体"/>
          <w:color w:val="auto"/>
          <w:spacing w:val="6"/>
          <w:kern w:val="0"/>
          <w:sz w:val="21"/>
          <w:szCs w:val="21"/>
          <w:highlight w:val="none"/>
          <w:lang w:val="en-US" w:eastAsia="zh-CN" w:bidi="ar-SA"/>
        </w:rPr>
      </w:pPr>
      <w:r>
        <w:rPr>
          <w:rFonts w:hint="eastAsia" w:ascii="宋体" w:hAnsi="宋体" w:cs="宋体"/>
          <w:color w:val="auto"/>
          <w:spacing w:val="6"/>
          <w:kern w:val="0"/>
          <w:sz w:val="21"/>
          <w:szCs w:val="21"/>
          <w:highlight w:val="none"/>
          <w:lang w:val="en-US" w:eastAsia="zh-CN" w:bidi="ar-SA"/>
        </w:rPr>
        <w:br w:type="page"/>
      </w:r>
    </w:p>
    <w:p>
      <w:pPr>
        <w:rPr>
          <w:rFonts w:hint="eastAsia" w:ascii="宋体" w:hAnsi="宋体" w:eastAsia="宋体" w:cs="宋体"/>
          <w:color w:val="auto"/>
          <w:sz w:val="32"/>
          <w:szCs w:val="32"/>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17</w:t>
      </w:r>
      <w:r>
        <w:rPr>
          <w:rFonts w:hint="eastAsia" w:ascii="宋体" w:hAnsi="宋体" w:eastAsia="宋体" w:cs="宋体"/>
          <w:color w:val="auto"/>
          <w:sz w:val="32"/>
          <w:szCs w:val="32"/>
        </w:rPr>
        <w:t xml:space="preserve"> </w:t>
      </w:r>
    </w:p>
    <w:p>
      <w:pPr>
        <w:pStyle w:val="14"/>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公铁两用车合规使用承诺书</w:t>
      </w: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eastAsia="zh-CN"/>
        </w:rPr>
        <w:t>我单位深知以下承诺事项对本项目的重要性，我单位郑重承诺，如我单位中标，所提供的投标产品能够满足以下承诺事项：</w:t>
      </w: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val="en-US" w:eastAsia="zh-CN"/>
        </w:rPr>
        <w:t>1、提供的公铁两用车在霍尔果斯综保区铁路专用线宽轨线能够进行安全行车达到中国铁路乌鲁木齐局集团公司的安全行车要求，并提供中国铁路乌鲁木齐局集团公司同意霍尔果斯综保区铁路专用线使用我司提供的公铁两用车的证明。</w:t>
      </w: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eastAsia="zh-CN"/>
        </w:rPr>
        <w:t>上述承诺事项为本企业真实意见表达，愿承担一切责任。若提供的产品不能满足本承诺内容，自愿接受自动放弃中标资格、按照规定将违背承诺行为作为失信行为记录到社会信用信息平台，并视同为“提供虚假材料谋取中标、成交”按照《政府采购法》第七十七、七十九条规定处理、没收投标保证金等有关处理，并承担法律责任，给招标人造成损失的，依法承担赔偿责任。</w:t>
      </w: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eastAsia="zh-CN"/>
        </w:rPr>
      </w:pP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eastAsia="zh-CN"/>
        </w:rPr>
      </w:pP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eastAsia="zh-CN"/>
        </w:rPr>
      </w:pP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eastAsia="zh-CN"/>
        </w:rPr>
      </w:pPr>
    </w:p>
    <w:p>
      <w:pPr>
        <w:pStyle w:val="6"/>
        <w:rPr>
          <w:rFonts w:hint="eastAsia"/>
          <w:lang w:eastAsia="zh-CN"/>
        </w:rPr>
      </w:pP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企业名称（盖章）:</w:t>
      </w:r>
      <w:r>
        <w:rPr>
          <w:rFonts w:hint="eastAsia" w:ascii="宋体" w:hAnsi="宋体"/>
          <w:color w:val="000000"/>
          <w:szCs w:val="21"/>
          <w:highlight w:val="none"/>
          <w:lang w:val="en-US" w:eastAsia="zh-CN"/>
        </w:rPr>
        <w:t xml:space="preserve">          </w:t>
      </w: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 xml:space="preserve">法定代表人(签字) :         </w:t>
      </w: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 xml:space="preserve">年   月   日       </w:t>
      </w:r>
    </w:p>
    <w:p>
      <w:pPr>
        <w:adjustRightInd w:val="0"/>
        <w:snapToGrid w:val="0"/>
        <w:spacing w:line="360" w:lineRule="auto"/>
        <w:ind w:left="0" w:leftChars="0" w:firstLine="420" w:firstLineChars="200"/>
        <w:rPr>
          <w:rFonts w:hint="eastAsia" w:ascii="宋体" w:hAnsi="宋体" w:eastAsia="宋体" w:cs="Times New Roman"/>
          <w:color w:val="000000"/>
          <w:szCs w:val="21"/>
          <w:highlight w:val="none"/>
          <w:lang w:val="en-US" w:eastAsia="zh-CN"/>
        </w:rPr>
      </w:pPr>
    </w:p>
    <w:sectPr>
      <w:headerReference r:id="rId1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0-17T17:08:20Z" w:initials="A">
    <w:p w14:paraId="534F3FC6">
      <w:pPr>
        <w:pStyle w:val="17"/>
        <w:rPr>
          <w:rFonts w:hint="eastAsia" w:eastAsia="宋体"/>
          <w:lang w:eastAsia="zh-CN"/>
        </w:rPr>
      </w:pPr>
      <w:r>
        <w:rPr>
          <w:rFonts w:hint="eastAsia"/>
          <w:lang w:eastAsia="zh-CN"/>
        </w:rPr>
        <w:t>更正前：个</w:t>
      </w:r>
    </w:p>
  </w:comment>
  <w:comment w:id="1" w:author="Administrator" w:date="2024-10-17T17:08:47Z" w:initials="A">
    <w:p w14:paraId="43FC5FE6">
      <w:pPr>
        <w:pStyle w:val="17"/>
        <w:rPr>
          <w:rFonts w:hint="eastAsia" w:eastAsia="宋体"/>
          <w:lang w:eastAsia="zh-CN"/>
        </w:rPr>
      </w:pPr>
      <w:r>
        <w:rPr>
          <w:rFonts w:hint="eastAsia"/>
          <w:lang w:eastAsia="zh-CN"/>
        </w:rPr>
        <w:t>更正前：</w:t>
      </w:r>
      <w:r>
        <w:rPr>
          <w:rFonts w:hint="eastAsia" w:ascii="宋体" w:hAnsi="宋体" w:eastAsia="宋体" w:cs="宋体"/>
          <w:i w:val="0"/>
          <w:iCs w:val="0"/>
          <w:color w:val="000000"/>
          <w:kern w:val="0"/>
          <w:sz w:val="20"/>
          <w:szCs w:val="20"/>
          <w:highlight w:val="none"/>
          <w:u w:val="none"/>
          <w:lang w:val="en-US" w:eastAsia="zh-CN" w:bidi="ar"/>
        </w:rPr>
        <w:t>2000</w:t>
      </w:r>
      <w:bookmarkStart w:id="43" w:name="_GoBack"/>
      <w:bookmarkEnd w:id="4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4F3FC6" w15:done="0"/>
  <w15:commentEx w15:paraId="43FC5F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6DB56FE-0BA7-46EF-8A43-91855D9AACE6}"/>
  </w:font>
  <w:font w:name="Arial">
    <w:panose1 w:val="020B0604020202020204"/>
    <w:charset w:val="01"/>
    <w:family w:val="swiss"/>
    <w:pitch w:val="default"/>
    <w:sig w:usb0="E0002AFF" w:usb1="C0007843" w:usb2="00000009" w:usb3="00000000" w:csb0="400001FF" w:csb1="FFFF0000"/>
    <w:embedRegular r:id="rId2" w:fontKey="{646F7B2E-12A3-4130-AEBC-E2D4F07F87D8}"/>
  </w:font>
  <w:font w:name="黑体">
    <w:panose1 w:val="02010609060101010101"/>
    <w:charset w:val="86"/>
    <w:family w:val="auto"/>
    <w:pitch w:val="default"/>
    <w:sig w:usb0="800002BF" w:usb1="38CF7CFA" w:usb2="00000016" w:usb3="00000000" w:csb0="00040001" w:csb1="00000000"/>
    <w:embedRegular r:id="rId3" w:fontKey="{5FD0E29A-F800-41E6-9019-38904B872323}"/>
  </w:font>
  <w:font w:name="Courier New">
    <w:panose1 w:val="02070309020205020404"/>
    <w:charset w:val="01"/>
    <w:family w:val="modern"/>
    <w:pitch w:val="default"/>
    <w:sig w:usb0="E0002AFF" w:usb1="C0007843" w:usb2="00000009" w:usb3="00000000" w:csb0="400001FF" w:csb1="FFFF0000"/>
    <w:embedRegular r:id="rId4" w:fontKey="{250348F5-AEB9-44E0-A0DE-F20039427FA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5" w:fontKey="{2914B3B7-B6EF-4911-881D-A581DF6F03CA}"/>
  </w:font>
  <w:font w:name="仿宋_GB2312">
    <w:panose1 w:val="02010609030101010101"/>
    <w:charset w:val="86"/>
    <w:family w:val="modern"/>
    <w:pitch w:val="default"/>
    <w:sig w:usb0="00000001" w:usb1="080E0000" w:usb2="00000000" w:usb3="00000000" w:csb0="00040000" w:csb1="00000000"/>
    <w:embedRegular r:id="rId6" w:fontKey="{7FC82908-2090-4319-BF70-30501F69D8F5}"/>
  </w:font>
  <w:font w:name="楷体_GB2312">
    <w:panose1 w:val="02010609030101010101"/>
    <w:charset w:val="86"/>
    <w:family w:val="modern"/>
    <w:pitch w:val="default"/>
    <w:sig w:usb0="00000001" w:usb1="080E0000" w:usb2="00000000" w:usb3="00000000" w:csb0="00040000" w:csb1="00000000"/>
    <w:embedRegular r:id="rId7" w:fontKey="{8DFF4E3A-2276-4312-8D21-09F2350B1C22}"/>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Arail">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00" w:usb3="00000000" w:csb0="00000000" w:csb1="00000000"/>
  </w:font>
  <w:font w:name="华文楷体">
    <w:panose1 w:val="02010600040101010101"/>
    <w:charset w:val="86"/>
    <w:family w:val="auto"/>
    <w:pitch w:val="default"/>
    <w:sig w:usb0="00000000" w:usb1="00000000" w:usb2="00000000" w:usb3="00000000" w:csb0="00000000" w:csb1="00000000"/>
    <w:embedRegular r:id="rId8" w:fontKey="{E376269E-DCFF-4D68-BDB4-9D502BF6CD5C}"/>
  </w:font>
  <w:font w:name="华文中宋">
    <w:panose1 w:val="02010600040101010101"/>
    <w:charset w:val="86"/>
    <w:family w:val="auto"/>
    <w:pitch w:val="default"/>
    <w:sig w:usb0="00000000" w:usb1="00000000" w:usb2="00000000" w:usb3="00000000" w:csb0="00000000" w:csb1="00000000"/>
    <w:embedRegular r:id="rId9" w:fontKey="{1DBEC608-7AD0-4355-97C6-FE734AB7E3DD}"/>
  </w:font>
  <w:font w:name="汉仪书宋二S">
    <w:altName w:val="宋体"/>
    <w:panose1 w:val="00000000000000000000"/>
    <w:charset w:val="00"/>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embedRegular r:id="rId10" w:fontKey="{041BFD7F-B99C-4630-B12E-94FB6C42AD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180" w:hanging="180" w:hangingChars="100"/>
      <w:jc w:val="center"/>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wps:txbx>
                    <wps:bodyPr wrap="none" lIns="0" tIns="0" rIns="0" bIns="0">
                      <a:spAutoFit/>
                    </wps:bodyPr>
                  </wps:wsp>
                </a:graphicData>
              </a:graphic>
            </wp:anchor>
          </w:drawing>
        </mc:Choice>
        <mc:Fallback>
          <w:pict>
            <v:shape id="文本框 51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POu&#10;5sKyAQAATAMAAA4AAAAAAAAAAQAgAAAAIgEAAGRycy9lMm9Eb2MueG1sUEsFBgAAAAAGAAYAWQEA&#10;AEYFAAAAAA==&#10;">
              <v:fill on="f" focussize="0,0"/>
              <v:stroke on="f" weight="1.25pt"/>
              <v:imagedata o:title=""/>
              <o:lock v:ext="edit" aspectratio="f"/>
              <v:textbox inset="0mm,0mm,0mm,0mm" style="mso-fit-shape-to-text:t;">
                <w:txbxContent>
                  <w:p>
                    <w:pPr>
                      <w:pStyle w:val="30"/>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JuDYibQBAABMAwAADgAAAAAAAAABACAAAAAiAQAAZHJzL2Uyb0RvYy54bWxQSwUGAAAAAAYABgBZ&#10;AQAASAUAAAAA&#10;">
              <v:fill on="f" focussize="0,0"/>
              <v:stroke on="f" weight="1.25pt"/>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677"/>
        <w:tab w:val="clear" w:pos="4153"/>
      </w:tabs>
      <w:ind w:right="-6"/>
      <w:rPr>
        <w:rFonts w:ascii="仿宋_GB2312" w:eastAsia="仿宋_GB2312"/>
        <w:b/>
        <w: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FOBlTrQBAABMAwAADgAAAAAAAAABACAAAAAiAQAAZHJzL2Uyb0RvYy54bWxQSwUGAAAAAAYABgBZ&#10;AQAASAUAAAAA&#10;">
              <v:fill on="f" focussize="0,0"/>
              <v:stroke on="f" weight="1.25pt"/>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pgkvT&#10;AAAABQEAAA8AAAAAAAAAAQAgAAAAIgAAAGRycy9kb3ducmV2LnhtbFBLAQIUABQAAAAIAIdO4kAu&#10;uXDTswEAAEwDAAAOAAAAAAAAAAEAIAAAACIBAABkcnMvZTJvRG9jLnhtbFBLBQYAAAAABgAGAFkB&#10;AABHBQAAAAA=&#10;">
              <v:fill on="f" focussize="0,0"/>
              <v:stroke on="f" weight="1.25pt"/>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6"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6"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C52C7"/>
    <w:multiLevelType w:val="singleLevel"/>
    <w:tmpl w:val="883C52C7"/>
    <w:lvl w:ilvl="0" w:tentative="0">
      <w:start w:val="5"/>
      <w:numFmt w:val="chineseCounting"/>
      <w:suff w:val="space"/>
      <w:lvlText w:val="第%1章"/>
      <w:lvlJc w:val="left"/>
      <w:rPr>
        <w:rFonts w:hint="eastAsia"/>
      </w:rPr>
    </w:lvl>
  </w:abstractNum>
  <w:abstractNum w:abstractNumId="1">
    <w:nsid w:val="9D750961"/>
    <w:multiLevelType w:val="singleLevel"/>
    <w:tmpl w:val="9D750961"/>
    <w:lvl w:ilvl="0" w:tentative="0">
      <w:start w:val="1"/>
      <w:numFmt w:val="decimal"/>
      <w:lvlText w:val="%1)"/>
      <w:lvlJc w:val="left"/>
      <w:pPr>
        <w:ind w:left="425" w:hanging="425"/>
      </w:pPr>
      <w:rPr>
        <w:rFonts w:hint="default"/>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6ED2771"/>
    <w:multiLevelType w:val="singleLevel"/>
    <w:tmpl w:val="E6ED2771"/>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24E409BB"/>
    <w:multiLevelType w:val="multilevel"/>
    <w:tmpl w:val="24E409BB"/>
    <w:lvl w:ilvl="0" w:tentative="0">
      <w:start w:val="1"/>
      <w:numFmt w:val="decimal"/>
      <w:pStyle w:val="7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89"/>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1">
    <w:nsid w:val="395E470C"/>
    <w:multiLevelType w:val="singleLevel"/>
    <w:tmpl w:val="395E470C"/>
    <w:lvl w:ilvl="0" w:tentative="0">
      <w:start w:val="1"/>
      <w:numFmt w:val="decimal"/>
      <w:suff w:val="nothing"/>
      <w:lvlText w:val="%1、"/>
      <w:lvlJc w:val="left"/>
    </w:lvl>
  </w:abstractNum>
  <w:abstractNum w:abstractNumId="12">
    <w:nsid w:val="46987AA2"/>
    <w:multiLevelType w:val="multilevel"/>
    <w:tmpl w:val="46987AA2"/>
    <w:lvl w:ilvl="0" w:tentative="0">
      <w:start w:val="1"/>
      <w:numFmt w:val="decimal"/>
      <w:pStyle w:val="15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69552D7"/>
    <w:multiLevelType w:val="singleLevel"/>
    <w:tmpl w:val="569552D7"/>
    <w:lvl w:ilvl="0" w:tentative="0">
      <w:start w:val="1"/>
      <w:numFmt w:val="decimal"/>
      <w:suff w:val="nothing"/>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9"/>
  </w:num>
  <w:num w:numId="2">
    <w:abstractNumId w:val="12"/>
  </w:num>
  <w:num w:numId="3">
    <w:abstractNumId w:val="10"/>
  </w:num>
  <w:num w:numId="4">
    <w:abstractNumId w:val="7"/>
  </w:num>
  <w:num w:numId="5">
    <w:abstractNumId w:val="11"/>
  </w:num>
  <w:num w:numId="6">
    <w:abstractNumId w:val="14"/>
  </w:num>
  <w:num w:numId="7">
    <w:abstractNumId w:val="3"/>
  </w:num>
  <w:num w:numId="8">
    <w:abstractNumId w:val="8"/>
  </w:num>
  <w:num w:numId="9">
    <w:abstractNumId w:val="5"/>
  </w:num>
  <w:num w:numId="10">
    <w:abstractNumId w:val="4"/>
  </w:num>
  <w:num w:numId="11">
    <w:abstractNumId w:val="2"/>
  </w:num>
  <w:num w:numId="12">
    <w:abstractNumId w:val="6"/>
  </w:num>
  <w:num w:numId="13">
    <w:abstractNumId w:val="0"/>
  </w:num>
  <w:num w:numId="14">
    <w:abstractNumId w:val="1"/>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GE2ZTI0MDUyMDYzMmFmMmNlNDdlOTlmOGRhOTQifQ=="/>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0AF0"/>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31F"/>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5760"/>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9E4"/>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9DA"/>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4F71"/>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134A"/>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3A4"/>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67FCA"/>
    <w:rsid w:val="00670478"/>
    <w:rsid w:val="0067064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5E3"/>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670"/>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17DF2"/>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3E24"/>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8E5"/>
    <w:rsid w:val="00BB6AB9"/>
    <w:rsid w:val="00BB6CC3"/>
    <w:rsid w:val="00BB6D97"/>
    <w:rsid w:val="00BB701E"/>
    <w:rsid w:val="00BB72A4"/>
    <w:rsid w:val="00BB7A98"/>
    <w:rsid w:val="00BB7AE4"/>
    <w:rsid w:val="00BB7E92"/>
    <w:rsid w:val="00BC0E1B"/>
    <w:rsid w:val="00BC0F72"/>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0121D"/>
    <w:rsid w:val="010A06C2"/>
    <w:rsid w:val="010C5A31"/>
    <w:rsid w:val="011078C7"/>
    <w:rsid w:val="01374999"/>
    <w:rsid w:val="0156739D"/>
    <w:rsid w:val="01EB2055"/>
    <w:rsid w:val="02027044"/>
    <w:rsid w:val="0225344D"/>
    <w:rsid w:val="022B3402"/>
    <w:rsid w:val="026833DE"/>
    <w:rsid w:val="026C25ED"/>
    <w:rsid w:val="029B7EA2"/>
    <w:rsid w:val="02B27B76"/>
    <w:rsid w:val="02B95056"/>
    <w:rsid w:val="02F02A6C"/>
    <w:rsid w:val="02F50EF8"/>
    <w:rsid w:val="030D0DC8"/>
    <w:rsid w:val="03105481"/>
    <w:rsid w:val="031A1660"/>
    <w:rsid w:val="031C7316"/>
    <w:rsid w:val="03492409"/>
    <w:rsid w:val="034C7D17"/>
    <w:rsid w:val="034F0AEC"/>
    <w:rsid w:val="037A64E2"/>
    <w:rsid w:val="039362CF"/>
    <w:rsid w:val="03A44FE3"/>
    <w:rsid w:val="03B218ED"/>
    <w:rsid w:val="03CC366A"/>
    <w:rsid w:val="03E93513"/>
    <w:rsid w:val="03F82FC0"/>
    <w:rsid w:val="03F920AC"/>
    <w:rsid w:val="0404740B"/>
    <w:rsid w:val="040D28FD"/>
    <w:rsid w:val="04323981"/>
    <w:rsid w:val="043851AC"/>
    <w:rsid w:val="043869A1"/>
    <w:rsid w:val="043E78BF"/>
    <w:rsid w:val="0454284E"/>
    <w:rsid w:val="045D0679"/>
    <w:rsid w:val="04674227"/>
    <w:rsid w:val="047102F1"/>
    <w:rsid w:val="047C10E8"/>
    <w:rsid w:val="048512CB"/>
    <w:rsid w:val="04E424E1"/>
    <w:rsid w:val="04F32E5C"/>
    <w:rsid w:val="04FF2D6E"/>
    <w:rsid w:val="0514407E"/>
    <w:rsid w:val="05161218"/>
    <w:rsid w:val="0523234C"/>
    <w:rsid w:val="055B7851"/>
    <w:rsid w:val="05676167"/>
    <w:rsid w:val="0579124F"/>
    <w:rsid w:val="058C407A"/>
    <w:rsid w:val="05B15E0C"/>
    <w:rsid w:val="05C2270C"/>
    <w:rsid w:val="06087720"/>
    <w:rsid w:val="060E4295"/>
    <w:rsid w:val="060F21B4"/>
    <w:rsid w:val="06440200"/>
    <w:rsid w:val="065A06BB"/>
    <w:rsid w:val="066606B5"/>
    <w:rsid w:val="068F0E79"/>
    <w:rsid w:val="0698589F"/>
    <w:rsid w:val="069D1A8E"/>
    <w:rsid w:val="069E6B28"/>
    <w:rsid w:val="06AA5A15"/>
    <w:rsid w:val="06B47275"/>
    <w:rsid w:val="06BD5DFB"/>
    <w:rsid w:val="06C76C7A"/>
    <w:rsid w:val="06D1503C"/>
    <w:rsid w:val="06D227CF"/>
    <w:rsid w:val="06F959BE"/>
    <w:rsid w:val="07012351"/>
    <w:rsid w:val="07051CE9"/>
    <w:rsid w:val="07136BF8"/>
    <w:rsid w:val="071F6359"/>
    <w:rsid w:val="0745760B"/>
    <w:rsid w:val="074B0FB1"/>
    <w:rsid w:val="076E14AC"/>
    <w:rsid w:val="07866291"/>
    <w:rsid w:val="07A83B64"/>
    <w:rsid w:val="07B91022"/>
    <w:rsid w:val="07BF6290"/>
    <w:rsid w:val="07C50BC8"/>
    <w:rsid w:val="07CA07CF"/>
    <w:rsid w:val="07ED4A4C"/>
    <w:rsid w:val="07F778D2"/>
    <w:rsid w:val="080121A1"/>
    <w:rsid w:val="08072AE6"/>
    <w:rsid w:val="0810254D"/>
    <w:rsid w:val="08341DE6"/>
    <w:rsid w:val="085E6148"/>
    <w:rsid w:val="086B4756"/>
    <w:rsid w:val="08943887"/>
    <w:rsid w:val="08B56EC4"/>
    <w:rsid w:val="08EF3E6E"/>
    <w:rsid w:val="08F07771"/>
    <w:rsid w:val="08FE4555"/>
    <w:rsid w:val="08FF26FB"/>
    <w:rsid w:val="090226A5"/>
    <w:rsid w:val="091C22AF"/>
    <w:rsid w:val="091E65A7"/>
    <w:rsid w:val="092657E2"/>
    <w:rsid w:val="093D2DCA"/>
    <w:rsid w:val="094B5396"/>
    <w:rsid w:val="09770B79"/>
    <w:rsid w:val="098D613B"/>
    <w:rsid w:val="098D722C"/>
    <w:rsid w:val="099C54F8"/>
    <w:rsid w:val="09A11861"/>
    <w:rsid w:val="09A20317"/>
    <w:rsid w:val="09A66DDF"/>
    <w:rsid w:val="09A84F4C"/>
    <w:rsid w:val="09B54319"/>
    <w:rsid w:val="09F21854"/>
    <w:rsid w:val="0A1806FB"/>
    <w:rsid w:val="0A31473A"/>
    <w:rsid w:val="0A3B5C46"/>
    <w:rsid w:val="0A615BA7"/>
    <w:rsid w:val="0A6D20F4"/>
    <w:rsid w:val="0ABF749C"/>
    <w:rsid w:val="0AD41965"/>
    <w:rsid w:val="0AD54E8D"/>
    <w:rsid w:val="0ADC1249"/>
    <w:rsid w:val="0AE10175"/>
    <w:rsid w:val="0AE633FE"/>
    <w:rsid w:val="0AEA69B2"/>
    <w:rsid w:val="0AEC0CC2"/>
    <w:rsid w:val="0AFF78B9"/>
    <w:rsid w:val="0B107765"/>
    <w:rsid w:val="0B116753"/>
    <w:rsid w:val="0B2076F7"/>
    <w:rsid w:val="0B3444FE"/>
    <w:rsid w:val="0B4565BF"/>
    <w:rsid w:val="0B474D69"/>
    <w:rsid w:val="0B5952AE"/>
    <w:rsid w:val="0B602A5E"/>
    <w:rsid w:val="0B6647F5"/>
    <w:rsid w:val="0B6D0673"/>
    <w:rsid w:val="0B8D64CA"/>
    <w:rsid w:val="0B972349"/>
    <w:rsid w:val="0BD22024"/>
    <w:rsid w:val="0BD46710"/>
    <w:rsid w:val="0BD55101"/>
    <w:rsid w:val="0BEB7903"/>
    <w:rsid w:val="0C042B74"/>
    <w:rsid w:val="0C231F55"/>
    <w:rsid w:val="0C233A9D"/>
    <w:rsid w:val="0C28640C"/>
    <w:rsid w:val="0C3433EF"/>
    <w:rsid w:val="0C380851"/>
    <w:rsid w:val="0C3C5271"/>
    <w:rsid w:val="0C4560CD"/>
    <w:rsid w:val="0C493EDF"/>
    <w:rsid w:val="0C6B4C09"/>
    <w:rsid w:val="0C850278"/>
    <w:rsid w:val="0C850B06"/>
    <w:rsid w:val="0C87019E"/>
    <w:rsid w:val="0C9771CA"/>
    <w:rsid w:val="0CA1283B"/>
    <w:rsid w:val="0CA148D6"/>
    <w:rsid w:val="0CB67F0A"/>
    <w:rsid w:val="0CCE2319"/>
    <w:rsid w:val="0CD36540"/>
    <w:rsid w:val="0CDB2AD7"/>
    <w:rsid w:val="0D0129A0"/>
    <w:rsid w:val="0D0E6815"/>
    <w:rsid w:val="0D107BB4"/>
    <w:rsid w:val="0D1268DA"/>
    <w:rsid w:val="0D1E479F"/>
    <w:rsid w:val="0D2F61FF"/>
    <w:rsid w:val="0D3D0944"/>
    <w:rsid w:val="0D3F1975"/>
    <w:rsid w:val="0D4F7F66"/>
    <w:rsid w:val="0D554754"/>
    <w:rsid w:val="0D69521C"/>
    <w:rsid w:val="0D7B28D2"/>
    <w:rsid w:val="0DA1438C"/>
    <w:rsid w:val="0DEB3353"/>
    <w:rsid w:val="0E067D91"/>
    <w:rsid w:val="0E0F50C2"/>
    <w:rsid w:val="0E184FF9"/>
    <w:rsid w:val="0E2563B0"/>
    <w:rsid w:val="0E673CAF"/>
    <w:rsid w:val="0E6E4E48"/>
    <w:rsid w:val="0E9B4C0B"/>
    <w:rsid w:val="0EA155CB"/>
    <w:rsid w:val="0EC75F9B"/>
    <w:rsid w:val="0EE338A7"/>
    <w:rsid w:val="0EE91E83"/>
    <w:rsid w:val="0F1640D0"/>
    <w:rsid w:val="0F212678"/>
    <w:rsid w:val="0F270BDB"/>
    <w:rsid w:val="0F2D7E66"/>
    <w:rsid w:val="0F576789"/>
    <w:rsid w:val="0F731D7F"/>
    <w:rsid w:val="0F791782"/>
    <w:rsid w:val="0F7C2A87"/>
    <w:rsid w:val="0F811194"/>
    <w:rsid w:val="0FA34AF5"/>
    <w:rsid w:val="0FD2577F"/>
    <w:rsid w:val="0FDE18AD"/>
    <w:rsid w:val="0FDE5D62"/>
    <w:rsid w:val="0FED109F"/>
    <w:rsid w:val="10092C16"/>
    <w:rsid w:val="100937A4"/>
    <w:rsid w:val="100D4DC0"/>
    <w:rsid w:val="103233B6"/>
    <w:rsid w:val="103A47F1"/>
    <w:rsid w:val="10440C5D"/>
    <w:rsid w:val="1045133B"/>
    <w:rsid w:val="104706AA"/>
    <w:rsid w:val="10593979"/>
    <w:rsid w:val="10633BB0"/>
    <w:rsid w:val="106A486C"/>
    <w:rsid w:val="1071549B"/>
    <w:rsid w:val="10775A37"/>
    <w:rsid w:val="10A02B30"/>
    <w:rsid w:val="10A9530F"/>
    <w:rsid w:val="10BA0625"/>
    <w:rsid w:val="10BF304F"/>
    <w:rsid w:val="10C20BDE"/>
    <w:rsid w:val="10E32932"/>
    <w:rsid w:val="10E8616A"/>
    <w:rsid w:val="10F540EB"/>
    <w:rsid w:val="113136FB"/>
    <w:rsid w:val="1131673B"/>
    <w:rsid w:val="114E499C"/>
    <w:rsid w:val="115807C9"/>
    <w:rsid w:val="11651817"/>
    <w:rsid w:val="11793BD7"/>
    <w:rsid w:val="11910393"/>
    <w:rsid w:val="1197535B"/>
    <w:rsid w:val="11977440"/>
    <w:rsid w:val="119F330A"/>
    <w:rsid w:val="11A35DB3"/>
    <w:rsid w:val="11A643DC"/>
    <w:rsid w:val="11B33C8B"/>
    <w:rsid w:val="11B67995"/>
    <w:rsid w:val="11C44279"/>
    <w:rsid w:val="11C97ED1"/>
    <w:rsid w:val="11D05DBD"/>
    <w:rsid w:val="11D94D1F"/>
    <w:rsid w:val="11E36682"/>
    <w:rsid w:val="11E51D82"/>
    <w:rsid w:val="11EE0C35"/>
    <w:rsid w:val="1201388A"/>
    <w:rsid w:val="12310AA0"/>
    <w:rsid w:val="12755493"/>
    <w:rsid w:val="12767E9C"/>
    <w:rsid w:val="12A46C23"/>
    <w:rsid w:val="12A62706"/>
    <w:rsid w:val="12C55F16"/>
    <w:rsid w:val="12CB4527"/>
    <w:rsid w:val="1304359F"/>
    <w:rsid w:val="13106C3E"/>
    <w:rsid w:val="133C4BDF"/>
    <w:rsid w:val="134858BF"/>
    <w:rsid w:val="135468A6"/>
    <w:rsid w:val="136B6282"/>
    <w:rsid w:val="137E0AD5"/>
    <w:rsid w:val="13C77038"/>
    <w:rsid w:val="13DF4D92"/>
    <w:rsid w:val="13E17B66"/>
    <w:rsid w:val="13E64D83"/>
    <w:rsid w:val="13F07B51"/>
    <w:rsid w:val="13FC6C2B"/>
    <w:rsid w:val="1400737E"/>
    <w:rsid w:val="14016523"/>
    <w:rsid w:val="14045069"/>
    <w:rsid w:val="140E3EE6"/>
    <w:rsid w:val="142231E2"/>
    <w:rsid w:val="14244048"/>
    <w:rsid w:val="1426378D"/>
    <w:rsid w:val="142B6A9A"/>
    <w:rsid w:val="143C2AFF"/>
    <w:rsid w:val="144D2DA8"/>
    <w:rsid w:val="144F6B5A"/>
    <w:rsid w:val="145C72EC"/>
    <w:rsid w:val="147132CB"/>
    <w:rsid w:val="14965417"/>
    <w:rsid w:val="149F20FA"/>
    <w:rsid w:val="14A00931"/>
    <w:rsid w:val="14B20F69"/>
    <w:rsid w:val="14C307F1"/>
    <w:rsid w:val="14C66CB8"/>
    <w:rsid w:val="14C97064"/>
    <w:rsid w:val="14CB6FC4"/>
    <w:rsid w:val="14D373DB"/>
    <w:rsid w:val="151013FA"/>
    <w:rsid w:val="15186C7F"/>
    <w:rsid w:val="151E53EE"/>
    <w:rsid w:val="153A5F2D"/>
    <w:rsid w:val="155F54D6"/>
    <w:rsid w:val="1588061B"/>
    <w:rsid w:val="158846B5"/>
    <w:rsid w:val="1598292C"/>
    <w:rsid w:val="15B57812"/>
    <w:rsid w:val="15B679C4"/>
    <w:rsid w:val="15C34826"/>
    <w:rsid w:val="15D01DD3"/>
    <w:rsid w:val="15D64F58"/>
    <w:rsid w:val="15F84ADF"/>
    <w:rsid w:val="16060668"/>
    <w:rsid w:val="16160871"/>
    <w:rsid w:val="161E60BA"/>
    <w:rsid w:val="162B0FD3"/>
    <w:rsid w:val="163043AC"/>
    <w:rsid w:val="16391F0E"/>
    <w:rsid w:val="165805A8"/>
    <w:rsid w:val="167A2101"/>
    <w:rsid w:val="169125A9"/>
    <w:rsid w:val="16A24CA6"/>
    <w:rsid w:val="173E31E7"/>
    <w:rsid w:val="1763208E"/>
    <w:rsid w:val="17B317DF"/>
    <w:rsid w:val="17B43F26"/>
    <w:rsid w:val="17B649CE"/>
    <w:rsid w:val="17C80F67"/>
    <w:rsid w:val="17F6303F"/>
    <w:rsid w:val="180A4C18"/>
    <w:rsid w:val="1824593D"/>
    <w:rsid w:val="1829377D"/>
    <w:rsid w:val="18480562"/>
    <w:rsid w:val="184A2F3D"/>
    <w:rsid w:val="18552E0A"/>
    <w:rsid w:val="18657D9B"/>
    <w:rsid w:val="18697D44"/>
    <w:rsid w:val="18804B27"/>
    <w:rsid w:val="18AC1764"/>
    <w:rsid w:val="18B758A9"/>
    <w:rsid w:val="18C64FE3"/>
    <w:rsid w:val="18CE61BD"/>
    <w:rsid w:val="18DD40DB"/>
    <w:rsid w:val="18DE6F13"/>
    <w:rsid w:val="18DF52AB"/>
    <w:rsid w:val="18FB6712"/>
    <w:rsid w:val="1909322E"/>
    <w:rsid w:val="19124B9E"/>
    <w:rsid w:val="192A6574"/>
    <w:rsid w:val="19436B43"/>
    <w:rsid w:val="195D6EAA"/>
    <w:rsid w:val="197A146C"/>
    <w:rsid w:val="198E123C"/>
    <w:rsid w:val="19A22C78"/>
    <w:rsid w:val="19E938F2"/>
    <w:rsid w:val="19F87038"/>
    <w:rsid w:val="1A0221B6"/>
    <w:rsid w:val="1A1731E9"/>
    <w:rsid w:val="1A2244FD"/>
    <w:rsid w:val="1A28559E"/>
    <w:rsid w:val="1A43621A"/>
    <w:rsid w:val="1A46462D"/>
    <w:rsid w:val="1A5328A6"/>
    <w:rsid w:val="1A5D48B2"/>
    <w:rsid w:val="1AA51E34"/>
    <w:rsid w:val="1AD86BFF"/>
    <w:rsid w:val="1B18764C"/>
    <w:rsid w:val="1B866CAC"/>
    <w:rsid w:val="1B8C380D"/>
    <w:rsid w:val="1BCC2DE5"/>
    <w:rsid w:val="1BF26EF9"/>
    <w:rsid w:val="1BF91AF2"/>
    <w:rsid w:val="1BFB31F6"/>
    <w:rsid w:val="1C097901"/>
    <w:rsid w:val="1C12601D"/>
    <w:rsid w:val="1C156B0E"/>
    <w:rsid w:val="1C173894"/>
    <w:rsid w:val="1C1D7ED3"/>
    <w:rsid w:val="1C273B5F"/>
    <w:rsid w:val="1C316EC5"/>
    <w:rsid w:val="1C4B47C0"/>
    <w:rsid w:val="1C4F4F2E"/>
    <w:rsid w:val="1CAA1904"/>
    <w:rsid w:val="1CD123BD"/>
    <w:rsid w:val="1CEF36DB"/>
    <w:rsid w:val="1D074838"/>
    <w:rsid w:val="1D087CBD"/>
    <w:rsid w:val="1D1E5931"/>
    <w:rsid w:val="1D2C2A37"/>
    <w:rsid w:val="1D2E2452"/>
    <w:rsid w:val="1D3615E0"/>
    <w:rsid w:val="1D497F91"/>
    <w:rsid w:val="1D8212DB"/>
    <w:rsid w:val="1DA64C20"/>
    <w:rsid w:val="1DBF33B9"/>
    <w:rsid w:val="1E0F6846"/>
    <w:rsid w:val="1E183F7D"/>
    <w:rsid w:val="1E256945"/>
    <w:rsid w:val="1E265F76"/>
    <w:rsid w:val="1E5C7C81"/>
    <w:rsid w:val="1E672BF1"/>
    <w:rsid w:val="1E6E4079"/>
    <w:rsid w:val="1E8B10C8"/>
    <w:rsid w:val="1E980487"/>
    <w:rsid w:val="1EC71AC1"/>
    <w:rsid w:val="1EEF7AB1"/>
    <w:rsid w:val="1EF27915"/>
    <w:rsid w:val="1F44009F"/>
    <w:rsid w:val="1F5C0F91"/>
    <w:rsid w:val="1F6B6074"/>
    <w:rsid w:val="1FE81CE3"/>
    <w:rsid w:val="1FFF520E"/>
    <w:rsid w:val="200E7C9C"/>
    <w:rsid w:val="2039444E"/>
    <w:rsid w:val="203E38F2"/>
    <w:rsid w:val="205F74D9"/>
    <w:rsid w:val="20684975"/>
    <w:rsid w:val="206C0D0D"/>
    <w:rsid w:val="206C25F3"/>
    <w:rsid w:val="207C5644"/>
    <w:rsid w:val="209C715C"/>
    <w:rsid w:val="209D0D1F"/>
    <w:rsid w:val="20B229CF"/>
    <w:rsid w:val="20C056C0"/>
    <w:rsid w:val="20F621DE"/>
    <w:rsid w:val="20FC30CE"/>
    <w:rsid w:val="21107C5B"/>
    <w:rsid w:val="21287782"/>
    <w:rsid w:val="21446D4E"/>
    <w:rsid w:val="21627873"/>
    <w:rsid w:val="21663B4F"/>
    <w:rsid w:val="21792A9A"/>
    <w:rsid w:val="21837197"/>
    <w:rsid w:val="218E0668"/>
    <w:rsid w:val="219A2D05"/>
    <w:rsid w:val="21AC7197"/>
    <w:rsid w:val="21DC4975"/>
    <w:rsid w:val="21F17A7A"/>
    <w:rsid w:val="21F17FDE"/>
    <w:rsid w:val="21F915FF"/>
    <w:rsid w:val="222873D6"/>
    <w:rsid w:val="222A4808"/>
    <w:rsid w:val="225B679C"/>
    <w:rsid w:val="229C312B"/>
    <w:rsid w:val="22AD0A51"/>
    <w:rsid w:val="22B11F21"/>
    <w:rsid w:val="22BD1BBE"/>
    <w:rsid w:val="22FF5B90"/>
    <w:rsid w:val="230B23E3"/>
    <w:rsid w:val="233F657B"/>
    <w:rsid w:val="2359506F"/>
    <w:rsid w:val="2360139B"/>
    <w:rsid w:val="236A6209"/>
    <w:rsid w:val="2370574A"/>
    <w:rsid w:val="23731667"/>
    <w:rsid w:val="238C78DB"/>
    <w:rsid w:val="23A4414A"/>
    <w:rsid w:val="23AF41E6"/>
    <w:rsid w:val="23B56FA3"/>
    <w:rsid w:val="23B7221E"/>
    <w:rsid w:val="23D835E2"/>
    <w:rsid w:val="23DA134A"/>
    <w:rsid w:val="23EA45C7"/>
    <w:rsid w:val="23FB54AD"/>
    <w:rsid w:val="23FE5D0F"/>
    <w:rsid w:val="240C3A02"/>
    <w:rsid w:val="240D1129"/>
    <w:rsid w:val="24266775"/>
    <w:rsid w:val="2441583C"/>
    <w:rsid w:val="24456239"/>
    <w:rsid w:val="24620E1F"/>
    <w:rsid w:val="247359EA"/>
    <w:rsid w:val="249C5BA8"/>
    <w:rsid w:val="24A36A67"/>
    <w:rsid w:val="24D61270"/>
    <w:rsid w:val="24D765B0"/>
    <w:rsid w:val="24DD17A0"/>
    <w:rsid w:val="24E56460"/>
    <w:rsid w:val="24F24CF5"/>
    <w:rsid w:val="250739E9"/>
    <w:rsid w:val="250C24BD"/>
    <w:rsid w:val="252C0D36"/>
    <w:rsid w:val="25352B21"/>
    <w:rsid w:val="25493C7D"/>
    <w:rsid w:val="25650EC7"/>
    <w:rsid w:val="256D4C5A"/>
    <w:rsid w:val="25794E00"/>
    <w:rsid w:val="25974CB3"/>
    <w:rsid w:val="259F7409"/>
    <w:rsid w:val="25A71CF8"/>
    <w:rsid w:val="25AC6046"/>
    <w:rsid w:val="25C70F0A"/>
    <w:rsid w:val="25CE6C15"/>
    <w:rsid w:val="25D65F01"/>
    <w:rsid w:val="260610A5"/>
    <w:rsid w:val="26133EE0"/>
    <w:rsid w:val="261A1F06"/>
    <w:rsid w:val="26203A8A"/>
    <w:rsid w:val="26474848"/>
    <w:rsid w:val="265D7770"/>
    <w:rsid w:val="268607B1"/>
    <w:rsid w:val="26C966CB"/>
    <w:rsid w:val="26D162D0"/>
    <w:rsid w:val="26D835C6"/>
    <w:rsid w:val="26DE073C"/>
    <w:rsid w:val="26E40D8D"/>
    <w:rsid w:val="26EA689B"/>
    <w:rsid w:val="26ED063E"/>
    <w:rsid w:val="26EE4083"/>
    <w:rsid w:val="26FA478D"/>
    <w:rsid w:val="27092480"/>
    <w:rsid w:val="27280F23"/>
    <w:rsid w:val="27315EE1"/>
    <w:rsid w:val="273419E0"/>
    <w:rsid w:val="275F557D"/>
    <w:rsid w:val="27701D9E"/>
    <w:rsid w:val="279F0337"/>
    <w:rsid w:val="27CE5AD6"/>
    <w:rsid w:val="27E06EEF"/>
    <w:rsid w:val="28085B7D"/>
    <w:rsid w:val="281B03C4"/>
    <w:rsid w:val="282F49D2"/>
    <w:rsid w:val="288742BE"/>
    <w:rsid w:val="2890758D"/>
    <w:rsid w:val="28982F99"/>
    <w:rsid w:val="28A131A7"/>
    <w:rsid w:val="28AF3F9B"/>
    <w:rsid w:val="28B26037"/>
    <w:rsid w:val="28C05E75"/>
    <w:rsid w:val="28C50E13"/>
    <w:rsid w:val="28C54C0D"/>
    <w:rsid w:val="28D54AB4"/>
    <w:rsid w:val="28E261D5"/>
    <w:rsid w:val="28ED2D2E"/>
    <w:rsid w:val="28FE2E2A"/>
    <w:rsid w:val="29496228"/>
    <w:rsid w:val="295D61C1"/>
    <w:rsid w:val="296E110B"/>
    <w:rsid w:val="297A561D"/>
    <w:rsid w:val="298C2462"/>
    <w:rsid w:val="29994C34"/>
    <w:rsid w:val="29A21154"/>
    <w:rsid w:val="29AD2097"/>
    <w:rsid w:val="29AF0D67"/>
    <w:rsid w:val="29C9356B"/>
    <w:rsid w:val="29DF2197"/>
    <w:rsid w:val="29E25C86"/>
    <w:rsid w:val="29EA30DE"/>
    <w:rsid w:val="2A1101F3"/>
    <w:rsid w:val="2A1251F8"/>
    <w:rsid w:val="2A1F3198"/>
    <w:rsid w:val="2A3B2FE1"/>
    <w:rsid w:val="2A587767"/>
    <w:rsid w:val="2A686D4B"/>
    <w:rsid w:val="2A820D14"/>
    <w:rsid w:val="2A826EED"/>
    <w:rsid w:val="2A836C1D"/>
    <w:rsid w:val="2A845BDC"/>
    <w:rsid w:val="2A917F56"/>
    <w:rsid w:val="2A92148C"/>
    <w:rsid w:val="2A9F396E"/>
    <w:rsid w:val="2AA967A2"/>
    <w:rsid w:val="2AB96107"/>
    <w:rsid w:val="2AC11AAE"/>
    <w:rsid w:val="2ACF1CDE"/>
    <w:rsid w:val="2AE72F51"/>
    <w:rsid w:val="2B135780"/>
    <w:rsid w:val="2B296DC8"/>
    <w:rsid w:val="2B3037A3"/>
    <w:rsid w:val="2B5A2C7C"/>
    <w:rsid w:val="2B7C72ED"/>
    <w:rsid w:val="2B894FDF"/>
    <w:rsid w:val="2B9E72ED"/>
    <w:rsid w:val="2BA36AA1"/>
    <w:rsid w:val="2BA91F09"/>
    <w:rsid w:val="2BCF4DE2"/>
    <w:rsid w:val="2BDE7133"/>
    <w:rsid w:val="2BE53186"/>
    <w:rsid w:val="2BF4095A"/>
    <w:rsid w:val="2C3105E3"/>
    <w:rsid w:val="2C38077F"/>
    <w:rsid w:val="2C5A4A93"/>
    <w:rsid w:val="2C5E41DE"/>
    <w:rsid w:val="2C6650F6"/>
    <w:rsid w:val="2C7E26DD"/>
    <w:rsid w:val="2C871290"/>
    <w:rsid w:val="2C9666B5"/>
    <w:rsid w:val="2CA6179A"/>
    <w:rsid w:val="2CA7123F"/>
    <w:rsid w:val="2CB047AC"/>
    <w:rsid w:val="2CB53C8E"/>
    <w:rsid w:val="2CB75A97"/>
    <w:rsid w:val="2CDB5D69"/>
    <w:rsid w:val="2CED6387"/>
    <w:rsid w:val="2CFB2C7A"/>
    <w:rsid w:val="2D045273"/>
    <w:rsid w:val="2D4D13D7"/>
    <w:rsid w:val="2D66545A"/>
    <w:rsid w:val="2D77010C"/>
    <w:rsid w:val="2D7B0E76"/>
    <w:rsid w:val="2D8D2E08"/>
    <w:rsid w:val="2D985EA2"/>
    <w:rsid w:val="2DB355DC"/>
    <w:rsid w:val="2DD117A1"/>
    <w:rsid w:val="2DD76645"/>
    <w:rsid w:val="2DDE3FEB"/>
    <w:rsid w:val="2DF6381D"/>
    <w:rsid w:val="2E002782"/>
    <w:rsid w:val="2E0C76F0"/>
    <w:rsid w:val="2E28587E"/>
    <w:rsid w:val="2E3D6D4C"/>
    <w:rsid w:val="2E513149"/>
    <w:rsid w:val="2E514088"/>
    <w:rsid w:val="2E624259"/>
    <w:rsid w:val="2E831F40"/>
    <w:rsid w:val="2E8E49B8"/>
    <w:rsid w:val="2E8F0E6F"/>
    <w:rsid w:val="2EA014A9"/>
    <w:rsid w:val="2EAB103B"/>
    <w:rsid w:val="2EB15F6F"/>
    <w:rsid w:val="2ED65046"/>
    <w:rsid w:val="2EE10F5B"/>
    <w:rsid w:val="2F052EB6"/>
    <w:rsid w:val="2F0A271E"/>
    <w:rsid w:val="2F101F2F"/>
    <w:rsid w:val="2F10269B"/>
    <w:rsid w:val="2F2E07A5"/>
    <w:rsid w:val="2F355B4F"/>
    <w:rsid w:val="2F497843"/>
    <w:rsid w:val="2F5E40B2"/>
    <w:rsid w:val="2F643BAC"/>
    <w:rsid w:val="2F6D5E81"/>
    <w:rsid w:val="2F6F0265"/>
    <w:rsid w:val="2F7D2B07"/>
    <w:rsid w:val="2F940650"/>
    <w:rsid w:val="2F9F25B4"/>
    <w:rsid w:val="2FAF35CD"/>
    <w:rsid w:val="2FDA5B43"/>
    <w:rsid w:val="2FDE346C"/>
    <w:rsid w:val="2FE57299"/>
    <w:rsid w:val="2FEA1A4D"/>
    <w:rsid w:val="2FF37D41"/>
    <w:rsid w:val="2FFD2404"/>
    <w:rsid w:val="300761B5"/>
    <w:rsid w:val="30145257"/>
    <w:rsid w:val="304C79CF"/>
    <w:rsid w:val="305722BA"/>
    <w:rsid w:val="306E65E1"/>
    <w:rsid w:val="30711DCA"/>
    <w:rsid w:val="30714F60"/>
    <w:rsid w:val="30797770"/>
    <w:rsid w:val="3081071C"/>
    <w:rsid w:val="308D1DAF"/>
    <w:rsid w:val="30934AB9"/>
    <w:rsid w:val="309C27EF"/>
    <w:rsid w:val="30A042C3"/>
    <w:rsid w:val="30C1666C"/>
    <w:rsid w:val="30C2004B"/>
    <w:rsid w:val="30C45D4E"/>
    <w:rsid w:val="30C7479B"/>
    <w:rsid w:val="30D856E4"/>
    <w:rsid w:val="30DC375D"/>
    <w:rsid w:val="30DC45D9"/>
    <w:rsid w:val="30E13887"/>
    <w:rsid w:val="310A0DB1"/>
    <w:rsid w:val="312B4C65"/>
    <w:rsid w:val="312D6459"/>
    <w:rsid w:val="3138453F"/>
    <w:rsid w:val="3145042C"/>
    <w:rsid w:val="31497792"/>
    <w:rsid w:val="3150593A"/>
    <w:rsid w:val="31833605"/>
    <w:rsid w:val="31872810"/>
    <w:rsid w:val="31984145"/>
    <w:rsid w:val="319F1533"/>
    <w:rsid w:val="31A825E0"/>
    <w:rsid w:val="31AB79BD"/>
    <w:rsid w:val="31DD3C99"/>
    <w:rsid w:val="31E535E9"/>
    <w:rsid w:val="32002EBC"/>
    <w:rsid w:val="32081FB3"/>
    <w:rsid w:val="320D39F5"/>
    <w:rsid w:val="32162868"/>
    <w:rsid w:val="321C2A95"/>
    <w:rsid w:val="32255EF9"/>
    <w:rsid w:val="32274DD3"/>
    <w:rsid w:val="322E0AEA"/>
    <w:rsid w:val="32354BE5"/>
    <w:rsid w:val="32620A3E"/>
    <w:rsid w:val="326C0E83"/>
    <w:rsid w:val="326D1A82"/>
    <w:rsid w:val="327069F8"/>
    <w:rsid w:val="32914BA4"/>
    <w:rsid w:val="32923788"/>
    <w:rsid w:val="329A0A14"/>
    <w:rsid w:val="32B52611"/>
    <w:rsid w:val="32CF5E49"/>
    <w:rsid w:val="32CF5F60"/>
    <w:rsid w:val="32CF7846"/>
    <w:rsid w:val="32DA6624"/>
    <w:rsid w:val="32E0071A"/>
    <w:rsid w:val="32E12FEA"/>
    <w:rsid w:val="32FF629F"/>
    <w:rsid w:val="331314ED"/>
    <w:rsid w:val="331465A3"/>
    <w:rsid w:val="33156E95"/>
    <w:rsid w:val="33341186"/>
    <w:rsid w:val="33345F02"/>
    <w:rsid w:val="33416B88"/>
    <w:rsid w:val="33530283"/>
    <w:rsid w:val="335F150D"/>
    <w:rsid w:val="336A1D5B"/>
    <w:rsid w:val="339F4D72"/>
    <w:rsid w:val="33B455B4"/>
    <w:rsid w:val="33D57F7A"/>
    <w:rsid w:val="33EA5BD2"/>
    <w:rsid w:val="3401314D"/>
    <w:rsid w:val="342422C0"/>
    <w:rsid w:val="34296A63"/>
    <w:rsid w:val="34344FAE"/>
    <w:rsid w:val="34384482"/>
    <w:rsid w:val="343F25A8"/>
    <w:rsid w:val="344C2E2B"/>
    <w:rsid w:val="3464238B"/>
    <w:rsid w:val="347F68D3"/>
    <w:rsid w:val="34AE0588"/>
    <w:rsid w:val="34F01505"/>
    <w:rsid w:val="34F933AE"/>
    <w:rsid w:val="35002ABB"/>
    <w:rsid w:val="35045C63"/>
    <w:rsid w:val="351146C3"/>
    <w:rsid w:val="35163C4E"/>
    <w:rsid w:val="35172F96"/>
    <w:rsid w:val="351F7903"/>
    <w:rsid w:val="35254470"/>
    <w:rsid w:val="353E6B71"/>
    <w:rsid w:val="35531910"/>
    <w:rsid w:val="35577DD4"/>
    <w:rsid w:val="355A28E3"/>
    <w:rsid w:val="355F2018"/>
    <w:rsid w:val="35676ABD"/>
    <w:rsid w:val="356D67DA"/>
    <w:rsid w:val="358B2FCE"/>
    <w:rsid w:val="358B5193"/>
    <w:rsid w:val="358E07DF"/>
    <w:rsid w:val="35906375"/>
    <w:rsid w:val="359B2592"/>
    <w:rsid w:val="35A609B2"/>
    <w:rsid w:val="35AC2172"/>
    <w:rsid w:val="35AD693D"/>
    <w:rsid w:val="35B00755"/>
    <w:rsid w:val="35C773D6"/>
    <w:rsid w:val="35E4260B"/>
    <w:rsid w:val="36012FCA"/>
    <w:rsid w:val="362A5E03"/>
    <w:rsid w:val="362D624A"/>
    <w:rsid w:val="36407CAD"/>
    <w:rsid w:val="36575075"/>
    <w:rsid w:val="36626153"/>
    <w:rsid w:val="36646BB9"/>
    <w:rsid w:val="36672BAD"/>
    <w:rsid w:val="3699368D"/>
    <w:rsid w:val="369B3533"/>
    <w:rsid w:val="369E4B8A"/>
    <w:rsid w:val="36A81661"/>
    <w:rsid w:val="36B275B6"/>
    <w:rsid w:val="36BD484D"/>
    <w:rsid w:val="36C526B7"/>
    <w:rsid w:val="36E3525A"/>
    <w:rsid w:val="36E6438A"/>
    <w:rsid w:val="36E96EE2"/>
    <w:rsid w:val="36F92459"/>
    <w:rsid w:val="36FB33D8"/>
    <w:rsid w:val="36FB4F7F"/>
    <w:rsid w:val="36FC517F"/>
    <w:rsid w:val="37001569"/>
    <w:rsid w:val="370123CF"/>
    <w:rsid w:val="37052D23"/>
    <w:rsid w:val="3709699B"/>
    <w:rsid w:val="3717270E"/>
    <w:rsid w:val="37255C51"/>
    <w:rsid w:val="374C1A9B"/>
    <w:rsid w:val="37566593"/>
    <w:rsid w:val="3768214D"/>
    <w:rsid w:val="376B2052"/>
    <w:rsid w:val="378C3FC5"/>
    <w:rsid w:val="37931A55"/>
    <w:rsid w:val="37CC31C3"/>
    <w:rsid w:val="37E82428"/>
    <w:rsid w:val="37EB29D8"/>
    <w:rsid w:val="37F87429"/>
    <w:rsid w:val="37FB2BC4"/>
    <w:rsid w:val="38044311"/>
    <w:rsid w:val="381F2104"/>
    <w:rsid w:val="382864CB"/>
    <w:rsid w:val="383672B3"/>
    <w:rsid w:val="386A6BE4"/>
    <w:rsid w:val="387362B6"/>
    <w:rsid w:val="389F03C0"/>
    <w:rsid w:val="38AA38FF"/>
    <w:rsid w:val="38B224AB"/>
    <w:rsid w:val="38C721F5"/>
    <w:rsid w:val="38C74734"/>
    <w:rsid w:val="38C9005C"/>
    <w:rsid w:val="38CC72DA"/>
    <w:rsid w:val="38E46018"/>
    <w:rsid w:val="393548CC"/>
    <w:rsid w:val="394E3ED6"/>
    <w:rsid w:val="39684483"/>
    <w:rsid w:val="39684EB4"/>
    <w:rsid w:val="3995467B"/>
    <w:rsid w:val="39BA6B13"/>
    <w:rsid w:val="39BD2EB0"/>
    <w:rsid w:val="39E10297"/>
    <w:rsid w:val="39E3441A"/>
    <w:rsid w:val="3A122D27"/>
    <w:rsid w:val="3A667114"/>
    <w:rsid w:val="3A6D5E23"/>
    <w:rsid w:val="3A7206CF"/>
    <w:rsid w:val="3AA40553"/>
    <w:rsid w:val="3AA94ADF"/>
    <w:rsid w:val="3AB03232"/>
    <w:rsid w:val="3AB91CAA"/>
    <w:rsid w:val="3ACE31C4"/>
    <w:rsid w:val="3AD26B6E"/>
    <w:rsid w:val="3AE448A5"/>
    <w:rsid w:val="3AEB37DF"/>
    <w:rsid w:val="3AF845D9"/>
    <w:rsid w:val="3B090D0F"/>
    <w:rsid w:val="3B116417"/>
    <w:rsid w:val="3B2C087E"/>
    <w:rsid w:val="3B2C74EE"/>
    <w:rsid w:val="3B433C53"/>
    <w:rsid w:val="3B4723E0"/>
    <w:rsid w:val="3B5569F5"/>
    <w:rsid w:val="3B5B33C0"/>
    <w:rsid w:val="3B5D1DC7"/>
    <w:rsid w:val="3B5D2E0C"/>
    <w:rsid w:val="3B627E50"/>
    <w:rsid w:val="3B6D7A69"/>
    <w:rsid w:val="3B710EF3"/>
    <w:rsid w:val="3B7A06F2"/>
    <w:rsid w:val="3B8E376C"/>
    <w:rsid w:val="3BA37C08"/>
    <w:rsid w:val="3BA527DC"/>
    <w:rsid w:val="3BA70186"/>
    <w:rsid w:val="3BAD6B2E"/>
    <w:rsid w:val="3BC60A9D"/>
    <w:rsid w:val="3BD56517"/>
    <w:rsid w:val="3BF03019"/>
    <w:rsid w:val="3C215398"/>
    <w:rsid w:val="3C461E13"/>
    <w:rsid w:val="3C574A7F"/>
    <w:rsid w:val="3C70780D"/>
    <w:rsid w:val="3C732FC3"/>
    <w:rsid w:val="3CAC034C"/>
    <w:rsid w:val="3CBC6EBE"/>
    <w:rsid w:val="3CC2102C"/>
    <w:rsid w:val="3CD075B6"/>
    <w:rsid w:val="3CE47625"/>
    <w:rsid w:val="3CF31E2B"/>
    <w:rsid w:val="3CF6209C"/>
    <w:rsid w:val="3D0A74C7"/>
    <w:rsid w:val="3D2F63EE"/>
    <w:rsid w:val="3D3227A3"/>
    <w:rsid w:val="3D33200E"/>
    <w:rsid w:val="3D3B0062"/>
    <w:rsid w:val="3D5A765E"/>
    <w:rsid w:val="3D612BD3"/>
    <w:rsid w:val="3D69430A"/>
    <w:rsid w:val="3D72628E"/>
    <w:rsid w:val="3D8448FD"/>
    <w:rsid w:val="3D915310"/>
    <w:rsid w:val="3D99451E"/>
    <w:rsid w:val="3DA06AB2"/>
    <w:rsid w:val="3DA32778"/>
    <w:rsid w:val="3DB868D1"/>
    <w:rsid w:val="3DC172E3"/>
    <w:rsid w:val="3DD0707B"/>
    <w:rsid w:val="3DF8153F"/>
    <w:rsid w:val="3DFC46DA"/>
    <w:rsid w:val="3E0128FA"/>
    <w:rsid w:val="3E1718BC"/>
    <w:rsid w:val="3E1E02D5"/>
    <w:rsid w:val="3E330BCB"/>
    <w:rsid w:val="3E4420C8"/>
    <w:rsid w:val="3E4619B8"/>
    <w:rsid w:val="3E504536"/>
    <w:rsid w:val="3E5571C4"/>
    <w:rsid w:val="3E595488"/>
    <w:rsid w:val="3E6309B5"/>
    <w:rsid w:val="3E6640F9"/>
    <w:rsid w:val="3E6D02C8"/>
    <w:rsid w:val="3E8C2EE2"/>
    <w:rsid w:val="3E9D6613"/>
    <w:rsid w:val="3E9E51A8"/>
    <w:rsid w:val="3EC11FA7"/>
    <w:rsid w:val="3ECD4772"/>
    <w:rsid w:val="3EDB489A"/>
    <w:rsid w:val="3EED6609"/>
    <w:rsid w:val="3F041971"/>
    <w:rsid w:val="3F0B4F6F"/>
    <w:rsid w:val="3F2E50FC"/>
    <w:rsid w:val="3F3E1875"/>
    <w:rsid w:val="3F6C5CC3"/>
    <w:rsid w:val="3F6E1604"/>
    <w:rsid w:val="3F75355D"/>
    <w:rsid w:val="3F802DCC"/>
    <w:rsid w:val="3F832EE3"/>
    <w:rsid w:val="3F8669AB"/>
    <w:rsid w:val="3F88629F"/>
    <w:rsid w:val="3F8D363B"/>
    <w:rsid w:val="3F9E0B9B"/>
    <w:rsid w:val="3FBA566B"/>
    <w:rsid w:val="3FD53316"/>
    <w:rsid w:val="40093CF1"/>
    <w:rsid w:val="401470C0"/>
    <w:rsid w:val="401A27A9"/>
    <w:rsid w:val="401B7EA1"/>
    <w:rsid w:val="402126D8"/>
    <w:rsid w:val="403378F8"/>
    <w:rsid w:val="406406DC"/>
    <w:rsid w:val="406F5BA7"/>
    <w:rsid w:val="408342FD"/>
    <w:rsid w:val="40B454EF"/>
    <w:rsid w:val="40BC700F"/>
    <w:rsid w:val="40DE3CAA"/>
    <w:rsid w:val="40E75C6A"/>
    <w:rsid w:val="40F938F8"/>
    <w:rsid w:val="40FC7159"/>
    <w:rsid w:val="40FE4846"/>
    <w:rsid w:val="41322BD5"/>
    <w:rsid w:val="414D2426"/>
    <w:rsid w:val="416C3F13"/>
    <w:rsid w:val="416F5281"/>
    <w:rsid w:val="417E482D"/>
    <w:rsid w:val="41867134"/>
    <w:rsid w:val="41946AD2"/>
    <w:rsid w:val="41947EA6"/>
    <w:rsid w:val="41AD6AD2"/>
    <w:rsid w:val="41B13116"/>
    <w:rsid w:val="41BB18BC"/>
    <w:rsid w:val="41C90E09"/>
    <w:rsid w:val="41CD5A19"/>
    <w:rsid w:val="41F55FB1"/>
    <w:rsid w:val="425B4FD2"/>
    <w:rsid w:val="425C3B2E"/>
    <w:rsid w:val="42613503"/>
    <w:rsid w:val="42634845"/>
    <w:rsid w:val="4279315E"/>
    <w:rsid w:val="42827922"/>
    <w:rsid w:val="42852F4A"/>
    <w:rsid w:val="428A5E05"/>
    <w:rsid w:val="428D556A"/>
    <w:rsid w:val="42A92B57"/>
    <w:rsid w:val="42A951BA"/>
    <w:rsid w:val="42AA56F1"/>
    <w:rsid w:val="42CE06C9"/>
    <w:rsid w:val="42D70AA8"/>
    <w:rsid w:val="42E3189D"/>
    <w:rsid w:val="42F8746F"/>
    <w:rsid w:val="43062D47"/>
    <w:rsid w:val="430D00DC"/>
    <w:rsid w:val="43325B44"/>
    <w:rsid w:val="43486B61"/>
    <w:rsid w:val="436A6FA1"/>
    <w:rsid w:val="43813731"/>
    <w:rsid w:val="43A64154"/>
    <w:rsid w:val="43BA3B95"/>
    <w:rsid w:val="43BB18DF"/>
    <w:rsid w:val="43BB4A6B"/>
    <w:rsid w:val="43BB7995"/>
    <w:rsid w:val="43D37AE8"/>
    <w:rsid w:val="43E97A8D"/>
    <w:rsid w:val="43F333CB"/>
    <w:rsid w:val="44091ACF"/>
    <w:rsid w:val="441853A0"/>
    <w:rsid w:val="441D71ED"/>
    <w:rsid w:val="442D6535"/>
    <w:rsid w:val="44381BDD"/>
    <w:rsid w:val="44421CCE"/>
    <w:rsid w:val="447074F5"/>
    <w:rsid w:val="44974D8D"/>
    <w:rsid w:val="449E6E4E"/>
    <w:rsid w:val="44DA3E1D"/>
    <w:rsid w:val="44DD5FCC"/>
    <w:rsid w:val="450736A6"/>
    <w:rsid w:val="451543E4"/>
    <w:rsid w:val="45173EB4"/>
    <w:rsid w:val="453A7E6D"/>
    <w:rsid w:val="45424DB6"/>
    <w:rsid w:val="45530036"/>
    <w:rsid w:val="455343B1"/>
    <w:rsid w:val="457F05CA"/>
    <w:rsid w:val="459E4B6D"/>
    <w:rsid w:val="459F2FDB"/>
    <w:rsid w:val="45DD4E52"/>
    <w:rsid w:val="45E94FE6"/>
    <w:rsid w:val="45ED7952"/>
    <w:rsid w:val="461924A5"/>
    <w:rsid w:val="46286C71"/>
    <w:rsid w:val="462A0FE0"/>
    <w:rsid w:val="462F3F54"/>
    <w:rsid w:val="46492E6C"/>
    <w:rsid w:val="46585B30"/>
    <w:rsid w:val="46803013"/>
    <w:rsid w:val="46933A01"/>
    <w:rsid w:val="469F5F36"/>
    <w:rsid w:val="46A71357"/>
    <w:rsid w:val="46BE0184"/>
    <w:rsid w:val="46CC1167"/>
    <w:rsid w:val="46F62CD0"/>
    <w:rsid w:val="4718229D"/>
    <w:rsid w:val="47203892"/>
    <w:rsid w:val="47283033"/>
    <w:rsid w:val="47443E74"/>
    <w:rsid w:val="474F3C06"/>
    <w:rsid w:val="4775369C"/>
    <w:rsid w:val="477810B1"/>
    <w:rsid w:val="47AB3E15"/>
    <w:rsid w:val="47AC0CF7"/>
    <w:rsid w:val="47D86555"/>
    <w:rsid w:val="47F24B53"/>
    <w:rsid w:val="47F86D35"/>
    <w:rsid w:val="48541414"/>
    <w:rsid w:val="485B27A2"/>
    <w:rsid w:val="48786A80"/>
    <w:rsid w:val="4886454F"/>
    <w:rsid w:val="4898768D"/>
    <w:rsid w:val="48B53671"/>
    <w:rsid w:val="48BA5152"/>
    <w:rsid w:val="48C72D96"/>
    <w:rsid w:val="48C91888"/>
    <w:rsid w:val="48CD5F8B"/>
    <w:rsid w:val="48D27F50"/>
    <w:rsid w:val="48D8234C"/>
    <w:rsid w:val="48EF4234"/>
    <w:rsid w:val="49144651"/>
    <w:rsid w:val="4918515C"/>
    <w:rsid w:val="491D2237"/>
    <w:rsid w:val="49212350"/>
    <w:rsid w:val="49233A2C"/>
    <w:rsid w:val="493F0B05"/>
    <w:rsid w:val="49456604"/>
    <w:rsid w:val="49515910"/>
    <w:rsid w:val="49754B83"/>
    <w:rsid w:val="49A12081"/>
    <w:rsid w:val="49BB09C2"/>
    <w:rsid w:val="49C81E89"/>
    <w:rsid w:val="49C85417"/>
    <w:rsid w:val="4A0D21F0"/>
    <w:rsid w:val="4A126AF2"/>
    <w:rsid w:val="4A207DAF"/>
    <w:rsid w:val="4A301E2A"/>
    <w:rsid w:val="4A37426C"/>
    <w:rsid w:val="4A4056F7"/>
    <w:rsid w:val="4A4515E8"/>
    <w:rsid w:val="4A797DE0"/>
    <w:rsid w:val="4A7C3271"/>
    <w:rsid w:val="4A837AA7"/>
    <w:rsid w:val="4A87463D"/>
    <w:rsid w:val="4A897A9B"/>
    <w:rsid w:val="4A921BB5"/>
    <w:rsid w:val="4ABB12B3"/>
    <w:rsid w:val="4AE00116"/>
    <w:rsid w:val="4AF0272B"/>
    <w:rsid w:val="4B1A70B9"/>
    <w:rsid w:val="4B1E053C"/>
    <w:rsid w:val="4B3B68BB"/>
    <w:rsid w:val="4B4022CA"/>
    <w:rsid w:val="4B594EDF"/>
    <w:rsid w:val="4B65692E"/>
    <w:rsid w:val="4B6A06D7"/>
    <w:rsid w:val="4B735290"/>
    <w:rsid w:val="4B79187F"/>
    <w:rsid w:val="4BAF0CF3"/>
    <w:rsid w:val="4BB4041F"/>
    <w:rsid w:val="4BBD36A5"/>
    <w:rsid w:val="4BD36E74"/>
    <w:rsid w:val="4BD56B0D"/>
    <w:rsid w:val="4BD86BCF"/>
    <w:rsid w:val="4BD94AE8"/>
    <w:rsid w:val="4BE807F1"/>
    <w:rsid w:val="4BFC24EE"/>
    <w:rsid w:val="4C204A5F"/>
    <w:rsid w:val="4C2B6270"/>
    <w:rsid w:val="4C395EA2"/>
    <w:rsid w:val="4C4F7238"/>
    <w:rsid w:val="4C5228AF"/>
    <w:rsid w:val="4C5718AE"/>
    <w:rsid w:val="4C6C48AF"/>
    <w:rsid w:val="4C6C748E"/>
    <w:rsid w:val="4C862F35"/>
    <w:rsid w:val="4C911E23"/>
    <w:rsid w:val="4CC44709"/>
    <w:rsid w:val="4CF94F2A"/>
    <w:rsid w:val="4D0D2293"/>
    <w:rsid w:val="4D453EA9"/>
    <w:rsid w:val="4D5A1753"/>
    <w:rsid w:val="4D5C572C"/>
    <w:rsid w:val="4D64620A"/>
    <w:rsid w:val="4D67326A"/>
    <w:rsid w:val="4D762DFA"/>
    <w:rsid w:val="4D8F51E1"/>
    <w:rsid w:val="4D913434"/>
    <w:rsid w:val="4DB73025"/>
    <w:rsid w:val="4DC61011"/>
    <w:rsid w:val="4DCD449A"/>
    <w:rsid w:val="4DD91E2A"/>
    <w:rsid w:val="4DDA516B"/>
    <w:rsid w:val="4DE47EEE"/>
    <w:rsid w:val="4DF112A5"/>
    <w:rsid w:val="4DFD1420"/>
    <w:rsid w:val="4E01425A"/>
    <w:rsid w:val="4E371081"/>
    <w:rsid w:val="4E415F53"/>
    <w:rsid w:val="4E437F61"/>
    <w:rsid w:val="4E8E65C1"/>
    <w:rsid w:val="4E975595"/>
    <w:rsid w:val="4E9C2745"/>
    <w:rsid w:val="4EAA38DC"/>
    <w:rsid w:val="4EB57F69"/>
    <w:rsid w:val="4EB8279E"/>
    <w:rsid w:val="4ED33D31"/>
    <w:rsid w:val="4EE1479C"/>
    <w:rsid w:val="4EEE4D03"/>
    <w:rsid w:val="4F243492"/>
    <w:rsid w:val="4F332395"/>
    <w:rsid w:val="4F375E64"/>
    <w:rsid w:val="4F444727"/>
    <w:rsid w:val="4F467207"/>
    <w:rsid w:val="4F5B7E39"/>
    <w:rsid w:val="4F647C31"/>
    <w:rsid w:val="4F6E77D1"/>
    <w:rsid w:val="4F6F7131"/>
    <w:rsid w:val="4F900303"/>
    <w:rsid w:val="4F9B7A88"/>
    <w:rsid w:val="4FA63E41"/>
    <w:rsid w:val="4FE7781D"/>
    <w:rsid w:val="50012D7C"/>
    <w:rsid w:val="500E369B"/>
    <w:rsid w:val="501854F2"/>
    <w:rsid w:val="501B6D91"/>
    <w:rsid w:val="502B07C5"/>
    <w:rsid w:val="5035615B"/>
    <w:rsid w:val="50372296"/>
    <w:rsid w:val="505A4E4D"/>
    <w:rsid w:val="50847B34"/>
    <w:rsid w:val="50B32ADF"/>
    <w:rsid w:val="50DB63F3"/>
    <w:rsid w:val="50EA0150"/>
    <w:rsid w:val="51095EC8"/>
    <w:rsid w:val="512572D9"/>
    <w:rsid w:val="512F7EF7"/>
    <w:rsid w:val="51446493"/>
    <w:rsid w:val="514B67FD"/>
    <w:rsid w:val="51A32180"/>
    <w:rsid w:val="51A74466"/>
    <w:rsid w:val="51E5051C"/>
    <w:rsid w:val="51FC581B"/>
    <w:rsid w:val="520E60F1"/>
    <w:rsid w:val="520F10EE"/>
    <w:rsid w:val="52116489"/>
    <w:rsid w:val="52384225"/>
    <w:rsid w:val="523A1F04"/>
    <w:rsid w:val="524B75A8"/>
    <w:rsid w:val="525433AE"/>
    <w:rsid w:val="52783FF0"/>
    <w:rsid w:val="527C215F"/>
    <w:rsid w:val="527E5EED"/>
    <w:rsid w:val="52882463"/>
    <w:rsid w:val="528A2602"/>
    <w:rsid w:val="52BB11DC"/>
    <w:rsid w:val="52CB6EA0"/>
    <w:rsid w:val="52E3289D"/>
    <w:rsid w:val="52E678FD"/>
    <w:rsid w:val="52EE43CC"/>
    <w:rsid w:val="52FF4591"/>
    <w:rsid w:val="531473B0"/>
    <w:rsid w:val="53156E53"/>
    <w:rsid w:val="531B3A9C"/>
    <w:rsid w:val="5321243D"/>
    <w:rsid w:val="53272F5D"/>
    <w:rsid w:val="53431A96"/>
    <w:rsid w:val="53543569"/>
    <w:rsid w:val="53751745"/>
    <w:rsid w:val="53773018"/>
    <w:rsid w:val="537B18F4"/>
    <w:rsid w:val="53876BCA"/>
    <w:rsid w:val="53955ABA"/>
    <w:rsid w:val="539F43FD"/>
    <w:rsid w:val="53A67D82"/>
    <w:rsid w:val="53DE6642"/>
    <w:rsid w:val="53EF0739"/>
    <w:rsid w:val="540918A0"/>
    <w:rsid w:val="54104937"/>
    <w:rsid w:val="542776DD"/>
    <w:rsid w:val="543A1E06"/>
    <w:rsid w:val="54522ADC"/>
    <w:rsid w:val="545424AE"/>
    <w:rsid w:val="54663B08"/>
    <w:rsid w:val="54697406"/>
    <w:rsid w:val="54755AA4"/>
    <w:rsid w:val="547938FD"/>
    <w:rsid w:val="548274CD"/>
    <w:rsid w:val="54976648"/>
    <w:rsid w:val="54A011AE"/>
    <w:rsid w:val="54A10126"/>
    <w:rsid w:val="54A45D2B"/>
    <w:rsid w:val="54A565DB"/>
    <w:rsid w:val="54B575F1"/>
    <w:rsid w:val="54B94986"/>
    <w:rsid w:val="54E7647B"/>
    <w:rsid w:val="54EF2699"/>
    <w:rsid w:val="55002B2F"/>
    <w:rsid w:val="55133BF8"/>
    <w:rsid w:val="55202EB2"/>
    <w:rsid w:val="552E5704"/>
    <w:rsid w:val="553B4D15"/>
    <w:rsid w:val="55594C80"/>
    <w:rsid w:val="555D3430"/>
    <w:rsid w:val="555E3ADC"/>
    <w:rsid w:val="557F1C1A"/>
    <w:rsid w:val="55A5299F"/>
    <w:rsid w:val="55AB5EB5"/>
    <w:rsid w:val="55CE3B25"/>
    <w:rsid w:val="55D20EC3"/>
    <w:rsid w:val="55ED243A"/>
    <w:rsid w:val="55F43387"/>
    <w:rsid w:val="560257B6"/>
    <w:rsid w:val="56025C0C"/>
    <w:rsid w:val="56032A93"/>
    <w:rsid w:val="560C34C5"/>
    <w:rsid w:val="560E7C25"/>
    <w:rsid w:val="5620313B"/>
    <w:rsid w:val="56443F1D"/>
    <w:rsid w:val="564D5B7B"/>
    <w:rsid w:val="565B7ED3"/>
    <w:rsid w:val="566B2461"/>
    <w:rsid w:val="56970EE5"/>
    <w:rsid w:val="56B25162"/>
    <w:rsid w:val="56B464CF"/>
    <w:rsid w:val="56B636B6"/>
    <w:rsid w:val="56F918AE"/>
    <w:rsid w:val="56F9392F"/>
    <w:rsid w:val="570B4455"/>
    <w:rsid w:val="57294EFE"/>
    <w:rsid w:val="573F7673"/>
    <w:rsid w:val="574137FA"/>
    <w:rsid w:val="575A48AE"/>
    <w:rsid w:val="575E09DA"/>
    <w:rsid w:val="576F6428"/>
    <w:rsid w:val="579B67A6"/>
    <w:rsid w:val="57A443F1"/>
    <w:rsid w:val="57AE3907"/>
    <w:rsid w:val="57CB5303"/>
    <w:rsid w:val="57F0169B"/>
    <w:rsid w:val="57F867D4"/>
    <w:rsid w:val="58094510"/>
    <w:rsid w:val="580F7B93"/>
    <w:rsid w:val="58342AEA"/>
    <w:rsid w:val="58355A1D"/>
    <w:rsid w:val="583640C7"/>
    <w:rsid w:val="583A3671"/>
    <w:rsid w:val="583F3940"/>
    <w:rsid w:val="584C6F04"/>
    <w:rsid w:val="58513B89"/>
    <w:rsid w:val="585D30A3"/>
    <w:rsid w:val="58603A1D"/>
    <w:rsid w:val="586E0D81"/>
    <w:rsid w:val="586E4313"/>
    <w:rsid w:val="58C37202"/>
    <w:rsid w:val="58C70A4C"/>
    <w:rsid w:val="58E754F6"/>
    <w:rsid w:val="591E6566"/>
    <w:rsid w:val="595266CF"/>
    <w:rsid w:val="59835FFD"/>
    <w:rsid w:val="59A36822"/>
    <w:rsid w:val="59A54EB4"/>
    <w:rsid w:val="59B00B41"/>
    <w:rsid w:val="59D64BE3"/>
    <w:rsid w:val="59E34EE1"/>
    <w:rsid w:val="59F730F0"/>
    <w:rsid w:val="5A0F6EA8"/>
    <w:rsid w:val="5A2A55E3"/>
    <w:rsid w:val="5A2B2D2C"/>
    <w:rsid w:val="5A4965A7"/>
    <w:rsid w:val="5A8754E4"/>
    <w:rsid w:val="5A935D25"/>
    <w:rsid w:val="5A9802B8"/>
    <w:rsid w:val="5AB1147E"/>
    <w:rsid w:val="5ABF7DCF"/>
    <w:rsid w:val="5AC47A09"/>
    <w:rsid w:val="5AE23BA6"/>
    <w:rsid w:val="5AE6129F"/>
    <w:rsid w:val="5AE63D9C"/>
    <w:rsid w:val="5B057ED0"/>
    <w:rsid w:val="5B2C1016"/>
    <w:rsid w:val="5B8C60EC"/>
    <w:rsid w:val="5BC46468"/>
    <w:rsid w:val="5BDC46AC"/>
    <w:rsid w:val="5BE53A4F"/>
    <w:rsid w:val="5BF93DBD"/>
    <w:rsid w:val="5BFB013E"/>
    <w:rsid w:val="5C0E4B21"/>
    <w:rsid w:val="5C193AB9"/>
    <w:rsid w:val="5C220343"/>
    <w:rsid w:val="5C295EBD"/>
    <w:rsid w:val="5C2B59CA"/>
    <w:rsid w:val="5C3B325D"/>
    <w:rsid w:val="5C5A4B5D"/>
    <w:rsid w:val="5C686014"/>
    <w:rsid w:val="5C696815"/>
    <w:rsid w:val="5C9222A6"/>
    <w:rsid w:val="5CAF2F3F"/>
    <w:rsid w:val="5CB9353B"/>
    <w:rsid w:val="5CC21EBE"/>
    <w:rsid w:val="5CC626AD"/>
    <w:rsid w:val="5CCF51AA"/>
    <w:rsid w:val="5D1C4604"/>
    <w:rsid w:val="5D412426"/>
    <w:rsid w:val="5D7325A7"/>
    <w:rsid w:val="5DC37E86"/>
    <w:rsid w:val="5DDD514E"/>
    <w:rsid w:val="5E113C8F"/>
    <w:rsid w:val="5E1A63C8"/>
    <w:rsid w:val="5E4808E0"/>
    <w:rsid w:val="5E581D9A"/>
    <w:rsid w:val="5E8A70A4"/>
    <w:rsid w:val="5E984253"/>
    <w:rsid w:val="5EAC344E"/>
    <w:rsid w:val="5EB503FB"/>
    <w:rsid w:val="5EEC557A"/>
    <w:rsid w:val="5EF56103"/>
    <w:rsid w:val="5F044C66"/>
    <w:rsid w:val="5F15191F"/>
    <w:rsid w:val="5F213553"/>
    <w:rsid w:val="5F217EAB"/>
    <w:rsid w:val="5F2820D8"/>
    <w:rsid w:val="5F5F2403"/>
    <w:rsid w:val="5F6D31CF"/>
    <w:rsid w:val="5F81422C"/>
    <w:rsid w:val="5F8B33B2"/>
    <w:rsid w:val="5FA27873"/>
    <w:rsid w:val="5FB760DA"/>
    <w:rsid w:val="5FD83283"/>
    <w:rsid w:val="5FEF5838"/>
    <w:rsid w:val="5FF4081A"/>
    <w:rsid w:val="5FF61144"/>
    <w:rsid w:val="5FF817F2"/>
    <w:rsid w:val="60142561"/>
    <w:rsid w:val="60146A0A"/>
    <w:rsid w:val="60194C8D"/>
    <w:rsid w:val="60233800"/>
    <w:rsid w:val="6035125E"/>
    <w:rsid w:val="603A5FDA"/>
    <w:rsid w:val="60475E6F"/>
    <w:rsid w:val="604C0FCC"/>
    <w:rsid w:val="604D34AE"/>
    <w:rsid w:val="60530BE2"/>
    <w:rsid w:val="60757551"/>
    <w:rsid w:val="6076510A"/>
    <w:rsid w:val="60811859"/>
    <w:rsid w:val="60866B31"/>
    <w:rsid w:val="6097059A"/>
    <w:rsid w:val="609954A7"/>
    <w:rsid w:val="60A40029"/>
    <w:rsid w:val="60BA61B3"/>
    <w:rsid w:val="610139B4"/>
    <w:rsid w:val="61044D9D"/>
    <w:rsid w:val="61076583"/>
    <w:rsid w:val="6117451E"/>
    <w:rsid w:val="611F4E3D"/>
    <w:rsid w:val="61293E18"/>
    <w:rsid w:val="61307A04"/>
    <w:rsid w:val="61332F3B"/>
    <w:rsid w:val="613C2058"/>
    <w:rsid w:val="61444126"/>
    <w:rsid w:val="614632BC"/>
    <w:rsid w:val="614D6D74"/>
    <w:rsid w:val="615E6755"/>
    <w:rsid w:val="615F64AA"/>
    <w:rsid w:val="617011A7"/>
    <w:rsid w:val="61722A56"/>
    <w:rsid w:val="61897B1C"/>
    <w:rsid w:val="618F2563"/>
    <w:rsid w:val="619F4950"/>
    <w:rsid w:val="61EA34AF"/>
    <w:rsid w:val="61EE5F7A"/>
    <w:rsid w:val="62090287"/>
    <w:rsid w:val="62353C0D"/>
    <w:rsid w:val="624F41B6"/>
    <w:rsid w:val="626010B9"/>
    <w:rsid w:val="626A099E"/>
    <w:rsid w:val="626A7D5A"/>
    <w:rsid w:val="62B47519"/>
    <w:rsid w:val="62DE2DF3"/>
    <w:rsid w:val="62F612A3"/>
    <w:rsid w:val="62F95B8C"/>
    <w:rsid w:val="63100986"/>
    <w:rsid w:val="631940A0"/>
    <w:rsid w:val="63253BF3"/>
    <w:rsid w:val="63263224"/>
    <w:rsid w:val="63310632"/>
    <w:rsid w:val="63911317"/>
    <w:rsid w:val="63945E28"/>
    <w:rsid w:val="63975A8A"/>
    <w:rsid w:val="63A46B8A"/>
    <w:rsid w:val="63A735B4"/>
    <w:rsid w:val="63AB687C"/>
    <w:rsid w:val="63B9109C"/>
    <w:rsid w:val="63D8215D"/>
    <w:rsid w:val="63DF2C7F"/>
    <w:rsid w:val="63E043BE"/>
    <w:rsid w:val="63FA4747"/>
    <w:rsid w:val="640B2EB8"/>
    <w:rsid w:val="64184D8E"/>
    <w:rsid w:val="641B2C86"/>
    <w:rsid w:val="641C4869"/>
    <w:rsid w:val="642D0AC6"/>
    <w:rsid w:val="64354398"/>
    <w:rsid w:val="64416D79"/>
    <w:rsid w:val="64535899"/>
    <w:rsid w:val="64956FE9"/>
    <w:rsid w:val="64BB2625"/>
    <w:rsid w:val="64D02139"/>
    <w:rsid w:val="64D277E0"/>
    <w:rsid w:val="64D37E39"/>
    <w:rsid w:val="64E32E16"/>
    <w:rsid w:val="64EA5182"/>
    <w:rsid w:val="64FE57B0"/>
    <w:rsid w:val="65122EE6"/>
    <w:rsid w:val="652371EE"/>
    <w:rsid w:val="654D0E1B"/>
    <w:rsid w:val="655443A7"/>
    <w:rsid w:val="6558144A"/>
    <w:rsid w:val="657E7978"/>
    <w:rsid w:val="659978E5"/>
    <w:rsid w:val="65B3079D"/>
    <w:rsid w:val="65BA08AE"/>
    <w:rsid w:val="65BE6E45"/>
    <w:rsid w:val="65E7603D"/>
    <w:rsid w:val="66141426"/>
    <w:rsid w:val="662F0B5B"/>
    <w:rsid w:val="663D77BB"/>
    <w:rsid w:val="66410DD2"/>
    <w:rsid w:val="664516A8"/>
    <w:rsid w:val="667444A2"/>
    <w:rsid w:val="66863968"/>
    <w:rsid w:val="668F31AA"/>
    <w:rsid w:val="66952D51"/>
    <w:rsid w:val="669E6F11"/>
    <w:rsid w:val="66AA1CAB"/>
    <w:rsid w:val="67151FB4"/>
    <w:rsid w:val="67256944"/>
    <w:rsid w:val="67333A05"/>
    <w:rsid w:val="673A09E8"/>
    <w:rsid w:val="67601DF0"/>
    <w:rsid w:val="67756F44"/>
    <w:rsid w:val="677F4B46"/>
    <w:rsid w:val="67A433D7"/>
    <w:rsid w:val="67D07731"/>
    <w:rsid w:val="67D30D98"/>
    <w:rsid w:val="67D36156"/>
    <w:rsid w:val="67D905AF"/>
    <w:rsid w:val="67DC2A62"/>
    <w:rsid w:val="67E765D9"/>
    <w:rsid w:val="6807561B"/>
    <w:rsid w:val="681A7B2C"/>
    <w:rsid w:val="683A0295"/>
    <w:rsid w:val="683A57FD"/>
    <w:rsid w:val="68630BDC"/>
    <w:rsid w:val="686A3FBE"/>
    <w:rsid w:val="68994007"/>
    <w:rsid w:val="68CA3301"/>
    <w:rsid w:val="68D41CEC"/>
    <w:rsid w:val="68D5023B"/>
    <w:rsid w:val="68DF0DA2"/>
    <w:rsid w:val="68EE4149"/>
    <w:rsid w:val="68F27E6D"/>
    <w:rsid w:val="68F9670E"/>
    <w:rsid w:val="69036901"/>
    <w:rsid w:val="693F3519"/>
    <w:rsid w:val="69461C0C"/>
    <w:rsid w:val="695957BD"/>
    <w:rsid w:val="69692CE5"/>
    <w:rsid w:val="696E5872"/>
    <w:rsid w:val="69767ACB"/>
    <w:rsid w:val="69772A38"/>
    <w:rsid w:val="69834D81"/>
    <w:rsid w:val="6994544A"/>
    <w:rsid w:val="69BC2922"/>
    <w:rsid w:val="69C20527"/>
    <w:rsid w:val="69CA1E3D"/>
    <w:rsid w:val="69F01770"/>
    <w:rsid w:val="6A0E1913"/>
    <w:rsid w:val="6A1F7362"/>
    <w:rsid w:val="6A2771FC"/>
    <w:rsid w:val="6A4C437D"/>
    <w:rsid w:val="6A4E7A76"/>
    <w:rsid w:val="6A512508"/>
    <w:rsid w:val="6A8123F9"/>
    <w:rsid w:val="6A86611B"/>
    <w:rsid w:val="6A9A5AB8"/>
    <w:rsid w:val="6AA65AD0"/>
    <w:rsid w:val="6AC15313"/>
    <w:rsid w:val="6ADB59ED"/>
    <w:rsid w:val="6AF43AD4"/>
    <w:rsid w:val="6B002E1D"/>
    <w:rsid w:val="6B032473"/>
    <w:rsid w:val="6B085A96"/>
    <w:rsid w:val="6B0E11C2"/>
    <w:rsid w:val="6B1947DD"/>
    <w:rsid w:val="6B2B3A16"/>
    <w:rsid w:val="6B9F68DE"/>
    <w:rsid w:val="6BA77B20"/>
    <w:rsid w:val="6BD60B25"/>
    <w:rsid w:val="6BDF1521"/>
    <w:rsid w:val="6C2246B3"/>
    <w:rsid w:val="6C570606"/>
    <w:rsid w:val="6C6275A3"/>
    <w:rsid w:val="6C691899"/>
    <w:rsid w:val="6C6B3A6B"/>
    <w:rsid w:val="6C6E4322"/>
    <w:rsid w:val="6C6F382E"/>
    <w:rsid w:val="6C804D16"/>
    <w:rsid w:val="6C843E4E"/>
    <w:rsid w:val="6C844538"/>
    <w:rsid w:val="6C861AE2"/>
    <w:rsid w:val="6C8C54A7"/>
    <w:rsid w:val="6CD92FA9"/>
    <w:rsid w:val="6CED7757"/>
    <w:rsid w:val="6CFE7A1D"/>
    <w:rsid w:val="6D5D4E82"/>
    <w:rsid w:val="6D605355"/>
    <w:rsid w:val="6D70022B"/>
    <w:rsid w:val="6D7A1D04"/>
    <w:rsid w:val="6DC629D0"/>
    <w:rsid w:val="6DC81DD9"/>
    <w:rsid w:val="6DCF524F"/>
    <w:rsid w:val="6DCF7418"/>
    <w:rsid w:val="6DD85C34"/>
    <w:rsid w:val="6DE27D7D"/>
    <w:rsid w:val="6E0044CA"/>
    <w:rsid w:val="6E026768"/>
    <w:rsid w:val="6E253A17"/>
    <w:rsid w:val="6E2E1F7A"/>
    <w:rsid w:val="6E4F595C"/>
    <w:rsid w:val="6E60660F"/>
    <w:rsid w:val="6E846E05"/>
    <w:rsid w:val="6E891812"/>
    <w:rsid w:val="6E8A49EB"/>
    <w:rsid w:val="6E8C6D02"/>
    <w:rsid w:val="6E952D28"/>
    <w:rsid w:val="6EA116F1"/>
    <w:rsid w:val="6EB31AE7"/>
    <w:rsid w:val="6EC5077A"/>
    <w:rsid w:val="6EC627E3"/>
    <w:rsid w:val="6EC77D5F"/>
    <w:rsid w:val="6ECF50FE"/>
    <w:rsid w:val="6ED35F77"/>
    <w:rsid w:val="6EE24E2D"/>
    <w:rsid w:val="6F1218C9"/>
    <w:rsid w:val="6F4505D9"/>
    <w:rsid w:val="6F4932D2"/>
    <w:rsid w:val="6F6F56FA"/>
    <w:rsid w:val="6F7366D6"/>
    <w:rsid w:val="6F781500"/>
    <w:rsid w:val="6F7B2B66"/>
    <w:rsid w:val="6F9838A8"/>
    <w:rsid w:val="6FF03205"/>
    <w:rsid w:val="6FF06591"/>
    <w:rsid w:val="6FF27B0C"/>
    <w:rsid w:val="6FF4177B"/>
    <w:rsid w:val="700B4959"/>
    <w:rsid w:val="70192C40"/>
    <w:rsid w:val="70230CE9"/>
    <w:rsid w:val="70440929"/>
    <w:rsid w:val="704B508B"/>
    <w:rsid w:val="70666050"/>
    <w:rsid w:val="707A6B92"/>
    <w:rsid w:val="707E3779"/>
    <w:rsid w:val="70CB15A8"/>
    <w:rsid w:val="70DC1B60"/>
    <w:rsid w:val="70F15A31"/>
    <w:rsid w:val="70FC4E36"/>
    <w:rsid w:val="711B26AA"/>
    <w:rsid w:val="712E0333"/>
    <w:rsid w:val="712E42B7"/>
    <w:rsid w:val="713E005E"/>
    <w:rsid w:val="715D5DDF"/>
    <w:rsid w:val="71891443"/>
    <w:rsid w:val="7191688A"/>
    <w:rsid w:val="71A66CC4"/>
    <w:rsid w:val="71C214A8"/>
    <w:rsid w:val="71E641B3"/>
    <w:rsid w:val="71F77ACE"/>
    <w:rsid w:val="71FD5C6E"/>
    <w:rsid w:val="720106F5"/>
    <w:rsid w:val="722B1E56"/>
    <w:rsid w:val="7235714F"/>
    <w:rsid w:val="723B7870"/>
    <w:rsid w:val="72787485"/>
    <w:rsid w:val="727E42BF"/>
    <w:rsid w:val="728E24C1"/>
    <w:rsid w:val="72AA5080"/>
    <w:rsid w:val="72B70CD2"/>
    <w:rsid w:val="72E93CC5"/>
    <w:rsid w:val="72F56066"/>
    <w:rsid w:val="72FA6ACB"/>
    <w:rsid w:val="7313322C"/>
    <w:rsid w:val="73194545"/>
    <w:rsid w:val="73197BB8"/>
    <w:rsid w:val="73335381"/>
    <w:rsid w:val="734103B0"/>
    <w:rsid w:val="73487C44"/>
    <w:rsid w:val="735302BC"/>
    <w:rsid w:val="7362469F"/>
    <w:rsid w:val="73701368"/>
    <w:rsid w:val="737C487D"/>
    <w:rsid w:val="738E5E7B"/>
    <w:rsid w:val="738F5872"/>
    <w:rsid w:val="73A37FFF"/>
    <w:rsid w:val="73AB197A"/>
    <w:rsid w:val="73BF0A26"/>
    <w:rsid w:val="73C64D7F"/>
    <w:rsid w:val="73C7191B"/>
    <w:rsid w:val="73D3719A"/>
    <w:rsid w:val="74074C5D"/>
    <w:rsid w:val="74143CF0"/>
    <w:rsid w:val="741702D0"/>
    <w:rsid w:val="7436477D"/>
    <w:rsid w:val="74381A66"/>
    <w:rsid w:val="74466469"/>
    <w:rsid w:val="74477EFB"/>
    <w:rsid w:val="74600E75"/>
    <w:rsid w:val="74617ED7"/>
    <w:rsid w:val="746212C3"/>
    <w:rsid w:val="74832968"/>
    <w:rsid w:val="748849D8"/>
    <w:rsid w:val="749A745D"/>
    <w:rsid w:val="74CF28DE"/>
    <w:rsid w:val="74D06A89"/>
    <w:rsid w:val="74D151BA"/>
    <w:rsid w:val="751208A3"/>
    <w:rsid w:val="751538B1"/>
    <w:rsid w:val="75344B8A"/>
    <w:rsid w:val="75516BF7"/>
    <w:rsid w:val="75606F89"/>
    <w:rsid w:val="75730D64"/>
    <w:rsid w:val="758C2041"/>
    <w:rsid w:val="759C6A76"/>
    <w:rsid w:val="75AF566F"/>
    <w:rsid w:val="75B00B5D"/>
    <w:rsid w:val="75B22ED4"/>
    <w:rsid w:val="75DB7C59"/>
    <w:rsid w:val="75DC0684"/>
    <w:rsid w:val="75DC65A5"/>
    <w:rsid w:val="75F22372"/>
    <w:rsid w:val="75F5786E"/>
    <w:rsid w:val="75F86080"/>
    <w:rsid w:val="762659E2"/>
    <w:rsid w:val="7633523D"/>
    <w:rsid w:val="76396493"/>
    <w:rsid w:val="763B3A90"/>
    <w:rsid w:val="76457CEF"/>
    <w:rsid w:val="76547D85"/>
    <w:rsid w:val="76A8487B"/>
    <w:rsid w:val="76A86B70"/>
    <w:rsid w:val="76CD1AD4"/>
    <w:rsid w:val="76D36895"/>
    <w:rsid w:val="76F20145"/>
    <w:rsid w:val="76FD3DD1"/>
    <w:rsid w:val="77464813"/>
    <w:rsid w:val="775E3D18"/>
    <w:rsid w:val="77646FFC"/>
    <w:rsid w:val="776B430B"/>
    <w:rsid w:val="77907B18"/>
    <w:rsid w:val="779C230C"/>
    <w:rsid w:val="77A34766"/>
    <w:rsid w:val="77C60E71"/>
    <w:rsid w:val="77CE2209"/>
    <w:rsid w:val="780305EB"/>
    <w:rsid w:val="78164A54"/>
    <w:rsid w:val="78276334"/>
    <w:rsid w:val="784B149E"/>
    <w:rsid w:val="784E64C7"/>
    <w:rsid w:val="78561CE5"/>
    <w:rsid w:val="78601507"/>
    <w:rsid w:val="78793AAA"/>
    <w:rsid w:val="787F3F4C"/>
    <w:rsid w:val="7883590F"/>
    <w:rsid w:val="78A45043"/>
    <w:rsid w:val="78BC3509"/>
    <w:rsid w:val="78C240B9"/>
    <w:rsid w:val="78CC73B0"/>
    <w:rsid w:val="78E03D87"/>
    <w:rsid w:val="78E319A6"/>
    <w:rsid w:val="78E70FDC"/>
    <w:rsid w:val="78EA3C7B"/>
    <w:rsid w:val="78F7016C"/>
    <w:rsid w:val="79152AB8"/>
    <w:rsid w:val="791A766E"/>
    <w:rsid w:val="79487611"/>
    <w:rsid w:val="79592BCF"/>
    <w:rsid w:val="7982482F"/>
    <w:rsid w:val="79A23A3E"/>
    <w:rsid w:val="79B017A9"/>
    <w:rsid w:val="79B04E72"/>
    <w:rsid w:val="79D53D71"/>
    <w:rsid w:val="79D9370A"/>
    <w:rsid w:val="7A06022F"/>
    <w:rsid w:val="7A0809B7"/>
    <w:rsid w:val="7A0B37EC"/>
    <w:rsid w:val="7A2B4D43"/>
    <w:rsid w:val="7A434C0E"/>
    <w:rsid w:val="7A4E3A4A"/>
    <w:rsid w:val="7A5E5F9F"/>
    <w:rsid w:val="7A701FA7"/>
    <w:rsid w:val="7A846A9B"/>
    <w:rsid w:val="7A871C04"/>
    <w:rsid w:val="7A9679F4"/>
    <w:rsid w:val="7ABD1DB1"/>
    <w:rsid w:val="7ACC3063"/>
    <w:rsid w:val="7AE92D09"/>
    <w:rsid w:val="7AEA632B"/>
    <w:rsid w:val="7AFF101C"/>
    <w:rsid w:val="7AFF72EC"/>
    <w:rsid w:val="7B312D12"/>
    <w:rsid w:val="7B5103E9"/>
    <w:rsid w:val="7B5A324B"/>
    <w:rsid w:val="7B5B5EAE"/>
    <w:rsid w:val="7B653879"/>
    <w:rsid w:val="7B7F3637"/>
    <w:rsid w:val="7BAA48CF"/>
    <w:rsid w:val="7BB22FB5"/>
    <w:rsid w:val="7BE562D4"/>
    <w:rsid w:val="7C0453E2"/>
    <w:rsid w:val="7C1D1542"/>
    <w:rsid w:val="7C3969BF"/>
    <w:rsid w:val="7C6B3813"/>
    <w:rsid w:val="7C6F002E"/>
    <w:rsid w:val="7C7C7257"/>
    <w:rsid w:val="7C903534"/>
    <w:rsid w:val="7CA82DF0"/>
    <w:rsid w:val="7CB2404E"/>
    <w:rsid w:val="7CB24FDD"/>
    <w:rsid w:val="7CD35395"/>
    <w:rsid w:val="7CE26FAD"/>
    <w:rsid w:val="7CF05C9A"/>
    <w:rsid w:val="7D055DA1"/>
    <w:rsid w:val="7D173A14"/>
    <w:rsid w:val="7D2E4FD0"/>
    <w:rsid w:val="7D3F2A01"/>
    <w:rsid w:val="7D5E1A02"/>
    <w:rsid w:val="7D6D1600"/>
    <w:rsid w:val="7D755B1B"/>
    <w:rsid w:val="7D7A7B34"/>
    <w:rsid w:val="7D9F1046"/>
    <w:rsid w:val="7DD351FC"/>
    <w:rsid w:val="7DE319B7"/>
    <w:rsid w:val="7DE4613C"/>
    <w:rsid w:val="7DF00A35"/>
    <w:rsid w:val="7E090DBD"/>
    <w:rsid w:val="7E096C95"/>
    <w:rsid w:val="7E0B69E0"/>
    <w:rsid w:val="7E1F41D9"/>
    <w:rsid w:val="7E203B01"/>
    <w:rsid w:val="7E2D505E"/>
    <w:rsid w:val="7E542A80"/>
    <w:rsid w:val="7E596F70"/>
    <w:rsid w:val="7E5F603E"/>
    <w:rsid w:val="7E6C7907"/>
    <w:rsid w:val="7E73248E"/>
    <w:rsid w:val="7E7E55CA"/>
    <w:rsid w:val="7E8B00C3"/>
    <w:rsid w:val="7E9C09D1"/>
    <w:rsid w:val="7EA344A8"/>
    <w:rsid w:val="7EAD69D8"/>
    <w:rsid w:val="7EBA12CE"/>
    <w:rsid w:val="7EC131F9"/>
    <w:rsid w:val="7ECB0595"/>
    <w:rsid w:val="7ED46C5A"/>
    <w:rsid w:val="7EEF1A03"/>
    <w:rsid w:val="7EFA07D4"/>
    <w:rsid w:val="7F033373"/>
    <w:rsid w:val="7F1C3004"/>
    <w:rsid w:val="7F346AE5"/>
    <w:rsid w:val="7F354B02"/>
    <w:rsid w:val="7F467E6A"/>
    <w:rsid w:val="7F537AC8"/>
    <w:rsid w:val="7F7829B4"/>
    <w:rsid w:val="7F8767D3"/>
    <w:rsid w:val="7F973987"/>
    <w:rsid w:val="7FA405C1"/>
    <w:rsid w:val="7FA5499A"/>
    <w:rsid w:val="7FB46CB9"/>
    <w:rsid w:val="7FBC1438"/>
    <w:rsid w:val="7FBD3D75"/>
    <w:rsid w:val="7FCC6DCE"/>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4"/>
    <w:qFormat/>
    <w:uiPriority w:val="0"/>
    <w:pPr>
      <w:keepNext/>
      <w:jc w:val="center"/>
      <w:outlineLvl w:val="0"/>
    </w:pPr>
    <w:rPr>
      <w:rFonts w:ascii="Calibri" w:hAnsi="Calibri"/>
      <w:b/>
      <w:bCs/>
      <w:sz w:val="24"/>
      <w:szCs w:val="20"/>
    </w:rPr>
  </w:style>
  <w:style w:type="paragraph" w:styleId="4">
    <w:name w:val="heading 2"/>
    <w:basedOn w:val="1"/>
    <w:next w:val="1"/>
    <w:link w:val="303"/>
    <w:qFormat/>
    <w:uiPriority w:val="0"/>
    <w:pPr>
      <w:keepNext/>
      <w:keepLines/>
      <w:spacing w:line="360" w:lineRule="auto"/>
      <w:outlineLvl w:val="1"/>
    </w:pPr>
    <w:rPr>
      <w:rFonts w:ascii="Arial" w:hAnsi="Arial"/>
      <w:b/>
      <w:bCs/>
      <w:sz w:val="24"/>
      <w:szCs w:val="32"/>
    </w:rPr>
  </w:style>
  <w:style w:type="paragraph" w:styleId="5">
    <w:name w:val="heading 3"/>
    <w:basedOn w:val="1"/>
    <w:next w:val="1"/>
    <w:link w:val="274"/>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28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11"/>
    <w:qFormat/>
    <w:uiPriority w:val="0"/>
    <w:pPr>
      <w:keepNext/>
      <w:keepLines/>
      <w:adjustRightInd w:val="0"/>
      <w:spacing w:before="280" w:after="290" w:line="376" w:lineRule="atLeast"/>
      <w:jc w:val="left"/>
      <w:textAlignment w:val="baseline"/>
      <w:outlineLvl w:val="4"/>
    </w:pPr>
    <w:rPr>
      <w:rFonts w:ascii="Calibri" w:hAnsi="Calibri"/>
      <w:b/>
      <w:bCs/>
      <w:kern w:val="0"/>
      <w:sz w:val="28"/>
      <w:szCs w:val="28"/>
    </w:rPr>
  </w:style>
  <w:style w:type="paragraph" w:styleId="8">
    <w:name w:val="heading 6"/>
    <w:basedOn w:val="1"/>
    <w:next w:val="1"/>
    <w:link w:val="29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213"/>
    <w:qFormat/>
    <w:uiPriority w:val="0"/>
    <w:pPr>
      <w:keepNext/>
      <w:keepLines/>
      <w:adjustRightInd w:val="0"/>
      <w:spacing w:before="240" w:after="64" w:line="320" w:lineRule="atLeast"/>
      <w:jc w:val="left"/>
      <w:textAlignment w:val="baseline"/>
      <w:outlineLvl w:val="6"/>
    </w:pPr>
    <w:rPr>
      <w:rFonts w:ascii="Calibri" w:hAnsi="Calibri"/>
      <w:b/>
      <w:bCs/>
      <w:kern w:val="0"/>
      <w:sz w:val="24"/>
    </w:rPr>
  </w:style>
  <w:style w:type="paragraph" w:styleId="10">
    <w:name w:val="heading 8"/>
    <w:basedOn w:val="1"/>
    <w:next w:val="1"/>
    <w:link w:val="285"/>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30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99"/>
    <w:pPr>
      <w:widowControl/>
      <w:adjustRightInd w:val="0"/>
      <w:snapToGrid w:val="0"/>
      <w:spacing w:after="200"/>
      <w:ind w:left="420" w:leftChars="200"/>
      <w:jc w:val="left"/>
    </w:pPr>
    <w:rPr>
      <w:rFonts w:ascii="Tahoma" w:hAnsi="Tahoma" w:eastAsia="微软雅黑"/>
      <w:kern w:val="0"/>
      <w:sz w:val="22"/>
      <w:szCs w:val="22"/>
    </w:rPr>
  </w:style>
  <w:style w:type="paragraph" w:styleId="14">
    <w:name w:val="Normal Indent"/>
    <w:basedOn w:val="1"/>
    <w:next w:val="15"/>
    <w:qFormat/>
    <w:uiPriority w:val="0"/>
    <w:pPr>
      <w:widowControl/>
      <w:ind w:firstLine="420"/>
      <w:jc w:val="left"/>
    </w:pPr>
    <w:rPr>
      <w:kern w:val="0"/>
      <w:sz w:val="20"/>
      <w:szCs w:val="20"/>
    </w:rPr>
  </w:style>
  <w:style w:type="paragraph" w:styleId="15">
    <w:name w:val="toc 4"/>
    <w:basedOn w:val="1"/>
    <w:next w:val="1"/>
    <w:qFormat/>
    <w:uiPriority w:val="0"/>
    <w:pPr>
      <w:ind w:left="630"/>
      <w:jc w:val="left"/>
    </w:pPr>
    <w:rPr>
      <w:sz w:val="18"/>
      <w:szCs w:val="18"/>
    </w:rPr>
  </w:style>
  <w:style w:type="paragraph" w:styleId="16">
    <w:name w:val="Document Map"/>
    <w:basedOn w:val="1"/>
    <w:semiHidden/>
    <w:qFormat/>
    <w:uiPriority w:val="0"/>
    <w:pPr>
      <w:shd w:val="clear" w:color="auto" w:fill="000080"/>
    </w:pPr>
  </w:style>
  <w:style w:type="paragraph" w:styleId="17">
    <w:name w:val="annotation text"/>
    <w:basedOn w:val="1"/>
    <w:link w:val="254"/>
    <w:semiHidden/>
    <w:qFormat/>
    <w:uiPriority w:val="0"/>
    <w:pPr>
      <w:jc w:val="left"/>
    </w:pPr>
    <w:rPr>
      <w:rFonts w:ascii="Calibri" w:hAnsi="Calibri"/>
    </w:rPr>
  </w:style>
  <w:style w:type="paragraph" w:styleId="18">
    <w:name w:val="Salutation"/>
    <w:basedOn w:val="1"/>
    <w:next w:val="1"/>
    <w:qFormat/>
    <w:uiPriority w:val="0"/>
    <w:rPr>
      <w:rFonts w:ascii="仿宋_GB2312" w:eastAsia="仿宋_GB2312"/>
      <w:sz w:val="24"/>
    </w:rPr>
  </w:style>
  <w:style w:type="paragraph" w:styleId="19">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20">
    <w:name w:val="Body Text Indent"/>
    <w:basedOn w:val="1"/>
    <w:next w:val="21"/>
    <w:link w:val="267"/>
    <w:qFormat/>
    <w:uiPriority w:val="0"/>
    <w:pPr>
      <w:spacing w:after="120"/>
      <w:ind w:left="420" w:leftChars="200"/>
    </w:pPr>
    <w:rPr>
      <w:rFonts w:ascii="Calibri" w:hAnsi="Calibri"/>
    </w:rPr>
  </w:style>
  <w:style w:type="paragraph" w:styleId="21">
    <w:name w:val="Body Text First Indent 2"/>
    <w:basedOn w:val="20"/>
    <w:next w:val="14"/>
    <w:unhideWhenUsed/>
    <w:qFormat/>
    <w:uiPriority w:val="99"/>
    <w:pPr>
      <w:ind w:firstLine="420" w:firstLineChars="200"/>
    </w:pPr>
  </w:style>
  <w:style w:type="paragraph" w:styleId="22">
    <w:name w:val="Block Text"/>
    <w:basedOn w:val="1"/>
    <w:qFormat/>
    <w:uiPriority w:val="0"/>
    <w:pPr>
      <w:ind w:left="1171" w:right="91" w:hanging="1080"/>
    </w:pPr>
    <w:rPr>
      <w:rFonts w:eastAsia="楷体_GB2312"/>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link w:val="298"/>
    <w:qFormat/>
    <w:uiPriority w:val="0"/>
    <w:rPr>
      <w:rFonts w:ascii="Calibri" w:hAnsi="Calibri"/>
      <w:sz w:val="24"/>
      <w:szCs w:val="20"/>
    </w:rPr>
  </w:style>
  <w:style w:type="paragraph" w:styleId="26">
    <w:name w:val="toc 8"/>
    <w:basedOn w:val="1"/>
    <w:next w:val="1"/>
    <w:qFormat/>
    <w:uiPriority w:val="0"/>
    <w:pPr>
      <w:ind w:left="1470"/>
      <w:jc w:val="left"/>
    </w:pPr>
    <w:rPr>
      <w:sz w:val="18"/>
      <w:szCs w:val="18"/>
    </w:rPr>
  </w:style>
  <w:style w:type="paragraph" w:styleId="27">
    <w:name w:val="Date"/>
    <w:basedOn w:val="1"/>
    <w:next w:val="1"/>
    <w:qFormat/>
    <w:uiPriority w:val="0"/>
    <w:rPr>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link w:val="250"/>
    <w:qFormat/>
    <w:uiPriority w:val="0"/>
    <w:rPr>
      <w:rFonts w:ascii="Calibri" w:hAnsi="Calibri"/>
      <w:sz w:val="18"/>
      <w:szCs w:val="18"/>
    </w:rPr>
  </w:style>
  <w:style w:type="paragraph" w:styleId="30">
    <w:name w:val="footer"/>
    <w:basedOn w:val="1"/>
    <w:link w:val="263"/>
    <w:qFormat/>
    <w:uiPriority w:val="0"/>
    <w:pPr>
      <w:tabs>
        <w:tab w:val="center" w:pos="4153"/>
        <w:tab w:val="right" w:pos="8306"/>
      </w:tabs>
      <w:snapToGrid w:val="0"/>
      <w:jc w:val="left"/>
    </w:pPr>
    <w:rPr>
      <w:rFonts w:ascii="Calibri" w:hAnsi="Calibri"/>
      <w:sz w:val="18"/>
      <w:szCs w:val="18"/>
    </w:rPr>
  </w:style>
  <w:style w:type="paragraph" w:styleId="31">
    <w:name w:val="header"/>
    <w:basedOn w:val="1"/>
    <w:link w:val="25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2">
    <w:name w:val="toc 1"/>
    <w:basedOn w:val="1"/>
    <w:next w:val="1"/>
    <w:semiHidden/>
    <w:qFormat/>
    <w:uiPriority w:val="0"/>
    <w:pPr>
      <w:spacing w:before="120" w:after="120"/>
      <w:jc w:val="left"/>
    </w:pPr>
    <w:rPr>
      <w:b/>
      <w:bCs/>
      <w:caps/>
      <w:sz w:val="20"/>
      <w:szCs w:val="20"/>
    </w:rPr>
  </w:style>
  <w:style w:type="paragraph" w:styleId="33">
    <w:name w:val="List"/>
    <w:basedOn w:val="1"/>
    <w:qFormat/>
    <w:uiPriority w:val="0"/>
    <w:pPr>
      <w:ind w:left="200" w:hanging="200" w:hangingChars="200"/>
    </w:pPr>
    <w:rPr>
      <w:sz w:val="28"/>
    </w:rPr>
  </w:style>
  <w:style w:type="paragraph" w:styleId="34">
    <w:name w:val="footnote text"/>
    <w:basedOn w:val="1"/>
    <w:qFormat/>
    <w:uiPriority w:val="99"/>
  </w:style>
  <w:style w:type="paragraph" w:styleId="35">
    <w:name w:val="toc 6"/>
    <w:basedOn w:val="1"/>
    <w:next w:val="1"/>
    <w:qFormat/>
    <w:uiPriority w:val="0"/>
    <w:pPr>
      <w:ind w:left="1050"/>
      <w:jc w:val="left"/>
    </w:pPr>
    <w:rPr>
      <w:sz w:val="18"/>
      <w:szCs w:val="18"/>
    </w:rPr>
  </w:style>
  <w:style w:type="paragraph" w:styleId="36">
    <w:name w:val="Body Text Indent 3"/>
    <w:basedOn w:val="1"/>
    <w:link w:val="300"/>
    <w:qFormat/>
    <w:uiPriority w:val="0"/>
    <w:pPr>
      <w:spacing w:after="120"/>
      <w:ind w:left="420" w:leftChars="200"/>
    </w:pPr>
    <w:rPr>
      <w:rFonts w:ascii="Calibri" w:hAnsi="Calibri"/>
      <w:sz w:val="16"/>
      <w:szCs w:val="16"/>
    </w:rPr>
  </w:style>
  <w:style w:type="paragraph" w:styleId="37">
    <w:name w:val="toc 2"/>
    <w:basedOn w:val="1"/>
    <w:next w:val="1"/>
    <w:qFormat/>
    <w:uiPriority w:val="0"/>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Body Text 2"/>
    <w:basedOn w:val="1"/>
    <w:qFormat/>
    <w:uiPriority w:val="0"/>
    <w:pPr>
      <w:spacing w:after="120" w:line="480" w:lineRule="auto"/>
    </w:pPr>
  </w:style>
  <w:style w:type="paragraph" w:styleId="40">
    <w:name w:val="HTML Preformatted"/>
    <w:basedOn w:val="1"/>
    <w:link w:val="2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0"/>
    </w:rPr>
  </w:style>
  <w:style w:type="paragraph" w:styleId="43">
    <w:name w:val="Title"/>
    <w:basedOn w:val="1"/>
    <w:next w:val="1"/>
    <w:link w:val="255"/>
    <w:qFormat/>
    <w:uiPriority w:val="0"/>
    <w:pPr>
      <w:spacing w:before="240" w:after="60"/>
      <w:jc w:val="center"/>
      <w:outlineLvl w:val="0"/>
    </w:pPr>
    <w:rPr>
      <w:rFonts w:ascii="Cambria" w:hAnsi="Cambria"/>
      <w:b/>
      <w:sz w:val="32"/>
    </w:rPr>
  </w:style>
  <w:style w:type="paragraph" w:styleId="44">
    <w:name w:val="annotation subject"/>
    <w:basedOn w:val="17"/>
    <w:next w:val="17"/>
    <w:link w:val="315"/>
    <w:qFormat/>
    <w:uiPriority w:val="0"/>
    <w:rPr>
      <w:b/>
      <w:bCs/>
    </w:rPr>
  </w:style>
  <w:style w:type="paragraph" w:styleId="45">
    <w:name w:val="Body Text First Indent"/>
    <w:basedOn w:val="2"/>
    <w:next w:val="1"/>
    <w:unhideWhenUsed/>
    <w:qFormat/>
    <w:uiPriority w:val="99"/>
    <w:pPr>
      <w:ind w:firstLine="420" w:firstLineChars="1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Strong"/>
    <w:basedOn w:val="48"/>
    <w:qFormat/>
    <w:uiPriority w:val="0"/>
    <w:rPr>
      <w:rFonts w:ascii="Times New Roman" w:hAnsi="Times New Roman" w:eastAsia="宋体" w:cs="Times New Roman"/>
      <w:b/>
      <w:bCs/>
    </w:rPr>
  </w:style>
  <w:style w:type="character" w:styleId="50">
    <w:name w:val="page number"/>
    <w:basedOn w:val="48"/>
    <w:qFormat/>
    <w:uiPriority w:val="0"/>
    <w:rPr>
      <w:rFonts w:ascii="宋体" w:hAnsi="宋体" w:eastAsia="宋体" w:cs="宋体"/>
      <w:sz w:val="24"/>
    </w:rPr>
  </w:style>
  <w:style w:type="character" w:styleId="51">
    <w:name w:val="FollowedHyperlink"/>
    <w:qFormat/>
    <w:uiPriority w:val="0"/>
    <w:rPr>
      <w:rFonts w:ascii="Times New Roman" w:hAnsi="Times New Roman" w:eastAsia="宋体" w:cs="Times New Roman"/>
      <w:color w:val="800080"/>
      <w:u w:val="single"/>
    </w:rPr>
  </w:style>
  <w:style w:type="character" w:styleId="52">
    <w:name w:val="Emphasis"/>
    <w:qFormat/>
    <w:uiPriority w:val="0"/>
    <w:rPr>
      <w:rFonts w:ascii="Times New Roman" w:hAnsi="Times New Roman" w:eastAsia="宋体" w:cs="Times New Roman"/>
    </w:rPr>
  </w:style>
  <w:style w:type="character" w:styleId="53">
    <w:name w:val="HTML Definition"/>
    <w:qFormat/>
    <w:uiPriority w:val="0"/>
    <w:rPr>
      <w:rFonts w:ascii="Times New Roman" w:hAnsi="Times New Roman" w:eastAsia="宋体" w:cs="Times New Roman"/>
    </w:rPr>
  </w:style>
  <w:style w:type="character" w:styleId="54">
    <w:name w:val="HTML Variable"/>
    <w:qFormat/>
    <w:uiPriority w:val="0"/>
    <w:rPr>
      <w:rFonts w:ascii="Times New Roman" w:hAnsi="Times New Roman" w:eastAsia="宋体" w:cs="Times New Roman"/>
    </w:rPr>
  </w:style>
  <w:style w:type="character" w:styleId="55">
    <w:name w:val="Hyperlink"/>
    <w:basedOn w:val="48"/>
    <w:qFormat/>
    <w:uiPriority w:val="99"/>
    <w:rPr>
      <w:rFonts w:ascii="Times New Roman" w:hAnsi="Times New Roman" w:eastAsia="宋体" w:cs="Times New Roman"/>
      <w:color w:val="136EC2"/>
      <w:u w:val="single"/>
    </w:rPr>
  </w:style>
  <w:style w:type="character" w:styleId="56">
    <w:name w:val="HTML Code"/>
    <w:qFormat/>
    <w:uiPriority w:val="0"/>
    <w:rPr>
      <w:rFonts w:ascii="Courier New" w:hAnsi="Courier New" w:eastAsia="Courier New" w:cs="Courier New"/>
      <w:sz w:val="20"/>
    </w:rPr>
  </w:style>
  <w:style w:type="character" w:styleId="57">
    <w:name w:val="annotation reference"/>
    <w:qFormat/>
    <w:uiPriority w:val="0"/>
    <w:rPr>
      <w:rFonts w:ascii="Times New Roman" w:hAnsi="Times New Roman" w:eastAsia="宋体" w:cs="Times New Roman"/>
      <w:sz w:val="21"/>
      <w:szCs w:val="21"/>
    </w:rPr>
  </w:style>
  <w:style w:type="character" w:styleId="58">
    <w:name w:val="HTML Cite"/>
    <w:qFormat/>
    <w:uiPriority w:val="0"/>
    <w:rPr>
      <w:rFonts w:ascii="Times New Roman" w:hAnsi="Times New Roman" w:eastAsia="宋体" w:cs="Times New Roman"/>
    </w:rPr>
  </w:style>
  <w:style w:type="character" w:styleId="59">
    <w:name w:val="HTML Keyboard"/>
    <w:qFormat/>
    <w:uiPriority w:val="0"/>
    <w:rPr>
      <w:rFonts w:ascii="Courier New" w:hAnsi="Courier New" w:eastAsia="Courier New" w:cs="Courier New"/>
      <w:sz w:val="20"/>
    </w:rPr>
  </w:style>
  <w:style w:type="character" w:styleId="60">
    <w:name w:val="HTML Sample"/>
    <w:qFormat/>
    <w:uiPriority w:val="0"/>
    <w:rPr>
      <w:rFonts w:ascii="Courier New" w:hAnsi="Courier New" w:eastAsia="Courier New" w:cs="Courier New"/>
    </w:rPr>
  </w:style>
  <w:style w:type="paragraph" w:customStyle="1" w:styleId="61">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2">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63">
    <w:name w:val="Style8"/>
    <w:basedOn w:val="1"/>
    <w:unhideWhenUsed/>
    <w:qFormat/>
    <w:uiPriority w:val="0"/>
    <w:pPr>
      <w:spacing w:line="566" w:lineRule="exact"/>
      <w:jc w:val="center"/>
    </w:pPr>
  </w:style>
  <w:style w:type="paragraph" w:customStyle="1" w:styleId="64">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5">
    <w:name w:val="Style74"/>
    <w:basedOn w:val="1"/>
    <w:unhideWhenUsed/>
    <w:qFormat/>
    <w:uiPriority w:val="0"/>
    <w:pPr>
      <w:spacing w:line="437" w:lineRule="exact"/>
    </w:pPr>
  </w:style>
  <w:style w:type="paragraph" w:customStyle="1" w:styleId="66">
    <w:name w:val="Style52"/>
    <w:basedOn w:val="1"/>
    <w:unhideWhenUsed/>
    <w:qFormat/>
    <w:uiPriority w:val="0"/>
    <w:pPr>
      <w:spacing w:line="682" w:lineRule="exact"/>
      <w:ind w:firstLine="557"/>
    </w:pPr>
  </w:style>
  <w:style w:type="paragraph" w:customStyle="1" w:styleId="67">
    <w:name w:val="_Style 39"/>
    <w:basedOn w:val="68"/>
    <w:qFormat/>
    <w:uiPriority w:val="0"/>
  </w:style>
  <w:style w:type="paragraph" w:customStyle="1" w:styleId="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2"/>
    <w:basedOn w:val="43"/>
    <w:qFormat/>
    <w:uiPriority w:val="0"/>
    <w:pPr>
      <w:spacing w:after="240"/>
      <w:jc w:val="left"/>
    </w:pPr>
    <w:rPr>
      <w:sz w:val="30"/>
    </w:rPr>
  </w:style>
  <w:style w:type="paragraph" w:customStyle="1" w:styleId="70">
    <w:name w:val="Style44"/>
    <w:basedOn w:val="1"/>
    <w:unhideWhenUsed/>
    <w:qFormat/>
    <w:uiPriority w:val="0"/>
  </w:style>
  <w:style w:type="paragraph" w:customStyle="1" w:styleId="71">
    <w:name w:val="Style56"/>
    <w:basedOn w:val="1"/>
    <w:unhideWhenUsed/>
    <w:qFormat/>
    <w:uiPriority w:val="0"/>
  </w:style>
  <w:style w:type="paragraph" w:customStyle="1" w:styleId="72">
    <w:name w:val="Char1 Char Char Char"/>
    <w:basedOn w:val="1"/>
    <w:qFormat/>
    <w:uiPriority w:val="0"/>
    <w:pPr>
      <w:widowControl/>
      <w:spacing w:after="160" w:line="240" w:lineRule="exact"/>
      <w:jc w:val="left"/>
    </w:pPr>
    <w:rPr>
      <w:kern w:val="0"/>
      <w:sz w:val="24"/>
      <w:szCs w:val="20"/>
    </w:rPr>
  </w:style>
  <w:style w:type="paragraph" w:customStyle="1" w:styleId="73">
    <w:name w:val="默认段落字体 Para Char Char Char Char Char Char Char"/>
    <w:basedOn w:val="1"/>
    <w:qFormat/>
    <w:uiPriority w:val="0"/>
    <w:pPr>
      <w:adjustRightInd w:val="0"/>
      <w:spacing w:line="360" w:lineRule="atLeast"/>
      <w:jc w:val="left"/>
      <w:textAlignment w:val="baseline"/>
    </w:pPr>
    <w:rPr>
      <w:kern w:val="0"/>
      <w:sz w:val="24"/>
      <w:szCs w:val="20"/>
    </w:rPr>
  </w:style>
  <w:style w:type="paragraph" w:customStyle="1" w:styleId="74">
    <w:name w:val="表名称"/>
    <w:basedOn w:val="14"/>
    <w:qFormat/>
    <w:uiPriority w:val="0"/>
    <w:pPr>
      <w:numPr>
        <w:ilvl w:val="0"/>
        <w:numId w:val="1"/>
      </w:numPr>
      <w:ind w:firstLine="0"/>
      <w:jc w:val="center"/>
    </w:pPr>
  </w:style>
  <w:style w:type="paragraph" w:customStyle="1" w:styleId="75">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76">
    <w:name w:val="Char1 Char Char Char 字元 Char Char 字元 Char 字元 Char1 Char Char Char"/>
    <w:basedOn w:val="1"/>
    <w:qFormat/>
    <w:uiPriority w:val="0"/>
    <w:rPr>
      <w:szCs w:val="20"/>
    </w:rPr>
  </w:style>
  <w:style w:type="paragraph" w:customStyle="1" w:styleId="77">
    <w:name w:val="Style13"/>
    <w:basedOn w:val="1"/>
    <w:unhideWhenUsed/>
    <w:qFormat/>
    <w:uiPriority w:val="0"/>
  </w:style>
  <w:style w:type="paragraph" w:customStyle="1" w:styleId="7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79">
    <w:name w:val="Style69"/>
    <w:basedOn w:val="1"/>
    <w:unhideWhenUsed/>
    <w:qFormat/>
    <w:uiPriority w:val="0"/>
    <w:pPr>
      <w:spacing w:line="557" w:lineRule="exact"/>
      <w:ind w:firstLine="1666"/>
    </w:pPr>
  </w:style>
  <w:style w:type="paragraph" w:customStyle="1" w:styleId="80">
    <w:name w:val="Style10"/>
    <w:basedOn w:val="1"/>
    <w:unhideWhenUsed/>
    <w:qFormat/>
    <w:uiPriority w:val="0"/>
    <w:pPr>
      <w:spacing w:line="538" w:lineRule="exact"/>
    </w:pPr>
  </w:style>
  <w:style w:type="paragraph" w:customStyle="1" w:styleId="81">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3">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1 Char Char Char Char"/>
    <w:basedOn w:val="1"/>
    <w:qFormat/>
    <w:uiPriority w:val="0"/>
  </w:style>
  <w:style w:type="paragraph" w:customStyle="1" w:styleId="86">
    <w:name w:val="默认段落字体 Para Char Char Char Char Char Char Char Char Char Char Char Char Char Char Char Char Char Char Char"/>
    <w:basedOn w:val="1"/>
    <w:qFormat/>
    <w:uiPriority w:val="0"/>
  </w:style>
  <w:style w:type="paragraph" w:customStyle="1" w:styleId="87">
    <w:name w:val="Style64"/>
    <w:basedOn w:val="1"/>
    <w:unhideWhenUsed/>
    <w:qFormat/>
    <w:uiPriority w:val="0"/>
  </w:style>
  <w:style w:type="paragraph" w:customStyle="1" w:styleId="88">
    <w:name w:val="附录标识"/>
    <w:basedOn w:val="61"/>
    <w:qFormat/>
    <w:uiPriority w:val="0"/>
    <w:pPr>
      <w:tabs>
        <w:tab w:val="left" w:pos="6405"/>
      </w:tabs>
      <w:spacing w:after="200"/>
    </w:pPr>
    <w:rPr>
      <w:sz w:val="21"/>
    </w:rPr>
  </w:style>
  <w:style w:type="paragraph" w:customStyle="1" w:styleId="89">
    <w:name w:val="Style60"/>
    <w:basedOn w:val="1"/>
    <w:unhideWhenUsed/>
    <w:qFormat/>
    <w:uiPriority w:val="0"/>
    <w:pPr>
      <w:spacing w:line="566" w:lineRule="exact"/>
    </w:pPr>
  </w:style>
  <w:style w:type="paragraph" w:customStyle="1" w:styleId="90">
    <w:name w:val="Style67"/>
    <w:basedOn w:val="1"/>
    <w:unhideWhenUsed/>
    <w:qFormat/>
    <w:uiPriority w:val="0"/>
    <w:pPr>
      <w:spacing w:line="566" w:lineRule="exact"/>
      <w:ind w:firstLine="552"/>
    </w:pPr>
  </w:style>
  <w:style w:type="paragraph" w:customStyle="1" w:styleId="91">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4">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har Char1 Char Char Char"/>
    <w:basedOn w:val="1"/>
    <w:qFormat/>
    <w:uiPriority w:val="0"/>
    <w:rPr>
      <w:kern w:val="0"/>
      <w:sz w:val="20"/>
      <w:szCs w:val="20"/>
    </w:rPr>
  </w:style>
  <w:style w:type="paragraph" w:customStyle="1" w:styleId="96">
    <w:name w:val="4号正文"/>
    <w:basedOn w:val="1"/>
    <w:qFormat/>
    <w:uiPriority w:val="0"/>
    <w:pPr>
      <w:spacing w:after="120"/>
      <w:ind w:firstLine="555" w:firstLineChars="196"/>
    </w:pPr>
    <w:rPr>
      <w:rFonts w:ascii="仿宋_GB2312" w:hAnsi="华文细黑" w:eastAsia="仿宋_GB2312"/>
      <w:spacing w:val="10"/>
      <w:sz w:val="28"/>
      <w:szCs w:val="20"/>
    </w:rPr>
  </w:style>
  <w:style w:type="paragraph" w:customStyle="1" w:styleId="97">
    <w:name w:val="索引 11"/>
    <w:basedOn w:val="1"/>
    <w:next w:val="1"/>
    <w:qFormat/>
    <w:uiPriority w:val="0"/>
    <w:pPr>
      <w:spacing w:line="360" w:lineRule="auto"/>
    </w:pPr>
    <w:rPr>
      <w:rFonts w:ascii="仿宋_GB2312" w:eastAsia="仿宋_GB2312"/>
      <w:sz w:val="24"/>
      <w:szCs w:val="20"/>
    </w:rPr>
  </w:style>
  <w:style w:type="paragraph" w:customStyle="1" w:styleId="98">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99">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0">
    <w:name w:val="表格内容"/>
    <w:basedOn w:val="2"/>
    <w:qFormat/>
    <w:uiPriority w:val="0"/>
    <w:pPr>
      <w:suppressLineNumbers/>
      <w:suppressAutoHyphens/>
      <w:jc w:val="left"/>
    </w:pPr>
    <w:rPr>
      <w:rFonts w:cs="Tahoma"/>
      <w:kern w:val="0"/>
      <w:sz w:val="24"/>
    </w:rPr>
  </w:style>
  <w:style w:type="paragraph" w:customStyle="1" w:styleId="101">
    <w:name w:val="Style54"/>
    <w:basedOn w:val="1"/>
    <w:unhideWhenUsed/>
    <w:qFormat/>
    <w:uiPriority w:val="0"/>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0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Style11"/>
    <w:basedOn w:val="1"/>
    <w:unhideWhenUsed/>
    <w:qFormat/>
    <w:uiPriority w:val="0"/>
    <w:pPr>
      <w:spacing w:line="559" w:lineRule="exact"/>
      <w:ind w:firstLine="590"/>
    </w:pPr>
  </w:style>
  <w:style w:type="paragraph" w:customStyle="1" w:styleId="10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7">
    <w:name w:val="Style48"/>
    <w:basedOn w:val="1"/>
    <w:unhideWhenUsed/>
    <w:qFormat/>
    <w:uiPriority w:val="0"/>
    <w:pPr>
      <w:spacing w:line="542" w:lineRule="exact"/>
      <w:jc w:val="right"/>
    </w:pPr>
  </w:style>
  <w:style w:type="paragraph" w:customStyle="1" w:styleId="108">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09">
    <w:name w:val="Char Char1 Char Char Char Char Char1 Char Char Char Char"/>
    <w:basedOn w:val="16"/>
    <w:qFormat/>
    <w:uiPriority w:val="0"/>
    <w:rPr>
      <w:rFonts w:ascii="Tahoma" w:hAnsi="Tahoma"/>
    </w:rPr>
  </w:style>
  <w:style w:type="paragraph" w:customStyle="1" w:styleId="110">
    <w:name w:val="Style80"/>
    <w:basedOn w:val="1"/>
    <w:unhideWhenUsed/>
    <w:qFormat/>
    <w:uiPriority w:val="0"/>
  </w:style>
  <w:style w:type="paragraph" w:customStyle="1" w:styleId="111">
    <w:name w:val="Style71"/>
    <w:basedOn w:val="1"/>
    <w:unhideWhenUsed/>
    <w:qFormat/>
    <w:uiPriority w:val="0"/>
    <w:pPr>
      <w:spacing w:line="538" w:lineRule="exact"/>
      <w:ind w:firstLine="101"/>
    </w:p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Style34"/>
    <w:basedOn w:val="1"/>
    <w:unhideWhenUsed/>
    <w:qFormat/>
    <w:uiPriority w:val="0"/>
    <w:pPr>
      <w:spacing w:line="375" w:lineRule="exact"/>
    </w:pPr>
  </w:style>
  <w:style w:type="paragraph" w:customStyle="1" w:styleId="11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Style5"/>
    <w:basedOn w:val="1"/>
    <w:unhideWhenUsed/>
    <w:qFormat/>
    <w:uiPriority w:val="0"/>
  </w:style>
  <w:style w:type="paragraph" w:customStyle="1" w:styleId="1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1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3">
    <w:name w:val="Style4"/>
    <w:basedOn w:val="1"/>
    <w:unhideWhenUsed/>
    <w:qFormat/>
    <w:uiPriority w:val="0"/>
  </w:style>
  <w:style w:type="paragraph" w:customStyle="1" w:styleId="12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5">
    <w:name w:val="NO3"/>
    <w:basedOn w:val="1"/>
    <w:qFormat/>
    <w:uiPriority w:val="0"/>
    <w:pPr>
      <w:tabs>
        <w:tab w:val="left" w:pos="907"/>
      </w:tabs>
      <w:spacing w:line="360" w:lineRule="auto"/>
    </w:pPr>
    <w:rPr>
      <w:rFonts w:ascii="宋体" w:hAnsi="宋体"/>
      <w:sz w:val="24"/>
    </w:rPr>
  </w:style>
  <w:style w:type="paragraph" w:customStyle="1" w:styleId="126">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28">
    <w:name w:val="Style41"/>
    <w:basedOn w:val="1"/>
    <w:unhideWhenUsed/>
    <w:qFormat/>
    <w:uiPriority w:val="0"/>
    <w:pPr>
      <w:spacing w:line="542" w:lineRule="exact"/>
      <w:ind w:firstLine="125"/>
    </w:pPr>
  </w:style>
  <w:style w:type="paragraph" w:customStyle="1" w:styleId="129">
    <w:name w:val="1"/>
    <w:basedOn w:val="1"/>
    <w:qFormat/>
    <w:uiPriority w:val="0"/>
    <w:pPr>
      <w:spacing w:after="156" w:afterLines="50" w:line="360" w:lineRule="auto"/>
    </w:pPr>
    <w:rPr>
      <w:rFonts w:ascii="宋体" w:hAnsi="宋体"/>
      <w:b/>
      <w:sz w:val="30"/>
      <w:szCs w:val="21"/>
    </w:rPr>
  </w:style>
  <w:style w:type="paragraph" w:customStyle="1" w:styleId="130">
    <w:name w:val="Style53"/>
    <w:basedOn w:val="1"/>
    <w:unhideWhenUsed/>
    <w:qFormat/>
    <w:uiPriority w:val="0"/>
    <w:pPr>
      <w:spacing w:line="533" w:lineRule="exact"/>
      <w:ind w:firstLine="581"/>
    </w:pPr>
  </w:style>
  <w:style w:type="paragraph" w:customStyle="1" w:styleId="131">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2">
    <w:name w:val="Char1 Char Char Char Char Char Char Char Char Char"/>
    <w:basedOn w:val="1"/>
    <w:qFormat/>
    <w:uiPriority w:val="0"/>
    <w:rPr>
      <w:szCs w:val="20"/>
    </w:rPr>
  </w:style>
  <w:style w:type="paragraph" w:customStyle="1" w:styleId="133">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4">
    <w:name w:val="Style46"/>
    <w:basedOn w:val="1"/>
    <w:unhideWhenUsed/>
    <w:qFormat/>
    <w:uiPriority w:val="0"/>
    <w:pPr>
      <w:spacing w:line="672" w:lineRule="exact"/>
    </w:pPr>
  </w:style>
  <w:style w:type="paragraph" w:customStyle="1" w:styleId="135">
    <w:name w:val="我的正文"/>
    <w:basedOn w:val="1"/>
    <w:link w:val="242"/>
    <w:qFormat/>
    <w:uiPriority w:val="0"/>
    <w:pPr>
      <w:spacing w:line="480" w:lineRule="exact"/>
      <w:ind w:firstLine="200" w:firstLineChars="200"/>
    </w:pPr>
    <w:rPr>
      <w:rFonts w:ascii="Arial" w:hAnsi="Arial" w:eastAsia="微软雅黑"/>
      <w:kern w:val="0"/>
      <w:sz w:val="24"/>
    </w:rPr>
  </w:style>
  <w:style w:type="paragraph" w:customStyle="1" w:styleId="136">
    <w:name w:val="纯文本1"/>
    <w:basedOn w:val="1"/>
    <w:link w:val="322"/>
    <w:qFormat/>
    <w:uiPriority w:val="0"/>
    <w:rPr>
      <w:rFonts w:ascii="宋体" w:hAnsi="Courier New" w:eastAsia="微软雅黑"/>
      <w:kern w:val="0"/>
      <w:sz w:val="20"/>
      <w:szCs w:val="20"/>
    </w:rPr>
  </w:style>
  <w:style w:type="paragraph" w:customStyle="1" w:styleId="137">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Char Char Char1 Char Char Char Char Char Char Char"/>
    <w:basedOn w:val="1"/>
    <w:qFormat/>
    <w:uiPriority w:val="0"/>
    <w:pPr>
      <w:spacing w:line="360" w:lineRule="auto"/>
    </w:pPr>
    <w:rPr>
      <w:rFonts w:ascii="宋体" w:hAnsi="宋体" w:cs="宋体"/>
      <w:sz w:val="24"/>
    </w:rPr>
  </w:style>
  <w:style w:type="paragraph" w:customStyle="1" w:styleId="139">
    <w:name w:val="p18_1_2"/>
    <w:basedOn w:val="1"/>
    <w:qFormat/>
    <w:uiPriority w:val="0"/>
    <w:pPr>
      <w:widowControl/>
    </w:pPr>
    <w:rPr>
      <w:kern w:val="0"/>
      <w:szCs w:val="21"/>
    </w:rPr>
  </w:style>
  <w:style w:type="paragraph" w:customStyle="1" w:styleId="14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1">
    <w:name w:val="Style81"/>
    <w:basedOn w:val="1"/>
    <w:unhideWhenUsed/>
    <w:qFormat/>
    <w:uiPriority w:val="0"/>
    <w:pPr>
      <w:spacing w:line="547" w:lineRule="exact"/>
    </w:p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
    <w:name w:val="p16"/>
    <w:basedOn w:val="1"/>
    <w:qFormat/>
    <w:uiPriority w:val="0"/>
    <w:pPr>
      <w:widowControl/>
      <w:jc w:val="left"/>
    </w:pPr>
    <w:rPr>
      <w:kern w:val="0"/>
      <w:szCs w:val="21"/>
    </w:rPr>
  </w:style>
  <w:style w:type="paragraph" w:customStyle="1" w:styleId="145">
    <w:name w:val="标题 1 +"/>
    <w:basedOn w:val="3"/>
    <w:next w:val="1"/>
    <w:qFormat/>
    <w:uiPriority w:val="0"/>
    <w:pPr>
      <w:keepLines/>
      <w:spacing w:line="600" w:lineRule="auto"/>
    </w:pPr>
    <w:rPr>
      <w:rFonts w:eastAsia="黑体"/>
      <w:kern w:val="0"/>
      <w:sz w:val="32"/>
      <w:szCs w:val="32"/>
    </w:rPr>
  </w:style>
  <w:style w:type="paragraph" w:customStyle="1" w:styleId="146">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7">
    <w:name w:val="Style45"/>
    <w:basedOn w:val="1"/>
    <w:unhideWhenUsed/>
    <w:qFormat/>
    <w:uiPriority w:val="0"/>
  </w:style>
  <w:style w:type="paragraph" w:customStyle="1" w:styleId="148">
    <w:name w:val="Style77"/>
    <w:basedOn w:val="1"/>
    <w:unhideWhenUsed/>
    <w:qFormat/>
    <w:uiPriority w:val="0"/>
  </w:style>
  <w:style w:type="paragraph" w:customStyle="1" w:styleId="1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0">
    <w:name w:val="正文1"/>
    <w:basedOn w:val="1"/>
    <w:qFormat/>
    <w:uiPriority w:val="0"/>
    <w:pPr>
      <w:numPr>
        <w:ilvl w:val="0"/>
        <w:numId w:val="2"/>
      </w:numPr>
      <w:tabs>
        <w:tab w:val="left" w:pos="2220"/>
      </w:tabs>
      <w:spacing w:line="360" w:lineRule="auto"/>
    </w:pPr>
    <w:rPr>
      <w:rFonts w:ascii="宋体" w:hAnsi="宋体"/>
    </w:rPr>
  </w:style>
  <w:style w:type="paragraph" w:customStyle="1" w:styleId="15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52">
    <w:name w:val="Style26"/>
    <w:basedOn w:val="1"/>
    <w:unhideWhenUsed/>
    <w:qFormat/>
    <w:uiPriority w:val="0"/>
  </w:style>
  <w:style w:type="paragraph" w:customStyle="1" w:styleId="15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4">
    <w:name w:val="Style63"/>
    <w:basedOn w:val="1"/>
    <w:unhideWhenUsed/>
    <w:qFormat/>
    <w:uiPriority w:val="0"/>
    <w:pPr>
      <w:spacing w:line="564" w:lineRule="exact"/>
      <w:ind w:firstLine="682"/>
    </w:pPr>
  </w:style>
  <w:style w:type="paragraph" w:customStyle="1" w:styleId="155">
    <w:name w:val="Style27"/>
    <w:basedOn w:val="1"/>
    <w:unhideWhenUsed/>
    <w:qFormat/>
    <w:uiPriority w:val="0"/>
  </w:style>
  <w:style w:type="paragraph" w:customStyle="1" w:styleId="156">
    <w:name w:val="Char"/>
    <w:basedOn w:val="1"/>
    <w:qFormat/>
    <w:uiPriority w:val="0"/>
    <w:pPr>
      <w:tabs>
        <w:tab w:val="left" w:pos="360"/>
      </w:tabs>
      <w:ind w:left="360" w:hanging="360" w:hangingChars="200"/>
    </w:pPr>
    <w:rPr>
      <w:sz w:val="24"/>
    </w:rPr>
  </w:style>
  <w:style w:type="paragraph" w:customStyle="1" w:styleId="157">
    <w:name w:val="Style29"/>
    <w:basedOn w:val="1"/>
    <w:unhideWhenUsed/>
    <w:qFormat/>
    <w:uiPriority w:val="0"/>
    <w:pPr>
      <w:spacing w:line="547" w:lineRule="exact"/>
      <w:ind w:firstLine="547"/>
    </w:pPr>
  </w:style>
  <w:style w:type="paragraph" w:customStyle="1" w:styleId="158">
    <w:name w:val="_Style 185"/>
    <w:qFormat/>
    <w:uiPriority w:val="0"/>
    <w:rPr>
      <w:rFonts w:ascii="Times New Roman" w:hAnsi="Times New Roman" w:eastAsia="宋体" w:cs="Times New Roman"/>
      <w:kern w:val="2"/>
      <w:sz w:val="21"/>
      <w:szCs w:val="24"/>
      <w:lang w:val="en-US" w:eastAsia="zh-CN" w:bidi="ar-SA"/>
    </w:rPr>
  </w:style>
  <w:style w:type="paragraph" w:customStyle="1" w:styleId="159">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60">
    <w:name w:val="Style21"/>
    <w:basedOn w:val="1"/>
    <w:unhideWhenUsed/>
    <w:qFormat/>
    <w:uiPriority w:val="0"/>
    <w:pPr>
      <w:spacing w:line="566" w:lineRule="exact"/>
      <w:ind w:firstLine="682"/>
    </w:pPr>
  </w:style>
  <w:style w:type="paragraph" w:customStyle="1" w:styleId="161">
    <w:name w:val="Style12"/>
    <w:basedOn w:val="1"/>
    <w:unhideWhenUsed/>
    <w:qFormat/>
    <w:uiPriority w:val="0"/>
    <w:pPr>
      <w:spacing w:line="564" w:lineRule="exact"/>
      <w:ind w:hanging="115"/>
    </w:pPr>
  </w:style>
  <w:style w:type="paragraph" w:customStyle="1" w:styleId="162">
    <w:name w:val="List Paragraph1"/>
    <w:basedOn w:val="1"/>
    <w:link w:val="225"/>
    <w:qFormat/>
    <w:uiPriority w:val="0"/>
    <w:pPr>
      <w:ind w:firstLine="420" w:firstLineChars="200"/>
    </w:pPr>
    <w:rPr>
      <w:rFonts w:ascii="Calibri" w:hAnsi="Calibri" w:cs="Calibri"/>
      <w:szCs w:val="21"/>
    </w:rPr>
  </w:style>
  <w:style w:type="paragraph" w:customStyle="1" w:styleId="163">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5">
    <w:name w:val="Style72"/>
    <w:basedOn w:val="1"/>
    <w:unhideWhenUsed/>
    <w:qFormat/>
    <w:uiPriority w:val="0"/>
  </w:style>
  <w:style w:type="paragraph" w:customStyle="1" w:styleId="166">
    <w:name w:val="Style68"/>
    <w:basedOn w:val="1"/>
    <w:unhideWhenUsed/>
    <w:qFormat/>
    <w:uiPriority w:val="0"/>
    <w:pPr>
      <w:spacing w:line="547" w:lineRule="exact"/>
    </w:pPr>
  </w:style>
  <w:style w:type="paragraph" w:customStyle="1" w:styleId="167">
    <w:name w:val="p0"/>
    <w:basedOn w:val="1"/>
    <w:link w:val="209"/>
    <w:qFormat/>
    <w:uiPriority w:val="0"/>
    <w:pPr>
      <w:widowControl/>
    </w:pPr>
    <w:rPr>
      <w:rFonts w:ascii="Calibri" w:hAnsi="Calibri"/>
      <w:kern w:val="0"/>
      <w:szCs w:val="21"/>
    </w:rPr>
  </w:style>
  <w:style w:type="paragraph" w:customStyle="1" w:styleId="168">
    <w:name w:val="Style16"/>
    <w:basedOn w:val="1"/>
    <w:unhideWhenUsed/>
    <w:qFormat/>
    <w:uiPriority w:val="0"/>
    <w:pPr>
      <w:jc w:val="right"/>
    </w:pPr>
  </w:style>
  <w:style w:type="paragraph" w:customStyle="1" w:styleId="169">
    <w:name w:val="Style28"/>
    <w:basedOn w:val="1"/>
    <w:unhideWhenUsed/>
    <w:qFormat/>
    <w:uiPriority w:val="0"/>
    <w:pPr>
      <w:spacing w:line="552" w:lineRule="exact"/>
      <w:ind w:firstLine="547"/>
    </w:pPr>
  </w:style>
  <w:style w:type="paragraph" w:customStyle="1" w:styleId="170">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1">
    <w:name w:val="Style15"/>
    <w:basedOn w:val="1"/>
    <w:unhideWhenUsed/>
    <w:qFormat/>
    <w:uiPriority w:val="0"/>
    <w:pPr>
      <w:spacing w:line="557" w:lineRule="exact"/>
      <w:ind w:firstLine="672"/>
    </w:pPr>
  </w:style>
  <w:style w:type="paragraph" w:customStyle="1" w:styleId="172">
    <w:name w:val="Table Paragraph"/>
    <w:basedOn w:val="1"/>
    <w:qFormat/>
    <w:uiPriority w:val="99"/>
    <w:rPr>
      <w:rFonts w:ascii="宋体" w:hAnsi="宋体" w:cs="宋体"/>
      <w:lang w:val="zh-CN"/>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4">
    <w:name w:val="Style47"/>
    <w:basedOn w:val="1"/>
    <w:unhideWhenUsed/>
    <w:qFormat/>
    <w:uiPriority w:val="0"/>
  </w:style>
  <w:style w:type="paragraph" w:customStyle="1" w:styleId="175">
    <w:name w:val="Style78"/>
    <w:basedOn w:val="1"/>
    <w:unhideWhenUsed/>
    <w:qFormat/>
    <w:uiPriority w:val="0"/>
  </w:style>
  <w:style w:type="paragraph" w:customStyle="1" w:styleId="176">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Style9"/>
    <w:basedOn w:val="1"/>
    <w:unhideWhenUsed/>
    <w:qFormat/>
    <w:uiPriority w:val="0"/>
  </w:style>
  <w:style w:type="paragraph" w:customStyle="1" w:styleId="178">
    <w:name w:val="Style23"/>
    <w:basedOn w:val="1"/>
    <w:unhideWhenUsed/>
    <w:qFormat/>
    <w:uiPriority w:val="0"/>
  </w:style>
  <w:style w:type="paragraph" w:customStyle="1" w:styleId="179">
    <w:name w:val="Style59"/>
    <w:basedOn w:val="1"/>
    <w:unhideWhenUsed/>
    <w:qFormat/>
    <w:uiPriority w:val="0"/>
  </w:style>
  <w:style w:type="paragraph" w:customStyle="1" w:styleId="180">
    <w:name w:val="Char Char Char"/>
    <w:basedOn w:val="1"/>
    <w:qFormat/>
    <w:uiPriority w:val="0"/>
    <w:rPr>
      <w:rFonts w:ascii="宋体" w:hAnsi="宋体"/>
      <w:b/>
      <w:sz w:val="28"/>
      <w:szCs w:val="28"/>
    </w:rPr>
  </w:style>
  <w:style w:type="paragraph" w:customStyle="1" w:styleId="181">
    <w:name w:val="正文新"/>
    <w:basedOn w:val="1"/>
    <w:link w:val="282"/>
    <w:qFormat/>
    <w:uiPriority w:val="0"/>
    <w:pPr>
      <w:spacing w:line="336" w:lineRule="auto"/>
      <w:ind w:firstLine="200" w:firstLineChars="200"/>
    </w:pPr>
    <w:rPr>
      <w:rFonts w:ascii="Calibri" w:hAnsi="Calibri"/>
      <w:sz w:val="18"/>
      <w:szCs w:val="21"/>
    </w:rPr>
  </w:style>
  <w:style w:type="paragraph" w:customStyle="1" w:styleId="182">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3">
    <w:name w:val="Style76"/>
    <w:basedOn w:val="1"/>
    <w:unhideWhenUsed/>
    <w:qFormat/>
    <w:uiPriority w:val="0"/>
  </w:style>
  <w:style w:type="paragraph" w:customStyle="1" w:styleId="18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5">
    <w:name w:val="Style62"/>
    <w:basedOn w:val="1"/>
    <w:unhideWhenUsed/>
    <w:qFormat/>
    <w:uiPriority w:val="0"/>
  </w:style>
  <w:style w:type="paragraph" w:customStyle="1" w:styleId="186">
    <w:name w:val="Style36"/>
    <w:basedOn w:val="1"/>
    <w:unhideWhenUsed/>
    <w:qFormat/>
    <w:uiPriority w:val="0"/>
  </w:style>
  <w:style w:type="paragraph" w:customStyle="1" w:styleId="187">
    <w:name w:val="Char Char1 Char Char Char Char Char Char Char"/>
    <w:basedOn w:val="1"/>
    <w:qFormat/>
    <w:uiPriority w:val="0"/>
    <w:pPr>
      <w:widowControl/>
      <w:spacing w:after="160" w:line="240" w:lineRule="exact"/>
      <w:jc w:val="left"/>
    </w:p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89">
    <w:name w:val="2 级标题"/>
    <w:basedOn w:val="4"/>
    <w:link w:val="256"/>
    <w:qFormat/>
    <w:uiPriority w:val="0"/>
    <w:pPr>
      <w:numPr>
        <w:ilvl w:val="1"/>
        <w:numId w:val="3"/>
      </w:numPr>
      <w:spacing w:before="120" w:after="120"/>
      <w:ind w:right="27" w:rightChars="13"/>
      <w:jc w:val="left"/>
    </w:pPr>
    <w:rPr>
      <w:rFonts w:ascii="Cambria" w:hAnsi="Cambria"/>
      <w:kern w:val="0"/>
      <w:sz w:val="32"/>
    </w:rPr>
  </w:style>
  <w:style w:type="paragraph" w:customStyle="1" w:styleId="190">
    <w:name w:val="标题3"/>
    <w:basedOn w:val="3"/>
    <w:qFormat/>
    <w:uiPriority w:val="0"/>
    <w:pPr>
      <w:spacing w:before="156" w:beforeLines="50" w:after="156" w:afterLines="50" w:line="400" w:lineRule="exact"/>
      <w:jc w:val="both"/>
    </w:pPr>
    <w:rPr>
      <w:rFonts w:ascii="宋体" w:hAnsi="宋体"/>
      <w:kern w:val="32"/>
      <w:szCs w:val="32"/>
    </w:rPr>
  </w:style>
  <w:style w:type="paragraph" w:customStyle="1" w:styleId="191">
    <w:name w:val="Style42"/>
    <w:basedOn w:val="1"/>
    <w:unhideWhenUsed/>
    <w:qFormat/>
    <w:uiPriority w:val="0"/>
    <w:pPr>
      <w:spacing w:line="542" w:lineRule="exact"/>
      <w:ind w:firstLine="547"/>
    </w:pPr>
  </w:style>
  <w:style w:type="paragraph" w:customStyle="1" w:styleId="192">
    <w:name w:val="正文缩进1"/>
    <w:basedOn w:val="1"/>
    <w:link w:val="313"/>
    <w:qFormat/>
    <w:uiPriority w:val="0"/>
    <w:pPr>
      <w:autoSpaceDE w:val="0"/>
      <w:autoSpaceDN w:val="0"/>
      <w:adjustRightInd w:val="0"/>
      <w:ind w:firstLine="420"/>
      <w:jc w:val="left"/>
    </w:pPr>
    <w:rPr>
      <w:rFonts w:ascii="宋体" w:hAnsi="Calibri" w:eastAsia="微软雅黑"/>
      <w:kern w:val="0"/>
      <w:sz w:val="24"/>
      <w:szCs w:val="20"/>
    </w:rPr>
  </w:style>
  <w:style w:type="paragraph" w:styleId="193">
    <w:name w:val="List Paragraph"/>
    <w:basedOn w:val="1"/>
    <w:qFormat/>
    <w:uiPriority w:val="99"/>
    <w:pPr>
      <w:ind w:firstLine="420" w:firstLineChars="200"/>
    </w:pPr>
    <w:rPr>
      <w:rFonts w:ascii="Calibri" w:hAnsi="Calibri"/>
      <w:szCs w:val="22"/>
    </w:rPr>
  </w:style>
  <w:style w:type="paragraph" w:customStyle="1" w:styleId="194">
    <w:name w:val="Style24"/>
    <w:basedOn w:val="1"/>
    <w:unhideWhenUsed/>
    <w:qFormat/>
    <w:uiPriority w:val="0"/>
  </w:style>
  <w:style w:type="paragraph" w:customStyle="1" w:styleId="195">
    <w:name w:val="Style61"/>
    <w:basedOn w:val="1"/>
    <w:unhideWhenUsed/>
    <w:qFormat/>
    <w:uiPriority w:val="0"/>
  </w:style>
  <w:style w:type="paragraph" w:customStyle="1" w:styleId="196">
    <w:name w:val="Style73"/>
    <w:basedOn w:val="1"/>
    <w:unhideWhenUsed/>
    <w:qFormat/>
    <w:uiPriority w:val="0"/>
    <w:pPr>
      <w:spacing w:line="538" w:lineRule="exact"/>
      <w:ind w:firstLine="533"/>
    </w:p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0">
    <w:name w:val="Style50"/>
    <w:basedOn w:val="1"/>
    <w:unhideWhenUsed/>
    <w:qFormat/>
    <w:uiPriority w:val="0"/>
  </w:style>
  <w:style w:type="paragraph" w:customStyle="1" w:styleId="201">
    <w:name w:val="Style58"/>
    <w:basedOn w:val="1"/>
    <w:unhideWhenUsed/>
    <w:qFormat/>
    <w:uiPriority w:val="0"/>
    <w:pPr>
      <w:spacing w:line="413" w:lineRule="exact"/>
    </w:pPr>
  </w:style>
  <w:style w:type="paragraph" w:customStyle="1" w:styleId="202">
    <w:name w:val="Char11"/>
    <w:basedOn w:val="1"/>
    <w:semiHidden/>
    <w:qFormat/>
    <w:uiPriority w:val="0"/>
    <w:rPr>
      <w:rFonts w:ascii="Tahoma" w:hAnsi="Tahoma" w:cs="仿宋_GB2312"/>
      <w:sz w:val="24"/>
      <w:szCs w:val="28"/>
    </w:rPr>
  </w:style>
  <w:style w:type="paragraph" w:customStyle="1" w:styleId="203">
    <w:name w:val="Style65"/>
    <w:basedOn w:val="1"/>
    <w:unhideWhenUsed/>
    <w:qFormat/>
    <w:uiPriority w:val="0"/>
  </w:style>
  <w:style w:type="paragraph" w:customStyle="1" w:styleId="20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5">
    <w:name w:val="Style70"/>
    <w:basedOn w:val="1"/>
    <w:unhideWhenUsed/>
    <w:qFormat/>
    <w:uiPriority w:val="0"/>
    <w:pPr>
      <w:spacing w:line="549" w:lineRule="exact"/>
      <w:ind w:firstLine="686"/>
    </w:pPr>
  </w:style>
  <w:style w:type="character" w:customStyle="1" w:styleId="206">
    <w:name w:val="apple-converted-space"/>
    <w:qFormat/>
    <w:uiPriority w:val="99"/>
    <w:rPr>
      <w:rFonts w:ascii="Tahoma" w:hAnsi="Tahoma" w:eastAsia="宋体" w:cs="仿宋_GB2312"/>
      <w:sz w:val="24"/>
      <w:szCs w:val="28"/>
    </w:rPr>
  </w:style>
  <w:style w:type="character" w:customStyle="1" w:styleId="207">
    <w:name w:val="font31"/>
    <w:qFormat/>
    <w:uiPriority w:val="0"/>
    <w:rPr>
      <w:rFonts w:hint="default" w:ascii="Arial" w:hAnsi="Arial" w:eastAsia="宋体" w:cs="Arial"/>
      <w:color w:val="000000"/>
      <w:sz w:val="22"/>
      <w:szCs w:val="22"/>
      <w:u w:val="none"/>
    </w:rPr>
  </w:style>
  <w:style w:type="character" w:customStyle="1" w:styleId="208">
    <w:name w:val="font11"/>
    <w:basedOn w:val="48"/>
    <w:qFormat/>
    <w:uiPriority w:val="0"/>
    <w:rPr>
      <w:rFonts w:hint="default" w:ascii="Times New Roman" w:hAnsi="Times New Roman" w:eastAsia="宋体" w:cs="Times New Roman"/>
      <w:b/>
      <w:color w:val="000000"/>
      <w:sz w:val="21"/>
      <w:szCs w:val="21"/>
      <w:u w:val="none"/>
    </w:rPr>
  </w:style>
  <w:style w:type="character" w:customStyle="1" w:styleId="209">
    <w:name w:val="p0 Char"/>
    <w:link w:val="167"/>
    <w:qFormat/>
    <w:uiPriority w:val="0"/>
    <w:rPr>
      <w:rFonts w:ascii="Times New Roman" w:hAnsi="Times New Roman" w:eastAsia="宋体" w:cs="Times New Roman"/>
      <w:sz w:val="21"/>
      <w:szCs w:val="21"/>
      <w:lang w:val="en-US" w:eastAsia="zh-CN" w:bidi="ar-SA"/>
    </w:rPr>
  </w:style>
  <w:style w:type="character" w:customStyle="1" w:styleId="210">
    <w:name w:val="Char Char16"/>
    <w:qFormat/>
    <w:uiPriority w:val="0"/>
    <w:rPr>
      <w:rFonts w:ascii="宋体" w:hAnsi="Times New Roman" w:eastAsia="宋体" w:cs="Times New Roman"/>
      <w:b/>
      <w:sz w:val="24"/>
      <w:lang w:val="en-US" w:eastAsia="zh-CN" w:bidi="ar-SA"/>
    </w:rPr>
  </w:style>
  <w:style w:type="character" w:customStyle="1" w:styleId="211">
    <w:name w:val="font61"/>
    <w:basedOn w:val="48"/>
    <w:qFormat/>
    <w:uiPriority w:val="0"/>
    <w:rPr>
      <w:rFonts w:hint="eastAsia" w:ascii="宋体" w:hAnsi="宋体" w:eastAsia="宋体" w:cs="宋体"/>
      <w:color w:val="333333"/>
      <w:sz w:val="18"/>
      <w:szCs w:val="18"/>
      <w:u w:val="none"/>
    </w:rPr>
  </w:style>
  <w:style w:type="character" w:customStyle="1" w:styleId="212">
    <w:name w:val="日期 Char"/>
    <w:qFormat/>
    <w:uiPriority w:val="0"/>
    <w:rPr>
      <w:rFonts w:ascii="Times New Roman" w:hAnsi="Times New Roman" w:eastAsia="宋体" w:cs="Times New Roman"/>
      <w:kern w:val="2"/>
      <w:sz w:val="21"/>
      <w:szCs w:val="24"/>
    </w:rPr>
  </w:style>
  <w:style w:type="character" w:customStyle="1" w:styleId="213">
    <w:name w:val="标题 7 字符"/>
    <w:link w:val="9"/>
    <w:qFormat/>
    <w:uiPriority w:val="0"/>
    <w:rPr>
      <w:rFonts w:ascii="Times New Roman" w:hAnsi="Times New Roman" w:eastAsia="宋体" w:cs="Times New Roman"/>
      <w:b/>
      <w:bCs/>
      <w:sz w:val="24"/>
      <w:szCs w:val="24"/>
      <w:lang w:val="en-US" w:eastAsia="zh-CN" w:bidi="ar-SA"/>
    </w:rPr>
  </w:style>
  <w:style w:type="character" w:customStyle="1" w:styleId="214">
    <w:name w:val="apple-style-span"/>
    <w:qFormat/>
    <w:uiPriority w:val="0"/>
    <w:rPr>
      <w:rFonts w:ascii="Tahoma" w:hAnsi="Tahoma" w:eastAsia="宋体" w:cs="仿宋_GB2312"/>
      <w:sz w:val="24"/>
      <w:szCs w:val="28"/>
    </w:rPr>
  </w:style>
  <w:style w:type="character" w:customStyle="1" w:styleId="215">
    <w:name w:val="标题 4 Char Char"/>
    <w:qFormat/>
    <w:uiPriority w:val="0"/>
    <w:rPr>
      <w:rFonts w:ascii="Arial" w:hAnsi="Arial" w:eastAsia="宋体" w:cs="Times New Roman"/>
      <w:b/>
      <w:bCs/>
      <w:kern w:val="2"/>
      <w:sz w:val="21"/>
      <w:szCs w:val="28"/>
      <w:lang w:val="en-US" w:eastAsia="zh-CN" w:bidi="ar-SA"/>
    </w:rPr>
  </w:style>
  <w:style w:type="character" w:customStyle="1" w:styleId="216">
    <w:name w:val="param-name"/>
    <w:qFormat/>
    <w:uiPriority w:val="0"/>
    <w:rPr>
      <w:rFonts w:ascii="Times New Roman" w:hAnsi="Times New Roman" w:eastAsia="宋体" w:cs="Times New Roman"/>
    </w:rPr>
  </w:style>
  <w:style w:type="character" w:customStyle="1" w:styleId="217">
    <w:name w:val="bds_nopic1"/>
    <w:qFormat/>
    <w:uiPriority w:val="0"/>
    <w:rPr>
      <w:rFonts w:ascii="Times New Roman" w:hAnsi="Times New Roman" w:eastAsia="宋体" w:cs="Times New Roman"/>
    </w:rPr>
  </w:style>
  <w:style w:type="character" w:customStyle="1" w:styleId="218">
    <w:name w:val="font71"/>
    <w:qFormat/>
    <w:uiPriority w:val="0"/>
    <w:rPr>
      <w:rFonts w:hint="default" w:ascii="Arial" w:hAnsi="Arial" w:eastAsia="宋体" w:cs="Arial"/>
      <w:color w:val="000000"/>
      <w:sz w:val="22"/>
      <w:szCs w:val="22"/>
      <w:u w:val="none"/>
    </w:rPr>
  </w:style>
  <w:style w:type="character" w:customStyle="1" w:styleId="219">
    <w:name w:val="批注框文本 Char"/>
    <w:qFormat/>
    <w:uiPriority w:val="0"/>
    <w:rPr>
      <w:rFonts w:ascii="Times New Roman" w:hAnsi="Times New Roman" w:eastAsia="宋体" w:cs="Times New Roman"/>
      <w:kern w:val="2"/>
      <w:sz w:val="18"/>
      <w:szCs w:val="18"/>
    </w:rPr>
  </w:style>
  <w:style w:type="character" w:customStyle="1" w:styleId="220">
    <w:name w:val="plus"/>
    <w:qFormat/>
    <w:uiPriority w:val="0"/>
    <w:rPr>
      <w:rFonts w:ascii="Times New Roman" w:hAnsi="Times New Roman" w:eastAsia="宋体" w:cs="Times New Roman"/>
      <w:b/>
      <w:vanish/>
      <w:color w:val="1F8DEF"/>
      <w:sz w:val="24"/>
      <w:szCs w:val="24"/>
    </w:rPr>
  </w:style>
  <w:style w:type="character" w:customStyle="1" w:styleId="221">
    <w:name w:val="Font Style131"/>
    <w:unhideWhenUsed/>
    <w:qFormat/>
    <w:uiPriority w:val="0"/>
    <w:rPr>
      <w:rFonts w:hint="eastAsia" w:ascii="Times New Roman" w:hAnsi="Times New Roman" w:eastAsia="Times New Roman" w:cs="Times New Roman"/>
      <w:sz w:val="18"/>
    </w:rPr>
  </w:style>
  <w:style w:type="character" w:customStyle="1" w:styleId="222">
    <w:name w:val="标题 6 Char"/>
    <w:qFormat/>
    <w:uiPriority w:val="0"/>
    <w:rPr>
      <w:rFonts w:ascii="Arial" w:hAnsi="Arial" w:eastAsia="黑体" w:cs="Times New Roman"/>
      <w:b/>
      <w:bCs/>
      <w:sz w:val="24"/>
      <w:szCs w:val="24"/>
    </w:rPr>
  </w:style>
  <w:style w:type="character" w:customStyle="1" w:styleId="223">
    <w:name w:val="标题 Char1"/>
    <w:qFormat/>
    <w:uiPriority w:val="0"/>
    <w:rPr>
      <w:rFonts w:ascii="Cambria" w:hAnsi="Cambria" w:eastAsia="宋体" w:cs="Times New Roman"/>
      <w:b/>
      <w:bCs/>
      <w:sz w:val="32"/>
      <w:szCs w:val="32"/>
    </w:rPr>
  </w:style>
  <w:style w:type="character" w:customStyle="1" w:styleId="224">
    <w:name w:val="Font Style117"/>
    <w:unhideWhenUsed/>
    <w:qFormat/>
    <w:uiPriority w:val="0"/>
    <w:rPr>
      <w:rFonts w:hint="eastAsia" w:ascii="宋体" w:hAnsi="宋体" w:eastAsia="宋体" w:cs="Times New Roman"/>
      <w:spacing w:val="20"/>
      <w:sz w:val="24"/>
    </w:rPr>
  </w:style>
  <w:style w:type="character" w:customStyle="1" w:styleId="225">
    <w:name w:val="List Paragraph Char"/>
    <w:link w:val="162"/>
    <w:qFormat/>
    <w:uiPriority w:val="0"/>
    <w:rPr>
      <w:rFonts w:ascii="Calibri" w:hAnsi="Calibri" w:eastAsia="宋体" w:cs="Calibri"/>
      <w:kern w:val="2"/>
      <w:sz w:val="21"/>
      <w:szCs w:val="21"/>
      <w:lang w:val="en-US" w:eastAsia="zh-CN" w:bidi="ar-SA"/>
    </w:rPr>
  </w:style>
  <w:style w:type="character" w:customStyle="1" w:styleId="226">
    <w:name w:val="正文文本缩进 3 Char"/>
    <w:qFormat/>
    <w:uiPriority w:val="0"/>
    <w:rPr>
      <w:rFonts w:ascii="宋体" w:hAnsi="MS Sans Serif" w:eastAsia="宋体" w:cs="Times New Roman"/>
      <w:color w:val="000000"/>
      <w:sz w:val="24"/>
    </w:rPr>
  </w:style>
  <w:style w:type="character" w:customStyle="1" w:styleId="227">
    <w:name w:val="ca-21"/>
    <w:qFormat/>
    <w:uiPriority w:val="0"/>
    <w:rPr>
      <w:rFonts w:hint="eastAsia" w:ascii="宋体-18030" w:hAnsi="宋体-18030" w:eastAsia="宋体-18030" w:cs="宋体-18030"/>
      <w:sz w:val="24"/>
      <w:szCs w:val="24"/>
    </w:rPr>
  </w:style>
  <w:style w:type="character" w:customStyle="1" w:styleId="228">
    <w:name w:val="标题 7 Char"/>
    <w:qFormat/>
    <w:uiPriority w:val="0"/>
    <w:rPr>
      <w:rFonts w:ascii="Times New Roman" w:hAnsi="Times New Roman" w:eastAsia="宋体" w:cs="Times New Roman"/>
      <w:b/>
      <w:bCs/>
      <w:sz w:val="24"/>
      <w:szCs w:val="24"/>
    </w:rPr>
  </w:style>
  <w:style w:type="character" w:customStyle="1" w:styleId="229">
    <w:name w:val="批注文字 Char Char"/>
    <w:qFormat/>
    <w:uiPriority w:val="0"/>
    <w:rPr>
      <w:rFonts w:ascii="Times New Roman" w:hAnsi="Times New Roman" w:eastAsia="宋体" w:cs="Times New Roman"/>
      <w:kern w:val="2"/>
      <w:sz w:val="21"/>
      <w:szCs w:val="24"/>
      <w:lang w:bidi="ar-SA"/>
    </w:rPr>
  </w:style>
  <w:style w:type="character" w:customStyle="1" w:styleId="230">
    <w:name w:val="Font Style104"/>
    <w:unhideWhenUsed/>
    <w:qFormat/>
    <w:uiPriority w:val="0"/>
    <w:rPr>
      <w:rFonts w:hint="eastAsia" w:ascii="宋体" w:hAnsi="宋体" w:eastAsia="宋体" w:cs="Times New Roman"/>
      <w:spacing w:val="30"/>
      <w:sz w:val="18"/>
    </w:rPr>
  </w:style>
  <w:style w:type="character" w:customStyle="1" w:styleId="231">
    <w:name w:val="标题 2 Char"/>
    <w:qFormat/>
    <w:uiPriority w:val="0"/>
    <w:rPr>
      <w:rFonts w:ascii="Cambria" w:hAnsi="Cambria" w:eastAsia="宋体" w:cs="Times New Roman"/>
      <w:b/>
      <w:bCs/>
      <w:kern w:val="2"/>
      <w:sz w:val="32"/>
      <w:szCs w:val="32"/>
    </w:rPr>
  </w:style>
  <w:style w:type="character" w:customStyle="1" w:styleId="232">
    <w:name w:val="morelink-item"/>
    <w:qFormat/>
    <w:uiPriority w:val="0"/>
    <w:rPr>
      <w:rFonts w:ascii="Times New Roman" w:hAnsi="Times New Roman" w:eastAsia="宋体" w:cs="Times New Roman"/>
    </w:rPr>
  </w:style>
  <w:style w:type="character" w:customStyle="1" w:styleId="233">
    <w:name w:val="普通文字 Char"/>
    <w:semiHidden/>
    <w:qFormat/>
    <w:uiPriority w:val="0"/>
    <w:rPr>
      <w:rFonts w:ascii="宋体" w:hAnsi="Courier New" w:eastAsia="宋体" w:cs="Courier New"/>
      <w:kern w:val="2"/>
      <w:sz w:val="21"/>
      <w:szCs w:val="21"/>
      <w:lang w:val="en-US" w:eastAsia="zh-CN" w:bidi="ar-SA"/>
    </w:rPr>
  </w:style>
  <w:style w:type="character" w:customStyle="1" w:styleId="234">
    <w:name w:val="sidecatalog-index1"/>
    <w:qFormat/>
    <w:uiPriority w:val="0"/>
    <w:rPr>
      <w:rFonts w:ascii="Arial" w:hAnsi="Arial" w:eastAsia="宋体" w:cs="Arial"/>
      <w:b/>
      <w:color w:val="999999"/>
      <w:sz w:val="21"/>
      <w:szCs w:val="21"/>
    </w:rPr>
  </w:style>
  <w:style w:type="character" w:customStyle="1" w:styleId="235">
    <w:name w:val="style81"/>
    <w:qFormat/>
    <w:uiPriority w:val="0"/>
    <w:rPr>
      <w:rFonts w:ascii="Times New Roman" w:hAnsi="Times New Roman" w:eastAsia="宋体" w:cs="Times New Roman"/>
      <w:sz w:val="21"/>
      <w:szCs w:val="21"/>
    </w:rPr>
  </w:style>
  <w:style w:type="character" w:customStyle="1" w:styleId="236">
    <w:name w:val="lemmatitleh12"/>
    <w:qFormat/>
    <w:uiPriority w:val="0"/>
    <w:rPr>
      <w:rFonts w:ascii="Times New Roman" w:hAnsi="Times New Roman" w:eastAsia="宋体" w:cs="Times New Roman"/>
    </w:rPr>
  </w:style>
  <w:style w:type="character" w:customStyle="1" w:styleId="237">
    <w:name w:val="sidecatalog-dot1"/>
    <w:qFormat/>
    <w:uiPriority w:val="0"/>
    <w:rPr>
      <w:rFonts w:ascii="Times New Roman" w:hAnsi="Times New Roman" w:eastAsia="宋体" w:cs="Times New Roman"/>
    </w:rPr>
  </w:style>
  <w:style w:type="character" w:customStyle="1" w:styleId="238">
    <w:name w:val="标题 5 Char"/>
    <w:qFormat/>
    <w:uiPriority w:val="0"/>
    <w:rPr>
      <w:rFonts w:ascii="Times New Roman" w:hAnsi="Times New Roman" w:eastAsia="宋体" w:cs="Times New Roman"/>
      <w:b/>
      <w:bCs/>
      <w:kern w:val="2"/>
      <w:sz w:val="28"/>
      <w:szCs w:val="28"/>
    </w:rPr>
  </w:style>
  <w:style w:type="character" w:customStyle="1" w:styleId="239">
    <w:name w:val="sidecatalog-dot"/>
    <w:qFormat/>
    <w:uiPriority w:val="0"/>
    <w:rPr>
      <w:rFonts w:ascii="Times New Roman" w:hAnsi="Times New Roman" w:eastAsia="宋体" w:cs="Times New Roman"/>
    </w:rPr>
  </w:style>
  <w:style w:type="character" w:customStyle="1" w:styleId="240">
    <w:name w:val="Font Style128"/>
    <w:unhideWhenUsed/>
    <w:qFormat/>
    <w:uiPriority w:val="0"/>
    <w:rPr>
      <w:rFonts w:hint="eastAsia" w:ascii="Times New Roman" w:hAnsi="Times New Roman" w:eastAsia="Times New Roman" w:cs="Times New Roman"/>
      <w:sz w:val="16"/>
    </w:rPr>
  </w:style>
  <w:style w:type="character" w:customStyle="1" w:styleId="241">
    <w:name w:val="Char Char6"/>
    <w:qFormat/>
    <w:uiPriority w:val="0"/>
    <w:rPr>
      <w:rFonts w:ascii="Arial" w:hAnsi="Arial" w:eastAsia="黑体" w:cs="Times New Roman"/>
      <w:sz w:val="24"/>
      <w:szCs w:val="24"/>
      <w:lang w:val="en-US" w:eastAsia="zh-CN" w:bidi="ar-SA"/>
    </w:rPr>
  </w:style>
  <w:style w:type="character" w:customStyle="1" w:styleId="242">
    <w:name w:val="我的正文[858D7CFB-ED40-4347-BF05-701D383B685F]"/>
    <w:link w:val="135"/>
    <w:qFormat/>
    <w:uiPriority w:val="0"/>
    <w:rPr>
      <w:rFonts w:ascii="Arial" w:hAnsi="Arial" w:eastAsia="宋体" w:cs="Times New Roman"/>
      <w:sz w:val="24"/>
      <w:szCs w:val="24"/>
    </w:rPr>
  </w:style>
  <w:style w:type="character" w:customStyle="1" w:styleId="243">
    <w:name w:val="纯文本 Char Char Char1"/>
    <w:qFormat/>
    <w:uiPriority w:val="0"/>
    <w:rPr>
      <w:rFonts w:ascii="Times New Roman" w:hAnsi="Times New Roman" w:eastAsia="宋体" w:cs="Times New Roman"/>
      <w:kern w:val="2"/>
      <w:sz w:val="24"/>
      <w:lang w:val="en-US" w:eastAsia="zh-CN" w:bidi="ar-SA"/>
    </w:rPr>
  </w:style>
  <w:style w:type="character" w:customStyle="1" w:styleId="244">
    <w:name w:val="批注文字 Char"/>
    <w:qFormat/>
    <w:uiPriority w:val="0"/>
    <w:rPr>
      <w:rFonts w:ascii="Times New Roman" w:hAnsi="Times New Roman" w:eastAsia="宋体" w:cs="Times New Roman"/>
      <w:kern w:val="2"/>
      <w:sz w:val="21"/>
      <w:szCs w:val="24"/>
    </w:rPr>
  </w:style>
  <w:style w:type="character" w:customStyle="1" w:styleId="245">
    <w:name w:val="bds_more7"/>
    <w:qFormat/>
    <w:uiPriority w:val="0"/>
    <w:rPr>
      <w:rFonts w:ascii="Times New Roman" w:hAnsi="Times New Roman" w:eastAsia="宋体" w:cs="Times New Roman"/>
    </w:rPr>
  </w:style>
  <w:style w:type="character" w:customStyle="1" w:styleId="246">
    <w:name w:val="标题 1 Char"/>
    <w:qFormat/>
    <w:uiPriority w:val="0"/>
    <w:rPr>
      <w:rFonts w:ascii="Cambria" w:hAnsi="Cambria" w:eastAsia="宋体" w:cs="Times New Roman"/>
      <w:b/>
      <w:bCs/>
      <w:kern w:val="32"/>
      <w:sz w:val="32"/>
      <w:szCs w:val="32"/>
    </w:rPr>
  </w:style>
  <w:style w:type="character" w:customStyle="1" w:styleId="247">
    <w:name w:val="Char Char14"/>
    <w:qFormat/>
    <w:uiPriority w:val="0"/>
    <w:rPr>
      <w:rFonts w:ascii="Arial" w:hAnsi="Arial" w:eastAsia="黑体" w:cs="Times New Roman"/>
      <w:b/>
      <w:bCs/>
      <w:sz w:val="28"/>
      <w:szCs w:val="28"/>
      <w:lang w:val="en-US" w:eastAsia="zh-CN" w:bidi="ar-SA"/>
    </w:rPr>
  </w:style>
  <w:style w:type="character" w:customStyle="1" w:styleId="248">
    <w:name w:val="Font Style121"/>
    <w:unhideWhenUsed/>
    <w:qFormat/>
    <w:uiPriority w:val="0"/>
    <w:rPr>
      <w:rFonts w:hint="eastAsia" w:ascii="宋体" w:hAnsi="宋体" w:eastAsia="宋体" w:cs="Times New Roman"/>
      <w:spacing w:val="-10"/>
      <w:sz w:val="30"/>
    </w:rPr>
  </w:style>
  <w:style w:type="character" w:customStyle="1" w:styleId="249">
    <w:name w:val="Font Style125"/>
    <w:unhideWhenUsed/>
    <w:qFormat/>
    <w:uiPriority w:val="0"/>
    <w:rPr>
      <w:rFonts w:hint="eastAsia" w:ascii="宋体" w:hAnsi="宋体" w:eastAsia="宋体" w:cs="Times New Roman"/>
      <w:b/>
      <w:sz w:val="26"/>
    </w:rPr>
  </w:style>
  <w:style w:type="character" w:customStyle="1" w:styleId="250">
    <w:name w:val="批注框文本 字符"/>
    <w:link w:val="29"/>
    <w:semiHidden/>
    <w:qFormat/>
    <w:uiPriority w:val="0"/>
    <w:rPr>
      <w:rFonts w:ascii="Calibri" w:hAnsi="Calibri" w:eastAsia="宋体" w:cs="Times New Roman"/>
      <w:kern w:val="2"/>
      <w:sz w:val="18"/>
      <w:szCs w:val="18"/>
      <w:lang w:val="en-US" w:eastAsia="zh-CN" w:bidi="ar-SA"/>
    </w:rPr>
  </w:style>
  <w:style w:type="character" w:customStyle="1" w:styleId="251">
    <w:name w:val="页眉 字符"/>
    <w:link w:val="31"/>
    <w:qFormat/>
    <w:uiPriority w:val="0"/>
    <w:rPr>
      <w:rFonts w:ascii="Times New Roman" w:hAnsi="Times New Roman" w:eastAsia="宋体" w:cs="Times New Roman"/>
      <w:kern w:val="2"/>
      <w:sz w:val="18"/>
      <w:szCs w:val="18"/>
      <w:lang w:val="en-US" w:eastAsia="zh-CN" w:bidi="ar-SA"/>
    </w:rPr>
  </w:style>
  <w:style w:type="character" w:customStyle="1" w:styleId="252">
    <w:name w:val="Font Style124"/>
    <w:unhideWhenUsed/>
    <w:qFormat/>
    <w:uiPriority w:val="0"/>
    <w:rPr>
      <w:rFonts w:hint="eastAsia" w:ascii="宋体" w:hAnsi="宋体" w:eastAsia="宋体" w:cs="Times New Roman"/>
      <w:spacing w:val="30"/>
      <w:sz w:val="24"/>
    </w:rPr>
  </w:style>
  <w:style w:type="character" w:customStyle="1" w:styleId="253">
    <w:name w:val="Font Style127"/>
    <w:unhideWhenUsed/>
    <w:qFormat/>
    <w:uiPriority w:val="0"/>
    <w:rPr>
      <w:rFonts w:hint="eastAsia" w:ascii="Times New Roman" w:hAnsi="Times New Roman" w:eastAsia="Times New Roman" w:cs="Times New Roman"/>
      <w:sz w:val="20"/>
    </w:rPr>
  </w:style>
  <w:style w:type="character" w:customStyle="1" w:styleId="254">
    <w:name w:val="批注文字 字符"/>
    <w:link w:val="17"/>
    <w:qFormat/>
    <w:uiPriority w:val="0"/>
    <w:rPr>
      <w:rFonts w:ascii="Times New Roman" w:hAnsi="Times New Roman" w:eastAsia="宋体" w:cs="Times New Roman"/>
      <w:kern w:val="2"/>
      <w:sz w:val="21"/>
      <w:szCs w:val="24"/>
      <w:lang w:val="en-US" w:eastAsia="zh-CN" w:bidi="ar-SA"/>
    </w:rPr>
  </w:style>
  <w:style w:type="character" w:customStyle="1" w:styleId="255">
    <w:name w:val="标题 字符"/>
    <w:link w:val="43"/>
    <w:qFormat/>
    <w:uiPriority w:val="0"/>
    <w:rPr>
      <w:rFonts w:ascii="Cambria" w:hAnsi="Cambria" w:eastAsia="宋体" w:cs="Times New Roman"/>
      <w:b/>
      <w:kern w:val="2"/>
      <w:sz w:val="32"/>
      <w:szCs w:val="24"/>
      <w:lang w:val="en-US" w:eastAsia="zh-CN" w:bidi="ar-SA"/>
    </w:rPr>
  </w:style>
  <w:style w:type="character" w:customStyle="1" w:styleId="256">
    <w:name w:val="2 级标题 Char"/>
    <w:link w:val="189"/>
    <w:qFormat/>
    <w:uiPriority w:val="0"/>
    <w:rPr>
      <w:rFonts w:ascii="Cambria" w:hAnsi="Cambria" w:eastAsia="宋体" w:cs="Times New Roman"/>
      <w:b/>
      <w:bCs/>
      <w:sz w:val="32"/>
      <w:szCs w:val="32"/>
      <w:lang w:val="en-US" w:eastAsia="zh-CN" w:bidi="ar-SA"/>
    </w:rPr>
  </w:style>
  <w:style w:type="character" w:customStyle="1" w:styleId="257">
    <w:name w:val="font01"/>
    <w:basedOn w:val="48"/>
    <w:qFormat/>
    <w:uiPriority w:val="0"/>
    <w:rPr>
      <w:rFonts w:hint="default" w:ascii="微软雅黑" w:hAnsi="微软雅黑" w:eastAsia="微软雅黑" w:cs="微软雅黑"/>
      <w:color w:val="1F497D"/>
      <w:sz w:val="24"/>
      <w:szCs w:val="24"/>
      <w:u w:val="none"/>
    </w:rPr>
  </w:style>
  <w:style w:type="character" w:customStyle="1" w:styleId="258">
    <w:name w:val="sort1"/>
    <w:qFormat/>
    <w:uiPriority w:val="0"/>
    <w:rPr>
      <w:rFonts w:ascii="Times New Roman" w:hAnsi="Times New Roman" w:eastAsia="宋体" w:cs="Times New Roman"/>
    </w:rPr>
  </w:style>
  <w:style w:type="character" w:customStyle="1" w:styleId="259">
    <w:name w:val="Font Style133"/>
    <w:unhideWhenUsed/>
    <w:qFormat/>
    <w:uiPriority w:val="0"/>
    <w:rPr>
      <w:rFonts w:hint="eastAsia" w:ascii="宋体" w:hAnsi="宋体" w:eastAsia="宋体" w:cs="Times New Roman"/>
      <w:spacing w:val="30"/>
      <w:sz w:val="24"/>
    </w:rPr>
  </w:style>
  <w:style w:type="character" w:customStyle="1" w:styleId="260">
    <w:name w:val="bds_more8"/>
    <w:qFormat/>
    <w:uiPriority w:val="0"/>
    <w:rPr>
      <w:rFonts w:ascii="Times New Roman" w:hAnsi="Times New Roman" w:eastAsia="宋体" w:cs="Times New Roman"/>
    </w:rPr>
  </w:style>
  <w:style w:type="character" w:customStyle="1" w:styleId="261">
    <w:name w:val="Font Style116"/>
    <w:unhideWhenUsed/>
    <w:qFormat/>
    <w:uiPriority w:val="0"/>
    <w:rPr>
      <w:rFonts w:hint="eastAsia" w:ascii="宋体" w:hAnsi="宋体" w:eastAsia="宋体" w:cs="Times New Roman"/>
      <w:spacing w:val="-20"/>
      <w:sz w:val="24"/>
    </w:rPr>
  </w:style>
  <w:style w:type="character" w:customStyle="1" w:styleId="262">
    <w:name w:val="批注主题 Char"/>
    <w:qFormat/>
    <w:uiPriority w:val="0"/>
    <w:rPr>
      <w:rFonts w:ascii="Times New Roman" w:hAnsi="Times New Roman" w:eastAsia="宋体" w:cs="Times New Roman"/>
      <w:b/>
      <w:bCs/>
      <w:kern w:val="2"/>
      <w:sz w:val="21"/>
      <w:szCs w:val="24"/>
    </w:rPr>
  </w:style>
  <w:style w:type="character" w:customStyle="1" w:styleId="263">
    <w:name w:val="页脚 字符"/>
    <w:link w:val="30"/>
    <w:qFormat/>
    <w:uiPriority w:val="0"/>
    <w:rPr>
      <w:rFonts w:ascii="Times New Roman" w:hAnsi="Times New Roman" w:eastAsia="宋体" w:cs="Times New Roman"/>
      <w:kern w:val="2"/>
      <w:sz w:val="18"/>
      <w:szCs w:val="18"/>
      <w:lang w:val="en-US" w:eastAsia="zh-CN" w:bidi="ar-SA"/>
    </w:rPr>
  </w:style>
  <w:style w:type="character" w:customStyle="1" w:styleId="264">
    <w:name w:val="标题 1 字符"/>
    <w:link w:val="3"/>
    <w:qFormat/>
    <w:uiPriority w:val="0"/>
    <w:rPr>
      <w:rFonts w:ascii="Times New Roman" w:hAnsi="Times New Roman" w:eastAsia="宋体" w:cs="Times New Roman"/>
      <w:b/>
      <w:bCs/>
      <w:kern w:val="2"/>
      <w:sz w:val="24"/>
      <w:lang w:val="en-US" w:eastAsia="zh-CN" w:bidi="ar-SA"/>
    </w:rPr>
  </w:style>
  <w:style w:type="character" w:customStyle="1" w:styleId="265">
    <w:name w:val="Char Char15"/>
    <w:qFormat/>
    <w:uiPriority w:val="0"/>
    <w:rPr>
      <w:rFonts w:ascii="Times New Roman" w:hAnsi="Times New Roman" w:eastAsia="宋体" w:cs="Times New Roman"/>
      <w:b/>
      <w:bCs/>
      <w:sz w:val="24"/>
      <w:szCs w:val="24"/>
    </w:rPr>
  </w:style>
  <w:style w:type="character" w:customStyle="1" w:styleId="266">
    <w:name w:val="sort"/>
    <w:qFormat/>
    <w:uiPriority w:val="0"/>
    <w:rPr>
      <w:rFonts w:ascii="Times New Roman" w:hAnsi="Times New Roman" w:eastAsia="宋体" w:cs="Times New Roman"/>
      <w:color w:val="FFFFFF"/>
      <w:bdr w:val="single" w:color="auto" w:sz="24" w:space="0"/>
    </w:rPr>
  </w:style>
  <w:style w:type="character" w:customStyle="1" w:styleId="267">
    <w:name w:val="正文文本缩进 字符"/>
    <w:link w:val="20"/>
    <w:qFormat/>
    <w:uiPriority w:val="0"/>
    <w:rPr>
      <w:rFonts w:ascii="Times New Roman" w:hAnsi="Times New Roman" w:eastAsia="宋体" w:cs="Times New Roman"/>
      <w:kern w:val="2"/>
      <w:sz w:val="21"/>
      <w:szCs w:val="24"/>
      <w:lang w:val="en-US" w:eastAsia="zh-CN" w:bidi="ar-SA"/>
    </w:rPr>
  </w:style>
  <w:style w:type="character" w:customStyle="1" w:styleId="268">
    <w:name w:val="bds_more10"/>
    <w:qFormat/>
    <w:uiPriority w:val="0"/>
    <w:rPr>
      <w:rFonts w:ascii="Times New Roman" w:hAnsi="Times New Roman" w:eastAsia="宋体" w:cs="Times New Roman"/>
    </w:rPr>
  </w:style>
  <w:style w:type="character" w:customStyle="1" w:styleId="269">
    <w:name w:val="Char Char19"/>
    <w:qFormat/>
    <w:uiPriority w:val="0"/>
    <w:rPr>
      <w:rFonts w:ascii="Arial" w:hAnsi="Arial" w:eastAsia="宋体" w:cs="Times New Roman"/>
      <w:b/>
      <w:bCs/>
      <w:kern w:val="2"/>
      <w:sz w:val="24"/>
      <w:szCs w:val="32"/>
      <w:lang w:val="en-US" w:eastAsia="zh-CN" w:bidi="ar-SA"/>
    </w:rPr>
  </w:style>
  <w:style w:type="character" w:customStyle="1" w:styleId="270">
    <w:name w:val="bds_nopic"/>
    <w:qFormat/>
    <w:uiPriority w:val="0"/>
    <w:rPr>
      <w:rFonts w:ascii="Times New Roman" w:hAnsi="Times New Roman" w:eastAsia="宋体" w:cs="Times New Roman"/>
    </w:rPr>
  </w:style>
  <w:style w:type="character" w:customStyle="1" w:styleId="271">
    <w:name w:val="Font Style122"/>
    <w:unhideWhenUsed/>
    <w:qFormat/>
    <w:uiPriority w:val="0"/>
    <w:rPr>
      <w:rFonts w:hint="eastAsia" w:ascii="宋体" w:hAnsi="宋体" w:eastAsia="宋体" w:cs="Times New Roman"/>
      <w:spacing w:val="20"/>
      <w:sz w:val="24"/>
    </w:rPr>
  </w:style>
  <w:style w:type="character" w:customStyle="1" w:styleId="272">
    <w:name w:val="10_2_2"/>
    <w:qFormat/>
    <w:uiPriority w:val="0"/>
    <w:rPr>
      <w:rFonts w:hint="default" w:ascii="Times New Roman" w:hAnsi="Times New Roman" w:eastAsia="宋体" w:cs="Times New Roman"/>
      <w:sz w:val="20"/>
      <w:szCs w:val="20"/>
    </w:rPr>
  </w:style>
  <w:style w:type="character" w:customStyle="1" w:styleId="273">
    <w:name w:val="font81"/>
    <w:qFormat/>
    <w:uiPriority w:val="0"/>
    <w:rPr>
      <w:rFonts w:hint="eastAsia" w:ascii="宋体" w:hAnsi="宋体" w:eastAsia="宋体" w:cs="宋体"/>
      <w:color w:val="000000"/>
      <w:sz w:val="22"/>
      <w:szCs w:val="22"/>
      <w:u w:val="none"/>
    </w:rPr>
  </w:style>
  <w:style w:type="character" w:customStyle="1" w:styleId="274">
    <w:name w:val="标题 3 字符"/>
    <w:link w:val="5"/>
    <w:qFormat/>
    <w:uiPriority w:val="0"/>
    <w:rPr>
      <w:rFonts w:ascii="Times New Roman" w:hAnsi="Times New Roman" w:eastAsia="宋体" w:cs="Times New Roman"/>
      <w:b/>
      <w:bCs/>
      <w:kern w:val="2"/>
      <w:sz w:val="32"/>
      <w:szCs w:val="32"/>
      <w:lang w:val="en-US" w:eastAsia="zh-CN" w:bidi="ar-SA"/>
    </w:rPr>
  </w:style>
  <w:style w:type="character" w:customStyle="1" w:styleId="275">
    <w:name w:val="标题 9 Char"/>
    <w:qFormat/>
    <w:uiPriority w:val="0"/>
    <w:rPr>
      <w:rFonts w:ascii="Arial" w:hAnsi="Arial" w:eastAsia="黑体" w:cs="Times New Roman"/>
      <w:sz w:val="21"/>
      <w:szCs w:val="21"/>
    </w:rPr>
  </w:style>
  <w:style w:type="character" w:customStyle="1" w:styleId="276">
    <w:name w:val="标题 4 Char"/>
    <w:qFormat/>
    <w:uiPriority w:val="0"/>
    <w:rPr>
      <w:rFonts w:ascii="Arial" w:hAnsi="Arial" w:eastAsia="宋体" w:cs="Times New Roman"/>
      <w:b/>
      <w:bCs/>
      <w:szCs w:val="28"/>
    </w:rPr>
  </w:style>
  <w:style w:type="character" w:customStyle="1" w:styleId="277">
    <w:name w:val="HTML 预设格式 字符"/>
    <w:link w:val="40"/>
    <w:qFormat/>
    <w:uiPriority w:val="99"/>
    <w:rPr>
      <w:rFonts w:ascii="Arial" w:hAnsi="Arial" w:eastAsia="宋体" w:cs="Arial"/>
      <w:sz w:val="24"/>
      <w:szCs w:val="24"/>
    </w:rPr>
  </w:style>
  <w:style w:type="character" w:customStyle="1" w:styleId="278">
    <w:name w:val="样式2 Char Char"/>
    <w:qFormat/>
    <w:uiPriority w:val="0"/>
    <w:rPr>
      <w:rFonts w:ascii="Times New Roman" w:hAnsi="Times New Roman" w:eastAsia="宋体" w:cs="Times New Roman"/>
      <w:kern w:val="2"/>
      <w:sz w:val="18"/>
      <w:szCs w:val="18"/>
      <w:lang w:val="en-US" w:eastAsia="zh-CN" w:bidi="ar-SA"/>
    </w:rPr>
  </w:style>
  <w:style w:type="character" w:customStyle="1" w:styleId="279">
    <w:name w:val="标题 8 Char"/>
    <w:qFormat/>
    <w:uiPriority w:val="0"/>
    <w:rPr>
      <w:rFonts w:ascii="Arial" w:hAnsi="Arial" w:eastAsia="黑体" w:cs="Times New Roman"/>
      <w:sz w:val="24"/>
      <w:szCs w:val="24"/>
    </w:rPr>
  </w:style>
  <w:style w:type="character" w:customStyle="1" w:styleId="280">
    <w:name w:val="Char Char17"/>
    <w:qFormat/>
    <w:uiPriority w:val="0"/>
    <w:rPr>
      <w:rFonts w:ascii="宋体" w:hAnsi="Times New Roman" w:eastAsia="宋体" w:cs="Times New Roman"/>
      <w:b/>
      <w:sz w:val="28"/>
      <w:lang w:val="en-US" w:eastAsia="zh-CN" w:bidi="ar-SA"/>
    </w:rPr>
  </w:style>
  <w:style w:type="character" w:customStyle="1" w:styleId="281">
    <w:name w:val="标题 4 字符"/>
    <w:link w:val="6"/>
    <w:qFormat/>
    <w:uiPriority w:val="0"/>
    <w:rPr>
      <w:rFonts w:ascii="Arial" w:hAnsi="Arial" w:eastAsia="黑体" w:cs="Times New Roman"/>
      <w:b/>
      <w:bCs/>
      <w:kern w:val="2"/>
      <w:sz w:val="28"/>
      <w:szCs w:val="28"/>
      <w:lang w:val="en-US" w:eastAsia="zh-CN" w:bidi="ar-SA"/>
    </w:rPr>
  </w:style>
  <w:style w:type="character" w:customStyle="1" w:styleId="282">
    <w:name w:val="正文新 Char"/>
    <w:link w:val="181"/>
    <w:qFormat/>
    <w:uiPriority w:val="0"/>
    <w:rPr>
      <w:rFonts w:ascii="Times New Roman" w:hAnsi="Times New Roman" w:eastAsia="宋体" w:cs="Times New Roman"/>
      <w:kern w:val="2"/>
      <w:sz w:val="18"/>
      <w:szCs w:val="21"/>
      <w:lang w:val="en-US" w:eastAsia="zh-CN" w:bidi="ar-SA"/>
    </w:rPr>
  </w:style>
  <w:style w:type="character" w:customStyle="1" w:styleId="283">
    <w:name w:val="Font Style119"/>
    <w:unhideWhenUsed/>
    <w:qFormat/>
    <w:uiPriority w:val="0"/>
    <w:rPr>
      <w:rFonts w:hint="eastAsia" w:ascii="宋体" w:hAnsi="宋体" w:eastAsia="宋体" w:cs="Times New Roman"/>
      <w:sz w:val="24"/>
    </w:rPr>
  </w:style>
  <w:style w:type="character" w:customStyle="1" w:styleId="284">
    <w:name w:val="Footer Char"/>
    <w:qFormat/>
    <w:uiPriority w:val="0"/>
    <w:rPr>
      <w:rFonts w:ascii="Times New Roman" w:hAnsi="Times New Roman" w:eastAsia="宋体" w:cs="Times New Roman"/>
      <w:sz w:val="18"/>
      <w:szCs w:val="18"/>
    </w:rPr>
  </w:style>
  <w:style w:type="character" w:customStyle="1" w:styleId="285">
    <w:name w:val="标题 8 字符"/>
    <w:link w:val="10"/>
    <w:qFormat/>
    <w:uiPriority w:val="0"/>
    <w:rPr>
      <w:rFonts w:ascii="Arial" w:hAnsi="Arial" w:eastAsia="黑体" w:cs="Times New Roman"/>
      <w:sz w:val="24"/>
      <w:szCs w:val="24"/>
      <w:lang w:val="en-US" w:eastAsia="zh-CN" w:bidi="ar-SA"/>
    </w:rPr>
  </w:style>
  <w:style w:type="character" w:customStyle="1" w:styleId="286">
    <w:name w:val="zzi1"/>
    <w:qFormat/>
    <w:uiPriority w:val="0"/>
    <w:rPr>
      <w:rFonts w:ascii="Tahoma" w:hAnsi="Tahoma" w:eastAsia="宋体" w:cs="仿宋_GB2312"/>
      <w:sz w:val="22"/>
      <w:szCs w:val="22"/>
    </w:rPr>
  </w:style>
  <w:style w:type="character" w:customStyle="1" w:styleId="287">
    <w:name w:val="ca-11"/>
    <w:qFormat/>
    <w:uiPriority w:val="0"/>
    <w:rPr>
      <w:rFonts w:hint="eastAsia" w:ascii="宋体" w:hAnsi="宋体" w:eastAsia="宋体" w:cs="Times New Roman"/>
      <w:sz w:val="24"/>
      <w:szCs w:val="24"/>
    </w:rPr>
  </w:style>
  <w:style w:type="character" w:customStyle="1" w:styleId="288">
    <w:name w:val="sidecatalog-index2"/>
    <w:qFormat/>
    <w:uiPriority w:val="0"/>
    <w:rPr>
      <w:rFonts w:ascii="Arail" w:hAnsi="Arail" w:eastAsia="Arail" w:cs="Arail"/>
      <w:color w:val="999999"/>
      <w:sz w:val="21"/>
      <w:szCs w:val="21"/>
    </w:rPr>
  </w:style>
  <w:style w:type="character" w:customStyle="1" w:styleId="289">
    <w:name w:val="标题 3 Char"/>
    <w:qFormat/>
    <w:uiPriority w:val="0"/>
    <w:rPr>
      <w:rFonts w:ascii="Times New Roman" w:hAnsi="Times New Roman" w:eastAsia="宋体" w:cs="Times New Roman"/>
      <w:b/>
      <w:bCs/>
      <w:sz w:val="24"/>
      <w:szCs w:val="24"/>
    </w:rPr>
  </w:style>
  <w:style w:type="character" w:customStyle="1" w:styleId="290">
    <w:name w:val="Font Style115"/>
    <w:unhideWhenUsed/>
    <w:qFormat/>
    <w:uiPriority w:val="0"/>
    <w:rPr>
      <w:rFonts w:hint="eastAsia" w:ascii="Times New Roman" w:hAnsi="Times New Roman" w:eastAsia="Times New Roman" w:cs="Times New Roman"/>
      <w:sz w:val="16"/>
    </w:rPr>
  </w:style>
  <w:style w:type="character" w:customStyle="1" w:styleId="291">
    <w:name w:val="标题 6 字符"/>
    <w:link w:val="8"/>
    <w:qFormat/>
    <w:uiPriority w:val="0"/>
    <w:rPr>
      <w:rFonts w:ascii="Arial" w:hAnsi="Arial" w:eastAsia="黑体" w:cs="Times New Roman"/>
      <w:b/>
      <w:bCs/>
      <w:sz w:val="24"/>
      <w:szCs w:val="24"/>
      <w:lang w:val="en-US" w:eastAsia="zh-CN" w:bidi="ar-SA"/>
    </w:rPr>
  </w:style>
  <w:style w:type="character" w:customStyle="1" w:styleId="292">
    <w:name w:val="font51"/>
    <w:basedOn w:val="48"/>
    <w:qFormat/>
    <w:uiPriority w:val="0"/>
    <w:rPr>
      <w:rFonts w:hint="eastAsia" w:ascii="宋体" w:hAnsi="宋体" w:eastAsia="宋体" w:cs="宋体"/>
      <w:b/>
      <w:color w:val="000000"/>
      <w:sz w:val="22"/>
      <w:szCs w:val="22"/>
      <w:u w:val="none"/>
    </w:rPr>
  </w:style>
  <w:style w:type="character" w:customStyle="1" w:styleId="293">
    <w:name w:val="font21"/>
    <w:basedOn w:val="48"/>
    <w:qFormat/>
    <w:uiPriority w:val="0"/>
    <w:rPr>
      <w:rFonts w:hint="eastAsia" w:ascii="宋体" w:hAnsi="宋体" w:eastAsia="宋体" w:cs="宋体"/>
      <w:color w:val="333333"/>
      <w:sz w:val="18"/>
      <w:szCs w:val="18"/>
      <w:u w:val="none"/>
      <w:vertAlign w:val="superscript"/>
    </w:rPr>
  </w:style>
  <w:style w:type="character" w:customStyle="1" w:styleId="294">
    <w:name w:val="p0 Char Char"/>
    <w:qFormat/>
    <w:uiPriority w:val="0"/>
    <w:rPr>
      <w:rFonts w:ascii="Times New Roman" w:hAnsi="Times New Roman" w:eastAsia="宋体" w:cs="Times New Roman"/>
      <w:kern w:val="2"/>
      <w:sz w:val="21"/>
      <w:szCs w:val="21"/>
      <w:lang w:val="en-US" w:eastAsia="zh-CN" w:bidi="ar-SA"/>
    </w:rPr>
  </w:style>
  <w:style w:type="character" w:customStyle="1" w:styleId="295">
    <w:name w:val="标题 Char"/>
    <w:qFormat/>
    <w:uiPriority w:val="0"/>
    <w:rPr>
      <w:rFonts w:ascii="Cambria" w:hAnsi="Cambria" w:eastAsia="宋体" w:cs="Times New Roman"/>
      <w:b/>
      <w:kern w:val="2"/>
      <w:sz w:val="32"/>
      <w:szCs w:val="24"/>
    </w:rPr>
  </w:style>
  <w:style w:type="character" w:customStyle="1" w:styleId="296">
    <w:name w:val="纯文本 Char Char Char2"/>
    <w:qFormat/>
    <w:uiPriority w:val="0"/>
    <w:rPr>
      <w:rFonts w:ascii="Times New Roman" w:hAnsi="Times New Roman" w:eastAsia="宋体" w:cs="Times New Roman"/>
      <w:kern w:val="2"/>
      <w:sz w:val="24"/>
      <w:lang w:val="en-US" w:eastAsia="zh-CN" w:bidi="ar-SA"/>
    </w:rPr>
  </w:style>
  <w:style w:type="character" w:customStyle="1" w:styleId="297">
    <w:name w:val="polysemyred"/>
    <w:qFormat/>
    <w:uiPriority w:val="0"/>
    <w:rPr>
      <w:rFonts w:ascii="Times New Roman" w:hAnsi="Times New Roman" w:eastAsia="宋体" w:cs="Times New Roman"/>
      <w:color w:val="FF6666"/>
      <w:sz w:val="18"/>
      <w:szCs w:val="18"/>
    </w:rPr>
  </w:style>
  <w:style w:type="character" w:customStyle="1" w:styleId="298">
    <w:name w:val="纯文本 字符"/>
    <w:link w:val="25"/>
    <w:qFormat/>
    <w:uiPriority w:val="0"/>
    <w:rPr>
      <w:rFonts w:ascii="Times New Roman" w:hAnsi="Times New Roman" w:eastAsia="宋体" w:cs="Times New Roman"/>
      <w:kern w:val="2"/>
      <w:sz w:val="24"/>
      <w:lang w:val="en-US" w:eastAsia="zh-CN" w:bidi="ar-SA"/>
    </w:rPr>
  </w:style>
  <w:style w:type="character" w:customStyle="1" w:styleId="299">
    <w:name w:val="breakword"/>
    <w:qFormat/>
    <w:uiPriority w:val="99"/>
    <w:rPr>
      <w:rFonts w:ascii="宋体" w:hAnsi="宋体" w:eastAsia="宋体" w:cs="Times New Roman"/>
      <w:sz w:val="24"/>
    </w:rPr>
  </w:style>
  <w:style w:type="character" w:customStyle="1" w:styleId="300">
    <w:name w:val="正文文本缩进 3 字符"/>
    <w:link w:val="36"/>
    <w:qFormat/>
    <w:uiPriority w:val="0"/>
    <w:rPr>
      <w:rFonts w:ascii="Times New Roman" w:hAnsi="Times New Roman" w:eastAsia="宋体" w:cs="Times New Roman"/>
      <w:kern w:val="2"/>
      <w:sz w:val="16"/>
      <w:szCs w:val="16"/>
      <w:lang w:val="en-US" w:eastAsia="zh-CN" w:bidi="ar-SA"/>
    </w:rPr>
  </w:style>
  <w:style w:type="character" w:customStyle="1" w:styleId="301">
    <w:name w:val="bds_more6"/>
    <w:qFormat/>
    <w:uiPriority w:val="0"/>
    <w:rPr>
      <w:rFonts w:hint="eastAsia" w:ascii="宋体" w:hAnsi="宋体" w:eastAsia="宋体" w:cs="宋体"/>
    </w:rPr>
  </w:style>
  <w:style w:type="character" w:customStyle="1" w:styleId="302">
    <w:name w:val="bds_more9"/>
    <w:qFormat/>
    <w:uiPriority w:val="0"/>
    <w:rPr>
      <w:rFonts w:ascii="Times New Roman" w:hAnsi="Times New Roman" w:eastAsia="宋体" w:cs="Times New Roman"/>
    </w:rPr>
  </w:style>
  <w:style w:type="character" w:customStyle="1" w:styleId="303">
    <w:name w:val="标题 2 字符"/>
    <w:link w:val="4"/>
    <w:qFormat/>
    <w:uiPriority w:val="0"/>
    <w:rPr>
      <w:rFonts w:ascii="Arial" w:hAnsi="Arial" w:eastAsia="宋体" w:cs="Times New Roman"/>
      <w:b/>
      <w:bCs/>
      <w:kern w:val="2"/>
      <w:sz w:val="24"/>
      <w:szCs w:val="32"/>
      <w:lang w:val="en-US" w:eastAsia="zh-CN" w:bidi="ar-SA"/>
    </w:rPr>
  </w:style>
  <w:style w:type="character" w:customStyle="1" w:styleId="304">
    <w:name w:val="Font Style94"/>
    <w:unhideWhenUsed/>
    <w:qFormat/>
    <w:uiPriority w:val="0"/>
    <w:rPr>
      <w:rFonts w:hint="eastAsia" w:ascii="Times New Roman" w:hAnsi="Times New Roman" w:eastAsia="Times New Roman" w:cs="Times New Roman"/>
      <w:sz w:val="28"/>
    </w:rPr>
  </w:style>
  <w:style w:type="character" w:customStyle="1" w:styleId="305">
    <w:name w:val="Font Style86"/>
    <w:unhideWhenUsed/>
    <w:qFormat/>
    <w:uiPriority w:val="0"/>
    <w:rPr>
      <w:rFonts w:hint="eastAsia" w:ascii="黑体" w:hAnsi="黑体" w:eastAsia="黑体" w:cs="Times New Roman"/>
      <w:spacing w:val="10"/>
      <w:sz w:val="30"/>
    </w:rPr>
  </w:style>
  <w:style w:type="character" w:customStyle="1" w:styleId="306">
    <w:name w:val="Font Style123"/>
    <w:unhideWhenUsed/>
    <w:qFormat/>
    <w:uiPriority w:val="0"/>
    <w:rPr>
      <w:rFonts w:hint="eastAsia" w:ascii="宋体" w:hAnsi="宋体" w:eastAsia="宋体" w:cs="Times New Roman"/>
      <w:b/>
      <w:sz w:val="32"/>
    </w:rPr>
  </w:style>
  <w:style w:type="character" w:customStyle="1" w:styleId="307">
    <w:name w:val="标题 9 字符"/>
    <w:link w:val="11"/>
    <w:qFormat/>
    <w:uiPriority w:val="0"/>
    <w:rPr>
      <w:rFonts w:ascii="Arial" w:hAnsi="Arial" w:eastAsia="黑体" w:cs="Times New Roman"/>
      <w:sz w:val="21"/>
      <w:szCs w:val="21"/>
      <w:lang w:val="en-US" w:eastAsia="zh-CN" w:bidi="ar-SA"/>
    </w:rPr>
  </w:style>
  <w:style w:type="character" w:customStyle="1" w:styleId="308">
    <w:name w:val="页眉 Char"/>
    <w:qFormat/>
    <w:uiPriority w:val="99"/>
    <w:rPr>
      <w:rFonts w:ascii="Times New Roman" w:hAnsi="Times New Roman" w:eastAsia="宋体" w:cs="Times New Roman"/>
      <w:kern w:val="2"/>
      <w:sz w:val="18"/>
      <w:szCs w:val="18"/>
    </w:rPr>
  </w:style>
  <w:style w:type="character" w:customStyle="1" w:styleId="309">
    <w:name w:val="bds_nopic2"/>
    <w:qFormat/>
    <w:uiPriority w:val="0"/>
    <w:rPr>
      <w:rFonts w:ascii="Times New Roman" w:hAnsi="Times New Roman" w:eastAsia="宋体" w:cs="Times New Roman"/>
    </w:rPr>
  </w:style>
  <w:style w:type="character" w:customStyle="1" w:styleId="310">
    <w:name w:val="Font Style105"/>
    <w:unhideWhenUsed/>
    <w:qFormat/>
    <w:uiPriority w:val="0"/>
    <w:rPr>
      <w:rFonts w:hint="eastAsia" w:ascii="Times New Roman" w:hAnsi="Times New Roman" w:eastAsia="Times New Roman" w:cs="Times New Roman"/>
      <w:w w:val="60"/>
      <w:sz w:val="26"/>
    </w:rPr>
  </w:style>
  <w:style w:type="character" w:customStyle="1" w:styleId="311">
    <w:name w:val="标题 5 字符"/>
    <w:link w:val="7"/>
    <w:qFormat/>
    <w:uiPriority w:val="0"/>
    <w:rPr>
      <w:rFonts w:ascii="Times New Roman" w:hAnsi="Times New Roman" w:eastAsia="宋体" w:cs="Times New Roman"/>
      <w:b/>
      <w:bCs/>
      <w:sz w:val="28"/>
      <w:szCs w:val="28"/>
      <w:lang w:val="en-US" w:eastAsia="zh-CN" w:bidi="ar-SA"/>
    </w:rPr>
  </w:style>
  <w:style w:type="character" w:customStyle="1" w:styleId="312">
    <w:name w:val="polysemyexp"/>
    <w:qFormat/>
    <w:uiPriority w:val="0"/>
    <w:rPr>
      <w:rFonts w:ascii="Times New Roman" w:hAnsi="Times New Roman" w:eastAsia="宋体" w:cs="Times New Roman"/>
      <w:color w:val="AAAAAA"/>
      <w:sz w:val="18"/>
      <w:szCs w:val="18"/>
    </w:rPr>
  </w:style>
  <w:style w:type="character" w:customStyle="1" w:styleId="313">
    <w:name w:val="正文缩进 Char1"/>
    <w:link w:val="192"/>
    <w:qFormat/>
    <w:uiPriority w:val="0"/>
    <w:rPr>
      <w:rFonts w:ascii="宋体" w:hAnsi="Times New Roman" w:eastAsia="宋体" w:cs="Times New Roman"/>
      <w:sz w:val="24"/>
      <w:lang w:bidi="ar-SA"/>
    </w:rPr>
  </w:style>
  <w:style w:type="character" w:customStyle="1" w:styleId="314">
    <w:name w:val="纯文本 Char1 Char Char Char"/>
    <w:semiHidden/>
    <w:qFormat/>
    <w:uiPriority w:val="0"/>
    <w:rPr>
      <w:rFonts w:ascii="宋体" w:hAnsi="Courier New" w:eastAsia="宋体" w:cs="Times New Roman"/>
      <w:kern w:val="2"/>
      <w:sz w:val="24"/>
      <w:szCs w:val="24"/>
      <w:lang w:val="en-US" w:eastAsia="zh-CN" w:bidi="ar-SA"/>
    </w:rPr>
  </w:style>
  <w:style w:type="character" w:customStyle="1" w:styleId="315">
    <w:name w:val="批注主题 字符"/>
    <w:link w:val="44"/>
    <w:qFormat/>
    <w:uiPriority w:val="0"/>
    <w:rPr>
      <w:rFonts w:ascii="Times New Roman" w:hAnsi="Times New Roman" w:eastAsia="宋体" w:cs="Times New Roman"/>
      <w:b/>
      <w:bCs/>
      <w:kern w:val="2"/>
      <w:sz w:val="21"/>
      <w:szCs w:val="24"/>
      <w:lang w:val="en-US" w:eastAsia="zh-CN" w:bidi="ar-SA"/>
    </w:rPr>
  </w:style>
  <w:style w:type="character" w:customStyle="1" w:styleId="316">
    <w:name w:val="font41"/>
    <w:basedOn w:val="48"/>
    <w:qFormat/>
    <w:uiPriority w:val="0"/>
    <w:rPr>
      <w:rFonts w:hint="default" w:ascii="Arial Unicode MS" w:hAnsi="Arial Unicode MS" w:eastAsia="Arial Unicode MS" w:cs="Arial Unicode MS"/>
      <w:color w:val="000000"/>
      <w:sz w:val="20"/>
      <w:szCs w:val="20"/>
      <w:u w:val="none"/>
    </w:rPr>
  </w:style>
  <w:style w:type="character" w:customStyle="1" w:styleId="317">
    <w:name w:val="页脚 Char"/>
    <w:qFormat/>
    <w:uiPriority w:val="99"/>
    <w:rPr>
      <w:rFonts w:ascii="Times New Roman" w:hAnsi="Times New Roman" w:eastAsia="宋体" w:cs="Times New Roman"/>
      <w:kern w:val="2"/>
      <w:sz w:val="18"/>
      <w:szCs w:val="18"/>
    </w:rPr>
  </w:style>
  <w:style w:type="character" w:customStyle="1" w:styleId="318">
    <w:name w:val="Font Style126"/>
    <w:unhideWhenUsed/>
    <w:qFormat/>
    <w:uiPriority w:val="0"/>
    <w:rPr>
      <w:rFonts w:hint="eastAsia" w:ascii="宋体" w:hAnsi="宋体" w:eastAsia="宋体" w:cs="Times New Roman"/>
      <w:b/>
      <w:spacing w:val="-30"/>
      <w:sz w:val="28"/>
    </w:rPr>
  </w:style>
  <w:style w:type="character" w:customStyle="1" w:styleId="319">
    <w:name w:val="Font Style134"/>
    <w:unhideWhenUsed/>
    <w:qFormat/>
    <w:uiPriority w:val="0"/>
    <w:rPr>
      <w:rFonts w:hint="eastAsia" w:ascii="宋体" w:hAnsi="宋体" w:eastAsia="宋体" w:cs="Times New Roman"/>
      <w:spacing w:val="20"/>
      <w:sz w:val="22"/>
    </w:rPr>
  </w:style>
  <w:style w:type="character" w:customStyle="1" w:styleId="320">
    <w:name w:val="desc"/>
    <w:qFormat/>
    <w:uiPriority w:val="0"/>
    <w:rPr>
      <w:rFonts w:ascii="Times New Roman" w:hAnsi="Times New Roman" w:eastAsia="宋体" w:cs="Times New Roman"/>
      <w:color w:val="000000"/>
      <w:sz w:val="18"/>
      <w:szCs w:val="18"/>
    </w:rPr>
  </w:style>
  <w:style w:type="character" w:customStyle="1" w:styleId="321">
    <w:name w:val="Header Char"/>
    <w:qFormat/>
    <w:uiPriority w:val="0"/>
    <w:rPr>
      <w:rFonts w:ascii="Times New Roman" w:hAnsi="Times New Roman" w:eastAsia="宋体" w:cs="Times New Roman"/>
      <w:sz w:val="18"/>
      <w:szCs w:val="18"/>
    </w:rPr>
  </w:style>
  <w:style w:type="character" w:customStyle="1" w:styleId="322">
    <w:name w:val="纯文本 Char1"/>
    <w:link w:val="136"/>
    <w:qFormat/>
    <w:uiPriority w:val="0"/>
    <w:rPr>
      <w:rFonts w:ascii="宋体" w:hAnsi="Courier New" w:eastAsia="宋体" w:cs="Times New Roman"/>
      <w:lang w:bidi="ar-SA"/>
    </w:rPr>
  </w:style>
  <w:style w:type="character" w:customStyle="1" w:styleId="323">
    <w:name w:val="Font Style90"/>
    <w:unhideWhenUsed/>
    <w:qFormat/>
    <w:uiPriority w:val="0"/>
    <w:rPr>
      <w:rFonts w:hint="eastAsia" w:ascii="宋体" w:hAnsi="宋体" w:eastAsia="宋体" w:cs="Times New Roman"/>
      <w:b/>
      <w:spacing w:val="-20"/>
      <w:sz w:val="40"/>
    </w:rPr>
  </w:style>
  <w:style w:type="paragraph" w:customStyle="1" w:styleId="324">
    <w:name w:val="99-标书-正文"/>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5">
    <w:name w:val="_Style 14"/>
    <w:basedOn w:val="1"/>
    <w:next w:val="193"/>
    <w:qFormat/>
    <w:uiPriority w:val="99"/>
    <w:pPr>
      <w:ind w:firstLine="420" w:firstLineChars="200"/>
    </w:pPr>
  </w:style>
  <w:style w:type="paragraph" w:customStyle="1" w:styleId="32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正文2"/>
    <w:basedOn w:val="1"/>
    <w:qFormat/>
    <w:uiPriority w:val="0"/>
    <w:pPr>
      <w:ind w:firstLine="420"/>
    </w:pPr>
    <w:rPr>
      <w:rFonts w:ascii="等线" w:hAnsi="等线"/>
    </w:rPr>
  </w:style>
  <w:style w:type="character" w:customStyle="1" w:styleId="328">
    <w:name w:val="样式 仿宋"/>
    <w:qFormat/>
    <w:uiPriority w:val="0"/>
    <w:rPr>
      <w:rFonts w:ascii="仿宋" w:hAnsi="仿宋" w:eastAsia="仿宋"/>
      <w:kern w:val="1"/>
    </w:rPr>
  </w:style>
  <w:style w:type="paragraph" w:customStyle="1" w:styleId="329">
    <w:name w:val="Heading #1|1"/>
    <w:basedOn w:val="1"/>
    <w:qFormat/>
    <w:uiPriority w:val="0"/>
    <w:pPr>
      <w:spacing w:before="140" w:after="120"/>
      <w:jc w:val="center"/>
      <w:outlineLvl w:val="0"/>
    </w:pPr>
    <w:rPr>
      <w:rFonts w:ascii="宋体" w:hAnsi="宋体" w:cs="宋体"/>
      <w:sz w:val="30"/>
      <w:szCs w:val="30"/>
      <w:lang w:val="zh-TW" w:eastAsia="zh-TW" w:bidi="zh-TW"/>
    </w:rPr>
  </w:style>
  <w:style w:type="paragraph" w:customStyle="1" w:styleId="330">
    <w:name w:val="Other|1"/>
    <w:basedOn w:val="1"/>
    <w:qFormat/>
    <w:uiPriority w:val="0"/>
    <w:pPr>
      <w:spacing w:line="316" w:lineRule="exact"/>
    </w:pPr>
    <w:rPr>
      <w:rFonts w:ascii="宋体" w:hAnsi="宋体" w:cs="宋体"/>
      <w:sz w:val="19"/>
      <w:szCs w:val="19"/>
      <w:lang w:val="zh-TW" w:eastAsia="zh-TW" w:bidi="zh-TW"/>
    </w:rPr>
  </w:style>
  <w:style w:type="paragraph" w:customStyle="1" w:styleId="331">
    <w:name w:val="Style1"/>
    <w:basedOn w:val="1"/>
    <w:qFormat/>
    <w:uiPriority w:val="0"/>
    <w:pPr>
      <w:widowControl/>
      <w:tabs>
        <w:tab w:val="left" w:pos="-720"/>
      </w:tabs>
    </w:pPr>
    <w:rPr>
      <w:spacing w:val="-3"/>
      <w:kern w:val="0"/>
      <w:sz w:val="24"/>
      <w:szCs w:val="20"/>
      <w:lang w:val="en-AU" w:eastAsia="en-US"/>
    </w:rPr>
  </w:style>
  <w:style w:type="paragraph" w:customStyle="1" w:styleId="3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45987</Words>
  <Characters>53480</Characters>
  <Lines>423</Lines>
  <Paragraphs>119</Paragraphs>
  <TotalTime>0</TotalTime>
  <ScaleCrop>false</ScaleCrop>
  <LinksUpToDate>false</LinksUpToDate>
  <CharactersWithSpaces>57281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Administrator</cp:lastModifiedBy>
  <cp:lastPrinted>2023-04-11T13:41:00Z</cp:lastPrinted>
  <dcterms:modified xsi:type="dcterms:W3CDTF">2024-10-17T09:08:56Z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8C2474E6A77444AF96AB0F575B847CDB_13</vt:lpwstr>
  </property>
  <property fmtid="{D5CDD505-2E9C-101B-9397-08002B2CF9AE}" pid="4" name="KSOSaveFontToCloudKey">
    <vt:lpwstr>244531287_cloud</vt:lpwstr>
  </property>
</Properties>
</file>