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9BAE09">
      <w:pPr>
        <w:pStyle w:val="2"/>
        <w:bidi w:val="0"/>
        <w:jc w:val="center"/>
        <w:rPr>
          <w:rFonts w:hint="eastAsia"/>
          <w:sz w:val="32"/>
          <w:szCs w:val="32"/>
          <w:lang w:val="en-US" w:eastAsia="zh-CN"/>
        </w:rPr>
      </w:pPr>
      <w:bookmarkStart w:id="0" w:name="_GoBack"/>
      <w:bookmarkEnd w:id="0"/>
      <w:r>
        <w:rPr>
          <w:rFonts w:hint="eastAsia"/>
          <w:sz w:val="32"/>
          <w:szCs w:val="32"/>
          <w:lang w:val="en-US" w:eastAsia="zh-CN"/>
        </w:rPr>
        <w:t>总说明</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7"/>
      </w:tblGrid>
      <w:tr w14:paraId="140FA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87" w:type="dxa"/>
          </w:tcPr>
          <w:p w14:paraId="7816F735">
            <w:pPr>
              <w:widowControl w:val="0"/>
              <w:wordWrap/>
              <w:adjustRightInd/>
              <w:snapToGrid/>
              <w:spacing w:before="0" w:after="0" w:line="360" w:lineRule="auto"/>
              <w:ind w:left="0" w:leftChars="0" w:right="0" w:firstLine="0" w:firstLineChars="0"/>
              <w:jc w:val="both"/>
              <w:textAlignment w:val="auto"/>
              <w:outlineLvl w:val="9"/>
              <w:rPr>
                <w:rFonts w:hint="eastAsia" w:ascii="宋体" w:hAnsi="宋体" w:eastAsia="宋体" w:cs="宋体"/>
                <w:b/>
                <w:bCs/>
                <w:color w:val="auto"/>
                <w:sz w:val="24"/>
                <w:szCs w:val="24"/>
                <w:u w:val="none"/>
              </w:rPr>
            </w:pPr>
            <w:r>
              <w:rPr>
                <w:rFonts w:hint="eastAsia" w:ascii="宋体" w:hAnsi="宋体" w:eastAsia="宋体" w:cs="宋体"/>
                <w:b/>
                <w:bCs/>
                <w:color w:val="auto"/>
                <w:sz w:val="24"/>
                <w:szCs w:val="24"/>
                <w:u w:val="none"/>
                <w:lang w:eastAsia="zh-CN"/>
              </w:rPr>
              <w:t>一、</w:t>
            </w:r>
            <w:r>
              <w:rPr>
                <w:rFonts w:hint="eastAsia" w:ascii="宋体" w:hAnsi="宋体" w:eastAsia="宋体" w:cs="宋体"/>
                <w:b/>
                <w:bCs/>
                <w:color w:val="auto"/>
                <w:sz w:val="24"/>
                <w:szCs w:val="24"/>
                <w:u w:val="none"/>
              </w:rPr>
              <w:t>控制价编制依据</w:t>
            </w:r>
          </w:p>
          <w:p w14:paraId="70F59E8E">
            <w:pPr>
              <w:widowControl w:val="0"/>
              <w:wordWrap/>
              <w:adjustRightInd/>
              <w:snapToGrid/>
              <w:spacing w:before="0" w:after="0" w:line="260" w:lineRule="exact"/>
              <w:ind w:left="0" w:leftChars="0" w:right="0" w:firstLine="0" w:firstLineChars="0"/>
              <w:jc w:val="both"/>
              <w:textAlignment w:val="auto"/>
              <w:outlineLvl w:val="9"/>
              <w:rPr>
                <w:rFonts w:hint="default" w:ascii="宋体" w:hAnsi="宋体" w:eastAsia="宋体" w:cs="宋体"/>
                <w:b w:val="0"/>
                <w:bCs w:val="0"/>
                <w:color w:val="auto"/>
                <w:sz w:val="24"/>
                <w:szCs w:val="24"/>
                <w:u w:val="none"/>
                <w:lang w:val="en-US" w:eastAsia="zh-CN"/>
              </w:rPr>
            </w:pPr>
            <w:r>
              <w:rPr>
                <w:rFonts w:hint="eastAsia" w:ascii="宋体" w:hAnsi="宋体" w:eastAsia="宋体" w:cs="宋体"/>
                <w:b w:val="0"/>
                <w:bCs w:val="0"/>
                <w:color w:val="auto"/>
                <w:sz w:val="24"/>
                <w:szCs w:val="24"/>
                <w:u w:val="none"/>
                <w:lang w:eastAsia="zh-CN"/>
              </w:rPr>
              <w:t>1、编制办法执行水利部水总（2014）429 号文“颁发的《水利工程设 计概（估）算编制规定》的通知。</w:t>
            </w:r>
          </w:p>
          <w:p w14:paraId="2A41CB58">
            <w:pPr>
              <w:widowControl w:val="0"/>
              <w:wordWrap/>
              <w:adjustRightInd/>
              <w:snapToGrid/>
              <w:spacing w:before="0" w:after="0" w:line="260" w:lineRule="exact"/>
              <w:ind w:left="0" w:leftChars="0" w:right="0" w:firstLine="0" w:firstLineChars="0"/>
              <w:jc w:val="both"/>
              <w:textAlignment w:val="auto"/>
              <w:outlineLvl w:val="9"/>
              <w:rPr>
                <w:rFonts w:hint="eastAsia" w:ascii="宋体" w:hAnsi="宋体" w:eastAsia="宋体" w:cs="宋体"/>
                <w:b w:val="0"/>
                <w:bCs w:val="0"/>
                <w:color w:val="auto"/>
                <w:sz w:val="24"/>
                <w:szCs w:val="24"/>
                <w:u w:val="none"/>
                <w:lang w:eastAsia="zh-CN"/>
              </w:rPr>
            </w:pPr>
            <w:r>
              <w:rPr>
                <w:rFonts w:hint="eastAsia" w:ascii="宋体" w:hAnsi="宋体" w:eastAsia="宋体" w:cs="宋体"/>
                <w:b w:val="0"/>
                <w:bCs w:val="0"/>
                <w:color w:val="auto"/>
                <w:sz w:val="24"/>
                <w:szCs w:val="24"/>
                <w:u w:val="none"/>
                <w:lang w:eastAsia="zh-CN"/>
              </w:rPr>
              <w:t xml:space="preserve">2、水利部办公厅关于调整水利工程计价依据增值税计算标准的通知【办财务函(2019)448 号文】。 </w:t>
            </w:r>
          </w:p>
          <w:p w14:paraId="0C0AAD7E">
            <w:pPr>
              <w:widowControl w:val="0"/>
              <w:wordWrap/>
              <w:adjustRightInd/>
              <w:snapToGrid/>
              <w:spacing w:before="0" w:after="0" w:line="260" w:lineRule="exact"/>
              <w:ind w:left="0" w:leftChars="0" w:right="0" w:firstLine="0" w:firstLineChars="0"/>
              <w:jc w:val="both"/>
              <w:textAlignment w:val="auto"/>
              <w:outlineLvl w:val="9"/>
              <w:rPr>
                <w:rFonts w:hint="eastAsia" w:ascii="宋体" w:hAnsi="宋体" w:eastAsia="宋体" w:cs="宋体"/>
                <w:b w:val="0"/>
                <w:bCs w:val="0"/>
                <w:color w:val="auto"/>
                <w:sz w:val="24"/>
                <w:szCs w:val="24"/>
                <w:u w:val="none"/>
                <w:lang w:eastAsia="zh-CN"/>
              </w:rPr>
            </w:pPr>
            <w:r>
              <w:rPr>
                <w:rFonts w:hint="eastAsia" w:ascii="宋体" w:hAnsi="宋体" w:eastAsia="宋体" w:cs="宋体"/>
                <w:b w:val="0"/>
                <w:bCs w:val="0"/>
                <w:color w:val="auto"/>
                <w:sz w:val="24"/>
                <w:szCs w:val="24"/>
                <w:u w:val="none"/>
                <w:lang w:eastAsia="zh-CN"/>
              </w:rPr>
              <w:t xml:space="preserve">3、中华人民共和国水利部办公厅水总（2016）132 号文《水利工程营 业税改征增值税计价依据调整办法》。 </w:t>
            </w:r>
          </w:p>
          <w:p w14:paraId="73565D19">
            <w:pPr>
              <w:widowControl w:val="0"/>
              <w:wordWrap/>
              <w:adjustRightInd/>
              <w:snapToGrid/>
              <w:spacing w:before="0" w:after="0" w:line="260" w:lineRule="exact"/>
              <w:ind w:left="0" w:leftChars="0" w:right="0" w:firstLine="0" w:firstLineChars="0"/>
              <w:jc w:val="both"/>
              <w:textAlignment w:val="auto"/>
              <w:outlineLvl w:val="9"/>
              <w:rPr>
                <w:rFonts w:hint="eastAsia" w:ascii="宋体" w:hAnsi="宋体" w:eastAsia="宋体" w:cs="宋体"/>
                <w:b w:val="0"/>
                <w:bCs w:val="0"/>
                <w:color w:val="auto"/>
                <w:sz w:val="24"/>
                <w:szCs w:val="24"/>
                <w:u w:val="none"/>
                <w:lang w:eastAsia="zh-CN"/>
              </w:rPr>
            </w:pPr>
            <w:r>
              <w:rPr>
                <w:rFonts w:hint="eastAsia" w:ascii="宋体" w:hAnsi="宋体" w:eastAsia="宋体" w:cs="宋体"/>
                <w:b w:val="0"/>
                <w:bCs w:val="0"/>
                <w:color w:val="auto"/>
                <w:sz w:val="24"/>
                <w:szCs w:val="24"/>
                <w:u w:val="none"/>
                <w:lang w:eastAsia="zh-CN"/>
              </w:rPr>
              <w:t xml:space="preserve">4、建筑工程执行水利部水总（2002）116号文“颁发的《水利建筑工 程概算定额》、《水利建筑工程预算定额》，水利部水总（2005）389 号文 颁发《水利工程概预算补充定额》。 </w:t>
            </w:r>
          </w:p>
          <w:p w14:paraId="43DCC768">
            <w:pPr>
              <w:widowControl w:val="0"/>
              <w:wordWrap/>
              <w:adjustRightInd/>
              <w:snapToGrid/>
              <w:spacing w:before="0" w:after="0" w:line="260" w:lineRule="exact"/>
              <w:ind w:left="0" w:leftChars="0" w:right="0" w:firstLine="0" w:firstLineChars="0"/>
              <w:jc w:val="both"/>
              <w:textAlignment w:val="auto"/>
              <w:outlineLvl w:val="9"/>
              <w:rPr>
                <w:rFonts w:hint="eastAsia" w:ascii="宋体" w:hAnsi="宋体" w:eastAsia="宋体" w:cs="宋体"/>
                <w:b w:val="0"/>
                <w:bCs w:val="0"/>
                <w:color w:val="auto"/>
                <w:sz w:val="24"/>
                <w:szCs w:val="24"/>
                <w:u w:val="none"/>
                <w:lang w:eastAsia="zh-CN"/>
              </w:rPr>
            </w:pPr>
            <w:r>
              <w:rPr>
                <w:rFonts w:hint="eastAsia" w:ascii="宋体" w:hAnsi="宋体" w:eastAsia="宋体" w:cs="宋体"/>
                <w:b w:val="0"/>
                <w:bCs w:val="0"/>
                <w:color w:val="auto"/>
                <w:sz w:val="24"/>
                <w:szCs w:val="24"/>
                <w:u w:val="none"/>
                <w:lang w:eastAsia="zh-CN"/>
              </w:rPr>
              <w:t xml:space="preserve">5、设备安装工程执行水利部水总（2002）116号文，颁发的《水利水电设备安装工程概算定额》、《水利水电设备安装工程预算定额》。 </w:t>
            </w:r>
          </w:p>
          <w:p w14:paraId="1AAF3037">
            <w:pPr>
              <w:widowControl w:val="0"/>
              <w:wordWrap/>
              <w:adjustRightInd/>
              <w:snapToGrid/>
              <w:spacing w:before="0" w:after="0" w:line="260" w:lineRule="exact"/>
              <w:ind w:left="0" w:leftChars="0" w:right="0" w:firstLine="0" w:firstLineChars="0"/>
              <w:jc w:val="both"/>
              <w:textAlignment w:val="auto"/>
              <w:outlineLvl w:val="9"/>
              <w:rPr>
                <w:rFonts w:hint="eastAsia" w:ascii="宋体" w:hAnsi="宋体" w:eastAsia="宋体" w:cs="宋体"/>
                <w:b w:val="0"/>
                <w:bCs w:val="0"/>
                <w:color w:val="auto"/>
                <w:sz w:val="24"/>
                <w:szCs w:val="24"/>
                <w:u w:val="none"/>
                <w:lang w:eastAsia="zh-CN"/>
              </w:rPr>
            </w:pPr>
            <w:r>
              <w:rPr>
                <w:rFonts w:hint="eastAsia" w:ascii="宋体" w:hAnsi="宋体" w:eastAsia="宋体" w:cs="宋体"/>
                <w:b w:val="0"/>
                <w:bCs w:val="0"/>
                <w:color w:val="auto"/>
                <w:sz w:val="24"/>
                <w:szCs w:val="24"/>
                <w:u w:val="none"/>
                <w:lang w:eastAsia="zh-CN"/>
              </w:rPr>
              <w:t xml:space="preserve">6、施工机械台时费定额执行水利部水总（2002）116 号文颁发的《水 </w:t>
            </w:r>
          </w:p>
          <w:p w14:paraId="6D561BDD">
            <w:pPr>
              <w:widowControl w:val="0"/>
              <w:wordWrap/>
              <w:adjustRightInd/>
              <w:snapToGrid/>
              <w:spacing w:before="0" w:after="0" w:line="260" w:lineRule="exact"/>
              <w:ind w:left="0" w:leftChars="0" w:right="0" w:firstLine="0" w:firstLineChars="0"/>
              <w:jc w:val="both"/>
              <w:textAlignment w:val="auto"/>
              <w:outlineLvl w:val="9"/>
              <w:rPr>
                <w:rFonts w:hint="eastAsia" w:ascii="宋体" w:hAnsi="宋体" w:eastAsia="宋体" w:cs="宋体"/>
                <w:b w:val="0"/>
                <w:bCs w:val="0"/>
                <w:color w:val="auto"/>
                <w:sz w:val="24"/>
                <w:szCs w:val="24"/>
                <w:u w:val="none"/>
                <w:lang w:eastAsia="zh-CN"/>
              </w:rPr>
            </w:pPr>
            <w:r>
              <w:rPr>
                <w:rFonts w:hint="eastAsia" w:ascii="宋体" w:hAnsi="宋体" w:eastAsia="宋体" w:cs="宋体"/>
                <w:b w:val="0"/>
                <w:bCs w:val="0"/>
                <w:color w:val="auto"/>
                <w:sz w:val="24"/>
                <w:szCs w:val="24"/>
                <w:u w:val="none"/>
                <w:lang w:eastAsia="zh-CN"/>
              </w:rPr>
              <w:t>利工程施工机械台时费定额》。执行水利部办公厅关于调整水利工程计价依据安全生产措施费计算标办水总函〔2023)38 号文。</w:t>
            </w:r>
          </w:p>
          <w:p w14:paraId="58EA3378">
            <w:pPr>
              <w:widowControl w:val="0"/>
              <w:wordWrap/>
              <w:adjustRightInd/>
              <w:snapToGrid/>
              <w:spacing w:before="0" w:after="0" w:line="260" w:lineRule="exact"/>
              <w:ind w:left="0" w:leftChars="0" w:right="0" w:firstLine="0" w:firstLineChars="0"/>
              <w:jc w:val="both"/>
              <w:textAlignment w:val="auto"/>
              <w:outlineLvl w:val="9"/>
              <w:rPr>
                <w:rFonts w:hint="eastAsia" w:ascii="宋体" w:hAnsi="宋体" w:eastAsia="宋体" w:cs="宋体"/>
                <w:b w:val="0"/>
                <w:bCs w:val="0"/>
                <w:color w:val="auto"/>
                <w:kern w:val="0"/>
                <w:sz w:val="24"/>
                <w:szCs w:val="24"/>
                <w:u w:val="none"/>
                <w:lang w:val="en-US" w:eastAsia="zh-CN" w:bidi="ar-SA"/>
              </w:rPr>
            </w:pPr>
            <w:r>
              <w:rPr>
                <w:rFonts w:hint="eastAsia" w:ascii="宋体" w:hAnsi="宋体" w:eastAsia="宋体" w:cs="宋体"/>
                <w:b w:val="0"/>
                <w:bCs w:val="0"/>
                <w:color w:val="auto"/>
                <w:sz w:val="24"/>
                <w:szCs w:val="24"/>
                <w:u w:val="none"/>
                <w:lang w:val="en-US" w:eastAsia="zh-CN"/>
              </w:rPr>
              <w:t>7</w:t>
            </w:r>
            <w:r>
              <w:rPr>
                <w:rFonts w:hint="eastAsia" w:ascii="宋体" w:hAnsi="宋体" w:eastAsia="宋体" w:cs="宋体"/>
                <w:b w:val="0"/>
                <w:bCs w:val="0"/>
                <w:color w:val="auto"/>
                <w:sz w:val="24"/>
                <w:szCs w:val="24"/>
                <w:u w:val="none"/>
                <w:lang w:eastAsia="zh-CN"/>
              </w:rPr>
              <w:t>、材料信息价执行：</w:t>
            </w:r>
            <w:r>
              <w:rPr>
                <w:rFonts w:hint="eastAsia" w:ascii="宋体" w:hAnsi="宋体" w:eastAsia="宋体" w:cs="宋体"/>
                <w:b w:val="0"/>
                <w:bCs w:val="0"/>
                <w:color w:val="auto"/>
                <w:sz w:val="24"/>
                <w:szCs w:val="24"/>
                <w:u w:val="none"/>
                <w:lang w:val="en-US" w:eastAsia="zh-CN"/>
              </w:rPr>
              <w:t>伊宁市</w:t>
            </w:r>
            <w:r>
              <w:rPr>
                <w:rFonts w:hint="eastAsia" w:ascii="宋体" w:hAnsi="宋体" w:eastAsia="宋体" w:cs="宋体"/>
                <w:b w:val="0"/>
                <w:bCs w:val="0"/>
                <w:color w:val="auto"/>
                <w:kern w:val="0"/>
                <w:sz w:val="24"/>
                <w:szCs w:val="24"/>
                <w:u w:val="none"/>
                <w:lang w:val="en-US" w:eastAsia="zh-CN" w:bidi="ar-SA"/>
              </w:rPr>
              <w:t>地区2024年12月份建设工程价格信息及市场价。</w:t>
            </w:r>
          </w:p>
          <w:p w14:paraId="760213A4">
            <w:pPr>
              <w:pStyle w:val="3"/>
              <w:keepNext w:val="0"/>
              <w:keepLines w:val="0"/>
              <w:widowControl/>
              <w:suppressLineNumbers w:val="0"/>
              <w:spacing w:before="0" w:beforeAutospacing="0" w:after="0" w:afterAutospacing="0"/>
              <w:ind w:left="0" w:right="0" w:firstLine="0"/>
              <w:rPr>
                <w:rFonts w:hint="eastAsia" w:ascii="宋体" w:hAnsi="宋体" w:eastAsia="宋体" w:cs="宋体"/>
                <w:b w:val="0"/>
                <w:bCs w:val="0"/>
                <w:color w:val="auto"/>
                <w:kern w:val="2"/>
                <w:sz w:val="24"/>
                <w:szCs w:val="24"/>
                <w:u w:val="none"/>
                <w:lang w:val="en-US" w:eastAsia="zh-CN" w:bidi="ar-SA"/>
              </w:rPr>
            </w:pPr>
            <w:r>
              <w:rPr>
                <w:rFonts w:hint="eastAsia" w:cs="宋体"/>
                <w:b w:val="0"/>
                <w:bCs w:val="0"/>
                <w:color w:val="auto"/>
                <w:kern w:val="2"/>
                <w:sz w:val="24"/>
                <w:szCs w:val="24"/>
                <w:u w:val="none"/>
                <w:lang w:val="en-US" w:eastAsia="zh-CN" w:bidi="ar-SA"/>
              </w:rPr>
              <w:t>8</w:t>
            </w:r>
            <w:r>
              <w:rPr>
                <w:rFonts w:hint="eastAsia" w:ascii="宋体" w:hAnsi="宋体" w:eastAsia="宋体" w:cs="宋体"/>
                <w:b w:val="0"/>
                <w:bCs w:val="0"/>
                <w:color w:val="auto"/>
                <w:kern w:val="2"/>
                <w:sz w:val="24"/>
                <w:szCs w:val="24"/>
                <w:u w:val="none"/>
                <w:lang w:val="en-US" w:eastAsia="zh-CN" w:bidi="ar-SA"/>
              </w:rPr>
              <w:t>、人工费执行：伊州住建造【2023】5号《关于调整伊宁地区及州直属县建设工程定额人工费单价的通知》。</w:t>
            </w:r>
          </w:p>
          <w:p w14:paraId="378A3C9D">
            <w:pPr>
              <w:pStyle w:val="3"/>
              <w:keepNext w:val="0"/>
              <w:keepLines w:val="0"/>
              <w:widowControl/>
              <w:suppressLineNumbers w:val="0"/>
              <w:spacing w:before="0" w:beforeAutospacing="0" w:after="0" w:afterAutospacing="0"/>
              <w:ind w:left="0" w:right="0" w:firstLine="0"/>
              <w:rPr>
                <w:rFonts w:hint="eastAsia" w:ascii="宋体" w:hAnsi="宋体" w:eastAsia="宋体" w:cs="宋体"/>
                <w:b w:val="0"/>
                <w:bCs w:val="0"/>
                <w:color w:val="auto"/>
                <w:kern w:val="2"/>
                <w:sz w:val="24"/>
                <w:szCs w:val="24"/>
                <w:u w:val="none"/>
                <w:lang w:val="en-US" w:eastAsia="zh-CN" w:bidi="ar-SA"/>
              </w:rPr>
            </w:pPr>
            <w:r>
              <w:rPr>
                <w:rFonts w:hint="eastAsia" w:cs="宋体"/>
                <w:b w:val="0"/>
                <w:bCs w:val="0"/>
                <w:color w:val="auto"/>
                <w:kern w:val="2"/>
                <w:sz w:val="24"/>
                <w:szCs w:val="24"/>
                <w:u w:val="none"/>
                <w:lang w:val="en-US" w:eastAsia="zh-CN" w:bidi="ar-SA"/>
              </w:rPr>
              <w:t>9</w:t>
            </w:r>
            <w:r>
              <w:rPr>
                <w:rFonts w:hint="eastAsia" w:ascii="宋体" w:hAnsi="宋体" w:eastAsia="宋体" w:cs="宋体"/>
                <w:b w:val="0"/>
                <w:bCs w:val="0"/>
                <w:color w:val="auto"/>
                <w:kern w:val="2"/>
                <w:sz w:val="24"/>
                <w:szCs w:val="24"/>
                <w:u w:val="none"/>
                <w:lang w:val="en-US" w:eastAsia="zh-CN" w:bidi="ar-SA"/>
              </w:rPr>
              <w:t>、水泥等级执行：新建标【2017】15号《关于取消32.5等级水泥调整自治区建设工程计价依据的通知》。</w:t>
            </w:r>
          </w:p>
          <w:p w14:paraId="5528CE6F">
            <w:pPr>
              <w:widowControl w:val="0"/>
              <w:wordWrap/>
              <w:adjustRightInd/>
              <w:snapToGrid/>
              <w:spacing w:before="0" w:after="0" w:line="260" w:lineRule="exact"/>
              <w:ind w:left="0" w:leftChars="0" w:right="0" w:firstLine="0" w:firstLineChars="0"/>
              <w:jc w:val="both"/>
              <w:textAlignment w:val="auto"/>
              <w:outlineLvl w:val="9"/>
              <w:rPr>
                <w:rFonts w:hint="eastAsia" w:cs="宋体"/>
                <w:b w:val="0"/>
                <w:bCs w:val="0"/>
                <w:strike w:val="0"/>
                <w:dstrike w:val="0"/>
                <w:color w:val="auto"/>
                <w:sz w:val="24"/>
                <w:szCs w:val="24"/>
                <w:u w:val="none"/>
                <w:lang w:val="en-US" w:eastAsia="zh-CN"/>
              </w:rPr>
            </w:pPr>
            <w:r>
              <w:rPr>
                <w:rFonts w:hint="eastAsia" w:ascii="宋体" w:hAnsi="宋体" w:eastAsia="宋体"/>
                <w:b/>
                <w:bCs w:val="0"/>
                <w:color w:val="auto"/>
                <w:sz w:val="24"/>
                <w:szCs w:val="24"/>
                <w:u w:val="none"/>
              </w:rPr>
              <w:t>二、计价部分</w:t>
            </w:r>
          </w:p>
          <w:p w14:paraId="462C1906">
            <w:pPr>
              <w:pStyle w:val="3"/>
              <w:keepNext w:val="0"/>
              <w:keepLines w:val="0"/>
              <w:widowControl/>
              <w:numPr>
                <w:ilvl w:val="0"/>
                <w:numId w:val="1"/>
              </w:numPr>
              <w:suppressLineNumbers w:val="0"/>
              <w:spacing w:before="0" w:beforeAutospacing="0" w:after="0" w:afterAutospacing="0"/>
              <w:ind w:left="0" w:right="0" w:firstLine="0"/>
              <w:rPr>
                <w:rFonts w:hint="eastAsia" w:cs="宋体"/>
                <w:b w:val="0"/>
                <w:bCs w:val="0"/>
                <w:strike w:val="0"/>
                <w:dstrike w:val="0"/>
                <w:color w:val="auto"/>
                <w:sz w:val="24"/>
                <w:szCs w:val="24"/>
                <w:u w:val="none"/>
                <w:lang w:val="en-US" w:eastAsia="zh-CN"/>
              </w:rPr>
            </w:pPr>
            <w:r>
              <w:rPr>
                <w:rFonts w:hint="eastAsia" w:cs="宋体"/>
                <w:b w:val="0"/>
                <w:bCs w:val="0"/>
                <w:strike w:val="0"/>
                <w:dstrike w:val="0"/>
                <w:color w:val="auto"/>
                <w:sz w:val="24"/>
                <w:szCs w:val="24"/>
                <w:u w:val="none"/>
                <w:lang w:val="en-US" w:eastAsia="zh-CN"/>
              </w:rPr>
              <w:t>彩钢泵房室内地坪：C20 10cm厚；</w:t>
            </w:r>
          </w:p>
          <w:p w14:paraId="6BC7EA6F">
            <w:pPr>
              <w:pStyle w:val="3"/>
              <w:keepNext w:val="0"/>
              <w:keepLines w:val="0"/>
              <w:widowControl/>
              <w:numPr>
                <w:ilvl w:val="0"/>
                <w:numId w:val="1"/>
              </w:numPr>
              <w:suppressLineNumbers w:val="0"/>
              <w:spacing w:before="0" w:beforeAutospacing="0" w:after="0" w:afterAutospacing="0"/>
              <w:ind w:left="0" w:right="0" w:firstLine="0"/>
              <w:rPr>
                <w:rFonts w:hint="default" w:cs="宋体"/>
                <w:b w:val="0"/>
                <w:bCs w:val="0"/>
                <w:strike w:val="0"/>
                <w:dstrike w:val="0"/>
                <w:color w:val="auto"/>
                <w:sz w:val="24"/>
                <w:szCs w:val="24"/>
                <w:u w:val="none"/>
                <w:lang w:val="en-US" w:eastAsia="zh-CN"/>
              </w:rPr>
            </w:pPr>
            <w:r>
              <w:rPr>
                <w:rFonts w:hint="eastAsia" w:cs="宋体"/>
                <w:b w:val="0"/>
                <w:bCs w:val="0"/>
                <w:strike w:val="0"/>
                <w:dstrike w:val="0"/>
                <w:color w:val="auto"/>
                <w:sz w:val="24"/>
                <w:szCs w:val="24"/>
                <w:u w:val="none"/>
                <w:lang w:val="en-US" w:eastAsia="zh-CN"/>
              </w:rPr>
              <w:t>彩钢泵房：10cm彩钢夹芯保温板，高度3米（含门窗）；</w:t>
            </w:r>
          </w:p>
          <w:p w14:paraId="1958ACF9">
            <w:pPr>
              <w:pStyle w:val="3"/>
              <w:keepNext w:val="0"/>
              <w:keepLines w:val="0"/>
              <w:widowControl/>
              <w:numPr>
                <w:ilvl w:val="0"/>
                <w:numId w:val="1"/>
              </w:numPr>
              <w:suppressLineNumbers w:val="0"/>
              <w:spacing w:before="0" w:beforeAutospacing="0" w:after="0" w:afterAutospacing="0"/>
              <w:ind w:left="0" w:right="0" w:firstLine="0"/>
              <w:rPr>
                <w:rFonts w:hint="default" w:cs="宋体"/>
                <w:b w:val="0"/>
                <w:bCs w:val="0"/>
                <w:strike w:val="0"/>
                <w:dstrike w:val="0"/>
                <w:color w:val="auto"/>
                <w:sz w:val="24"/>
                <w:szCs w:val="24"/>
                <w:u w:val="none"/>
                <w:lang w:val="en-US" w:eastAsia="zh-CN"/>
              </w:rPr>
            </w:pPr>
            <w:r>
              <w:rPr>
                <w:rFonts w:hint="eastAsia" w:cs="宋体"/>
                <w:b w:val="0"/>
                <w:bCs w:val="0"/>
                <w:strike w:val="0"/>
                <w:dstrike w:val="0"/>
                <w:color w:val="auto"/>
                <w:sz w:val="24"/>
                <w:szCs w:val="24"/>
                <w:u w:val="none"/>
                <w:lang w:val="en-US" w:eastAsia="zh-CN"/>
              </w:rPr>
              <w:t>电缆管沟：放坡系数按1：0.3计取；</w:t>
            </w:r>
          </w:p>
          <w:p w14:paraId="47C80E8B">
            <w:pPr>
              <w:pStyle w:val="3"/>
              <w:keepNext w:val="0"/>
              <w:keepLines w:val="0"/>
              <w:widowControl/>
              <w:numPr>
                <w:ilvl w:val="0"/>
                <w:numId w:val="0"/>
              </w:numPr>
              <w:suppressLineNumbers w:val="0"/>
              <w:spacing w:before="0" w:beforeAutospacing="0" w:after="0" w:afterAutospacing="0"/>
              <w:ind w:leftChars="0" w:right="0" w:rightChars="0"/>
              <w:rPr>
                <w:rFonts w:hint="default" w:cs="宋体"/>
                <w:b w:val="0"/>
                <w:bCs w:val="0"/>
                <w:strike w:val="0"/>
                <w:dstrike w:val="0"/>
                <w:color w:val="auto"/>
                <w:sz w:val="24"/>
                <w:szCs w:val="24"/>
                <w:u w:val="none"/>
                <w:lang w:val="en-US" w:eastAsia="zh-CN"/>
              </w:rPr>
            </w:pPr>
            <w:r>
              <w:rPr>
                <w:rFonts w:hint="eastAsia" w:cs="宋体"/>
                <w:b w:val="0"/>
                <w:bCs w:val="0"/>
                <w:strike w:val="0"/>
                <w:dstrike w:val="0"/>
                <w:color w:val="auto"/>
                <w:sz w:val="24"/>
                <w:szCs w:val="24"/>
                <w:u w:val="none"/>
                <w:lang w:val="en-US" w:eastAsia="zh-CN"/>
              </w:rPr>
              <w:t>4.</w:t>
            </w:r>
            <w:r>
              <w:rPr>
                <w:rFonts w:hint="default" w:cs="宋体"/>
                <w:b w:val="0"/>
                <w:bCs w:val="0"/>
                <w:strike w:val="0"/>
                <w:dstrike w:val="0"/>
                <w:color w:val="auto"/>
                <w:sz w:val="24"/>
                <w:szCs w:val="24"/>
                <w:u w:val="none"/>
                <w:lang w:val="en-US" w:eastAsia="zh-CN"/>
              </w:rPr>
              <w:t>水肥一体系统</w:t>
            </w:r>
            <w:r>
              <w:rPr>
                <w:rFonts w:hint="eastAsia" w:cs="宋体"/>
                <w:b w:val="0"/>
                <w:bCs w:val="0"/>
                <w:strike w:val="0"/>
                <w:dstrike w:val="0"/>
                <w:color w:val="auto"/>
                <w:sz w:val="24"/>
                <w:szCs w:val="24"/>
                <w:u w:val="none"/>
                <w:lang w:val="en-US" w:eastAsia="zh-CN"/>
              </w:rPr>
              <w:t>：按一套适合本项目体量大小计取；</w:t>
            </w:r>
          </w:p>
          <w:p w14:paraId="7E66E36E">
            <w:pPr>
              <w:pStyle w:val="3"/>
              <w:keepNext w:val="0"/>
              <w:keepLines w:val="0"/>
              <w:widowControl/>
              <w:numPr>
                <w:ilvl w:val="0"/>
                <w:numId w:val="0"/>
              </w:numPr>
              <w:suppressLineNumbers w:val="0"/>
              <w:spacing w:before="0" w:beforeAutospacing="0" w:after="0" w:afterAutospacing="0"/>
              <w:ind w:leftChars="0" w:right="0" w:rightChars="0"/>
              <w:rPr>
                <w:rFonts w:hint="default" w:cs="宋体"/>
                <w:b w:val="0"/>
                <w:bCs w:val="0"/>
                <w:strike w:val="0"/>
                <w:dstrike w:val="0"/>
                <w:color w:val="auto"/>
                <w:sz w:val="24"/>
                <w:szCs w:val="24"/>
                <w:u w:val="none"/>
                <w:lang w:val="en-US" w:eastAsia="zh-CN"/>
              </w:rPr>
            </w:pPr>
            <w:r>
              <w:rPr>
                <w:rFonts w:hint="eastAsia" w:cs="宋体"/>
                <w:b w:val="0"/>
                <w:bCs w:val="0"/>
                <w:strike w:val="0"/>
                <w:dstrike w:val="0"/>
                <w:color w:val="auto"/>
                <w:sz w:val="24"/>
                <w:szCs w:val="24"/>
                <w:u w:val="none"/>
                <w:lang w:val="en-US" w:eastAsia="zh-CN"/>
              </w:rPr>
              <w:t>5.水泵安装工程：水泵型号、规格 200QJ50-80 配有30kw变频器；水井深度120m；</w:t>
            </w:r>
          </w:p>
          <w:p w14:paraId="419F8B6F">
            <w:pPr>
              <w:pStyle w:val="3"/>
              <w:keepNext w:val="0"/>
              <w:keepLines w:val="0"/>
              <w:widowControl/>
              <w:numPr>
                <w:ilvl w:val="0"/>
                <w:numId w:val="0"/>
              </w:numPr>
              <w:suppressLineNumbers w:val="0"/>
              <w:spacing w:before="0" w:beforeAutospacing="0" w:after="0" w:afterAutospacing="0"/>
              <w:ind w:leftChars="0" w:right="0" w:rightChars="0"/>
              <w:rPr>
                <w:rFonts w:hint="eastAsia" w:ascii="宋体" w:hAnsi="宋体" w:eastAsia="宋体"/>
                <w:b/>
                <w:bCs w:val="0"/>
                <w:color w:val="auto"/>
                <w:sz w:val="24"/>
                <w:szCs w:val="24"/>
                <w:u w:val="none"/>
                <w:lang w:val="en-US" w:eastAsia="zh-CN"/>
              </w:rPr>
            </w:pPr>
            <w:r>
              <w:rPr>
                <w:rFonts w:hint="eastAsia" w:cs="宋体"/>
                <w:b w:val="0"/>
                <w:bCs w:val="0"/>
                <w:strike w:val="0"/>
                <w:dstrike w:val="0"/>
                <w:color w:val="auto"/>
                <w:sz w:val="24"/>
                <w:szCs w:val="24"/>
                <w:u w:val="none"/>
                <w:lang w:val="en-US" w:eastAsia="zh-CN"/>
              </w:rPr>
              <w:t>6.混凝土、砂浆部分：均采用商品混凝土；</w:t>
            </w:r>
          </w:p>
          <w:p w14:paraId="5955AF16">
            <w:pPr>
              <w:widowControl w:val="0"/>
              <w:wordWrap/>
              <w:adjustRightInd/>
              <w:snapToGrid/>
              <w:spacing w:before="0" w:after="0" w:line="260" w:lineRule="exact"/>
              <w:ind w:left="0" w:leftChars="0" w:right="0" w:firstLine="0" w:firstLineChars="0"/>
              <w:jc w:val="both"/>
              <w:textAlignment w:val="auto"/>
              <w:outlineLvl w:val="9"/>
              <w:rPr>
                <w:rFonts w:hint="default" w:ascii="宋体" w:hAnsi="宋体" w:eastAsia="宋体"/>
                <w:b/>
                <w:bCs w:val="0"/>
                <w:color w:val="auto"/>
                <w:sz w:val="24"/>
                <w:szCs w:val="24"/>
                <w:u w:val="none"/>
                <w:lang w:val="en-US" w:eastAsia="zh-CN"/>
              </w:rPr>
            </w:pPr>
          </w:p>
          <w:p w14:paraId="5A2BA336">
            <w:pPr>
              <w:numPr>
                <w:ilvl w:val="0"/>
                <w:numId w:val="2"/>
              </w:numPr>
              <w:wordWrap/>
              <w:adjustRightInd/>
              <w:snapToGrid/>
              <w:spacing w:before="0" w:after="0" w:line="340" w:lineRule="exact"/>
              <w:ind w:right="0"/>
              <w:textAlignment w:val="auto"/>
              <w:outlineLvl w:val="9"/>
              <w:rPr>
                <w:rFonts w:hint="eastAsia" w:ascii="宋体" w:hAnsi="宋体" w:eastAsia="宋体"/>
                <w:b/>
                <w:color w:val="auto"/>
                <w:sz w:val="24"/>
                <w:szCs w:val="24"/>
                <w:u w:val="none"/>
                <w:lang w:val="en-US" w:eastAsia="zh-CN"/>
              </w:rPr>
            </w:pPr>
            <w:r>
              <w:rPr>
                <w:rFonts w:hint="eastAsia" w:ascii="宋体" w:hAnsi="宋体" w:eastAsia="宋体" w:cs="宋体"/>
                <w:b/>
                <w:bCs/>
                <w:color w:val="auto"/>
                <w:kern w:val="2"/>
                <w:sz w:val="24"/>
                <w:szCs w:val="24"/>
                <w:u w:val="none"/>
                <w:lang w:val="en-US" w:eastAsia="zh-CN" w:bidi="ar-SA"/>
              </w:rPr>
              <w:t xml:space="preserve">除税市场价部分  </w:t>
            </w:r>
          </w:p>
          <w:p w14:paraId="7E6EE0D5">
            <w:pPr>
              <w:numPr>
                <w:ilvl w:val="0"/>
                <w:numId w:val="0"/>
              </w:numPr>
              <w:wordWrap/>
              <w:adjustRightInd/>
              <w:snapToGrid/>
              <w:spacing w:before="0" w:after="0" w:line="340" w:lineRule="exact"/>
              <w:ind w:right="0"/>
              <w:textAlignment w:val="auto"/>
              <w:outlineLvl w:val="9"/>
              <w:rPr>
                <w:rFonts w:hint="default" w:ascii="宋体" w:hAnsi="宋体" w:eastAsia="宋体"/>
                <w:b w:val="0"/>
                <w:bCs/>
                <w:color w:val="auto"/>
                <w:sz w:val="24"/>
                <w:szCs w:val="24"/>
                <w:u w:val="none"/>
                <w:lang w:val="en-US" w:eastAsia="zh-CN"/>
              </w:rPr>
            </w:pPr>
            <w:r>
              <w:rPr>
                <w:rFonts w:hint="eastAsia" w:ascii="宋体" w:hAnsi="宋体" w:eastAsia="宋体"/>
                <w:b w:val="0"/>
                <w:bCs/>
                <w:color w:val="auto"/>
                <w:sz w:val="24"/>
                <w:szCs w:val="24"/>
                <w:u w:val="none"/>
                <w:lang w:val="en-US" w:eastAsia="zh-CN"/>
              </w:rPr>
              <w:t>1、水肥一体系统：20000元；（暂估价）</w:t>
            </w:r>
          </w:p>
          <w:p w14:paraId="2617BC26">
            <w:pPr>
              <w:numPr>
                <w:ilvl w:val="0"/>
                <w:numId w:val="0"/>
              </w:numPr>
              <w:wordWrap/>
              <w:adjustRightInd/>
              <w:snapToGrid/>
              <w:spacing w:before="0" w:after="0" w:line="340" w:lineRule="exact"/>
              <w:ind w:right="0"/>
              <w:textAlignment w:val="auto"/>
              <w:outlineLvl w:val="9"/>
              <w:rPr>
                <w:rFonts w:hint="eastAsia" w:ascii="宋体" w:hAnsi="宋体" w:eastAsia="宋体"/>
                <w:b/>
                <w:color w:val="auto"/>
                <w:sz w:val="24"/>
                <w:szCs w:val="24"/>
                <w:u w:val="none"/>
                <w:lang w:eastAsia="zh-CN"/>
              </w:rPr>
            </w:pPr>
            <w:r>
              <w:rPr>
                <w:rFonts w:hint="eastAsia" w:ascii="宋体" w:hAnsi="宋体" w:eastAsia="宋体"/>
                <w:b/>
                <w:color w:val="auto"/>
                <w:sz w:val="24"/>
                <w:szCs w:val="24"/>
                <w:u w:val="none"/>
                <w:lang w:val="en-US" w:eastAsia="zh-CN"/>
              </w:rPr>
              <w:t>四、</w:t>
            </w:r>
            <w:r>
              <w:rPr>
                <w:rFonts w:hint="eastAsia" w:ascii="宋体" w:hAnsi="宋体" w:eastAsia="宋体"/>
                <w:b/>
                <w:color w:val="auto"/>
                <w:sz w:val="24"/>
                <w:szCs w:val="24"/>
                <w:u w:val="none"/>
              </w:rPr>
              <w:t>专业暂估部分</w:t>
            </w:r>
            <w:r>
              <w:rPr>
                <w:rFonts w:hint="eastAsia" w:ascii="宋体" w:hAnsi="宋体" w:eastAsia="宋体"/>
                <w:b/>
                <w:color w:val="auto"/>
                <w:sz w:val="24"/>
                <w:szCs w:val="24"/>
                <w:u w:val="none"/>
                <w:lang w:eastAsia="zh-CN"/>
              </w:rPr>
              <w:t>。</w:t>
            </w:r>
          </w:p>
          <w:p w14:paraId="1394362D">
            <w:pPr>
              <w:widowControl/>
              <w:spacing w:before="0" w:beforeAutospacing="0" w:after="0" w:afterAutospacing="0"/>
              <w:ind w:left="0" w:right="0" w:firstLine="0"/>
              <w:rPr>
                <w:rFonts w:hint="eastAsia" w:ascii="宋体" w:hAnsi="宋体" w:eastAsia="宋体"/>
                <w:color w:val="auto"/>
                <w:sz w:val="24"/>
                <w:szCs w:val="24"/>
                <w:u w:val="none"/>
                <w:lang w:val="en-US" w:eastAsia="zh-CN"/>
              </w:rPr>
            </w:pPr>
            <w:r>
              <w:rPr>
                <w:rFonts w:hint="eastAsia" w:ascii="宋体" w:hAnsi="宋体" w:eastAsia="宋体"/>
                <w:color w:val="auto"/>
                <w:sz w:val="24"/>
                <w:szCs w:val="24"/>
                <w:u w:val="none"/>
                <w:lang w:val="en-US" w:eastAsia="zh-CN"/>
              </w:rPr>
              <w:t>1、智慧工地基础配置费暂不计取，结算时按实际发生签证计取。</w:t>
            </w:r>
          </w:p>
          <w:p w14:paraId="5378ECA1">
            <w:pPr>
              <w:widowControl/>
              <w:spacing w:before="0" w:beforeAutospacing="0" w:after="0" w:afterAutospacing="0"/>
              <w:ind w:left="0" w:right="0" w:firstLine="0"/>
              <w:rPr>
                <w:rFonts w:hint="default" w:ascii="宋体" w:hAnsi="宋体" w:eastAsia="宋体"/>
                <w:color w:val="auto"/>
                <w:sz w:val="24"/>
                <w:szCs w:val="24"/>
                <w:u w:val="none"/>
                <w:lang w:val="en-US" w:eastAsia="zh-CN"/>
              </w:rPr>
            </w:pPr>
          </w:p>
          <w:p w14:paraId="180AF239">
            <w:pPr>
              <w:numPr>
                <w:ilvl w:val="0"/>
                <w:numId w:val="3"/>
              </w:numPr>
              <w:wordWrap/>
              <w:adjustRightInd/>
              <w:snapToGrid/>
              <w:spacing w:before="0" w:after="0" w:line="340" w:lineRule="exact"/>
              <w:ind w:right="0"/>
              <w:textAlignment w:val="auto"/>
              <w:outlineLvl w:val="9"/>
              <w:rPr>
                <w:rFonts w:hint="eastAsia" w:ascii="宋体" w:hAnsi="宋体" w:eastAsia="宋体"/>
                <w:b/>
                <w:color w:val="auto"/>
                <w:sz w:val="24"/>
                <w:szCs w:val="24"/>
                <w:u w:val="none"/>
                <w:lang w:val="en-US" w:eastAsia="zh-CN"/>
              </w:rPr>
            </w:pPr>
            <w:r>
              <w:rPr>
                <w:rFonts w:hint="eastAsia" w:ascii="宋体" w:hAnsi="宋体" w:eastAsia="宋体"/>
                <w:b/>
                <w:color w:val="auto"/>
                <w:sz w:val="24"/>
                <w:szCs w:val="24"/>
                <w:u w:val="none"/>
                <w:lang w:eastAsia="zh-CN"/>
              </w:rPr>
              <w:t>暂列取金分部分项</w:t>
            </w:r>
            <w:r>
              <w:rPr>
                <w:rFonts w:hint="eastAsia" w:ascii="宋体" w:hAnsi="宋体" w:eastAsia="宋体"/>
                <w:b/>
                <w:color w:val="auto"/>
                <w:sz w:val="24"/>
                <w:szCs w:val="24"/>
                <w:u w:val="none"/>
                <w:lang w:val="en-US" w:eastAsia="zh-CN"/>
              </w:rPr>
              <w:t>170000元。</w:t>
            </w:r>
          </w:p>
          <w:p w14:paraId="5F2C6DD7">
            <w:pPr>
              <w:numPr>
                <w:ilvl w:val="0"/>
                <w:numId w:val="0"/>
              </w:numPr>
              <w:wordWrap/>
              <w:adjustRightInd/>
              <w:snapToGrid/>
              <w:spacing w:before="0" w:after="0" w:line="340" w:lineRule="exact"/>
              <w:ind w:right="0"/>
              <w:textAlignment w:val="auto"/>
              <w:outlineLvl w:val="9"/>
              <w:rPr>
                <w:rFonts w:hint="eastAsia" w:ascii="宋体" w:hAnsi="宋体" w:eastAsia="宋体"/>
                <w:b/>
                <w:color w:val="auto"/>
                <w:sz w:val="24"/>
                <w:szCs w:val="24"/>
                <w:u w:val="none"/>
                <w:lang w:val="en-US" w:eastAsia="zh-CN"/>
              </w:rPr>
            </w:pPr>
          </w:p>
          <w:p w14:paraId="3270B167">
            <w:pPr>
              <w:numPr>
                <w:ilvl w:val="0"/>
                <w:numId w:val="4"/>
              </w:numPr>
              <w:wordWrap/>
              <w:adjustRightInd/>
              <w:snapToGrid/>
              <w:spacing w:before="0" w:after="0" w:line="340" w:lineRule="exact"/>
              <w:ind w:right="0"/>
              <w:textAlignment w:val="auto"/>
              <w:outlineLvl w:val="9"/>
              <w:rPr>
                <w:rFonts w:hint="eastAsia" w:ascii="宋体" w:hAnsi="宋体" w:eastAsia="宋体"/>
                <w:b/>
                <w:color w:val="auto"/>
                <w:sz w:val="24"/>
                <w:szCs w:val="24"/>
                <w:u w:val="none"/>
                <w:lang w:val="en-US" w:eastAsia="zh-CN"/>
              </w:rPr>
            </w:pPr>
            <w:r>
              <w:rPr>
                <w:rFonts w:hint="eastAsia" w:ascii="宋体" w:hAnsi="宋体" w:eastAsia="宋体"/>
                <w:b/>
                <w:color w:val="auto"/>
                <w:sz w:val="24"/>
                <w:szCs w:val="24"/>
                <w:u w:val="none"/>
                <w:lang w:val="en-US" w:eastAsia="zh-CN"/>
              </w:rPr>
              <w:t>以上为除税价。</w:t>
            </w:r>
          </w:p>
          <w:p w14:paraId="1672B80C">
            <w:pPr>
              <w:widowControl w:val="0"/>
              <w:wordWrap/>
              <w:adjustRightInd/>
              <w:snapToGrid/>
              <w:spacing w:before="0" w:after="0" w:line="360" w:lineRule="auto"/>
              <w:ind w:left="0" w:leftChars="0" w:right="0" w:rightChars="0" w:firstLine="0" w:firstLineChars="0"/>
              <w:jc w:val="both"/>
              <w:textAlignment w:val="auto"/>
              <w:outlineLvl w:val="9"/>
              <w:rPr>
                <w:rFonts w:hint="eastAsia"/>
                <w:vertAlign w:val="baseline"/>
                <w:lang w:val="en-US" w:eastAsia="zh-CN"/>
              </w:rPr>
            </w:pPr>
          </w:p>
        </w:tc>
      </w:tr>
    </w:tbl>
    <w:p w14:paraId="61764009">
      <w:pPr>
        <w:rPr>
          <w:rFonts w:hint="eastAsia"/>
          <w:lang w:val="en-US" w:eastAsia="zh-CN"/>
        </w:rPr>
      </w:pPr>
    </w:p>
    <w:p w14:paraId="1AE81FD7">
      <w:pPr>
        <w:rPr>
          <w:rFonts w:hint="eastAsia"/>
          <w:lang w:val="en-US" w:eastAsia="zh-CN"/>
        </w:rPr>
      </w:pPr>
    </w:p>
    <w:sectPr>
      <w:pgSz w:w="11906" w:h="16838"/>
      <w:pgMar w:top="1417" w:right="1474" w:bottom="1417" w:left="136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Book Antiqua">
    <w:altName w:val="Segoe Print"/>
    <w:panose1 w:val="02040602050305030304"/>
    <w:charset w:val="00"/>
    <w:family w:val="auto"/>
    <w:pitch w:val="default"/>
    <w:sig w:usb0="00000000" w:usb1="00000000" w:usb2="00000000" w:usb3="00000000" w:csb0="2000009F" w:csb1="DFD70000"/>
  </w:font>
  <w:font w:name="隶书">
    <w:altName w:val="微软雅黑"/>
    <w:panose1 w:val="0201050906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FEC2C4"/>
    <w:multiLevelType w:val="singleLevel"/>
    <w:tmpl w:val="F7FEC2C4"/>
    <w:lvl w:ilvl="0" w:tentative="0">
      <w:start w:val="1"/>
      <w:numFmt w:val="decimal"/>
      <w:lvlText w:val="%1."/>
      <w:lvlJc w:val="left"/>
      <w:pPr>
        <w:tabs>
          <w:tab w:val="left" w:pos="312"/>
        </w:tabs>
      </w:pPr>
      <w:rPr>
        <w:rFonts w:hint="default"/>
        <w:b w:val="0"/>
        <w:bCs w:val="0"/>
      </w:rPr>
    </w:lvl>
  </w:abstractNum>
  <w:abstractNum w:abstractNumId="1">
    <w:nsid w:val="6381F267"/>
    <w:multiLevelType w:val="singleLevel"/>
    <w:tmpl w:val="6381F267"/>
    <w:lvl w:ilvl="0" w:tentative="0">
      <w:start w:val="3"/>
      <w:numFmt w:val="chineseCounting"/>
      <w:suff w:val="nothing"/>
      <w:lvlText w:val="%1、"/>
      <w:lvlJc w:val="left"/>
    </w:lvl>
  </w:abstractNum>
  <w:abstractNum w:abstractNumId="2">
    <w:nsid w:val="654D9136"/>
    <w:multiLevelType w:val="singleLevel"/>
    <w:tmpl w:val="654D9136"/>
    <w:lvl w:ilvl="0" w:tentative="0">
      <w:start w:val="6"/>
      <w:numFmt w:val="chineseCounting"/>
      <w:suff w:val="nothing"/>
      <w:lvlText w:val="%1、"/>
      <w:lvlJc w:val="left"/>
      <w:rPr>
        <w:rFonts w:hint="eastAsia"/>
      </w:rPr>
    </w:lvl>
  </w:abstractNum>
  <w:abstractNum w:abstractNumId="3">
    <w:nsid w:val="7BD36C21"/>
    <w:multiLevelType w:val="singleLevel"/>
    <w:tmpl w:val="7BD36C21"/>
    <w:lvl w:ilvl="0" w:tentative="0">
      <w:start w:val="5"/>
      <w:numFmt w:val="chineseCounting"/>
      <w:suff w:val="nothing"/>
      <w:lvlText w:val="%1、"/>
      <w:lvlJc w:val="left"/>
      <w:rPr>
        <w:rFonts w:hint="eastAsia"/>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AB446E"/>
    <w:rsid w:val="33817F66"/>
    <w:rsid w:val="46DB4351"/>
    <w:rsid w:val="56C36665"/>
    <w:rsid w:val="6FCE5D1A"/>
    <w:rsid w:val="7AAB446E"/>
    <w:rsid w:val="7C6010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nhideWhenUsed/>
    <w:qFormat/>
    <w:uiPriority w:val="99"/>
    <w:pPr>
      <w:widowControl/>
      <w:spacing w:before="100" w:beforeAutospacing="1" w:after="100" w:afterAutospacing="1"/>
      <w:jc w:val="left"/>
    </w:pPr>
    <w:rPr>
      <w:rFonts w:ascii="宋体" w:hAnsi="宋体" w:eastAsia="宋体" w:cs="宋体"/>
      <w:color w:val="auto"/>
      <w:kern w:val="0"/>
      <w:sz w:val="24"/>
      <w:u w:val="none"/>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617</Words>
  <Characters>703</Characters>
  <Lines>0</Lines>
  <Paragraphs>0</Paragraphs>
  <TotalTime>0</TotalTime>
  <ScaleCrop>false</ScaleCrop>
  <LinksUpToDate>false</LinksUpToDate>
  <CharactersWithSpaces>722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2025-02-18T04:08:00Z</dcterms:created>
  <dc:creator>霸波尔奔</dc:creator>
  <cp:lastModifiedBy>霸波尔奔</cp:lastModifiedBy>
  <cp:lastPrinted>2025-02-28T12:05:00Z</cp:lastPrinted>
  <dcterms:modified xsi:type="dcterms:W3CDTF">2025-03-05T10:56:17Z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A9DE32114B254BA881D7F6ACD5A634A4_11</vt:lpwstr>
  </property>
  <property fmtid="{D5CDD505-2E9C-101B-9397-08002B2CF9AE}" pid="4" name="KSOTemplateDocerSaveRecord">
    <vt:lpwstr>eyJoZGlkIjoiMWY4MTNkMmUwYTViOTQ5M2UwNTQwNjdlY2I2Y2EyZWUiLCJ1c2VySWQiOiIyOTgyNjYzMzcifQ==</vt:lpwstr>
  </property>
</Properties>
</file>