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bidi w:val="0"/>
        <w:snapToGrid/>
        <w:spacing w:line="600" w:lineRule="exact"/>
        <w:ind w:left="241" w:hanging="241"/>
        <w:jc w:val="center"/>
        <w:textAlignment w:val="auto"/>
        <w:rPr>
          <w:rFonts w:hint="eastAsia" w:ascii="宋体" w:hAnsi="宋体" w:eastAsia="宋体" w:cs="宋体"/>
          <w:b/>
          <w:bCs w:val="0"/>
          <w:i w:val="0"/>
          <w:iCs w:val="0"/>
          <w:color w:val="auto"/>
          <w:kern w:val="0"/>
          <w:sz w:val="40"/>
          <w:szCs w:val="40"/>
          <w:highlight w:val="none"/>
          <w:lang w:val="en-US" w:eastAsia="zh-CN" w:bidi="ar-SA"/>
        </w:rPr>
      </w:pPr>
      <w:bookmarkStart w:id="0" w:name="_Toc25592"/>
      <w:bookmarkStart w:id="1" w:name="_Toc989"/>
      <w:bookmarkStart w:id="2" w:name="_Toc7"/>
      <w:bookmarkStart w:id="3" w:name="_Toc2815"/>
      <w:bookmarkStart w:id="4" w:name="_Toc18227"/>
      <w:bookmarkStart w:id="5" w:name="_Toc18711"/>
      <w:bookmarkStart w:id="6" w:name="_Toc21786"/>
      <w:bookmarkStart w:id="7" w:name="_Toc32103"/>
      <w:bookmarkStart w:id="8" w:name="_Toc29512"/>
      <w:r>
        <w:rPr>
          <w:rFonts w:hint="eastAsia" w:ascii="宋体" w:hAnsi="宋体" w:cs="宋体"/>
          <w:b/>
          <w:bCs w:val="0"/>
          <w:i w:val="0"/>
          <w:iCs w:val="0"/>
          <w:color w:val="auto"/>
          <w:kern w:val="0"/>
          <w:sz w:val="44"/>
          <w:szCs w:val="44"/>
          <w:highlight w:val="none"/>
          <w:lang w:val="en-US" w:eastAsia="zh-CN" w:bidi="ar-SA"/>
        </w:rPr>
        <w:t>民丰县叶亦克乡养殖圈舍建设项目（二次）</w:t>
      </w:r>
    </w:p>
    <w:p>
      <w:pPr>
        <w:pageBreakBefore w:val="0"/>
        <w:widowControl w:val="0"/>
        <w:kinsoku/>
        <w:wordWrap/>
        <w:overflowPunct/>
        <w:topLinePunct w:val="0"/>
        <w:bidi w:val="0"/>
        <w:snapToGrid/>
        <w:spacing w:line="600" w:lineRule="exact"/>
        <w:ind w:left="241" w:hanging="241"/>
        <w:jc w:val="center"/>
        <w:textAlignment w:val="auto"/>
        <w:outlineLvl w:val="0"/>
        <w:rPr>
          <w:rFonts w:hint="eastAsia" w:ascii="宋体" w:hAnsi="宋体" w:eastAsia="宋体" w:cs="宋体"/>
          <w:b/>
          <w:bCs w:val="0"/>
          <w:i w:val="0"/>
          <w:iCs w:val="0"/>
          <w:color w:val="auto"/>
          <w:kern w:val="0"/>
          <w:sz w:val="40"/>
          <w:szCs w:val="40"/>
          <w:highlight w:val="none"/>
          <w:lang w:val="en-US" w:eastAsia="zh-CN" w:bidi="ar-SA"/>
        </w:rPr>
      </w:pPr>
      <w:bookmarkStart w:id="9" w:name="_Toc24226"/>
    </w:p>
    <w:p>
      <w:pPr>
        <w:pageBreakBefore w:val="0"/>
        <w:widowControl w:val="0"/>
        <w:kinsoku/>
        <w:wordWrap/>
        <w:overflowPunct/>
        <w:topLinePunct w:val="0"/>
        <w:bidi w:val="0"/>
        <w:snapToGrid/>
        <w:spacing w:line="600" w:lineRule="exact"/>
        <w:ind w:left="241" w:hanging="241"/>
        <w:jc w:val="center"/>
        <w:textAlignment w:val="auto"/>
        <w:outlineLvl w:val="0"/>
        <w:rPr>
          <w:rFonts w:hint="default" w:ascii="宋体" w:hAnsi="宋体" w:eastAsia="宋体" w:cs="宋体"/>
          <w:b/>
          <w:bCs w:val="0"/>
          <w:i w:val="0"/>
          <w:iCs w:val="0"/>
          <w:color w:val="auto"/>
          <w:kern w:val="0"/>
          <w:sz w:val="52"/>
          <w:szCs w:val="52"/>
          <w:highlight w:val="none"/>
          <w:lang w:val="en-US" w:eastAsia="zh-CN" w:bidi="ar-SA"/>
        </w:rPr>
      </w:pPr>
      <w:r>
        <w:rPr>
          <w:rFonts w:hint="eastAsia" w:ascii="宋体" w:hAnsi="宋体" w:eastAsia="宋体" w:cs="宋体"/>
          <w:b/>
          <w:bCs w:val="0"/>
          <w:i w:val="0"/>
          <w:iCs w:val="0"/>
          <w:color w:val="auto"/>
          <w:kern w:val="0"/>
          <w:sz w:val="36"/>
          <w:szCs w:val="36"/>
          <w:highlight w:val="none"/>
          <w:lang w:val="en-US" w:eastAsia="zh-CN" w:bidi="ar-SA"/>
        </w:rPr>
        <w:t>项 目 编 号：</w:t>
      </w:r>
      <w:bookmarkEnd w:id="9"/>
      <w:r>
        <w:rPr>
          <w:rFonts w:hint="eastAsia" w:ascii="宋体" w:hAnsi="宋体" w:cs="宋体"/>
          <w:b/>
          <w:bCs w:val="0"/>
          <w:i w:val="0"/>
          <w:iCs w:val="0"/>
          <w:color w:val="auto"/>
          <w:kern w:val="0"/>
          <w:sz w:val="36"/>
          <w:szCs w:val="36"/>
          <w:highlight w:val="none"/>
          <w:lang w:val="en-US" w:eastAsia="zh-CN" w:bidi="ar-SA"/>
        </w:rPr>
        <w:t>XJTX2025</w:t>
      </w:r>
      <w:r>
        <w:rPr>
          <w:rFonts w:hint="eastAsia" w:ascii="宋体" w:hAnsi="宋体" w:eastAsia="宋体" w:cs="宋体"/>
          <w:b/>
          <w:bCs w:val="0"/>
          <w:i w:val="0"/>
          <w:iCs w:val="0"/>
          <w:color w:val="auto"/>
          <w:kern w:val="0"/>
          <w:sz w:val="36"/>
          <w:szCs w:val="36"/>
          <w:highlight w:val="none"/>
          <w:lang w:val="en-US" w:eastAsia="zh-CN" w:bidi="ar-SA"/>
        </w:rPr>
        <w:t>-MFX</w:t>
      </w:r>
      <w:r>
        <w:rPr>
          <w:rFonts w:hint="eastAsia" w:ascii="宋体" w:hAnsi="宋体" w:cs="宋体"/>
          <w:b/>
          <w:bCs w:val="0"/>
          <w:i w:val="0"/>
          <w:iCs w:val="0"/>
          <w:color w:val="auto"/>
          <w:kern w:val="0"/>
          <w:sz w:val="36"/>
          <w:szCs w:val="36"/>
          <w:highlight w:val="none"/>
          <w:lang w:val="en-US" w:eastAsia="zh-CN" w:bidi="ar-SA"/>
        </w:rPr>
        <w:t>002</w:t>
      </w:r>
    </w:p>
    <w:p>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10" w:name="_Toc751"/>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t>竞争性谈判</w:t>
      </w:r>
      <w:bookmarkEnd w:id="10"/>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outlineLvl w:val="0"/>
        <w:rPr>
          <w:rFonts w:hint="default" w:ascii="宋体" w:hAnsi="宋体" w:eastAsia="宋体" w:cs="宋体"/>
          <w:b/>
          <w:i w:val="0"/>
          <w:iCs w:val="0"/>
          <w:color w:val="000000" w:themeColor="text1"/>
          <w:sz w:val="30"/>
          <w:szCs w:val="30"/>
          <w:highlight w:val="none"/>
          <w:lang w:val="en-US" w:eastAsia="zh-CN"/>
          <w14:textFill>
            <w14:solidFill>
              <w14:schemeClr w14:val="tx1"/>
            </w14:solidFill>
          </w14:textFill>
        </w:rPr>
      </w:pPr>
      <w:bookmarkStart w:id="11" w:name="_Toc21803"/>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采 购 人：</w:t>
      </w:r>
      <w:bookmarkEnd w:id="11"/>
      <w:r>
        <w:rPr>
          <w:rFonts w:hint="eastAsia" w:ascii="宋体" w:hAnsi="宋体" w:cs="宋体"/>
          <w:b/>
          <w:i w:val="0"/>
          <w:iCs w:val="0"/>
          <w:color w:val="000000" w:themeColor="text1"/>
          <w:sz w:val="30"/>
          <w:szCs w:val="30"/>
          <w:highlight w:val="none"/>
          <w:lang w:val="en-US" w:eastAsia="zh-CN"/>
          <w14:textFill>
            <w14:solidFill>
              <w14:schemeClr w14:val="tx1"/>
            </w14:solidFill>
          </w14:textFill>
        </w:rPr>
        <w:t>民丰县叶亦克乡人民政府</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eastAsia="宋体" w:cs="宋体"/>
          <w:b/>
          <w:i w:val="0"/>
          <w:iCs w:val="0"/>
          <w:color w:val="auto"/>
          <w:sz w:val="30"/>
          <w:szCs w:val="30"/>
          <w:highlight w:val="none"/>
          <w:lang w:val="en-US" w:eastAsia="zh-CN"/>
        </w:rPr>
        <w:t>张鹏</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0903-2968331</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招标代理机构：</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新疆天信工程项目管理有限责任公司</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黄亚楠</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default" w:ascii="宋体" w:hAnsi="宋体" w:eastAsia="宋体" w:cs="宋体"/>
          <w:b/>
          <w:i w:val="0"/>
          <w:iCs w:val="0"/>
          <w:color w:val="000000" w:themeColor="text1"/>
          <w:sz w:val="28"/>
          <w:szCs w:val="28"/>
          <w:highlight w:val="none"/>
          <w:lang w:val="en-US"/>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0903-7820245</w:t>
      </w: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6"/>
          <w:szCs w:val="36"/>
          <w:highlight w:val="none"/>
          <w14:textFill>
            <w14:solidFill>
              <w14:schemeClr w14:val="tx1"/>
            </w14:solidFill>
          </w14:textFill>
        </w:rPr>
        <w:t>202</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5</w:t>
      </w:r>
      <w:r>
        <w:rPr>
          <w:rFonts w:hint="eastAsia" w:ascii="宋体" w:hAnsi="宋体" w:eastAsia="宋体" w:cs="宋体"/>
          <w:b/>
          <w:i w:val="0"/>
          <w:iCs w:val="0"/>
          <w:color w:val="000000" w:themeColor="text1"/>
          <w:sz w:val="36"/>
          <w:szCs w:val="36"/>
          <w:highlight w:val="none"/>
          <w14:textFill>
            <w14:solidFill>
              <w14:schemeClr w14:val="tx1"/>
            </w14:solidFill>
          </w14:textFill>
        </w:rPr>
        <w:t>年</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04</w:t>
      </w:r>
      <w:r>
        <w:rPr>
          <w:rFonts w:hint="eastAsia" w:ascii="宋体" w:hAnsi="宋体" w:eastAsia="宋体" w:cs="宋体"/>
          <w:b/>
          <w:i w:val="0"/>
          <w:iCs w:val="0"/>
          <w:color w:val="000000" w:themeColor="text1"/>
          <w:sz w:val="36"/>
          <w:szCs w:val="36"/>
          <w:highlight w:val="none"/>
          <w14:textFill>
            <w14:solidFill>
              <w14:schemeClr w14:val="tx1"/>
            </w14:solidFill>
          </w14:textFill>
        </w:rPr>
        <w:t>月</w:t>
      </w:r>
    </w:p>
    <w:bookmarkEnd w:id="0"/>
    <w:bookmarkEnd w:id="1"/>
    <w:bookmarkEnd w:id="2"/>
    <w:bookmarkEnd w:id="3"/>
    <w:bookmarkEnd w:id="4"/>
    <w:bookmarkEnd w:id="5"/>
    <w:bookmarkEnd w:id="6"/>
    <w:bookmarkEnd w:id="7"/>
    <w:p>
      <w:pPr>
        <w:rPr>
          <w:rFonts w:hint="eastAsia" w:ascii="宋体" w:hAnsi="宋体" w:eastAsia="宋体" w:cs="宋体"/>
          <w:color w:val="000000" w:themeColor="text1"/>
          <w:sz w:val="28"/>
          <w:szCs w:val="28"/>
          <w:highlight w:val="none"/>
          <w14:textFill>
            <w14:solidFill>
              <w14:schemeClr w14:val="tx1"/>
            </w14:solidFill>
          </w14:textFill>
        </w:rPr>
      </w:pPr>
      <w:bookmarkStart w:id="12" w:name="bookmark1"/>
      <w:bookmarkEnd w:id="12"/>
      <w:r>
        <w:rPr>
          <w:rFonts w:hint="eastAsia" w:ascii="宋体" w:hAnsi="宋体" w:eastAsia="宋体" w:cs="宋体"/>
          <w:color w:val="000000" w:themeColor="text1"/>
          <w:sz w:val="28"/>
          <w:szCs w:val="28"/>
          <w:highlight w:val="none"/>
          <w14:textFill>
            <w14:solidFill>
              <w14:schemeClr w14:val="tx1"/>
            </w14:solidFill>
          </w14:textFill>
        </w:rPr>
        <w:br w:type="page"/>
      </w:r>
    </w:p>
    <w:sdt>
      <w:sdtPr>
        <w:rPr>
          <w:rFonts w:ascii="宋体" w:hAnsi="宋体" w:eastAsia="宋体" w:cs="Times New Roman"/>
          <w:kern w:val="2"/>
          <w:sz w:val="21"/>
          <w:szCs w:val="22"/>
          <w:lang w:val="en-US" w:eastAsia="zh-CN" w:bidi="ar-SA"/>
        </w:rPr>
        <w:id w:val="147465681"/>
        <w15:color w:val="DBDBDB"/>
        <w:docPartObj>
          <w:docPartGallery w:val="Table of Contents"/>
          <w:docPartUnique/>
        </w:docPartObj>
      </w:sdtPr>
      <w:sdtEndPr>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sdtEndPr>
      <w:sdtContent>
        <w:p>
          <w:pPr>
            <w:spacing w:before="0" w:beforeLines="0" w:after="0" w:afterLines="0" w:line="480" w:lineRule="auto"/>
            <w:ind w:left="0" w:leftChars="0" w:right="0" w:rightChars="0" w:firstLine="0" w:firstLineChars="0"/>
            <w:jc w:val="center"/>
            <w:rPr>
              <w:b/>
              <w:bCs/>
              <w:sz w:val="28"/>
              <w:szCs w:val="32"/>
            </w:rPr>
          </w:pPr>
          <w:r>
            <w:rPr>
              <w:rFonts w:ascii="宋体" w:hAnsi="宋体" w:eastAsia="宋体"/>
              <w:b/>
              <w:bCs/>
              <w:sz w:val="32"/>
              <w:szCs w:val="32"/>
            </w:rPr>
            <w:t>目</w:t>
          </w:r>
          <w:r>
            <w:rPr>
              <w:rFonts w:hint="eastAsia" w:ascii="宋体" w:hAnsi="宋体"/>
              <w:b/>
              <w:bCs/>
              <w:sz w:val="32"/>
              <w:szCs w:val="32"/>
              <w:lang w:val="en-US" w:eastAsia="zh-CN"/>
            </w:rPr>
            <w:t xml:space="preserve"> </w:t>
          </w:r>
          <w:r>
            <w:rPr>
              <w:rFonts w:ascii="宋体" w:hAnsi="宋体" w:eastAsia="宋体"/>
              <w:b/>
              <w:bCs/>
              <w:sz w:val="32"/>
              <w:szCs w:val="32"/>
            </w:rPr>
            <w:t>录</w:t>
          </w:r>
        </w:p>
        <w:p>
          <w:pPr>
            <w:pStyle w:val="34"/>
            <w:tabs>
              <w:tab w:val="right" w:leader="dot" w:pos="8306"/>
            </w:tabs>
            <w:spacing w:line="480" w:lineRule="auto"/>
            <w:rPr>
              <w:sz w:val="22"/>
              <w:szCs w:val="22"/>
            </w:rPr>
          </w:pP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begin"/>
          </w:r>
          <w:r>
            <w:rPr>
              <w:rFonts w:hint="default" w:ascii="宋体" w:hAnsi="宋体" w:eastAsia="宋体" w:cs="宋体"/>
              <w:color w:val="000000" w:themeColor="text1"/>
              <w:sz w:val="36"/>
              <w:szCs w:val="36"/>
              <w:highlight w:val="none"/>
              <w:lang w:val="en-US" w:eastAsia="zh-CN"/>
              <w14:textFill>
                <w14:solidFill>
                  <w14:schemeClr w14:val="tx1"/>
                </w14:solidFill>
              </w14:textFill>
            </w:rPr>
            <w:instrText xml:space="preserve">TOC \o "1-1" \h \u </w:instrText>
          </w: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separate"/>
          </w:r>
        </w:p>
        <w:p>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_Toc21046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kern w:val="2"/>
              <w:sz w:val="32"/>
              <w:szCs w:val="56"/>
              <w:lang w:val="en-US" w:eastAsia="zh-CN" w:bidi="ar-SA"/>
            </w:rPr>
            <w:t xml:space="preserve">第一章 </w:t>
          </w:r>
          <w:r>
            <w:rPr>
              <w:rFonts w:hint="eastAsia" w:ascii="宋体" w:hAnsi="宋体" w:eastAsia="宋体" w:cs="宋体"/>
              <w:bCs/>
              <w:kern w:val="2"/>
              <w:sz w:val="32"/>
              <w:szCs w:val="56"/>
              <w:highlight w:val="none"/>
              <w:lang w:val="en-US" w:eastAsia="zh-CN" w:bidi="ar-SA"/>
            </w:rPr>
            <w:t>竞争性谈判公告</w:t>
          </w:r>
          <w:r>
            <w:rPr>
              <w:sz w:val="32"/>
              <w:szCs w:val="32"/>
            </w:rPr>
            <w:tab/>
          </w:r>
          <w:r>
            <w:rPr>
              <w:rFonts w:hint="eastAsia"/>
              <w:sz w:val="32"/>
              <w:szCs w:val="32"/>
              <w:lang w:val="en-US" w:eastAsia="zh-CN"/>
            </w:rPr>
            <w:t>1</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_Toc27388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第二章  供应商须知</w:t>
          </w:r>
          <w:r>
            <w:rPr>
              <w:sz w:val="32"/>
              <w:szCs w:val="32"/>
            </w:rPr>
            <w:tab/>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4</w:t>
          </w:r>
        </w:p>
        <w:p>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_Toc7146 </w:instrText>
          </w:r>
          <w:r>
            <w:rPr>
              <w:rFonts w:hint="default" w:ascii="宋体" w:hAnsi="宋体" w:eastAsia="宋体" w:cs="宋体"/>
              <w:sz w:val="32"/>
              <w:szCs w:val="48"/>
              <w:highlight w:val="none"/>
              <w:lang w:val="en-US" w:eastAsia="zh-CN"/>
            </w:rPr>
            <w:fldChar w:fldCharType="separate"/>
          </w:r>
          <w:r>
            <w:rPr>
              <w:rFonts w:hint="eastAsia" w:ascii="宋体" w:hAnsi="宋体" w:cs="宋体"/>
              <w:bCs/>
              <w:sz w:val="32"/>
              <w:szCs w:val="160"/>
              <w:highlight w:val="none"/>
              <w:lang w:val="en-US" w:eastAsia="zh-CN"/>
            </w:rPr>
            <w:t xml:space="preserve">第三章 </w:t>
          </w:r>
          <w:r>
            <w:rPr>
              <w:rFonts w:hint="eastAsia" w:ascii="宋体" w:hAnsi="宋体" w:eastAsia="宋体" w:cs="宋体"/>
              <w:bCs/>
              <w:sz w:val="32"/>
              <w:szCs w:val="160"/>
              <w:highlight w:val="none"/>
              <w:lang w:val="en-US" w:eastAsia="zh-CN"/>
            </w:rPr>
            <w:t>工程量清单</w:t>
          </w:r>
          <w:r>
            <w:rPr>
              <w:sz w:val="32"/>
              <w:szCs w:val="32"/>
            </w:rPr>
            <w:tab/>
          </w:r>
          <w:r>
            <w:rPr>
              <w:sz w:val="32"/>
              <w:szCs w:val="32"/>
            </w:rPr>
            <w:fldChar w:fldCharType="begin"/>
          </w:r>
          <w:r>
            <w:rPr>
              <w:sz w:val="32"/>
              <w:szCs w:val="32"/>
            </w:rPr>
            <w:instrText xml:space="preserve"> PAGEREF _Toc7146 \h </w:instrText>
          </w:r>
          <w:r>
            <w:rPr>
              <w:sz w:val="32"/>
              <w:szCs w:val="32"/>
            </w:rPr>
            <w:fldChar w:fldCharType="separate"/>
          </w:r>
          <w:r>
            <w:rPr>
              <w:sz w:val="32"/>
              <w:szCs w:val="32"/>
            </w:rPr>
            <w:t>32</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_Toc14028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四</w:t>
          </w:r>
          <w:r>
            <w:rPr>
              <w:rFonts w:hint="eastAsia" w:ascii="宋体" w:hAnsi="宋体" w:eastAsia="宋体" w:cs="宋体"/>
              <w:bCs/>
              <w:sz w:val="32"/>
              <w:szCs w:val="56"/>
              <w:highlight w:val="none"/>
            </w:rPr>
            <w:t>章  评</w:t>
          </w:r>
          <w:r>
            <w:rPr>
              <w:rFonts w:hint="eastAsia" w:ascii="宋体" w:hAnsi="宋体" w:eastAsia="宋体" w:cs="宋体"/>
              <w:bCs/>
              <w:sz w:val="32"/>
              <w:szCs w:val="56"/>
              <w:highlight w:val="none"/>
              <w:lang w:eastAsia="zh-CN"/>
            </w:rPr>
            <w:t>审</w:t>
          </w:r>
          <w:r>
            <w:rPr>
              <w:rFonts w:hint="eastAsia" w:ascii="宋体" w:hAnsi="宋体" w:eastAsia="宋体" w:cs="宋体"/>
              <w:bCs/>
              <w:sz w:val="32"/>
              <w:szCs w:val="56"/>
              <w:highlight w:val="none"/>
            </w:rPr>
            <w:t>办法</w:t>
          </w:r>
          <w:r>
            <w:rPr>
              <w:sz w:val="32"/>
              <w:szCs w:val="32"/>
            </w:rPr>
            <w:tab/>
          </w:r>
          <w:r>
            <w:rPr>
              <w:rFonts w:hint="eastAsia"/>
              <w:sz w:val="32"/>
              <w:szCs w:val="32"/>
              <w:lang w:val="en-US" w:eastAsia="zh-CN"/>
            </w:rPr>
            <w:t>4</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1</w:t>
          </w:r>
        </w:p>
        <w:p>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_Toc14261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rPr>
            <w:t xml:space="preserve">第五章 </w:t>
          </w:r>
          <w:r>
            <w:rPr>
              <w:rFonts w:hint="eastAsia" w:ascii="宋体" w:hAnsi="宋体" w:eastAsia="宋体" w:cs="宋体"/>
              <w:bCs/>
              <w:sz w:val="32"/>
              <w:szCs w:val="56"/>
              <w:highlight w:val="none"/>
            </w:rPr>
            <w:t>签订合同、合同主要条款</w:t>
          </w:r>
          <w:r>
            <w:rPr>
              <w:sz w:val="32"/>
              <w:szCs w:val="32"/>
            </w:rPr>
            <w:tab/>
          </w:r>
          <w:r>
            <w:rPr>
              <w:sz w:val="32"/>
              <w:szCs w:val="32"/>
            </w:rPr>
            <w:fldChar w:fldCharType="begin"/>
          </w:r>
          <w:r>
            <w:rPr>
              <w:sz w:val="32"/>
              <w:szCs w:val="32"/>
            </w:rPr>
            <w:instrText xml:space="preserve"> PAGEREF _Toc14261 \h </w:instrText>
          </w:r>
          <w:r>
            <w:rPr>
              <w:sz w:val="32"/>
              <w:szCs w:val="32"/>
            </w:rPr>
            <w:fldChar w:fldCharType="separate"/>
          </w:r>
          <w:r>
            <w:rPr>
              <w:sz w:val="32"/>
              <w:szCs w:val="32"/>
            </w:rPr>
            <w:t>46</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_Toc2402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六</w:t>
          </w:r>
          <w:r>
            <w:rPr>
              <w:rFonts w:hint="eastAsia" w:ascii="宋体" w:hAnsi="宋体" w:eastAsia="宋体" w:cs="宋体"/>
              <w:bCs/>
              <w:sz w:val="32"/>
              <w:szCs w:val="56"/>
              <w:highlight w:val="none"/>
            </w:rPr>
            <w:t>章  响应文件格式</w:t>
          </w:r>
          <w:r>
            <w:rPr>
              <w:sz w:val="32"/>
              <w:szCs w:val="32"/>
            </w:rPr>
            <w:tab/>
          </w:r>
          <w:r>
            <w:rPr>
              <w:rFonts w:hint="eastAsia"/>
              <w:sz w:val="32"/>
              <w:szCs w:val="32"/>
              <w:lang w:val="en-US" w:eastAsia="zh-CN"/>
            </w:rPr>
            <w:t>6</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0</w:t>
          </w:r>
        </w:p>
        <w:p>
          <w:pPr>
            <w:tabs>
              <w:tab w:val="right" w:leader="dot" w:pos="8320"/>
            </w:tabs>
            <w:spacing w:before="91" w:line="480" w:lineRule="auto"/>
            <w:ind w:left="25"/>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sectPr>
              <w:headerReference r:id="rId3" w:type="default"/>
              <w:footerReference r:id="rId4" w:type="default"/>
              <w:pgSz w:w="11906" w:h="16838"/>
              <w:pgMar w:top="1440" w:right="1800" w:bottom="1440" w:left="1800" w:header="851" w:footer="992" w:gutter="0"/>
              <w:pgNumType w:fmt="decimal" w:start="1"/>
              <w:cols w:space="720" w:num="1"/>
              <w:docGrid w:type="lines" w:linePitch="312" w:charSpace="0"/>
            </w:sectPr>
          </w:pPr>
          <w:r>
            <w:rPr>
              <w:rFonts w:hint="default" w:ascii="宋体" w:hAnsi="宋体" w:eastAsia="宋体" w:cs="宋体"/>
              <w:color w:val="000000" w:themeColor="text1"/>
              <w:sz w:val="24"/>
              <w:szCs w:val="36"/>
              <w:highlight w:val="none"/>
              <w:lang w:val="en-US" w:eastAsia="zh-CN"/>
              <w14:textFill>
                <w14:solidFill>
                  <w14:schemeClr w14:val="tx1"/>
                </w14:solidFill>
              </w14:textFill>
            </w:rPr>
            <w:fldChar w:fldCharType="end"/>
          </w:r>
          <w:bookmarkStart w:id="13" w:name="_Toc21046"/>
        </w:p>
      </w:sdtContent>
    </w:sdt>
    <w:p>
      <w:pPr>
        <w:pStyle w:val="1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leftChars="0" w:right="0" w:rightChars="0"/>
        <w:jc w:val="center"/>
        <w:outlineLvl w:val="0"/>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36"/>
          <w:szCs w:val="36"/>
          <w:lang w:val="en-US" w:eastAsia="zh-CN" w:bidi="ar-SA"/>
          <w14:textFill>
            <w14:solidFill>
              <w14:schemeClr w14:val="tx1"/>
            </w14:solidFill>
          </w14:textFill>
        </w:rPr>
        <w:t>第一章</w:t>
      </w:r>
      <w:r>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t>竞争性谈判公告</w:t>
      </w:r>
      <w:bookmarkEnd w:id="13"/>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trPr>
        <w:tc>
          <w:tcPr>
            <w:tcW w:w="9286" w:type="dxa"/>
            <w:noWrap w:val="0"/>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项目概况：</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民丰县叶亦克乡养殖圈舍建设项目（二次）</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的潜在投标人应在政采云平台线上http://www.ccgp-xinjiang.gov.cn/获取招标文件，并于</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2025年04 月10日上午11点00分</w:t>
            </w:r>
            <w:r>
              <w:rPr>
                <w:rFonts w:hint="eastAsia" w:ascii="宋体" w:hAnsi="宋体" w:eastAsia="宋体" w:cs="宋体"/>
                <w:color w:val="auto"/>
                <w:kern w:val="2"/>
                <w:sz w:val="24"/>
                <w:szCs w:val="24"/>
                <w:highlight w:val="none"/>
                <w:lang w:val="en-US" w:eastAsia="zh-CN" w:bidi="ar-SA"/>
              </w:rPr>
              <w:t>（北京时间）前提交投标文件。</w:t>
            </w:r>
          </w:p>
        </w:tc>
      </w:tr>
    </w:tbl>
    <w:p>
      <w:pPr>
        <w:pStyle w:val="1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ightChars="0"/>
        <w:jc w:val="both"/>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14" w:name="_Toc17164_WPSOffice_Level2"/>
      <w:bookmarkStart w:id="15" w:name="_Toc27403_WPSOffice_Level2"/>
      <w:bookmarkStart w:id="16" w:name="_Toc16884_WPSOffice_Level2"/>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一、项目基本情况</w:t>
      </w:r>
      <w:bookmarkEnd w:id="14"/>
      <w:bookmarkEnd w:id="15"/>
      <w:bookmarkEnd w:id="16"/>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default" w:ascii="宋体" w:hAnsi="宋体" w:eastAsia="宋体" w:cs="宋体"/>
          <w:color w:val="0000FF"/>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项目编号：XJTX2025-MFX002</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项目名称：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民丰县叶亦克乡养殖圈舍建设项目（二次）</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采购方式：竞争性谈判</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预算金额（元）：</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1745700.00</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最高限价（元）：</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1745700.00</w:t>
      </w:r>
    </w:p>
    <w:p>
      <w:pPr>
        <w:adjustRightInd w:val="0"/>
        <w:snapToGrid w:val="0"/>
        <w:spacing w:line="320" w:lineRule="exact"/>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采购需求：</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建设标准化养殖圈舍130套，总面积6396平方米。每套圈舍面积81.6平方米，其中：圈舍建筑面积49.2平方米，钢结构；室外活动区面积32.4平方米</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（具体参数内容详见</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工程量清单</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合同履约期限：计划工期</w:t>
      </w:r>
      <w:r>
        <w:rPr>
          <w:rFonts w:hint="eastAsia" w:ascii="宋体" w:hAnsi="宋体" w:cs="宋体"/>
          <w:color w:val="auto"/>
          <w:kern w:val="2"/>
          <w:sz w:val="24"/>
          <w:szCs w:val="24"/>
          <w:highlight w:val="none"/>
          <w:lang w:val="en-US" w:eastAsia="zh-CN" w:bidi="ar-SA"/>
        </w:rPr>
        <w:t>120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日历天（具体以与业主签订合同为准）。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本项目（是/否）接受联合体投标：否</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17" w:name="_Toc4282_WPSOffice_Level2"/>
      <w:bookmarkStart w:id="18" w:name="_Toc612_WPSOffice_Level2"/>
      <w:bookmarkStart w:id="19" w:name="_Toc19743_WPSOffice_Level2"/>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二、申请人的资格要求：</w:t>
      </w:r>
      <w:bookmarkEnd w:id="17"/>
      <w:bookmarkEnd w:id="18"/>
      <w:bookmarkEnd w:id="19"/>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themeColor="text1"/>
          <w:kern w:val="0"/>
          <w:sz w:val="24"/>
          <w:szCs w:val="24"/>
          <w:lang w:val="en-US" w:eastAsia="zh-CN" w:bidi="ar"/>
          <w14:textFill>
            <w14:solidFill>
              <w14:schemeClr w14:val="tx1"/>
            </w14:solidFill>
          </w14:textFill>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供</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投标人须具有建筑工程施工总承包三级(含)以上资质，并在人员、设备、资金等方面具有相应的施工能力，有安全生产许可证，区外企业已进行区外进疆建筑企业信息报送。项目负责人须具备建筑工程专业注册贰级建造（含贰级）及以上执业资格，具备有效的安全生产考核合格证书，且未担任其他在施建设工程项目的项目负责人。</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三、获取采购文件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时间：2025</w:t>
      </w:r>
      <w:r>
        <w:rPr>
          <w:rFonts w:hint="eastAsia" w:ascii="宋体" w:hAnsi="宋体" w:eastAsia="宋体" w:cs="宋体"/>
          <w:color w:val="auto"/>
          <w:kern w:val="2"/>
          <w:sz w:val="24"/>
          <w:szCs w:val="24"/>
          <w:highlight w:val="none"/>
          <w:lang w:val="en-US" w:eastAsia="zh-CN" w:bidi="ar-SA"/>
        </w:rPr>
        <w:t>年</w:t>
      </w:r>
      <w:r>
        <w:rPr>
          <w:rFonts w:hint="eastAsia" w:ascii="宋体" w:hAnsi="宋体" w:cs="宋体"/>
          <w:color w:val="auto"/>
          <w:kern w:val="2"/>
          <w:sz w:val="24"/>
          <w:szCs w:val="24"/>
          <w:highlight w:val="none"/>
          <w:lang w:val="en-US" w:eastAsia="zh-CN" w:bidi="ar-SA"/>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07</w:t>
      </w:r>
      <w:r>
        <w:rPr>
          <w:rFonts w:hint="eastAsia" w:ascii="宋体" w:hAnsi="宋体" w:eastAsia="宋体" w:cs="宋体"/>
          <w:color w:val="auto"/>
          <w:kern w:val="2"/>
          <w:sz w:val="24"/>
          <w:szCs w:val="24"/>
          <w:highlight w:val="none"/>
          <w:lang w:val="en-US" w:eastAsia="zh-CN" w:bidi="ar-SA"/>
        </w:rPr>
        <w:t>日至2025年0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09</w:t>
      </w:r>
      <w:r>
        <w:rPr>
          <w:rFonts w:hint="eastAsia" w:ascii="宋体" w:hAnsi="宋体" w:eastAsia="宋体" w:cs="宋体"/>
          <w:color w:val="auto"/>
          <w:kern w:val="2"/>
          <w:sz w:val="24"/>
          <w:szCs w:val="24"/>
          <w:highlight w:val="none"/>
          <w:lang w:val="en-US" w:eastAsia="zh-CN" w:bidi="ar-SA"/>
        </w:rPr>
        <w:t>日</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，每天上午00:00至12:00，下午12:00至23:59（北京时间，法定节假日除外）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地点：政采云平台线上获取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方式：供应商登录政采云平台https://www.zcygov.cn/在线申请获取采购文件（进入“项目采购”应用，在获取采购文件菜单中选择项目，申请获取采购文件）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售价（元）：0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四、响应文件提交</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截止时间：2025</w:t>
      </w:r>
      <w:r>
        <w:rPr>
          <w:rFonts w:hint="eastAsia" w:ascii="宋体" w:hAnsi="宋体" w:eastAsia="宋体" w:cs="宋体"/>
          <w:color w:val="auto"/>
          <w:kern w:val="2"/>
          <w:sz w:val="24"/>
          <w:szCs w:val="24"/>
          <w:highlight w:val="none"/>
          <w:lang w:val="en-US" w:eastAsia="zh-CN" w:bidi="ar-SA"/>
        </w:rPr>
        <w:t>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11:00（北京时间）</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地点：请登录政采云投标客户端投标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五、响应文件开启</w:t>
      </w:r>
      <w:r>
        <w:rPr>
          <w:rFonts w:hint="eastAsia" w:ascii="宋体" w:hAnsi="宋体" w:eastAsia="宋体" w:cs="宋体"/>
          <w:color w:val="auto"/>
          <w:kern w:val="2"/>
          <w:sz w:val="24"/>
          <w:szCs w:val="24"/>
          <w:highlight w:val="none"/>
          <w:lang w:val="en-US" w:eastAsia="zh-CN" w:bidi="ar-SA"/>
        </w:rPr>
        <w:t>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auto"/>
          <w:kern w:val="2"/>
          <w:sz w:val="24"/>
          <w:szCs w:val="24"/>
          <w:highlight w:val="none"/>
          <w:lang w:val="en-US" w:eastAsia="zh-CN" w:bidi="ar-SA"/>
        </w:rPr>
        <w:t>    开启时间：2025年0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11:00（北京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地点：政采云不见面开评标系统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六、公告期限</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自本公告发布之日起3个工作日。</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七、其他补充事宜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1、本公告在新疆政府采购网上发布。</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2、请各供应商随时关注本项目的变更、答疑、澄清文件。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3、本项目实行电子招投标，供应商须登录政采云平台申请获取谈判文件，并通过政采云电子投标客户端制作响应文件，同时自行承担与投标有关的一切费用。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供应商可前往新疆政府采购网上（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6、本项目采用不见面开标，供应商须在投标截止时间前通过CA在政采云平台上传加密的电子响应文件。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特别提示：</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2、超过200万元的货物和服务采购项目，预留该部分采购项目预算总额的40%以上专门面向中小企业采购，其中预留给小微企业的比例不低于60%。</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480" w:lineRule="atLeast"/>
        <w:ind w:left="0" w:right="0"/>
        <w:jc w:val="both"/>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八、凡对本次招标提出询问，请按以下方式联系</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1.采购人信息</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民丰县叶亦克乡人民政府</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w:t>
      </w:r>
      <w:r>
        <w:rPr>
          <w:rFonts w:hint="eastAsia" w:ascii="宋体" w:hAnsi="宋体" w:cs="宋体"/>
          <w:color w:val="000000" w:themeColor="text1"/>
          <w:sz w:val="24"/>
          <w:szCs w:val="24"/>
          <w:highlight w:val="none"/>
          <w:lang w:val="en-US" w:eastAsia="zh-CN"/>
          <w14:textFill>
            <w14:solidFill>
              <w14:schemeClr w14:val="tx1"/>
            </w14:solidFill>
          </w14:textFill>
        </w:rPr>
        <w:t>民丰县叶亦克乡阿克塔什村富民路5号</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0903-2968331</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2.采购代理机构信息</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新疆天信工程项目管理有限责任公司</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址：新疆和田地区和田市京和物流园区火车站社区众一机电市场15栋14号商铺</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09023-7820245</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3.项目联系方式</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项目联系人：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黄亚楠</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电 话：</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0903-7820245</w:t>
      </w:r>
    </w:p>
    <w:p>
      <w:pPr>
        <w:pStyle w:val="3"/>
        <w:spacing w:before="0" w:after="0" w:line="240" w:lineRule="auto"/>
        <w:jc w:val="both"/>
        <w:outlineLvl w:val="9"/>
        <w:rPr>
          <w:rFonts w:hint="eastAsia" w:ascii="宋体" w:hAnsi="宋体" w:eastAsia="宋体" w:cs="宋体"/>
          <w:color w:val="000000" w:themeColor="text1"/>
          <w:highlight w:val="none"/>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themeColor="text1"/>
          <w:highlight w:val="none"/>
          <w14:textFill>
            <w14:solidFill>
              <w14:schemeClr w14:val="tx1"/>
            </w14:solidFill>
          </w14:textFill>
        </w:rPr>
      </w:pPr>
    </w:p>
    <w:p>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br w:type="page"/>
      </w:r>
      <w:bookmarkStart w:id="20" w:name="_Toc19008"/>
      <w:bookmarkStart w:id="21" w:name="_Toc90"/>
      <w:bookmarkStart w:id="22" w:name="_Toc22941"/>
      <w:bookmarkStart w:id="23" w:name="_Toc8236"/>
      <w:bookmarkStart w:id="24" w:name="_Toc15962"/>
      <w:bookmarkStart w:id="25" w:name="_Toc23817"/>
      <w:bookmarkStart w:id="26" w:name="_Toc27388"/>
      <w:bookmarkStart w:id="27" w:name="_Toc32236"/>
      <w:r>
        <w:rPr>
          <w:rFonts w:hint="eastAsia" w:ascii="宋体" w:hAnsi="宋体" w:eastAsia="宋体" w:cs="宋体"/>
          <w:b/>
          <w:bCs/>
          <w:color w:val="000000" w:themeColor="text1"/>
          <w:sz w:val="36"/>
          <w:szCs w:val="36"/>
          <w:highlight w:val="none"/>
          <w14:textFill>
            <w14:solidFill>
              <w14:schemeClr w14:val="tx1"/>
            </w14:solidFill>
          </w14:textFill>
        </w:rPr>
        <w:t>第二章  供应商须知</w:t>
      </w:r>
      <w:bookmarkEnd w:id="8"/>
      <w:bookmarkEnd w:id="20"/>
      <w:bookmarkEnd w:id="21"/>
      <w:bookmarkEnd w:id="22"/>
      <w:bookmarkEnd w:id="23"/>
      <w:bookmarkEnd w:id="24"/>
      <w:bookmarkEnd w:id="25"/>
      <w:bookmarkEnd w:id="26"/>
      <w:bookmarkEnd w:id="27"/>
    </w:p>
    <w:tbl>
      <w:tblPr>
        <w:tblStyle w:val="19"/>
        <w:tblW w:w="9612" w:type="dxa"/>
        <w:tblInd w:w="-453" w:type="dxa"/>
        <w:tblLayout w:type="fixed"/>
        <w:tblCellMar>
          <w:top w:w="0" w:type="dxa"/>
          <w:left w:w="108" w:type="dxa"/>
          <w:bottom w:w="0" w:type="dxa"/>
          <w:right w:w="108" w:type="dxa"/>
        </w:tblCellMar>
      </w:tblPr>
      <w:tblGrid>
        <w:gridCol w:w="967"/>
        <w:gridCol w:w="1327"/>
        <w:gridCol w:w="7318"/>
      </w:tblGrid>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序号</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条款名称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编列内容</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名称：</w:t>
            </w:r>
            <w:r>
              <w:rPr>
                <w:rFonts w:hint="eastAsia" w:ascii="宋体" w:hAnsi="宋体" w:cs="宋体"/>
                <w:color w:val="000000" w:themeColor="text1"/>
                <w:sz w:val="24"/>
                <w:szCs w:val="24"/>
                <w:highlight w:val="none"/>
                <w:lang w:val="zh-CN" w:eastAsia="zh-CN"/>
                <w14:textFill>
                  <w14:solidFill>
                    <w14:schemeClr w14:val="tx1"/>
                  </w14:solidFill>
                </w14:textFill>
              </w:rPr>
              <w:t>民丰县叶亦克乡人民政府</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地址：</w:t>
            </w:r>
            <w:r>
              <w:rPr>
                <w:rFonts w:hint="eastAsia" w:ascii="宋体" w:hAnsi="宋体" w:cs="宋体"/>
                <w:color w:val="000000" w:themeColor="text1"/>
                <w:sz w:val="24"/>
                <w:szCs w:val="24"/>
                <w:highlight w:val="none"/>
                <w:lang w:val="en-US" w:eastAsia="zh-CN"/>
                <w14:textFill>
                  <w14:solidFill>
                    <w14:schemeClr w14:val="tx1"/>
                  </w14:solidFill>
                </w14:textFill>
              </w:rPr>
              <w:t>民丰县叶亦克乡阿克塔什村富民路5号</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0903-2968331</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cs="宋体"/>
                <w:color w:val="000000" w:themeColor="text1"/>
                <w:sz w:val="24"/>
                <w:szCs w:val="24"/>
                <w:highlight w:val="none"/>
                <w:lang w:val="en-US" w:eastAsia="zh-CN"/>
                <w14:textFill>
                  <w14:solidFill>
                    <w14:schemeClr w14:val="tx1"/>
                  </w14:solidFill>
                </w14:textFill>
              </w:rPr>
              <w:t>张鹏</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名  称：</w:t>
            </w:r>
            <w:r>
              <w:rPr>
                <w:rFonts w:hint="eastAsia" w:ascii="宋体" w:hAnsi="宋体" w:cs="宋体"/>
                <w:color w:val="000000" w:themeColor="text1"/>
                <w:sz w:val="24"/>
                <w:szCs w:val="24"/>
                <w:highlight w:val="none"/>
                <w:lang w:val="en-US" w:eastAsia="zh-CN"/>
                <w14:textFill>
                  <w14:solidFill>
                    <w14:schemeClr w14:val="tx1"/>
                  </w14:solidFill>
                </w14:textFill>
              </w:rPr>
              <w:t>新疆天信工程项目管理有限责任公司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地  址：</w:t>
            </w:r>
            <w:r>
              <w:rPr>
                <w:rFonts w:hint="eastAsia" w:ascii="宋体" w:hAnsi="宋体" w:cs="宋体"/>
                <w:color w:val="000000" w:themeColor="text1"/>
                <w:sz w:val="24"/>
                <w:szCs w:val="24"/>
                <w:highlight w:val="none"/>
                <w:lang w:val="en-US" w:eastAsia="zh-CN"/>
                <w14:textFill>
                  <w14:solidFill>
                    <w14:schemeClr w14:val="tx1"/>
                  </w14:solidFill>
                </w14:textFill>
              </w:rPr>
              <w:t>新疆和田地区和田市京和物流园区火车站社区众一机电市场15栋14号商铺</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0999-7820245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cs="宋体"/>
                <w:color w:val="000000" w:themeColor="text1"/>
                <w:sz w:val="24"/>
                <w:szCs w:val="24"/>
                <w:highlight w:val="none"/>
                <w:lang w:val="en-US" w:eastAsia="zh-CN"/>
                <w14:textFill>
                  <w14:solidFill>
                    <w14:schemeClr w14:val="tx1"/>
                  </w14:solidFill>
                </w14:textFill>
              </w:rPr>
              <w:t>黄亚楠</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民丰县叶亦克乡养殖圈舍建设项目（二次）</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项目编号</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XJTX2025-MFX002</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乡村振兴衔接资金</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2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建设标准化养殖圈舍130套，总面积6396平方米。每套圈舍面积81.6平方米，其中：圈舍建筑面积49.2平方米，钢结构；室外活动区面积32.4平方米。</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最高限价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1745700.00</w:t>
            </w:r>
            <w:r>
              <w:rPr>
                <w:rFonts w:hint="eastAsia" w:ascii="宋体" w:hAnsi="宋体" w:eastAsia="宋体" w:cs="宋体"/>
                <w:color w:val="000000" w:themeColor="text1"/>
                <w:kern w:val="0"/>
                <w:sz w:val="24"/>
                <w:szCs w:val="24"/>
                <w:highlight w:val="none"/>
                <w:shd w:val="clear" w:color="auto" w:fill="FFFFFF"/>
                <w:lang w:val="en-US" w:eastAsia="zh-CN"/>
                <w14:textFill>
                  <w14:solidFill>
                    <w14:schemeClr w14:val="tx1"/>
                  </w14:solidFill>
                </w14:textFill>
              </w:rPr>
              <w:t>元</w:t>
            </w: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（此采购金额为最高限价，如超过预算价的报价为无效报价）</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cs="宋体"/>
                <w:i w:val="0"/>
                <w:iCs w:val="0"/>
                <w:caps w:val="0"/>
                <w:color w:val="000000" w:themeColor="text1"/>
                <w:spacing w:val="0"/>
                <w:sz w:val="24"/>
                <w:szCs w:val="24"/>
                <w:highlight w:val="none"/>
                <w:lang w:val="en-US" w:eastAsia="zh-CN"/>
                <w14:textFill>
                  <w14:solidFill>
                    <w14:schemeClr w14:val="tx1"/>
                  </w14:solidFill>
                </w14:textFill>
              </w:rPr>
              <w:t>计划工期</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计划工期：</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120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日历天（具体时间以与甲方签订合同为准）</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9</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质量要求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合格</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是否专门面向中小企业</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是</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否</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ind w:left="120" w:leftChars="0" w:right="62" w:rightChars="0" w:hanging="120" w:hangingChars="50"/>
              <w:jc w:val="center"/>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auto"/>
                <w:kern w:val="0"/>
                <w:sz w:val="24"/>
                <w:szCs w:val="24"/>
                <w:highlight w:val="none"/>
                <w:shd w:val="clear" w:color="auto" w:fill="auto"/>
                <w:lang w:val="en-US" w:eastAsia="zh-CN"/>
              </w:rPr>
              <w:t>合同</w:t>
            </w:r>
            <w:r>
              <w:rPr>
                <w:rFonts w:hint="eastAsia" w:ascii="宋体" w:hAnsi="宋体" w:cs="宋体"/>
                <w:color w:val="auto"/>
                <w:kern w:val="0"/>
                <w:sz w:val="24"/>
                <w:szCs w:val="24"/>
                <w:highlight w:val="none"/>
                <w:shd w:val="clear" w:color="auto" w:fill="auto"/>
                <w:lang w:val="en-US" w:eastAsia="zh-CN"/>
              </w:rPr>
              <w:t>价款</w:t>
            </w:r>
            <w:r>
              <w:rPr>
                <w:rFonts w:hint="eastAsia" w:ascii="宋体" w:hAnsi="宋体" w:eastAsia="宋体" w:cs="宋体"/>
                <w:color w:val="auto"/>
                <w:kern w:val="0"/>
                <w:sz w:val="24"/>
                <w:szCs w:val="24"/>
                <w:highlight w:val="none"/>
                <w:shd w:val="clear" w:color="auto" w:fill="auto"/>
                <w:lang w:val="en-US" w:eastAsia="zh-CN"/>
              </w:rPr>
              <w:t>付款方式</w:t>
            </w:r>
            <w:r>
              <w:rPr>
                <w:rFonts w:hint="eastAsia" w:ascii="宋体" w:hAnsi="宋体" w:cs="宋体"/>
                <w:color w:val="auto"/>
                <w:kern w:val="0"/>
                <w:sz w:val="24"/>
                <w:szCs w:val="24"/>
                <w:highlight w:val="none"/>
                <w:shd w:val="clear" w:color="auto" w:fill="auto"/>
                <w:lang w:val="en-US" w:eastAsia="zh-CN"/>
              </w:rPr>
              <w:t>及时间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合同价款付款方式</w:t>
            </w:r>
            <w:bookmarkStart w:id="322" w:name="_GoBack"/>
            <w:bookmarkEnd w:id="322"/>
            <w:r>
              <w:rPr>
                <w:rFonts w:hint="eastAsia" w:ascii="宋体" w:hAnsi="宋体" w:cs="宋体"/>
                <w:b w:val="0"/>
                <w:bCs w:val="0"/>
                <w:color w:val="000000" w:themeColor="text1"/>
                <w:sz w:val="24"/>
                <w:szCs w:val="24"/>
                <w:highlight w:val="none"/>
                <w:lang w:val="en-US" w:eastAsia="zh-CN"/>
                <w14:textFill>
                  <w14:solidFill>
                    <w14:schemeClr w14:val="tx1"/>
                  </w14:solidFill>
                </w14:textFill>
              </w:rPr>
              <w:t>为直接支付；合同价款付款时间为合同签订后项目交付验收合格后一次性全部支付。（最终以甲乙双方签订合同为准）</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报价有效期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自报价截止之日起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个日历天。</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踏勘现场</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不组织，自行踏勘</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组织，踏勘时间：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p>
            <w:pPr>
              <w:keepNext w:val="0"/>
              <w:keepLines w:val="0"/>
              <w:pageBreakBefore w:val="0"/>
              <w:widowControl w:val="0"/>
              <w:tabs>
                <w:tab w:val="left" w:pos="7665"/>
              </w:tabs>
              <w:kinsoku/>
              <w:overflowPunct/>
              <w:topLinePunct w:val="0"/>
              <w:bidi w:val="0"/>
              <w:snapToGrid/>
              <w:spacing w:before="63" w:beforeLines="20" w:line="288" w:lineRule="auto"/>
              <w:ind w:firstLine="1080" w:firstLineChars="4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履约担保</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不需要</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需要，履约保证金的金额：成交合同金额的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%（履约保证金须以支票、汇票、本票或者金融机构、担保机构出具的保函等非现金形式提交）</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构成采购文件的其他材料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补充文件</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auto"/>
                <w:sz w:val="24"/>
                <w:szCs w:val="24"/>
                <w:highlight w:val="none"/>
              </w:rPr>
              <w:t>投标人对</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文件提出质疑的时间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提出质疑的时限：自谈判文件发售时间起的</w:t>
            </w:r>
            <w:r>
              <w:rPr>
                <w:rFonts w:hint="eastAsia" w:ascii="宋体" w:hAnsi="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个工作日内（在规定的</w:t>
            </w:r>
            <w:r>
              <w:rPr>
                <w:rFonts w:hint="eastAsia" w:ascii="宋体" w:hAnsi="宋体" w:cs="宋体"/>
                <w:color w:val="auto"/>
                <w:sz w:val="24"/>
                <w:szCs w:val="24"/>
                <w:highlight w:val="none"/>
                <w:lang w:val="en-US" w:eastAsia="zh-CN"/>
              </w:rPr>
              <w:t>时间</w:t>
            </w:r>
            <w:r>
              <w:rPr>
                <w:rFonts w:hint="default" w:ascii="宋体" w:hAnsi="宋体" w:eastAsia="宋体" w:cs="宋体"/>
                <w:color w:val="auto"/>
                <w:sz w:val="24"/>
                <w:szCs w:val="24"/>
                <w:highlight w:val="none"/>
                <w:lang w:val="en-US" w:eastAsia="zh-CN"/>
              </w:rPr>
              <w:t>内未收到投标人递交的质疑</w:t>
            </w:r>
            <w:r>
              <w:rPr>
                <w:rFonts w:hint="eastAsia" w:ascii="宋体" w:hAnsi="宋体" w:cs="宋体"/>
                <w:color w:val="auto"/>
                <w:sz w:val="24"/>
                <w:szCs w:val="24"/>
                <w:highlight w:val="none"/>
                <w:lang w:val="en-US" w:eastAsia="zh-CN"/>
              </w:rPr>
              <w:t>函</w:t>
            </w:r>
            <w:r>
              <w:rPr>
                <w:rFonts w:hint="default" w:ascii="宋体" w:hAnsi="宋体" w:eastAsia="宋体" w:cs="宋体"/>
                <w:color w:val="auto"/>
                <w:sz w:val="24"/>
                <w:szCs w:val="24"/>
                <w:highlight w:val="none"/>
                <w:lang w:val="en-US" w:eastAsia="zh-CN"/>
              </w:rPr>
              <w:t>，视为投标</w:t>
            </w:r>
            <w:r>
              <w:rPr>
                <w:rFonts w:hint="eastAsia" w:ascii="宋体" w:hAnsi="宋体" w:cs="宋体"/>
                <w:color w:val="auto"/>
                <w:sz w:val="24"/>
                <w:szCs w:val="24"/>
                <w:highlight w:val="none"/>
                <w:lang w:val="en-US" w:eastAsia="zh-CN"/>
              </w:rPr>
              <w:t>人</w:t>
            </w:r>
            <w:r>
              <w:rPr>
                <w:rFonts w:hint="default" w:ascii="宋体" w:hAnsi="宋体" w:eastAsia="宋体" w:cs="宋体"/>
                <w:color w:val="auto"/>
                <w:sz w:val="24"/>
                <w:szCs w:val="24"/>
                <w:highlight w:val="none"/>
                <w:lang w:val="en-US" w:eastAsia="zh-CN"/>
              </w:rPr>
              <w:t>完全响应</w:t>
            </w:r>
            <w:r>
              <w:rPr>
                <w:rFonts w:hint="eastAsia" w:ascii="宋体" w:hAnsi="宋体" w:cs="宋体"/>
                <w:color w:val="auto"/>
                <w:sz w:val="24"/>
                <w:szCs w:val="24"/>
                <w:highlight w:val="none"/>
                <w:lang w:val="en-US" w:eastAsia="zh-CN"/>
              </w:rPr>
              <w:t>谈判文件</w:t>
            </w:r>
            <w:r>
              <w:rPr>
                <w:rFonts w:hint="default" w:ascii="宋体" w:hAnsi="宋体" w:eastAsia="宋体" w:cs="宋体"/>
                <w:color w:val="auto"/>
                <w:sz w:val="24"/>
                <w:szCs w:val="24"/>
                <w:highlight w:val="none"/>
                <w:lang w:val="en-US" w:eastAsia="zh-CN"/>
              </w:rPr>
              <w:t>。）</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接收质疑函的方式：将PDF格式电子版质疑文件加盖公章扫描发送至</w:t>
            </w:r>
            <w:r>
              <w:rPr>
                <w:rFonts w:hint="eastAsia" w:ascii="宋体" w:hAnsi="宋体" w:cs="宋体"/>
                <w:color w:val="auto"/>
                <w:sz w:val="24"/>
                <w:szCs w:val="24"/>
                <w:highlight w:val="none"/>
                <w:lang w:val="en-US" w:eastAsia="zh-CN"/>
              </w:rPr>
              <w:t>307103772</w:t>
            </w:r>
            <w:r>
              <w:rPr>
                <w:rFonts w:hint="default" w:ascii="宋体" w:hAnsi="宋体" w:eastAsia="宋体" w:cs="宋体"/>
                <w:color w:val="auto"/>
                <w:sz w:val="24"/>
                <w:szCs w:val="24"/>
                <w:highlight w:val="none"/>
                <w:lang w:val="en-US" w:eastAsia="zh-CN"/>
              </w:rPr>
              <w:t>@qq.com邮箱。</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接受质疑的单位：</w:t>
            </w:r>
            <w:r>
              <w:rPr>
                <w:rFonts w:hint="eastAsia" w:ascii="宋体" w:hAnsi="宋体" w:cs="宋体"/>
                <w:color w:val="auto"/>
                <w:sz w:val="24"/>
                <w:szCs w:val="24"/>
                <w:highlight w:val="none"/>
                <w:lang w:val="en-US" w:eastAsia="zh-CN"/>
              </w:rPr>
              <w:t>新疆天信工程项目管理有限责任公司</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default"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0903-7820245</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供应商确认收到采购文件澄清或修改的时间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u w:val="single"/>
                <w:lang w:val="zh-CN"/>
              </w:rPr>
            </w:pPr>
            <w:r>
              <w:rPr>
                <w:rFonts w:hint="eastAsia" w:ascii="宋体" w:hAnsi="宋体" w:eastAsia="宋体" w:cs="宋体"/>
                <w:color w:val="auto"/>
                <w:sz w:val="24"/>
                <w:szCs w:val="24"/>
                <w:highlight w:val="none"/>
                <w:lang w:val="zh-CN"/>
              </w:rPr>
              <w:t>从补充文件发布时间开始48小时内</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供应商资格条件、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供</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（9）投标人须具有建筑工程施工总承包三级(含)以上资质，</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以及相关证照齐备的独立法人企业。</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并在人员、设备、资金等方面具有相应的施工能力，</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无不良业绩；</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有安全生产许可证，区外企业已进行区外进疆建筑企业信息报送。项目负责人须具备建筑工程专业注册贰级建造（含贰级）及以上执业资格</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并具有担任项目经理的经历</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，具备有效的安全生产考核合格证书，且未担任其他在施建设工程项目的项目负责人。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（需提供无在建承诺书，格式自拟）。</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是否允许递交备选报价方案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不允许</w:t>
            </w:r>
          </w:p>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允许。要求：只有成交供应商所递交的备选报价方案方可予以考虑。谈判小组认为成交供应商的备选报价方案优于其按照采购文件要求的报价方案，采购人可以接受该备选报价方案。</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FF0000"/>
                <w:sz w:val="24"/>
                <w:szCs w:val="24"/>
                <w:highlight w:val="none"/>
                <w:lang w:val="zh-CN"/>
              </w:rPr>
            </w:pPr>
            <w:r>
              <w:rPr>
                <w:rFonts w:hint="eastAsia" w:ascii="宋体" w:hAnsi="宋体" w:eastAsia="宋体" w:cs="宋体"/>
                <w:color w:val="auto"/>
                <w:sz w:val="24"/>
                <w:szCs w:val="24"/>
                <w:highlight w:val="none"/>
                <w:lang w:val="zh-CN"/>
              </w:rPr>
              <w:t>响应报价的范围</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FF0000"/>
                <w:sz w:val="24"/>
                <w:szCs w:val="24"/>
                <w:highlight w:val="none"/>
                <w:lang w:val="zh-CN"/>
              </w:rPr>
            </w:pPr>
            <w:r>
              <w:rPr>
                <w:rFonts w:hint="eastAsia" w:ascii="宋体" w:hAnsi="宋体" w:eastAsia="宋体" w:cs="宋体"/>
                <w:color w:val="auto"/>
                <w:sz w:val="24"/>
                <w:szCs w:val="24"/>
                <w:highlight w:val="none"/>
                <w:lang w:val="zh-CN" w:eastAsia="zh-CN"/>
              </w:rPr>
              <w:t>含税全包价，</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包括施工、货物采购、运输、安装、相关部门验收及保修期内的维护保养等所有含税费用，以及供应商认为必要的其他货物、材料、工程、服务。</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响应报价的次数</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本项目为竞争性谈判，最终报价</w:t>
            </w:r>
            <w:r>
              <w:rPr>
                <w:rFonts w:hint="eastAsia" w:ascii="宋体" w:hAnsi="宋体" w:cs="宋体"/>
                <w:color w:val="000000" w:themeColor="text1"/>
                <w:sz w:val="24"/>
                <w:szCs w:val="24"/>
                <w:highlight w:val="none"/>
                <w:lang w:val="en-US" w:eastAsia="zh-CN"/>
                <w14:textFill>
                  <w14:solidFill>
                    <w14:schemeClr w14:val="tx1"/>
                  </w14:solidFill>
                </w14:textFill>
              </w:rPr>
              <w:t>两</w:t>
            </w:r>
            <w:r>
              <w:rPr>
                <w:rFonts w:hint="eastAsia" w:ascii="宋体" w:hAnsi="宋体" w:eastAsia="宋体" w:cs="宋体"/>
                <w:color w:val="000000" w:themeColor="text1"/>
                <w:sz w:val="24"/>
                <w:szCs w:val="24"/>
                <w:highlight w:val="none"/>
                <w14:textFill>
                  <w14:solidFill>
                    <w14:schemeClr w14:val="tx1"/>
                  </w14:solidFill>
                </w14:textFill>
              </w:rPr>
              <w:t>轮或两轮以上。</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进口产品投标</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允许，</w:t>
            </w:r>
            <w:r>
              <w:rPr>
                <w:rFonts w:hint="eastAsia" w:ascii="宋体" w:hAnsi="宋体" w:eastAsia="宋体" w:cs="宋体"/>
                <w:color w:val="000000" w:themeColor="text1"/>
                <w:sz w:val="24"/>
                <w:szCs w:val="24"/>
                <w:highlight w:val="none"/>
                <w:lang w:val="zh-CN"/>
                <w14:textFill>
                  <w14:solidFill>
                    <w14:schemeClr w14:val="tx1"/>
                  </w14:solidFill>
                </w14:textFill>
              </w:rPr>
              <w:t>产品名目清单：</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样品</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不需要</w:t>
            </w:r>
          </w:p>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需要，样品要求如下：</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1.样品：采购文件中带“※”标注的货物为供应商开标时应提供的样品。</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2.样品的生产、安装、运输费、保全费等一切费用由供应商自理。</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3.送样截止时间：20</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时</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4.送样送达地点：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逾期送达或未送达到指定地点的拒绝接收</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5.供应商应按照采购代理机构的要求摆放样品并做好展示，样品不能有供应商的标识及品牌，样品将进行统一编号。</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6.若需要现场演示的，供应商应提前做好演示准备（包括电源线等），届时未能演示的，后果自负。</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宣布评审结果前，供应商不得将样品整理、装箱或者撤离展示区；遇到特殊情况需要对样品进行整理、装箱或者移动样品的，供应商必须书面提出申请，采购代理机构同意后方可移动样品。谈判小组已经确定供应商响应无效或者废标的，供应商签字确认后可以进行样品整理、装箱或者撤离展示区，但不得影响或者损害其他供应商的样品，否则将承担相应的法律责任。</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8.宣布评审结果后，成交供应商与采购人、采购代理机构共同清点、检查和密封样品，由成交供应商送至采购人指定地点封存。</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投标保证金的</w:t>
            </w:r>
            <w:r>
              <w:rPr>
                <w:rFonts w:hint="eastAsia" w:ascii="宋体" w:hAnsi="宋体" w:eastAsia="宋体" w:cs="宋体"/>
                <w:color w:val="000000" w:themeColor="text1"/>
                <w:sz w:val="24"/>
                <w:szCs w:val="24"/>
                <w:highlight w:val="none"/>
                <w:lang w:val="zh-CN" w:eastAsia="zh-CN"/>
                <w14:textFill>
                  <w14:solidFill>
                    <w14:schemeClr w14:val="tx1"/>
                  </w14:solidFill>
                </w14:textFill>
              </w:rPr>
              <w:t>缴</w:t>
            </w:r>
            <w:r>
              <w:rPr>
                <w:rFonts w:hint="eastAsia" w:ascii="宋体" w:hAnsi="宋体" w:eastAsia="宋体" w:cs="宋体"/>
                <w:color w:val="000000" w:themeColor="text1"/>
                <w:sz w:val="24"/>
                <w:szCs w:val="24"/>
                <w:highlight w:val="none"/>
                <w:lang w:val="zh-CN"/>
                <w14:textFill>
                  <w14:solidFill>
                    <w14:schemeClr w14:val="tx1"/>
                  </w14:solidFill>
                </w14:textFill>
              </w:rPr>
              <w:t>纳</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缴</w:t>
            </w:r>
            <w:r>
              <w:rPr>
                <w:rFonts w:hint="eastAsia" w:ascii="宋体" w:hAnsi="宋体" w:eastAsia="宋体" w:cs="宋体"/>
                <w:color w:val="000000" w:themeColor="text1"/>
                <w:sz w:val="24"/>
                <w:szCs w:val="24"/>
                <w:highlight w:val="none"/>
                <w:lang w:val="zh-CN"/>
                <w14:textFill>
                  <w14:solidFill>
                    <w14:schemeClr w14:val="tx1"/>
                  </w14:solidFill>
                </w14:textFill>
              </w:rPr>
              <w:t>纳</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投标保证金的形式：转账、电汇、电子保函</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w:t>
            </w:r>
            <w:r>
              <w:rPr>
                <w:rFonts w:hint="eastAsia" w:ascii="宋体" w:hAnsi="宋体" w:cs="宋体"/>
                <w:color w:val="000000" w:themeColor="text1"/>
                <w:sz w:val="24"/>
                <w:szCs w:val="24"/>
                <w:highlight w:val="none"/>
                <w:lang w:val="en-US" w:eastAsia="zh-CN"/>
                <w14:textFill>
                  <w14:solidFill>
                    <w14:schemeClr w14:val="tx1"/>
                  </w14:solidFill>
                </w14:textFill>
              </w:rPr>
              <w:t>15000</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元（大写：</w:t>
            </w:r>
            <w:r>
              <w:rPr>
                <w:rFonts w:hint="eastAsia" w:ascii="宋体" w:hAnsi="宋体" w:cs="宋体"/>
                <w:color w:val="000000" w:themeColor="text1"/>
                <w:sz w:val="24"/>
                <w:szCs w:val="24"/>
                <w:highlight w:val="none"/>
                <w:lang w:val="en-US" w:eastAsia="zh-CN"/>
                <w14:textFill>
                  <w14:solidFill>
                    <w14:schemeClr w14:val="tx1"/>
                  </w14:solidFill>
                </w14:textFill>
              </w:rPr>
              <w:t>壹万伍仟元整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投标保证金缴纳账户：</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开户名称：民丰县行政服务和公共资源交易中心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开户银行：中国农业银行股份有限公司民丰县支行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账号：30582301040020842</w:t>
            </w:r>
          </w:p>
          <w:p>
            <w:pPr>
              <w:spacing w:line="40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投标保证金缴纳截止时间为递交投标文件截止时间，缴纳</w:t>
            </w:r>
            <w:r>
              <w:rPr>
                <w:rFonts w:hint="eastAsia" w:ascii="宋体"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保证金时应在付款用途里标明项目名称、编号及用途。</w:t>
            </w:r>
            <w:r>
              <w:rPr>
                <w:rFonts w:hint="eastAsia" w:ascii="宋体"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保证金以进账时间为准，投标保证金或保函所支付的费用须从投标人企业基本账户转出，同时将电子投标保单或电子回单作为投标文件组成部分在投标时一并提交。银行转账或电子保函凭证的扫描件上须手签写明“响应招标文件要求”字样，并放入投标文件中加盖公章。</w:t>
            </w:r>
            <w:r>
              <w:rPr>
                <w:rFonts w:hint="eastAsia" w:ascii="宋体"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保证金以其进账时间确定其有效性，在规定时间内未进</w:t>
            </w:r>
            <w:r>
              <w:rPr>
                <w:rFonts w:hint="eastAsia" w:ascii="宋体" w:hAnsi="宋体" w:cs="宋体"/>
                <w:color w:val="000000" w:themeColor="text1"/>
                <w:sz w:val="24"/>
                <w:szCs w:val="24"/>
                <w:highlight w:val="none"/>
                <w:lang w:val="en-US" w:eastAsia="zh-CN"/>
                <w14:textFill>
                  <w14:solidFill>
                    <w14:schemeClr w14:val="tx1"/>
                  </w14:solidFill>
                </w14:textFill>
              </w:rPr>
              <w:t>入</w:t>
            </w:r>
            <w:r>
              <w:rPr>
                <w:rFonts w:hint="eastAsia" w:ascii="宋体" w:hAnsi="宋体" w:eastAsia="宋体" w:cs="宋体"/>
                <w:color w:val="000000" w:themeColor="text1"/>
                <w:sz w:val="24"/>
                <w:szCs w:val="24"/>
                <w:highlight w:val="none"/>
                <w:lang w:val="en-US" w:eastAsia="zh-CN"/>
                <w14:textFill>
                  <w14:solidFill>
                    <w14:schemeClr w14:val="tx1"/>
                  </w14:solidFill>
                </w14:textFill>
              </w:rPr>
              <w:t>到指定账户，按废标处理。开标前投标单位不需至民丰县行政服务和公共资源交易中心换取保证金收据原件</w:t>
            </w:r>
            <w:r>
              <w:rPr>
                <w:rFonts w:hint="eastAsia" w:ascii="宋体" w:hAnsi="宋体" w:cs="宋体"/>
                <w:color w:val="000000" w:themeColor="text1"/>
                <w:sz w:val="24"/>
                <w:szCs w:val="24"/>
                <w:highlight w:val="none"/>
                <w:lang w:val="en-US" w:eastAsia="zh-CN"/>
                <w14:textFill>
                  <w14:solidFill>
                    <w14:schemeClr w14:val="tx1"/>
                  </w14:solidFill>
                </w14:textFill>
              </w:rPr>
              <w:t>。投标单位须在投标文件中完全响应招标文件要求，投标人投标文件中须对：“投标保证金缴纳要求及违反相关法律规定的被没收投标保证金的情形”进行响应性承诺，将其作为附件放在投标文件“投标保证金银行汇款或转账凭证复印件或电子保函”缴纳凭证下一页。投标单位务必严格按照“投标保证金”规定的要求办理缴纳、退款等事宜。</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开标结束后未中标企业现场将授权委托书或法人身份证复印件、开户许可证、收据（必须加盖公司公章/财务章）、银行回单递交至民丰县行政服务和公共资源交易中心 。</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响应文件编制</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项目采用电子交易方式，供应商可前往新疆政府采购网（http://www.ccgp-xinjiang.gov.cn/）下载专区，下载政采云电子投标客户端，安装完成后，可通过账号密码或CA登录客户端进行响应文件制作。如有问题可拨打政采云客户服务热线</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zh-CN"/>
                <w14:textFill>
                  <w14:solidFill>
                    <w14:schemeClr w14:val="tx1"/>
                  </w14:solidFill>
                </w14:textFill>
              </w:rPr>
              <w:t>进行咨询。</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响应文件分技术文件、商务文件。</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应按照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的要求编写</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要求填写的表格或者资料不得缺少或者留空，</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不得加行。</w:t>
            </w:r>
          </w:p>
          <w:p>
            <w:pPr>
              <w:spacing w:line="400" w:lineRule="exact"/>
              <w:rPr>
                <w:rFonts w:hint="eastAsia" w:ascii="宋体" w:hAnsi="宋体" w:eastAsia="宋体" w:cs="宋体"/>
                <w:color w:val="000000" w:themeColor="text1"/>
                <w:kern w:val="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应</w:t>
            </w:r>
            <w:r>
              <w:rPr>
                <w:rFonts w:hint="eastAsia" w:ascii="宋体" w:hAnsi="宋体" w:eastAsia="宋体" w:cs="宋体"/>
                <w:color w:val="000000" w:themeColor="text1"/>
                <w:kern w:val="1"/>
                <w:sz w:val="24"/>
                <w:szCs w:val="24"/>
                <w:highlight w:val="none"/>
                <w14:textFill>
                  <w14:solidFill>
                    <w14:schemeClr w14:val="tx1"/>
                  </w14:solidFill>
                </w14:textFill>
              </w:rPr>
              <w:t>编制目录，目录、内容标注连续页码，页码从目录编起，标注于页面底部居中位置</w:t>
            </w:r>
            <w:r>
              <w:rPr>
                <w:rFonts w:hint="eastAsia" w:ascii="宋体" w:hAnsi="宋体" w:eastAsia="宋体" w:cs="宋体"/>
                <w:color w:val="000000" w:themeColor="text1"/>
                <w:kern w:val="1"/>
                <w:sz w:val="24"/>
                <w:szCs w:val="24"/>
                <w:highlight w:val="none"/>
                <w:lang w:eastAsia="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供应商中标后应按要求提供纸质响应文件</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响应文件签署和盖章</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1.竞争性谈判文件要求供应商法定代表人或者被授权代表签字处，均须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加盖其个人电子印章</w:t>
            </w:r>
            <w:r>
              <w:rPr>
                <w:rFonts w:hint="eastAsia" w:ascii="宋体" w:hAnsi="宋体" w:eastAsia="宋体" w:cs="宋体"/>
                <w:color w:val="000000" w:themeColor="text1"/>
                <w:sz w:val="24"/>
                <w:szCs w:val="24"/>
                <w:highlight w:val="none"/>
                <w:lang w:val="zh-CN"/>
                <w14:textFill>
                  <w14:solidFill>
                    <w14:schemeClr w14:val="tx1"/>
                  </w14:solidFill>
                </w14:textFill>
              </w:rPr>
              <w:t>，并</w:t>
            </w:r>
            <w:r>
              <w:rPr>
                <w:rFonts w:hint="eastAsia" w:ascii="宋体" w:hAnsi="宋体" w:eastAsia="宋体" w:cs="宋体"/>
                <w:color w:val="000000" w:themeColor="text1"/>
                <w:sz w:val="24"/>
                <w:szCs w:val="24"/>
                <w:highlight w:val="none"/>
                <w:lang w:val="en-US" w:eastAsia="zh-CN"/>
                <w14:textFill>
                  <w14:solidFill>
                    <w14:schemeClr w14:val="tx1"/>
                  </w14:solidFill>
                </w14:textFill>
              </w:rPr>
              <w:t>逐页</w:t>
            </w:r>
            <w:r>
              <w:rPr>
                <w:rFonts w:hint="eastAsia" w:ascii="宋体" w:hAnsi="宋体" w:eastAsia="宋体" w:cs="宋体"/>
                <w:color w:val="000000" w:themeColor="text1"/>
                <w:sz w:val="24"/>
                <w:szCs w:val="24"/>
                <w:highlight w:val="none"/>
                <w:lang w:val="zh-CN"/>
                <w14:textFill>
                  <w14:solidFill>
                    <w14:schemeClr w14:val="tx1"/>
                  </w14:solidFill>
                </w14:textFill>
              </w:rPr>
              <w:t>加盖单位公章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的电子印章</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2.被授权代表人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签章的</w:t>
            </w:r>
            <w:r>
              <w:rPr>
                <w:rFonts w:hint="eastAsia" w:ascii="宋体" w:hAnsi="宋体" w:eastAsia="宋体" w:cs="宋体"/>
                <w:color w:val="000000" w:themeColor="text1"/>
                <w:sz w:val="24"/>
                <w:szCs w:val="24"/>
                <w:highlight w:val="none"/>
                <w:lang w:val="zh-CN"/>
                <w14:textFill>
                  <w14:solidFill>
                    <w14:schemeClr w14:val="tx1"/>
                  </w14:solidFill>
                </w14:textFill>
              </w:rPr>
              <w:t>，响应文件应附法人授权委托书。</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.供应商在响应文件以及相关书面文件中的单位盖章（包括印章、公章等）均指与供应商名称全称相一致的标准公章，不得使用其他形式（如带有“专用章”、“合同章”、“财务章”、“业务章”等）的印章。</w:t>
            </w:r>
          </w:p>
        </w:tc>
      </w:tr>
      <w:tr>
        <w:tblPrEx>
          <w:tblCellMar>
            <w:top w:w="0" w:type="dxa"/>
            <w:left w:w="108" w:type="dxa"/>
            <w:bottom w:w="0" w:type="dxa"/>
            <w:right w:w="108" w:type="dxa"/>
          </w:tblCellMar>
        </w:tblPrEx>
        <w:trPr>
          <w:trHeight w:val="1269"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响应文件加密、上传</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480" w:firstLineChars="20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本项目采用不见面开标，供应商须在投标截止时间前，将生成的“电子加密响应文件”上传递交至“政府采购云平台”，投标截止时间以后上传递交的响应文件将被“政府采购云平台”拒收。</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签到及电子响应文件解密</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380" w:lineRule="exact"/>
              <w:ind w:firstLine="480" w:firstLineChars="200"/>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供应商登录政采云平台，在投标截止时间前必须完成签到，本项目解密时长为：30分钟，签名时长为：10分钟</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开标时间后30分钟内用“项目采购- 开标评标”功能进行解密响应文件。若供应商在规定时间内未按时签到或解密的，视为无效投标。解密与加密响应文件须为同一个CA。</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递交响应文件截止时间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b/>
                <w:color w:val="FF0000"/>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开标时间及地点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地点：</w:t>
            </w:r>
            <w:r>
              <w:rPr>
                <w:rFonts w:hint="eastAsia" w:ascii="宋体" w:hAnsi="宋体" w:eastAsia="宋体" w:cs="宋体"/>
                <w:color w:val="auto"/>
                <w:sz w:val="24"/>
                <w:szCs w:val="24"/>
                <w:highlight w:val="none"/>
                <w:lang w:val="zh-CN" w:eastAsia="zh-CN"/>
              </w:rPr>
              <w:t>政采云一站式政府采购云平台</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autoSpaceDE w:val="0"/>
              <w:autoSpaceDN w:val="0"/>
              <w:bidi w:val="0"/>
              <w:adjustRightInd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autoSpaceDE w:val="0"/>
              <w:autoSpaceDN w:val="0"/>
              <w:bidi w:val="0"/>
              <w:adjustRightInd/>
              <w:snapToGrid/>
              <w:spacing w:before="63" w:beforeLines="20" w:line="288" w:lineRule="auto"/>
              <w:ind w:lef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谈判小组共</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人，其中：采购人代表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人，评审专家</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人。</w:t>
            </w:r>
          </w:p>
          <w:p>
            <w:pPr>
              <w:pStyle w:val="1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谈判小组</w:t>
            </w:r>
            <w:r>
              <w:rPr>
                <w:rFonts w:hint="eastAsia" w:ascii="宋体" w:hAnsi="宋体" w:eastAsia="宋体" w:cs="宋体"/>
                <w:color w:val="auto"/>
                <w:sz w:val="24"/>
                <w:szCs w:val="24"/>
                <w:highlight w:val="none"/>
              </w:rPr>
              <w:t>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w:t>
            </w:r>
            <w:r>
              <w:rPr>
                <w:rFonts w:hint="eastAsia" w:ascii="宋体" w:hAnsi="宋体" w:cs="宋体"/>
                <w:color w:val="000000" w:themeColor="text1"/>
                <w:sz w:val="24"/>
                <w:szCs w:val="24"/>
                <w:highlight w:val="none"/>
                <w:lang w:val="en-US" w:eastAsia="zh-CN"/>
                <w14:textFill>
                  <w14:solidFill>
                    <w14:schemeClr w14:val="tx1"/>
                  </w14:solidFill>
                </w14:textFill>
              </w:rPr>
              <w:t>标</w:t>
            </w:r>
            <w:r>
              <w:rPr>
                <w:rFonts w:hint="eastAsia" w:ascii="宋体" w:hAnsi="宋体" w:eastAsia="宋体" w:cs="宋体"/>
                <w:color w:val="000000" w:themeColor="text1"/>
                <w:sz w:val="24"/>
                <w:szCs w:val="24"/>
                <w:highlight w:val="none"/>
                <w:lang w:val="zh-CN"/>
                <w14:textFill>
                  <w14:solidFill>
                    <w14:schemeClr w14:val="tx1"/>
                  </w14:solidFill>
                </w14:textFill>
              </w:rPr>
              <w:t>办法</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竞争性谈判采用最低评标价法：第一轮根据投标文件能够详细列明全部技术、工程质量且技术、商务均能全部满足采购文件实质性响应要求者可进行下一轮，投标人的报价明显低于其他通过符合性检查投标人的报价，有可能影响履约的，投标人能在规定时间内提出证明其报价合理性，否则视为不能履约做否决投标处理。第二轮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或两轮以上）</w:t>
            </w:r>
            <w:r>
              <w:rPr>
                <w:rFonts w:hint="eastAsia" w:ascii="宋体" w:hAnsi="宋体" w:eastAsia="宋体" w:cs="宋体"/>
                <w:color w:val="000000" w:themeColor="text1"/>
                <w:sz w:val="24"/>
                <w:szCs w:val="24"/>
                <w:highlight w:val="none"/>
                <w:lang w:val="zh-CN"/>
                <w14:textFill>
                  <w14:solidFill>
                    <w14:schemeClr w14:val="tx1"/>
                  </w14:solidFill>
                </w14:textFill>
              </w:rPr>
              <w:t>报总价，谈判结束后，谈判小组应当从全部技术、工程质量等均能全部满足采购文件实质性响应要求的供应商中，按照最后报价最低报价的报价人作为成交供应商。</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是否授权谈判小组确定成交供应商</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ind w:left="360" w:hanging="360" w:hangingChars="15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highlight w:val="none"/>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14:textFill>
                  <w14:solidFill>
                    <w14:schemeClr w14:val="tx1"/>
                  </w14:solidFill>
                </w14:textFill>
              </w:rPr>
              <w:instrText xml:space="preserve">)</w:instrTex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 xml:space="preserve"> 是，</w:t>
            </w:r>
            <w:r>
              <w:rPr>
                <w:rFonts w:hint="eastAsia" w:ascii="宋体" w:hAnsi="宋体" w:eastAsia="宋体" w:cs="宋体"/>
                <w:color w:val="000000" w:themeColor="text1"/>
                <w:sz w:val="24"/>
                <w:szCs w:val="24"/>
                <w:highlight w:val="none"/>
                <w:lang w:val="zh-CN"/>
                <w14:textFill>
                  <w14:solidFill>
                    <w14:schemeClr w14:val="tx1"/>
                  </w14:solidFill>
                </w14:textFill>
              </w:rPr>
              <w:t>确定一个成交供应商，成交结果在新疆政府采购网发布，公告期限为1个工作日。</w:t>
            </w:r>
          </w:p>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否，推荐的成交候选供应商个数：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是否退还响应文件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除供应商需收回的资格、资信等证明文件中的证明材料原件（如营业执照、合同、相关资质证书等）外，其他文件概不退还。</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本项目所属行业</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建筑业</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8645"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其他需补充的内容</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w:t>
            </w:r>
          </w:p>
        </w:tc>
        <w:tc>
          <w:tcPr>
            <w:tcW w:w="132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供应商电子不见面开标注意事项</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1、本项目实行电子招投标，供应商须登录政府采购云平台申请获取采购文件，并需要使用CA 锁，在新疆政府采购网--下载专区下载--供应商客户端制作投标文件，并生成 JMBS 格式加密文件，在投标截止前上传至政府采购云平台。若供应商参与投标, 自行承担与投标有关的一切费用。</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2、各供应商应在开标前确保是新疆维吾尔自治区政府采购网正式注册入库的供应商，并完成 CA 数字证书申领。因未注册入库、未办理 CA 数字证书等原因造成无法投标或投 标失败等后果的由供应商自行承担。</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3、供应商可前往新疆政府采购网 (http://www.ccgp-xinjiang.gov.cn/) 下载专区， 下载政府采购云平台电子投标客户端，安装完成后，可通过账号密码或 CA 登录客户端 进行响应文件制作。在使用政府采购云平台电子投标客户端时，建议使用 WIN7 及以上 操作系统。如有问题可拨打政府采购云平台客户服务热线</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en-US" w:eastAsia="zh-CN"/>
                <w14:textFill>
                  <w14:solidFill>
                    <w14:schemeClr w14:val="tx1"/>
                  </w14:solidFill>
                </w14:textFill>
              </w:rPr>
              <w:t>进行咨询。</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4、供应商在开标时须携带制作加密电子响应文件所使用的CA 锁，电脑须提前配置好浏览器，以便开标时在线解密。</w:t>
            </w:r>
          </w:p>
          <w:p>
            <w:pPr>
              <w:spacing w:line="380" w:lineRule="exact"/>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5、投标供应商应当在投标截止时间前，将生成的“JMBS 格式电子加密响应文件”上传 递交至“政府采购云平台”，投标截止时间以后上传递交的响应文件将被“政府采购云 平台”拒收。</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6、供应商应按当地交易中心要求递交场地费，在进入评标环节前完成缴费，若不缴纳场地费，则不予进入评标环节</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CellMar>
            <w:top w:w="0" w:type="dxa"/>
            <w:left w:w="108" w:type="dxa"/>
            <w:bottom w:w="0" w:type="dxa"/>
            <w:right w:w="108" w:type="dxa"/>
          </w:tblCellMar>
        </w:tblPrEx>
        <w:trPr>
          <w:trHeight w:val="0" w:hRule="atLeast"/>
        </w:trPr>
        <w:tc>
          <w:tcPr>
            <w:tcW w:w="967"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327"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定义</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原件：</w:t>
            </w:r>
            <w:r>
              <w:rPr>
                <w:rFonts w:hint="eastAsia" w:ascii="宋体" w:hAnsi="宋体" w:eastAsia="宋体" w:cs="宋体"/>
                <w:color w:val="000000" w:themeColor="text1"/>
                <w:sz w:val="24"/>
                <w:szCs w:val="24"/>
                <w:highlight w:val="none"/>
                <w14:textFill>
                  <w14:solidFill>
                    <w14:schemeClr w14:val="tx1"/>
                  </w14:solidFill>
                </w14:textFill>
              </w:rPr>
              <w:t>最初产生的区别于复制件的原始文件或文件的原本或公证处出具的文件复制件公证书。</w:t>
            </w:r>
          </w:p>
        </w:tc>
      </w:tr>
      <w:tr>
        <w:tblPrEx>
          <w:tblCellMar>
            <w:top w:w="0" w:type="dxa"/>
            <w:left w:w="108" w:type="dxa"/>
            <w:bottom w:w="0" w:type="dxa"/>
            <w:right w:w="108" w:type="dxa"/>
          </w:tblCellMar>
        </w:tblPrEx>
        <w:trPr>
          <w:trHeight w:val="0" w:hRule="atLeast"/>
        </w:trPr>
        <w:tc>
          <w:tcPr>
            <w:tcW w:w="96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132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书面形式：包括文字的打印或复印件、传真、信函、电传、电报、</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电子邮件、</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相关网站</w:t>
            </w:r>
            <w:r>
              <w:rPr>
                <w:rFonts w:hint="eastAsia" w:ascii="宋体" w:hAnsi="宋体" w:eastAsia="宋体" w:cs="宋体"/>
                <w:color w:val="000000" w:themeColor="text1"/>
                <w:sz w:val="24"/>
                <w:szCs w:val="24"/>
                <w:highlight w:val="none"/>
                <w14:textFill>
                  <w14:solidFill>
                    <w14:schemeClr w14:val="tx1"/>
                  </w14:solidFill>
                </w14:textFill>
              </w:rPr>
              <w:t>发布的公告</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等可以有形地表现所载内容的形式。</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36.3</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分包和非主体、非关键性工作</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允许，供应商根据采购文件载明的标的采购项目实际情况，拟在成交后将成交项目的非主体、非关键性工作交由他人完成的，应当在响应文件中载明。</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36.4</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多包成交规则</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分包采购的项目，供应商可以选择</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个包报价，但只能成交</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w:t>
            </w:r>
          </w:p>
          <w:p>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供应商可依照采购文件要求进行多个包报价。若所投多个包的报价排位均第一，由供应商自行选择其中</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个包成交；其他包参与报价排序，排序第一也不成交，成交顺延排序第二的供应商，以此类推。</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36.5</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监督</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采购人代表</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36.6</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相关费用</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代理费用收取方式及标准，采用以下方式：</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标准：按发改价格[2015]299号计取。</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本项目招标代理服务费：由中标供应商支付。</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36.7</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竞争性谈判文件费</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36.8</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根据“财政部 87 号令《政府采购货物服务招标投标管理办法》 ”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 货物、工程和服务的主营业务成本 (应根据供应商企业类型予以区别) 、税金及附加、 销售费用、管理费用、财务费用等成本构成事项详细陈述。</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36.9</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纸质版投标文件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pStyle w:val="1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评标结束后，</w:t>
            </w:r>
            <w:r>
              <w:rPr>
                <w:rFonts w:hint="eastAsia"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zh-CN"/>
                <w14:textFill>
                  <w14:solidFill>
                    <w14:schemeClr w14:val="tx1"/>
                  </w14:solidFill>
                </w14:textFill>
              </w:rPr>
              <w:t>单位须在一周内按</w:t>
            </w:r>
            <w:r>
              <w:rPr>
                <w:rFonts w:hint="eastAsia" w:ascii="宋体" w:hAnsi="宋体" w:eastAsia="宋体" w:cs="宋体"/>
                <w:color w:val="000000" w:themeColor="text1"/>
                <w:sz w:val="24"/>
                <w:szCs w:val="24"/>
                <w:highlight w:val="none"/>
                <w:lang w:val="en-US" w:eastAsia="zh-CN"/>
                <w14:textFill>
                  <w14:solidFill>
                    <w14:schemeClr w14:val="tx1"/>
                  </w14:solidFill>
                </w14:textFill>
              </w:rPr>
              <w:t>谈判</w:t>
            </w:r>
            <w:r>
              <w:rPr>
                <w:rFonts w:hint="eastAsia" w:ascii="宋体" w:hAnsi="宋体" w:eastAsia="宋体" w:cs="宋体"/>
                <w:color w:val="000000" w:themeColor="text1"/>
                <w:sz w:val="24"/>
                <w:szCs w:val="24"/>
                <w:highlight w:val="none"/>
                <w:lang w:val="zh-CN"/>
                <w14:textFill>
                  <w14:solidFill>
                    <w14:schemeClr w14:val="tx1"/>
                  </w14:solidFill>
                </w14:textFill>
              </w:rPr>
              <w:t>文件要求将纸质版投标文件递交至招标代理处</w:t>
            </w:r>
            <w:r>
              <w:rPr>
                <w:rFonts w:hint="eastAsia"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所产生的的费用投标单位自理 。纸质版投标文件可通过加密电子版投标文件打印生成，应当与电子版投标文件一致。</w:t>
            </w:r>
            <w:r>
              <w:rPr>
                <w:rFonts w:hint="eastAsia" w:hAnsi="宋体" w:cs="宋体"/>
                <w:color w:val="000000" w:themeColor="text1"/>
                <w:sz w:val="24"/>
                <w:szCs w:val="24"/>
                <w:highlight w:val="none"/>
                <w:lang w:val="zh-CN"/>
                <w14:textFill>
                  <w14:solidFill>
                    <w14:schemeClr w14:val="tx1"/>
                  </w14:solidFill>
                </w14:textFill>
              </w:rPr>
              <w:t>涉及二轮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报价，投标企业需提供二轮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报价的清单纸质版加盖公章。</w:t>
            </w:r>
            <w:r>
              <w:rPr>
                <w:rFonts w:hint="eastAsia" w:ascii="宋体" w:hAnsi="宋体" w:eastAsia="宋体" w:cs="宋体"/>
                <w:color w:val="000000" w:themeColor="text1"/>
                <w:sz w:val="24"/>
                <w:szCs w:val="24"/>
                <w:highlight w:val="none"/>
                <w:lang w:val="zh-CN"/>
                <w14:textFill>
                  <w14:solidFill>
                    <w14:schemeClr w14:val="tx1"/>
                  </w14:solidFill>
                </w14:textFill>
              </w:rPr>
              <w:t>【1、份数要求：正本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份、副本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份。2、装订要求：响应文件商务技术部分装订成一册，响应文件的装订须采用死页胶粘本。】</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8" w:name="_Toc464831128"/>
            <w:bookmarkStart w:id="29" w:name="_Toc7285"/>
            <w:r>
              <w:rPr>
                <w:rFonts w:hint="eastAsia" w:ascii="宋体" w:hAnsi="宋体" w:eastAsia="宋体" w:cs="宋体"/>
                <w:color w:val="000000" w:themeColor="text1"/>
                <w:sz w:val="24"/>
                <w:szCs w:val="24"/>
                <w:highlight w:val="none"/>
                <w:lang w:val="en-US" w:eastAsia="zh-CN"/>
                <w14:textFill>
                  <w14:solidFill>
                    <w14:schemeClr w14:val="tx1"/>
                  </w14:solidFill>
                </w14:textFill>
              </w:rPr>
              <w:t>36.10</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成交公示及签订合同</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pStyle w:val="10"/>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采购结果在</w:t>
            </w:r>
            <w:r>
              <w:rPr>
                <w:rFonts w:hint="eastAsia" w:ascii="宋体" w:hAnsi="宋体" w:eastAsia="宋体" w:cs="宋体"/>
                <w:color w:val="000000" w:themeColor="text1"/>
                <w:sz w:val="24"/>
                <w:szCs w:val="24"/>
                <w:highlight w:val="none"/>
                <w:lang w:val="zh-CN" w:eastAsia="zh-CN"/>
                <w14:textFill>
                  <w14:solidFill>
                    <w14:schemeClr w14:val="tx1"/>
                  </w14:solidFill>
                </w14:textFill>
              </w:rPr>
              <w:t>新疆政府采购网</w:t>
            </w:r>
            <w:r>
              <w:rPr>
                <w:rFonts w:hint="eastAsia" w:ascii="宋体" w:hAnsi="宋体" w:eastAsia="宋体" w:cs="宋体"/>
                <w:color w:val="000000" w:themeColor="text1"/>
                <w:sz w:val="24"/>
                <w:szCs w:val="24"/>
                <w:highlight w:val="none"/>
                <w:lang w:val="zh-CN"/>
                <w14:textFill>
                  <w14:solidFill>
                    <w14:schemeClr w14:val="tx1"/>
                  </w14:solidFill>
                </w14:textFill>
              </w:rPr>
              <w:t>发布成交公示。</w:t>
            </w:r>
          </w:p>
          <w:p>
            <w:pPr>
              <w:pStyle w:val="10"/>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w:t>
            </w:r>
            <w:r>
              <w:rPr>
                <w:rFonts w:hint="eastAsia" w:ascii="宋体" w:hAnsi="宋体" w:eastAsia="宋体" w:cs="宋体"/>
                <w:color w:val="000000" w:themeColor="text1"/>
                <w:sz w:val="24"/>
                <w:szCs w:val="24"/>
                <w:highlight w:val="none"/>
                <w:lang w:val="zh-CN"/>
                <w14:textFill>
                  <w14:solidFill>
                    <w14:schemeClr w14:val="tx1"/>
                  </w14:solidFill>
                </w14:textFill>
              </w:rPr>
              <w:t>应自</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w:t>
            </w:r>
            <w:r>
              <w:rPr>
                <w:rFonts w:hint="eastAsia" w:ascii="宋体" w:hAnsi="宋体" w:eastAsia="宋体" w:cs="宋体"/>
                <w:color w:val="000000" w:themeColor="text1"/>
                <w:sz w:val="24"/>
                <w:szCs w:val="24"/>
                <w:highlight w:val="none"/>
                <w:lang w:val="zh-CN"/>
                <w14:textFill>
                  <w14:solidFill>
                    <w14:schemeClr w14:val="tx1"/>
                  </w14:solidFill>
                </w14:textFill>
              </w:rPr>
              <w:t>通知书发出后</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日内与采购人签订合同。</w:t>
            </w:r>
          </w:p>
        </w:tc>
      </w:tr>
      <w:tr>
        <w:tblPrEx>
          <w:tblCellMar>
            <w:top w:w="0" w:type="dxa"/>
            <w:left w:w="108" w:type="dxa"/>
            <w:bottom w:w="0" w:type="dxa"/>
            <w:right w:w="108" w:type="dxa"/>
          </w:tblCellMar>
        </w:tblPrEx>
        <w:trPr>
          <w:trHeight w:val="0" w:hRule="atLeast"/>
        </w:trPr>
        <w:tc>
          <w:tcPr>
            <w:tcW w:w="967" w:type="dxa"/>
            <w:tcBorders>
              <w:top w:val="single" w:color="auto" w:sz="4" w:space="0"/>
              <w:left w:val="single" w:color="auto" w:sz="4" w:space="0"/>
              <w:bottom w:val="single" w:color="auto" w:sz="4" w:space="0"/>
              <w:right w:val="single" w:color="auto" w:sz="4" w:space="0"/>
            </w:tcBorders>
            <w:noWrap w:val="0"/>
            <w:vAlign w:val="center"/>
          </w:tcPr>
          <w:p>
            <w:pPr>
              <w:numPr>
                <w:ilvl w:val="0"/>
                <w:numId w:val="0"/>
              </w:numPr>
              <w:ind w:left="0" w:leftChars="0"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bookmarkStart w:id="30" w:name="_Toc21160"/>
            <w:bookmarkStart w:id="31" w:name="_Toc29517"/>
            <w:bookmarkStart w:id="32" w:name="_Toc12585"/>
            <w:bookmarkStart w:id="33" w:name="_Toc6355"/>
            <w:bookmarkStart w:id="34" w:name="_Toc26216"/>
            <w:bookmarkStart w:id="35" w:name="_Toc16527"/>
            <w:bookmarkStart w:id="36" w:name="_Toc4196"/>
            <w:r>
              <w:rPr>
                <w:rFonts w:hint="eastAsia" w:ascii="宋体" w:hAnsi="宋体" w:cs="宋体"/>
                <w:color w:val="000000" w:themeColor="text1"/>
                <w:sz w:val="24"/>
                <w:szCs w:val="24"/>
                <w:highlight w:val="none"/>
                <w:lang w:val="en-US" w:eastAsia="zh-CN"/>
                <w14:textFill>
                  <w14:solidFill>
                    <w14:schemeClr w14:val="tx1"/>
                  </w14:solidFill>
                </w14:textFill>
              </w:rPr>
              <w:t>36.11</w:t>
            </w:r>
          </w:p>
        </w:tc>
        <w:tc>
          <w:tcPr>
            <w:tcW w:w="132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其他</w:t>
            </w:r>
          </w:p>
        </w:tc>
        <w:tc>
          <w:tcPr>
            <w:tcW w:w="7318" w:type="dxa"/>
            <w:tcBorders>
              <w:top w:val="single" w:color="auto" w:sz="4" w:space="0"/>
              <w:left w:val="single" w:color="auto" w:sz="4" w:space="0"/>
              <w:bottom w:val="single" w:color="auto" w:sz="4" w:space="0"/>
              <w:right w:val="single" w:color="auto" w:sz="4" w:space="0"/>
            </w:tcBorders>
            <w:noWrap w:val="0"/>
            <w:vAlign w:val="center"/>
          </w:tcPr>
          <w:p>
            <w:pPr>
              <w:pStyle w:val="10"/>
              <w:numPr>
                <w:ilvl w:val="0"/>
                <w:numId w:val="0"/>
              </w:numP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1、其他要求：</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外省企业进疆从事建筑活动，应登录新疆工程建设云（ http://jsy.xjjs.gov.cn/dataservice/index）注册报送企业基本信息和人员信息，其项目人员为信息报送册注册人员，并在投标文件中提供进</w:t>
            </w:r>
            <w:r>
              <w:rPr>
                <w:rFonts w:hint="eastAsia" w:hAnsi="宋体" w:cs="宋体"/>
                <w:color w:val="000000" w:themeColor="text1"/>
                <w:kern w:val="2"/>
                <w:sz w:val="24"/>
                <w:szCs w:val="24"/>
                <w:highlight w:val="none"/>
                <w:lang w:val="en-US" w:eastAsia="zh-CN" w:bidi="ar-SA"/>
                <w14:textFill>
                  <w14:solidFill>
                    <w14:schemeClr w14:val="tx1"/>
                  </w14:solidFill>
                </w14:textFill>
              </w:rPr>
              <w:t>疆</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备案册。并且在人员、设备、资金等方面具有相应的施工能力。</w:t>
            </w:r>
          </w:p>
          <w:p>
            <w:pPr>
              <w:pStyle w:val="10"/>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1</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项目负责人需为本单位注册（本工程不接受临时注册建造师）；否则投标文件将被拒绝。</w:t>
            </w:r>
          </w:p>
          <w:p>
            <w:pPr>
              <w:pStyle w:val="10"/>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2</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投标企业资质及相关从业人员的各类资质 (资格) 均以投标企业标书中提供的证书为准（若有延期需将延期证明材料一并放入投标书中），若为疆外企业，应提交《新疆维吾尔自治区</w:t>
            </w:r>
            <w:r>
              <w:rPr>
                <w:rFonts w:hint="eastAsia" w:hAnsi="宋体" w:cs="宋体"/>
                <w:color w:val="000000" w:themeColor="text1"/>
                <w:kern w:val="2"/>
                <w:sz w:val="24"/>
                <w:szCs w:val="24"/>
                <w:highlight w:val="none"/>
                <w:lang w:val="en-US" w:eastAsia="zh-CN" w:bidi="ar-SA"/>
                <w14:textFill>
                  <w14:solidFill>
                    <w14:schemeClr w14:val="tx1"/>
                  </w14:solidFill>
                </w14:textFill>
              </w:rPr>
              <w:t>疆</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外建设工程企业信息登记册》，且企业及人员信息已在新疆建设云上报送通过，相关信息未审核通过的，以否决投标处理。</w:t>
            </w:r>
          </w:p>
          <w:p>
            <w:pPr>
              <w:shd w:val="clea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3</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人员要求：项目负责人：1 人 须具备</w:t>
            </w:r>
            <w:r>
              <w:rPr>
                <w:rFonts w:hint="eastAsia" w:hAnsi="宋体" w:cs="宋体"/>
                <w:color w:val="000000" w:themeColor="text1"/>
                <w:kern w:val="2"/>
                <w:sz w:val="24"/>
                <w:szCs w:val="24"/>
                <w:highlight w:val="none"/>
                <w:lang w:val="en-US" w:eastAsia="zh-CN" w:bidi="ar-SA"/>
                <w14:textFill>
                  <w14:solidFill>
                    <w14:schemeClr w14:val="tx1"/>
                  </w14:solidFill>
                </w14:textFill>
              </w:rPr>
              <w:t>建筑</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工程专业注册建造师二级（含）以上具有有效的安全生产考核合格 B证，且不得担任其他在建工程项目的项目负责人；技术负责人：1 人 具有中级工程师职称</w:t>
            </w:r>
            <w:r>
              <w:rPr>
                <w:rFonts w:hint="eastAsia" w:ascii="宋体" w:hAnsi="宋体" w:eastAsia="宋体" w:cs="宋体"/>
                <w:color w:val="auto"/>
                <w:kern w:val="2"/>
                <w:sz w:val="24"/>
                <w:szCs w:val="24"/>
                <w:highlight w:val="none"/>
                <w:lang w:val="zh-CN" w:eastAsia="zh-CN" w:bidi="ar-SA"/>
              </w:rPr>
              <w:t>（</w:t>
            </w:r>
            <w:r>
              <w:rPr>
                <w:rFonts w:hint="eastAsia" w:hAnsi="宋体" w:cs="宋体"/>
                <w:color w:val="auto"/>
                <w:kern w:val="2"/>
                <w:sz w:val="24"/>
                <w:szCs w:val="24"/>
                <w:highlight w:val="none"/>
                <w:lang w:val="en-US" w:eastAsia="zh-CN" w:bidi="ar-SA"/>
              </w:rPr>
              <w:t>建筑</w:t>
            </w:r>
            <w:r>
              <w:rPr>
                <w:rFonts w:hint="eastAsia" w:ascii="宋体" w:hAnsi="宋体" w:eastAsia="宋体" w:cs="宋体"/>
                <w:color w:val="auto"/>
                <w:kern w:val="2"/>
                <w:sz w:val="24"/>
                <w:szCs w:val="24"/>
                <w:highlight w:val="none"/>
                <w:lang w:val="zh-CN" w:eastAsia="zh-CN" w:bidi="ar-SA"/>
              </w:rPr>
              <w:t>专</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业）；技术负责人不得由项目负责人兼任；施工员：1 人 必须具备岗位证书；质检员：1 人 必须具备岗位证书；安全员：1 人 必须具备安全生产考核合格 C 证；标准员：1 人 必须具备岗位证书；机械员：1人必须具备岗位证书； 材料员：1 人</w:t>
            </w:r>
            <w:r>
              <w:rPr>
                <w:rFonts w:hint="eastAsia" w:hAnsi="宋体" w:cs="宋体"/>
                <w:color w:val="000000" w:themeColor="text1"/>
                <w:kern w:val="2"/>
                <w:sz w:val="24"/>
                <w:szCs w:val="24"/>
                <w:highlight w:val="none"/>
                <w:lang w:val="en-US" w:eastAsia="zh-CN" w:bidi="ar-SA"/>
                <w14:textFill>
                  <w14:solidFill>
                    <w14:schemeClr w14:val="tx1"/>
                  </w14:solidFill>
                </w14:textFill>
              </w:rPr>
              <w:t xml:space="preserve"> </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必须具备岗位证书；劳务员：1 人 必须具备岗位证书；资料员：1 人 必须具备岗位证书； 注册造价师：1 人 必须具备注册造价师资格证书（具备二级及以上注册证书）。 注：以上配备的所有人员均需提供社保部门出具的近一个月缴纳社保证明（缴纳社保的个人明细表）及和本公司签订的劳务合同（原件扫描件）</w:t>
            </w:r>
            <w:r>
              <w:rPr>
                <w:rFonts w:hint="eastAsia" w:hAnsi="宋体" w:cs="宋体"/>
                <w:color w:val="000000" w:themeColor="text1"/>
                <w:kern w:val="2"/>
                <w:sz w:val="24"/>
                <w:szCs w:val="24"/>
                <w:highlight w:val="none"/>
                <w:lang w:val="en-US" w:eastAsia="zh-CN" w:bidi="ar-SA"/>
                <w14:textFill>
                  <w14:solidFill>
                    <w14:schemeClr w14:val="tx1"/>
                  </w14:solidFill>
                </w14:textFill>
              </w:rPr>
              <w:t>且不得在其他在建项目上担任任何岗位（并附无在建项目承诺书，格式自拟），否则以否决投标处理，敬请注意！</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以上人员均需在建设云可查询。</w:t>
            </w:r>
          </w:p>
          <w:p>
            <w:pPr>
              <w:shd w:val="clea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hAnsi="宋体" w:cs="宋体"/>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业绩要求：</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企业近三年承担过 1 项</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业绩；（近三年指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月至今以工程竣工验收报告落款时间为准的中标通知书或发包通知书、施工合同（第一部分，内容齐全、信息完整）及完整的竣工验收报告的原件扫描件，施工许可证的原件扫描件或复印件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（2）与工程建设规模相似、结构类型、使用功能相同的工程项目，具体指标按照国家和自治区有关规定执行。</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拟任项目负责人（项目经理）近三年承担过 1 项</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年</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 </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3</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月至今以工程竣工验收报告落款时间为准的中标通知书或发包通知书、施工合同（第一部分，内容齐全、信息完整）及完整的竣工验收报告的原件扫描件，施工许可证的原件扫描件或复印件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且业绩证明材料须反映出项目负责人；（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4</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）与工程建设规模相似、结构类型、使用功能相同的工程项目，具体指标按照国家和自治区有关规定执行。</w:t>
            </w:r>
          </w:p>
          <w:p>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color w:val="000000" w:themeColor="text1"/>
                <w:kern w:val="2"/>
                <w:sz w:val="24"/>
                <w:szCs w:val="24"/>
                <w:highlight w:val="none"/>
                <w:lang w:val="en-US" w:eastAsia="zh-CN" w:bidi="ar-SA"/>
                <w14:textFill>
                  <w14:solidFill>
                    <w14:schemeClr w14:val="tx1"/>
                  </w14:solidFill>
                </w14:textFill>
              </w:rPr>
              <w:t>3、信誉要求：</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1、具有良好的社会信誉，最近三年内没有因工程有关的诉讼和仲裁（败诉）；2、近 3 年内没有发生过重大质量和安全事故；3、没有拖欠农民工工资的事件或事实；4、近三年在执行合同中没有被逐或违约的行为；5、投标企业无“黑名单”等不良记录。</w:t>
            </w:r>
          </w:p>
          <w:p>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color w:val="000000" w:themeColor="text1"/>
                <w:kern w:val="2"/>
                <w:sz w:val="24"/>
                <w:szCs w:val="24"/>
                <w:highlight w:val="none"/>
                <w:lang w:val="en-US" w:eastAsia="zh-CN" w:bidi="ar-SA"/>
                <w14:textFill>
                  <w14:solidFill>
                    <w14:schemeClr w14:val="tx1"/>
                  </w14:solidFill>
                </w14:textFill>
              </w:rPr>
              <w:t>4、</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投标单位一旦中标必须按投标文件所提供的人员备案，并实际参与管理，招标人将对以上人员进行考勤，未经招标人及相关主管部门允许不得更换以上人员。</w:t>
            </w:r>
          </w:p>
          <w:p>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val="0"/>
                <w:bCs/>
                <w:color w:val="000000" w:themeColor="text1"/>
                <w:kern w:val="2"/>
                <w:sz w:val="24"/>
                <w:szCs w:val="24"/>
                <w:highlight w:val="none"/>
                <w:lang w:val="en-US" w:eastAsia="zh-CN" w:bidi="ar-SA"/>
                <w14:textFill>
                  <w14:solidFill>
                    <w14:schemeClr w14:val="tx1"/>
                  </w14:solidFill>
                </w14:textFill>
              </w:rPr>
              <w:t>5、关于中标后变更项目经理（总监）及班子人员的要求：</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施工合同签订后，合同中确定的项目经理及班子人员应当全面履行合同约定的义务，除有下列情形之一外，不得随意更换：（1）因自身原因导致工程项目发生重大质量、安全事故的；（2）有违法、违规、违纪行为，被暂停或吊销担任项目经理资格的；（3）不能胜任所承担的工程任务，发包人要求更换的；（4）变更工作单位的；（5）罹患严重疾病需要治疗或者修养，时间在一个月以上或者超过合同工期二分之一以上的（以上情况之一必须提供印证材料）；被换人必须符合招标文件投标人须知所有条款（提供有关印证资料、如提供弄虚作假的印证资料按有关法律法规严肃处理）。</w:t>
            </w:r>
          </w:p>
          <w:p>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6、①与招标人存在利害关系可能影响招标公正性的法人、其他组织或者个人，不得参加投标；②单位负责人为同一人或者存在控股、管理关系的不同单位，不得参加同一标段投标或者未划分 标段的同一招标项目投标，违反前两款规定的，相关投标均无效。</w:t>
            </w:r>
          </w:p>
          <w:p>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7、投标人均非处于被责令停业，财产被接管、冻结、破产状态。</w:t>
            </w:r>
          </w:p>
          <w:p>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8、</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投标文件中出现危害国家利益或不符合有关法律法规的投标人作否决投标处理。</w:t>
            </w:r>
          </w:p>
          <w:p>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9</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、当投标须知前附表与后续内容不一致时，以投标须知前附表为准。</w:t>
            </w:r>
          </w:p>
        </w:tc>
      </w:tr>
    </w:tbl>
    <w:p>
      <w:pPr>
        <w:spacing w:after="156" w:afterLines="50"/>
        <w:jc w:val="both"/>
        <w:outlineLvl w:val="1"/>
        <w:rPr>
          <w:rFonts w:hint="eastAsia" w:ascii="宋体" w:hAnsi="宋体" w:eastAsia="宋体" w:cs="宋体"/>
          <w:color w:val="000000" w:themeColor="text1"/>
          <w:sz w:val="28"/>
          <w:szCs w:val="28"/>
          <w:highlight w:val="none"/>
          <w14:textFill>
            <w14:solidFill>
              <w14:schemeClr w14:val="tx1"/>
            </w14:solidFill>
          </w14:textFill>
        </w:rPr>
      </w:pPr>
    </w:p>
    <w:p>
      <w:pPr>
        <w:spacing w:after="156" w:afterLines="50"/>
        <w:jc w:val="center"/>
        <w:outlineLvl w:val="1"/>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供应商须知</w:t>
      </w:r>
      <w:bookmarkEnd w:id="28"/>
      <w:bookmarkEnd w:id="29"/>
      <w:bookmarkEnd w:id="30"/>
      <w:bookmarkEnd w:id="31"/>
      <w:bookmarkEnd w:id="32"/>
      <w:bookmarkEnd w:id="33"/>
      <w:bookmarkEnd w:id="34"/>
      <w:bookmarkEnd w:id="35"/>
      <w:bookmarkEnd w:id="36"/>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37" w:name="_Toc25840"/>
      <w:bookmarkStart w:id="38" w:name="_Toc1160"/>
      <w:bookmarkStart w:id="39" w:name="_Toc464831129"/>
      <w:bookmarkStart w:id="40" w:name="_Toc20033"/>
      <w:bookmarkStart w:id="41" w:name="_Toc13851"/>
      <w:bookmarkStart w:id="42" w:name="_Toc16423"/>
      <w:bookmarkStart w:id="43" w:name="_Toc29915"/>
      <w:bookmarkStart w:id="44" w:name="_Toc26123"/>
      <w:r>
        <w:rPr>
          <w:rFonts w:hint="eastAsia" w:ascii="宋体" w:hAnsi="宋体" w:eastAsia="宋体" w:cs="宋体"/>
          <w:color w:val="000000" w:themeColor="text1"/>
          <w:sz w:val="24"/>
          <w:szCs w:val="24"/>
          <w:highlight w:val="none"/>
          <w14:textFill>
            <w14:solidFill>
              <w14:schemeClr w14:val="tx1"/>
            </w14:solidFill>
          </w14:textFill>
        </w:rPr>
        <w:t>1.采购依据以及原则</w:t>
      </w:r>
      <w:bookmarkEnd w:id="37"/>
      <w:bookmarkEnd w:id="38"/>
      <w:bookmarkEnd w:id="39"/>
      <w:bookmarkEnd w:id="40"/>
      <w:bookmarkEnd w:id="41"/>
      <w:bookmarkEnd w:id="42"/>
      <w:bookmarkEnd w:id="43"/>
      <w:bookmarkEnd w:id="44"/>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1.1《中华人民共和国政府采购法》；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1.2《中华人民共和国合同法》；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1.3《中华人民共和国政府采购法实施条例》；</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1.4《政府采购非招标采购方式管理办法》；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1.5《政府采购供应商投诉处理办法》；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其他有关法律、行政法规以及省市规范性文件规定。</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45" w:name="_Toc11642"/>
      <w:bookmarkStart w:id="46" w:name="_Toc25545"/>
      <w:bookmarkStart w:id="47" w:name="_Toc15374"/>
      <w:bookmarkStart w:id="48" w:name="_Toc6751"/>
      <w:bookmarkStart w:id="49" w:name="_Toc4256"/>
      <w:bookmarkStart w:id="50" w:name="_Toc19794"/>
      <w:bookmarkStart w:id="51" w:name="_Toc14213"/>
      <w:bookmarkStart w:id="52" w:name="_Toc464831130"/>
      <w:bookmarkStart w:id="53" w:name="_Toc464831131"/>
      <w:r>
        <w:rPr>
          <w:rFonts w:hint="eastAsia" w:ascii="宋体" w:hAnsi="宋体" w:eastAsia="宋体" w:cs="宋体"/>
          <w:color w:val="000000" w:themeColor="text1"/>
          <w:sz w:val="24"/>
          <w:szCs w:val="24"/>
          <w:highlight w:val="none"/>
          <w14:textFill>
            <w14:solidFill>
              <w14:schemeClr w14:val="tx1"/>
            </w14:solidFill>
          </w14:textFill>
        </w:rPr>
        <w:t>2.合格的供应商</w:t>
      </w:r>
      <w:bookmarkEnd w:id="45"/>
      <w:bookmarkEnd w:id="46"/>
      <w:bookmarkEnd w:id="47"/>
      <w:bookmarkEnd w:id="48"/>
      <w:bookmarkEnd w:id="49"/>
      <w:bookmarkEnd w:id="50"/>
      <w:bookmarkEnd w:id="51"/>
      <w:bookmarkEnd w:id="5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2.1符合《中华人民共和国政府采购法》第二十二条第一款规定的条件；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2.2符合本采购文件规定的资格要求，且按照要求提供相关证明材料；</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2.3单位负责人为同一人或者存在直接控股、管理关系的不同供应商，不得参加同一合同项下的政府采购活动。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2.4供应商资格要求中，代理商须提供产品制造商针对本项目的唯一授权的，同一品牌的同品目产品，只允许一个供应商参加报价；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2.5供应商须知前附表规定接受联合体报价的，应符合以下规定：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2.5.1联合体各方应按照采购文件提供的格式签订联合体协议书，明确联合体牵头人和各方权利义务；</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2.5.2联合体各方均应当符合《政府采购法》第二十二条第一款规定的条件；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2.5.3联合体中有同类资质的供应商按照联合体分工承担相同工作的，应当按照资质等级较低的供应商确定资质等级。</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2.5.4以联合体形式参加政府采购活动的，联合体各方不得再单独参加或者与其他供应商另外组成联合体参加同一合同项下的政府采购活动。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2.5.5联合体各方应当共同与采购人签订采购合同，就合同约定的事项对采购人承担连带责任。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2.5.6鼓励大中型企业和其他自然人、法人或者其他组织与小型、微型企业组成联合体报价，但联合体各方均应符合上述规定。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2.6除采购人拟采购进口产品通过财政部门审核外，供应商不得提供直接进口或者委托进口产品（包括已进入中国境内的进口产品）。</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2.7为采购项目提供整体设计、规范编制或者项目管理、监理、检测等服务的供应商，不得再参加该采购项目的其他采购活动。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2.8供应商提供的证明材料内容必须真实可靠。</w:t>
      </w:r>
    </w:p>
    <w:p>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符合上述条件的供应商即为合格供应商，具有参与竞争性谈判的资格。</w:t>
      </w:r>
    </w:p>
    <w:bookmarkEnd w:id="53"/>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54" w:name="_Toc29608"/>
      <w:bookmarkStart w:id="55" w:name="_Toc509"/>
      <w:bookmarkStart w:id="56" w:name="_Toc15717"/>
      <w:bookmarkStart w:id="57" w:name="_Toc28858"/>
      <w:bookmarkStart w:id="58" w:name="_Toc28586"/>
      <w:bookmarkStart w:id="59" w:name="_Toc20271"/>
      <w:bookmarkStart w:id="60" w:name="_Toc24539"/>
      <w:bookmarkStart w:id="61" w:name="_Toc464831132"/>
      <w:r>
        <w:rPr>
          <w:rFonts w:hint="eastAsia" w:ascii="宋体" w:hAnsi="宋体" w:eastAsia="宋体" w:cs="宋体"/>
          <w:color w:val="000000" w:themeColor="text1"/>
          <w:sz w:val="24"/>
          <w:szCs w:val="24"/>
          <w:highlight w:val="none"/>
          <w14:textFill>
            <w14:solidFill>
              <w14:schemeClr w14:val="tx1"/>
            </w14:solidFill>
          </w14:textFill>
        </w:rPr>
        <w:t>3.保密</w:t>
      </w:r>
      <w:bookmarkEnd w:id="54"/>
      <w:bookmarkEnd w:id="55"/>
      <w:bookmarkEnd w:id="56"/>
      <w:bookmarkEnd w:id="57"/>
      <w:bookmarkEnd w:id="58"/>
      <w:bookmarkEnd w:id="59"/>
      <w:bookmarkEnd w:id="60"/>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参与竞争性谈判活动的当事人应对采购文件和响应文件中的商业和技术等秘密保密，违者应对由此造成的后果承担法律责任。</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2" w:name="_Toc1274"/>
      <w:bookmarkStart w:id="63" w:name="_Toc6962"/>
      <w:bookmarkStart w:id="64" w:name="_Toc12609"/>
      <w:bookmarkStart w:id="65" w:name="_Toc28125"/>
      <w:bookmarkStart w:id="66" w:name="_Toc26963"/>
      <w:bookmarkStart w:id="67" w:name="_Toc31513"/>
      <w:bookmarkStart w:id="68" w:name="_Toc12085"/>
      <w:r>
        <w:rPr>
          <w:rFonts w:hint="eastAsia" w:ascii="宋体" w:hAnsi="宋体" w:eastAsia="宋体" w:cs="宋体"/>
          <w:color w:val="000000" w:themeColor="text1"/>
          <w:sz w:val="24"/>
          <w:szCs w:val="24"/>
          <w:highlight w:val="none"/>
          <w14:textFill>
            <w14:solidFill>
              <w14:schemeClr w14:val="tx1"/>
            </w14:solidFill>
          </w14:textFill>
        </w:rPr>
        <w:t>4.语言文字、计量单位、时间单位、报价有效期以及参与采购活动费用</w:t>
      </w:r>
      <w:bookmarkEnd w:id="61"/>
      <w:bookmarkEnd w:id="62"/>
      <w:bookmarkEnd w:id="63"/>
      <w:bookmarkEnd w:id="64"/>
      <w:bookmarkEnd w:id="65"/>
      <w:bookmarkEnd w:id="66"/>
      <w:bookmarkEnd w:id="67"/>
      <w:bookmarkEnd w:id="68"/>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4.1语言文字</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专用术语外，与竞争性谈判活动有关的语言均使用简体中文。必要时专用术语应附有中文注释。如供应商提交的支持文件和印刷的文献使用另一种语言，应附有相应内容的中文翻译本，在解释响应文件时以中文翻译本为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4.2计量单位</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除采购文件另有规定外，计量均应采用中华人民共和国法定计量单位；所有报价一律使用人民币，货币单位为“元”。</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4.3时间单位</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除采购文件中另有规定外，采购文件所使用的时间单位“天”、“日”均指日历天，时、分均为北京时间。</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4.4报价有效期</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4.4.1在供应商须知前附表规定的报价有效期内，响应文件以及其补充、承诺等部分均保持有效。</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4.4.2在采购文件规定的响应文件有效期满之前，如果出现特殊情况，采购人或者采购代理机构可在报价有效期内要求供应商延长有效期，要求与答复均以书面通知为准并作为采购文件和响应文件的组成部分；供应商可以拒绝上述要求而其保证金不被没收，拒绝延长响应文件有效期的，其响应失效；同意上述要求的，既不能要求也不允许其修改响应文件，有关退还和没收保证金的规定在报价有效期的延长期内继续有效。</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4.5参与采购活动费用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供应商应自行承担其准备和参加采购活动发生的所有费用。</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9" w:name="_Toc13533"/>
      <w:bookmarkStart w:id="70" w:name="_Toc18894"/>
      <w:bookmarkStart w:id="71" w:name="_Toc14681"/>
      <w:bookmarkStart w:id="72" w:name="_Toc464831133"/>
      <w:bookmarkStart w:id="73" w:name="_Toc5772"/>
      <w:bookmarkStart w:id="74" w:name="_Toc24480"/>
      <w:bookmarkStart w:id="75" w:name="_Toc28223"/>
      <w:bookmarkStart w:id="76" w:name="_Toc20355"/>
      <w:r>
        <w:rPr>
          <w:rFonts w:hint="eastAsia" w:ascii="宋体" w:hAnsi="宋体" w:eastAsia="宋体" w:cs="宋体"/>
          <w:color w:val="000000" w:themeColor="text1"/>
          <w:sz w:val="24"/>
          <w:szCs w:val="24"/>
          <w:highlight w:val="none"/>
          <w14:textFill>
            <w14:solidFill>
              <w14:schemeClr w14:val="tx1"/>
            </w14:solidFill>
          </w14:textFill>
        </w:rPr>
        <w:t>5.踏勘现场</w:t>
      </w:r>
      <w:bookmarkEnd w:id="69"/>
      <w:bookmarkEnd w:id="70"/>
      <w:bookmarkEnd w:id="71"/>
      <w:bookmarkEnd w:id="72"/>
      <w:bookmarkEnd w:id="73"/>
      <w:bookmarkEnd w:id="74"/>
      <w:bookmarkEnd w:id="75"/>
      <w:bookmarkEnd w:id="76"/>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5.1供应商须知前附表规定组织踏勘现场的，采购人必须按照规定时间、地点组织供应商踏勘项目现场，以便供应商获取有关编制响应文件和签署合同所涉及现场的资料。供应商承担踏勘现场所发生的自身费用。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5.2采购人向供应商提供的有关现场的资料和数据，是采购人现有的能使供应商利用的资料，采购人对供应商由此而做出的推论、理解和结论不负责任。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5.3供应商经过采购人允许，可以进入项目现场踏勘，但不得因此使采购人承担有关责任和蒙受损失。除采购人原因外，供应商应对踏勘现场而造成的死亡、人身伤害、财产损失、损害以及其它任何损失、损害和引起的费用和开支承担责任。</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77" w:name="_Toc21541"/>
      <w:bookmarkStart w:id="78" w:name="_Toc464831134"/>
      <w:bookmarkStart w:id="79" w:name="_Toc27145"/>
      <w:bookmarkStart w:id="80" w:name="_Toc7191"/>
      <w:bookmarkStart w:id="81" w:name="_Toc10002"/>
      <w:bookmarkStart w:id="82" w:name="_Toc24753"/>
      <w:bookmarkStart w:id="83" w:name="_Toc14997"/>
      <w:bookmarkStart w:id="84" w:name="_Toc8820"/>
      <w:r>
        <w:rPr>
          <w:rFonts w:hint="eastAsia" w:ascii="宋体" w:hAnsi="宋体" w:eastAsia="宋体" w:cs="宋体"/>
          <w:color w:val="000000" w:themeColor="text1"/>
          <w:sz w:val="24"/>
          <w:szCs w:val="24"/>
          <w:highlight w:val="none"/>
          <w14:textFill>
            <w14:solidFill>
              <w14:schemeClr w14:val="tx1"/>
            </w14:solidFill>
          </w14:textFill>
        </w:rPr>
        <w:t>6.询问</w:t>
      </w:r>
      <w:bookmarkEnd w:id="77"/>
      <w:bookmarkEnd w:id="78"/>
      <w:bookmarkEnd w:id="79"/>
      <w:bookmarkEnd w:id="80"/>
      <w:bookmarkEnd w:id="81"/>
      <w:bookmarkEnd w:id="82"/>
      <w:bookmarkEnd w:id="83"/>
      <w:bookmarkEnd w:id="84"/>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6.1供应商对竞争性谈判活动事项有疑问的，可以向采购代理机构提出询问；采购代理机构应当及时作出答复，但答复的内容不得涉及商业秘密。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6.2询问及答复既可以采取书面形式，也可以采取电话、面谈等口头方式。</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85" w:name="_Toc652"/>
      <w:bookmarkStart w:id="86" w:name="_Toc12981"/>
      <w:bookmarkStart w:id="87" w:name="_Toc11639"/>
      <w:bookmarkStart w:id="88" w:name="_Toc28453"/>
      <w:bookmarkStart w:id="89" w:name="_Toc5404"/>
      <w:bookmarkStart w:id="90" w:name="_Toc15538"/>
      <w:bookmarkStart w:id="91" w:name="_Toc3969"/>
      <w:bookmarkStart w:id="92" w:name="_Toc464831135"/>
      <w:r>
        <w:rPr>
          <w:rFonts w:hint="eastAsia" w:ascii="宋体" w:hAnsi="宋体" w:eastAsia="宋体" w:cs="宋体"/>
          <w:color w:val="000000" w:themeColor="text1"/>
          <w:sz w:val="24"/>
          <w:szCs w:val="24"/>
          <w:highlight w:val="none"/>
          <w14:textFill>
            <w14:solidFill>
              <w14:schemeClr w14:val="tx1"/>
            </w14:solidFill>
          </w14:textFill>
        </w:rPr>
        <w:t>7.偏离</w:t>
      </w:r>
      <w:bookmarkEnd w:id="85"/>
      <w:bookmarkEnd w:id="86"/>
      <w:bookmarkEnd w:id="87"/>
      <w:bookmarkEnd w:id="88"/>
      <w:bookmarkEnd w:id="89"/>
      <w:bookmarkEnd w:id="90"/>
      <w:bookmarkEnd w:id="91"/>
      <w:bookmarkEnd w:id="9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采购人允许响应文件偏离采购文件某些非实质性要求的，偏离应当</w:t>
      </w:r>
      <w:r>
        <w:rPr>
          <w:rFonts w:hint="eastAsia" w:ascii="宋体" w:hAnsi="宋体" w:eastAsia="宋体" w:cs="宋体"/>
          <w:color w:val="000000" w:themeColor="text1"/>
          <w:sz w:val="24"/>
          <w:szCs w:val="24"/>
          <w:highlight w:val="none"/>
          <w:lang w:eastAsia="zh-CN"/>
          <w14:textFill>
            <w14:solidFill>
              <w14:schemeClr w14:val="tx1"/>
            </w14:solidFill>
          </w14:textFill>
        </w:rPr>
        <w:t>超过采购参数的正向偏离</w:t>
      </w:r>
      <w:r>
        <w:rPr>
          <w:rFonts w:hint="eastAsia" w:ascii="宋体" w:hAnsi="宋体" w:eastAsia="宋体" w:cs="宋体"/>
          <w:color w:val="000000" w:themeColor="text1"/>
          <w:sz w:val="24"/>
          <w:szCs w:val="24"/>
          <w:highlight w:val="none"/>
          <w14:textFill>
            <w14:solidFill>
              <w14:schemeClr w14:val="tx1"/>
            </w14:solidFill>
          </w14:textFill>
        </w:rPr>
        <w:t>。</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93" w:name="_Toc14439"/>
      <w:bookmarkStart w:id="94" w:name="_Toc29083"/>
      <w:bookmarkStart w:id="95" w:name="_Toc19195"/>
      <w:bookmarkStart w:id="96" w:name="_Toc464831136"/>
      <w:bookmarkStart w:id="97" w:name="_Toc29577"/>
      <w:bookmarkStart w:id="98" w:name="_Toc2215"/>
      <w:bookmarkStart w:id="99" w:name="_Toc19490"/>
      <w:bookmarkStart w:id="100" w:name="_Toc14579"/>
      <w:r>
        <w:rPr>
          <w:rFonts w:hint="eastAsia" w:ascii="宋体" w:hAnsi="宋体" w:eastAsia="宋体" w:cs="宋体"/>
          <w:color w:val="000000" w:themeColor="text1"/>
          <w:sz w:val="24"/>
          <w:szCs w:val="24"/>
          <w:highlight w:val="none"/>
          <w14:textFill>
            <w14:solidFill>
              <w14:schemeClr w14:val="tx1"/>
            </w14:solidFill>
          </w14:textFill>
        </w:rPr>
        <w:t>8.履约担保</w:t>
      </w:r>
      <w:bookmarkEnd w:id="93"/>
      <w:bookmarkEnd w:id="94"/>
      <w:bookmarkEnd w:id="95"/>
      <w:bookmarkEnd w:id="96"/>
      <w:bookmarkEnd w:id="97"/>
      <w:bookmarkEnd w:id="98"/>
      <w:bookmarkEnd w:id="99"/>
      <w:bookmarkEnd w:id="100"/>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8.1履约担保的形式： 对公转账、银行保函等（按招标人同意的方式缴纳）  </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履约担保的金额： 合同总价的10%。</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1" w:name="_Toc12759"/>
      <w:bookmarkStart w:id="102" w:name="_Toc11991"/>
      <w:bookmarkStart w:id="103" w:name="_Toc32525"/>
      <w:bookmarkStart w:id="104" w:name="_Toc15763"/>
      <w:bookmarkStart w:id="105" w:name="_Toc28565"/>
      <w:bookmarkStart w:id="106" w:name="_Toc464831137"/>
      <w:bookmarkStart w:id="107" w:name="_Toc16349"/>
      <w:bookmarkStart w:id="108" w:name="_Toc2714"/>
      <w:r>
        <w:rPr>
          <w:rFonts w:hint="eastAsia" w:ascii="宋体" w:hAnsi="宋体" w:eastAsia="宋体" w:cs="宋体"/>
          <w:color w:val="000000" w:themeColor="text1"/>
          <w:sz w:val="24"/>
          <w:szCs w:val="24"/>
          <w:highlight w:val="none"/>
          <w14:textFill>
            <w14:solidFill>
              <w14:schemeClr w14:val="tx1"/>
            </w14:solidFill>
          </w14:textFill>
        </w:rPr>
        <w:t>9.采购代理服务费</w:t>
      </w:r>
      <w:bookmarkEnd w:id="101"/>
      <w:bookmarkEnd w:id="102"/>
      <w:bookmarkEnd w:id="103"/>
      <w:bookmarkEnd w:id="104"/>
      <w:bookmarkEnd w:id="105"/>
      <w:bookmarkEnd w:id="106"/>
      <w:bookmarkEnd w:id="107"/>
      <w:bookmarkEnd w:id="108"/>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9.1投标人为准备和参加投标活动所发生的一切费用均由投标人自行承担;一旦中标还应承担按发改价格[2015]299号计取和按中协价（2013）35号文计取的招标代理服务费、工程量清单及招标控制价编制费。</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9" w:name="_Toc17015"/>
      <w:bookmarkStart w:id="110" w:name="_Toc6811"/>
      <w:bookmarkStart w:id="111" w:name="_Toc3172"/>
      <w:bookmarkStart w:id="112" w:name="_Toc464831138"/>
      <w:bookmarkStart w:id="113" w:name="_Toc11342"/>
      <w:bookmarkStart w:id="114" w:name="_Toc5225"/>
      <w:bookmarkStart w:id="115" w:name="_Toc21174"/>
      <w:bookmarkStart w:id="116" w:name="_Toc24186"/>
      <w:r>
        <w:rPr>
          <w:rFonts w:hint="eastAsia" w:ascii="宋体" w:hAnsi="宋体" w:eastAsia="宋体" w:cs="宋体"/>
          <w:color w:val="000000" w:themeColor="text1"/>
          <w:sz w:val="24"/>
          <w:szCs w:val="24"/>
          <w:highlight w:val="none"/>
          <w14:textFill>
            <w14:solidFill>
              <w14:schemeClr w14:val="tx1"/>
            </w14:solidFill>
          </w14:textFill>
        </w:rPr>
        <w:t>10.采购文件</w:t>
      </w:r>
      <w:bookmarkEnd w:id="109"/>
      <w:bookmarkEnd w:id="110"/>
      <w:bookmarkEnd w:id="111"/>
      <w:bookmarkEnd w:id="112"/>
      <w:bookmarkEnd w:id="113"/>
      <w:bookmarkEnd w:id="114"/>
      <w:bookmarkEnd w:id="115"/>
      <w:bookmarkEnd w:id="116"/>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10.1采购文件的组成</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10.1.1采购文件是用以阐明所需货物以及服务、谈判程序和合同格式的规范性文件。采购文件主要由以下部分组成：</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（1）采购公告；</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（3）供应商应当提交的资格、资信等证明文件；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（4）采购需求；</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（5）供应商须知；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（6）开标、谈判、成交；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（7）纪律要求；</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（8）签订合同、合同主要条款；</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（9）响应文件格式；</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（10）供应商须知前附表规定的其他材料。</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10.1.2根据本章第10.2款对采购文件所作的澄清和修改，构成采购文件的组成部分。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10.1.3除非有特殊要求，采购文件不单独提供项目所在地的自然环境、气候条件、公用设施等情况，供应商被视为熟悉上述与履行合同有关的一切情况。</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10.2采购文件的澄清和修改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10.2.1采购人对已发出的采购文件进行必要澄清或者修改的，</w:t>
      </w:r>
      <w:r>
        <w:rPr>
          <w:rFonts w:hint="eastAsia" w:ascii="宋体" w:hAnsi="宋体" w:eastAsia="宋体" w:cs="宋体"/>
          <w:color w:val="000000" w:themeColor="text1"/>
          <w:sz w:val="24"/>
          <w:szCs w:val="24"/>
          <w:highlight w:val="none"/>
          <w:lang w:val="zh-CN"/>
          <w14:textFill>
            <w14:solidFill>
              <w14:schemeClr w14:val="tx1"/>
            </w14:solidFill>
          </w14:textFill>
        </w:rPr>
        <w:t>应当在采购文件要求提交首次响应文件截止之日3个工作日前，</w:t>
      </w:r>
      <w:r>
        <w:rPr>
          <w:rFonts w:hint="eastAsia" w:ascii="宋体" w:hAnsi="宋体" w:eastAsia="宋体" w:cs="宋体"/>
          <w:color w:val="000000" w:themeColor="text1"/>
          <w:sz w:val="24"/>
          <w:szCs w:val="24"/>
          <w:highlight w:val="none"/>
          <w14:textFill>
            <w14:solidFill>
              <w14:schemeClr w14:val="tx1"/>
            </w14:solidFill>
          </w14:textFill>
        </w:rPr>
        <w:t>报监管部门批准并在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政府采购网上发布更正公告，通知所有采购文件收受人，但不指明澄清问题的来源。不足3个工作</w:t>
      </w:r>
      <w:r>
        <w:rPr>
          <w:rFonts w:hint="eastAsia" w:ascii="宋体" w:hAnsi="宋体" w:eastAsia="宋体" w:cs="宋体"/>
          <w:color w:val="000000" w:themeColor="text1"/>
          <w:sz w:val="24"/>
          <w:szCs w:val="24"/>
          <w:highlight w:val="none"/>
          <w:lang w:val="zh-CN"/>
          <w14:textFill>
            <w14:solidFill>
              <w14:schemeClr w14:val="tx1"/>
            </w14:solidFill>
          </w14:textFill>
        </w:rPr>
        <w:t>日的，采购人应当顺延提交首次响应文件截止之日，具体时间将在更正公告中予以明确。</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10.2.2供应商应仔细检查采购文件是否齐全。如有残缺、遗漏或者不清楚的，应在供应商须知前附表规定的时间前，以加盖供应商单位公章的书面文件提出，采用信函、传真或者直接送达的形式通知采购代理机构，同时将电子版文件以电子邮件的形式发送至采购代理机构的电子信箱，否则，由此引起的损失由供应商自负。同时，供应商有义务对采购文件的准确性进行复核，如发现有任何错误（打印的错误、逻辑的错误）或者前后矛盾的，应在规定提交答疑的时间内提交给采购人或采购代理机构，否则，供应商应无条件接受采购文件所有条款。</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10.2.3采购文件的澄清或者修改文件在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政府采购网上发布公告，方可作为采购文件组成部分并具有法律效力，任何口头答复、通知无效。采购文件的澄清或者修改在同一内容的表述上不一致时，以最后发出的公告为准。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10.2.4供应商认为采购文件存在歧视性条款或者不合理要求等需要澄清的，应在规定时间内一次性全部提出。在规定时间未一次性提出或者对已澄清的条款再提异议者，即视为同意和接受相关条款。</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10.2.5从更正公告发布时间开始，供应商应在供应商须知前附表规定的时间内从</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政府采购网上下载或者从网上直接打印公告，加盖供应商单位公章以及确认日期，采用信函、传真或者直接送达的形式通知采购代理机构。否则，即视为同意和接受该公告内容。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10.3延长报价截止时间和开标时间</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采购人可以视采购具体情况，延长报价截止时间和开标时间，但至少应当在采购文件要求提交首次响应文件的截止时间3个工作日前，在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17" w:name="_Toc22265"/>
      <w:bookmarkStart w:id="118" w:name="_Toc4086"/>
      <w:bookmarkStart w:id="119" w:name="_Toc27322"/>
      <w:bookmarkStart w:id="120" w:name="_Toc464831139"/>
      <w:bookmarkStart w:id="121" w:name="_Toc3258"/>
      <w:bookmarkStart w:id="122" w:name="_Toc6266"/>
      <w:bookmarkStart w:id="123" w:name="_Toc27541"/>
      <w:bookmarkStart w:id="124" w:name="_Toc17412"/>
      <w:r>
        <w:rPr>
          <w:rFonts w:hint="eastAsia" w:ascii="宋体" w:hAnsi="宋体" w:eastAsia="宋体" w:cs="宋体"/>
          <w:color w:val="000000" w:themeColor="text1"/>
          <w:sz w:val="24"/>
          <w:szCs w:val="24"/>
          <w:highlight w:val="none"/>
          <w14:textFill>
            <w14:solidFill>
              <w14:schemeClr w14:val="tx1"/>
            </w14:solidFill>
          </w14:textFill>
        </w:rPr>
        <w:t>11.响应文件的组成</w:t>
      </w:r>
      <w:bookmarkEnd w:id="117"/>
      <w:bookmarkEnd w:id="118"/>
      <w:bookmarkEnd w:id="119"/>
      <w:bookmarkEnd w:id="120"/>
      <w:bookmarkEnd w:id="121"/>
      <w:bookmarkEnd w:id="122"/>
      <w:bookmarkEnd w:id="123"/>
      <w:bookmarkEnd w:id="124"/>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11.1供应商应按照采购文件的要求以及格式编制响应文件，并保证其真实性、准确性以及完整性，并按照采购文件要求提交全部资料并做出实质性响应。</w:t>
      </w:r>
    </w:p>
    <w:p>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11.2响应文件组成：</w:t>
      </w:r>
      <w:r>
        <w:rPr>
          <w:rFonts w:hint="eastAsia" w:ascii="宋体" w:hAnsi="宋体" w:eastAsia="宋体" w:cs="宋体"/>
          <w:color w:val="000000" w:themeColor="text1"/>
          <w:sz w:val="24"/>
          <w:szCs w:val="24"/>
          <w:highlight w:val="none"/>
          <w:lang w:val="en-US" w:eastAsia="zh-CN"/>
          <w14:textFill>
            <w14:solidFill>
              <w14:schemeClr w14:val="tx1"/>
            </w14:solidFill>
          </w14:textFill>
        </w:rPr>
        <w:t>详见“第六章 响应文件格式”。</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采购文件要求和供应商认为应介绍或者提交的资料和文件。</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25" w:name="_Toc25541"/>
      <w:bookmarkStart w:id="126" w:name="_Toc606"/>
      <w:bookmarkStart w:id="127" w:name="_Toc17067"/>
      <w:bookmarkStart w:id="128" w:name="_Toc7918"/>
      <w:bookmarkStart w:id="129" w:name="_Toc464831140"/>
      <w:bookmarkStart w:id="130" w:name="_Toc25823"/>
      <w:bookmarkStart w:id="131" w:name="_Toc16684"/>
      <w:bookmarkStart w:id="132" w:name="_Toc10964"/>
      <w:r>
        <w:rPr>
          <w:rFonts w:hint="eastAsia" w:ascii="宋体" w:hAnsi="宋体" w:eastAsia="宋体" w:cs="宋体"/>
          <w:color w:val="000000" w:themeColor="text1"/>
          <w:sz w:val="24"/>
          <w:szCs w:val="24"/>
          <w:highlight w:val="none"/>
          <w14:textFill>
            <w14:solidFill>
              <w14:schemeClr w14:val="tx1"/>
            </w14:solidFill>
          </w14:textFill>
        </w:rPr>
        <w:t>12.响应报价</w:t>
      </w:r>
      <w:bookmarkEnd w:id="125"/>
      <w:bookmarkEnd w:id="126"/>
      <w:bookmarkEnd w:id="127"/>
      <w:bookmarkEnd w:id="128"/>
      <w:bookmarkEnd w:id="129"/>
      <w:bookmarkEnd w:id="130"/>
      <w:bookmarkEnd w:id="131"/>
      <w:bookmarkEnd w:id="13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12.1响应报价的范围：见供应商须知前附表。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12.2供应商应对所投包中的货物进行报价，对</w:t>
      </w:r>
      <w:r>
        <w:rPr>
          <w:rFonts w:hint="eastAsia" w:ascii="宋体" w:hAnsi="宋体" w:eastAsia="宋体" w:cs="宋体"/>
          <w:color w:val="000000" w:themeColor="text1"/>
          <w:sz w:val="24"/>
          <w:szCs w:val="24"/>
          <w:highlight w:val="none"/>
          <w:lang w:eastAsia="zh-CN"/>
          <w14:textFill>
            <w14:solidFill>
              <w14:schemeClr w14:val="tx1"/>
            </w14:solidFill>
          </w14:textFill>
        </w:rPr>
        <w:t>每一项</w:t>
      </w:r>
      <w:r>
        <w:rPr>
          <w:rFonts w:hint="eastAsia" w:ascii="宋体" w:hAnsi="宋体" w:eastAsia="宋体" w:cs="宋体"/>
          <w:color w:val="000000" w:themeColor="text1"/>
          <w:sz w:val="24"/>
          <w:szCs w:val="24"/>
          <w:highlight w:val="none"/>
          <w14:textFill>
            <w14:solidFill>
              <w14:schemeClr w14:val="tx1"/>
            </w14:solidFill>
          </w14:textFill>
        </w:rPr>
        <w:t>货物的报价必须全部报齐。</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12.3响应报价的次数：见供应商须知前附表。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12.4供应商不得以任何方式或者方法提供报价以外的任何附赠条款。</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12.5供应商应按照采购文件中要求的内容填写报价，并由法定代表人或者被授权代表签署。</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12.6供应商须按照附件格式表中的各单项明细逐项填写，以方便谈判小组对各响应文件进行比较。</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12.7开标时，响应文件中《</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一览表》内容与《报价明细表》内容不一致的，以《</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为准。大写金额和小写金额不一致的，以大写金额为准；总价金额与按照单价汇总金额不一致的，以单价金额计算结果为准；单价金额小数点有明显错位的，应以总价为准，并修改单价；对不同文字文本响应文件的解释发生异议的，以中文文本为准。按照以上原则对错误报价的修正，供应商应签字确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12.8唱标时，采购代理机构只对按照采购文件要求编制的响应报价进行唱标。</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12.9供应商的成交价格在合同执行中是固定不变的，不得以任何理由予以变更，不得出现任何包含价格调整的要求。</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12.10采购人不接受未经中国海关报验放进入中国境内且产自关境外的货物报价。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12.11</w:t>
      </w:r>
      <w:r>
        <w:rPr>
          <w:rFonts w:hint="eastAsia" w:ascii="宋体" w:hAnsi="宋体" w:eastAsia="宋体" w:cs="宋体"/>
          <w:color w:val="000000" w:themeColor="text1"/>
          <w:sz w:val="24"/>
          <w:szCs w:val="24"/>
          <w:highlight w:val="none"/>
          <w:lang w:val="en-GB"/>
          <w14:textFill>
            <w14:solidFill>
              <w14:schemeClr w14:val="tx1"/>
            </w14:solidFill>
          </w14:textFill>
        </w:rPr>
        <w:t>供应商须知前附表未规定可以采购进口产品的，不允许进口产品参加报价。</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33" w:name="_Toc10185"/>
      <w:bookmarkStart w:id="134" w:name="_Toc26715"/>
      <w:bookmarkStart w:id="135" w:name="_Toc5842"/>
      <w:bookmarkStart w:id="136" w:name="_Toc32345"/>
      <w:bookmarkStart w:id="137" w:name="_Toc14050"/>
      <w:bookmarkStart w:id="138" w:name="_Toc27173"/>
      <w:bookmarkStart w:id="139" w:name="_Toc464831141"/>
      <w:bookmarkStart w:id="140" w:name="_Toc14102"/>
      <w:r>
        <w:rPr>
          <w:rFonts w:hint="eastAsia" w:ascii="宋体" w:hAnsi="宋体" w:eastAsia="宋体" w:cs="宋体"/>
          <w:color w:val="000000" w:themeColor="text1"/>
          <w:sz w:val="24"/>
          <w:szCs w:val="24"/>
          <w:highlight w:val="none"/>
          <w14:textFill>
            <w14:solidFill>
              <w14:schemeClr w14:val="tx1"/>
            </w14:solidFill>
          </w14:textFill>
        </w:rPr>
        <w:t>13.响应文件格式以及编制要求</w:t>
      </w:r>
      <w:bookmarkEnd w:id="133"/>
      <w:bookmarkEnd w:id="134"/>
      <w:bookmarkEnd w:id="135"/>
      <w:bookmarkEnd w:id="136"/>
      <w:bookmarkEnd w:id="137"/>
      <w:bookmarkEnd w:id="138"/>
      <w:bookmarkEnd w:id="139"/>
      <w:bookmarkEnd w:id="140"/>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13.1响应文件应按所投包分别进行编制。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13.2响应文件编制装订：见供应商须知前附表。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13.3响应文件签署和盖章：见供应商须知前附表。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13.4供应商可对供货现场以及其范围环境进行考察，以获取有关编制响应文件和签署实施合同所需的各项资料，供应商应承担现场考察的费用、责任和风险。</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13.5供应商编制响应文件时，应当如实在技术响应表和资信以及商务响应表中填写响应情况。</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13.6响应文件份数及要求：见供应商须知前附表。</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1" w:name="_Toc8335"/>
      <w:bookmarkStart w:id="142" w:name="_Toc31127"/>
      <w:bookmarkStart w:id="143" w:name="_Toc14967"/>
      <w:bookmarkStart w:id="144" w:name="_Toc26253"/>
      <w:bookmarkStart w:id="145" w:name="_Toc464831142"/>
      <w:bookmarkStart w:id="146" w:name="_Toc6065"/>
      <w:bookmarkStart w:id="147" w:name="_Toc3617"/>
      <w:bookmarkStart w:id="148" w:name="_Toc23435"/>
      <w:r>
        <w:rPr>
          <w:rFonts w:hint="eastAsia" w:ascii="宋体" w:hAnsi="宋体" w:eastAsia="宋体" w:cs="宋体"/>
          <w:color w:val="000000" w:themeColor="text1"/>
          <w:sz w:val="24"/>
          <w:szCs w:val="24"/>
          <w:highlight w:val="none"/>
          <w14:textFill>
            <w14:solidFill>
              <w14:schemeClr w14:val="tx1"/>
            </w14:solidFill>
          </w14:textFill>
        </w:rPr>
        <w:t>14.响应文件的密封和标记</w:t>
      </w:r>
      <w:bookmarkEnd w:id="141"/>
      <w:bookmarkEnd w:id="142"/>
      <w:bookmarkEnd w:id="143"/>
      <w:bookmarkEnd w:id="144"/>
      <w:bookmarkEnd w:id="145"/>
      <w:bookmarkEnd w:id="146"/>
      <w:bookmarkEnd w:id="147"/>
      <w:bookmarkEnd w:id="148"/>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见供应商须知前附表。</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9" w:name="_Toc31098"/>
      <w:bookmarkStart w:id="150" w:name="_Toc7313"/>
      <w:bookmarkStart w:id="151" w:name="_Toc30687"/>
      <w:bookmarkStart w:id="152" w:name="_Toc12754"/>
      <w:bookmarkStart w:id="153" w:name="_Toc464831143"/>
      <w:bookmarkStart w:id="154" w:name="_Toc24185"/>
      <w:bookmarkStart w:id="155" w:name="_Toc22656"/>
      <w:bookmarkStart w:id="156" w:name="_Toc8670"/>
      <w:r>
        <w:rPr>
          <w:rFonts w:hint="eastAsia" w:ascii="宋体" w:hAnsi="宋体" w:eastAsia="宋体" w:cs="宋体"/>
          <w:color w:val="000000" w:themeColor="text1"/>
          <w:sz w:val="24"/>
          <w:szCs w:val="24"/>
          <w:highlight w:val="none"/>
          <w14:textFill>
            <w14:solidFill>
              <w14:schemeClr w14:val="tx1"/>
            </w14:solidFill>
          </w14:textFill>
        </w:rPr>
        <w:t>15.响应文件的递交</w:t>
      </w:r>
      <w:bookmarkEnd w:id="149"/>
      <w:bookmarkEnd w:id="150"/>
      <w:bookmarkEnd w:id="151"/>
      <w:bookmarkEnd w:id="152"/>
      <w:bookmarkEnd w:id="153"/>
      <w:bookmarkEnd w:id="154"/>
      <w:bookmarkEnd w:id="155"/>
      <w:bookmarkEnd w:id="156"/>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15.1供应商应在报价截止时间前递交响应文件。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15.2供应商递交响应文件的时间、地点和要求：见供应商须知前附表。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15.3供应商有下列情况之一，采购人或者采购代理机构应当拒绝接收供应商的响应文件：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15.3.1逾期送达的或者未送达指定地点的。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15.3.2响应文件未按采购文件要求密封的。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15.3.3递交响应文件时法定代表人未出示法定代表人身份证明；被授权代表未出示授权委托书。</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15.4除供应商须知前附表另有规定外，不论采购过程和结果如何，供应商的响应文件均不退还。</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57" w:name="_Toc23650"/>
      <w:bookmarkStart w:id="158" w:name="_Toc464831144"/>
      <w:bookmarkStart w:id="159" w:name="_Toc32637"/>
      <w:bookmarkStart w:id="160" w:name="_Toc29616"/>
      <w:bookmarkStart w:id="161" w:name="_Toc27020"/>
      <w:bookmarkStart w:id="162" w:name="_Toc30276"/>
      <w:bookmarkStart w:id="163" w:name="_Toc2503"/>
      <w:bookmarkStart w:id="164" w:name="_Toc6408"/>
      <w:r>
        <w:rPr>
          <w:rFonts w:hint="eastAsia" w:ascii="宋体" w:hAnsi="宋体" w:eastAsia="宋体" w:cs="宋体"/>
          <w:color w:val="000000" w:themeColor="text1"/>
          <w:sz w:val="24"/>
          <w:szCs w:val="24"/>
          <w:highlight w:val="none"/>
          <w14:textFill>
            <w14:solidFill>
              <w14:schemeClr w14:val="tx1"/>
            </w14:solidFill>
          </w14:textFill>
        </w:rPr>
        <w:t>16.响应文件的修改与撤回</w:t>
      </w:r>
      <w:bookmarkEnd w:id="157"/>
      <w:bookmarkEnd w:id="158"/>
      <w:bookmarkEnd w:id="159"/>
      <w:bookmarkEnd w:id="160"/>
      <w:bookmarkEnd w:id="161"/>
      <w:bookmarkEnd w:id="162"/>
      <w:bookmarkEnd w:id="163"/>
      <w:bookmarkEnd w:id="164"/>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16.1供应商在采购文件要求提交响应文件截止时间前，可以补充、修改、替代或者撤回已提交的响应文件，并书面形式通知采购人或者采购代理机构。补充、修改的内容为响应文件的组成部分。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16.2供应商对响应文件的补充、修改，应按照本采购文件有关规定进行编制、密封、标记、盖章和递交，并在响应文件密封袋上，清楚标明“修改响应文件”或者“撤回报价”字样。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16.3在提交响应文件截止时间后到采购文件规定的报价有效期终止之前，在采购文件没有变动的情况下，供应商不得补充、修改、替代或者撤回其响应文件。供应商撤回全部或者部分响应文件的，其保证金将被没收。</w:t>
      </w:r>
    </w:p>
    <w:p>
      <w:pPr>
        <w:spacing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65" w:name="_Toc18459"/>
      <w:bookmarkStart w:id="166" w:name="_Toc8485"/>
      <w:bookmarkStart w:id="167" w:name="_Toc17060"/>
      <w:bookmarkStart w:id="168" w:name="_Toc464831145"/>
      <w:bookmarkStart w:id="169" w:name="_Toc20326"/>
      <w:bookmarkStart w:id="170" w:name="_Toc16208"/>
      <w:bookmarkStart w:id="171" w:name="_Toc27188"/>
      <w:bookmarkStart w:id="172" w:name="_Toc2541"/>
      <w:r>
        <w:rPr>
          <w:rFonts w:hint="eastAsia" w:ascii="宋体" w:hAnsi="宋体" w:eastAsia="宋体" w:cs="宋体"/>
          <w:color w:val="000000" w:themeColor="text1"/>
          <w:sz w:val="24"/>
          <w:szCs w:val="24"/>
          <w:highlight w:val="none"/>
          <w14:textFill>
            <w14:solidFill>
              <w14:schemeClr w14:val="tx1"/>
            </w14:solidFill>
          </w14:textFill>
        </w:rPr>
        <w:t>17.保证金</w:t>
      </w:r>
      <w:bookmarkEnd w:id="165"/>
      <w:bookmarkEnd w:id="166"/>
      <w:bookmarkEnd w:id="167"/>
      <w:bookmarkEnd w:id="168"/>
      <w:bookmarkEnd w:id="169"/>
      <w:bookmarkEnd w:id="170"/>
      <w:bookmarkEnd w:id="171"/>
      <w:bookmarkEnd w:id="17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17.1保证金的交纳</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17.1.1保证金的交纳金额和形式：见供应商须知前附表。</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17.1.2保证金以到账时间为准。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17.1.3供应商为联合体的，联合体牵头人交纳的保证金对联合体各方均具有约束力。</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17.2保证金的退还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17.2.1</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开标结束后未中标企业将授权委托书或法人身份证复印件、开户许可证、收据（必须加盖公司公章/财务章）、银行回单递交至民丰县行政服务和公共资源交易中心。</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17.2.2</w:t>
      </w:r>
      <w:r>
        <w:rPr>
          <w:rFonts w:hint="eastAsia" w:ascii="宋体" w:hAnsi="宋体" w:eastAsia="宋体" w:cs="宋体"/>
          <w:color w:val="000000" w:themeColor="text1"/>
          <w:sz w:val="24"/>
          <w:szCs w:val="24"/>
          <w:highlight w:val="none"/>
          <w:lang w:val="en-US" w:eastAsia="zh-CN"/>
          <w14:textFill>
            <w14:solidFill>
              <w14:schemeClr w14:val="tx1"/>
            </w14:solidFill>
          </w14:textFill>
        </w:rPr>
        <w:t>公共资源交易中心</w:t>
      </w:r>
      <w:r>
        <w:rPr>
          <w:rFonts w:hint="eastAsia" w:ascii="宋体" w:hAnsi="宋体" w:eastAsia="宋体" w:cs="宋体"/>
          <w:color w:val="000000" w:themeColor="text1"/>
          <w:sz w:val="24"/>
          <w:szCs w:val="24"/>
          <w:highlight w:val="none"/>
          <w14:textFill>
            <w14:solidFill>
              <w14:schemeClr w14:val="tx1"/>
            </w14:solidFill>
          </w14:textFill>
        </w:rPr>
        <w:t>在成交通知发出后5个工作日内退还未成交供应商的保证金，在采购合同签订并备案后5个工作日内退还成交供应商的保证金。</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17.3保证金的不予退还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17.3.1供应商有下列情形之一的，保证金将不予退还：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（1）提供的有关资料不真实或者提供虚假材料的；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（2）报价截止时间后供应商撤回全部或者部分响应文件的；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（3）损害采购人或者采购代理机构合法权益的；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（4）供应商向采购代理机构、采购人、专家提供不正当利益的；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（5）经谈判小组认定有故意哄抬报价、串标或者其它违法行为的;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（6）成交供应商未按照采购文件规定签订合同或者未按照采购文件规定提供履约保证金的；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（7）法律、行政法规以及有关规定的其它情形。</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17.3.2不予退还的保证金应在规定时间内上缴国库。</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73" w:name="_Toc29237"/>
      <w:bookmarkStart w:id="174" w:name="_Toc998"/>
      <w:bookmarkStart w:id="175" w:name="_Toc21937"/>
      <w:bookmarkStart w:id="176" w:name="_Toc4865"/>
      <w:bookmarkStart w:id="177" w:name="_Toc11179"/>
      <w:bookmarkStart w:id="178" w:name="_Toc464831149"/>
      <w:bookmarkStart w:id="179" w:name="_Toc26396"/>
      <w:bookmarkStart w:id="180" w:name="_Toc29622"/>
      <w:bookmarkStart w:id="181" w:name="_Toc46483114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开标、谈判、成交</w:t>
      </w:r>
      <w:bookmarkEnd w:id="173"/>
      <w:bookmarkEnd w:id="174"/>
      <w:bookmarkEnd w:id="175"/>
      <w:bookmarkEnd w:id="176"/>
      <w:bookmarkEnd w:id="177"/>
      <w:bookmarkEnd w:id="178"/>
      <w:bookmarkEnd w:id="179"/>
      <w:bookmarkEnd w:id="180"/>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2" w:name="_Toc464831150"/>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1.开标程序</w:t>
      </w:r>
      <w:bookmarkEnd w:id="18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1.1宣布开标纪律；</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1.2宣布主持人、唱价人、记录人等有关人员姓名；</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1.3公布在报价截止时间前递交响应文件的供应商名称及签到顺序；</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1.4供应商相互检查响应文件密封情况，并签字确认；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1.5开启响应文件，按照签到顺序公布供应商名称、报价等内容，并记录在案；</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1.6供应商法定代表人（或者被授权代表）、采购人代表、记录人等有关人员在开标记录上签字确认；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1.7开标结束。</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3" w:name="_Toc464831151"/>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2.开标</w:t>
      </w:r>
      <w:bookmarkEnd w:id="183"/>
    </w:p>
    <w:p>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18.2.1开标应当在</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确定的提交</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截止时间的同一时间公开进行。开标地点应当为</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中预先确定的地点。</w:t>
      </w:r>
    </w:p>
    <w:p>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18.2.2</w:t>
      </w: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供应商应在供应商须知规定的时间内完成解密</w:t>
      </w:r>
      <w:r>
        <w:rPr>
          <w:rFonts w:hint="eastAsia" w:ascii="宋体" w:hAnsi="宋体" w:eastAsia="宋体" w:cs="宋体"/>
          <w:color w:val="000000" w:themeColor="text1"/>
          <w:sz w:val="24"/>
          <w:szCs w:val="24"/>
          <w:highlight w:val="none"/>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2.3由采购代理机构工作人员唱标。</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唱标人当众宣读供应商名称、响应报价、采购文件允许提供的备选报价方案和响应文件的其他主要内容，并不得拒绝任何符合要求的响应报价。供应商若有报价和优惠未被唱出，应在开标时及时声明或者提出，否则采购代理机构对此不承担任何责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2.4开标和唱标由采购代理机构指定专人负责，开标记录由供应商法定代表人或者被授权代表、采购人代表、记录人等有关人员签字确认，采购代理机构负责存档备查。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2.5供应商对开标有异议的，应当在开标现场以书面形式提出，采购人或者采购代理机构应当场给予答复，并制作记录，供应商法定代表人或者被授权代表、采购人代表、采购代理机构（包括公证机构人员）签字确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4" w:name="_Toc464831152"/>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3谈判小组</w:t>
      </w:r>
      <w:bookmarkEnd w:id="184"/>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3.1谈判小组的组成</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按照《中华人民共和国政府采购法》以及有关规定组建谈判小组。谈判由依法组建的谈判小组负责。谈判小组由采购人代表和评审专家共同组成，成员人数为三人以及以上单数，其中采购人代表只限一人，技术、经济等方面的评审专家不得少于成员总数的三分之二。</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3.2评审专家的抽取</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3.2.1采用随机抽取方式从政府采购监管部门依法设立的专家库中确定谈判小组成员。任何单位和个人都不得指定评审专家或干预评审专家的抽取工作。</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3.2.2参加评审专家抽取的有关人员对被抽取的专家的姓名、单位和联系方式等内容负有保密的义务。谈判小组成员的名单在评审结果确定前必须严格保密。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3.3谈判小组成员不得参加与自己有利害关系的评审活动，与自己有利害关系的应当回避，已经进入的必须更换。</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3.4谈判小组负责对各响应文件进行评审、比较、评定，并按本采购文件的规定确定成交供应商或者推荐中标候选人。</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3.5谈判小组具有依据采购文件进行独立评审的权力，且不受外界任何因素的干扰。谈判小组成员必须独立、负责地提出评审意见，并对自己的评审意见承担责任。对评审结果有不同意见的谈判小组成员应当以书面形式说明其不同意见和理由，评审报告应当注明不同意见。评审委员会成员拒绝评审或者拒绝在评审报告上签字并且又不书面说明其不同意见和理由的，视为同意评审结果。</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3.6谈判小组的职责：</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3.6.1审查响应文件是否符合采购文件要求，进行资格性审查和符合性审查，并做出评价；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3.6.2要求供应商对响应文件有关事项做出解释或者澄清；</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3.6.3推荐中标候选人名单，或者受采购人委托按照事先确定的办法直接确定成交供应商；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3.6.4向采购人、采购代理机构或者有关部门报告非法干预评审工作的行为。</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3.6.5对围、串标等违法违规行为作出认定。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3.7谈判小组的义务：</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3.7.1遵纪守法，客观、公正、廉洁地履行职责；</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3.7.2提出真实、可靠的评审意见；</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3.7.3严格遵守评审纪律，不得向外界泄露评审情况；</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3.7.4发现供应商在招报价活动中有不正当竞争或者恶意串通等违规行为，应及时向监督部门报告并加以制止；</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3.7.5按照采购文件规定的评审方法和评审标准进行评审，对评审意见承担个人责任；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3.7.6编写评审报告；</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3.7.7配合采购人或者采购代理机构答复供应商提出的质疑；</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3.7.8对评审过程和结果，以及采购人、供应商的商业秘密保密；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3.7.9配合监管部门处理投诉；</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3.8谈判小组成员有下列情形之一的，应当回避：</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3.8.1供应商或者供应商主要负责人的近亲属；</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3.8.2项目主管部门或者行政监督部门的人员；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3.8.3与供应商有经济利益关系；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3.8.4曾因在采购、评审以及其他与政府采购有关系活动中从事违法行为而受到行政处罚或者刑事处罚的；</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3.8.5与供应商有其他利害关系。</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5" w:name="_Toc464831153"/>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4评审程序</w:t>
      </w:r>
      <w:bookmarkEnd w:id="185"/>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4.1宣布评审纪律以及回避提示；</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4.2组织推荐谈判小组组长；</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4.3资格性审查；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4.4符合性审查；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4.5技术评审；</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4.6澄清有关问题；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4.7谈判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4.8确定成交供应商或者推荐成交候选人名单；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4.9编写评审报告；</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4.10宣布评审。</w:t>
      </w:r>
    </w:p>
    <w:p>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bookmarkStart w:id="186" w:name="_Toc464831154"/>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5评审</w:t>
      </w:r>
      <w:bookmarkEnd w:id="186"/>
    </w:p>
    <w:p>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5.1资格性审查</w:t>
      </w:r>
    </w:p>
    <w:p>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5.1.1谈判小组依据法律法规和采购文件的规定，对响应文件中的资格证明、保证金等进行审查，以确定供应商是否具备报价资格。</w:t>
      </w:r>
    </w:p>
    <w:p>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5.1.2采购人、采购代理机构通过</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凡拟参加本次招标项目的投标人，如在“信用中国”网站（WWW.creditchina.gov.cn）、中国政府采购网（www.ccgp.gov.cn）、国家企业信用信息公示系统（http://www.gsxt.gov.cn）被列入失信被执行人、重大税收违法案件当事人名单、政府采购严重违法失信行为记录名单的（尚在处罚期内的）， 将拒绝其参加本次政府采购活动，并提供投标单位中国裁判文书网（http://wenshu.court.gov.cn/）的查询记录,如三年内有不良记录的，将拒绝其参加本次政府采购活动。</w:t>
      </w:r>
      <w:r>
        <w:rPr>
          <w:rFonts w:hint="eastAsia" w:ascii="宋体" w:hAnsi="宋体" w:eastAsia="宋体" w:cs="宋体"/>
          <w:color w:val="000000" w:themeColor="text1"/>
          <w:sz w:val="24"/>
          <w:szCs w:val="24"/>
          <w:highlight w:val="none"/>
          <w14:textFill>
            <w14:solidFill>
              <w14:schemeClr w14:val="tx1"/>
            </w14:solidFill>
          </w14:textFill>
        </w:rPr>
        <w:t>从事违法行为《中华人民共和国政府采购法》第二十二条规定条件的供应商，应当拒绝其参加政府采购活动，其响应无效；两个以上的自然人、法人或者其他组织组成一个联合体，以一个供应商的身份共同参加政府采购活动的，应当对所有联合体成员进行信用记录查询，联合体成员存在不良信用记录的，视同联合体存在不良信用记录，其响应无效。</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信用信息查询记录及相关证据应当与其他采购文件一并保存。</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5.1.3供应商资格要求中，代理商须提供产品制造商针对本项目的唯一授权的，同一品牌同品目产品只允许一个供应商参加报价，产品制造商和代理商同时报价的，制造商响应有效，代理商响应无效；不同代理商代理同一品牌同品目产品报价的，按照各代理商提供《产品授权书》的时间先后顺序认定，先获得《产品授权书》的响应有效，后获得《产品授权书》的响应无效，时间相同时由谈判小组现场抽签决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5.2符合性审查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谈判小组依据采购文件的规定，从响应文件的有效性、完整性和对采购文件的响应程度进行审查，以确定是否对采购文件的实质性要求作出响应。</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5.3在资格性和符合性审查同时，对属于不合格供应商或者</w:t>
      </w:r>
      <w:r>
        <w:rPr>
          <w:rFonts w:hint="eastAsia" w:ascii="宋体" w:hAnsi="宋体" w:eastAsia="宋体" w:cs="宋体"/>
          <w:color w:val="000000" w:themeColor="text1"/>
          <w:sz w:val="24"/>
          <w:szCs w:val="24"/>
          <w:highlight w:val="none"/>
          <w:lang w:val="zh-CN"/>
          <w14:textFill>
            <w14:solidFill>
              <w14:schemeClr w14:val="tx1"/>
            </w14:solidFill>
          </w14:textFill>
        </w:rPr>
        <w:t>采购人或者其委托公证人员依据法律法规和采购文件的规定，分别与供应商共同对其商务部分响应文件中的资格证明、保证金等进行审查，以确定供应商是否具备报价资格，填写资格审查表并签字确认后，提交谈判小组审核</w:t>
      </w:r>
      <w:r>
        <w:rPr>
          <w:rFonts w:hint="eastAsia" w:ascii="宋体" w:hAnsi="宋体" w:eastAsia="宋体" w:cs="宋体"/>
          <w:color w:val="000000" w:themeColor="text1"/>
          <w:sz w:val="24"/>
          <w:szCs w:val="24"/>
          <w:highlight w:val="none"/>
          <w14:textFill>
            <w14:solidFill>
              <w14:schemeClr w14:val="tx1"/>
            </w14:solidFill>
          </w14:textFill>
        </w:rPr>
        <w:t>的供应商，谈判小组必须提出不合格或者响应无效的事实依据，并出具不合格或者响应无效说明，供应商签字确认。供应商签字确认后谈判小组全体成员签字。供应商拒绝签字确认的不影响谈判小组做出的不合格或无效裁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5.4技术评审</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5.4.1</w:t>
      </w:r>
      <w:r>
        <w:rPr>
          <w:rFonts w:hint="eastAsia" w:ascii="宋体" w:hAnsi="宋体" w:eastAsia="宋体" w:cs="宋体"/>
          <w:color w:val="000000" w:themeColor="text1"/>
          <w:sz w:val="24"/>
          <w:szCs w:val="24"/>
          <w:highlight w:val="none"/>
          <w:lang w:val="en-GB"/>
          <w14:textFill>
            <w14:solidFill>
              <w14:schemeClr w14:val="tx1"/>
            </w14:solidFill>
          </w14:textFill>
        </w:rPr>
        <w:t>按照采购文件要求，审查报价供应商所投货物和服务的规格、质量、数量及服务要求等技术要求和参数，并记录实质性响应、技术偏离等事项，进行技术部分的符合性审查。</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5.4.2</w:t>
      </w:r>
      <w:r>
        <w:rPr>
          <w:rFonts w:hint="eastAsia" w:ascii="宋体" w:hAnsi="宋体" w:eastAsia="宋体" w:cs="宋体"/>
          <w:color w:val="000000" w:themeColor="text1"/>
          <w:sz w:val="24"/>
          <w:szCs w:val="24"/>
          <w:highlight w:val="none"/>
          <w:lang w:val="en-GB"/>
          <w14:textFill>
            <w14:solidFill>
              <w14:schemeClr w14:val="tx1"/>
            </w14:solidFill>
          </w14:textFill>
        </w:rPr>
        <w:t>对技术复杂或性质特殊、响应文件技术或指标不一致的，谈判小组应根据采购文件以及各响应文件情况，在确保采购需求、质量和服务相等的前提下，按同等或者略高于采购文件标准确定统一谈判技术指标（包括强制性标准和行业标准），谈判现场形成书面技术要求并经谈判小组全体成员签字确认，该标准是评审报告的组成部分，谈判技术指标经所有参与谈判供应商书面承诺后方可进行谈判。</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5.4.3</w:t>
      </w:r>
      <w:r>
        <w:rPr>
          <w:rFonts w:hint="eastAsia" w:ascii="宋体" w:hAnsi="宋体" w:eastAsia="宋体" w:cs="宋体"/>
          <w:color w:val="000000" w:themeColor="text1"/>
          <w:sz w:val="24"/>
          <w:szCs w:val="24"/>
          <w:highlight w:val="none"/>
          <w:lang w:val="en-GB"/>
          <w14:textFill>
            <w14:solidFill>
              <w14:schemeClr w14:val="tx1"/>
            </w14:solidFill>
          </w14:textFill>
        </w:rPr>
        <w:t>对不能事先计算出价格总额、响应报价（含单项报价）超出市场价格但总价不高于本次采购预算金额，以及市场价格波动较大的，谈判小组应根据本次采购预算金额、市场价格以及供应商响应报价，在确保采购需求、质量和服务相等的前提下，谈判小组必须集体讨论确定谈判标底和报价轮次，该标底必须低于本次开标报价的最低报价并低于市场价格。</w:t>
      </w:r>
      <w:bookmarkStart w:id="187" w:name="_Toc464831155"/>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6澄清有关问题</w:t>
      </w:r>
      <w:bookmarkEnd w:id="187"/>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6.1对响应文件中含义不明确、同类问题表述不一致或者有明显文字和计算错误的内容，谈判小组应以书面形式要求供应商做出必要的澄清、承诺、说明或者纠正。供应商的澄清、承诺、说明或者纠正应采取书面形式，由法定代表人或者被授权代表签字，并不得超出响应文件的范围或者改变响应文件的实质性内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6.2谈判小组判断响应文件的响应性仅基于响应文件本身而不靠外部因素。未响应实质性条款的，谈判小组有权确定其响应无效，供应商不能通过修正、撤销或者澄清不符之处而使其报价成为实质性响应的报价。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6.3谈判小组可以允许供应商修改或者澄清其响应文件中不构成实质偏离的、微小的、非正规的不一致或者不规则的地方。</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bookmarkStart w:id="188" w:name="_Toc46483115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7谈判</w:t>
      </w:r>
      <w:bookmarkEnd w:id="188"/>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7.1</w:t>
      </w:r>
      <w:r>
        <w:rPr>
          <w:rFonts w:hint="eastAsia" w:ascii="宋体" w:hAnsi="宋体" w:eastAsia="宋体" w:cs="宋体"/>
          <w:color w:val="000000" w:themeColor="text1"/>
          <w:sz w:val="24"/>
          <w:szCs w:val="24"/>
          <w:highlight w:val="none"/>
          <w:lang w:val="en-GB"/>
          <w14:textFill>
            <w14:solidFill>
              <w14:schemeClr w14:val="tx1"/>
            </w14:solidFill>
          </w14:textFill>
        </w:rPr>
        <w:t>谈判前，谈判小组应核实供应商对统一谈判技术标准（包括强制性标准和行业标准）等是否全部承诺或者确认。</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7.2谈判小组所有成员集中与单一供应商进行谈判。在谈判中，谈判的任何一方不得透露与谈判有关的其他供应商的技术资料、价格和其他信息。</w:t>
      </w:r>
    </w:p>
    <w:p>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7.3</w:t>
      </w:r>
      <w:r>
        <w:rPr>
          <w:rFonts w:hint="eastAsia" w:ascii="宋体" w:hAnsi="宋体" w:eastAsia="宋体" w:cs="宋体"/>
          <w:color w:val="000000" w:themeColor="text1"/>
          <w:sz w:val="24"/>
          <w:szCs w:val="24"/>
          <w:highlight w:val="none"/>
          <w:lang w:val="en-GB"/>
          <w14:textFill>
            <w14:solidFill>
              <w14:schemeClr w14:val="tx1"/>
            </w14:solidFill>
          </w14:textFill>
        </w:rPr>
        <w:t>谈判</w:t>
      </w:r>
      <w:r>
        <w:rPr>
          <w:rFonts w:hint="eastAsia" w:ascii="宋体" w:hAnsi="宋体" w:eastAsia="宋体" w:cs="宋体"/>
          <w:color w:val="000000" w:themeColor="text1"/>
          <w:sz w:val="24"/>
          <w:szCs w:val="24"/>
          <w:highlight w:val="none"/>
          <w14:textFill>
            <w14:solidFill>
              <w14:schemeClr w14:val="tx1"/>
            </w14:solidFill>
          </w14:textFill>
        </w:rPr>
        <w:t>实行多轮报价，原则上第</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轮报价为最终报价</w:t>
      </w:r>
      <w:r>
        <w:rPr>
          <w:rFonts w:hint="eastAsia" w:ascii="宋体" w:hAnsi="宋体" w:eastAsia="宋体" w:cs="宋体"/>
          <w:color w:val="000000" w:themeColor="text1"/>
          <w:sz w:val="24"/>
          <w:szCs w:val="24"/>
          <w:highlight w:val="none"/>
          <w:lang w:val="en-GB"/>
          <w14:textFill>
            <w14:solidFill>
              <w14:schemeClr w14:val="tx1"/>
            </w14:solidFill>
          </w14:textFill>
        </w:rPr>
        <w:t>。超过</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轮报价的</w:t>
      </w:r>
      <w:r>
        <w:rPr>
          <w:rFonts w:hint="eastAsia" w:ascii="宋体" w:hAnsi="宋体" w:eastAsia="宋体" w:cs="宋体"/>
          <w:color w:val="000000" w:themeColor="text1"/>
          <w:sz w:val="24"/>
          <w:szCs w:val="24"/>
          <w:highlight w:val="none"/>
          <w:lang w:val="en-GB"/>
          <w14:textFill>
            <w14:solidFill>
              <w14:schemeClr w14:val="tx1"/>
            </w14:solidFill>
          </w14:textFill>
        </w:rPr>
        <w:t>由谈判小组现场集体决定，但最后一轮报价前必须告知所有参加谈判的供应商，并以最后一轮报价为最终报价</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GB"/>
          <w14:textFill>
            <w14:solidFill>
              <w14:schemeClr w14:val="tx1"/>
            </w14:solidFill>
          </w14:textFill>
        </w:rPr>
        <w:t>供应商后一轮报价不得高于其前一轮报价；</w:t>
      </w:r>
      <w:r>
        <w:rPr>
          <w:rFonts w:hint="eastAsia" w:ascii="宋体" w:hAnsi="宋体" w:eastAsia="宋体" w:cs="宋体"/>
          <w:color w:val="000000" w:themeColor="text1"/>
          <w:sz w:val="24"/>
          <w:szCs w:val="24"/>
          <w:highlight w:val="none"/>
          <w14:textFill>
            <w14:solidFill>
              <w14:schemeClr w14:val="tx1"/>
            </w14:solidFill>
          </w14:textFill>
        </w:rPr>
        <w:t>否则谈判小组有权据此确定为无效报价，参与谈判的供应商少于三家的予以废标。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中标供应商需提供二次报价清单。</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特殊情况及处置：（1）采购范围变化且总价不超过</w:t>
      </w:r>
      <w:r>
        <w:rPr>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Fonts w:hint="eastAsia" w:ascii="宋体" w:hAnsi="宋体" w:eastAsia="宋体" w:cs="宋体"/>
          <w:color w:val="000000" w:themeColor="text1"/>
          <w:sz w:val="24"/>
          <w:szCs w:val="24"/>
          <w:highlight w:val="none"/>
          <w14:textFill>
            <w14:solidFill>
              <w14:schemeClr w14:val="tx1"/>
            </w14:solidFill>
          </w14:textFill>
        </w:rPr>
        <w:t>的；（2）采购货物的市场价格明显降价的；（3）报价明细中个别报价明显高于市场价且无明确报价依据的；（4）最后一轮报价中最低报价相同的。发生上述情形之一的，谈判小组有权予以废标或者与供应商进行谈判后继续报价。</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9" w:name="_Toc464831157"/>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8成交</w:t>
      </w:r>
      <w:bookmarkEnd w:id="189"/>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8.1本次采购采用</w:t>
      </w:r>
      <w:r>
        <w:rPr>
          <w:rFonts w:hint="eastAsia" w:ascii="宋体" w:hAnsi="宋体" w:eastAsia="宋体" w:cs="宋体"/>
          <w:color w:val="000000" w:themeColor="text1"/>
          <w:sz w:val="24"/>
          <w:szCs w:val="24"/>
          <w:highlight w:val="none"/>
          <w:lang w:val="en-GB"/>
          <w14:textFill>
            <w14:solidFill>
              <w14:schemeClr w14:val="tx1"/>
            </w14:solidFill>
          </w14:textFill>
        </w:rPr>
        <w:t>最低评标价法，是指以价格为主要因素确定成交供应商的评审方法。即在全部满足采购文件实质性要求，且采购</w:t>
      </w:r>
      <w:r>
        <w:rPr>
          <w:rFonts w:hint="eastAsia" w:ascii="宋体" w:hAnsi="宋体" w:eastAsia="宋体" w:cs="宋体"/>
          <w:color w:val="000000" w:themeColor="text1"/>
          <w:sz w:val="24"/>
          <w:szCs w:val="24"/>
          <w:highlight w:val="none"/>
          <w14:textFill>
            <w14:solidFill>
              <w14:schemeClr w14:val="tx1"/>
            </w14:solidFill>
          </w14:textFill>
        </w:rPr>
        <w:t>需求、质量和服务相等的</w:t>
      </w:r>
      <w:r>
        <w:rPr>
          <w:rFonts w:hint="eastAsia" w:ascii="宋体" w:hAnsi="宋体" w:eastAsia="宋体" w:cs="宋体"/>
          <w:color w:val="000000" w:themeColor="text1"/>
          <w:sz w:val="24"/>
          <w:szCs w:val="24"/>
          <w:highlight w:val="none"/>
          <w:lang w:val="en-GB"/>
          <w14:textFill>
            <w14:solidFill>
              <w14:schemeClr w14:val="tx1"/>
            </w14:solidFill>
          </w14:textFill>
        </w:rPr>
        <w:t>前提下，依据统一的价格要素评定最低报价，按最终报价由低到高的顺序排序，确定成交供应商或推荐成交候选供应商的评审方法。</w:t>
      </w:r>
    </w:p>
    <w:p>
      <w:pPr>
        <w:spacing w:line="360" w:lineRule="auto"/>
        <w:ind w:firstLine="480" w:firstLineChars="200"/>
        <w:rPr>
          <w:rFonts w:hint="eastAsia" w:ascii="宋体" w:hAnsi="宋体" w:eastAsia="宋体" w:cs="宋体"/>
          <w:color w:val="000000" w:themeColor="text1"/>
          <w:sz w:val="24"/>
          <w:szCs w:val="24"/>
          <w:highlight w:val="none"/>
          <w:lang w:val="en-GB"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8.2</w:t>
      </w:r>
      <w:r>
        <w:rPr>
          <w:rFonts w:hint="eastAsia" w:ascii="宋体" w:hAnsi="宋体" w:eastAsia="宋体" w:cs="宋体"/>
          <w:color w:val="000000" w:themeColor="text1"/>
          <w:sz w:val="24"/>
          <w:szCs w:val="24"/>
          <w:highlight w:val="none"/>
          <w:lang w:val="en-GB"/>
          <w14:textFill>
            <w14:solidFill>
              <w14:schemeClr w14:val="tx1"/>
            </w14:solidFill>
          </w14:textFill>
        </w:rPr>
        <w:t>采购人授权谈判小组确定成交供应商的，最终报价结束后，谈判小组按照上述的规定，对供应商进行排序并确定排序第一的为成交供应商</w:t>
      </w:r>
      <w:r>
        <w:rPr>
          <w:rFonts w:hint="eastAsia" w:ascii="宋体" w:hAnsi="宋体" w:eastAsia="宋体" w:cs="宋体"/>
          <w:color w:val="000000" w:themeColor="text1"/>
          <w:sz w:val="24"/>
          <w:szCs w:val="24"/>
          <w:highlight w:val="none"/>
          <w:lang w:val="en-GB" w:eastAsia="zh-CN"/>
          <w14:textFill>
            <w14:solidFill>
              <w14:schemeClr w14:val="tx1"/>
            </w14:solidFill>
          </w14:textFill>
        </w:rPr>
        <w:t>。</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8.3</w:t>
      </w:r>
      <w:r>
        <w:rPr>
          <w:rFonts w:hint="eastAsia" w:ascii="宋体" w:hAnsi="宋体" w:eastAsia="宋体" w:cs="宋体"/>
          <w:color w:val="000000" w:themeColor="text1"/>
          <w:kern w:val="0"/>
          <w:sz w:val="24"/>
          <w:szCs w:val="24"/>
          <w:highlight w:val="none"/>
          <w:lang w:val="zh-CN"/>
          <w14:textFill>
            <w14:solidFill>
              <w14:schemeClr w14:val="tx1"/>
            </w14:solidFill>
          </w14:textFill>
        </w:rPr>
        <w:t>采购文件规定推荐成交候选供应商的，成交候选供应商数量应当根据采购需要并在采购活动开始前确定，由谈判小组按照上述规定的评审办法确定各供应商排列顺序，依照顺序推荐成交候选供应商，并出具评审报告，采购人应当在收到评审报告后5个工作日内，从评审报告提出的成交候选人中，根据质量和服务均能满足采购文件实质性响应要求且最后报价最低的原则确定成交供应商。</w:t>
      </w:r>
    </w:p>
    <w:p>
      <w:pPr>
        <w:spacing w:line="360" w:lineRule="auto"/>
        <w:ind w:firstLine="482"/>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zh-CN"/>
          <w14:textFill>
            <w14:solidFill>
              <w14:schemeClr w14:val="tx1"/>
            </w14:solidFill>
          </w14:textFill>
        </w:rPr>
        <w:t>8.4按照有关规定成交供应商因不可抗力或者自身原因不能履行政府采购合同的须顺延排序第二的供应商成交的，或者采购人推荐排序第二的供应商成交的，其原响应报价不得超过原成交供应商响应报价与保证金之和，报经监督部门核准后可以确定排序第二的供应商成交。否则应予废标，由采购人依法重新组织采购。</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8.5谈判结果应通知所有参加谈判的供应商。</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8.6优先成交</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GB"/>
          <w14:textFill>
            <w14:solidFill>
              <w14:schemeClr w14:val="tx1"/>
            </w14:solidFill>
          </w14:textFill>
        </w:rPr>
        <w:t>有下列情况之一的，谈判小组必须给予优先成交：</w:t>
      </w:r>
    </w:p>
    <w:p>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8.6.1根据财政部、工业和信息化部（财库〔2011〕181号）文件规定，供应商属小型或微型企业并以其自身产品和服务报价，或者提供其他小微企业制造的货物，</w:t>
      </w:r>
      <w:r>
        <w:rPr>
          <w:rFonts w:hint="eastAsia" w:ascii="宋体" w:hAnsi="宋体" w:eastAsia="宋体" w:cs="宋体"/>
          <w:color w:val="000000" w:themeColor="text1"/>
          <w:kern w:val="0"/>
          <w:sz w:val="24"/>
          <w:szCs w:val="24"/>
          <w:highlight w:val="none"/>
          <w14:textFill>
            <w14:solidFill>
              <w14:schemeClr w14:val="tx1"/>
            </w14:solidFill>
          </w14:textFill>
        </w:rPr>
        <w:t>在满足采购需求且质量和服务相等的情况下，其</w:t>
      </w:r>
      <w:r>
        <w:rPr>
          <w:rFonts w:hint="eastAsia" w:ascii="宋体" w:hAnsi="宋体" w:eastAsia="宋体" w:cs="宋体"/>
          <w:color w:val="000000" w:themeColor="text1"/>
          <w:sz w:val="24"/>
          <w:szCs w:val="24"/>
          <w:highlight w:val="none"/>
          <w:lang w:val="en-GB"/>
          <w14:textFill>
            <w14:solidFill>
              <w14:schemeClr w14:val="tx1"/>
            </w14:solidFill>
          </w14:textFill>
        </w:rPr>
        <w:t>最终报价再给予</w:t>
      </w: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GB"/>
          <w14:textFill>
            <w14:solidFill>
              <w14:schemeClr w14:val="tx1"/>
            </w14:solidFill>
          </w14:textFill>
        </w:rPr>
        <w:t>%的价格扣除后价格最低或与最低价相同的，须提供《中小企业声明函》并对声明函的真实性负责，否则不予价格扣除。</w:t>
      </w:r>
    </w:p>
    <w:p>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bookmarkStart w:id="190" w:name="_Toc464831158"/>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成交结果公告以及成交通知书</w:t>
      </w:r>
      <w:bookmarkEnd w:id="190"/>
    </w:p>
    <w:p>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1采购人或者采购代理机构应当自成交供应商确定之日起2个工作日内，发出成交通知书，并在</w:t>
      </w:r>
      <w:r>
        <w:rPr>
          <w:rFonts w:hint="eastAsia" w:ascii="宋体" w:hAnsi="宋体" w:eastAsia="宋体" w:cs="宋体"/>
          <w:color w:val="000000" w:themeColor="text1"/>
          <w:kern w:val="0"/>
          <w:sz w:val="24"/>
          <w:szCs w:val="24"/>
          <w:highlight w:val="none"/>
          <w:lang w:eastAsia="zh-CN"/>
          <w14:textFill>
            <w14:solidFill>
              <w14:schemeClr w14:val="tx1"/>
            </w14:solidFill>
          </w14:textFill>
        </w:rPr>
        <w:t>相关媒介</w:t>
      </w:r>
      <w:r>
        <w:rPr>
          <w:rFonts w:hint="eastAsia" w:ascii="宋体" w:hAnsi="宋体" w:eastAsia="宋体" w:cs="宋体"/>
          <w:color w:val="000000" w:themeColor="text1"/>
          <w:kern w:val="0"/>
          <w:sz w:val="24"/>
          <w:szCs w:val="24"/>
          <w:highlight w:val="none"/>
          <w14:textFill>
            <w14:solidFill>
              <w14:schemeClr w14:val="tx1"/>
            </w14:solidFill>
          </w14:textFill>
        </w:rPr>
        <w:t>公告成交结果（公告期限为1个工作日），采购文件随成交结果同时公告。</w:t>
      </w:r>
    </w:p>
    <w:p>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2采购人或采购代理机构不按照规定发布成交结果公告或者发布成交结果公告后不签发成交通知书的，应当承担法律责任，给成交供应商造成经济损失的应承担赔偿责任。</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18.9.</w:t>
      </w:r>
      <w:r>
        <w:rPr>
          <w:rStyle w:val="24"/>
          <w:rFonts w:hint="eastAsia" w:ascii="宋体" w:hAnsi="宋体" w:eastAsia="宋体" w:cs="宋体"/>
          <w:color w:val="000000" w:themeColor="text1"/>
          <w:sz w:val="24"/>
          <w:szCs w:val="24"/>
          <w:highlight w:val="none"/>
          <w14:textFill>
            <w14:solidFill>
              <w14:schemeClr w14:val="tx1"/>
            </w14:solidFill>
          </w14:textFill>
        </w:rPr>
        <w:t>3成交通知书对采购人和成交供应商都具有法律效力。成交通知书发出后，采购人改变成交结果的，或者成交供应商放弃成交，应当依法承担法律责任。</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1" w:name="_Toc464831159"/>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响应无效</w:t>
      </w:r>
      <w:bookmarkEnd w:id="191"/>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出现下列情形之一的，响应无效：</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1响应报价高于采购</w:t>
      </w:r>
      <w:r>
        <w:rPr>
          <w:rStyle w:val="24"/>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Style w:val="24"/>
          <w:rFonts w:hint="eastAsia" w:ascii="宋体" w:hAnsi="宋体" w:eastAsia="宋体" w:cs="宋体"/>
          <w:color w:val="000000" w:themeColor="text1"/>
          <w:sz w:val="24"/>
          <w:szCs w:val="24"/>
          <w:highlight w:val="none"/>
          <w14:textFill>
            <w14:solidFill>
              <w14:schemeClr w14:val="tx1"/>
            </w14:solidFill>
          </w14:textFill>
        </w:rPr>
        <w:t>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2对“★”条款未做出实质性响应或者发生负偏离的；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3应提供而未提供带“▲”标注的政府强制采购节能产品的；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4对允许偏离的非实质性条款，偏离采购文件规定的偏离范围和幅度的；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5不按照采购文件规定报价、没有分项报价、拒绝报价、有多个报价（采购文件另有规定的除外）、有选择性报价、附有条件的报价或者拒绝修正报价的；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6响应文件正副本未区分或者内容严重不一致的；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7供应商未按采购文件要求交纳保证金的；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8报价有效期不满足采购文件要求的；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9报价超出营业执照经营范围的；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10谈判小组2/3及以上成员认定报价方案技术含量低、偏离范围超出允许幅度、不符合采购文件要求的；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11谈判小组判定供应商涂改证明材料或者提供虚假材料和承诺的；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12未按采购文件规定编制、签署、盖章、装订和密封响应文件的；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13代理商未按采购文件要求提供产品制造商针对本项目的唯一授权的；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14采购文件第三章第1条规定供应商应当提交的资格、资信等证明文件未提供、提供不齐全或者复印件未装订于响应文件中的；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15资格、资信等证明文件可以为复印件的，复印件未加盖单位公章的；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16不符合法律、法规和采购文件中规定的其他要求的。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对响应无效的认定，必须经谈判小组集体做出决定并出具响应无效的事实依据，由供应商法定代表人或者被授权代表签字确认，拒绝签字的，不影响谈判小组做出的决定。</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2" w:name="_Toc464831160"/>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废标</w:t>
      </w:r>
      <w:bookmarkEnd w:id="192"/>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1出现下列情形之一的，应予废标：</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1.1在报价截止时间结束后参加报价的供应商不足3家，符合采购文件规定条件的供应商不足3家或者对采购文件作实质性响应的供应商不足3家的；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1.2出现影响采购公正的违法违规行为的；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1.3供应商的报价均超过采购预算的；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1.4因重大变故，采购任务取消的；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1.5法律、法规以及采购文件规定的其他废标情形。</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2废标后，采购人或者采购代理机构应当将废标理由通知所有供应商。</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3" w:name="_Toc464831161"/>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特殊情况处置程序</w:t>
      </w:r>
      <w:bookmarkEnd w:id="193"/>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1谈判小组成员的更换</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1.1谈判小组应当执行连续评审的原则，按照采购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采购文件和所有响应文件，择期重新组建谈判小组进行评审。</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1.2退出谈判小组的成员，其已完成的评审行为无效。由采购人向监督人员提出更换谈判小组成员意见并获准后，根据本采购文件规定的谈判小组成员产生方式另行确定替代者进行评审。</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2记名投票</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在评审过程中，谈判小组发生分歧或者评审结论有异议需表决的，按照少数服从多数的原则，由谈判小组全体成员以记名投票方式表决。</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3延期开标</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因特殊情况需要推迟开标时间的，采购人或者采购代理机构必须提前报监督部门审批，经批准后按规定提前告知所有参加报价的供应商，否则必须按时开标。</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4" w:name="_Toc464831162"/>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违法违规情形</w:t>
      </w:r>
      <w:bookmarkEnd w:id="194"/>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1有下列情形之一的，属于供应商相互串通报价：</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1.1供应商之间协商响应报价等响应文件的实质性内容；</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1.2供应商之间约定成交供应商；</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1.3供应商之间约定部分供应商放弃报价或者成交；</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1.4属于同一集团、协会、商会等组织成员的供应商按照该组织要求协同报价；</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1.5供应商之间为谋取中标或者排斥特定供应商而采取的其他联合行动。</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2有下列情形之一的，视为供应商相互串通报价，谈判小组应当出具违法违规认定意见并作响应无效处理：</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2.1不同供应商的响应文件由同一单位或者个人编制；</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2.2不同供应商委托同一单位或者个人办理报价事宜；</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2.3不同供应商的响应文件载明的项目管理成员为同一人；</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2.4不同供应商的响应文件异常一致或者响应报价呈规律性差异；</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2.5不同供应商的响应文件相互混装；</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2.6不同供应商的保证金从同一单位或者个人的账户转出。</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3有下列情形之一的，属于采购人与供应商串通报价：</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3.1采购人在开标前开启响应文件并将有关信息泄露给其他供应商；</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3.2采购人直接或者间接向供应商泄露标底、谈判小组成员等信息；</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3.3采购人明示或者暗示供应商压低或者抬高响应报价；</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3.4采购人授意供应商撤换、修改响应文件；</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3.5采购人明示或者暗示供应商为特定供应商中标提供方便；</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3.6采购人与供应商为谋求特定供应商中标而采取的其他串通行为。</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在开标、评审过程中发现以上违法违规情形的，首先由谈判小组作出认定，对认定确有以上违法违规情形的供应商，按无效报价处理，再进入正常评审程序。</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5" w:name="_Toc464831163"/>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违规处理</w:t>
      </w:r>
      <w:bookmarkEnd w:id="195"/>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供应商有下列情形之一的，列入不良行为记录名单，在一至三年内禁止参加政府采购活动：</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1提供虚假报价材料谋取中标、成交的；</w:t>
      </w:r>
    </w:p>
    <w:p>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2采取不正当手段诋毁、排挤其他供应商的；</w:t>
      </w:r>
    </w:p>
    <w:p>
      <w:pPr>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3与采购人、其他供应商或者采购代理机构恶意串通的；</w:t>
      </w:r>
    </w:p>
    <w:bookmarkEnd w:id="181"/>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96" w:name="_Toc22433"/>
      <w:bookmarkStart w:id="197" w:name="_Toc13664"/>
      <w:bookmarkStart w:id="198" w:name="_Toc18982"/>
      <w:bookmarkStart w:id="199" w:name="_Toc23416"/>
      <w:bookmarkStart w:id="200" w:name="_Toc31709"/>
      <w:bookmarkStart w:id="201" w:name="_Toc11763"/>
      <w:bookmarkStart w:id="202" w:name="_Toc1945"/>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质疑</w:t>
      </w:r>
      <w:bookmarkEnd w:id="196"/>
      <w:bookmarkEnd w:id="197"/>
      <w:bookmarkEnd w:id="198"/>
      <w:bookmarkEnd w:id="199"/>
      <w:bookmarkEnd w:id="200"/>
      <w:bookmarkEnd w:id="201"/>
      <w:bookmarkEnd w:id="202"/>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1参加本次政府采购活动的供应商认为采购文件、采购过程和成交结果使自己的权益受到损害的，可以在知道或者应知道其权益受到损害之日起7个工作日内，以书面形式向采购人或者采购代理机构提出质疑。</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2质疑书内容应包括以下主要内容：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2.1质疑人的名称、地址、电话等；</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2.2具体的质疑事项、证据以及法律、法规依据；</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2.3提出质疑的日期。</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3质疑书应当署名，一式叁份。由法定代表人或者主要负责人签字并加盖公章后生效。代理人办理质疑事务时，还应当提交授权委托书，授权委托书应当载明代理的具体权限和事项。否则采购人或者采购代理机构不予受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4除书面形式外，其他任何方式的质疑，采购人或者采购代理机构均不予接受和回复。</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5采购人或者采购代理机构在收到质疑书后7个工作日内做出书面答复，并以书面形式通知质疑人和其他有关供应商，但答复不得涉及商业秘密。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6质疑人对采购人、采购代理机构的答复不满意或者采购人、采购代理机构未在规定的时间内做出答复的，可以在答复期满后15个工作日内向同级监管部门投诉。</w:t>
      </w: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03" w:name="_Toc2813"/>
      <w:bookmarkStart w:id="204" w:name="_Toc9727"/>
      <w:bookmarkStart w:id="205" w:name="_Toc12107"/>
      <w:bookmarkStart w:id="206" w:name="_Toc26387"/>
      <w:bookmarkStart w:id="207" w:name="_Toc464831147"/>
      <w:bookmarkStart w:id="208" w:name="_Toc12366"/>
      <w:bookmarkStart w:id="209" w:name="_Toc24865"/>
      <w:bookmarkStart w:id="210" w:name="_Toc21136"/>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投诉</w:t>
      </w:r>
      <w:bookmarkEnd w:id="203"/>
      <w:bookmarkEnd w:id="204"/>
      <w:bookmarkEnd w:id="205"/>
      <w:bookmarkEnd w:id="206"/>
      <w:bookmarkEnd w:id="207"/>
      <w:bookmarkEnd w:id="208"/>
      <w:bookmarkEnd w:id="209"/>
      <w:bookmarkEnd w:id="210"/>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1按照《中华人民共和国政府采购法》、财政部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文件以及相关的法律、法规及规定，质疑人对采购人、采购代理机构的答复不满意或者采购人、采购代理机构未在规定的时间内做出答复的，可以在答复期满后15个工作日内向同级监管部门投诉。</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2投诉人提起投诉应符合下列条件：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2.1投诉人是参与所投诉政府采购活动的供应商；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2.2提起投诉前已依法进行质疑；</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2.3投诉书内容符合财政部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规定；</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2.4在投诉有效期限内提起投诉；</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2.5属于本财政部门管辖；</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2.6同一投诉事项未经财政部门投诉处理；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2.7法律法规规定的其他条件。</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3投诉人投诉时，应当提交投诉书，并按照被投诉采购人、采购代理机构和与投诉事项有关的供应商数量提供投诉书的副本。</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4投诉书应当包括以下主要内容：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4.1投诉人和被投诉人的名称、地址、电话等；</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4.2具体的投诉事宜以及事实依据；</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4.3质疑书和质疑答复情况以及相关证明材料；</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4.4提起投诉的日期。</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5投诉书应当署名。投诉人为自然人的，应当由本人签字；投诉人为法人或者其他组织的，应当由法定代表人或者主要负责人签字盖章并加盖公章。</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6投诉人可以委托代理人办理投诉事务。代理人办理投诉事务时，除提交投诉书外，还应当向同级监管部门提交投诉人的授权委托书，授权委托书应当载明委托代理的具体权限和事项。</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7投诉人不符合上述规定提起的投诉，监管部门不予受理。</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11" w:name="_Toc12370"/>
      <w:bookmarkStart w:id="212" w:name="_Toc9117"/>
      <w:bookmarkStart w:id="213" w:name="_Toc2240"/>
      <w:bookmarkStart w:id="214" w:name="_Toc9061"/>
      <w:bookmarkStart w:id="215" w:name="_Toc357"/>
      <w:bookmarkStart w:id="216" w:name="_Toc464831148"/>
      <w:bookmarkStart w:id="217" w:name="_Toc12119"/>
      <w:bookmarkStart w:id="218" w:name="_Toc6531"/>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.其他需补充的内容</w:t>
      </w:r>
      <w:bookmarkEnd w:id="211"/>
      <w:bookmarkEnd w:id="212"/>
      <w:bookmarkEnd w:id="213"/>
      <w:bookmarkEnd w:id="214"/>
      <w:bookmarkEnd w:id="215"/>
      <w:bookmarkEnd w:id="216"/>
      <w:bookmarkEnd w:id="217"/>
      <w:bookmarkEnd w:id="218"/>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其他需补充的内容：见供应商须知前附表。</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pPr>
        <w:spacing w:line="360" w:lineRule="auto"/>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sectPr>
          <w:footerReference r:id="rId5" w:type="default"/>
          <w:pgSz w:w="11906" w:h="16838"/>
          <w:pgMar w:top="1440" w:right="1800" w:bottom="1440" w:left="1800" w:header="851" w:footer="992" w:gutter="0"/>
          <w:pgNumType w:fmt="decimal" w:start="1"/>
          <w:cols w:space="720" w:num="1"/>
          <w:docGrid w:type="lines" w:linePitch="312" w:charSpace="0"/>
        </w:sectPr>
      </w:pPr>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bookmarkStart w:id="219" w:name="_Toc17250"/>
      <w:bookmarkStart w:id="220" w:name="_Toc7146"/>
      <w:bookmarkStart w:id="221" w:name="_Toc31203"/>
      <w:bookmarkStart w:id="222" w:name="_Toc1698"/>
      <w:bookmarkStart w:id="223" w:name="_Toc6661"/>
      <w:bookmarkStart w:id="224" w:name="_Toc23930"/>
      <w:bookmarkStart w:id="225" w:name="_Toc27181"/>
      <w:bookmarkStart w:id="226" w:name="_Toc3784"/>
      <w:bookmarkStart w:id="227" w:name="_Toc11123"/>
      <w:bookmarkStart w:id="228" w:name="_Toc21512"/>
      <w:bookmarkStart w:id="229" w:name="_Toc494455916"/>
      <w:bookmarkStart w:id="230" w:name="_Toc25369"/>
      <w:bookmarkStart w:id="231" w:name="_Toc2308"/>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eastAsia" w:ascii="宋体" w:hAnsi="宋体" w:eastAsia="宋体" w:cs="宋体"/>
          <w:b/>
          <w:bCs/>
          <w:color w:val="000000" w:themeColor="text1"/>
          <w:sz w:val="52"/>
          <w:szCs w:val="52"/>
          <w:highlight w:val="none"/>
          <w:lang w:val="en-US" w:eastAsia="zh-CN"/>
          <w14:textFill>
            <w14:solidFill>
              <w14:schemeClr w14:val="tx1"/>
            </w14:solidFill>
          </w14:textFill>
        </w:rPr>
      </w:pP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第</w:t>
      </w:r>
      <w:r>
        <w:rPr>
          <w:rFonts w:hint="eastAsia" w:ascii="宋体" w:hAnsi="宋体" w:cs="宋体"/>
          <w:b/>
          <w:bCs/>
          <w:color w:val="000000" w:themeColor="text1"/>
          <w:kern w:val="2"/>
          <w:sz w:val="52"/>
          <w:szCs w:val="52"/>
          <w:lang w:val="en-US" w:eastAsia="zh-CN" w:bidi="ar-SA"/>
          <w14:textFill>
            <w14:solidFill>
              <w14:schemeClr w14:val="tx1"/>
            </w14:solidFill>
          </w14:textFill>
        </w:rPr>
        <w:t>三</w:t>
      </w: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章</w:t>
      </w:r>
      <w:r>
        <w:rPr>
          <w:rFonts w:hint="eastAsia" w:ascii="宋体" w:hAnsi="宋体" w:eastAsia="宋体" w:cs="宋体"/>
          <w:b/>
          <w:bCs/>
          <w:color w:val="000000" w:themeColor="text1"/>
          <w:sz w:val="52"/>
          <w:szCs w:val="52"/>
          <w:highlight w:val="none"/>
          <w:lang w:val="en-US" w:eastAsia="zh-CN"/>
          <w14:textFill>
            <w14:solidFill>
              <w14:schemeClr w14:val="tx1"/>
            </w14:solidFill>
          </w14:textFill>
        </w:rPr>
        <w:t>工程量清单</w:t>
      </w:r>
      <w:bookmarkEnd w:id="219"/>
      <w:bookmarkEnd w:id="220"/>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pPr>
        <w:numPr>
          <w:ilvl w:val="0"/>
          <w:numId w:val="0"/>
        </w:numPr>
        <w:ind w:left="0" w:leftChars="0" w:firstLine="0" w:firstLineChars="0"/>
        <w:jc w:val="both"/>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bookmarkEnd w:id="221"/>
    <w:bookmarkEnd w:id="222"/>
    <w:bookmarkEnd w:id="223"/>
    <w:bookmarkEnd w:id="224"/>
    <w:bookmarkEnd w:id="225"/>
    <w:bookmarkEnd w:id="226"/>
    <w:bookmarkEnd w:id="227"/>
    <w:bookmarkEnd w:id="228"/>
    <w:bookmarkEnd w:id="229"/>
    <w:bookmarkEnd w:id="230"/>
    <w:bookmarkEnd w:id="231"/>
    <w:p>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bookmarkStart w:id="232" w:name="_Toc16557"/>
      <w:bookmarkStart w:id="233" w:name="_Toc9878"/>
      <w:bookmarkStart w:id="234" w:name="_Toc12869"/>
      <w:bookmarkStart w:id="235" w:name="_Toc8722"/>
      <w:bookmarkStart w:id="236" w:name="_Toc28928"/>
    </w:p>
    <w:p>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pPr>
        <w:numPr>
          <w:ilvl w:val="0"/>
          <w:numId w:val="0"/>
        </w:numPr>
        <w:ind w:left="0" w:leftChars="0" w:firstLine="0" w:firstLineChars="0"/>
        <w:jc w:val="both"/>
        <w:outlineLvl w:val="0"/>
        <w:rPr>
          <w:rFonts w:hint="default" w:ascii="宋体" w:hAnsi="宋体" w:eastAsia="宋体" w:cs="宋体"/>
          <w:spacing w:val="25"/>
          <w:sz w:val="39"/>
          <w:szCs w:val="39"/>
          <w:lang w:val="en-US" w:eastAsia="zh-CN"/>
        </w:rPr>
      </w:pPr>
    </w:p>
    <w:p>
      <w:pPr>
        <w:ind w:firstLine="864" w:firstLineChars="400"/>
        <w:rPr>
          <w:rFonts w:ascii="宋体" w:hAnsi="宋体" w:eastAsia="宋体" w:cs="宋体"/>
          <w:spacing w:val="8"/>
          <w:sz w:val="20"/>
          <w:szCs w:val="20"/>
        </w:rPr>
      </w:pPr>
      <w:r>
        <w:rPr>
          <w:rFonts w:ascii="宋体" w:hAnsi="宋体" w:eastAsia="宋体" w:cs="宋体"/>
          <w:spacing w:val="8"/>
          <w:sz w:val="20"/>
          <w:szCs w:val="20"/>
        </w:rPr>
        <w:t>工程名称：建筑与装饰工程</w:t>
      </w:r>
    </w:p>
    <w:tbl>
      <w:tblPr>
        <w:tblStyle w:val="25"/>
        <w:tblW w:w="817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12"/>
        <w:gridCol w:w="1583"/>
        <w:gridCol w:w="3283"/>
        <w:gridCol w:w="717"/>
        <w:gridCol w:w="188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0" w:hRule="atLeast"/>
          <w:jc w:val="center"/>
        </w:trPr>
        <w:tc>
          <w:tcPr>
            <w:tcW w:w="712" w:type="dxa"/>
            <w:vMerge w:val="restart"/>
            <w:tcBorders>
              <w:top w:val="single" w:color="000000" w:sz="10" w:space="0"/>
              <w:left w:val="single" w:color="000000" w:sz="10" w:space="0"/>
              <w:bottom w:val="nil"/>
            </w:tcBorders>
            <w:noWrap w:val="0"/>
            <w:vAlign w:val="top"/>
          </w:tcPr>
          <w:p>
            <w:pPr>
              <w:spacing w:before="200" w:line="231" w:lineRule="auto"/>
              <w:ind w:left="70"/>
              <w:rPr>
                <w:rFonts w:ascii="宋体" w:hAnsi="宋体" w:eastAsia="宋体" w:cs="宋体"/>
                <w:sz w:val="20"/>
                <w:szCs w:val="20"/>
              </w:rPr>
            </w:pPr>
            <w:r>
              <w:rPr>
                <w:rFonts w:ascii="宋体" w:hAnsi="宋体" w:eastAsia="宋体" w:cs="宋体"/>
                <w:spacing w:val="6"/>
                <w:sz w:val="20"/>
                <w:szCs w:val="20"/>
              </w:rPr>
              <w:t>序号</w:t>
            </w:r>
          </w:p>
        </w:tc>
        <w:tc>
          <w:tcPr>
            <w:tcW w:w="1583" w:type="dxa"/>
            <w:vMerge w:val="restart"/>
            <w:tcBorders>
              <w:top w:val="single" w:color="000000" w:sz="10" w:space="0"/>
              <w:bottom w:val="nil"/>
            </w:tcBorders>
            <w:noWrap w:val="0"/>
            <w:vAlign w:val="top"/>
          </w:tcPr>
          <w:p>
            <w:pPr>
              <w:spacing w:before="199" w:line="230" w:lineRule="auto"/>
              <w:ind w:left="108"/>
              <w:rPr>
                <w:rFonts w:ascii="宋体" w:hAnsi="宋体" w:eastAsia="宋体" w:cs="宋体"/>
                <w:sz w:val="20"/>
                <w:szCs w:val="20"/>
              </w:rPr>
            </w:pPr>
            <w:r>
              <w:rPr>
                <w:rFonts w:ascii="宋体" w:hAnsi="宋体" w:eastAsia="宋体" w:cs="宋体"/>
                <w:sz w:val="20"/>
                <w:szCs w:val="20"/>
              </w:rPr>
              <w:t>编</w:t>
            </w:r>
            <w:r>
              <w:rPr>
                <w:rFonts w:ascii="宋体" w:hAnsi="宋体" w:eastAsia="宋体" w:cs="宋体"/>
                <w:spacing w:val="10"/>
                <w:sz w:val="20"/>
                <w:szCs w:val="20"/>
              </w:rPr>
              <w:t xml:space="preserve">  </w:t>
            </w:r>
            <w:r>
              <w:rPr>
                <w:rFonts w:ascii="宋体" w:hAnsi="宋体" w:eastAsia="宋体" w:cs="宋体"/>
                <w:sz w:val="20"/>
                <w:szCs w:val="20"/>
              </w:rPr>
              <w:t>号</w:t>
            </w:r>
          </w:p>
        </w:tc>
        <w:tc>
          <w:tcPr>
            <w:tcW w:w="3283" w:type="dxa"/>
            <w:vMerge w:val="restart"/>
            <w:tcBorders>
              <w:top w:val="single" w:color="000000" w:sz="10" w:space="0"/>
              <w:bottom w:val="nil"/>
            </w:tcBorders>
            <w:noWrap w:val="0"/>
            <w:vAlign w:val="top"/>
          </w:tcPr>
          <w:p>
            <w:pPr>
              <w:spacing w:before="199" w:line="231" w:lineRule="auto"/>
              <w:ind w:firstLine="372" w:firstLineChars="200"/>
              <w:rPr>
                <w:rFonts w:ascii="宋体" w:hAnsi="宋体" w:eastAsia="宋体" w:cs="宋体"/>
                <w:sz w:val="20"/>
                <w:szCs w:val="20"/>
              </w:rPr>
            </w:pPr>
            <w:r>
              <w:rPr>
                <w:rFonts w:ascii="宋体" w:hAnsi="宋体" w:eastAsia="宋体" w:cs="宋体"/>
                <w:spacing w:val="-7"/>
                <w:sz w:val="20"/>
                <w:szCs w:val="20"/>
              </w:rPr>
              <w:t>子</w:t>
            </w:r>
            <w:r>
              <w:rPr>
                <w:rFonts w:ascii="宋体" w:hAnsi="宋体" w:eastAsia="宋体" w:cs="宋体"/>
                <w:spacing w:val="25"/>
                <w:sz w:val="20"/>
                <w:szCs w:val="20"/>
              </w:rPr>
              <w:t xml:space="preserve">  </w:t>
            </w:r>
            <w:r>
              <w:rPr>
                <w:rFonts w:ascii="宋体" w:hAnsi="宋体" w:eastAsia="宋体" w:cs="宋体"/>
                <w:spacing w:val="-7"/>
                <w:sz w:val="20"/>
                <w:szCs w:val="20"/>
              </w:rPr>
              <w:t>目</w:t>
            </w:r>
            <w:r>
              <w:rPr>
                <w:rFonts w:ascii="宋体" w:hAnsi="宋体" w:eastAsia="宋体" w:cs="宋体"/>
                <w:spacing w:val="9"/>
                <w:sz w:val="20"/>
                <w:szCs w:val="20"/>
              </w:rPr>
              <w:t xml:space="preserve">  </w:t>
            </w:r>
            <w:r>
              <w:rPr>
                <w:rFonts w:ascii="宋体" w:hAnsi="宋体" w:eastAsia="宋体" w:cs="宋体"/>
                <w:spacing w:val="-7"/>
                <w:sz w:val="20"/>
                <w:szCs w:val="20"/>
              </w:rPr>
              <w:t>名</w:t>
            </w:r>
            <w:r>
              <w:rPr>
                <w:rFonts w:ascii="宋体" w:hAnsi="宋体" w:eastAsia="宋体" w:cs="宋体"/>
                <w:spacing w:val="8"/>
                <w:sz w:val="20"/>
                <w:szCs w:val="20"/>
              </w:rPr>
              <w:t xml:space="preserve">  </w:t>
            </w:r>
            <w:r>
              <w:rPr>
                <w:rFonts w:ascii="宋体" w:hAnsi="宋体" w:eastAsia="宋体" w:cs="宋体"/>
                <w:spacing w:val="-7"/>
                <w:sz w:val="20"/>
                <w:szCs w:val="20"/>
              </w:rPr>
              <w:t>称</w:t>
            </w:r>
          </w:p>
        </w:tc>
        <w:tc>
          <w:tcPr>
            <w:tcW w:w="2600" w:type="dxa"/>
            <w:gridSpan w:val="2"/>
            <w:tcBorders>
              <w:top w:val="single" w:color="000000" w:sz="10" w:space="0"/>
            </w:tcBorders>
            <w:noWrap w:val="0"/>
            <w:vAlign w:val="top"/>
          </w:tcPr>
          <w:p>
            <w:pPr>
              <w:spacing w:before="49" w:line="231" w:lineRule="auto"/>
              <w:ind w:firstLine="848" w:firstLineChars="400"/>
              <w:rPr>
                <w:rFonts w:ascii="宋体" w:hAnsi="宋体" w:eastAsia="宋体" w:cs="宋体"/>
                <w:sz w:val="20"/>
                <w:szCs w:val="20"/>
              </w:rPr>
            </w:pPr>
            <w:r>
              <w:rPr>
                <w:rFonts w:ascii="宋体" w:hAnsi="宋体" w:eastAsia="宋体" w:cs="宋体"/>
                <w:spacing w:val="6"/>
                <w:sz w:val="20"/>
                <w:szCs w:val="20"/>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5" w:hRule="atLeast"/>
          <w:jc w:val="center"/>
        </w:trPr>
        <w:tc>
          <w:tcPr>
            <w:tcW w:w="712" w:type="dxa"/>
            <w:vMerge w:val="continue"/>
            <w:tcBorders>
              <w:top w:val="nil"/>
              <w:left w:val="single" w:color="000000" w:sz="10" w:space="0"/>
            </w:tcBorders>
            <w:noWrap w:val="0"/>
            <w:vAlign w:val="top"/>
          </w:tcPr>
          <w:p>
            <w:pPr>
              <w:pStyle w:val="47"/>
              <w:rPr>
                <w:sz w:val="24"/>
                <w:szCs w:val="24"/>
              </w:rPr>
            </w:pPr>
          </w:p>
        </w:tc>
        <w:tc>
          <w:tcPr>
            <w:tcW w:w="1583" w:type="dxa"/>
            <w:vMerge w:val="continue"/>
            <w:tcBorders>
              <w:top w:val="nil"/>
            </w:tcBorders>
            <w:noWrap w:val="0"/>
            <w:vAlign w:val="top"/>
          </w:tcPr>
          <w:p>
            <w:pPr>
              <w:pStyle w:val="47"/>
              <w:rPr>
                <w:sz w:val="24"/>
                <w:szCs w:val="24"/>
              </w:rPr>
            </w:pPr>
          </w:p>
        </w:tc>
        <w:tc>
          <w:tcPr>
            <w:tcW w:w="3283" w:type="dxa"/>
            <w:vMerge w:val="continue"/>
            <w:tcBorders>
              <w:top w:val="nil"/>
            </w:tcBorders>
            <w:noWrap w:val="0"/>
            <w:vAlign w:val="top"/>
          </w:tcPr>
          <w:p>
            <w:pPr>
              <w:pStyle w:val="47"/>
              <w:rPr>
                <w:sz w:val="24"/>
                <w:szCs w:val="24"/>
              </w:rPr>
            </w:pPr>
          </w:p>
        </w:tc>
        <w:tc>
          <w:tcPr>
            <w:tcW w:w="717" w:type="dxa"/>
            <w:noWrap w:val="0"/>
            <w:vAlign w:val="top"/>
          </w:tcPr>
          <w:p>
            <w:pPr>
              <w:spacing w:before="44" w:line="231" w:lineRule="auto"/>
              <w:ind w:left="87"/>
              <w:rPr>
                <w:rFonts w:ascii="宋体" w:hAnsi="宋体" w:eastAsia="宋体" w:cs="宋体"/>
                <w:sz w:val="20"/>
                <w:szCs w:val="20"/>
              </w:rPr>
            </w:pPr>
            <w:r>
              <w:rPr>
                <w:rFonts w:ascii="宋体" w:hAnsi="宋体" w:eastAsia="宋体" w:cs="宋体"/>
                <w:spacing w:val="5"/>
                <w:sz w:val="20"/>
                <w:szCs w:val="20"/>
              </w:rPr>
              <w:t>单位</w:t>
            </w:r>
          </w:p>
        </w:tc>
        <w:tc>
          <w:tcPr>
            <w:tcW w:w="1883" w:type="dxa"/>
            <w:noWrap w:val="0"/>
            <w:vAlign w:val="top"/>
          </w:tcPr>
          <w:p>
            <w:pPr>
              <w:spacing w:before="44" w:line="230" w:lineRule="auto"/>
              <w:ind w:left="237" w:firstLine="420" w:firstLineChars="200"/>
              <w:rPr>
                <w:rFonts w:ascii="宋体" w:hAnsi="宋体" w:eastAsia="宋体" w:cs="宋体"/>
                <w:sz w:val="20"/>
                <w:szCs w:val="20"/>
              </w:rPr>
            </w:pPr>
            <w:r>
              <w:rPr>
                <w:rFonts w:ascii="宋体" w:hAnsi="宋体" w:eastAsia="宋体" w:cs="宋体"/>
                <w:spacing w:val="5"/>
                <w:sz w:val="20"/>
                <w:szCs w:val="20"/>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spacing w:before="75" w:line="195" w:lineRule="auto"/>
              <w:ind w:left="18"/>
              <w:rPr>
                <w:rFonts w:hint="eastAsia" w:ascii="宋体" w:hAnsi="宋体" w:eastAsia="宋体" w:cs="宋体"/>
                <w:spacing w:val="3"/>
                <w:sz w:val="20"/>
                <w:szCs w:val="20"/>
                <w:lang w:val="en-US" w:eastAsia="zh-CN"/>
              </w:rPr>
            </w:pPr>
            <w:r>
              <w:rPr>
                <w:rFonts w:hint="eastAsia" w:ascii="宋体" w:hAnsi="宋体" w:cs="宋体"/>
                <w:spacing w:val="3"/>
                <w:sz w:val="20"/>
                <w:szCs w:val="20"/>
                <w:lang w:val="en-US" w:eastAsia="zh-CN"/>
              </w:rPr>
              <w:t>1</w:t>
            </w:r>
          </w:p>
        </w:tc>
        <w:tc>
          <w:tcPr>
            <w:tcW w:w="1583" w:type="dxa"/>
            <w:noWrap w:val="0"/>
            <w:vAlign w:val="top"/>
          </w:tcPr>
          <w:p>
            <w:pPr>
              <w:spacing w:before="164" w:line="230" w:lineRule="exact"/>
              <w:ind w:left="30"/>
              <w:rPr>
                <w:rFonts w:ascii="宋体" w:hAnsi="宋体" w:eastAsia="宋体" w:cs="宋体"/>
                <w:sz w:val="20"/>
                <w:szCs w:val="20"/>
              </w:rPr>
            </w:pPr>
            <w:r>
              <w:rPr>
                <w:rFonts w:ascii="宋体" w:hAnsi="宋体" w:eastAsia="宋体" w:cs="宋体"/>
                <w:spacing w:val="-1"/>
                <w:position w:val="1"/>
                <w:sz w:val="20"/>
                <w:szCs w:val="20"/>
              </w:rPr>
              <w:t>1-47</w:t>
            </w:r>
          </w:p>
        </w:tc>
        <w:tc>
          <w:tcPr>
            <w:tcW w:w="3283" w:type="dxa"/>
            <w:noWrap w:val="0"/>
            <w:vAlign w:val="top"/>
          </w:tcPr>
          <w:p>
            <w:pPr>
              <w:spacing w:before="73" w:line="213" w:lineRule="auto"/>
              <w:ind w:left="19" w:right="155"/>
              <w:rPr>
                <w:rFonts w:ascii="宋体" w:hAnsi="宋体" w:eastAsia="宋体" w:cs="宋体"/>
                <w:sz w:val="20"/>
                <w:szCs w:val="20"/>
              </w:rPr>
            </w:pPr>
            <w:r>
              <w:rPr>
                <w:rFonts w:ascii="宋体" w:hAnsi="宋体" w:eastAsia="宋体" w:cs="宋体"/>
                <w:spacing w:val="7"/>
                <w:sz w:val="20"/>
                <w:szCs w:val="20"/>
              </w:rPr>
              <w:t>挖掘机挖槽坑土方 一、二</w:t>
            </w:r>
            <w:r>
              <w:rPr>
                <w:rFonts w:ascii="宋体" w:hAnsi="宋体" w:eastAsia="宋体" w:cs="宋体"/>
                <w:spacing w:val="6"/>
                <w:sz w:val="20"/>
                <w:szCs w:val="20"/>
              </w:rPr>
              <w:t xml:space="preserve"> </w:t>
            </w:r>
            <w:r>
              <w:rPr>
                <w:rFonts w:ascii="宋体" w:hAnsi="宋体" w:eastAsia="宋体" w:cs="宋体"/>
                <w:spacing w:val="5"/>
                <w:sz w:val="20"/>
                <w:szCs w:val="20"/>
              </w:rPr>
              <w:t>类土</w:t>
            </w:r>
          </w:p>
        </w:tc>
        <w:tc>
          <w:tcPr>
            <w:tcW w:w="717" w:type="dxa"/>
            <w:noWrap w:val="0"/>
            <w:vAlign w:val="top"/>
          </w:tcPr>
          <w:p>
            <w:pPr>
              <w:spacing w:before="164" w:line="230" w:lineRule="exact"/>
              <w:ind w:left="40"/>
              <w:rPr>
                <w:rFonts w:ascii="宋体" w:hAnsi="宋体" w:eastAsia="宋体" w:cs="宋体"/>
                <w:sz w:val="20"/>
                <w:szCs w:val="20"/>
              </w:rPr>
            </w:pPr>
            <w:r>
              <w:rPr>
                <w:rFonts w:ascii="宋体" w:hAnsi="宋体" w:eastAsia="宋体" w:cs="宋体"/>
                <w:spacing w:val="-1"/>
                <w:position w:val="1"/>
                <w:sz w:val="20"/>
                <w:szCs w:val="20"/>
              </w:rPr>
              <w:t>10m3</w:t>
            </w:r>
          </w:p>
        </w:tc>
        <w:tc>
          <w:tcPr>
            <w:tcW w:w="1883" w:type="dxa"/>
            <w:noWrap w:val="0"/>
            <w:vAlign w:val="top"/>
          </w:tcPr>
          <w:p>
            <w:pPr>
              <w:spacing w:before="164"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205.92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75" w:line="195" w:lineRule="auto"/>
              <w:ind w:left="18"/>
              <w:rPr>
                <w:rFonts w:ascii="宋体" w:hAnsi="宋体" w:eastAsia="宋体" w:cs="宋体"/>
                <w:sz w:val="20"/>
                <w:szCs w:val="20"/>
              </w:rPr>
            </w:pPr>
            <w:r>
              <w:rPr>
                <w:rFonts w:ascii="宋体" w:hAnsi="宋体" w:eastAsia="宋体" w:cs="宋体"/>
                <w:spacing w:val="3"/>
                <w:sz w:val="20"/>
                <w:szCs w:val="20"/>
              </w:rPr>
              <w:t>00010100</w:t>
            </w:r>
            <w:r>
              <w:rPr>
                <w:rFonts w:ascii="宋体" w:hAnsi="宋体" w:eastAsia="宋体" w:cs="宋体"/>
                <w:position w:val="1"/>
                <w:sz w:val="20"/>
                <w:szCs w:val="20"/>
              </w:rPr>
              <w:t>1</w:t>
            </w:r>
          </w:p>
        </w:tc>
        <w:tc>
          <w:tcPr>
            <w:tcW w:w="3283" w:type="dxa"/>
            <w:noWrap w:val="0"/>
            <w:vAlign w:val="top"/>
          </w:tcPr>
          <w:p>
            <w:pPr>
              <w:spacing w:before="165" w:line="230" w:lineRule="auto"/>
              <w:ind w:left="23"/>
              <w:rPr>
                <w:rFonts w:ascii="宋体" w:hAnsi="宋体" w:eastAsia="宋体" w:cs="宋体"/>
                <w:sz w:val="20"/>
                <w:szCs w:val="20"/>
              </w:rPr>
            </w:pPr>
            <w:r>
              <w:rPr>
                <w:rFonts w:ascii="宋体" w:hAnsi="宋体" w:eastAsia="宋体" w:cs="宋体"/>
                <w:spacing w:val="6"/>
                <w:sz w:val="20"/>
                <w:szCs w:val="20"/>
              </w:rPr>
              <w:t>一类人工</w:t>
            </w:r>
          </w:p>
        </w:tc>
        <w:tc>
          <w:tcPr>
            <w:tcW w:w="717" w:type="dxa"/>
            <w:noWrap w:val="0"/>
            <w:vAlign w:val="top"/>
          </w:tcPr>
          <w:p>
            <w:pPr>
              <w:spacing w:before="165"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65" w:line="230" w:lineRule="exact"/>
              <w:ind w:right="7"/>
              <w:jc w:val="right"/>
              <w:rPr>
                <w:rFonts w:ascii="宋体" w:hAnsi="宋体" w:eastAsia="宋体" w:cs="宋体"/>
                <w:sz w:val="20"/>
                <w:szCs w:val="20"/>
              </w:rPr>
            </w:pPr>
            <w:r>
              <w:rPr>
                <w:rFonts w:ascii="宋体" w:hAnsi="宋体" w:eastAsia="宋体" w:cs="宋体"/>
                <w:spacing w:val="2"/>
                <w:position w:val="1"/>
                <w:sz w:val="20"/>
                <w:szCs w:val="20"/>
              </w:rPr>
              <w:t>127.6704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77" w:line="195" w:lineRule="auto"/>
              <w:ind w:left="20"/>
              <w:rPr>
                <w:rFonts w:ascii="宋体" w:hAnsi="宋体" w:eastAsia="宋体" w:cs="宋体"/>
                <w:sz w:val="20"/>
                <w:szCs w:val="20"/>
              </w:rPr>
            </w:pPr>
            <w:r>
              <w:rPr>
                <w:rFonts w:ascii="宋体" w:hAnsi="宋体" w:eastAsia="宋体" w:cs="宋体"/>
                <w:spacing w:val="3"/>
                <w:sz w:val="20"/>
                <w:szCs w:val="20"/>
              </w:rPr>
              <w:t>34110002</w:t>
            </w:r>
            <w:r>
              <w:rPr>
                <w:rFonts w:ascii="宋体" w:hAnsi="宋体" w:eastAsia="宋体" w:cs="宋体"/>
                <w:position w:val="1"/>
                <w:sz w:val="20"/>
                <w:szCs w:val="20"/>
              </w:rPr>
              <w:t>4</w:t>
            </w:r>
          </w:p>
        </w:tc>
        <w:tc>
          <w:tcPr>
            <w:tcW w:w="3283" w:type="dxa"/>
            <w:noWrap w:val="0"/>
            <w:vAlign w:val="top"/>
          </w:tcPr>
          <w:p>
            <w:pPr>
              <w:spacing w:before="166" w:line="229" w:lineRule="auto"/>
              <w:ind w:left="20"/>
              <w:rPr>
                <w:rFonts w:ascii="宋体" w:hAnsi="宋体" w:eastAsia="宋体" w:cs="宋体"/>
                <w:sz w:val="20"/>
                <w:szCs w:val="20"/>
              </w:rPr>
            </w:pPr>
            <w:r>
              <w:rPr>
                <w:rFonts w:ascii="宋体" w:hAnsi="宋体" w:eastAsia="宋体" w:cs="宋体"/>
                <w:spacing w:val="7"/>
                <w:sz w:val="20"/>
                <w:szCs w:val="20"/>
              </w:rPr>
              <w:t>柴油(机械用)</w:t>
            </w:r>
          </w:p>
        </w:tc>
        <w:tc>
          <w:tcPr>
            <w:tcW w:w="717" w:type="dxa"/>
            <w:noWrap w:val="0"/>
            <w:vAlign w:val="top"/>
          </w:tcPr>
          <w:p>
            <w:pPr>
              <w:spacing w:before="166" w:line="224" w:lineRule="auto"/>
              <w:ind w:left="25"/>
              <w:rPr>
                <w:rFonts w:ascii="宋体" w:hAnsi="宋体" w:eastAsia="宋体" w:cs="宋体"/>
                <w:sz w:val="20"/>
                <w:szCs w:val="20"/>
              </w:rPr>
            </w:pPr>
            <w:r>
              <w:rPr>
                <w:rFonts w:ascii="宋体" w:hAnsi="宋体" w:eastAsia="宋体" w:cs="宋体"/>
                <w:spacing w:val="1"/>
                <w:sz w:val="20"/>
                <w:szCs w:val="20"/>
              </w:rPr>
              <w:t>kg</w:t>
            </w:r>
          </w:p>
        </w:tc>
        <w:tc>
          <w:tcPr>
            <w:tcW w:w="1883" w:type="dxa"/>
            <w:noWrap w:val="0"/>
            <w:vAlign w:val="top"/>
          </w:tcPr>
          <w:p>
            <w:pPr>
              <w:spacing w:before="166"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256.7822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78" w:line="195" w:lineRule="auto"/>
              <w:ind w:left="17"/>
              <w:rPr>
                <w:rFonts w:ascii="宋体" w:hAnsi="宋体" w:eastAsia="宋体" w:cs="宋体"/>
                <w:sz w:val="20"/>
                <w:szCs w:val="20"/>
              </w:rPr>
            </w:pPr>
            <w:r>
              <w:rPr>
                <w:rFonts w:ascii="宋体" w:hAnsi="宋体" w:eastAsia="宋体" w:cs="宋体"/>
                <w:spacing w:val="3"/>
                <w:sz w:val="20"/>
                <w:szCs w:val="20"/>
              </w:rPr>
              <w:t>99000000</w:t>
            </w:r>
            <w:r>
              <w:rPr>
                <w:rFonts w:ascii="宋体" w:hAnsi="宋体" w:eastAsia="宋体" w:cs="宋体"/>
                <w:position w:val="1"/>
                <w:sz w:val="20"/>
                <w:szCs w:val="20"/>
              </w:rPr>
              <w:t>0</w:t>
            </w:r>
          </w:p>
        </w:tc>
        <w:tc>
          <w:tcPr>
            <w:tcW w:w="3283" w:type="dxa"/>
            <w:noWrap w:val="0"/>
            <w:vAlign w:val="top"/>
          </w:tcPr>
          <w:p>
            <w:pPr>
              <w:spacing w:before="168" w:line="229" w:lineRule="auto"/>
              <w:ind w:left="19"/>
              <w:rPr>
                <w:rFonts w:ascii="宋体" w:hAnsi="宋体" w:eastAsia="宋体" w:cs="宋体"/>
                <w:sz w:val="20"/>
                <w:szCs w:val="20"/>
              </w:rPr>
            </w:pPr>
            <w:r>
              <w:rPr>
                <w:rFonts w:ascii="宋体" w:hAnsi="宋体" w:eastAsia="宋体" w:cs="宋体"/>
                <w:spacing w:val="8"/>
                <w:sz w:val="20"/>
                <w:szCs w:val="20"/>
              </w:rPr>
              <w:t>机械综合工日</w:t>
            </w:r>
          </w:p>
        </w:tc>
        <w:tc>
          <w:tcPr>
            <w:tcW w:w="717" w:type="dxa"/>
            <w:noWrap w:val="0"/>
            <w:vAlign w:val="top"/>
          </w:tcPr>
          <w:p>
            <w:pPr>
              <w:spacing w:before="168"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68"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8.2368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22" w:line="191" w:lineRule="auto"/>
              <w:ind w:left="16"/>
              <w:rPr>
                <w:rFonts w:ascii="宋体" w:hAnsi="宋体" w:eastAsia="宋体" w:cs="宋体"/>
                <w:sz w:val="20"/>
                <w:szCs w:val="20"/>
              </w:rPr>
            </w:pPr>
            <w:r>
              <w:rPr>
                <w:rFonts w:ascii="宋体" w:hAnsi="宋体" w:eastAsia="宋体" w:cs="宋体"/>
                <w:spacing w:val="3"/>
                <w:sz w:val="20"/>
                <w:szCs w:val="20"/>
              </w:rPr>
              <w:t>JIANXF</w:t>
            </w:r>
          </w:p>
        </w:tc>
        <w:tc>
          <w:tcPr>
            <w:tcW w:w="3283" w:type="dxa"/>
            <w:noWrap w:val="0"/>
            <w:vAlign w:val="top"/>
          </w:tcPr>
          <w:p>
            <w:pPr>
              <w:spacing w:before="93" w:line="230" w:lineRule="auto"/>
              <w:ind w:left="20"/>
              <w:rPr>
                <w:rFonts w:ascii="宋体" w:hAnsi="宋体" w:eastAsia="宋体" w:cs="宋体"/>
                <w:sz w:val="20"/>
                <w:szCs w:val="20"/>
              </w:rPr>
            </w:pPr>
            <w:r>
              <w:rPr>
                <w:rFonts w:ascii="宋体" w:hAnsi="宋体" w:eastAsia="宋体" w:cs="宋体"/>
                <w:spacing w:val="7"/>
                <w:sz w:val="20"/>
                <w:szCs w:val="20"/>
              </w:rPr>
              <w:t>检修费</w:t>
            </w:r>
          </w:p>
        </w:tc>
        <w:tc>
          <w:tcPr>
            <w:tcW w:w="717" w:type="dxa"/>
            <w:noWrap w:val="0"/>
            <w:vAlign w:val="top"/>
          </w:tcPr>
          <w:p>
            <w:pPr>
              <w:spacing w:before="93"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93"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307.5498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26" w:line="187" w:lineRule="auto"/>
              <w:ind w:left="11"/>
              <w:rPr>
                <w:rFonts w:ascii="宋体" w:hAnsi="宋体" w:eastAsia="宋体" w:cs="宋体"/>
                <w:sz w:val="20"/>
                <w:szCs w:val="20"/>
              </w:rPr>
            </w:pPr>
            <w:r>
              <w:rPr>
                <w:rFonts w:ascii="宋体" w:hAnsi="宋体" w:eastAsia="宋体" w:cs="宋体"/>
                <w:spacing w:val="4"/>
                <w:sz w:val="20"/>
                <w:szCs w:val="20"/>
              </w:rPr>
              <w:t>WHF</w:t>
            </w:r>
          </w:p>
        </w:tc>
        <w:tc>
          <w:tcPr>
            <w:tcW w:w="3283" w:type="dxa"/>
            <w:noWrap w:val="0"/>
            <w:vAlign w:val="top"/>
          </w:tcPr>
          <w:p>
            <w:pPr>
              <w:spacing w:before="94" w:line="231" w:lineRule="auto"/>
              <w:ind w:left="23"/>
              <w:rPr>
                <w:rFonts w:ascii="宋体" w:hAnsi="宋体" w:eastAsia="宋体" w:cs="宋体"/>
                <w:sz w:val="20"/>
                <w:szCs w:val="20"/>
              </w:rPr>
            </w:pPr>
            <w:r>
              <w:rPr>
                <w:rFonts w:ascii="宋体" w:hAnsi="宋体" w:eastAsia="宋体" w:cs="宋体"/>
                <w:spacing w:val="6"/>
                <w:sz w:val="20"/>
                <w:szCs w:val="20"/>
              </w:rPr>
              <w:t>维护费</w:t>
            </w:r>
          </w:p>
        </w:tc>
        <w:tc>
          <w:tcPr>
            <w:tcW w:w="717" w:type="dxa"/>
            <w:noWrap w:val="0"/>
            <w:vAlign w:val="top"/>
          </w:tcPr>
          <w:p>
            <w:pPr>
              <w:spacing w:before="94"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94"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656.2135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26" w:line="188" w:lineRule="auto"/>
              <w:ind w:left="16"/>
              <w:rPr>
                <w:rFonts w:ascii="宋体" w:hAnsi="宋体" w:eastAsia="宋体" w:cs="宋体"/>
                <w:sz w:val="20"/>
                <w:szCs w:val="20"/>
              </w:rPr>
            </w:pPr>
            <w:r>
              <w:rPr>
                <w:rFonts w:ascii="宋体" w:hAnsi="宋体" w:eastAsia="宋体" w:cs="宋体"/>
                <w:spacing w:val="2"/>
                <w:sz w:val="20"/>
                <w:szCs w:val="20"/>
              </w:rPr>
              <w:t>ZJF</w:t>
            </w:r>
          </w:p>
        </w:tc>
        <w:tc>
          <w:tcPr>
            <w:tcW w:w="3283" w:type="dxa"/>
            <w:noWrap w:val="0"/>
            <w:vAlign w:val="top"/>
          </w:tcPr>
          <w:p>
            <w:pPr>
              <w:spacing w:before="95" w:line="231" w:lineRule="auto"/>
              <w:ind w:left="21"/>
              <w:rPr>
                <w:rFonts w:ascii="宋体" w:hAnsi="宋体" w:eastAsia="宋体" w:cs="宋体"/>
                <w:sz w:val="20"/>
                <w:szCs w:val="20"/>
              </w:rPr>
            </w:pPr>
            <w:r>
              <w:rPr>
                <w:rFonts w:ascii="宋体" w:hAnsi="宋体" w:eastAsia="宋体" w:cs="宋体"/>
                <w:spacing w:val="6"/>
                <w:sz w:val="20"/>
                <w:szCs w:val="20"/>
              </w:rPr>
              <w:t>折旧费</w:t>
            </w:r>
          </w:p>
        </w:tc>
        <w:tc>
          <w:tcPr>
            <w:tcW w:w="717" w:type="dxa"/>
            <w:noWrap w:val="0"/>
            <w:vAlign w:val="top"/>
          </w:tcPr>
          <w:p>
            <w:pPr>
              <w:spacing w:before="95"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95"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808.932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spacing w:before="75" w:line="195" w:lineRule="auto"/>
              <w:ind w:left="18"/>
              <w:rPr>
                <w:rFonts w:hint="default" w:ascii="宋体" w:hAnsi="宋体" w:eastAsia="宋体" w:cs="宋体"/>
                <w:spacing w:val="3"/>
                <w:kern w:val="2"/>
                <w:sz w:val="20"/>
                <w:szCs w:val="20"/>
                <w:lang w:val="en-US" w:eastAsia="zh-CN" w:bidi="ar-SA"/>
              </w:rPr>
            </w:pPr>
            <w:r>
              <w:rPr>
                <w:rFonts w:hint="eastAsia" w:ascii="宋体" w:hAnsi="宋体" w:cs="宋体"/>
                <w:spacing w:val="3"/>
                <w:kern w:val="2"/>
                <w:sz w:val="20"/>
                <w:szCs w:val="20"/>
                <w:lang w:val="en-US" w:eastAsia="zh-CN" w:bidi="ar-SA"/>
              </w:rPr>
              <w:t>2</w:t>
            </w:r>
          </w:p>
        </w:tc>
        <w:tc>
          <w:tcPr>
            <w:tcW w:w="1583" w:type="dxa"/>
            <w:noWrap w:val="0"/>
            <w:vAlign w:val="top"/>
          </w:tcPr>
          <w:p>
            <w:pPr>
              <w:spacing w:before="96" w:line="231" w:lineRule="exact"/>
              <w:ind w:left="30"/>
              <w:rPr>
                <w:rFonts w:ascii="宋体" w:hAnsi="宋体" w:eastAsia="宋体" w:cs="宋体"/>
                <w:sz w:val="20"/>
                <w:szCs w:val="20"/>
              </w:rPr>
            </w:pPr>
            <w:r>
              <w:rPr>
                <w:rFonts w:ascii="宋体" w:hAnsi="宋体" w:eastAsia="宋体" w:cs="宋体"/>
                <w:position w:val="1"/>
                <w:sz w:val="20"/>
                <w:szCs w:val="20"/>
              </w:rPr>
              <w:t>1-130</w:t>
            </w:r>
          </w:p>
        </w:tc>
        <w:tc>
          <w:tcPr>
            <w:tcW w:w="3283" w:type="dxa"/>
            <w:noWrap w:val="0"/>
            <w:vAlign w:val="top"/>
          </w:tcPr>
          <w:p>
            <w:pPr>
              <w:spacing w:before="97" w:line="229" w:lineRule="auto"/>
              <w:ind w:left="19"/>
              <w:rPr>
                <w:rFonts w:ascii="宋体" w:hAnsi="宋体" w:eastAsia="宋体" w:cs="宋体"/>
                <w:sz w:val="20"/>
                <w:szCs w:val="20"/>
              </w:rPr>
            </w:pPr>
            <w:r>
              <w:rPr>
                <w:rFonts w:ascii="宋体" w:hAnsi="宋体" w:eastAsia="宋体" w:cs="宋体"/>
                <w:spacing w:val="7"/>
                <w:sz w:val="20"/>
                <w:szCs w:val="20"/>
              </w:rPr>
              <w:t>机械碾压 填土</w:t>
            </w:r>
            <w:r>
              <w:rPr>
                <w:rFonts w:ascii="宋体" w:hAnsi="宋体" w:eastAsia="宋体" w:cs="宋体"/>
                <w:spacing w:val="14"/>
                <w:sz w:val="20"/>
                <w:szCs w:val="20"/>
              </w:rPr>
              <w:t xml:space="preserve"> </w:t>
            </w:r>
            <w:r>
              <w:rPr>
                <w:rFonts w:ascii="宋体" w:hAnsi="宋体" w:eastAsia="宋体" w:cs="宋体"/>
                <w:spacing w:val="7"/>
                <w:sz w:val="20"/>
                <w:szCs w:val="20"/>
              </w:rPr>
              <w:t>两遍</w:t>
            </w:r>
          </w:p>
        </w:tc>
        <w:tc>
          <w:tcPr>
            <w:tcW w:w="717" w:type="dxa"/>
            <w:noWrap w:val="0"/>
            <w:vAlign w:val="top"/>
          </w:tcPr>
          <w:p>
            <w:pPr>
              <w:spacing w:before="96" w:line="231" w:lineRule="exact"/>
              <w:ind w:left="40"/>
              <w:rPr>
                <w:rFonts w:ascii="宋体" w:hAnsi="宋体" w:eastAsia="宋体" w:cs="宋体"/>
                <w:sz w:val="20"/>
                <w:szCs w:val="20"/>
              </w:rPr>
            </w:pPr>
            <w:r>
              <w:rPr>
                <w:rFonts w:ascii="宋体" w:hAnsi="宋体" w:eastAsia="宋体" w:cs="宋体"/>
                <w:spacing w:val="-1"/>
                <w:position w:val="1"/>
                <w:sz w:val="20"/>
                <w:szCs w:val="20"/>
              </w:rPr>
              <w:t>10m3</w:t>
            </w:r>
          </w:p>
        </w:tc>
        <w:tc>
          <w:tcPr>
            <w:tcW w:w="1883" w:type="dxa"/>
            <w:noWrap w:val="0"/>
            <w:vAlign w:val="top"/>
          </w:tcPr>
          <w:p>
            <w:pPr>
              <w:spacing w:before="96" w:line="230" w:lineRule="exact"/>
              <w:ind w:right="7"/>
              <w:jc w:val="right"/>
              <w:rPr>
                <w:rFonts w:ascii="宋体" w:hAnsi="宋体" w:eastAsia="宋体" w:cs="宋体"/>
                <w:sz w:val="20"/>
                <w:szCs w:val="20"/>
              </w:rPr>
            </w:pPr>
            <w:r>
              <w:rPr>
                <w:rFonts w:ascii="宋体" w:hAnsi="宋体" w:eastAsia="宋体" w:cs="宋体"/>
                <w:spacing w:val="1"/>
                <w:position w:val="1"/>
                <w:sz w:val="20"/>
                <w:szCs w:val="20"/>
              </w:rPr>
              <w:t>120.12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83" w:line="195" w:lineRule="auto"/>
              <w:ind w:left="18"/>
              <w:rPr>
                <w:rFonts w:ascii="宋体" w:hAnsi="宋体" w:eastAsia="宋体" w:cs="宋体"/>
                <w:sz w:val="20"/>
                <w:szCs w:val="20"/>
              </w:rPr>
            </w:pPr>
            <w:r>
              <w:rPr>
                <w:rFonts w:ascii="宋体" w:hAnsi="宋体" w:eastAsia="宋体" w:cs="宋体"/>
                <w:spacing w:val="3"/>
                <w:sz w:val="20"/>
                <w:szCs w:val="20"/>
              </w:rPr>
              <w:t>00010100</w:t>
            </w:r>
            <w:r>
              <w:rPr>
                <w:rFonts w:ascii="宋体" w:hAnsi="宋体" w:eastAsia="宋体" w:cs="宋体"/>
                <w:position w:val="1"/>
                <w:sz w:val="20"/>
                <w:szCs w:val="20"/>
              </w:rPr>
              <w:t>1</w:t>
            </w:r>
          </w:p>
        </w:tc>
        <w:tc>
          <w:tcPr>
            <w:tcW w:w="3283" w:type="dxa"/>
            <w:noWrap w:val="0"/>
            <w:vAlign w:val="top"/>
          </w:tcPr>
          <w:p>
            <w:pPr>
              <w:spacing w:before="173" w:line="230" w:lineRule="auto"/>
              <w:ind w:left="23"/>
              <w:rPr>
                <w:rFonts w:ascii="宋体" w:hAnsi="宋体" w:eastAsia="宋体" w:cs="宋体"/>
                <w:sz w:val="20"/>
                <w:szCs w:val="20"/>
              </w:rPr>
            </w:pPr>
            <w:r>
              <w:rPr>
                <w:rFonts w:ascii="宋体" w:hAnsi="宋体" w:eastAsia="宋体" w:cs="宋体"/>
                <w:spacing w:val="6"/>
                <w:sz w:val="20"/>
                <w:szCs w:val="20"/>
              </w:rPr>
              <w:t>一类人工</w:t>
            </w:r>
          </w:p>
        </w:tc>
        <w:tc>
          <w:tcPr>
            <w:tcW w:w="717" w:type="dxa"/>
            <w:noWrap w:val="0"/>
            <w:vAlign w:val="top"/>
          </w:tcPr>
          <w:p>
            <w:pPr>
              <w:spacing w:before="173"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73"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82.5224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83" w:line="195" w:lineRule="auto"/>
              <w:ind w:left="20"/>
              <w:rPr>
                <w:rFonts w:ascii="宋体" w:hAnsi="宋体" w:eastAsia="宋体" w:cs="宋体"/>
                <w:sz w:val="20"/>
                <w:szCs w:val="20"/>
              </w:rPr>
            </w:pPr>
            <w:r>
              <w:rPr>
                <w:rFonts w:ascii="宋体" w:hAnsi="宋体" w:eastAsia="宋体" w:cs="宋体"/>
                <w:spacing w:val="3"/>
                <w:sz w:val="20"/>
                <w:szCs w:val="20"/>
              </w:rPr>
              <w:t>34110000</w:t>
            </w:r>
            <w:r>
              <w:rPr>
                <w:rFonts w:ascii="宋体" w:hAnsi="宋体" w:eastAsia="宋体" w:cs="宋体"/>
                <w:position w:val="1"/>
                <w:sz w:val="20"/>
                <w:szCs w:val="20"/>
              </w:rPr>
              <w:t>8</w:t>
            </w:r>
          </w:p>
        </w:tc>
        <w:tc>
          <w:tcPr>
            <w:tcW w:w="3283" w:type="dxa"/>
            <w:noWrap w:val="0"/>
            <w:vAlign w:val="top"/>
          </w:tcPr>
          <w:p>
            <w:pPr>
              <w:spacing w:before="173" w:line="230" w:lineRule="auto"/>
              <w:ind w:left="22"/>
              <w:rPr>
                <w:rFonts w:ascii="宋体" w:hAnsi="宋体" w:eastAsia="宋体" w:cs="宋体"/>
                <w:sz w:val="20"/>
                <w:szCs w:val="20"/>
              </w:rPr>
            </w:pPr>
            <w:r>
              <w:rPr>
                <w:rFonts w:ascii="宋体" w:hAnsi="宋体" w:eastAsia="宋体" w:cs="宋体"/>
                <w:sz w:val="20"/>
                <w:szCs w:val="20"/>
              </w:rPr>
              <w:t>水</w:t>
            </w:r>
          </w:p>
        </w:tc>
        <w:tc>
          <w:tcPr>
            <w:tcW w:w="717" w:type="dxa"/>
            <w:noWrap w:val="0"/>
            <w:vAlign w:val="top"/>
          </w:tcPr>
          <w:p>
            <w:pPr>
              <w:spacing w:before="173" w:line="230" w:lineRule="exact"/>
              <w:ind w:left="21"/>
              <w:rPr>
                <w:rFonts w:ascii="宋体" w:hAnsi="宋体" w:eastAsia="宋体" w:cs="宋体"/>
                <w:sz w:val="20"/>
                <w:szCs w:val="20"/>
              </w:rPr>
            </w:pPr>
            <w:r>
              <w:rPr>
                <w:rFonts w:ascii="宋体" w:hAnsi="宋体" w:eastAsia="宋体" w:cs="宋体"/>
                <w:spacing w:val="3"/>
                <w:position w:val="1"/>
                <w:sz w:val="20"/>
                <w:szCs w:val="20"/>
              </w:rPr>
              <w:t>m3</w:t>
            </w:r>
          </w:p>
        </w:tc>
        <w:tc>
          <w:tcPr>
            <w:tcW w:w="1883" w:type="dxa"/>
            <w:noWrap w:val="0"/>
            <w:vAlign w:val="top"/>
          </w:tcPr>
          <w:p>
            <w:pPr>
              <w:spacing w:before="173" w:line="230" w:lineRule="exact"/>
              <w:ind w:right="7"/>
              <w:jc w:val="right"/>
              <w:rPr>
                <w:rFonts w:ascii="宋体" w:hAnsi="宋体" w:eastAsia="宋体" w:cs="宋体"/>
                <w:sz w:val="20"/>
                <w:szCs w:val="20"/>
              </w:rPr>
            </w:pPr>
            <w:r>
              <w:rPr>
                <w:rFonts w:ascii="宋体" w:hAnsi="宋体" w:eastAsia="宋体" w:cs="宋体"/>
                <w:spacing w:val="1"/>
                <w:position w:val="1"/>
                <w:sz w:val="20"/>
                <w:szCs w:val="20"/>
              </w:rPr>
              <w:t>18.6186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85" w:line="195" w:lineRule="auto"/>
              <w:ind w:left="20"/>
              <w:rPr>
                <w:rFonts w:ascii="宋体" w:hAnsi="宋体" w:eastAsia="宋体" w:cs="宋体"/>
                <w:sz w:val="20"/>
                <w:szCs w:val="20"/>
              </w:rPr>
            </w:pPr>
            <w:r>
              <w:rPr>
                <w:rFonts w:ascii="宋体" w:hAnsi="宋体" w:eastAsia="宋体" w:cs="宋体"/>
                <w:spacing w:val="3"/>
                <w:sz w:val="20"/>
                <w:szCs w:val="20"/>
              </w:rPr>
              <w:t>34110002</w:t>
            </w:r>
            <w:r>
              <w:rPr>
                <w:rFonts w:ascii="宋体" w:hAnsi="宋体" w:eastAsia="宋体" w:cs="宋体"/>
                <w:position w:val="1"/>
                <w:sz w:val="20"/>
                <w:szCs w:val="20"/>
              </w:rPr>
              <w:t>4</w:t>
            </w:r>
          </w:p>
        </w:tc>
        <w:tc>
          <w:tcPr>
            <w:tcW w:w="3283" w:type="dxa"/>
            <w:noWrap w:val="0"/>
            <w:vAlign w:val="top"/>
          </w:tcPr>
          <w:p>
            <w:pPr>
              <w:spacing w:before="175" w:line="229" w:lineRule="auto"/>
              <w:ind w:left="20"/>
              <w:rPr>
                <w:rFonts w:ascii="宋体" w:hAnsi="宋体" w:eastAsia="宋体" w:cs="宋体"/>
                <w:sz w:val="20"/>
                <w:szCs w:val="20"/>
              </w:rPr>
            </w:pPr>
            <w:r>
              <w:rPr>
                <w:rFonts w:ascii="宋体" w:hAnsi="宋体" w:eastAsia="宋体" w:cs="宋体"/>
                <w:spacing w:val="7"/>
                <w:sz w:val="20"/>
                <w:szCs w:val="20"/>
              </w:rPr>
              <w:t>柴油(机械用)</w:t>
            </w:r>
          </w:p>
        </w:tc>
        <w:tc>
          <w:tcPr>
            <w:tcW w:w="717" w:type="dxa"/>
            <w:noWrap w:val="0"/>
            <w:vAlign w:val="top"/>
          </w:tcPr>
          <w:p>
            <w:pPr>
              <w:spacing w:before="175" w:line="224" w:lineRule="auto"/>
              <w:ind w:left="25"/>
              <w:rPr>
                <w:rFonts w:ascii="宋体" w:hAnsi="宋体" w:eastAsia="宋体" w:cs="宋体"/>
                <w:sz w:val="20"/>
                <w:szCs w:val="20"/>
              </w:rPr>
            </w:pPr>
            <w:r>
              <w:rPr>
                <w:rFonts w:ascii="宋体" w:hAnsi="宋体" w:eastAsia="宋体" w:cs="宋体"/>
                <w:spacing w:val="1"/>
                <w:sz w:val="20"/>
                <w:szCs w:val="20"/>
              </w:rPr>
              <w:t>kg</w:t>
            </w:r>
          </w:p>
        </w:tc>
        <w:tc>
          <w:tcPr>
            <w:tcW w:w="1883" w:type="dxa"/>
            <w:noWrap w:val="0"/>
            <w:vAlign w:val="top"/>
          </w:tcPr>
          <w:p>
            <w:pPr>
              <w:spacing w:before="175" w:line="229" w:lineRule="exact"/>
              <w:ind w:right="7"/>
              <w:jc w:val="right"/>
              <w:rPr>
                <w:rFonts w:ascii="宋体" w:hAnsi="宋体" w:eastAsia="宋体" w:cs="宋体"/>
                <w:sz w:val="20"/>
                <w:szCs w:val="20"/>
              </w:rPr>
            </w:pPr>
            <w:r>
              <w:rPr>
                <w:rFonts w:ascii="宋体" w:hAnsi="宋体" w:eastAsia="宋体" w:cs="宋体"/>
                <w:spacing w:val="2"/>
                <w:position w:val="1"/>
                <w:sz w:val="20"/>
                <w:szCs w:val="20"/>
              </w:rPr>
              <w:t>116.7566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86" w:line="195" w:lineRule="auto"/>
              <w:ind w:left="17"/>
              <w:rPr>
                <w:rFonts w:ascii="宋体" w:hAnsi="宋体" w:eastAsia="宋体" w:cs="宋体"/>
                <w:sz w:val="20"/>
                <w:szCs w:val="20"/>
              </w:rPr>
            </w:pPr>
            <w:r>
              <w:rPr>
                <w:rFonts w:ascii="宋体" w:hAnsi="宋体" w:eastAsia="宋体" w:cs="宋体"/>
                <w:spacing w:val="3"/>
                <w:sz w:val="20"/>
                <w:szCs w:val="20"/>
              </w:rPr>
              <w:t>99000000</w:t>
            </w:r>
            <w:r>
              <w:rPr>
                <w:rFonts w:ascii="宋体" w:hAnsi="宋体" w:eastAsia="宋体" w:cs="宋体"/>
                <w:position w:val="1"/>
                <w:sz w:val="20"/>
                <w:szCs w:val="20"/>
              </w:rPr>
              <w:t>0</w:t>
            </w:r>
          </w:p>
        </w:tc>
        <w:tc>
          <w:tcPr>
            <w:tcW w:w="3283" w:type="dxa"/>
            <w:noWrap w:val="0"/>
            <w:vAlign w:val="top"/>
          </w:tcPr>
          <w:p>
            <w:pPr>
              <w:spacing w:before="176" w:line="229" w:lineRule="auto"/>
              <w:ind w:left="19"/>
              <w:rPr>
                <w:rFonts w:ascii="宋体" w:hAnsi="宋体" w:eastAsia="宋体" w:cs="宋体"/>
                <w:sz w:val="20"/>
                <w:szCs w:val="20"/>
              </w:rPr>
            </w:pPr>
            <w:r>
              <w:rPr>
                <w:rFonts w:ascii="宋体" w:hAnsi="宋体" w:eastAsia="宋体" w:cs="宋体"/>
                <w:spacing w:val="8"/>
                <w:sz w:val="20"/>
                <w:szCs w:val="20"/>
              </w:rPr>
              <w:t>机械综合工日</w:t>
            </w:r>
          </w:p>
        </w:tc>
        <w:tc>
          <w:tcPr>
            <w:tcW w:w="717" w:type="dxa"/>
            <w:noWrap w:val="0"/>
            <w:vAlign w:val="top"/>
          </w:tcPr>
          <w:p>
            <w:pPr>
              <w:spacing w:before="176"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76" w:line="229" w:lineRule="exact"/>
              <w:ind w:right="7"/>
              <w:jc w:val="right"/>
              <w:rPr>
                <w:rFonts w:ascii="宋体" w:hAnsi="宋体" w:eastAsia="宋体" w:cs="宋体"/>
                <w:sz w:val="20"/>
                <w:szCs w:val="20"/>
              </w:rPr>
            </w:pPr>
            <w:r>
              <w:rPr>
                <w:rFonts w:ascii="宋体" w:hAnsi="宋体" w:eastAsia="宋体" w:cs="宋体"/>
                <w:spacing w:val="2"/>
                <w:position w:val="1"/>
                <w:sz w:val="20"/>
                <w:szCs w:val="20"/>
              </w:rPr>
              <w:t>3.8438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31" w:line="191" w:lineRule="auto"/>
              <w:ind w:left="16"/>
              <w:rPr>
                <w:rFonts w:ascii="宋体" w:hAnsi="宋体" w:eastAsia="宋体" w:cs="宋体"/>
                <w:sz w:val="20"/>
                <w:szCs w:val="20"/>
              </w:rPr>
            </w:pPr>
            <w:r>
              <w:rPr>
                <w:rFonts w:ascii="宋体" w:hAnsi="宋体" w:eastAsia="宋体" w:cs="宋体"/>
                <w:spacing w:val="3"/>
                <w:sz w:val="20"/>
                <w:szCs w:val="20"/>
              </w:rPr>
              <w:t>JIANXF</w:t>
            </w:r>
          </w:p>
        </w:tc>
        <w:tc>
          <w:tcPr>
            <w:tcW w:w="3283" w:type="dxa"/>
            <w:noWrap w:val="0"/>
            <w:vAlign w:val="top"/>
          </w:tcPr>
          <w:p>
            <w:pPr>
              <w:spacing w:before="102" w:line="230" w:lineRule="auto"/>
              <w:ind w:left="20"/>
              <w:rPr>
                <w:rFonts w:ascii="宋体" w:hAnsi="宋体" w:eastAsia="宋体" w:cs="宋体"/>
                <w:sz w:val="20"/>
                <w:szCs w:val="20"/>
              </w:rPr>
            </w:pPr>
            <w:r>
              <w:rPr>
                <w:rFonts w:ascii="宋体" w:hAnsi="宋体" w:eastAsia="宋体" w:cs="宋体"/>
                <w:spacing w:val="7"/>
                <w:sz w:val="20"/>
                <w:szCs w:val="20"/>
              </w:rPr>
              <w:t>检修费</w:t>
            </w:r>
          </w:p>
        </w:tc>
        <w:tc>
          <w:tcPr>
            <w:tcW w:w="717" w:type="dxa"/>
            <w:noWrap w:val="0"/>
            <w:vAlign w:val="top"/>
          </w:tcPr>
          <w:p>
            <w:pPr>
              <w:spacing w:before="102"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02" w:line="230" w:lineRule="exact"/>
              <w:ind w:right="7"/>
              <w:jc w:val="right"/>
              <w:rPr>
                <w:rFonts w:ascii="宋体" w:hAnsi="宋体" w:eastAsia="宋体" w:cs="宋体"/>
                <w:sz w:val="20"/>
                <w:szCs w:val="20"/>
              </w:rPr>
            </w:pPr>
            <w:r>
              <w:rPr>
                <w:rFonts w:ascii="宋体" w:hAnsi="宋体" w:eastAsia="宋体" w:cs="宋体"/>
                <w:spacing w:val="2"/>
                <w:position w:val="1"/>
                <w:sz w:val="20"/>
                <w:szCs w:val="20"/>
              </w:rPr>
              <w:t>78.866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35" w:line="187" w:lineRule="auto"/>
              <w:ind w:left="11"/>
              <w:rPr>
                <w:rFonts w:ascii="宋体" w:hAnsi="宋体" w:eastAsia="宋体" w:cs="宋体"/>
                <w:sz w:val="20"/>
                <w:szCs w:val="20"/>
              </w:rPr>
            </w:pPr>
            <w:r>
              <w:rPr>
                <w:rFonts w:ascii="宋体" w:hAnsi="宋体" w:eastAsia="宋体" w:cs="宋体"/>
                <w:spacing w:val="4"/>
                <w:sz w:val="20"/>
                <w:szCs w:val="20"/>
              </w:rPr>
              <w:t>WHF</w:t>
            </w:r>
          </w:p>
        </w:tc>
        <w:tc>
          <w:tcPr>
            <w:tcW w:w="3283" w:type="dxa"/>
            <w:noWrap w:val="0"/>
            <w:vAlign w:val="top"/>
          </w:tcPr>
          <w:p>
            <w:pPr>
              <w:spacing w:before="103" w:line="231" w:lineRule="auto"/>
              <w:ind w:left="23"/>
              <w:rPr>
                <w:rFonts w:ascii="宋体" w:hAnsi="宋体" w:eastAsia="宋体" w:cs="宋体"/>
                <w:sz w:val="20"/>
                <w:szCs w:val="20"/>
              </w:rPr>
            </w:pPr>
            <w:r>
              <w:rPr>
                <w:rFonts w:ascii="宋体" w:hAnsi="宋体" w:eastAsia="宋体" w:cs="宋体"/>
                <w:spacing w:val="6"/>
                <w:sz w:val="20"/>
                <w:szCs w:val="20"/>
              </w:rPr>
              <w:t>维护费</w:t>
            </w:r>
          </w:p>
        </w:tc>
        <w:tc>
          <w:tcPr>
            <w:tcW w:w="717" w:type="dxa"/>
            <w:noWrap w:val="0"/>
            <w:vAlign w:val="top"/>
          </w:tcPr>
          <w:p>
            <w:pPr>
              <w:spacing w:before="103"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04"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258.0466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37" w:line="188" w:lineRule="auto"/>
              <w:ind w:left="16"/>
              <w:rPr>
                <w:rFonts w:ascii="宋体" w:hAnsi="宋体" w:eastAsia="宋体" w:cs="宋体"/>
                <w:sz w:val="20"/>
                <w:szCs w:val="20"/>
              </w:rPr>
            </w:pPr>
            <w:r>
              <w:rPr>
                <w:rFonts w:ascii="宋体" w:hAnsi="宋体" w:eastAsia="宋体" w:cs="宋体"/>
                <w:spacing w:val="2"/>
                <w:sz w:val="20"/>
                <w:szCs w:val="20"/>
              </w:rPr>
              <w:t>ZJF</w:t>
            </w:r>
          </w:p>
        </w:tc>
        <w:tc>
          <w:tcPr>
            <w:tcW w:w="3283" w:type="dxa"/>
            <w:noWrap w:val="0"/>
            <w:vAlign w:val="top"/>
          </w:tcPr>
          <w:p>
            <w:pPr>
              <w:spacing w:before="105" w:line="231" w:lineRule="auto"/>
              <w:ind w:left="21"/>
              <w:rPr>
                <w:rFonts w:ascii="宋体" w:hAnsi="宋体" w:eastAsia="宋体" w:cs="宋体"/>
                <w:sz w:val="20"/>
                <w:szCs w:val="20"/>
              </w:rPr>
            </w:pPr>
            <w:r>
              <w:rPr>
                <w:rFonts w:ascii="宋体" w:hAnsi="宋体" w:eastAsia="宋体" w:cs="宋体"/>
                <w:spacing w:val="6"/>
                <w:sz w:val="20"/>
                <w:szCs w:val="20"/>
              </w:rPr>
              <w:t>折旧费</w:t>
            </w:r>
          </w:p>
        </w:tc>
        <w:tc>
          <w:tcPr>
            <w:tcW w:w="717" w:type="dxa"/>
            <w:noWrap w:val="0"/>
            <w:vAlign w:val="top"/>
          </w:tcPr>
          <w:p>
            <w:pPr>
              <w:spacing w:before="105"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05"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256.6772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1" w:line="195" w:lineRule="auto"/>
              <w:ind w:left="20"/>
              <w:rPr>
                <w:rFonts w:ascii="宋体" w:hAnsi="宋体" w:eastAsia="宋体" w:cs="宋体"/>
                <w:sz w:val="20"/>
                <w:szCs w:val="20"/>
              </w:rPr>
            </w:pPr>
            <w:r>
              <w:rPr>
                <w:rFonts w:ascii="宋体" w:hAnsi="宋体" w:eastAsia="宋体" w:cs="宋体"/>
                <w:spacing w:val="3"/>
                <w:sz w:val="20"/>
                <w:szCs w:val="20"/>
              </w:rPr>
              <w:t>34110002</w:t>
            </w:r>
            <w:r>
              <w:rPr>
                <w:rFonts w:ascii="宋体" w:hAnsi="宋体" w:eastAsia="宋体" w:cs="宋体"/>
                <w:position w:val="1"/>
                <w:sz w:val="20"/>
                <w:szCs w:val="20"/>
              </w:rPr>
              <w:t>3</w:t>
            </w:r>
          </w:p>
        </w:tc>
        <w:tc>
          <w:tcPr>
            <w:tcW w:w="3283" w:type="dxa"/>
            <w:noWrap w:val="0"/>
            <w:vAlign w:val="top"/>
          </w:tcPr>
          <w:p>
            <w:pPr>
              <w:spacing w:before="181" w:line="229" w:lineRule="auto"/>
              <w:ind w:left="20"/>
              <w:rPr>
                <w:rFonts w:ascii="宋体" w:hAnsi="宋体" w:eastAsia="宋体" w:cs="宋体"/>
                <w:sz w:val="20"/>
                <w:szCs w:val="20"/>
              </w:rPr>
            </w:pPr>
            <w:r>
              <w:rPr>
                <w:rFonts w:ascii="宋体" w:hAnsi="宋体" w:eastAsia="宋体" w:cs="宋体"/>
                <w:spacing w:val="7"/>
                <w:sz w:val="20"/>
                <w:szCs w:val="20"/>
              </w:rPr>
              <w:t>汽油(机械用)</w:t>
            </w:r>
          </w:p>
        </w:tc>
        <w:tc>
          <w:tcPr>
            <w:tcW w:w="717" w:type="dxa"/>
            <w:noWrap w:val="0"/>
            <w:vAlign w:val="top"/>
          </w:tcPr>
          <w:p>
            <w:pPr>
              <w:spacing w:before="181" w:line="224" w:lineRule="auto"/>
              <w:ind w:left="25"/>
              <w:rPr>
                <w:rFonts w:ascii="宋体" w:hAnsi="宋体" w:eastAsia="宋体" w:cs="宋体"/>
                <w:sz w:val="20"/>
                <w:szCs w:val="20"/>
              </w:rPr>
            </w:pPr>
            <w:r>
              <w:rPr>
                <w:rFonts w:ascii="宋体" w:hAnsi="宋体" w:eastAsia="宋体" w:cs="宋体"/>
                <w:spacing w:val="1"/>
                <w:sz w:val="20"/>
                <w:szCs w:val="20"/>
              </w:rPr>
              <w:t>kg</w:t>
            </w:r>
          </w:p>
        </w:tc>
        <w:tc>
          <w:tcPr>
            <w:tcW w:w="1883" w:type="dxa"/>
            <w:noWrap w:val="0"/>
            <w:vAlign w:val="top"/>
          </w:tcPr>
          <w:p>
            <w:pPr>
              <w:spacing w:before="181"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29.0306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spacing w:before="75" w:line="195" w:lineRule="auto"/>
              <w:ind w:left="18"/>
              <w:rPr>
                <w:rFonts w:hint="default" w:ascii="宋体" w:hAnsi="宋体" w:eastAsia="宋体" w:cs="宋体"/>
                <w:spacing w:val="3"/>
                <w:kern w:val="2"/>
                <w:sz w:val="20"/>
                <w:szCs w:val="20"/>
                <w:lang w:val="en-US" w:eastAsia="zh-CN" w:bidi="ar-SA"/>
              </w:rPr>
            </w:pPr>
            <w:r>
              <w:rPr>
                <w:rFonts w:hint="eastAsia" w:ascii="宋体" w:hAnsi="宋体" w:cs="宋体"/>
                <w:spacing w:val="3"/>
                <w:kern w:val="2"/>
                <w:sz w:val="20"/>
                <w:szCs w:val="20"/>
                <w:lang w:val="en-US" w:eastAsia="zh-CN" w:bidi="ar-SA"/>
              </w:rPr>
              <w:t>3</w:t>
            </w:r>
          </w:p>
        </w:tc>
        <w:tc>
          <w:tcPr>
            <w:tcW w:w="1583" w:type="dxa"/>
            <w:noWrap w:val="0"/>
            <w:vAlign w:val="top"/>
          </w:tcPr>
          <w:p>
            <w:pPr>
              <w:spacing w:before="182" w:line="231" w:lineRule="auto"/>
              <w:ind w:left="16"/>
              <w:rPr>
                <w:rFonts w:ascii="宋体" w:hAnsi="宋体" w:eastAsia="宋体" w:cs="宋体"/>
                <w:sz w:val="20"/>
                <w:szCs w:val="20"/>
              </w:rPr>
            </w:pPr>
            <w:r>
              <w:rPr>
                <w:rFonts w:ascii="宋体" w:hAnsi="宋体" w:eastAsia="宋体" w:cs="宋体"/>
                <w:spacing w:val="2"/>
                <w:sz w:val="20"/>
                <w:szCs w:val="20"/>
              </w:rPr>
              <w:t>4-1</w:t>
            </w:r>
            <w:r>
              <w:rPr>
                <w:rFonts w:ascii="宋体" w:hAnsi="宋体" w:eastAsia="宋体" w:cs="宋体"/>
                <w:spacing w:val="13"/>
                <w:sz w:val="20"/>
                <w:szCs w:val="20"/>
              </w:rPr>
              <w:t xml:space="preserve"> </w:t>
            </w:r>
            <w:r>
              <w:rPr>
                <w:rFonts w:ascii="宋体" w:hAnsi="宋体" w:eastAsia="宋体" w:cs="宋体"/>
                <w:spacing w:val="2"/>
                <w:sz w:val="20"/>
                <w:szCs w:val="20"/>
              </w:rPr>
              <w:t>换</w:t>
            </w:r>
          </w:p>
        </w:tc>
        <w:tc>
          <w:tcPr>
            <w:tcW w:w="3283" w:type="dxa"/>
            <w:noWrap w:val="0"/>
            <w:vAlign w:val="top"/>
          </w:tcPr>
          <w:p>
            <w:pPr>
              <w:spacing w:before="93" w:line="215" w:lineRule="auto"/>
              <w:ind w:left="18" w:right="56" w:hanging="4"/>
              <w:rPr>
                <w:rFonts w:ascii="宋体" w:hAnsi="宋体" w:eastAsia="宋体" w:cs="宋体"/>
                <w:sz w:val="20"/>
                <w:szCs w:val="20"/>
              </w:rPr>
            </w:pPr>
            <w:r>
              <w:rPr>
                <w:rFonts w:ascii="宋体" w:hAnsi="宋体" w:eastAsia="宋体" w:cs="宋体"/>
                <w:spacing w:val="7"/>
                <w:sz w:val="20"/>
                <w:szCs w:val="20"/>
              </w:rPr>
              <w:t>M10干混砌筑砂浆 实心砖基</w:t>
            </w:r>
            <w:r>
              <w:rPr>
                <w:rFonts w:ascii="宋体" w:hAnsi="宋体" w:eastAsia="宋体" w:cs="宋体"/>
                <w:spacing w:val="-5"/>
                <w:sz w:val="20"/>
                <w:szCs w:val="20"/>
              </w:rPr>
              <w:t>础</w:t>
            </w:r>
            <w:r>
              <w:rPr>
                <w:rFonts w:ascii="宋体" w:hAnsi="宋体" w:eastAsia="宋体" w:cs="宋体"/>
                <w:spacing w:val="17"/>
                <w:sz w:val="20"/>
                <w:szCs w:val="20"/>
              </w:rPr>
              <w:t xml:space="preserve"> </w:t>
            </w:r>
            <w:r>
              <w:rPr>
                <w:rFonts w:ascii="宋体" w:hAnsi="宋体" w:eastAsia="宋体" w:cs="宋体"/>
                <w:spacing w:val="-5"/>
                <w:sz w:val="20"/>
                <w:szCs w:val="20"/>
              </w:rPr>
              <w:t>240×</w:t>
            </w:r>
            <w:r>
              <w:rPr>
                <w:rFonts w:ascii="宋体" w:hAnsi="宋体" w:eastAsia="宋体" w:cs="宋体"/>
                <w:spacing w:val="-29"/>
                <w:sz w:val="20"/>
                <w:szCs w:val="20"/>
              </w:rPr>
              <w:t xml:space="preserve"> </w:t>
            </w:r>
            <w:r>
              <w:rPr>
                <w:rFonts w:ascii="宋体" w:hAnsi="宋体" w:eastAsia="宋体" w:cs="宋体"/>
                <w:spacing w:val="-5"/>
                <w:sz w:val="20"/>
                <w:szCs w:val="20"/>
              </w:rPr>
              <w:t>115×</w:t>
            </w:r>
            <w:r>
              <w:rPr>
                <w:rFonts w:ascii="宋体" w:hAnsi="宋体" w:eastAsia="宋体" w:cs="宋体"/>
                <w:spacing w:val="-40"/>
                <w:sz w:val="20"/>
                <w:szCs w:val="20"/>
              </w:rPr>
              <w:t xml:space="preserve"> </w:t>
            </w:r>
            <w:r>
              <w:rPr>
                <w:rFonts w:ascii="宋体" w:hAnsi="宋体" w:eastAsia="宋体" w:cs="宋体"/>
                <w:spacing w:val="-5"/>
                <w:sz w:val="20"/>
                <w:szCs w:val="20"/>
              </w:rPr>
              <w:t>53</w:t>
            </w:r>
          </w:p>
        </w:tc>
        <w:tc>
          <w:tcPr>
            <w:tcW w:w="717" w:type="dxa"/>
            <w:noWrap w:val="0"/>
            <w:vAlign w:val="top"/>
          </w:tcPr>
          <w:p>
            <w:pPr>
              <w:spacing w:before="182" w:line="230" w:lineRule="exact"/>
              <w:ind w:left="40"/>
              <w:rPr>
                <w:rFonts w:ascii="宋体" w:hAnsi="宋体" w:eastAsia="宋体" w:cs="宋体"/>
                <w:sz w:val="20"/>
                <w:szCs w:val="20"/>
              </w:rPr>
            </w:pPr>
            <w:r>
              <w:rPr>
                <w:rFonts w:ascii="宋体" w:hAnsi="宋体" w:eastAsia="宋体" w:cs="宋体"/>
                <w:spacing w:val="-1"/>
                <w:position w:val="1"/>
                <w:sz w:val="20"/>
                <w:szCs w:val="20"/>
              </w:rPr>
              <w:t>10m3</w:t>
            </w:r>
          </w:p>
        </w:tc>
        <w:tc>
          <w:tcPr>
            <w:tcW w:w="1883" w:type="dxa"/>
            <w:noWrap w:val="0"/>
            <w:vAlign w:val="top"/>
          </w:tcPr>
          <w:p>
            <w:pPr>
              <w:spacing w:before="182" w:line="230" w:lineRule="exact"/>
              <w:ind w:right="7"/>
              <w:jc w:val="right"/>
              <w:rPr>
                <w:rFonts w:ascii="宋体" w:hAnsi="宋体" w:eastAsia="宋体" w:cs="宋体"/>
                <w:sz w:val="20"/>
                <w:szCs w:val="20"/>
              </w:rPr>
            </w:pPr>
            <w:r>
              <w:rPr>
                <w:rFonts w:ascii="宋体" w:hAnsi="宋体" w:eastAsia="宋体" w:cs="宋体"/>
                <w:spacing w:val="2"/>
                <w:position w:val="1"/>
                <w:sz w:val="20"/>
                <w:szCs w:val="20"/>
              </w:rPr>
              <w:t>85.8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4" w:line="195" w:lineRule="auto"/>
              <w:ind w:left="18"/>
              <w:rPr>
                <w:rFonts w:ascii="宋体" w:hAnsi="宋体" w:eastAsia="宋体" w:cs="宋体"/>
                <w:sz w:val="20"/>
                <w:szCs w:val="20"/>
              </w:rPr>
            </w:pPr>
            <w:r>
              <w:rPr>
                <w:rFonts w:ascii="宋体" w:hAnsi="宋体" w:eastAsia="宋体" w:cs="宋体"/>
                <w:spacing w:val="3"/>
                <w:sz w:val="20"/>
                <w:szCs w:val="20"/>
              </w:rPr>
              <w:t>00010100</w:t>
            </w:r>
            <w:r>
              <w:rPr>
                <w:rFonts w:ascii="宋体" w:hAnsi="宋体" w:eastAsia="宋体" w:cs="宋体"/>
                <w:position w:val="1"/>
                <w:sz w:val="20"/>
                <w:szCs w:val="20"/>
              </w:rPr>
              <w:t>2</w:t>
            </w:r>
          </w:p>
        </w:tc>
        <w:tc>
          <w:tcPr>
            <w:tcW w:w="3283" w:type="dxa"/>
            <w:noWrap w:val="0"/>
            <w:vAlign w:val="top"/>
          </w:tcPr>
          <w:p>
            <w:pPr>
              <w:spacing w:before="183" w:line="230" w:lineRule="auto"/>
              <w:ind w:left="23"/>
              <w:rPr>
                <w:rFonts w:ascii="宋体" w:hAnsi="宋体" w:eastAsia="宋体" w:cs="宋体"/>
                <w:sz w:val="20"/>
                <w:szCs w:val="20"/>
              </w:rPr>
            </w:pPr>
            <w:r>
              <w:rPr>
                <w:rFonts w:ascii="宋体" w:hAnsi="宋体" w:eastAsia="宋体" w:cs="宋体"/>
                <w:spacing w:val="6"/>
                <w:sz w:val="20"/>
                <w:szCs w:val="20"/>
              </w:rPr>
              <w:t>二类人工</w:t>
            </w:r>
          </w:p>
        </w:tc>
        <w:tc>
          <w:tcPr>
            <w:tcW w:w="717" w:type="dxa"/>
            <w:noWrap w:val="0"/>
            <w:vAlign w:val="top"/>
          </w:tcPr>
          <w:p>
            <w:pPr>
              <w:spacing w:before="183"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83"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976.404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5" w:line="195" w:lineRule="auto"/>
              <w:ind w:left="20"/>
              <w:rPr>
                <w:rFonts w:ascii="宋体" w:hAnsi="宋体" w:eastAsia="宋体" w:cs="宋体"/>
                <w:sz w:val="20"/>
                <w:szCs w:val="20"/>
              </w:rPr>
            </w:pPr>
            <w:r>
              <w:rPr>
                <w:rFonts w:ascii="宋体" w:hAnsi="宋体" w:eastAsia="宋体" w:cs="宋体"/>
                <w:spacing w:val="3"/>
                <w:sz w:val="20"/>
                <w:szCs w:val="20"/>
              </w:rPr>
              <w:t>34110000</w:t>
            </w:r>
            <w:r>
              <w:rPr>
                <w:rFonts w:ascii="宋体" w:hAnsi="宋体" w:eastAsia="宋体" w:cs="宋体"/>
                <w:sz w:val="20"/>
                <w:szCs w:val="20"/>
              </w:rPr>
              <w:t>8</w:t>
            </w:r>
          </w:p>
        </w:tc>
        <w:tc>
          <w:tcPr>
            <w:tcW w:w="3283" w:type="dxa"/>
            <w:noWrap w:val="0"/>
            <w:vAlign w:val="top"/>
          </w:tcPr>
          <w:p>
            <w:pPr>
              <w:spacing w:before="185" w:line="230" w:lineRule="auto"/>
              <w:ind w:left="22"/>
              <w:rPr>
                <w:rFonts w:ascii="宋体" w:hAnsi="宋体" w:eastAsia="宋体" w:cs="宋体"/>
                <w:sz w:val="20"/>
                <w:szCs w:val="20"/>
              </w:rPr>
            </w:pPr>
            <w:r>
              <w:rPr>
                <w:rFonts w:ascii="宋体" w:hAnsi="宋体" w:eastAsia="宋体" w:cs="宋体"/>
                <w:sz w:val="20"/>
                <w:szCs w:val="20"/>
              </w:rPr>
              <w:t>水</w:t>
            </w:r>
          </w:p>
        </w:tc>
        <w:tc>
          <w:tcPr>
            <w:tcW w:w="717" w:type="dxa"/>
            <w:noWrap w:val="0"/>
            <w:vAlign w:val="top"/>
          </w:tcPr>
          <w:p>
            <w:pPr>
              <w:spacing w:before="185" w:line="230" w:lineRule="exact"/>
              <w:ind w:left="21"/>
              <w:rPr>
                <w:rFonts w:ascii="宋体" w:hAnsi="宋体" w:eastAsia="宋体" w:cs="宋体"/>
                <w:sz w:val="20"/>
                <w:szCs w:val="20"/>
              </w:rPr>
            </w:pPr>
            <w:r>
              <w:rPr>
                <w:rFonts w:ascii="宋体" w:hAnsi="宋体" w:eastAsia="宋体" w:cs="宋体"/>
                <w:spacing w:val="3"/>
                <w:position w:val="1"/>
                <w:sz w:val="20"/>
                <w:szCs w:val="20"/>
              </w:rPr>
              <w:t>m3</w:t>
            </w:r>
          </w:p>
        </w:tc>
        <w:tc>
          <w:tcPr>
            <w:tcW w:w="1883" w:type="dxa"/>
            <w:noWrap w:val="0"/>
            <w:vAlign w:val="top"/>
          </w:tcPr>
          <w:p>
            <w:pPr>
              <w:spacing w:before="185"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90.09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6" w:line="195" w:lineRule="auto"/>
              <w:ind w:left="18"/>
              <w:rPr>
                <w:rFonts w:ascii="宋体" w:hAnsi="宋体" w:eastAsia="宋体" w:cs="宋体"/>
                <w:sz w:val="20"/>
                <w:szCs w:val="20"/>
              </w:rPr>
            </w:pPr>
            <w:r>
              <w:rPr>
                <w:rFonts w:ascii="宋体" w:hAnsi="宋体" w:eastAsia="宋体" w:cs="宋体"/>
                <w:spacing w:val="3"/>
                <w:sz w:val="20"/>
                <w:szCs w:val="20"/>
              </w:rPr>
              <w:t>04130000</w:t>
            </w:r>
            <w:r>
              <w:rPr>
                <w:rFonts w:ascii="宋体" w:hAnsi="宋体" w:eastAsia="宋体" w:cs="宋体"/>
                <w:spacing w:val="2"/>
                <w:position w:val="1"/>
                <w:sz w:val="20"/>
                <w:szCs w:val="20"/>
              </w:rPr>
              <w:t>9@1</w:t>
            </w:r>
          </w:p>
        </w:tc>
        <w:tc>
          <w:tcPr>
            <w:tcW w:w="3283" w:type="dxa"/>
            <w:noWrap w:val="0"/>
            <w:vAlign w:val="top"/>
          </w:tcPr>
          <w:p>
            <w:pPr>
              <w:spacing w:before="185" w:line="231" w:lineRule="auto"/>
              <w:ind w:left="22"/>
              <w:rPr>
                <w:rFonts w:ascii="宋体" w:hAnsi="宋体" w:eastAsia="宋体" w:cs="宋体"/>
                <w:sz w:val="20"/>
                <w:szCs w:val="20"/>
              </w:rPr>
            </w:pPr>
            <w:r>
              <w:rPr>
                <w:rFonts w:ascii="宋体" w:hAnsi="宋体" w:eastAsia="宋体" w:cs="宋体"/>
                <w:spacing w:val="5"/>
                <w:sz w:val="20"/>
                <w:szCs w:val="20"/>
              </w:rPr>
              <w:t>混凝土砌块200*200*400</w:t>
            </w:r>
          </w:p>
        </w:tc>
        <w:tc>
          <w:tcPr>
            <w:tcW w:w="717" w:type="dxa"/>
            <w:noWrap w:val="0"/>
            <w:vAlign w:val="top"/>
          </w:tcPr>
          <w:p>
            <w:pPr>
              <w:spacing w:before="185" w:line="231" w:lineRule="auto"/>
              <w:ind w:left="26"/>
              <w:rPr>
                <w:rFonts w:ascii="宋体" w:hAnsi="宋体" w:eastAsia="宋体" w:cs="宋体"/>
                <w:sz w:val="20"/>
                <w:szCs w:val="20"/>
              </w:rPr>
            </w:pPr>
            <w:r>
              <w:rPr>
                <w:rFonts w:ascii="宋体" w:hAnsi="宋体" w:eastAsia="宋体" w:cs="宋体"/>
                <w:spacing w:val="5"/>
                <w:sz w:val="20"/>
                <w:szCs w:val="20"/>
              </w:rPr>
              <w:t>千块</w:t>
            </w:r>
          </w:p>
        </w:tc>
        <w:tc>
          <w:tcPr>
            <w:tcW w:w="1883" w:type="dxa"/>
            <w:noWrap w:val="0"/>
            <w:vAlign w:val="top"/>
          </w:tcPr>
          <w:p>
            <w:pPr>
              <w:spacing w:before="186"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41.2698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6" w:line="195" w:lineRule="auto"/>
              <w:ind w:left="17"/>
              <w:rPr>
                <w:rFonts w:ascii="宋体" w:hAnsi="宋体" w:eastAsia="宋体" w:cs="宋体"/>
                <w:sz w:val="20"/>
                <w:szCs w:val="20"/>
              </w:rPr>
            </w:pPr>
            <w:r>
              <w:rPr>
                <w:rFonts w:ascii="宋体" w:hAnsi="宋体" w:eastAsia="宋体" w:cs="宋体"/>
                <w:spacing w:val="3"/>
                <w:sz w:val="20"/>
                <w:szCs w:val="20"/>
              </w:rPr>
              <w:t>81170000</w:t>
            </w:r>
            <w:r>
              <w:rPr>
                <w:rFonts w:ascii="宋体" w:hAnsi="宋体" w:eastAsia="宋体" w:cs="宋体"/>
                <w:sz w:val="20"/>
                <w:szCs w:val="20"/>
              </w:rPr>
              <w:t>3</w:t>
            </w:r>
          </w:p>
        </w:tc>
        <w:tc>
          <w:tcPr>
            <w:tcW w:w="3283" w:type="dxa"/>
            <w:noWrap w:val="0"/>
            <w:vAlign w:val="top"/>
          </w:tcPr>
          <w:p>
            <w:pPr>
              <w:spacing w:before="185" w:line="229" w:lineRule="auto"/>
              <w:ind w:left="19"/>
              <w:rPr>
                <w:rFonts w:ascii="宋体" w:hAnsi="宋体" w:eastAsia="宋体" w:cs="宋体"/>
                <w:sz w:val="20"/>
                <w:szCs w:val="20"/>
              </w:rPr>
            </w:pPr>
            <w:r>
              <w:rPr>
                <w:rFonts w:ascii="宋体" w:hAnsi="宋体" w:eastAsia="宋体" w:cs="宋体"/>
                <w:spacing w:val="8"/>
                <w:sz w:val="20"/>
                <w:szCs w:val="20"/>
              </w:rPr>
              <w:t>干混砌筑砂浆</w:t>
            </w:r>
            <w:r>
              <w:rPr>
                <w:rFonts w:ascii="宋体" w:hAnsi="宋体" w:eastAsia="宋体" w:cs="宋体"/>
                <w:sz w:val="20"/>
                <w:szCs w:val="20"/>
              </w:rPr>
              <w:t>DM</w:t>
            </w:r>
            <w:r>
              <w:rPr>
                <w:rFonts w:ascii="宋体" w:hAnsi="宋体" w:eastAsia="宋体" w:cs="宋体"/>
                <w:spacing w:val="8"/>
                <w:sz w:val="20"/>
                <w:szCs w:val="20"/>
              </w:rPr>
              <w:t xml:space="preserve"> </w:t>
            </w:r>
            <w:r>
              <w:rPr>
                <w:rFonts w:ascii="宋体" w:hAnsi="宋体" w:eastAsia="宋体" w:cs="宋体"/>
                <w:sz w:val="20"/>
                <w:szCs w:val="20"/>
              </w:rPr>
              <w:t>M</w:t>
            </w:r>
            <w:r>
              <w:rPr>
                <w:rFonts w:ascii="宋体" w:hAnsi="宋体" w:eastAsia="宋体" w:cs="宋体"/>
                <w:spacing w:val="8"/>
                <w:sz w:val="20"/>
                <w:szCs w:val="20"/>
              </w:rPr>
              <w:t>10</w:t>
            </w:r>
          </w:p>
        </w:tc>
        <w:tc>
          <w:tcPr>
            <w:tcW w:w="717" w:type="dxa"/>
            <w:noWrap w:val="0"/>
            <w:vAlign w:val="top"/>
          </w:tcPr>
          <w:p>
            <w:pPr>
              <w:spacing w:before="185" w:line="231" w:lineRule="exact"/>
              <w:ind w:left="21"/>
              <w:rPr>
                <w:rFonts w:ascii="宋体" w:hAnsi="宋体" w:eastAsia="宋体" w:cs="宋体"/>
                <w:sz w:val="20"/>
                <w:szCs w:val="20"/>
              </w:rPr>
            </w:pPr>
            <w:r>
              <w:rPr>
                <w:rFonts w:ascii="宋体" w:hAnsi="宋体" w:eastAsia="宋体" w:cs="宋体"/>
                <w:spacing w:val="3"/>
                <w:position w:val="1"/>
                <w:sz w:val="20"/>
                <w:szCs w:val="20"/>
              </w:rPr>
              <w:t>m3</w:t>
            </w:r>
          </w:p>
        </w:tc>
        <w:tc>
          <w:tcPr>
            <w:tcW w:w="1883" w:type="dxa"/>
            <w:noWrap w:val="0"/>
            <w:vAlign w:val="top"/>
          </w:tcPr>
          <w:p>
            <w:pPr>
              <w:spacing w:before="185"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205.8342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97" w:line="195" w:lineRule="auto"/>
              <w:ind w:left="17"/>
              <w:rPr>
                <w:rFonts w:ascii="宋体" w:hAnsi="宋体" w:eastAsia="宋体" w:cs="宋体"/>
                <w:sz w:val="20"/>
                <w:szCs w:val="20"/>
              </w:rPr>
            </w:pPr>
            <w:r>
              <w:rPr>
                <w:rFonts w:ascii="宋体" w:hAnsi="宋体" w:eastAsia="宋体" w:cs="宋体"/>
                <w:spacing w:val="3"/>
                <w:sz w:val="20"/>
                <w:szCs w:val="20"/>
              </w:rPr>
              <w:t>99000000</w:t>
            </w:r>
            <w:r>
              <w:rPr>
                <w:rFonts w:ascii="宋体" w:hAnsi="宋体" w:eastAsia="宋体" w:cs="宋体"/>
                <w:sz w:val="20"/>
                <w:szCs w:val="20"/>
              </w:rPr>
              <w:t>0</w:t>
            </w:r>
          </w:p>
        </w:tc>
        <w:tc>
          <w:tcPr>
            <w:tcW w:w="3283" w:type="dxa"/>
            <w:noWrap w:val="0"/>
            <w:vAlign w:val="top"/>
          </w:tcPr>
          <w:p>
            <w:pPr>
              <w:spacing w:before="187" w:line="229" w:lineRule="auto"/>
              <w:ind w:left="19"/>
              <w:rPr>
                <w:rFonts w:ascii="宋体" w:hAnsi="宋体" w:eastAsia="宋体" w:cs="宋体"/>
                <w:sz w:val="20"/>
                <w:szCs w:val="20"/>
              </w:rPr>
            </w:pPr>
            <w:r>
              <w:rPr>
                <w:rFonts w:ascii="宋体" w:hAnsi="宋体" w:eastAsia="宋体" w:cs="宋体"/>
                <w:spacing w:val="8"/>
                <w:sz w:val="20"/>
                <w:szCs w:val="20"/>
              </w:rPr>
              <w:t>机械综合工日</w:t>
            </w:r>
          </w:p>
        </w:tc>
        <w:tc>
          <w:tcPr>
            <w:tcW w:w="717" w:type="dxa"/>
            <w:noWrap w:val="0"/>
            <w:vAlign w:val="top"/>
          </w:tcPr>
          <w:p>
            <w:pPr>
              <w:spacing w:before="186" w:line="235" w:lineRule="auto"/>
              <w:ind w:left="28"/>
              <w:rPr>
                <w:rFonts w:ascii="宋体" w:hAnsi="宋体" w:eastAsia="宋体" w:cs="宋体"/>
                <w:sz w:val="20"/>
                <w:szCs w:val="20"/>
              </w:rPr>
            </w:pPr>
            <w:r>
              <w:rPr>
                <w:rFonts w:ascii="宋体" w:hAnsi="宋体" w:eastAsia="宋体" w:cs="宋体"/>
                <w:spacing w:val="4"/>
                <w:sz w:val="20"/>
                <w:szCs w:val="20"/>
              </w:rPr>
              <w:t>工日</w:t>
            </w:r>
          </w:p>
        </w:tc>
        <w:tc>
          <w:tcPr>
            <w:tcW w:w="1883" w:type="dxa"/>
            <w:noWrap w:val="0"/>
            <w:vAlign w:val="top"/>
          </w:tcPr>
          <w:p>
            <w:pPr>
              <w:spacing w:before="186"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20.592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40" w:line="191" w:lineRule="auto"/>
              <w:ind w:left="16"/>
              <w:rPr>
                <w:rFonts w:ascii="宋体" w:hAnsi="宋体" w:eastAsia="宋体" w:cs="宋体"/>
                <w:sz w:val="20"/>
                <w:szCs w:val="20"/>
              </w:rPr>
            </w:pPr>
            <w:r>
              <w:rPr>
                <w:rFonts w:ascii="宋体" w:hAnsi="宋体" w:eastAsia="宋体" w:cs="宋体"/>
                <w:spacing w:val="3"/>
                <w:sz w:val="20"/>
                <w:szCs w:val="20"/>
              </w:rPr>
              <w:t>JIANXF</w:t>
            </w:r>
          </w:p>
        </w:tc>
        <w:tc>
          <w:tcPr>
            <w:tcW w:w="3283" w:type="dxa"/>
            <w:noWrap w:val="0"/>
            <w:vAlign w:val="top"/>
          </w:tcPr>
          <w:p>
            <w:pPr>
              <w:spacing w:before="112" w:line="230" w:lineRule="auto"/>
              <w:ind w:left="20"/>
              <w:rPr>
                <w:rFonts w:ascii="宋体" w:hAnsi="宋体" w:eastAsia="宋体" w:cs="宋体"/>
                <w:sz w:val="20"/>
                <w:szCs w:val="20"/>
              </w:rPr>
            </w:pPr>
            <w:r>
              <w:rPr>
                <w:rFonts w:ascii="宋体" w:hAnsi="宋体" w:eastAsia="宋体" w:cs="宋体"/>
                <w:spacing w:val="7"/>
                <w:sz w:val="20"/>
                <w:szCs w:val="20"/>
              </w:rPr>
              <w:t>检修费</w:t>
            </w:r>
          </w:p>
        </w:tc>
        <w:tc>
          <w:tcPr>
            <w:tcW w:w="717" w:type="dxa"/>
            <w:noWrap w:val="0"/>
            <w:vAlign w:val="top"/>
          </w:tcPr>
          <w:p>
            <w:pPr>
              <w:spacing w:before="112"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12"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85.8686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45" w:line="187" w:lineRule="auto"/>
              <w:ind w:left="11"/>
              <w:rPr>
                <w:rFonts w:ascii="宋体" w:hAnsi="宋体" w:eastAsia="宋体" w:cs="宋体"/>
                <w:sz w:val="20"/>
                <w:szCs w:val="20"/>
              </w:rPr>
            </w:pPr>
            <w:r>
              <w:rPr>
                <w:rFonts w:ascii="宋体" w:hAnsi="宋体" w:eastAsia="宋体" w:cs="宋体"/>
                <w:spacing w:val="4"/>
                <w:sz w:val="20"/>
                <w:szCs w:val="20"/>
              </w:rPr>
              <w:t>WHF</w:t>
            </w:r>
          </w:p>
        </w:tc>
        <w:tc>
          <w:tcPr>
            <w:tcW w:w="3283" w:type="dxa"/>
            <w:noWrap w:val="0"/>
            <w:vAlign w:val="top"/>
          </w:tcPr>
          <w:p>
            <w:pPr>
              <w:spacing w:before="113" w:line="231" w:lineRule="auto"/>
              <w:ind w:left="23"/>
              <w:rPr>
                <w:rFonts w:ascii="宋体" w:hAnsi="宋体" w:eastAsia="宋体" w:cs="宋体"/>
                <w:sz w:val="20"/>
                <w:szCs w:val="20"/>
              </w:rPr>
            </w:pPr>
            <w:r>
              <w:rPr>
                <w:rFonts w:ascii="宋体" w:hAnsi="宋体" w:eastAsia="宋体" w:cs="宋体"/>
                <w:spacing w:val="6"/>
                <w:sz w:val="20"/>
                <w:szCs w:val="20"/>
              </w:rPr>
              <w:t>维护费</w:t>
            </w:r>
          </w:p>
        </w:tc>
        <w:tc>
          <w:tcPr>
            <w:tcW w:w="717" w:type="dxa"/>
            <w:noWrap w:val="0"/>
            <w:vAlign w:val="top"/>
          </w:tcPr>
          <w:p>
            <w:pPr>
              <w:spacing w:before="113"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13" w:line="230" w:lineRule="exact"/>
              <w:ind w:right="7"/>
              <w:jc w:val="right"/>
              <w:rPr>
                <w:rFonts w:ascii="宋体" w:hAnsi="宋体" w:eastAsia="宋体" w:cs="宋体"/>
                <w:sz w:val="20"/>
                <w:szCs w:val="20"/>
              </w:rPr>
            </w:pPr>
            <w:r>
              <w:rPr>
                <w:rFonts w:ascii="宋体" w:hAnsi="宋体" w:eastAsia="宋体" w:cs="宋体"/>
                <w:spacing w:val="1"/>
                <w:position w:val="1"/>
                <w:sz w:val="20"/>
                <w:szCs w:val="20"/>
              </w:rPr>
              <w:t>167.413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46" w:line="188" w:lineRule="auto"/>
              <w:ind w:left="16"/>
              <w:rPr>
                <w:rFonts w:ascii="宋体" w:hAnsi="宋体" w:eastAsia="宋体" w:cs="宋体"/>
                <w:sz w:val="20"/>
                <w:szCs w:val="20"/>
              </w:rPr>
            </w:pPr>
            <w:r>
              <w:rPr>
                <w:rFonts w:ascii="宋体" w:hAnsi="宋体" w:eastAsia="宋体" w:cs="宋体"/>
                <w:spacing w:val="2"/>
                <w:sz w:val="20"/>
                <w:szCs w:val="20"/>
              </w:rPr>
              <w:t>ZJF</w:t>
            </w:r>
          </w:p>
        </w:tc>
        <w:tc>
          <w:tcPr>
            <w:tcW w:w="3283" w:type="dxa"/>
            <w:noWrap w:val="0"/>
            <w:vAlign w:val="top"/>
          </w:tcPr>
          <w:p>
            <w:pPr>
              <w:spacing w:before="115" w:line="231" w:lineRule="auto"/>
              <w:ind w:left="21"/>
              <w:rPr>
                <w:rFonts w:ascii="宋体" w:hAnsi="宋体" w:eastAsia="宋体" w:cs="宋体"/>
                <w:sz w:val="20"/>
                <w:szCs w:val="20"/>
              </w:rPr>
            </w:pPr>
            <w:r>
              <w:rPr>
                <w:rFonts w:ascii="宋体" w:hAnsi="宋体" w:eastAsia="宋体" w:cs="宋体"/>
                <w:spacing w:val="6"/>
                <w:sz w:val="20"/>
                <w:szCs w:val="20"/>
              </w:rPr>
              <w:t>折旧费</w:t>
            </w:r>
          </w:p>
        </w:tc>
        <w:tc>
          <w:tcPr>
            <w:tcW w:w="717" w:type="dxa"/>
            <w:noWrap w:val="0"/>
            <w:vAlign w:val="top"/>
          </w:tcPr>
          <w:p>
            <w:pPr>
              <w:spacing w:before="115"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noWrap w:val="0"/>
            <w:vAlign w:val="top"/>
          </w:tcPr>
          <w:p>
            <w:pPr>
              <w:spacing w:before="115"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472.7923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12" w:type="dxa"/>
            <w:tcBorders>
              <w:left w:val="single" w:color="000000" w:sz="8"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noWrap w:val="0"/>
            <w:vAlign w:val="top"/>
          </w:tcPr>
          <w:p>
            <w:pPr>
              <w:spacing w:before="101" w:line="195" w:lineRule="auto"/>
              <w:ind w:left="20"/>
              <w:rPr>
                <w:rFonts w:ascii="宋体" w:hAnsi="宋体" w:eastAsia="宋体" w:cs="宋体"/>
                <w:sz w:val="20"/>
                <w:szCs w:val="20"/>
              </w:rPr>
            </w:pPr>
            <w:r>
              <w:rPr>
                <w:rFonts w:ascii="宋体" w:hAnsi="宋体" w:eastAsia="宋体" w:cs="宋体"/>
                <w:spacing w:val="3"/>
                <w:sz w:val="20"/>
                <w:szCs w:val="20"/>
              </w:rPr>
              <w:t>34110002</w:t>
            </w:r>
            <w:r>
              <w:rPr>
                <w:rFonts w:ascii="宋体" w:hAnsi="宋体" w:eastAsia="宋体" w:cs="宋体"/>
                <w:sz w:val="20"/>
                <w:szCs w:val="20"/>
              </w:rPr>
              <w:t>5</w:t>
            </w:r>
          </w:p>
        </w:tc>
        <w:tc>
          <w:tcPr>
            <w:tcW w:w="3283" w:type="dxa"/>
            <w:noWrap w:val="0"/>
            <w:vAlign w:val="top"/>
          </w:tcPr>
          <w:p>
            <w:pPr>
              <w:spacing w:before="190" w:line="229" w:lineRule="auto"/>
              <w:ind w:left="41"/>
              <w:rPr>
                <w:rFonts w:ascii="宋体" w:hAnsi="宋体" w:eastAsia="宋体" w:cs="宋体"/>
                <w:sz w:val="20"/>
                <w:szCs w:val="20"/>
              </w:rPr>
            </w:pPr>
            <w:r>
              <w:rPr>
                <w:rFonts w:ascii="宋体" w:hAnsi="宋体" w:eastAsia="宋体" w:cs="宋体"/>
                <w:spacing w:val="3"/>
                <w:sz w:val="20"/>
                <w:szCs w:val="20"/>
              </w:rPr>
              <w:t>电(机械用)</w:t>
            </w:r>
          </w:p>
        </w:tc>
        <w:tc>
          <w:tcPr>
            <w:tcW w:w="717" w:type="dxa"/>
            <w:noWrap w:val="0"/>
            <w:vAlign w:val="top"/>
          </w:tcPr>
          <w:p>
            <w:pPr>
              <w:spacing w:before="190" w:line="231" w:lineRule="exact"/>
              <w:ind w:left="25"/>
              <w:rPr>
                <w:rFonts w:ascii="宋体" w:hAnsi="宋体" w:eastAsia="宋体" w:cs="宋体"/>
                <w:sz w:val="20"/>
                <w:szCs w:val="20"/>
              </w:rPr>
            </w:pPr>
            <w:r>
              <w:rPr>
                <w:rFonts w:ascii="宋体" w:hAnsi="宋体" w:eastAsia="宋体" w:cs="宋体"/>
                <w:spacing w:val="2"/>
                <w:position w:val="1"/>
                <w:sz w:val="20"/>
                <w:szCs w:val="20"/>
              </w:rPr>
              <w:t>kwh</w:t>
            </w:r>
          </w:p>
        </w:tc>
        <w:tc>
          <w:tcPr>
            <w:tcW w:w="1883" w:type="dxa"/>
            <w:noWrap w:val="0"/>
            <w:vAlign w:val="top"/>
          </w:tcPr>
          <w:p>
            <w:pPr>
              <w:spacing w:before="190" w:line="230" w:lineRule="exact"/>
              <w:ind w:right="7"/>
              <w:jc w:val="right"/>
              <w:rPr>
                <w:rFonts w:ascii="宋体" w:hAnsi="宋体" w:eastAsia="宋体" w:cs="宋体"/>
                <w:sz w:val="20"/>
                <w:szCs w:val="20"/>
              </w:rPr>
            </w:pPr>
            <w:r>
              <w:rPr>
                <w:rFonts w:ascii="宋体" w:hAnsi="宋体" w:eastAsia="宋体" w:cs="宋体"/>
                <w:spacing w:val="3"/>
                <w:position w:val="1"/>
                <w:sz w:val="20"/>
                <w:szCs w:val="20"/>
              </w:rPr>
              <w:t>587.0779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2" w:hRule="atLeast"/>
          <w:jc w:val="center"/>
        </w:trPr>
        <w:tc>
          <w:tcPr>
            <w:tcW w:w="712" w:type="dxa"/>
            <w:tcBorders>
              <w:left w:val="single" w:color="000000" w:sz="8" w:space="0"/>
              <w:bottom w:val="single" w:color="000000" w:sz="10" w:space="0"/>
            </w:tcBorders>
            <w:noWrap w:val="0"/>
            <w:vAlign w:val="top"/>
          </w:tcPr>
          <w:p>
            <w:pPr>
              <w:pStyle w:val="47"/>
              <w:rPr>
                <w:rFonts w:hint="default" w:ascii="宋体" w:hAnsi="宋体" w:eastAsia="宋体" w:cs="宋体"/>
                <w:spacing w:val="3"/>
                <w:kern w:val="2"/>
                <w:sz w:val="20"/>
                <w:szCs w:val="20"/>
                <w:lang w:val="en-US" w:eastAsia="zh-CN" w:bidi="ar-SA"/>
              </w:rPr>
            </w:pPr>
          </w:p>
        </w:tc>
        <w:tc>
          <w:tcPr>
            <w:tcW w:w="1583" w:type="dxa"/>
            <w:tcBorders>
              <w:bottom w:val="single" w:color="000000" w:sz="10" w:space="0"/>
            </w:tcBorders>
            <w:noWrap w:val="0"/>
            <w:vAlign w:val="top"/>
          </w:tcPr>
          <w:p>
            <w:pPr>
              <w:spacing w:before="128" w:line="191" w:lineRule="auto"/>
              <w:ind w:left="11"/>
              <w:rPr>
                <w:rFonts w:ascii="宋体" w:hAnsi="宋体" w:eastAsia="宋体" w:cs="宋体"/>
                <w:sz w:val="20"/>
                <w:szCs w:val="20"/>
              </w:rPr>
            </w:pPr>
            <w:r>
              <w:rPr>
                <w:rFonts w:ascii="宋体" w:hAnsi="宋体" w:eastAsia="宋体" w:cs="宋体"/>
                <w:spacing w:val="4"/>
                <w:sz w:val="20"/>
                <w:szCs w:val="20"/>
              </w:rPr>
              <w:t>ACJYF</w:t>
            </w:r>
          </w:p>
        </w:tc>
        <w:tc>
          <w:tcPr>
            <w:tcW w:w="3283" w:type="dxa"/>
            <w:tcBorders>
              <w:bottom w:val="single" w:color="000000" w:sz="10" w:space="0"/>
            </w:tcBorders>
            <w:noWrap w:val="0"/>
            <w:vAlign w:val="top"/>
          </w:tcPr>
          <w:p>
            <w:pPr>
              <w:spacing w:before="99" w:line="231" w:lineRule="auto"/>
              <w:ind w:left="23"/>
              <w:rPr>
                <w:rFonts w:ascii="宋体" w:hAnsi="宋体" w:eastAsia="宋体" w:cs="宋体"/>
                <w:sz w:val="20"/>
                <w:szCs w:val="20"/>
              </w:rPr>
            </w:pPr>
            <w:r>
              <w:rPr>
                <w:rFonts w:ascii="宋体" w:hAnsi="宋体" w:eastAsia="宋体" w:cs="宋体"/>
                <w:spacing w:val="8"/>
                <w:sz w:val="20"/>
                <w:szCs w:val="20"/>
              </w:rPr>
              <w:t>安拆费及场外运费</w:t>
            </w:r>
          </w:p>
        </w:tc>
        <w:tc>
          <w:tcPr>
            <w:tcW w:w="717" w:type="dxa"/>
            <w:tcBorders>
              <w:bottom w:val="single" w:color="000000" w:sz="10" w:space="0"/>
            </w:tcBorders>
            <w:noWrap w:val="0"/>
            <w:vAlign w:val="top"/>
          </w:tcPr>
          <w:p>
            <w:pPr>
              <w:spacing w:before="99" w:line="231" w:lineRule="auto"/>
              <w:ind w:left="28"/>
              <w:rPr>
                <w:rFonts w:ascii="宋体" w:hAnsi="宋体" w:eastAsia="宋体" w:cs="宋体"/>
                <w:sz w:val="20"/>
                <w:szCs w:val="20"/>
              </w:rPr>
            </w:pPr>
            <w:r>
              <w:rPr>
                <w:rFonts w:ascii="宋体" w:hAnsi="宋体" w:eastAsia="宋体" w:cs="宋体"/>
                <w:sz w:val="20"/>
                <w:szCs w:val="20"/>
              </w:rPr>
              <w:t>元</w:t>
            </w:r>
          </w:p>
        </w:tc>
        <w:tc>
          <w:tcPr>
            <w:tcW w:w="1883" w:type="dxa"/>
            <w:tcBorders>
              <w:bottom w:val="single" w:color="000000" w:sz="10" w:space="0"/>
            </w:tcBorders>
            <w:noWrap w:val="0"/>
            <w:vAlign w:val="top"/>
          </w:tcPr>
          <w:p>
            <w:pPr>
              <w:spacing w:before="100" w:line="229" w:lineRule="exact"/>
              <w:ind w:right="7"/>
              <w:jc w:val="right"/>
              <w:rPr>
                <w:rFonts w:ascii="宋体" w:hAnsi="宋体" w:eastAsia="宋体" w:cs="宋体"/>
                <w:sz w:val="20"/>
                <w:szCs w:val="20"/>
              </w:rPr>
            </w:pPr>
            <w:r>
              <w:rPr>
                <w:rFonts w:ascii="宋体" w:hAnsi="宋体" w:eastAsia="宋体" w:cs="宋体"/>
                <w:spacing w:val="3"/>
                <w:position w:val="1"/>
                <w:sz w:val="20"/>
                <w:szCs w:val="20"/>
              </w:rPr>
              <w:t>218.687</w:t>
            </w:r>
          </w:p>
        </w:tc>
      </w:tr>
    </w:tbl>
    <w:p>
      <w:pPr>
        <w:rPr>
          <w:rFonts w:ascii="宋体" w:hAnsi="宋体" w:eastAsia="宋体" w:cs="宋体"/>
          <w:spacing w:val="8"/>
          <w:sz w:val="20"/>
          <w:szCs w:val="20"/>
        </w:rPr>
      </w:pPr>
    </w:p>
    <w:p>
      <w:pPr>
        <w:rPr>
          <w:rFonts w:ascii="宋体" w:hAnsi="宋体" w:eastAsia="宋体" w:cs="宋体"/>
          <w:spacing w:val="8"/>
          <w:sz w:val="20"/>
          <w:szCs w:val="20"/>
        </w:rPr>
      </w:pPr>
    </w:p>
    <w:p>
      <w:pPr>
        <w:rPr>
          <w:rFonts w:ascii="宋体" w:hAnsi="宋体" w:eastAsia="宋体" w:cs="宋体"/>
          <w:spacing w:val="8"/>
          <w:sz w:val="20"/>
          <w:szCs w:val="20"/>
        </w:rPr>
      </w:pPr>
    </w:p>
    <w:p>
      <w:pPr>
        <w:ind w:firstLine="648" w:firstLineChars="300"/>
        <w:rPr>
          <w:rFonts w:ascii="宋体" w:hAnsi="宋体" w:eastAsia="宋体" w:cs="宋体"/>
          <w:spacing w:val="8"/>
          <w:sz w:val="20"/>
          <w:szCs w:val="20"/>
        </w:rPr>
      </w:pPr>
      <w:r>
        <w:rPr>
          <w:rFonts w:ascii="宋体" w:hAnsi="宋体" w:eastAsia="宋体" w:cs="宋体"/>
          <w:spacing w:val="8"/>
          <w:sz w:val="20"/>
          <w:szCs w:val="20"/>
        </w:rPr>
        <w:t>工程名称：建筑与装饰工程</w:t>
      </w:r>
    </w:p>
    <w:tbl>
      <w:tblPr>
        <w:tblStyle w:val="25"/>
        <w:tblW w:w="840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91"/>
        <w:gridCol w:w="1567"/>
        <w:gridCol w:w="3567"/>
        <w:gridCol w:w="966"/>
        <w:gridCol w:w="161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jc w:val="center"/>
        </w:trPr>
        <w:tc>
          <w:tcPr>
            <w:tcW w:w="691" w:type="dxa"/>
            <w:vMerge w:val="restart"/>
            <w:tcBorders>
              <w:top w:val="single" w:color="000000" w:sz="10" w:space="0"/>
              <w:left w:val="single" w:color="000000" w:sz="8" w:space="0"/>
              <w:bottom w:val="nil"/>
            </w:tcBorders>
            <w:noWrap w:val="0"/>
            <w:vAlign w:val="top"/>
          </w:tcPr>
          <w:p>
            <w:pPr>
              <w:pStyle w:val="47"/>
              <w:spacing w:line="277" w:lineRule="auto"/>
              <w:rPr>
                <w:rFonts w:ascii="宋体" w:hAnsi="宋体" w:eastAsia="宋体" w:cs="宋体"/>
                <w:spacing w:val="7"/>
                <w:kern w:val="2"/>
                <w:sz w:val="20"/>
                <w:szCs w:val="20"/>
                <w:lang w:val="en-US" w:eastAsia="zh-CN" w:bidi="ar-SA"/>
              </w:rPr>
            </w:pPr>
          </w:p>
          <w:p>
            <w:pPr>
              <w:spacing w:before="55" w:line="231" w:lineRule="auto"/>
              <w:ind w:left="7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序号</w:t>
            </w:r>
          </w:p>
        </w:tc>
        <w:tc>
          <w:tcPr>
            <w:tcW w:w="1567" w:type="dxa"/>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6" w:line="230" w:lineRule="auto"/>
              <w:ind w:left="11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编  号</w:t>
            </w:r>
          </w:p>
        </w:tc>
        <w:tc>
          <w:tcPr>
            <w:tcW w:w="3567" w:type="dxa"/>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5" w:line="231" w:lineRule="auto"/>
              <w:ind w:left="48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子  目  名  称</w:t>
            </w:r>
          </w:p>
        </w:tc>
        <w:tc>
          <w:tcPr>
            <w:tcW w:w="2583" w:type="dxa"/>
            <w:gridSpan w:val="2"/>
            <w:tcBorders>
              <w:top w:val="single" w:color="000000" w:sz="10" w:space="0"/>
            </w:tcBorders>
            <w:noWrap w:val="0"/>
            <w:vAlign w:val="top"/>
          </w:tcPr>
          <w:p>
            <w:pPr>
              <w:spacing w:before="63" w:line="231" w:lineRule="auto"/>
              <w:ind w:firstLine="856" w:firstLineChars="40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 w:hRule="atLeast"/>
          <w:jc w:val="center"/>
        </w:trPr>
        <w:tc>
          <w:tcPr>
            <w:tcW w:w="691" w:type="dxa"/>
            <w:vMerge w:val="continue"/>
            <w:tcBorders>
              <w:top w:val="nil"/>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3567"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966" w:type="dxa"/>
            <w:noWrap w:val="0"/>
            <w:vAlign w:val="top"/>
          </w:tcPr>
          <w:p>
            <w:pPr>
              <w:spacing w:before="163" w:line="231" w:lineRule="auto"/>
              <w:ind w:left="8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单位</w:t>
            </w:r>
          </w:p>
        </w:tc>
        <w:tc>
          <w:tcPr>
            <w:tcW w:w="1617" w:type="dxa"/>
            <w:noWrap w:val="0"/>
            <w:vAlign w:val="top"/>
          </w:tcPr>
          <w:p>
            <w:pPr>
              <w:spacing w:before="163" w:line="230" w:lineRule="auto"/>
              <w:ind w:left="238" w:firstLine="428" w:firstLineChars="20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jc w:val="center"/>
        </w:trPr>
        <w:tc>
          <w:tcPr>
            <w:tcW w:w="691" w:type="dxa"/>
            <w:tcBorders>
              <w:left w:val="single" w:color="000000" w:sz="8" w:space="0"/>
            </w:tcBorders>
            <w:noWrap w:val="0"/>
            <w:vAlign w:val="top"/>
          </w:tcPr>
          <w:p>
            <w:pPr>
              <w:spacing w:before="271" w:line="232" w:lineRule="exact"/>
              <w:ind w:left="3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w:t>
            </w:r>
          </w:p>
        </w:tc>
        <w:tc>
          <w:tcPr>
            <w:tcW w:w="1567" w:type="dxa"/>
            <w:noWrap w:val="0"/>
            <w:vAlign w:val="top"/>
          </w:tcPr>
          <w:p>
            <w:pPr>
              <w:spacing w:before="271" w:line="231"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4-73 换</w:t>
            </w:r>
          </w:p>
        </w:tc>
        <w:tc>
          <w:tcPr>
            <w:tcW w:w="3567" w:type="dxa"/>
            <w:noWrap w:val="0"/>
            <w:vAlign w:val="top"/>
          </w:tcPr>
          <w:p>
            <w:pPr>
              <w:spacing w:before="91" w:line="207" w:lineRule="auto"/>
              <w:ind w:left="23" w:right="55" w:hanging="7"/>
              <w:jc w:val="both"/>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M10干混砌筑砂浆 蒸压加气 混凝土砌块墙(直形) 墙厚  ≤200mm 砂浆</w:t>
            </w:r>
          </w:p>
        </w:tc>
        <w:tc>
          <w:tcPr>
            <w:tcW w:w="966" w:type="dxa"/>
            <w:noWrap w:val="0"/>
            <w:vAlign w:val="top"/>
          </w:tcPr>
          <w:p>
            <w:pPr>
              <w:spacing w:before="271" w:line="231" w:lineRule="exact"/>
              <w:ind w:left="4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10m3</w:t>
            </w:r>
          </w:p>
        </w:tc>
        <w:tc>
          <w:tcPr>
            <w:tcW w:w="1617" w:type="dxa"/>
            <w:noWrap w:val="0"/>
            <w:vAlign w:val="top"/>
          </w:tcPr>
          <w:p>
            <w:pPr>
              <w:spacing w:before="271"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157.365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2"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78"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567" w:type="dxa"/>
            <w:noWrap w:val="0"/>
            <w:vAlign w:val="top"/>
          </w:tcPr>
          <w:p>
            <w:pPr>
              <w:spacing w:before="168"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966" w:type="dxa"/>
            <w:noWrap w:val="0"/>
            <w:vAlign w:val="top"/>
          </w:tcPr>
          <w:p>
            <w:pPr>
              <w:spacing w:before="168"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617" w:type="dxa"/>
            <w:noWrap w:val="0"/>
            <w:vAlign w:val="top"/>
          </w:tcPr>
          <w:p>
            <w:pPr>
              <w:spacing w:before="167"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1672.79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77"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341100008</w:t>
            </w:r>
          </w:p>
        </w:tc>
        <w:tc>
          <w:tcPr>
            <w:tcW w:w="3567" w:type="dxa"/>
            <w:noWrap w:val="0"/>
            <w:vAlign w:val="top"/>
          </w:tcPr>
          <w:p>
            <w:pPr>
              <w:spacing w:before="167" w:line="230"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水</w:t>
            </w:r>
          </w:p>
        </w:tc>
        <w:tc>
          <w:tcPr>
            <w:tcW w:w="966" w:type="dxa"/>
            <w:noWrap w:val="0"/>
            <w:vAlign w:val="top"/>
          </w:tcPr>
          <w:p>
            <w:pPr>
              <w:spacing w:before="167" w:line="230"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617" w:type="dxa"/>
            <w:noWrap w:val="0"/>
            <w:vAlign w:val="top"/>
          </w:tcPr>
          <w:p>
            <w:pPr>
              <w:spacing w:before="167"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62.946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78" w:line="195"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811700003</w:t>
            </w:r>
          </w:p>
        </w:tc>
        <w:tc>
          <w:tcPr>
            <w:tcW w:w="3567" w:type="dxa"/>
            <w:noWrap w:val="0"/>
            <w:vAlign w:val="top"/>
          </w:tcPr>
          <w:p>
            <w:pPr>
              <w:spacing w:before="168" w:line="229"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干混砌筑砂浆DM M10</w:t>
            </w:r>
          </w:p>
        </w:tc>
        <w:tc>
          <w:tcPr>
            <w:tcW w:w="966" w:type="dxa"/>
            <w:noWrap w:val="0"/>
            <w:vAlign w:val="top"/>
          </w:tcPr>
          <w:p>
            <w:pPr>
              <w:spacing w:before="168" w:line="230"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617" w:type="dxa"/>
            <w:noWrap w:val="0"/>
            <w:vAlign w:val="top"/>
          </w:tcPr>
          <w:p>
            <w:pPr>
              <w:spacing w:before="168"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111.7292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0"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041500011@2</w:t>
            </w:r>
          </w:p>
        </w:tc>
        <w:tc>
          <w:tcPr>
            <w:tcW w:w="3567" w:type="dxa"/>
            <w:noWrap w:val="0"/>
            <w:vAlign w:val="top"/>
          </w:tcPr>
          <w:p>
            <w:pPr>
              <w:spacing w:before="169"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混凝土砌块-200*200*400</w:t>
            </w:r>
          </w:p>
        </w:tc>
        <w:tc>
          <w:tcPr>
            <w:tcW w:w="966" w:type="dxa"/>
            <w:noWrap w:val="0"/>
            <w:vAlign w:val="top"/>
          </w:tcPr>
          <w:p>
            <w:pPr>
              <w:spacing w:before="169" w:line="231"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617" w:type="dxa"/>
            <w:noWrap w:val="0"/>
            <w:vAlign w:val="top"/>
          </w:tcPr>
          <w:p>
            <w:pPr>
              <w:spacing w:before="80" w:line="195" w:lineRule="auto"/>
              <w:ind w:right="6"/>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2629.097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1"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567" w:type="dxa"/>
            <w:noWrap w:val="0"/>
            <w:vAlign w:val="top"/>
          </w:tcPr>
          <w:p>
            <w:pPr>
              <w:spacing w:before="171" w:line="229"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966" w:type="dxa"/>
            <w:noWrap w:val="0"/>
            <w:vAlign w:val="top"/>
          </w:tcPr>
          <w:p>
            <w:pPr>
              <w:spacing w:before="170"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noWrap w:val="0"/>
            <w:vAlign w:val="top"/>
          </w:tcPr>
          <w:p>
            <w:pPr>
              <w:spacing w:before="81" w:line="195" w:lineRule="auto"/>
              <w:ind w:right="6"/>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2364.237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2" w:line="195"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990000000</w:t>
            </w:r>
          </w:p>
        </w:tc>
        <w:tc>
          <w:tcPr>
            <w:tcW w:w="3567" w:type="dxa"/>
            <w:noWrap w:val="0"/>
            <w:vAlign w:val="top"/>
          </w:tcPr>
          <w:p>
            <w:pPr>
              <w:spacing w:before="172" w:line="229"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机械综合工日</w:t>
            </w:r>
          </w:p>
        </w:tc>
        <w:tc>
          <w:tcPr>
            <w:tcW w:w="966" w:type="dxa"/>
            <w:noWrap w:val="0"/>
            <w:vAlign w:val="top"/>
          </w:tcPr>
          <w:p>
            <w:pPr>
              <w:spacing w:before="172"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617" w:type="dxa"/>
            <w:noWrap w:val="0"/>
            <w:vAlign w:val="top"/>
          </w:tcPr>
          <w:p>
            <w:pPr>
              <w:spacing w:before="172"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11.1729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126" w:line="191"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567" w:type="dxa"/>
            <w:noWrap w:val="0"/>
            <w:vAlign w:val="top"/>
          </w:tcPr>
          <w:p>
            <w:pPr>
              <w:spacing w:before="97" w:line="230"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966" w:type="dxa"/>
            <w:noWrap w:val="0"/>
            <w:vAlign w:val="top"/>
          </w:tcPr>
          <w:p>
            <w:pPr>
              <w:spacing w:before="97"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noWrap w:val="0"/>
            <w:vAlign w:val="top"/>
          </w:tcPr>
          <w:p>
            <w:pPr>
              <w:spacing w:before="97"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46.5911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128" w:line="187" w:lineRule="auto"/>
              <w:ind w:left="1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567" w:type="dxa"/>
            <w:noWrap w:val="0"/>
            <w:vAlign w:val="top"/>
          </w:tcPr>
          <w:p>
            <w:pPr>
              <w:spacing w:before="97"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966" w:type="dxa"/>
            <w:noWrap w:val="0"/>
            <w:vAlign w:val="top"/>
          </w:tcPr>
          <w:p>
            <w:pPr>
              <w:spacing w:before="97"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noWrap w:val="0"/>
            <w:vAlign w:val="top"/>
          </w:tcPr>
          <w:p>
            <w:pPr>
              <w:spacing w:before="97"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90.8358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129" w:line="188"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567" w:type="dxa"/>
            <w:noWrap w:val="0"/>
            <w:vAlign w:val="top"/>
          </w:tcPr>
          <w:p>
            <w:pPr>
              <w:spacing w:before="97"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966" w:type="dxa"/>
            <w:noWrap w:val="0"/>
            <w:vAlign w:val="top"/>
          </w:tcPr>
          <w:p>
            <w:pPr>
              <w:spacing w:before="97"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noWrap w:val="0"/>
            <w:vAlign w:val="top"/>
          </w:tcPr>
          <w:p>
            <w:pPr>
              <w:spacing w:before="97"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256.5301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4"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341100025</w:t>
            </w:r>
          </w:p>
        </w:tc>
        <w:tc>
          <w:tcPr>
            <w:tcW w:w="3567" w:type="dxa"/>
            <w:noWrap w:val="0"/>
            <w:vAlign w:val="top"/>
          </w:tcPr>
          <w:p>
            <w:pPr>
              <w:spacing w:before="174" w:line="229" w:lineRule="auto"/>
              <w:ind w:left="4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电(机械用)</w:t>
            </w:r>
          </w:p>
        </w:tc>
        <w:tc>
          <w:tcPr>
            <w:tcW w:w="966" w:type="dxa"/>
            <w:noWrap w:val="0"/>
            <w:vAlign w:val="top"/>
          </w:tcPr>
          <w:p>
            <w:pPr>
              <w:spacing w:before="174" w:line="231" w:lineRule="exact"/>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kwh</w:t>
            </w:r>
          </w:p>
        </w:tc>
        <w:tc>
          <w:tcPr>
            <w:tcW w:w="1617" w:type="dxa"/>
            <w:noWrap w:val="0"/>
            <w:vAlign w:val="top"/>
          </w:tcPr>
          <w:p>
            <w:pPr>
              <w:spacing w:before="174"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318.5398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128" w:line="191" w:lineRule="auto"/>
              <w:ind w:left="1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ACJYF</w:t>
            </w:r>
          </w:p>
        </w:tc>
        <w:tc>
          <w:tcPr>
            <w:tcW w:w="3567" w:type="dxa"/>
            <w:noWrap w:val="0"/>
            <w:vAlign w:val="top"/>
          </w:tcPr>
          <w:p>
            <w:pPr>
              <w:spacing w:before="99" w:line="231"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安拆费及场外运费</w:t>
            </w:r>
          </w:p>
        </w:tc>
        <w:tc>
          <w:tcPr>
            <w:tcW w:w="966" w:type="dxa"/>
            <w:noWrap w:val="0"/>
            <w:vAlign w:val="top"/>
          </w:tcPr>
          <w:p>
            <w:pPr>
              <w:spacing w:before="99"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noWrap w:val="0"/>
            <w:vAlign w:val="top"/>
          </w:tcPr>
          <w:p>
            <w:pPr>
              <w:spacing w:before="99"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118.6564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691" w:type="dxa"/>
            <w:tcBorders>
              <w:left w:val="single" w:color="000000" w:sz="8" w:space="0"/>
            </w:tcBorders>
            <w:noWrap w:val="0"/>
            <w:vAlign w:val="top"/>
          </w:tcPr>
          <w:p>
            <w:pPr>
              <w:spacing w:before="176" w:line="230" w:lineRule="exact"/>
              <w:ind w:left="3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5</w:t>
            </w:r>
          </w:p>
        </w:tc>
        <w:tc>
          <w:tcPr>
            <w:tcW w:w="1567" w:type="dxa"/>
            <w:noWrap w:val="0"/>
            <w:vAlign w:val="top"/>
          </w:tcPr>
          <w:p>
            <w:pPr>
              <w:spacing w:before="176" w:line="230" w:lineRule="exact"/>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9-13</w:t>
            </w:r>
          </w:p>
        </w:tc>
        <w:tc>
          <w:tcPr>
            <w:tcW w:w="3567" w:type="dxa"/>
            <w:noWrap w:val="0"/>
            <w:vAlign w:val="top"/>
          </w:tcPr>
          <w:p>
            <w:pPr>
              <w:spacing w:before="86" w:line="212" w:lineRule="auto"/>
              <w:ind w:left="20" w:right="145" w:firstLine="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单层彩钢板 檩条或基层混凝土(钢)板面上</w:t>
            </w:r>
          </w:p>
        </w:tc>
        <w:tc>
          <w:tcPr>
            <w:tcW w:w="966" w:type="dxa"/>
            <w:noWrap w:val="0"/>
            <w:vAlign w:val="top"/>
          </w:tcPr>
          <w:p>
            <w:pPr>
              <w:spacing w:before="176" w:line="230" w:lineRule="exact"/>
              <w:ind w:left="4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100m2</w:t>
            </w:r>
          </w:p>
        </w:tc>
        <w:tc>
          <w:tcPr>
            <w:tcW w:w="1617" w:type="dxa"/>
            <w:noWrap w:val="0"/>
            <w:vAlign w:val="top"/>
          </w:tcPr>
          <w:p>
            <w:pPr>
              <w:spacing w:before="176"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63.96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6"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567" w:type="dxa"/>
            <w:noWrap w:val="0"/>
            <w:vAlign w:val="top"/>
          </w:tcPr>
          <w:p>
            <w:pPr>
              <w:spacing w:before="176"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966" w:type="dxa"/>
            <w:noWrap w:val="0"/>
            <w:vAlign w:val="top"/>
          </w:tcPr>
          <w:p>
            <w:pPr>
              <w:spacing w:before="176"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617" w:type="dxa"/>
            <w:noWrap w:val="0"/>
            <w:vAlign w:val="top"/>
          </w:tcPr>
          <w:p>
            <w:pPr>
              <w:spacing w:before="17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399.6221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0" w:hRule="atLeast"/>
          <w:jc w:val="center"/>
        </w:trPr>
        <w:tc>
          <w:tcPr>
            <w:tcW w:w="691" w:type="dxa"/>
            <w:tcBorders>
              <w:left w:val="single" w:color="000000" w:sz="8" w:space="0"/>
              <w:bottom w:val="single" w:color="auto" w:sz="4"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tcBorders>
              <w:bottom w:val="single" w:color="auto" w:sz="4" w:space="0"/>
            </w:tcBorders>
            <w:noWrap w:val="0"/>
            <w:vAlign w:val="top"/>
          </w:tcPr>
          <w:p>
            <w:pPr>
              <w:spacing w:before="92" w:line="195" w:lineRule="auto"/>
              <w:ind w:left="20"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012900019</w:t>
            </w:r>
          </w:p>
        </w:tc>
        <w:tc>
          <w:tcPr>
            <w:tcW w:w="3567" w:type="dxa"/>
            <w:tcBorders>
              <w:bottom w:val="single" w:color="auto" w:sz="4" w:space="0"/>
            </w:tcBorders>
            <w:noWrap w:val="0"/>
            <w:vAlign w:val="top"/>
          </w:tcPr>
          <w:p>
            <w:pPr>
              <w:spacing w:before="182" w:line="229"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压型彩钢板 δ0.</w:t>
            </w:r>
            <w:r>
              <w:rPr>
                <w:rFonts w:hint="eastAsia" w:ascii="宋体" w:hAnsi="宋体" w:cs="宋体"/>
                <w:spacing w:val="7"/>
                <w:kern w:val="2"/>
                <w:sz w:val="20"/>
                <w:szCs w:val="20"/>
                <w:lang w:val="en-US" w:eastAsia="zh-CN" w:bidi="ar-SA"/>
              </w:rPr>
              <w:t>5</w:t>
            </w:r>
          </w:p>
        </w:tc>
        <w:tc>
          <w:tcPr>
            <w:tcW w:w="966" w:type="dxa"/>
            <w:tcBorders>
              <w:bottom w:val="single" w:color="auto" w:sz="4" w:space="0"/>
            </w:tcBorders>
            <w:noWrap w:val="0"/>
            <w:vAlign w:val="top"/>
          </w:tcPr>
          <w:p>
            <w:pPr>
              <w:spacing w:before="182" w:line="232" w:lineRule="exact"/>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m2</w:t>
            </w:r>
          </w:p>
        </w:tc>
        <w:tc>
          <w:tcPr>
            <w:tcW w:w="1617" w:type="dxa"/>
            <w:tcBorders>
              <w:bottom w:val="single" w:color="auto" w:sz="4" w:space="0"/>
            </w:tcBorders>
            <w:noWrap w:val="0"/>
            <w:vAlign w:val="top"/>
          </w:tcPr>
          <w:p>
            <w:pPr>
              <w:spacing w:before="92" w:line="195" w:lineRule="auto"/>
              <w:ind w:right="6" w:rightChars="0"/>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8203.70</w:t>
            </w:r>
            <w:r>
              <w:rPr>
                <w:rFonts w:hint="eastAsia" w:ascii="宋体" w:hAnsi="宋体" w:cs="宋体"/>
                <w:spacing w:val="7"/>
                <w:kern w:val="2"/>
                <w:sz w:val="20"/>
                <w:szCs w:val="20"/>
                <w:lang w:val="en-US" w:eastAsia="zh-CN" w:bidi="ar-SA"/>
              </w:rPr>
              <w:t>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jc w:val="center"/>
        </w:trPr>
        <w:tc>
          <w:tcPr>
            <w:tcW w:w="691" w:type="dxa"/>
            <w:tcBorders>
              <w:top w:val="single" w:color="auto" w:sz="4" w:space="0"/>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tcBorders>
              <w:top w:val="single" w:color="auto" w:sz="4" w:space="0"/>
            </w:tcBorders>
            <w:noWrap w:val="0"/>
            <w:vAlign w:val="top"/>
          </w:tcPr>
          <w:p>
            <w:pPr>
              <w:spacing w:before="87" w:line="195" w:lineRule="auto"/>
              <w:ind w:left="20"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030101009</w:t>
            </w:r>
          </w:p>
        </w:tc>
        <w:tc>
          <w:tcPr>
            <w:tcW w:w="3567" w:type="dxa"/>
            <w:tcBorders>
              <w:top w:val="single" w:color="auto" w:sz="4" w:space="0"/>
            </w:tcBorders>
            <w:noWrap w:val="0"/>
            <w:vAlign w:val="top"/>
          </w:tcPr>
          <w:p>
            <w:pPr>
              <w:spacing w:before="177" w:line="231"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铝拉铆钉</w:t>
            </w:r>
          </w:p>
        </w:tc>
        <w:tc>
          <w:tcPr>
            <w:tcW w:w="966" w:type="dxa"/>
            <w:tcBorders>
              <w:top w:val="single" w:color="auto" w:sz="4" w:space="0"/>
            </w:tcBorders>
            <w:noWrap w:val="0"/>
            <w:vAlign w:val="top"/>
          </w:tcPr>
          <w:p>
            <w:pPr>
              <w:spacing w:before="177" w:line="230" w:lineRule="auto"/>
              <w:ind w:left="33"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百个</w:t>
            </w:r>
          </w:p>
        </w:tc>
        <w:tc>
          <w:tcPr>
            <w:tcW w:w="1617" w:type="dxa"/>
            <w:tcBorders>
              <w:top w:val="single" w:color="auto" w:sz="4" w:space="0"/>
            </w:tcBorders>
            <w:noWrap w:val="0"/>
            <w:vAlign w:val="top"/>
          </w:tcPr>
          <w:p>
            <w:pPr>
              <w:spacing w:before="177" w:line="230" w:lineRule="exact"/>
              <w:ind w:right="6" w:rightChars="0"/>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447.72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9"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030105010</w:t>
            </w:r>
          </w:p>
        </w:tc>
        <w:tc>
          <w:tcPr>
            <w:tcW w:w="3567" w:type="dxa"/>
            <w:noWrap w:val="0"/>
            <w:vAlign w:val="top"/>
          </w:tcPr>
          <w:p>
            <w:pPr>
              <w:spacing w:before="178" w:line="231" w:lineRule="auto"/>
              <w:ind w:left="37"/>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固定螺栓</w:t>
            </w:r>
          </w:p>
        </w:tc>
        <w:tc>
          <w:tcPr>
            <w:tcW w:w="966" w:type="dxa"/>
            <w:noWrap w:val="0"/>
            <w:vAlign w:val="top"/>
          </w:tcPr>
          <w:p>
            <w:pPr>
              <w:spacing w:before="178" w:line="231"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百套</w:t>
            </w:r>
          </w:p>
        </w:tc>
        <w:tc>
          <w:tcPr>
            <w:tcW w:w="1617" w:type="dxa"/>
            <w:noWrap w:val="0"/>
            <w:vAlign w:val="top"/>
          </w:tcPr>
          <w:p>
            <w:pPr>
              <w:spacing w:before="179"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268.632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8"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031301007</w:t>
            </w:r>
          </w:p>
        </w:tc>
        <w:tc>
          <w:tcPr>
            <w:tcW w:w="3567" w:type="dxa"/>
            <w:noWrap w:val="0"/>
            <w:vAlign w:val="top"/>
          </w:tcPr>
          <w:p>
            <w:pPr>
              <w:spacing w:before="178"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低合金钢焊条E43系列</w:t>
            </w:r>
          </w:p>
        </w:tc>
        <w:tc>
          <w:tcPr>
            <w:tcW w:w="966" w:type="dxa"/>
            <w:noWrap w:val="0"/>
            <w:vAlign w:val="top"/>
          </w:tcPr>
          <w:p>
            <w:pPr>
              <w:spacing w:before="178"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617" w:type="dxa"/>
            <w:noWrap w:val="0"/>
            <w:vAlign w:val="top"/>
          </w:tcPr>
          <w:p>
            <w:pPr>
              <w:spacing w:before="178"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257.7588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1"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89"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031501032</w:t>
            </w:r>
          </w:p>
        </w:tc>
        <w:tc>
          <w:tcPr>
            <w:tcW w:w="3567" w:type="dxa"/>
            <w:noWrap w:val="0"/>
            <w:vAlign w:val="top"/>
          </w:tcPr>
          <w:p>
            <w:pPr>
              <w:spacing w:before="180" w:line="231" w:lineRule="auto"/>
              <w:ind w:left="3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圆钉</w:t>
            </w:r>
          </w:p>
        </w:tc>
        <w:tc>
          <w:tcPr>
            <w:tcW w:w="966" w:type="dxa"/>
            <w:noWrap w:val="0"/>
            <w:vAlign w:val="top"/>
          </w:tcPr>
          <w:p>
            <w:pPr>
              <w:spacing w:before="179"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617" w:type="dxa"/>
            <w:noWrap w:val="0"/>
            <w:vAlign w:val="top"/>
          </w:tcPr>
          <w:p>
            <w:pPr>
              <w:spacing w:before="179"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4.4772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91"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031509134</w:t>
            </w:r>
          </w:p>
        </w:tc>
        <w:tc>
          <w:tcPr>
            <w:tcW w:w="3567" w:type="dxa"/>
            <w:noWrap w:val="0"/>
            <w:vAlign w:val="top"/>
          </w:tcPr>
          <w:p>
            <w:pPr>
              <w:spacing w:before="181"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铁件(综合)</w:t>
            </w:r>
          </w:p>
        </w:tc>
        <w:tc>
          <w:tcPr>
            <w:tcW w:w="966" w:type="dxa"/>
            <w:noWrap w:val="0"/>
            <w:vAlign w:val="top"/>
          </w:tcPr>
          <w:p>
            <w:pPr>
              <w:spacing w:before="181"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617" w:type="dxa"/>
            <w:noWrap w:val="0"/>
            <w:vAlign w:val="top"/>
          </w:tcPr>
          <w:p>
            <w:pPr>
              <w:spacing w:before="181"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621.0516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91" w:line="195" w:lineRule="auto"/>
              <w:ind w:left="20"/>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041709004</w:t>
            </w:r>
          </w:p>
        </w:tc>
        <w:tc>
          <w:tcPr>
            <w:tcW w:w="3567" w:type="dxa"/>
            <w:noWrap w:val="0"/>
            <w:vAlign w:val="top"/>
          </w:tcPr>
          <w:p>
            <w:pPr>
              <w:spacing w:before="181" w:line="229" w:lineRule="auto"/>
              <w:ind w:left="22"/>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彩钢脊瓦</w:t>
            </w:r>
          </w:p>
        </w:tc>
        <w:tc>
          <w:tcPr>
            <w:tcW w:w="966" w:type="dxa"/>
            <w:noWrap w:val="0"/>
            <w:vAlign w:val="top"/>
          </w:tcPr>
          <w:p>
            <w:pPr>
              <w:spacing w:before="181" w:line="230"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w:t>
            </w:r>
          </w:p>
        </w:tc>
        <w:tc>
          <w:tcPr>
            <w:tcW w:w="1617" w:type="dxa"/>
            <w:noWrap w:val="0"/>
            <w:vAlign w:val="top"/>
          </w:tcPr>
          <w:p>
            <w:pPr>
              <w:spacing w:before="181"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302.5308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91" w:line="195" w:lineRule="auto"/>
              <w:ind w:left="20"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050400001</w:t>
            </w:r>
          </w:p>
        </w:tc>
        <w:tc>
          <w:tcPr>
            <w:tcW w:w="3567" w:type="dxa"/>
            <w:noWrap w:val="0"/>
            <w:vAlign w:val="top"/>
          </w:tcPr>
          <w:p>
            <w:pPr>
              <w:spacing w:before="181" w:line="229"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板方材</w:t>
            </w:r>
          </w:p>
        </w:tc>
        <w:tc>
          <w:tcPr>
            <w:tcW w:w="966" w:type="dxa"/>
            <w:noWrap w:val="0"/>
            <w:vAlign w:val="top"/>
          </w:tcPr>
          <w:p>
            <w:pPr>
              <w:spacing w:before="181" w:line="230" w:lineRule="exact"/>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617" w:type="dxa"/>
            <w:noWrap w:val="0"/>
            <w:vAlign w:val="top"/>
          </w:tcPr>
          <w:p>
            <w:pPr>
              <w:spacing w:before="181" w:line="229" w:lineRule="exact"/>
              <w:ind w:right="6" w:rightChars="0"/>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3.7736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94"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341100024</w:t>
            </w:r>
          </w:p>
        </w:tc>
        <w:tc>
          <w:tcPr>
            <w:tcW w:w="3567" w:type="dxa"/>
            <w:noWrap w:val="0"/>
            <w:vAlign w:val="top"/>
          </w:tcPr>
          <w:p>
            <w:pPr>
              <w:spacing w:before="184" w:line="229"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柴油(机械用)</w:t>
            </w:r>
          </w:p>
        </w:tc>
        <w:tc>
          <w:tcPr>
            <w:tcW w:w="966" w:type="dxa"/>
            <w:noWrap w:val="0"/>
            <w:vAlign w:val="top"/>
          </w:tcPr>
          <w:p>
            <w:pPr>
              <w:spacing w:before="183"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617" w:type="dxa"/>
            <w:noWrap w:val="0"/>
            <w:vAlign w:val="top"/>
          </w:tcPr>
          <w:p>
            <w:pPr>
              <w:spacing w:before="94" w:line="195" w:lineRule="auto"/>
              <w:ind w:right="6"/>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2909.41</w:t>
            </w:r>
            <w:r>
              <w:rPr>
                <w:rFonts w:hint="eastAsia" w:ascii="宋体" w:hAnsi="宋体" w:cs="宋体"/>
                <w:spacing w:val="7"/>
                <w:kern w:val="2"/>
                <w:sz w:val="20"/>
                <w:szCs w:val="20"/>
                <w:lang w:val="en-US" w:eastAsia="zh-CN" w:bidi="ar-SA"/>
              </w:rPr>
              <w: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691"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noWrap w:val="0"/>
            <w:vAlign w:val="top"/>
          </w:tcPr>
          <w:p>
            <w:pPr>
              <w:spacing w:before="93" w:line="195"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990000000</w:t>
            </w:r>
          </w:p>
        </w:tc>
        <w:tc>
          <w:tcPr>
            <w:tcW w:w="3567" w:type="dxa"/>
            <w:noWrap w:val="0"/>
            <w:vAlign w:val="top"/>
          </w:tcPr>
          <w:p>
            <w:pPr>
              <w:spacing w:before="183" w:line="229"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机械综合工日</w:t>
            </w:r>
          </w:p>
        </w:tc>
        <w:tc>
          <w:tcPr>
            <w:tcW w:w="966" w:type="dxa"/>
            <w:noWrap w:val="0"/>
            <w:vAlign w:val="top"/>
          </w:tcPr>
          <w:p>
            <w:pPr>
              <w:spacing w:before="183"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617" w:type="dxa"/>
            <w:noWrap w:val="0"/>
            <w:vAlign w:val="top"/>
          </w:tcPr>
          <w:p>
            <w:pPr>
              <w:spacing w:before="183"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204.672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9" w:hRule="atLeast"/>
          <w:jc w:val="center"/>
        </w:trPr>
        <w:tc>
          <w:tcPr>
            <w:tcW w:w="691" w:type="dxa"/>
            <w:tcBorders>
              <w:left w:val="single" w:color="000000" w:sz="8" w:space="0"/>
              <w:bottom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67" w:type="dxa"/>
            <w:tcBorders>
              <w:bottom w:val="single" w:color="000000" w:sz="8" w:space="0"/>
            </w:tcBorders>
            <w:noWrap w:val="0"/>
            <w:vAlign w:val="top"/>
          </w:tcPr>
          <w:p>
            <w:pPr>
              <w:spacing w:before="198" w:line="191"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567" w:type="dxa"/>
            <w:tcBorders>
              <w:bottom w:val="single" w:color="000000" w:sz="8" w:space="0"/>
            </w:tcBorders>
            <w:noWrap w:val="0"/>
            <w:vAlign w:val="top"/>
          </w:tcPr>
          <w:p>
            <w:pPr>
              <w:spacing w:before="169" w:line="230"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966" w:type="dxa"/>
            <w:tcBorders>
              <w:bottom w:val="single" w:color="000000" w:sz="8" w:space="0"/>
            </w:tcBorders>
            <w:noWrap w:val="0"/>
            <w:vAlign w:val="top"/>
          </w:tcPr>
          <w:p>
            <w:pPr>
              <w:spacing w:before="169"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617" w:type="dxa"/>
            <w:tcBorders>
              <w:bottom w:val="single" w:color="000000" w:sz="8" w:space="0"/>
            </w:tcBorders>
            <w:noWrap w:val="0"/>
            <w:vAlign w:val="top"/>
          </w:tcPr>
          <w:p>
            <w:pPr>
              <w:spacing w:before="79" w:line="195" w:lineRule="auto"/>
              <w:ind w:right="6"/>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4583.757</w:t>
            </w:r>
          </w:p>
        </w:tc>
      </w:tr>
    </w:tbl>
    <w:p>
      <w:pPr>
        <w:rPr>
          <w:rFonts w:ascii="宋体" w:hAnsi="宋体" w:eastAsia="宋体" w:cs="宋体"/>
          <w:spacing w:val="8"/>
          <w:sz w:val="20"/>
          <w:szCs w:val="20"/>
        </w:rPr>
      </w:pPr>
    </w:p>
    <w:p>
      <w:pPr>
        <w:rPr>
          <w:rFonts w:ascii="宋体" w:hAnsi="宋体" w:eastAsia="宋体" w:cs="宋体"/>
          <w:spacing w:val="8"/>
          <w:sz w:val="20"/>
          <w:szCs w:val="20"/>
        </w:rPr>
      </w:pPr>
    </w:p>
    <w:p>
      <w:pPr>
        <w:rPr>
          <w:rFonts w:ascii="宋体" w:hAnsi="宋体" w:eastAsia="宋体" w:cs="宋体"/>
          <w:spacing w:val="8"/>
          <w:sz w:val="20"/>
          <w:szCs w:val="20"/>
        </w:rPr>
      </w:pPr>
    </w:p>
    <w:p>
      <w:pPr>
        <w:rPr>
          <w:rFonts w:ascii="宋体" w:hAnsi="宋体" w:eastAsia="宋体" w:cs="宋体"/>
          <w:spacing w:val="8"/>
          <w:sz w:val="20"/>
          <w:szCs w:val="20"/>
        </w:rPr>
      </w:pPr>
    </w:p>
    <w:p>
      <w:pPr>
        <w:ind w:firstLine="864" w:firstLineChars="400"/>
        <w:rPr>
          <w:rFonts w:ascii="宋体" w:hAnsi="宋体" w:eastAsia="宋体" w:cs="宋体"/>
          <w:spacing w:val="8"/>
          <w:sz w:val="20"/>
          <w:szCs w:val="20"/>
        </w:rPr>
      </w:pPr>
      <w:r>
        <w:rPr>
          <w:rFonts w:ascii="宋体" w:hAnsi="宋体" w:eastAsia="宋体" w:cs="宋体"/>
          <w:spacing w:val="8"/>
          <w:sz w:val="20"/>
          <w:szCs w:val="20"/>
        </w:rPr>
        <w:t>工程名称：建筑与装饰工程</w:t>
      </w:r>
    </w:p>
    <w:tbl>
      <w:tblPr>
        <w:tblStyle w:val="25"/>
        <w:tblW w:w="82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30"/>
        <w:gridCol w:w="1517"/>
        <w:gridCol w:w="3300"/>
        <w:gridCol w:w="750"/>
        <w:gridCol w:w="191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jc w:val="center"/>
        </w:trPr>
        <w:tc>
          <w:tcPr>
            <w:tcW w:w="730" w:type="dxa"/>
            <w:vMerge w:val="restart"/>
            <w:tcBorders>
              <w:top w:val="single" w:color="000000" w:sz="10" w:space="0"/>
              <w:left w:val="single" w:color="000000" w:sz="8" w:space="0"/>
              <w:bottom w:val="nil"/>
            </w:tcBorders>
            <w:noWrap w:val="0"/>
            <w:vAlign w:val="top"/>
          </w:tcPr>
          <w:p>
            <w:pPr>
              <w:spacing w:before="177" w:line="231" w:lineRule="auto"/>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序号</w:t>
            </w:r>
          </w:p>
        </w:tc>
        <w:tc>
          <w:tcPr>
            <w:tcW w:w="1517" w:type="dxa"/>
            <w:vMerge w:val="restart"/>
            <w:tcBorders>
              <w:top w:val="single" w:color="000000" w:sz="10" w:space="0"/>
              <w:bottom w:val="nil"/>
            </w:tcBorders>
            <w:noWrap w:val="0"/>
            <w:vAlign w:val="top"/>
          </w:tcPr>
          <w:p>
            <w:pPr>
              <w:spacing w:before="177" w:line="231" w:lineRule="auto"/>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编  号</w:t>
            </w:r>
          </w:p>
        </w:tc>
        <w:tc>
          <w:tcPr>
            <w:tcW w:w="3300" w:type="dxa"/>
            <w:vMerge w:val="restart"/>
            <w:tcBorders>
              <w:top w:val="single" w:color="000000" w:sz="10" w:space="0"/>
              <w:bottom w:val="nil"/>
            </w:tcBorders>
            <w:noWrap w:val="0"/>
            <w:vAlign w:val="top"/>
          </w:tcPr>
          <w:p>
            <w:pPr>
              <w:spacing w:before="177" w:line="231" w:lineRule="auto"/>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子  目  名  称</w:t>
            </w:r>
          </w:p>
        </w:tc>
        <w:tc>
          <w:tcPr>
            <w:tcW w:w="2667" w:type="dxa"/>
            <w:gridSpan w:val="2"/>
            <w:tcBorders>
              <w:top w:val="single" w:color="000000" w:sz="10" w:space="0"/>
            </w:tcBorders>
            <w:noWrap w:val="0"/>
            <w:vAlign w:val="top"/>
          </w:tcPr>
          <w:p>
            <w:pPr>
              <w:spacing w:before="177" w:line="231" w:lineRule="auto"/>
              <w:ind w:left="22" w:firstLine="856" w:firstLineChars="40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 w:hRule="atLeast"/>
          <w:jc w:val="center"/>
        </w:trPr>
        <w:tc>
          <w:tcPr>
            <w:tcW w:w="730" w:type="dxa"/>
            <w:vMerge w:val="continue"/>
            <w:tcBorders>
              <w:top w:val="nil"/>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vMerge w:val="continue"/>
            <w:tcBorders>
              <w:top w:val="nil"/>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3300" w:type="dxa"/>
            <w:vMerge w:val="continue"/>
            <w:tcBorders>
              <w:top w:val="nil"/>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单位</w:t>
            </w:r>
          </w:p>
        </w:tc>
        <w:tc>
          <w:tcPr>
            <w:tcW w:w="1917" w:type="dxa"/>
            <w:noWrap w:val="0"/>
            <w:vAlign w:val="top"/>
          </w:tcPr>
          <w:p>
            <w:pPr>
              <w:spacing w:before="177" w:line="231" w:lineRule="auto"/>
              <w:ind w:left="22" w:firstLine="642" w:firstLineChars="30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9536.436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70"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9922.17</w:t>
            </w:r>
            <w:r>
              <w:rPr>
                <w:rFonts w:hint="eastAsia" w:ascii="宋体" w:hAnsi="宋体" w:cs="宋体"/>
                <w:spacing w:val="7"/>
                <w:kern w:val="2"/>
                <w:sz w:val="20"/>
                <w:szCs w:val="20"/>
                <w:lang w:val="en-US" w:eastAsia="zh-CN" w:bidi="ar-SA"/>
              </w:rPr>
              <w:t>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341100025</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电(机械用)</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kwh</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6791.46</w:t>
            </w:r>
            <w:r>
              <w:rPr>
                <w:rFonts w:hint="eastAsia" w:ascii="宋体" w:hAnsi="宋体" w:cs="宋体"/>
                <w:spacing w:val="7"/>
                <w:kern w:val="2"/>
                <w:sz w:val="20"/>
                <w:szCs w:val="20"/>
                <w:lang w:val="en-US" w:eastAsia="zh-CN" w:bidi="ar-SA"/>
              </w:rP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ACJYF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安拆费及场外运费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897.039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w:t>
            </w: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6-57 换</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围护体系安装 墙面板 压型 钢板  换为【压型彩钢板δ0.5】</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100m2</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26.936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4"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382.4104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5" w:hRule="atLeast"/>
          <w:jc w:val="center"/>
        </w:trPr>
        <w:tc>
          <w:tcPr>
            <w:tcW w:w="730" w:type="dxa"/>
            <w:tcBorders>
              <w:left w:val="single" w:color="000000" w:sz="8" w:space="0"/>
              <w:bottom w:val="single" w:color="auto" w:sz="4"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tcBorders>
              <w:bottom w:val="single" w:color="auto" w:sz="4"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300" w:type="dxa"/>
            <w:tcBorders>
              <w:bottom w:val="single" w:color="auto" w:sz="4"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750" w:type="dxa"/>
            <w:tcBorders>
              <w:bottom w:val="single" w:color="auto" w:sz="4"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tcBorders>
              <w:bottom w:val="single" w:color="auto" w:sz="4"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2635.11</w:t>
            </w:r>
            <w:r>
              <w:rPr>
                <w:rFonts w:hint="eastAsia" w:ascii="宋体" w:hAnsi="宋体" w:cs="宋体"/>
                <w:spacing w:val="7"/>
                <w:kern w:val="2"/>
                <w:sz w:val="20"/>
                <w:szCs w:val="20"/>
                <w:lang w:val="en-US" w:eastAsia="zh-CN" w:bidi="ar-SA"/>
              </w:rPr>
              <w: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 w:hRule="atLeast"/>
          <w:jc w:val="center"/>
        </w:trPr>
        <w:tc>
          <w:tcPr>
            <w:tcW w:w="730" w:type="dxa"/>
            <w:tcBorders>
              <w:top w:val="single" w:color="auto" w:sz="4" w:space="0"/>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tcBorders>
              <w:top w:val="single" w:color="auto" w:sz="4" w:space="0"/>
            </w:tcBorders>
            <w:noWrap w:val="0"/>
            <w:vAlign w:val="top"/>
          </w:tcPr>
          <w:p>
            <w:pPr>
              <w:spacing w:before="177" w:line="231"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012900019</w:t>
            </w:r>
          </w:p>
        </w:tc>
        <w:tc>
          <w:tcPr>
            <w:tcW w:w="3300" w:type="dxa"/>
            <w:tcBorders>
              <w:top w:val="single" w:color="auto" w:sz="4" w:space="0"/>
            </w:tcBorders>
            <w:noWrap w:val="0"/>
            <w:vAlign w:val="top"/>
          </w:tcPr>
          <w:p>
            <w:pPr>
              <w:spacing w:before="177" w:line="231"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压型彩钢板 δ0.</w:t>
            </w:r>
            <w:r>
              <w:rPr>
                <w:rFonts w:hint="eastAsia" w:ascii="宋体" w:hAnsi="宋体" w:cs="宋体"/>
                <w:spacing w:val="7"/>
                <w:kern w:val="2"/>
                <w:sz w:val="20"/>
                <w:szCs w:val="20"/>
                <w:lang w:val="en-US" w:eastAsia="zh-CN" w:bidi="ar-SA"/>
              </w:rPr>
              <w:t>5</w:t>
            </w:r>
          </w:p>
        </w:tc>
        <w:tc>
          <w:tcPr>
            <w:tcW w:w="750" w:type="dxa"/>
            <w:tcBorders>
              <w:top w:val="single" w:color="auto" w:sz="4" w:space="0"/>
            </w:tcBorders>
            <w:noWrap w:val="0"/>
            <w:vAlign w:val="top"/>
          </w:tcPr>
          <w:p>
            <w:pPr>
              <w:spacing w:before="177" w:line="231"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m2</w:t>
            </w:r>
          </w:p>
        </w:tc>
        <w:tc>
          <w:tcPr>
            <w:tcW w:w="1917" w:type="dxa"/>
            <w:tcBorders>
              <w:top w:val="single" w:color="auto" w:sz="4" w:space="0"/>
            </w:tcBorders>
            <w:noWrap w:val="0"/>
            <w:vAlign w:val="top"/>
          </w:tcPr>
          <w:p>
            <w:pPr>
              <w:spacing w:before="177" w:line="231" w:lineRule="auto"/>
              <w:ind w:left="22" w:leftChars="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2855.216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020300008</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橡皮密封条20×4</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4668.00</w:t>
            </w:r>
            <w:r>
              <w:rPr>
                <w:rFonts w:hint="eastAsia" w:ascii="宋体" w:hAnsi="宋体" w:cs="宋体"/>
                <w:spacing w:val="7"/>
                <w:kern w:val="2"/>
                <w:sz w:val="20"/>
                <w:szCs w:val="20"/>
                <w:lang w:val="en-US" w:eastAsia="zh-CN" w:bidi="ar-SA"/>
              </w:rPr>
              <w:t>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030101007</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铝拉铆钉M5×40</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百个</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94.276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030103089</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自攻螺钉ST6×20</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百个</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175.084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031509133</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金属结构铁件</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134.68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1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031513009</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合金钢钻头 φ6~13</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个</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16.1616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5"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050400008</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垫木</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0.5387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4"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133500004</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防水密封胶</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支</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861.952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84"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341100024</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柴油(机械用)</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103.4612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990000000</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机械综合工日</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5.3872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226.6126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469.0904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486.3025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7</w:t>
            </w: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6-18</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厂(库)房钢结构 钢柱 质量 (t) ≤3</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t</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13.585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43.8116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1" w:hRule="atLeast"/>
          <w:jc w:val="center"/>
        </w:trPr>
        <w:tc>
          <w:tcPr>
            <w:tcW w:w="730" w:type="dxa"/>
            <w:tcBorders>
              <w:left w:val="single" w:color="000000" w:sz="8"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30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750"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17" w:type="dxa"/>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367.3002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2" w:hRule="atLeast"/>
          <w:jc w:val="center"/>
        </w:trPr>
        <w:tc>
          <w:tcPr>
            <w:tcW w:w="730" w:type="dxa"/>
            <w:tcBorders>
              <w:left w:val="single" w:color="000000" w:sz="8" w:space="0"/>
              <w:bottom w:val="single" w:color="000000" w:sz="10"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p>
        </w:tc>
        <w:tc>
          <w:tcPr>
            <w:tcW w:w="1517" w:type="dxa"/>
            <w:tcBorders>
              <w:bottom w:val="single" w:color="000000" w:sz="10"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031301007</w:t>
            </w:r>
          </w:p>
        </w:tc>
        <w:tc>
          <w:tcPr>
            <w:tcW w:w="3300" w:type="dxa"/>
            <w:tcBorders>
              <w:bottom w:val="single" w:color="000000" w:sz="10"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低合金钢焊条E43系列</w:t>
            </w:r>
          </w:p>
        </w:tc>
        <w:tc>
          <w:tcPr>
            <w:tcW w:w="750" w:type="dxa"/>
            <w:tcBorders>
              <w:bottom w:val="single" w:color="000000" w:sz="10"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17" w:type="dxa"/>
            <w:tcBorders>
              <w:bottom w:val="single" w:color="000000" w:sz="10" w:space="0"/>
            </w:tcBorders>
            <w:noWrap w:val="0"/>
            <w:vAlign w:val="top"/>
          </w:tcPr>
          <w:p>
            <w:pPr>
              <w:spacing w:before="177"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16.7911</w:t>
            </w:r>
          </w:p>
        </w:tc>
      </w:tr>
    </w:tbl>
    <w:p>
      <w:pPr>
        <w:ind w:firstLine="864" w:firstLineChars="400"/>
        <w:rPr>
          <w:rFonts w:ascii="宋体" w:hAnsi="宋体" w:eastAsia="宋体" w:cs="宋体"/>
          <w:spacing w:val="8"/>
          <w:sz w:val="20"/>
          <w:szCs w:val="20"/>
        </w:rPr>
      </w:pPr>
      <w:r>
        <w:rPr>
          <w:rFonts w:ascii="宋体" w:hAnsi="宋体" w:eastAsia="宋体" w:cs="宋体"/>
          <w:spacing w:val="8"/>
          <w:sz w:val="20"/>
          <w:szCs w:val="20"/>
        </w:rPr>
        <w:t>工程名称：建筑与装饰工程</w:t>
      </w:r>
    </w:p>
    <w:tbl>
      <w:tblPr>
        <w:tblStyle w:val="25"/>
        <w:tblW w:w="822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75"/>
        <w:gridCol w:w="1533"/>
        <w:gridCol w:w="3550"/>
        <w:gridCol w:w="900"/>
        <w:gridCol w:w="146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jc w:val="center"/>
        </w:trPr>
        <w:tc>
          <w:tcPr>
            <w:tcW w:w="775" w:type="dxa"/>
            <w:vMerge w:val="restart"/>
            <w:tcBorders>
              <w:top w:val="single" w:color="000000" w:sz="10" w:space="0"/>
              <w:left w:val="single" w:color="000000" w:sz="8" w:space="0"/>
              <w:bottom w:val="nil"/>
            </w:tcBorders>
            <w:noWrap w:val="0"/>
            <w:vAlign w:val="top"/>
          </w:tcPr>
          <w:p>
            <w:pPr>
              <w:pStyle w:val="47"/>
              <w:spacing w:line="277" w:lineRule="auto"/>
              <w:rPr>
                <w:rFonts w:ascii="宋体" w:hAnsi="宋体" w:eastAsia="宋体" w:cs="宋体"/>
                <w:spacing w:val="7"/>
                <w:kern w:val="2"/>
                <w:sz w:val="20"/>
                <w:szCs w:val="20"/>
                <w:lang w:val="en-US" w:eastAsia="zh-CN" w:bidi="ar-SA"/>
              </w:rPr>
            </w:pPr>
          </w:p>
          <w:p>
            <w:pPr>
              <w:spacing w:before="55" w:line="231" w:lineRule="auto"/>
              <w:ind w:left="7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序号</w:t>
            </w:r>
          </w:p>
        </w:tc>
        <w:tc>
          <w:tcPr>
            <w:tcW w:w="1533" w:type="dxa"/>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6" w:line="230" w:lineRule="auto"/>
              <w:ind w:left="11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编  号</w:t>
            </w:r>
          </w:p>
        </w:tc>
        <w:tc>
          <w:tcPr>
            <w:tcW w:w="3550" w:type="dxa"/>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5" w:line="231" w:lineRule="auto"/>
              <w:ind w:left="48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子  目  名  称</w:t>
            </w:r>
          </w:p>
        </w:tc>
        <w:tc>
          <w:tcPr>
            <w:tcW w:w="2367" w:type="dxa"/>
            <w:gridSpan w:val="2"/>
            <w:tcBorders>
              <w:top w:val="single" w:color="000000" w:sz="10" w:space="0"/>
            </w:tcBorders>
            <w:noWrap w:val="0"/>
            <w:vAlign w:val="top"/>
          </w:tcPr>
          <w:p>
            <w:pPr>
              <w:spacing w:before="63" w:line="231" w:lineRule="auto"/>
              <w:ind w:left="40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6" w:hRule="atLeast"/>
          <w:jc w:val="center"/>
        </w:trPr>
        <w:tc>
          <w:tcPr>
            <w:tcW w:w="775" w:type="dxa"/>
            <w:vMerge w:val="continue"/>
            <w:tcBorders>
              <w:top w:val="nil"/>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3550"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900" w:type="dxa"/>
            <w:noWrap w:val="0"/>
            <w:vAlign w:val="top"/>
          </w:tcPr>
          <w:p>
            <w:pPr>
              <w:spacing w:before="163" w:line="231" w:lineRule="auto"/>
              <w:ind w:left="8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单位</w:t>
            </w:r>
          </w:p>
        </w:tc>
        <w:tc>
          <w:tcPr>
            <w:tcW w:w="1467" w:type="dxa"/>
            <w:noWrap w:val="0"/>
            <w:vAlign w:val="top"/>
          </w:tcPr>
          <w:p>
            <w:pPr>
              <w:spacing w:before="163" w:line="230" w:lineRule="auto"/>
              <w:ind w:left="23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77"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031509133</w:t>
            </w:r>
          </w:p>
        </w:tc>
        <w:tc>
          <w:tcPr>
            <w:tcW w:w="3550" w:type="dxa"/>
            <w:noWrap w:val="0"/>
            <w:vAlign w:val="top"/>
          </w:tcPr>
          <w:p>
            <w:pPr>
              <w:spacing w:before="166"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金属结构铁件</w:t>
            </w:r>
          </w:p>
        </w:tc>
        <w:tc>
          <w:tcPr>
            <w:tcW w:w="900" w:type="dxa"/>
            <w:noWrap w:val="0"/>
            <w:vAlign w:val="top"/>
          </w:tcPr>
          <w:p>
            <w:pPr>
              <w:spacing w:before="167"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6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143.838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78"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050400008</w:t>
            </w:r>
          </w:p>
        </w:tc>
        <w:tc>
          <w:tcPr>
            <w:tcW w:w="3550" w:type="dxa"/>
            <w:noWrap w:val="0"/>
            <w:vAlign w:val="top"/>
          </w:tcPr>
          <w:p>
            <w:pPr>
              <w:spacing w:before="168"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垫木</w:t>
            </w:r>
          </w:p>
        </w:tc>
        <w:tc>
          <w:tcPr>
            <w:tcW w:w="900" w:type="dxa"/>
            <w:noWrap w:val="0"/>
            <w:vAlign w:val="top"/>
          </w:tcPr>
          <w:p>
            <w:pPr>
              <w:spacing w:before="168" w:line="230" w:lineRule="exact"/>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467" w:type="dxa"/>
            <w:noWrap w:val="0"/>
            <w:vAlign w:val="top"/>
          </w:tcPr>
          <w:p>
            <w:pPr>
              <w:spacing w:before="168"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0.1494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78"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010500008</w:t>
            </w:r>
          </w:p>
        </w:tc>
        <w:tc>
          <w:tcPr>
            <w:tcW w:w="3550" w:type="dxa"/>
            <w:noWrap w:val="0"/>
            <w:vAlign w:val="top"/>
          </w:tcPr>
          <w:p>
            <w:pPr>
              <w:spacing w:before="168" w:line="233"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钢丝绳 φ 12</w:t>
            </w:r>
          </w:p>
        </w:tc>
        <w:tc>
          <w:tcPr>
            <w:tcW w:w="900" w:type="dxa"/>
            <w:noWrap w:val="0"/>
            <w:vAlign w:val="top"/>
          </w:tcPr>
          <w:p>
            <w:pPr>
              <w:spacing w:before="168"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68"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63.7137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0"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031303004</w:t>
            </w:r>
          </w:p>
        </w:tc>
        <w:tc>
          <w:tcPr>
            <w:tcW w:w="3550" w:type="dxa"/>
            <w:noWrap w:val="0"/>
            <w:vAlign w:val="top"/>
          </w:tcPr>
          <w:p>
            <w:pPr>
              <w:spacing w:before="169" w:line="230"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焊丝 φ3.2</w:t>
            </w:r>
          </w:p>
        </w:tc>
        <w:tc>
          <w:tcPr>
            <w:tcW w:w="900" w:type="dxa"/>
            <w:noWrap w:val="0"/>
            <w:vAlign w:val="top"/>
          </w:tcPr>
          <w:p>
            <w:pPr>
              <w:spacing w:before="170"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69"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14.699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0"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130100086</w:t>
            </w:r>
          </w:p>
        </w:tc>
        <w:tc>
          <w:tcPr>
            <w:tcW w:w="3550" w:type="dxa"/>
            <w:noWrap w:val="0"/>
            <w:vAlign w:val="top"/>
          </w:tcPr>
          <w:p>
            <w:pPr>
              <w:spacing w:before="170" w:line="229"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环氧富锌底漆</w:t>
            </w:r>
          </w:p>
        </w:tc>
        <w:tc>
          <w:tcPr>
            <w:tcW w:w="900" w:type="dxa"/>
            <w:noWrap w:val="0"/>
            <w:vAlign w:val="top"/>
          </w:tcPr>
          <w:p>
            <w:pPr>
              <w:spacing w:before="170"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70"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14.4001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79"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142900019</w:t>
            </w:r>
          </w:p>
        </w:tc>
        <w:tc>
          <w:tcPr>
            <w:tcW w:w="3550" w:type="dxa"/>
            <w:noWrap w:val="0"/>
            <w:vAlign w:val="top"/>
          </w:tcPr>
          <w:p>
            <w:pPr>
              <w:spacing w:before="169" w:line="229"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二氧化碳气体</w:t>
            </w:r>
          </w:p>
        </w:tc>
        <w:tc>
          <w:tcPr>
            <w:tcW w:w="900" w:type="dxa"/>
            <w:noWrap w:val="0"/>
            <w:vAlign w:val="top"/>
          </w:tcPr>
          <w:p>
            <w:pPr>
              <w:spacing w:before="169" w:line="230" w:lineRule="exact"/>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467" w:type="dxa"/>
            <w:noWrap w:val="0"/>
            <w:vAlign w:val="top"/>
          </w:tcPr>
          <w:p>
            <w:pPr>
              <w:spacing w:before="169"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9.7133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1"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143500084</w:t>
            </w:r>
          </w:p>
        </w:tc>
        <w:tc>
          <w:tcPr>
            <w:tcW w:w="3550" w:type="dxa"/>
            <w:noWrap w:val="0"/>
            <w:vAlign w:val="top"/>
          </w:tcPr>
          <w:p>
            <w:pPr>
              <w:spacing w:before="170" w:line="229"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稀释剂</w:t>
            </w:r>
          </w:p>
        </w:tc>
        <w:tc>
          <w:tcPr>
            <w:tcW w:w="900" w:type="dxa"/>
            <w:noWrap w:val="0"/>
            <w:vAlign w:val="top"/>
          </w:tcPr>
          <w:p>
            <w:pPr>
              <w:spacing w:before="170"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70"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1.1547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1"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380303001</w:t>
            </w:r>
          </w:p>
        </w:tc>
        <w:tc>
          <w:tcPr>
            <w:tcW w:w="3550" w:type="dxa"/>
            <w:noWrap w:val="0"/>
            <w:vAlign w:val="top"/>
          </w:tcPr>
          <w:p>
            <w:pPr>
              <w:spacing w:before="170" w:line="231"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钢柱</w:t>
            </w:r>
          </w:p>
        </w:tc>
        <w:tc>
          <w:tcPr>
            <w:tcW w:w="900" w:type="dxa"/>
            <w:noWrap w:val="0"/>
            <w:vAlign w:val="top"/>
          </w:tcPr>
          <w:p>
            <w:pPr>
              <w:spacing w:before="171" w:line="231" w:lineRule="exact"/>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t</w:t>
            </w:r>
          </w:p>
        </w:tc>
        <w:tc>
          <w:tcPr>
            <w:tcW w:w="1467" w:type="dxa"/>
            <w:noWrap w:val="0"/>
            <w:vAlign w:val="top"/>
          </w:tcPr>
          <w:p>
            <w:pPr>
              <w:spacing w:before="171"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13.585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2"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380313001</w:t>
            </w:r>
          </w:p>
        </w:tc>
        <w:tc>
          <w:tcPr>
            <w:tcW w:w="3550" w:type="dxa"/>
            <w:noWrap w:val="0"/>
            <w:vAlign w:val="top"/>
          </w:tcPr>
          <w:p>
            <w:pPr>
              <w:spacing w:before="172" w:line="231" w:lineRule="auto"/>
              <w:ind w:left="4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吊装夹具</w:t>
            </w:r>
          </w:p>
        </w:tc>
        <w:tc>
          <w:tcPr>
            <w:tcW w:w="900" w:type="dxa"/>
            <w:noWrap w:val="0"/>
            <w:vAlign w:val="top"/>
          </w:tcPr>
          <w:p>
            <w:pPr>
              <w:spacing w:before="172"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套</w:t>
            </w:r>
          </w:p>
        </w:tc>
        <w:tc>
          <w:tcPr>
            <w:tcW w:w="1467" w:type="dxa"/>
            <w:noWrap w:val="0"/>
            <w:vAlign w:val="top"/>
          </w:tcPr>
          <w:p>
            <w:pPr>
              <w:spacing w:before="172"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0.2717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4"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341100024</w:t>
            </w:r>
          </w:p>
        </w:tc>
        <w:tc>
          <w:tcPr>
            <w:tcW w:w="3550" w:type="dxa"/>
            <w:noWrap w:val="0"/>
            <w:vAlign w:val="top"/>
          </w:tcPr>
          <w:p>
            <w:pPr>
              <w:spacing w:before="173" w:line="229"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柴油(机械用)</w:t>
            </w:r>
          </w:p>
        </w:tc>
        <w:tc>
          <w:tcPr>
            <w:tcW w:w="900" w:type="dxa"/>
            <w:noWrap w:val="0"/>
            <w:vAlign w:val="top"/>
          </w:tcPr>
          <w:p>
            <w:pPr>
              <w:spacing w:before="173"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73"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81.4008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5"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990000000</w:t>
            </w:r>
          </w:p>
        </w:tc>
        <w:tc>
          <w:tcPr>
            <w:tcW w:w="3550" w:type="dxa"/>
            <w:noWrap w:val="0"/>
            <w:vAlign w:val="top"/>
          </w:tcPr>
          <w:p>
            <w:pPr>
              <w:spacing w:before="175" w:line="229"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机械综合工日</w:t>
            </w:r>
          </w:p>
        </w:tc>
        <w:tc>
          <w:tcPr>
            <w:tcW w:w="900" w:type="dxa"/>
            <w:noWrap w:val="0"/>
            <w:vAlign w:val="top"/>
          </w:tcPr>
          <w:p>
            <w:pPr>
              <w:spacing w:before="175" w:line="235" w:lineRule="auto"/>
              <w:ind w:left="3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467" w:type="dxa"/>
            <w:noWrap w:val="0"/>
            <w:vAlign w:val="top"/>
          </w:tcPr>
          <w:p>
            <w:pPr>
              <w:spacing w:before="175"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4.2385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128" w:line="191"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550" w:type="dxa"/>
            <w:noWrap w:val="0"/>
            <w:vAlign w:val="top"/>
          </w:tcPr>
          <w:p>
            <w:pPr>
              <w:spacing w:before="99" w:line="230"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900" w:type="dxa"/>
            <w:noWrap w:val="0"/>
            <w:vAlign w:val="top"/>
          </w:tcPr>
          <w:p>
            <w:pPr>
              <w:spacing w:before="99"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99"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188.1112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132" w:line="187" w:lineRule="auto"/>
              <w:ind w:left="1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550" w:type="dxa"/>
            <w:noWrap w:val="0"/>
            <w:vAlign w:val="top"/>
          </w:tcPr>
          <w:p>
            <w:pPr>
              <w:spacing w:before="100" w:line="231"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900" w:type="dxa"/>
            <w:noWrap w:val="0"/>
            <w:vAlign w:val="top"/>
          </w:tcPr>
          <w:p>
            <w:pPr>
              <w:spacing w:before="100"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100"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436.7292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131" w:line="188"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550" w:type="dxa"/>
            <w:noWrap w:val="0"/>
            <w:vAlign w:val="top"/>
          </w:tcPr>
          <w:p>
            <w:pPr>
              <w:spacing w:before="100"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900" w:type="dxa"/>
            <w:noWrap w:val="0"/>
            <w:vAlign w:val="top"/>
          </w:tcPr>
          <w:p>
            <w:pPr>
              <w:spacing w:before="100"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100"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581.0976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87"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341100025</w:t>
            </w:r>
          </w:p>
        </w:tc>
        <w:tc>
          <w:tcPr>
            <w:tcW w:w="3550" w:type="dxa"/>
            <w:noWrap w:val="0"/>
            <w:vAlign w:val="top"/>
          </w:tcPr>
          <w:p>
            <w:pPr>
              <w:spacing w:before="176" w:line="229" w:lineRule="auto"/>
              <w:ind w:left="4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电(机械用)</w:t>
            </w:r>
          </w:p>
        </w:tc>
        <w:tc>
          <w:tcPr>
            <w:tcW w:w="900" w:type="dxa"/>
            <w:noWrap w:val="0"/>
            <w:vAlign w:val="top"/>
          </w:tcPr>
          <w:p>
            <w:pPr>
              <w:spacing w:before="176" w:line="231" w:lineRule="exact"/>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kwh</w:t>
            </w:r>
          </w:p>
        </w:tc>
        <w:tc>
          <w:tcPr>
            <w:tcW w:w="1467" w:type="dxa"/>
            <w:noWrap w:val="0"/>
            <w:vAlign w:val="top"/>
          </w:tcPr>
          <w:p>
            <w:pPr>
              <w:spacing w:before="17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225.6591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130" w:line="191" w:lineRule="auto"/>
              <w:ind w:left="1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ACJYF</w:t>
            </w:r>
          </w:p>
        </w:tc>
        <w:tc>
          <w:tcPr>
            <w:tcW w:w="3550" w:type="dxa"/>
            <w:noWrap w:val="0"/>
            <w:vAlign w:val="top"/>
          </w:tcPr>
          <w:p>
            <w:pPr>
              <w:spacing w:before="102" w:line="231"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安拆费及场外运费</w:t>
            </w:r>
          </w:p>
        </w:tc>
        <w:tc>
          <w:tcPr>
            <w:tcW w:w="900" w:type="dxa"/>
            <w:noWrap w:val="0"/>
            <w:vAlign w:val="top"/>
          </w:tcPr>
          <w:p>
            <w:pPr>
              <w:spacing w:before="102"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102"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47.6249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135" w:line="188"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JYF</w:t>
            </w:r>
          </w:p>
        </w:tc>
        <w:tc>
          <w:tcPr>
            <w:tcW w:w="3550" w:type="dxa"/>
            <w:noWrap w:val="0"/>
            <w:vAlign w:val="top"/>
          </w:tcPr>
          <w:p>
            <w:pPr>
              <w:spacing w:before="103"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校验费</w:t>
            </w:r>
          </w:p>
        </w:tc>
        <w:tc>
          <w:tcPr>
            <w:tcW w:w="900" w:type="dxa"/>
            <w:noWrap w:val="0"/>
            <w:vAlign w:val="top"/>
          </w:tcPr>
          <w:p>
            <w:pPr>
              <w:spacing w:before="103"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103"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33.4191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75" w:type="dxa"/>
            <w:tcBorders>
              <w:left w:val="single" w:color="000000" w:sz="8" w:space="0"/>
            </w:tcBorders>
            <w:noWrap w:val="0"/>
            <w:vAlign w:val="top"/>
          </w:tcPr>
          <w:p>
            <w:pPr>
              <w:spacing w:before="105" w:line="230" w:lineRule="exact"/>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w:t>
            </w:r>
          </w:p>
        </w:tc>
        <w:tc>
          <w:tcPr>
            <w:tcW w:w="1533" w:type="dxa"/>
            <w:noWrap w:val="0"/>
            <w:vAlign w:val="top"/>
          </w:tcPr>
          <w:p>
            <w:pPr>
              <w:spacing w:before="105" w:line="230" w:lineRule="exact"/>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14-180</w:t>
            </w:r>
          </w:p>
        </w:tc>
        <w:tc>
          <w:tcPr>
            <w:tcW w:w="3550" w:type="dxa"/>
            <w:noWrap w:val="0"/>
            <w:vAlign w:val="top"/>
          </w:tcPr>
          <w:p>
            <w:pPr>
              <w:spacing w:before="105"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金属面 红丹防锈漆一遍</w:t>
            </w:r>
          </w:p>
        </w:tc>
        <w:tc>
          <w:tcPr>
            <w:tcW w:w="900" w:type="dxa"/>
            <w:noWrap w:val="0"/>
            <w:vAlign w:val="top"/>
          </w:tcPr>
          <w:p>
            <w:pPr>
              <w:spacing w:before="105" w:line="230" w:lineRule="exact"/>
              <w:ind w:left="4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100m2</w:t>
            </w:r>
          </w:p>
        </w:tc>
        <w:tc>
          <w:tcPr>
            <w:tcW w:w="1467" w:type="dxa"/>
            <w:noWrap w:val="0"/>
            <w:vAlign w:val="top"/>
          </w:tcPr>
          <w:p>
            <w:pPr>
              <w:spacing w:before="105"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8.736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90"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000102001</w:t>
            </w:r>
          </w:p>
        </w:tc>
        <w:tc>
          <w:tcPr>
            <w:tcW w:w="3550" w:type="dxa"/>
            <w:noWrap w:val="0"/>
            <w:vAlign w:val="top"/>
          </w:tcPr>
          <w:p>
            <w:pPr>
              <w:spacing w:before="180" w:line="230"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三类人工</w:t>
            </w:r>
          </w:p>
        </w:tc>
        <w:tc>
          <w:tcPr>
            <w:tcW w:w="900" w:type="dxa"/>
            <w:noWrap w:val="0"/>
            <w:vAlign w:val="top"/>
          </w:tcPr>
          <w:p>
            <w:pPr>
              <w:spacing w:before="180" w:line="235" w:lineRule="auto"/>
              <w:ind w:left="3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467" w:type="dxa"/>
            <w:noWrap w:val="0"/>
            <w:vAlign w:val="top"/>
          </w:tcPr>
          <w:p>
            <w:pPr>
              <w:spacing w:before="180"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18.0224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92"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550" w:type="dxa"/>
            <w:noWrap w:val="0"/>
            <w:vAlign w:val="top"/>
          </w:tcPr>
          <w:p>
            <w:pPr>
              <w:spacing w:before="182" w:line="229"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900" w:type="dxa"/>
            <w:noWrap w:val="0"/>
            <w:vAlign w:val="top"/>
          </w:tcPr>
          <w:p>
            <w:pPr>
              <w:spacing w:before="181"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noWrap w:val="0"/>
            <w:vAlign w:val="top"/>
          </w:tcPr>
          <w:p>
            <w:pPr>
              <w:spacing w:before="182"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17.1866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92"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130900004</w:t>
            </w:r>
          </w:p>
        </w:tc>
        <w:tc>
          <w:tcPr>
            <w:tcW w:w="3550" w:type="dxa"/>
            <w:noWrap w:val="0"/>
            <w:vAlign w:val="top"/>
          </w:tcPr>
          <w:p>
            <w:pPr>
              <w:spacing w:before="181" w:line="231"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酚醛防锈漆红丹</w:t>
            </w:r>
          </w:p>
        </w:tc>
        <w:tc>
          <w:tcPr>
            <w:tcW w:w="900" w:type="dxa"/>
            <w:noWrap w:val="0"/>
            <w:vAlign w:val="top"/>
          </w:tcPr>
          <w:p>
            <w:pPr>
              <w:spacing w:before="182"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82"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106.4045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93"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140500008</w:t>
            </w:r>
          </w:p>
        </w:tc>
        <w:tc>
          <w:tcPr>
            <w:tcW w:w="3550" w:type="dxa"/>
            <w:noWrap w:val="0"/>
            <w:vAlign w:val="top"/>
          </w:tcPr>
          <w:p>
            <w:pPr>
              <w:spacing w:before="183" w:line="229"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油漆溶剂油</w:t>
            </w:r>
          </w:p>
        </w:tc>
        <w:tc>
          <w:tcPr>
            <w:tcW w:w="900" w:type="dxa"/>
            <w:noWrap w:val="0"/>
            <w:vAlign w:val="top"/>
          </w:tcPr>
          <w:p>
            <w:pPr>
              <w:spacing w:before="183"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467" w:type="dxa"/>
            <w:noWrap w:val="0"/>
            <w:vAlign w:val="top"/>
          </w:tcPr>
          <w:p>
            <w:pPr>
              <w:spacing w:before="183"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5.591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75" w:type="dxa"/>
            <w:tcBorders>
              <w:left w:val="single" w:color="000000" w:sz="8" w:space="0"/>
            </w:tcBorders>
            <w:noWrap w:val="0"/>
            <w:vAlign w:val="top"/>
          </w:tcPr>
          <w:p>
            <w:pPr>
              <w:spacing w:before="183" w:line="231" w:lineRule="exact"/>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w:t>
            </w:r>
          </w:p>
        </w:tc>
        <w:tc>
          <w:tcPr>
            <w:tcW w:w="1533" w:type="dxa"/>
            <w:noWrap w:val="0"/>
            <w:vAlign w:val="top"/>
          </w:tcPr>
          <w:p>
            <w:pPr>
              <w:spacing w:before="183" w:line="231" w:lineRule="exact"/>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6-33</w:t>
            </w:r>
          </w:p>
        </w:tc>
        <w:tc>
          <w:tcPr>
            <w:tcW w:w="3550" w:type="dxa"/>
            <w:noWrap w:val="0"/>
            <w:vAlign w:val="top"/>
          </w:tcPr>
          <w:p>
            <w:pPr>
              <w:spacing w:before="93" w:line="213" w:lineRule="auto"/>
              <w:ind w:left="23" w:right="144" w:firstLine="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厂(库)房钢结构 钢支撑等其他构件</w:t>
            </w:r>
          </w:p>
        </w:tc>
        <w:tc>
          <w:tcPr>
            <w:tcW w:w="900" w:type="dxa"/>
            <w:noWrap w:val="0"/>
            <w:vAlign w:val="top"/>
          </w:tcPr>
          <w:p>
            <w:pPr>
              <w:spacing w:before="183" w:line="231" w:lineRule="exact"/>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t</w:t>
            </w:r>
          </w:p>
        </w:tc>
        <w:tc>
          <w:tcPr>
            <w:tcW w:w="1467" w:type="dxa"/>
            <w:noWrap w:val="0"/>
            <w:vAlign w:val="top"/>
          </w:tcPr>
          <w:p>
            <w:pPr>
              <w:spacing w:before="183"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26.585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75"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noWrap w:val="0"/>
            <w:vAlign w:val="top"/>
          </w:tcPr>
          <w:p>
            <w:pPr>
              <w:spacing w:before="93"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550" w:type="dxa"/>
            <w:noWrap w:val="0"/>
            <w:vAlign w:val="top"/>
          </w:tcPr>
          <w:p>
            <w:pPr>
              <w:spacing w:before="183" w:line="230"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900" w:type="dxa"/>
            <w:noWrap w:val="0"/>
            <w:vAlign w:val="top"/>
          </w:tcPr>
          <w:p>
            <w:pPr>
              <w:spacing w:before="183" w:line="235" w:lineRule="auto"/>
              <w:ind w:left="3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467" w:type="dxa"/>
            <w:noWrap w:val="0"/>
            <w:vAlign w:val="top"/>
          </w:tcPr>
          <w:p>
            <w:pPr>
              <w:spacing w:before="183"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69.121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8" w:hRule="atLeast"/>
          <w:jc w:val="center"/>
        </w:trPr>
        <w:tc>
          <w:tcPr>
            <w:tcW w:w="775" w:type="dxa"/>
            <w:tcBorders>
              <w:left w:val="single" w:color="000000" w:sz="8" w:space="0"/>
              <w:bottom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533" w:type="dxa"/>
            <w:tcBorders>
              <w:bottom w:val="single" w:color="000000" w:sz="8" w:space="0"/>
            </w:tcBorders>
            <w:noWrap w:val="0"/>
            <w:vAlign w:val="top"/>
          </w:tcPr>
          <w:p>
            <w:pPr>
              <w:spacing w:before="79"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550" w:type="dxa"/>
            <w:tcBorders>
              <w:bottom w:val="single" w:color="000000" w:sz="8" w:space="0"/>
            </w:tcBorders>
            <w:noWrap w:val="0"/>
            <w:vAlign w:val="top"/>
          </w:tcPr>
          <w:p>
            <w:pPr>
              <w:spacing w:before="169" w:line="229"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900" w:type="dxa"/>
            <w:tcBorders>
              <w:bottom w:val="single" w:color="000000" w:sz="8" w:space="0"/>
            </w:tcBorders>
            <w:noWrap w:val="0"/>
            <w:vAlign w:val="top"/>
          </w:tcPr>
          <w:p>
            <w:pPr>
              <w:spacing w:before="169"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467" w:type="dxa"/>
            <w:tcBorders>
              <w:bottom w:val="single" w:color="000000" w:sz="8" w:space="0"/>
            </w:tcBorders>
            <w:noWrap w:val="0"/>
            <w:vAlign w:val="top"/>
          </w:tcPr>
          <w:p>
            <w:pPr>
              <w:spacing w:before="169"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620.8669</w:t>
            </w:r>
          </w:p>
        </w:tc>
      </w:tr>
    </w:tbl>
    <w:p>
      <w:pPr>
        <w:rPr>
          <w:rFonts w:ascii="宋体" w:hAnsi="宋体" w:eastAsia="宋体" w:cs="宋体"/>
          <w:spacing w:val="7"/>
          <w:kern w:val="2"/>
          <w:sz w:val="20"/>
          <w:szCs w:val="20"/>
          <w:lang w:val="en-US" w:eastAsia="zh-CN" w:bidi="ar-SA"/>
        </w:rPr>
      </w:pPr>
    </w:p>
    <w:p>
      <w:pPr>
        <w:rPr>
          <w:rFonts w:ascii="宋体" w:hAnsi="宋体" w:eastAsia="宋体" w:cs="宋体"/>
          <w:spacing w:val="7"/>
          <w:kern w:val="2"/>
          <w:sz w:val="20"/>
          <w:szCs w:val="20"/>
          <w:lang w:val="en-US" w:eastAsia="zh-CN" w:bidi="ar-SA"/>
        </w:rPr>
      </w:pPr>
    </w:p>
    <w:p>
      <w:pPr>
        <w:ind w:firstLine="864" w:firstLineChars="400"/>
        <w:rPr>
          <w:rFonts w:ascii="宋体" w:hAnsi="宋体" w:eastAsia="宋体" w:cs="宋体"/>
          <w:spacing w:val="7"/>
          <w:kern w:val="2"/>
          <w:sz w:val="20"/>
          <w:szCs w:val="20"/>
          <w:lang w:val="en-US" w:eastAsia="zh-CN" w:bidi="ar-SA"/>
        </w:rPr>
      </w:pPr>
      <w:r>
        <w:rPr>
          <w:rFonts w:ascii="宋体" w:hAnsi="宋体" w:eastAsia="宋体" w:cs="宋体"/>
          <w:spacing w:val="8"/>
          <w:sz w:val="20"/>
          <w:szCs w:val="20"/>
        </w:rPr>
        <w:t>工程名称：建筑与装饰工程</w:t>
      </w:r>
    </w:p>
    <w:tbl>
      <w:tblPr>
        <w:tblStyle w:val="25"/>
        <w:tblW w:w="819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64"/>
        <w:gridCol w:w="1483"/>
        <w:gridCol w:w="1172"/>
        <w:gridCol w:w="2111"/>
        <w:gridCol w:w="734"/>
        <w:gridCol w:w="19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jc w:val="center"/>
        </w:trPr>
        <w:tc>
          <w:tcPr>
            <w:tcW w:w="764" w:type="dxa"/>
            <w:vMerge w:val="restart"/>
            <w:tcBorders>
              <w:top w:val="single" w:color="000000" w:sz="10" w:space="0"/>
              <w:left w:val="single" w:color="000000" w:sz="8"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5" w:line="231" w:lineRule="auto"/>
              <w:ind w:left="7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序号</w:t>
            </w:r>
          </w:p>
        </w:tc>
        <w:tc>
          <w:tcPr>
            <w:tcW w:w="1483" w:type="dxa"/>
            <w:vMerge w:val="restart"/>
            <w:tcBorders>
              <w:top w:val="single" w:color="000000" w:sz="10" w:space="0"/>
              <w:bottom w:val="nil"/>
            </w:tcBorders>
            <w:noWrap w:val="0"/>
            <w:vAlign w:val="top"/>
          </w:tcPr>
          <w:p>
            <w:pPr>
              <w:pStyle w:val="47"/>
              <w:spacing w:line="275" w:lineRule="auto"/>
              <w:rPr>
                <w:rFonts w:ascii="宋体" w:hAnsi="宋体" w:eastAsia="宋体" w:cs="宋体"/>
                <w:spacing w:val="7"/>
                <w:kern w:val="2"/>
                <w:sz w:val="20"/>
                <w:szCs w:val="20"/>
                <w:lang w:val="en-US" w:eastAsia="zh-CN" w:bidi="ar-SA"/>
              </w:rPr>
            </w:pPr>
          </w:p>
          <w:p>
            <w:pPr>
              <w:spacing w:before="56" w:line="230" w:lineRule="auto"/>
              <w:ind w:left="11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编  号</w:t>
            </w:r>
          </w:p>
        </w:tc>
        <w:tc>
          <w:tcPr>
            <w:tcW w:w="3283" w:type="dxa"/>
            <w:gridSpan w:val="2"/>
            <w:vMerge w:val="restart"/>
            <w:tcBorders>
              <w:top w:val="single" w:color="000000" w:sz="10" w:space="0"/>
              <w:bottom w:val="nil"/>
            </w:tcBorders>
            <w:noWrap w:val="0"/>
            <w:vAlign w:val="top"/>
          </w:tcPr>
          <w:p>
            <w:pPr>
              <w:pStyle w:val="47"/>
              <w:spacing w:line="275" w:lineRule="auto"/>
              <w:rPr>
                <w:rFonts w:ascii="宋体" w:hAnsi="宋体" w:eastAsia="宋体" w:cs="宋体"/>
                <w:spacing w:val="7"/>
                <w:kern w:val="2"/>
                <w:sz w:val="20"/>
                <w:szCs w:val="20"/>
                <w:lang w:val="en-US" w:eastAsia="zh-CN" w:bidi="ar-SA"/>
              </w:rPr>
            </w:pPr>
          </w:p>
          <w:p>
            <w:pPr>
              <w:spacing w:before="55" w:line="231" w:lineRule="auto"/>
              <w:ind w:left="48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子  目  名  称</w:t>
            </w:r>
          </w:p>
        </w:tc>
        <w:tc>
          <w:tcPr>
            <w:tcW w:w="2667" w:type="dxa"/>
            <w:gridSpan w:val="2"/>
            <w:tcBorders>
              <w:top w:val="single" w:color="000000" w:sz="10" w:space="0"/>
            </w:tcBorders>
            <w:noWrap w:val="0"/>
            <w:vAlign w:val="top"/>
          </w:tcPr>
          <w:p>
            <w:pPr>
              <w:spacing w:before="62" w:line="231" w:lineRule="auto"/>
              <w:ind w:left="40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7" w:hRule="atLeast"/>
          <w:jc w:val="center"/>
        </w:trPr>
        <w:tc>
          <w:tcPr>
            <w:tcW w:w="764" w:type="dxa"/>
            <w:vMerge w:val="continue"/>
            <w:tcBorders>
              <w:top w:val="nil"/>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3283" w:type="dxa"/>
            <w:gridSpan w:val="2"/>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734" w:type="dxa"/>
            <w:noWrap w:val="0"/>
            <w:vAlign w:val="top"/>
          </w:tcPr>
          <w:p>
            <w:pPr>
              <w:spacing w:before="162" w:line="231" w:lineRule="auto"/>
              <w:ind w:left="8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单位</w:t>
            </w:r>
          </w:p>
        </w:tc>
        <w:tc>
          <w:tcPr>
            <w:tcW w:w="1933" w:type="dxa"/>
            <w:noWrap w:val="0"/>
            <w:vAlign w:val="top"/>
          </w:tcPr>
          <w:p>
            <w:pPr>
              <w:spacing w:before="162" w:line="230" w:lineRule="auto"/>
              <w:ind w:left="23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031301007</w:t>
            </w:r>
          </w:p>
        </w:tc>
        <w:tc>
          <w:tcPr>
            <w:tcW w:w="3283" w:type="dxa"/>
            <w:gridSpan w:val="2"/>
            <w:noWrap w:val="0"/>
            <w:vAlign w:val="top"/>
          </w:tcPr>
          <w:p>
            <w:pPr>
              <w:spacing w:before="164"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低合金钢焊条E43系列</w:t>
            </w:r>
          </w:p>
        </w:tc>
        <w:tc>
          <w:tcPr>
            <w:tcW w:w="734" w:type="dxa"/>
            <w:noWrap w:val="0"/>
            <w:vAlign w:val="top"/>
          </w:tcPr>
          <w:p>
            <w:pPr>
              <w:spacing w:before="165"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4"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92.0107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031509133</w:t>
            </w:r>
          </w:p>
        </w:tc>
        <w:tc>
          <w:tcPr>
            <w:tcW w:w="3283" w:type="dxa"/>
            <w:gridSpan w:val="2"/>
            <w:noWrap w:val="0"/>
            <w:vAlign w:val="top"/>
          </w:tcPr>
          <w:p>
            <w:pPr>
              <w:spacing w:before="165" w:line="230"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金属结构铁件</w:t>
            </w:r>
          </w:p>
        </w:tc>
        <w:tc>
          <w:tcPr>
            <w:tcW w:w="734" w:type="dxa"/>
            <w:noWrap w:val="0"/>
            <w:vAlign w:val="top"/>
          </w:tcPr>
          <w:p>
            <w:pPr>
              <w:spacing w:before="165"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122.291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050400008</w:t>
            </w:r>
          </w:p>
        </w:tc>
        <w:tc>
          <w:tcPr>
            <w:tcW w:w="3283" w:type="dxa"/>
            <w:gridSpan w:val="2"/>
            <w:noWrap w:val="0"/>
            <w:vAlign w:val="top"/>
          </w:tcPr>
          <w:p>
            <w:pPr>
              <w:spacing w:before="165"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垫木</w:t>
            </w:r>
          </w:p>
        </w:tc>
        <w:tc>
          <w:tcPr>
            <w:tcW w:w="734" w:type="dxa"/>
            <w:noWrap w:val="0"/>
            <w:vAlign w:val="top"/>
          </w:tcPr>
          <w:p>
            <w:pPr>
              <w:spacing w:before="165" w:line="230"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0.3722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010500008</w:t>
            </w:r>
          </w:p>
        </w:tc>
        <w:tc>
          <w:tcPr>
            <w:tcW w:w="3283" w:type="dxa"/>
            <w:gridSpan w:val="2"/>
            <w:noWrap w:val="0"/>
            <w:vAlign w:val="top"/>
          </w:tcPr>
          <w:p>
            <w:pPr>
              <w:spacing w:before="165" w:line="233"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钢丝绳 φ 12</w:t>
            </w:r>
          </w:p>
        </w:tc>
        <w:tc>
          <w:tcPr>
            <w:tcW w:w="734" w:type="dxa"/>
            <w:noWrap w:val="0"/>
            <w:vAlign w:val="top"/>
          </w:tcPr>
          <w:p>
            <w:pPr>
              <w:spacing w:before="166"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130.7982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130100086</w:t>
            </w:r>
          </w:p>
        </w:tc>
        <w:tc>
          <w:tcPr>
            <w:tcW w:w="3283" w:type="dxa"/>
            <w:gridSpan w:val="2"/>
            <w:noWrap w:val="0"/>
            <w:vAlign w:val="top"/>
          </w:tcPr>
          <w:p>
            <w:pPr>
              <w:spacing w:before="166" w:line="229"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环氧富锌底漆</w:t>
            </w:r>
          </w:p>
        </w:tc>
        <w:tc>
          <w:tcPr>
            <w:tcW w:w="734" w:type="dxa"/>
            <w:noWrap w:val="0"/>
            <w:vAlign w:val="top"/>
          </w:tcPr>
          <w:p>
            <w:pPr>
              <w:spacing w:before="166"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6"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56.3602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4" w:line="195" w:lineRule="auto"/>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143500084</w:t>
            </w:r>
          </w:p>
        </w:tc>
        <w:tc>
          <w:tcPr>
            <w:tcW w:w="3283" w:type="dxa"/>
            <w:gridSpan w:val="2"/>
            <w:noWrap w:val="0"/>
            <w:vAlign w:val="top"/>
          </w:tcPr>
          <w:p>
            <w:pPr>
              <w:spacing w:before="164" w:line="229"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稀释剂</w:t>
            </w:r>
          </w:p>
        </w:tc>
        <w:tc>
          <w:tcPr>
            <w:tcW w:w="734" w:type="dxa"/>
            <w:noWrap w:val="0"/>
            <w:vAlign w:val="top"/>
          </w:tcPr>
          <w:p>
            <w:pPr>
              <w:spacing w:before="164"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4"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4.5195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380313001</w:t>
            </w:r>
          </w:p>
        </w:tc>
        <w:tc>
          <w:tcPr>
            <w:tcW w:w="3283" w:type="dxa"/>
            <w:gridSpan w:val="2"/>
            <w:noWrap w:val="0"/>
            <w:vAlign w:val="top"/>
          </w:tcPr>
          <w:p>
            <w:pPr>
              <w:spacing w:before="164" w:line="231" w:lineRule="auto"/>
              <w:ind w:left="4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吊装夹具</w:t>
            </w:r>
          </w:p>
        </w:tc>
        <w:tc>
          <w:tcPr>
            <w:tcW w:w="734" w:type="dxa"/>
            <w:noWrap w:val="0"/>
            <w:vAlign w:val="top"/>
          </w:tcPr>
          <w:p>
            <w:pPr>
              <w:spacing w:before="164" w:line="231" w:lineRule="auto"/>
              <w:ind w:left="27"/>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套</w:t>
            </w:r>
          </w:p>
        </w:tc>
        <w:tc>
          <w:tcPr>
            <w:tcW w:w="1933" w:type="dxa"/>
            <w:noWrap w:val="0"/>
            <w:vAlign w:val="top"/>
          </w:tcPr>
          <w:p>
            <w:pPr>
              <w:spacing w:before="164"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0.5317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030105032</w:t>
            </w:r>
          </w:p>
        </w:tc>
        <w:tc>
          <w:tcPr>
            <w:tcW w:w="3283" w:type="dxa"/>
            <w:gridSpan w:val="2"/>
            <w:noWrap w:val="0"/>
            <w:vAlign w:val="top"/>
          </w:tcPr>
          <w:p>
            <w:pPr>
              <w:spacing w:before="165" w:line="229"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六角螺栓</w:t>
            </w:r>
          </w:p>
        </w:tc>
        <w:tc>
          <w:tcPr>
            <w:tcW w:w="734" w:type="dxa"/>
            <w:noWrap w:val="0"/>
            <w:vAlign w:val="top"/>
          </w:tcPr>
          <w:p>
            <w:pPr>
              <w:spacing w:before="165"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5"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148.0519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142900015</w:t>
            </w:r>
          </w:p>
        </w:tc>
        <w:tc>
          <w:tcPr>
            <w:tcW w:w="3283" w:type="dxa"/>
            <w:gridSpan w:val="2"/>
            <w:noWrap w:val="0"/>
            <w:vAlign w:val="top"/>
          </w:tcPr>
          <w:p>
            <w:pPr>
              <w:spacing w:before="165" w:line="229"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氧气</w:t>
            </w:r>
          </w:p>
        </w:tc>
        <w:tc>
          <w:tcPr>
            <w:tcW w:w="734" w:type="dxa"/>
            <w:noWrap w:val="0"/>
            <w:vAlign w:val="top"/>
          </w:tcPr>
          <w:p>
            <w:pPr>
              <w:spacing w:before="165" w:line="230"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m3</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5.8487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380311005</w:t>
            </w:r>
          </w:p>
        </w:tc>
        <w:tc>
          <w:tcPr>
            <w:tcW w:w="3283" w:type="dxa"/>
            <w:gridSpan w:val="2"/>
            <w:noWrap w:val="0"/>
            <w:vAlign w:val="top"/>
          </w:tcPr>
          <w:p>
            <w:pPr>
              <w:spacing w:before="165"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钢支撑</w:t>
            </w:r>
          </w:p>
        </w:tc>
        <w:tc>
          <w:tcPr>
            <w:tcW w:w="734" w:type="dxa"/>
            <w:noWrap w:val="0"/>
            <w:vAlign w:val="top"/>
          </w:tcPr>
          <w:p>
            <w:pPr>
              <w:spacing w:before="165" w:line="231" w:lineRule="exact"/>
              <w:ind w:left="3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t</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26.585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341100024</w:t>
            </w:r>
          </w:p>
        </w:tc>
        <w:tc>
          <w:tcPr>
            <w:tcW w:w="3283" w:type="dxa"/>
            <w:gridSpan w:val="2"/>
            <w:noWrap w:val="0"/>
            <w:vAlign w:val="top"/>
          </w:tcPr>
          <w:p>
            <w:pPr>
              <w:spacing w:before="166" w:line="229"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柴油(机械用)</w:t>
            </w:r>
          </w:p>
        </w:tc>
        <w:tc>
          <w:tcPr>
            <w:tcW w:w="734" w:type="dxa"/>
            <w:noWrap w:val="0"/>
            <w:vAlign w:val="top"/>
          </w:tcPr>
          <w:p>
            <w:pPr>
              <w:spacing w:before="166"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6"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238.9444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990000000</w:t>
            </w:r>
          </w:p>
        </w:tc>
        <w:tc>
          <w:tcPr>
            <w:tcW w:w="3283" w:type="dxa"/>
            <w:gridSpan w:val="2"/>
            <w:noWrap w:val="0"/>
            <w:vAlign w:val="top"/>
          </w:tcPr>
          <w:p>
            <w:pPr>
              <w:spacing w:before="165" w:line="229"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机械综合工日</w:t>
            </w:r>
          </w:p>
        </w:tc>
        <w:tc>
          <w:tcPr>
            <w:tcW w:w="734" w:type="dxa"/>
            <w:noWrap w:val="0"/>
            <w:vAlign w:val="top"/>
          </w:tcPr>
          <w:p>
            <w:pPr>
              <w:spacing w:before="165"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33" w:type="dxa"/>
            <w:noWrap w:val="0"/>
            <w:vAlign w:val="top"/>
          </w:tcPr>
          <w:p>
            <w:pPr>
              <w:spacing w:before="165"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12.4418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19" w:line="191"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283" w:type="dxa"/>
            <w:gridSpan w:val="2"/>
            <w:noWrap w:val="0"/>
            <w:vAlign w:val="top"/>
          </w:tcPr>
          <w:p>
            <w:pPr>
              <w:spacing w:before="90" w:line="230"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734" w:type="dxa"/>
            <w:noWrap w:val="0"/>
            <w:vAlign w:val="top"/>
          </w:tcPr>
          <w:p>
            <w:pPr>
              <w:spacing w:before="90"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0"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527.7851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2" w:line="187" w:lineRule="auto"/>
              <w:ind w:left="1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283" w:type="dxa"/>
            <w:gridSpan w:val="2"/>
            <w:noWrap w:val="0"/>
            <w:vAlign w:val="top"/>
          </w:tcPr>
          <w:p>
            <w:pPr>
              <w:spacing w:before="90"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734" w:type="dxa"/>
            <w:noWrap w:val="0"/>
            <w:vAlign w:val="top"/>
          </w:tcPr>
          <w:p>
            <w:pPr>
              <w:spacing w:before="90"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1"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1098.107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98" w:line="188" w:lineRule="auto"/>
              <w:ind w:left="1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283" w:type="dxa"/>
            <w:gridSpan w:val="2"/>
            <w:noWrap w:val="0"/>
            <w:vAlign w:val="top"/>
          </w:tcPr>
          <w:p>
            <w:pPr>
              <w:spacing w:before="166"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734" w:type="dxa"/>
            <w:noWrap w:val="0"/>
            <w:vAlign w:val="top"/>
          </w:tcPr>
          <w:p>
            <w:pPr>
              <w:spacing w:before="166"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76" w:line="195" w:lineRule="auto"/>
              <w:ind w:right="6"/>
              <w:jc w:val="center"/>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1142.853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341100025</w:t>
            </w:r>
          </w:p>
        </w:tc>
        <w:tc>
          <w:tcPr>
            <w:tcW w:w="3283" w:type="dxa"/>
            <w:gridSpan w:val="2"/>
            <w:noWrap w:val="0"/>
            <w:vAlign w:val="top"/>
          </w:tcPr>
          <w:p>
            <w:pPr>
              <w:spacing w:before="166" w:line="229" w:lineRule="auto"/>
              <w:ind w:left="4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电(机械用)</w:t>
            </w:r>
          </w:p>
        </w:tc>
        <w:tc>
          <w:tcPr>
            <w:tcW w:w="734" w:type="dxa"/>
            <w:noWrap w:val="0"/>
            <w:vAlign w:val="top"/>
          </w:tcPr>
          <w:p>
            <w:pPr>
              <w:spacing w:before="165" w:line="231" w:lineRule="exact"/>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kwh</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790.405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0" w:line="191" w:lineRule="auto"/>
              <w:ind w:left="1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ACJYF</w:t>
            </w:r>
          </w:p>
        </w:tc>
        <w:tc>
          <w:tcPr>
            <w:tcW w:w="3283" w:type="dxa"/>
            <w:gridSpan w:val="2"/>
            <w:noWrap w:val="0"/>
            <w:vAlign w:val="top"/>
          </w:tcPr>
          <w:p>
            <w:pPr>
              <w:spacing w:before="91" w:line="231"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安拆费及场外运费</w:t>
            </w:r>
          </w:p>
        </w:tc>
        <w:tc>
          <w:tcPr>
            <w:tcW w:w="734" w:type="dxa"/>
            <w:noWrap w:val="0"/>
            <w:vAlign w:val="top"/>
          </w:tcPr>
          <w:p>
            <w:pPr>
              <w:spacing w:before="91"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1"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104.3993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spacing w:before="91" w:line="231" w:lineRule="exact"/>
              <w:ind w:left="4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w:t>
            </w:r>
          </w:p>
        </w:tc>
        <w:tc>
          <w:tcPr>
            <w:tcW w:w="1483" w:type="dxa"/>
            <w:noWrap w:val="0"/>
            <w:vAlign w:val="top"/>
          </w:tcPr>
          <w:p>
            <w:pPr>
              <w:spacing w:before="91" w:line="231" w:lineRule="exact"/>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14-180</w:t>
            </w:r>
          </w:p>
        </w:tc>
        <w:tc>
          <w:tcPr>
            <w:tcW w:w="3283" w:type="dxa"/>
            <w:gridSpan w:val="2"/>
            <w:noWrap w:val="0"/>
            <w:vAlign w:val="top"/>
          </w:tcPr>
          <w:p>
            <w:pPr>
              <w:spacing w:before="91" w:line="231"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金属面 红丹防锈漆一遍</w:t>
            </w:r>
          </w:p>
        </w:tc>
        <w:tc>
          <w:tcPr>
            <w:tcW w:w="734" w:type="dxa"/>
            <w:noWrap w:val="0"/>
            <w:vAlign w:val="top"/>
          </w:tcPr>
          <w:p>
            <w:pPr>
              <w:spacing w:before="91" w:line="231" w:lineRule="exact"/>
              <w:ind w:left="4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100m2</w:t>
            </w:r>
          </w:p>
        </w:tc>
        <w:tc>
          <w:tcPr>
            <w:tcW w:w="1933" w:type="dxa"/>
            <w:noWrap w:val="0"/>
            <w:vAlign w:val="top"/>
          </w:tcPr>
          <w:p>
            <w:pPr>
              <w:spacing w:before="91"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17.16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1"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7"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000102001</w:t>
            </w:r>
          </w:p>
        </w:tc>
        <w:tc>
          <w:tcPr>
            <w:tcW w:w="3283" w:type="dxa"/>
            <w:gridSpan w:val="2"/>
            <w:noWrap w:val="0"/>
            <w:vAlign w:val="top"/>
          </w:tcPr>
          <w:p>
            <w:pPr>
              <w:spacing w:before="167" w:line="230"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三类人工</w:t>
            </w:r>
          </w:p>
        </w:tc>
        <w:tc>
          <w:tcPr>
            <w:tcW w:w="734" w:type="dxa"/>
            <w:noWrap w:val="0"/>
            <w:vAlign w:val="top"/>
          </w:tcPr>
          <w:p>
            <w:pPr>
              <w:spacing w:before="167"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33" w:type="dxa"/>
            <w:noWrap w:val="0"/>
            <w:vAlign w:val="top"/>
          </w:tcPr>
          <w:p>
            <w:pPr>
              <w:spacing w:before="167"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35.4011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5" w:line="195"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283" w:type="dxa"/>
            <w:gridSpan w:val="2"/>
            <w:noWrap w:val="0"/>
            <w:vAlign w:val="top"/>
          </w:tcPr>
          <w:p>
            <w:pPr>
              <w:spacing w:before="165" w:line="229"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734" w:type="dxa"/>
            <w:noWrap w:val="0"/>
            <w:vAlign w:val="top"/>
          </w:tcPr>
          <w:p>
            <w:pPr>
              <w:spacing w:before="165" w:line="231"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33.7594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130900004</w:t>
            </w:r>
          </w:p>
        </w:tc>
        <w:tc>
          <w:tcPr>
            <w:tcW w:w="3283" w:type="dxa"/>
            <w:gridSpan w:val="2"/>
            <w:noWrap w:val="0"/>
            <w:vAlign w:val="top"/>
          </w:tcPr>
          <w:p>
            <w:pPr>
              <w:spacing w:before="165" w:line="231"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酚醛防锈漆红丹</w:t>
            </w:r>
          </w:p>
        </w:tc>
        <w:tc>
          <w:tcPr>
            <w:tcW w:w="734" w:type="dxa"/>
            <w:noWrap w:val="0"/>
            <w:vAlign w:val="top"/>
          </w:tcPr>
          <w:p>
            <w:pPr>
              <w:spacing w:before="166"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5" w:line="230"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209.0088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6" w:line="195" w:lineRule="auto"/>
              <w:ind w:left="3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140500008</w:t>
            </w:r>
          </w:p>
        </w:tc>
        <w:tc>
          <w:tcPr>
            <w:tcW w:w="3283" w:type="dxa"/>
            <w:gridSpan w:val="2"/>
            <w:noWrap w:val="0"/>
            <w:vAlign w:val="top"/>
          </w:tcPr>
          <w:p>
            <w:pPr>
              <w:spacing w:before="166" w:line="229"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油漆溶剂油</w:t>
            </w:r>
          </w:p>
        </w:tc>
        <w:tc>
          <w:tcPr>
            <w:tcW w:w="734" w:type="dxa"/>
            <w:noWrap w:val="0"/>
            <w:vAlign w:val="top"/>
          </w:tcPr>
          <w:p>
            <w:pPr>
              <w:spacing w:before="166"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6" w:line="229" w:lineRule="exact"/>
              <w:ind w:right="6"/>
              <w:jc w:val="right"/>
              <w:rPr>
                <w:rFonts w:hint="default"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10.9824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spacing w:before="91" w:line="232" w:lineRule="exact"/>
              <w:ind w:left="4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w:t>
            </w:r>
          </w:p>
        </w:tc>
        <w:tc>
          <w:tcPr>
            <w:tcW w:w="1483" w:type="dxa"/>
            <w:noWrap w:val="0"/>
            <w:vAlign w:val="top"/>
          </w:tcPr>
          <w:p>
            <w:pPr>
              <w:spacing w:before="91" w:line="231" w:lineRule="exact"/>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5-203</w:t>
            </w:r>
          </w:p>
        </w:tc>
        <w:tc>
          <w:tcPr>
            <w:tcW w:w="3283" w:type="dxa"/>
            <w:gridSpan w:val="2"/>
            <w:noWrap w:val="0"/>
            <w:vAlign w:val="top"/>
          </w:tcPr>
          <w:p>
            <w:pPr>
              <w:spacing w:before="91"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铁件制作、安装</w:t>
            </w:r>
          </w:p>
        </w:tc>
        <w:tc>
          <w:tcPr>
            <w:tcW w:w="734" w:type="dxa"/>
            <w:noWrap w:val="0"/>
            <w:vAlign w:val="top"/>
          </w:tcPr>
          <w:p>
            <w:pPr>
              <w:spacing w:before="91" w:line="231" w:lineRule="exact"/>
              <w:ind w:left="3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t</w:t>
            </w:r>
          </w:p>
        </w:tc>
        <w:tc>
          <w:tcPr>
            <w:tcW w:w="1933" w:type="dxa"/>
            <w:noWrap w:val="0"/>
            <w:vAlign w:val="top"/>
          </w:tcPr>
          <w:p>
            <w:pPr>
              <w:spacing w:before="91"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3.055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7"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283" w:type="dxa"/>
            <w:gridSpan w:val="2"/>
            <w:noWrap w:val="0"/>
            <w:vAlign w:val="top"/>
          </w:tcPr>
          <w:p>
            <w:pPr>
              <w:spacing w:before="166"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734" w:type="dxa"/>
            <w:noWrap w:val="0"/>
            <w:vAlign w:val="top"/>
          </w:tcPr>
          <w:p>
            <w:pPr>
              <w:spacing w:before="166" w:line="235"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33" w:type="dxa"/>
            <w:noWrap w:val="0"/>
            <w:vAlign w:val="top"/>
          </w:tcPr>
          <w:p>
            <w:pPr>
              <w:spacing w:before="16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60.9778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9" w:hRule="atLeast"/>
          <w:jc w:val="center"/>
        </w:trPr>
        <w:tc>
          <w:tcPr>
            <w:tcW w:w="764" w:type="dxa"/>
            <w:tcBorders>
              <w:left w:val="single" w:color="000000" w:sz="8" w:space="0"/>
              <w:bottom w:val="single" w:color="000000" w:sz="10"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tcBorders>
              <w:bottom w:val="single" w:color="000000" w:sz="10" w:space="0"/>
            </w:tcBorders>
            <w:noWrap w:val="0"/>
            <w:vAlign w:val="top"/>
          </w:tcPr>
          <w:p>
            <w:pPr>
              <w:spacing w:before="62" w:line="195"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031301007</w:t>
            </w:r>
          </w:p>
        </w:tc>
        <w:tc>
          <w:tcPr>
            <w:tcW w:w="3283" w:type="dxa"/>
            <w:gridSpan w:val="2"/>
            <w:tcBorders>
              <w:bottom w:val="single" w:color="000000" w:sz="10" w:space="0"/>
            </w:tcBorders>
            <w:noWrap w:val="0"/>
            <w:vAlign w:val="top"/>
          </w:tcPr>
          <w:p>
            <w:pPr>
              <w:spacing w:before="152" w:line="230" w:lineRule="auto"/>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低合金钢焊条E43系列</w:t>
            </w:r>
          </w:p>
        </w:tc>
        <w:tc>
          <w:tcPr>
            <w:tcW w:w="734" w:type="dxa"/>
            <w:tcBorders>
              <w:bottom w:val="single" w:color="000000" w:sz="10" w:space="0"/>
            </w:tcBorders>
            <w:noWrap w:val="0"/>
            <w:vAlign w:val="top"/>
          </w:tcPr>
          <w:p>
            <w:pPr>
              <w:spacing w:before="152" w:line="224"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tcBorders>
              <w:bottom w:val="single" w:color="000000" w:sz="10" w:space="0"/>
            </w:tcBorders>
            <w:noWrap w:val="0"/>
            <w:vAlign w:val="top"/>
          </w:tcPr>
          <w:p>
            <w:pPr>
              <w:spacing w:before="152"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109.98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3"/>
          <w:wAfter w:w="4778" w:type="dxa"/>
          <w:trHeight w:val="347" w:hRule="atLeast"/>
          <w:jc w:val="center"/>
        </w:trPr>
        <w:tc>
          <w:tcPr>
            <w:tcW w:w="3419" w:type="dxa"/>
            <w:gridSpan w:val="3"/>
            <w:tcBorders>
              <w:top w:val="single" w:color="000000" w:sz="10" w:space="0"/>
              <w:left w:val="nil"/>
              <w:bottom w:val="single" w:color="FFFFFF" w:sz="2" w:space="0"/>
              <w:right w:val="single" w:color="FFFFFF" w:sz="6" w:space="0"/>
            </w:tcBorders>
            <w:noWrap w:val="0"/>
            <w:vAlign w:val="top"/>
          </w:tcPr>
          <w:p>
            <w:pPr>
              <w:spacing w:before="112" w:line="230" w:lineRule="auto"/>
              <w:ind w:left="28"/>
              <w:rPr>
                <w:rFonts w:ascii="宋体" w:hAnsi="宋体" w:eastAsia="宋体" w:cs="宋体"/>
                <w:spacing w:val="7"/>
                <w:kern w:val="2"/>
                <w:sz w:val="20"/>
                <w:szCs w:val="20"/>
                <w:lang w:val="en-US" w:eastAsia="zh-CN" w:bidi="ar-SA"/>
              </w:rPr>
            </w:pPr>
          </w:p>
          <w:p>
            <w:pPr>
              <w:spacing w:before="112" w:line="230" w:lineRule="auto"/>
              <w:ind w:left="28"/>
              <w:rPr>
                <w:rFonts w:ascii="宋体" w:hAnsi="宋体" w:eastAsia="宋体" w:cs="宋体"/>
                <w:spacing w:val="7"/>
                <w:kern w:val="2"/>
                <w:sz w:val="20"/>
                <w:szCs w:val="20"/>
                <w:lang w:val="en-US" w:eastAsia="zh-CN" w:bidi="ar-SA"/>
              </w:rPr>
            </w:pPr>
          </w:p>
          <w:p>
            <w:pPr>
              <w:spacing w:before="112" w:line="230" w:lineRule="auto"/>
              <w:ind w:left="28"/>
              <w:rPr>
                <w:rFonts w:ascii="宋体" w:hAnsi="宋体" w:eastAsia="宋体" w:cs="宋体"/>
                <w:spacing w:val="7"/>
                <w:kern w:val="2"/>
                <w:sz w:val="20"/>
                <w:szCs w:val="20"/>
                <w:lang w:val="en-US" w:eastAsia="zh-CN" w:bidi="ar-SA"/>
              </w:rPr>
            </w:pPr>
          </w:p>
          <w:p>
            <w:pPr>
              <w:rPr>
                <w:rFonts w:ascii="宋体" w:hAnsi="宋体" w:eastAsia="宋体" w:cs="宋体"/>
                <w:spacing w:val="7"/>
                <w:kern w:val="2"/>
                <w:sz w:val="20"/>
                <w:szCs w:val="20"/>
                <w:lang w:val="en-US" w:eastAsia="zh-CN" w:bidi="ar-SA"/>
              </w:rPr>
            </w:pPr>
            <w:r>
              <w:rPr>
                <w:rFonts w:ascii="宋体" w:hAnsi="宋体" w:eastAsia="宋体" w:cs="宋体"/>
                <w:spacing w:val="8"/>
                <w:sz w:val="20"/>
                <w:szCs w:val="20"/>
              </w:rPr>
              <w:t>工程名称：建筑与装饰工程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05" w:hRule="atLeast"/>
          <w:jc w:val="center"/>
        </w:trPr>
        <w:tc>
          <w:tcPr>
            <w:tcW w:w="764" w:type="dxa"/>
            <w:vMerge w:val="restart"/>
            <w:tcBorders>
              <w:top w:val="single" w:color="000000" w:sz="10" w:space="0"/>
              <w:left w:val="single" w:color="000000" w:sz="8" w:space="0"/>
              <w:bottom w:val="nil"/>
            </w:tcBorders>
            <w:noWrap w:val="0"/>
            <w:vAlign w:val="top"/>
          </w:tcPr>
          <w:p>
            <w:pPr>
              <w:pStyle w:val="47"/>
              <w:spacing w:line="277" w:lineRule="auto"/>
              <w:rPr>
                <w:rFonts w:ascii="宋体" w:hAnsi="宋体" w:eastAsia="宋体" w:cs="宋体"/>
                <w:spacing w:val="7"/>
                <w:kern w:val="2"/>
                <w:sz w:val="20"/>
                <w:szCs w:val="20"/>
                <w:lang w:val="en-US" w:eastAsia="zh-CN" w:bidi="ar-SA"/>
              </w:rPr>
            </w:pPr>
          </w:p>
          <w:p>
            <w:pPr>
              <w:spacing w:before="55" w:line="231" w:lineRule="auto"/>
              <w:ind w:left="7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序号</w:t>
            </w:r>
          </w:p>
        </w:tc>
        <w:tc>
          <w:tcPr>
            <w:tcW w:w="1483" w:type="dxa"/>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6" w:line="230" w:lineRule="auto"/>
              <w:ind w:left="11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编  号</w:t>
            </w:r>
          </w:p>
        </w:tc>
        <w:tc>
          <w:tcPr>
            <w:tcW w:w="3283" w:type="dxa"/>
            <w:gridSpan w:val="2"/>
            <w:vMerge w:val="restart"/>
            <w:tcBorders>
              <w:top w:val="single" w:color="000000" w:sz="10" w:space="0"/>
              <w:bottom w:val="nil"/>
            </w:tcBorders>
            <w:noWrap w:val="0"/>
            <w:vAlign w:val="top"/>
          </w:tcPr>
          <w:p>
            <w:pPr>
              <w:pStyle w:val="47"/>
              <w:spacing w:line="276" w:lineRule="auto"/>
              <w:rPr>
                <w:rFonts w:ascii="宋体" w:hAnsi="宋体" w:eastAsia="宋体" w:cs="宋体"/>
                <w:spacing w:val="7"/>
                <w:kern w:val="2"/>
                <w:sz w:val="20"/>
                <w:szCs w:val="20"/>
                <w:lang w:val="en-US" w:eastAsia="zh-CN" w:bidi="ar-SA"/>
              </w:rPr>
            </w:pPr>
          </w:p>
          <w:p>
            <w:pPr>
              <w:spacing w:before="55" w:line="231" w:lineRule="auto"/>
              <w:ind w:left="48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子  目  名  称</w:t>
            </w:r>
          </w:p>
        </w:tc>
        <w:tc>
          <w:tcPr>
            <w:tcW w:w="2667" w:type="dxa"/>
            <w:gridSpan w:val="2"/>
            <w:tcBorders>
              <w:top w:val="single" w:color="000000" w:sz="10" w:space="0"/>
            </w:tcBorders>
            <w:noWrap w:val="0"/>
            <w:vAlign w:val="top"/>
          </w:tcPr>
          <w:p>
            <w:pPr>
              <w:spacing w:before="63" w:line="231" w:lineRule="auto"/>
              <w:ind w:left="40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工程量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764" w:type="dxa"/>
            <w:vMerge w:val="continue"/>
            <w:tcBorders>
              <w:top w:val="nil"/>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3283" w:type="dxa"/>
            <w:gridSpan w:val="2"/>
            <w:vMerge w:val="continue"/>
            <w:tcBorders>
              <w:top w:val="nil"/>
            </w:tcBorders>
            <w:noWrap w:val="0"/>
            <w:vAlign w:val="top"/>
          </w:tcPr>
          <w:p>
            <w:pPr>
              <w:pStyle w:val="47"/>
              <w:rPr>
                <w:rFonts w:ascii="宋体" w:hAnsi="宋体" w:eastAsia="宋体" w:cs="宋体"/>
                <w:spacing w:val="7"/>
                <w:kern w:val="2"/>
                <w:sz w:val="20"/>
                <w:szCs w:val="20"/>
                <w:lang w:val="en-US" w:eastAsia="zh-CN" w:bidi="ar-SA"/>
              </w:rPr>
            </w:pPr>
          </w:p>
        </w:tc>
        <w:tc>
          <w:tcPr>
            <w:tcW w:w="734" w:type="dxa"/>
            <w:noWrap w:val="0"/>
            <w:vAlign w:val="top"/>
          </w:tcPr>
          <w:p>
            <w:pPr>
              <w:spacing w:before="163" w:line="231" w:lineRule="auto"/>
              <w:ind w:left="8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单位</w:t>
            </w:r>
          </w:p>
        </w:tc>
        <w:tc>
          <w:tcPr>
            <w:tcW w:w="1933" w:type="dxa"/>
            <w:noWrap w:val="0"/>
            <w:vAlign w:val="top"/>
          </w:tcPr>
          <w:p>
            <w:pPr>
              <w:spacing w:before="163" w:line="230" w:lineRule="auto"/>
              <w:ind w:left="23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数量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78"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031509134</w:t>
            </w:r>
          </w:p>
        </w:tc>
        <w:tc>
          <w:tcPr>
            <w:tcW w:w="3283" w:type="dxa"/>
            <w:gridSpan w:val="2"/>
            <w:noWrap w:val="0"/>
            <w:vAlign w:val="top"/>
          </w:tcPr>
          <w:p>
            <w:pPr>
              <w:spacing w:before="167" w:line="230"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铁件(综合)</w:t>
            </w:r>
          </w:p>
        </w:tc>
        <w:tc>
          <w:tcPr>
            <w:tcW w:w="734" w:type="dxa"/>
            <w:noWrap w:val="0"/>
            <w:vAlign w:val="top"/>
          </w:tcPr>
          <w:p>
            <w:pPr>
              <w:spacing w:before="168" w:line="224"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kg</w:t>
            </w:r>
          </w:p>
        </w:tc>
        <w:tc>
          <w:tcPr>
            <w:tcW w:w="1933" w:type="dxa"/>
            <w:noWrap w:val="0"/>
            <w:vAlign w:val="top"/>
          </w:tcPr>
          <w:p>
            <w:pPr>
              <w:spacing w:before="167"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3085.55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3" w:line="191"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JIANXF</w:t>
            </w:r>
          </w:p>
        </w:tc>
        <w:tc>
          <w:tcPr>
            <w:tcW w:w="3283" w:type="dxa"/>
            <w:gridSpan w:val="2"/>
            <w:noWrap w:val="0"/>
            <w:vAlign w:val="top"/>
          </w:tcPr>
          <w:p>
            <w:pPr>
              <w:spacing w:before="94" w:line="230" w:lineRule="auto"/>
              <w:ind w:left="22"/>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检修费</w:t>
            </w:r>
          </w:p>
        </w:tc>
        <w:tc>
          <w:tcPr>
            <w:tcW w:w="734" w:type="dxa"/>
            <w:noWrap w:val="0"/>
            <w:vAlign w:val="top"/>
          </w:tcPr>
          <w:p>
            <w:pPr>
              <w:spacing w:before="94"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4"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17.5019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6" w:line="187" w:lineRule="auto"/>
              <w:ind w:left="1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WHF</w:t>
            </w:r>
          </w:p>
        </w:tc>
        <w:tc>
          <w:tcPr>
            <w:tcW w:w="3283" w:type="dxa"/>
            <w:gridSpan w:val="2"/>
            <w:noWrap w:val="0"/>
            <w:vAlign w:val="top"/>
          </w:tcPr>
          <w:p>
            <w:pPr>
              <w:spacing w:before="94" w:line="231"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维护费</w:t>
            </w:r>
          </w:p>
        </w:tc>
        <w:tc>
          <w:tcPr>
            <w:tcW w:w="734" w:type="dxa"/>
            <w:noWrap w:val="0"/>
            <w:vAlign w:val="top"/>
          </w:tcPr>
          <w:p>
            <w:pPr>
              <w:spacing w:before="94"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4"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63.1948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7" w:line="188"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ZJF</w:t>
            </w:r>
          </w:p>
        </w:tc>
        <w:tc>
          <w:tcPr>
            <w:tcW w:w="3283" w:type="dxa"/>
            <w:gridSpan w:val="2"/>
            <w:noWrap w:val="0"/>
            <w:vAlign w:val="top"/>
          </w:tcPr>
          <w:p>
            <w:pPr>
              <w:spacing w:before="96" w:line="231"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折旧费</w:t>
            </w:r>
          </w:p>
        </w:tc>
        <w:tc>
          <w:tcPr>
            <w:tcW w:w="734" w:type="dxa"/>
            <w:noWrap w:val="0"/>
            <w:vAlign w:val="top"/>
          </w:tcPr>
          <w:p>
            <w:pPr>
              <w:spacing w:before="96"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78.7789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82"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341100025</w:t>
            </w:r>
          </w:p>
        </w:tc>
        <w:tc>
          <w:tcPr>
            <w:tcW w:w="3283" w:type="dxa"/>
            <w:gridSpan w:val="2"/>
            <w:noWrap w:val="0"/>
            <w:vAlign w:val="top"/>
          </w:tcPr>
          <w:p>
            <w:pPr>
              <w:spacing w:before="172" w:line="229" w:lineRule="auto"/>
              <w:ind w:left="4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电(机械用)</w:t>
            </w:r>
          </w:p>
        </w:tc>
        <w:tc>
          <w:tcPr>
            <w:tcW w:w="734" w:type="dxa"/>
            <w:noWrap w:val="0"/>
            <w:vAlign w:val="top"/>
          </w:tcPr>
          <w:p>
            <w:pPr>
              <w:spacing w:before="171" w:line="231" w:lineRule="exact"/>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kwh</w:t>
            </w:r>
          </w:p>
        </w:tc>
        <w:tc>
          <w:tcPr>
            <w:tcW w:w="1933" w:type="dxa"/>
            <w:noWrap w:val="0"/>
            <w:vAlign w:val="top"/>
          </w:tcPr>
          <w:p>
            <w:pPr>
              <w:spacing w:before="82" w:line="195" w:lineRule="auto"/>
              <w:ind w:right="6"/>
              <w:jc w:val="center"/>
              <w:rPr>
                <w:rFonts w:ascii="宋体" w:hAnsi="宋体" w:eastAsia="宋体" w:cs="宋体"/>
                <w:spacing w:val="7"/>
                <w:kern w:val="2"/>
                <w:sz w:val="20"/>
                <w:szCs w:val="20"/>
                <w:lang w:val="en-US" w:eastAsia="zh-CN" w:bidi="ar-SA"/>
              </w:rPr>
            </w:pPr>
            <w:r>
              <w:rPr>
                <w:rFonts w:hint="eastAsia" w:ascii="宋体" w:hAnsi="宋体" w:cs="宋体"/>
                <w:spacing w:val="7"/>
                <w:kern w:val="2"/>
                <w:sz w:val="20"/>
                <w:szCs w:val="20"/>
                <w:lang w:val="en-US" w:eastAsia="zh-CN" w:bidi="ar-SA"/>
              </w:rPr>
              <w:t xml:space="preserve">      </w:t>
            </w:r>
            <w:r>
              <w:rPr>
                <w:rFonts w:ascii="宋体" w:hAnsi="宋体" w:eastAsia="宋体" w:cs="宋体"/>
                <w:spacing w:val="7"/>
                <w:kern w:val="2"/>
                <w:sz w:val="20"/>
                <w:szCs w:val="20"/>
                <w:lang w:val="en-US" w:eastAsia="zh-CN" w:bidi="ar-SA"/>
              </w:rPr>
              <w:t>1264.297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24" w:line="191" w:lineRule="auto"/>
              <w:ind w:left="1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ACJYF</w:t>
            </w:r>
          </w:p>
        </w:tc>
        <w:tc>
          <w:tcPr>
            <w:tcW w:w="3283" w:type="dxa"/>
            <w:gridSpan w:val="2"/>
            <w:noWrap w:val="0"/>
            <w:vAlign w:val="top"/>
          </w:tcPr>
          <w:p>
            <w:pPr>
              <w:spacing w:before="95" w:line="231"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安拆费及场外运费</w:t>
            </w:r>
          </w:p>
        </w:tc>
        <w:tc>
          <w:tcPr>
            <w:tcW w:w="734" w:type="dxa"/>
            <w:noWrap w:val="0"/>
            <w:vAlign w:val="top"/>
          </w:tcPr>
          <w:p>
            <w:pPr>
              <w:spacing w:before="95"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96"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180.4242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64" w:type="dxa"/>
            <w:tcBorders>
              <w:left w:val="single" w:color="000000" w:sz="8" w:space="0"/>
            </w:tcBorders>
            <w:noWrap w:val="0"/>
            <w:vAlign w:val="top"/>
          </w:tcPr>
          <w:p>
            <w:pPr>
              <w:spacing w:before="172" w:line="232" w:lineRule="exact"/>
              <w:ind w:left="4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12</w:t>
            </w:r>
          </w:p>
        </w:tc>
        <w:tc>
          <w:tcPr>
            <w:tcW w:w="1483" w:type="dxa"/>
            <w:noWrap w:val="0"/>
            <w:vAlign w:val="top"/>
          </w:tcPr>
          <w:p>
            <w:pPr>
              <w:spacing w:before="82" w:line="223" w:lineRule="auto"/>
              <w:ind w:left="20" w:right="29" w:hanging="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补充材料 001</w:t>
            </w:r>
          </w:p>
        </w:tc>
        <w:tc>
          <w:tcPr>
            <w:tcW w:w="3283" w:type="dxa"/>
            <w:gridSpan w:val="2"/>
            <w:noWrap w:val="0"/>
            <w:vAlign w:val="top"/>
          </w:tcPr>
          <w:p>
            <w:pPr>
              <w:spacing w:before="172"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食槽</w:t>
            </w:r>
          </w:p>
        </w:tc>
        <w:tc>
          <w:tcPr>
            <w:tcW w:w="734" w:type="dxa"/>
            <w:noWrap w:val="0"/>
            <w:vAlign w:val="top"/>
          </w:tcPr>
          <w:p>
            <w:pPr>
              <w:spacing w:before="172" w:line="230" w:lineRule="auto"/>
              <w:ind w:left="28"/>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个</w:t>
            </w:r>
          </w:p>
        </w:tc>
        <w:tc>
          <w:tcPr>
            <w:tcW w:w="1933" w:type="dxa"/>
            <w:noWrap w:val="0"/>
            <w:vAlign w:val="top"/>
          </w:tcPr>
          <w:p>
            <w:pPr>
              <w:spacing w:before="172" w:line="231" w:lineRule="exact"/>
              <w:ind w:right="4"/>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64" w:type="dxa"/>
            <w:tcBorders>
              <w:left w:val="single" w:color="000000" w:sz="8" w:space="0"/>
            </w:tcBorders>
            <w:noWrap w:val="0"/>
            <w:vAlign w:val="top"/>
          </w:tcPr>
          <w:p>
            <w:pPr>
              <w:spacing w:before="96" w:line="231" w:lineRule="exact"/>
              <w:ind w:left="4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13</w:t>
            </w:r>
          </w:p>
        </w:tc>
        <w:tc>
          <w:tcPr>
            <w:tcW w:w="1483" w:type="dxa"/>
            <w:noWrap w:val="0"/>
            <w:vAlign w:val="top"/>
          </w:tcPr>
          <w:p>
            <w:pPr>
              <w:spacing w:before="96" w:line="231" w:lineRule="exact"/>
              <w:ind w:left="2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8-65</w:t>
            </w:r>
          </w:p>
        </w:tc>
        <w:tc>
          <w:tcPr>
            <w:tcW w:w="3283" w:type="dxa"/>
            <w:gridSpan w:val="2"/>
            <w:noWrap w:val="0"/>
            <w:vAlign w:val="top"/>
          </w:tcPr>
          <w:p>
            <w:pPr>
              <w:spacing w:before="96" w:line="230" w:lineRule="auto"/>
              <w:ind w:left="26"/>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塑钢窗安装 平开 单框双玻</w:t>
            </w:r>
          </w:p>
        </w:tc>
        <w:tc>
          <w:tcPr>
            <w:tcW w:w="734" w:type="dxa"/>
            <w:noWrap w:val="0"/>
            <w:vAlign w:val="top"/>
          </w:tcPr>
          <w:p>
            <w:pPr>
              <w:spacing w:before="96" w:line="231" w:lineRule="exact"/>
              <w:ind w:left="4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100m2</w:t>
            </w:r>
          </w:p>
        </w:tc>
        <w:tc>
          <w:tcPr>
            <w:tcW w:w="1933" w:type="dxa"/>
            <w:noWrap w:val="0"/>
            <w:vAlign w:val="top"/>
          </w:tcPr>
          <w:p>
            <w:pPr>
              <w:spacing w:before="96"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0.702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83" w:line="195" w:lineRule="auto"/>
              <w:ind w:left="21"/>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000101002</w:t>
            </w:r>
          </w:p>
        </w:tc>
        <w:tc>
          <w:tcPr>
            <w:tcW w:w="3283" w:type="dxa"/>
            <w:gridSpan w:val="2"/>
            <w:noWrap w:val="0"/>
            <w:vAlign w:val="top"/>
          </w:tcPr>
          <w:p>
            <w:pPr>
              <w:spacing w:before="173" w:line="230" w:lineRule="auto"/>
              <w:ind w:left="2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二类人工</w:t>
            </w:r>
          </w:p>
        </w:tc>
        <w:tc>
          <w:tcPr>
            <w:tcW w:w="734" w:type="dxa"/>
            <w:noWrap w:val="0"/>
            <w:vAlign w:val="top"/>
          </w:tcPr>
          <w:p>
            <w:pPr>
              <w:spacing w:before="173" w:line="235" w:lineRule="auto"/>
              <w:ind w:left="30"/>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工日</w:t>
            </w:r>
          </w:p>
        </w:tc>
        <w:tc>
          <w:tcPr>
            <w:tcW w:w="1933" w:type="dxa"/>
            <w:noWrap w:val="0"/>
            <w:vAlign w:val="top"/>
          </w:tcPr>
          <w:p>
            <w:pPr>
              <w:spacing w:before="173"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12.9519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83" w:line="195"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341100017</w:t>
            </w:r>
          </w:p>
        </w:tc>
        <w:tc>
          <w:tcPr>
            <w:tcW w:w="3283" w:type="dxa"/>
            <w:gridSpan w:val="2"/>
            <w:noWrap w:val="0"/>
            <w:vAlign w:val="top"/>
          </w:tcPr>
          <w:p>
            <w:pPr>
              <w:spacing w:before="172" w:line="229" w:lineRule="auto"/>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其他材料费</w:t>
            </w:r>
          </w:p>
        </w:tc>
        <w:tc>
          <w:tcPr>
            <w:tcW w:w="734" w:type="dxa"/>
            <w:noWrap w:val="0"/>
            <w:vAlign w:val="top"/>
          </w:tcPr>
          <w:p>
            <w:pPr>
              <w:spacing w:before="172" w:line="231" w:lineRule="auto"/>
              <w:ind w:left="2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元</w:t>
            </w:r>
          </w:p>
        </w:tc>
        <w:tc>
          <w:tcPr>
            <w:tcW w:w="1933" w:type="dxa"/>
            <w:noWrap w:val="0"/>
            <w:vAlign w:val="top"/>
          </w:tcPr>
          <w:p>
            <w:pPr>
              <w:spacing w:before="172"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30.6892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84" w:line="195" w:lineRule="auto"/>
              <w:ind w:left="3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111100002@1</w:t>
            </w:r>
          </w:p>
        </w:tc>
        <w:tc>
          <w:tcPr>
            <w:tcW w:w="3283" w:type="dxa"/>
            <w:gridSpan w:val="2"/>
            <w:noWrap w:val="0"/>
            <w:vAlign w:val="top"/>
          </w:tcPr>
          <w:p>
            <w:pPr>
              <w:spacing w:before="83" w:line="224" w:lineRule="auto"/>
              <w:ind w:left="21" w:right="5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平开单框双玻塑料窗4+12A+ 4</w:t>
            </w:r>
          </w:p>
        </w:tc>
        <w:tc>
          <w:tcPr>
            <w:tcW w:w="734" w:type="dxa"/>
            <w:noWrap w:val="0"/>
            <w:vAlign w:val="top"/>
          </w:tcPr>
          <w:p>
            <w:pPr>
              <w:spacing w:before="174" w:line="231" w:lineRule="exact"/>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m2</w:t>
            </w:r>
          </w:p>
        </w:tc>
        <w:tc>
          <w:tcPr>
            <w:tcW w:w="1933" w:type="dxa"/>
            <w:noWrap w:val="0"/>
            <w:vAlign w:val="top"/>
          </w:tcPr>
          <w:p>
            <w:pPr>
              <w:spacing w:before="174" w:line="229"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66.4022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8" w:hRule="atLeast"/>
          <w:jc w:val="center"/>
        </w:trPr>
        <w:tc>
          <w:tcPr>
            <w:tcW w:w="764" w:type="dxa"/>
            <w:tcBorders>
              <w:left w:val="single" w:color="000000" w:sz="8" w:space="0"/>
            </w:tcBorders>
            <w:noWrap w:val="0"/>
            <w:vAlign w:val="top"/>
          </w:tcPr>
          <w:p>
            <w:pPr>
              <w:spacing w:before="100" w:line="232" w:lineRule="exact"/>
              <w:ind w:left="4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14</w:t>
            </w:r>
          </w:p>
        </w:tc>
        <w:tc>
          <w:tcPr>
            <w:tcW w:w="1483" w:type="dxa"/>
            <w:noWrap w:val="0"/>
            <w:vAlign w:val="top"/>
          </w:tcPr>
          <w:p>
            <w:pPr>
              <w:spacing w:before="100" w:line="231" w:lineRule="auto"/>
              <w:ind w:left="19"/>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补子目1</w:t>
            </w:r>
          </w:p>
        </w:tc>
        <w:tc>
          <w:tcPr>
            <w:tcW w:w="3283" w:type="dxa"/>
            <w:gridSpan w:val="2"/>
            <w:noWrap w:val="0"/>
            <w:vAlign w:val="top"/>
          </w:tcPr>
          <w:p>
            <w:pPr>
              <w:spacing w:before="100"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成品栅栏</w:t>
            </w:r>
          </w:p>
        </w:tc>
        <w:tc>
          <w:tcPr>
            <w:tcW w:w="734" w:type="dxa"/>
            <w:noWrap w:val="0"/>
            <w:vAlign w:val="top"/>
          </w:tcPr>
          <w:p>
            <w:pPr>
              <w:spacing w:before="100" w:line="232" w:lineRule="exact"/>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m2</w:t>
            </w:r>
          </w:p>
        </w:tc>
        <w:tc>
          <w:tcPr>
            <w:tcW w:w="1933" w:type="dxa"/>
            <w:noWrap w:val="0"/>
            <w:vAlign w:val="top"/>
          </w:tcPr>
          <w:p>
            <w:pPr>
              <w:spacing w:before="100"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3010.8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764" w:type="dxa"/>
            <w:tcBorders>
              <w:left w:val="single" w:color="000000" w:sz="8" w:space="0"/>
            </w:tcBorders>
            <w:noWrap w:val="0"/>
            <w:vAlign w:val="top"/>
          </w:tcPr>
          <w:p>
            <w:pPr>
              <w:pStyle w:val="47"/>
              <w:rPr>
                <w:rFonts w:ascii="宋体" w:hAnsi="宋体" w:eastAsia="宋体" w:cs="宋体"/>
                <w:spacing w:val="7"/>
                <w:kern w:val="2"/>
                <w:sz w:val="20"/>
                <w:szCs w:val="20"/>
                <w:lang w:val="en-US" w:eastAsia="zh-CN" w:bidi="ar-SA"/>
              </w:rPr>
            </w:pPr>
          </w:p>
        </w:tc>
        <w:tc>
          <w:tcPr>
            <w:tcW w:w="1483" w:type="dxa"/>
            <w:noWrap w:val="0"/>
            <w:vAlign w:val="top"/>
          </w:tcPr>
          <w:p>
            <w:pPr>
              <w:spacing w:before="131" w:line="189" w:lineRule="auto"/>
              <w:ind w:left="15"/>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BCCLF1</w:t>
            </w:r>
          </w:p>
        </w:tc>
        <w:tc>
          <w:tcPr>
            <w:tcW w:w="3283" w:type="dxa"/>
            <w:gridSpan w:val="2"/>
            <w:noWrap w:val="0"/>
            <w:vAlign w:val="top"/>
          </w:tcPr>
          <w:p>
            <w:pPr>
              <w:spacing w:before="101" w:line="230" w:lineRule="auto"/>
              <w:ind w:left="24"/>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成品栅栏</w:t>
            </w:r>
          </w:p>
        </w:tc>
        <w:tc>
          <w:tcPr>
            <w:tcW w:w="734" w:type="dxa"/>
            <w:noWrap w:val="0"/>
            <w:vAlign w:val="top"/>
          </w:tcPr>
          <w:p>
            <w:pPr>
              <w:spacing w:before="101" w:line="232" w:lineRule="exact"/>
              <w:ind w:left="23"/>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m2</w:t>
            </w:r>
          </w:p>
        </w:tc>
        <w:tc>
          <w:tcPr>
            <w:tcW w:w="1933" w:type="dxa"/>
            <w:noWrap w:val="0"/>
            <w:vAlign w:val="top"/>
          </w:tcPr>
          <w:p>
            <w:pPr>
              <w:spacing w:before="101" w:line="230" w:lineRule="exact"/>
              <w:ind w:right="6"/>
              <w:jc w:val="right"/>
              <w:rPr>
                <w:rFonts w:ascii="宋体" w:hAnsi="宋体" w:eastAsia="宋体" w:cs="宋体"/>
                <w:spacing w:val="7"/>
                <w:kern w:val="2"/>
                <w:sz w:val="20"/>
                <w:szCs w:val="20"/>
                <w:lang w:val="en-US" w:eastAsia="zh-CN" w:bidi="ar-SA"/>
              </w:rPr>
            </w:pPr>
            <w:r>
              <w:rPr>
                <w:rFonts w:ascii="宋体" w:hAnsi="宋体" w:eastAsia="宋体" w:cs="宋体"/>
                <w:spacing w:val="7"/>
                <w:kern w:val="2"/>
                <w:sz w:val="20"/>
                <w:szCs w:val="20"/>
                <w:lang w:val="en-US" w:eastAsia="zh-CN" w:bidi="ar-SA"/>
              </w:rPr>
              <w:t>3010.8</w:t>
            </w:r>
          </w:p>
        </w:tc>
      </w:tr>
    </w:tbl>
    <w:p>
      <w:pPr>
        <w:rPr>
          <w:rFonts w:ascii="宋体" w:hAnsi="宋体" w:eastAsia="宋体" w:cs="宋体"/>
          <w:spacing w:val="7"/>
          <w:kern w:val="2"/>
          <w:sz w:val="20"/>
          <w:szCs w:val="20"/>
          <w:lang w:val="en-US" w:eastAsia="zh-CN" w:bidi="ar-SA"/>
        </w:rPr>
      </w:pPr>
    </w:p>
    <w:p>
      <w:pPr>
        <w:rPr>
          <w:rFonts w:ascii="宋体" w:hAnsi="宋体" w:eastAsia="宋体" w:cs="宋体"/>
          <w:spacing w:val="7"/>
          <w:kern w:val="2"/>
          <w:sz w:val="20"/>
          <w:szCs w:val="20"/>
          <w:lang w:val="en-US" w:eastAsia="zh-CN" w:bidi="ar-SA"/>
        </w:rPr>
      </w:pPr>
    </w:p>
    <w:p>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pStyle w:val="2"/>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pStyle w:val="2"/>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pStyle w:val="2"/>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pPr>
        <w:pStyle w:val="2"/>
        <w:rPr>
          <w:rFonts w:hint="eastAsia"/>
          <w:lang w:val="en-US" w:eastAsia="zh-CN"/>
        </w:rPr>
      </w:pPr>
    </w:p>
    <w:p>
      <w:pPr>
        <w:numPr>
          <w:ilvl w:val="0"/>
          <w:numId w:val="1"/>
        </w:numPr>
        <w:ind w:leftChars="0" w:firstLine="482" w:firstLineChars="200"/>
        <w:rPr>
          <w:rFonts w:hint="default"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建设内容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：（详见工程量清单）</w:t>
      </w:r>
    </w:p>
    <w:p>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二、施工地点：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采购人指定地点。 </w:t>
      </w:r>
    </w:p>
    <w:p>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三、商务要求</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1、本项目的报价和结算支付均以人民币为货币单位。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2、供应商报价应包括施工、货物采购、运输、安装、相关部门验收及保修期内的维护保养等所有含税费用，以及供应商认为必要的其他货物、材料、工程、服务。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3、如出现任何遗漏内容需产生额外费用，均由成交供应商自行承担，采购人将不再另支付任何费用。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4、供应商的报价文件应包括单价和总价，总价是对采购的所有内容所计算的总价，为合同总价；其填报的明细单价则应是供应商对本采购项目所包含的具体的服务进行详细列示的计算单价。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5、供应商应被认为在填报报价之前，已经仔细阅读了本谈判文件的所有有关章节以及审查了所有相关资料，已确保本次谈判的所有谈判范围内的各种价格风险均已包含在谈判的报价内。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6、质量和材料人员以及工期要求</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6.1质量：符合国家有关施工质量验收标准的合格工程或合同约定。工程规范以现行的或承担具体施工任务期间国家和行业新颁布施行的规范、规程为准。采购人组织验收小组按国家有关规定、规范进行验收，必要时邀请相关的专业人员或机构参与验收。因质量问题发生争议时，由本地质量技术监督部门鉴定。符合质量技术标准的，鉴定费由采购人承担；否则鉴定费由中标人承担，提供书面承诺。 </w:t>
      </w:r>
    </w:p>
    <w:p>
      <w:pPr>
        <w:numPr>
          <w:ilvl w:val="0"/>
          <w:numId w:val="0"/>
        </w:numPr>
        <w:ind w:leftChars="0" w:firstLine="480" w:firstLineChars="200"/>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材料、设备、施工须达到现行中华人民共和国以及省、自治区、直辖市或行业的工程建设标准、规范的要求及验收标准及有关规范为质量评定验收标准。为确保本项目顺利完成，中标供应商需承诺：本公司承诺在中标后所投入的人员为本公司人员，并与投标文件提供的人员一致，如服务期内采购人发现投入人员与投标文件不一致，视为提供虚假材料应标，采购人有权扣除履约保证金，单方面终止采购合同，并将供应商虚假应标的相关问题报送监管部门。</w:t>
      </w:r>
    </w:p>
    <w:p>
      <w:pPr>
        <w:numPr>
          <w:ilvl w:val="0"/>
          <w:numId w:val="0"/>
        </w:numPr>
        <w:ind w:leftChars="0" w:firstLine="480" w:firstLineChars="200"/>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6.3供应商承诺在合同履行期间内保证对采购人的工期按时完成，如中标人在签订合同后</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日内未按照投标文件承诺履行协议义务时，没收履约保证金外，采购人取消供应商签订的合同，供应商同时承担相应的民事及刑事法律责任及放弃先诉抗辩权，采购人有权取消其中标资格亦有单方终止合同由此产生的一切经济损失由中标供应商自行承担，中标人无权干预。由排名次之的供应商依次递补。</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7、验收 ：以甲方签订合同为准。</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8、付款方式及时间：合同价款付款方式为直接支付；合同价款付款时间为合同签订后产品交付验收合格后一次性全部支付。（最终以甲乙双方签订合同为准）</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9、人员要求:</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10、承诺书（格式自拟）</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成交供应商必须切实做好安全工作，加强作业时的安全保障，在任何情况下都要注意安全。一切安全事故均由成交供应商自行负责。</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成交供应商不得将本项目的全部或任何部分分包和转包给他人，如在项目实施过程中，经采购人发现有此情况，采购人有权终止合同，由此造成的责任由成交供应商负责。</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采购人在前款规定的付款时间为向政府采购支付部门提出办理财政支付申请手续的时间（不含政府财政支付部门审核的时间），在规定时间内提出支付申请手续后即视为采购人已经按期支付。本项目为工程项目，中标供应商不得因财政拨付资金不到位而停止施工。</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为确保本项目顺利完成，承诺在中标后所投入的项目管理人员为本企业任专业技术人员，并与投标文件提供的专业技术人员一致。</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在执行项目过程中如出现下列情形，采购人有权即时终止合同并要求中标人赔偿损失：</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中标人在合同履行期间，除法律另行规定外，未经采购人同意，将采购人提供的资料泄外，并在社会上造成不良影响及严重后果的。采购人有权终止合同，由此造成的采购人经济损失由中标人承担；</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中标人提供的工程建设不符合招标文件及其投标承诺，经过整改后仍未能满足相关规定的，采购人有权终止合同， 由此造成的采购人经济损失由中标人承担。</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施工企业所在地劳动监察部门所开具的无拖欠农民工工资的证明或不开具的证明材料。</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当地住建部门开具的无重大工程质量安全问题件证明或不开具的证明材料。</w:t>
      </w:r>
    </w:p>
    <w:p>
      <w:pPr>
        <w:numPr>
          <w:ilvl w:val="0"/>
          <w:numId w:val="0"/>
        </w:numPr>
        <w:ind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11、成交人必须遵照采购人的管理及安排，按采购人的内容、质量、时间要求制作,所有的服务必须达到采购人的要求。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12、项目建设工作完成后应按要求及时清理现场工作。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13、成交供应商必须在施工过程中注意自身及周边安全，负责施工过程中的所有事故处理和费用。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14、为便于与采购人就活动细节等方面进行适时沟通联系、及时处理和反馈,并使项目按质、按量、按时、有序实施，成交人应保证有固定专人负责联络工作。本项目必须有一个完善且固定的策划和组织管理团队，供应商须在响应文件中详细列出参与本项目的人员名单。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15、其它要求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15.1成交供应商应单独承诺在施工前后，需负责原有地面拆旧，杂物清理及外运；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15.2成交供应商需严格按照采购人需求及设计效果图保质保量施工，不得偷工减料；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15.3施工中使用的原材料必须为原厂全新材料，不得翻旧利旧，保证设计效果。</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项目负责人且未担任其他在施建设工程项目，至少承担过 1项</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业绩。提供证明材料。</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16.质量管理及质量保证 </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16.1措施实施方案：有完善的管理架构、有详细的施工计划、质量服务计划表、人员配备、机械设备使用、保证措施。</w:t>
      </w:r>
    </w:p>
    <w:p>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16.2对本项目制定技术难点及相应解决方案。</w:t>
      </w:r>
    </w:p>
    <w:p>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16.3本项目施工所在地扬尘治理方案。</w:t>
      </w:r>
    </w:p>
    <w:p>
      <w:pPr>
        <w:keepNext w:val="0"/>
        <w:keepLines w:val="0"/>
        <w:widowControl/>
        <w:suppressLineNumbers w:val="0"/>
        <w:jc w:val="left"/>
      </w:pPr>
      <w:r>
        <w:rPr>
          <w:rFonts w:hint="eastAsia" w:ascii="宋体" w:hAnsi="宋体" w:cs="宋体"/>
          <w:b w:val="0"/>
          <w:bCs w:val="0"/>
          <w:color w:val="000000" w:themeColor="text1"/>
          <w:sz w:val="24"/>
          <w:szCs w:val="24"/>
          <w:highlight w:val="none"/>
          <w:lang w:val="en-US" w:eastAsia="zh-CN"/>
          <w14:textFill>
            <w14:solidFill>
              <w14:schemeClr w14:val="tx1"/>
            </w14:solidFill>
          </w14:textFill>
        </w:rPr>
        <w:br w:type="page"/>
      </w:r>
    </w:p>
    <w:p>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bookmarkStart w:id="237" w:name="_Toc14028"/>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四</w:t>
      </w:r>
      <w:r>
        <w:rPr>
          <w:rFonts w:hint="eastAsia" w:ascii="宋体" w:hAnsi="宋体" w:eastAsia="宋体" w:cs="宋体"/>
          <w:b/>
          <w:bCs/>
          <w:color w:val="000000" w:themeColor="text1"/>
          <w:sz w:val="36"/>
          <w:szCs w:val="36"/>
          <w:highlight w:val="none"/>
          <w14:textFill>
            <w14:solidFill>
              <w14:schemeClr w14:val="tx1"/>
            </w14:solidFill>
          </w14:textFill>
        </w:rPr>
        <w:t>章  评</w:t>
      </w:r>
      <w:r>
        <w:rPr>
          <w:rFonts w:hint="eastAsia" w:ascii="宋体" w:hAnsi="宋体" w:eastAsia="宋体" w:cs="宋体"/>
          <w:b/>
          <w:bCs/>
          <w:color w:val="000000" w:themeColor="text1"/>
          <w:sz w:val="36"/>
          <w:szCs w:val="36"/>
          <w:highlight w:val="none"/>
          <w:lang w:eastAsia="zh-CN"/>
          <w14:textFill>
            <w14:solidFill>
              <w14:schemeClr w14:val="tx1"/>
            </w14:solidFill>
          </w14:textFill>
        </w:rPr>
        <w:t>审</w:t>
      </w:r>
      <w:r>
        <w:rPr>
          <w:rFonts w:hint="eastAsia" w:ascii="宋体" w:hAnsi="宋体" w:eastAsia="宋体" w:cs="宋体"/>
          <w:b/>
          <w:bCs/>
          <w:color w:val="000000" w:themeColor="text1"/>
          <w:sz w:val="36"/>
          <w:szCs w:val="36"/>
          <w:highlight w:val="none"/>
          <w14:textFill>
            <w14:solidFill>
              <w14:schemeClr w14:val="tx1"/>
            </w14:solidFill>
          </w14:textFill>
        </w:rPr>
        <w:t>办法</w:t>
      </w:r>
      <w:bookmarkEnd w:id="237"/>
    </w:p>
    <w:p>
      <w:pPr>
        <w:spacing w:after="156" w:afterLines="50" w:line="360" w:lineRule="auto"/>
        <w:ind w:firstLine="560" w:firstLineChars="200"/>
        <w:outlineLvl w:val="2"/>
        <w:rPr>
          <w:rFonts w:hint="eastAsia" w:ascii="宋体" w:hAnsi="宋体" w:eastAsia="宋体" w:cs="宋体"/>
          <w:color w:val="000000" w:themeColor="text1"/>
          <w:sz w:val="28"/>
          <w:szCs w:val="28"/>
          <w:highlight w:val="none"/>
          <w:lang w:eastAsia="zh-CN"/>
          <w14:textFill>
            <w14:solidFill>
              <w14:schemeClr w14:val="tx1"/>
            </w14:solidFill>
          </w14:textFill>
        </w:rPr>
      </w:pPr>
      <w:bookmarkStart w:id="238" w:name="_Toc494455918"/>
      <w:bookmarkStart w:id="239" w:name="_Toc8060"/>
      <w:bookmarkStart w:id="240" w:name="_Toc3576"/>
      <w:bookmarkStart w:id="241" w:name="_Toc13470"/>
      <w:bookmarkStart w:id="242" w:name="_Toc7466"/>
      <w:bookmarkStart w:id="243" w:name="_Toc10799"/>
      <w:bookmarkStart w:id="244" w:name="_Toc1132"/>
      <w:bookmarkStart w:id="245" w:name="_Toc12784"/>
      <w:bookmarkStart w:id="246" w:name="_Toc13049"/>
      <w:bookmarkStart w:id="247" w:name="_Toc20703"/>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.评</w:t>
      </w:r>
      <w:bookmarkEnd w:id="238"/>
      <w:r>
        <w:rPr>
          <w:rFonts w:hint="eastAsia" w:ascii="宋体" w:hAnsi="宋体" w:eastAsia="宋体" w:cs="宋体"/>
          <w:color w:val="000000" w:themeColor="text1"/>
          <w:sz w:val="28"/>
          <w:szCs w:val="28"/>
          <w:highlight w:val="none"/>
          <w:lang w:eastAsia="zh-CN"/>
          <w14:textFill>
            <w14:solidFill>
              <w14:schemeClr w14:val="tx1"/>
            </w14:solidFill>
          </w14:textFill>
        </w:rPr>
        <w:t>审附表</w:t>
      </w:r>
      <w:bookmarkEnd w:id="239"/>
      <w:bookmarkEnd w:id="240"/>
      <w:bookmarkEnd w:id="241"/>
      <w:bookmarkEnd w:id="242"/>
      <w:bookmarkEnd w:id="243"/>
      <w:bookmarkEnd w:id="244"/>
      <w:bookmarkEnd w:id="245"/>
      <w:bookmarkEnd w:id="246"/>
      <w:bookmarkEnd w:id="247"/>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资格审查</w:t>
      </w:r>
    </w:p>
    <w:tbl>
      <w:tblPr>
        <w:tblStyle w:val="25"/>
        <w:tblpPr w:leftFromText="180" w:rightFromText="180" w:vertAnchor="text" w:horzAnchor="page" w:tblpX="1310" w:tblpY="178"/>
        <w:tblOverlap w:val="never"/>
        <w:tblW w:w="917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0"/>
        <w:gridCol w:w="4613"/>
        <w:gridCol w:w="1384"/>
        <w:gridCol w:w="1366"/>
        <w:gridCol w:w="12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550" w:type="dxa"/>
            <w:vMerge w:val="restart"/>
            <w:tcBorders>
              <w:bottom w:val="nil"/>
            </w:tcBorders>
            <w:noWrap w:val="0"/>
            <w:vAlign w:val="center"/>
          </w:tcPr>
          <w:p>
            <w:pPr>
              <w:spacing w:before="78" w:line="221"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5"/>
                <w:sz w:val="24"/>
                <w:szCs w:val="24"/>
                <w:highlight w:val="none"/>
                <w14:textFill>
                  <w14:solidFill>
                    <w14:schemeClr w14:val="tx1"/>
                  </w14:solidFill>
                </w14:textFill>
              </w:rPr>
              <w:t>序号</w:t>
            </w:r>
          </w:p>
        </w:tc>
        <w:tc>
          <w:tcPr>
            <w:tcW w:w="4613" w:type="dxa"/>
            <w:vMerge w:val="restart"/>
            <w:tcBorders>
              <w:bottom w:val="nil"/>
            </w:tcBorders>
            <w:noWrap w:val="0"/>
            <w:vAlign w:val="top"/>
          </w:tcPr>
          <w:p>
            <w:pPr>
              <w:spacing w:before="217"/>
              <w:ind w:left="166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投标文件审查及响应性</w:t>
            </w:r>
          </w:p>
          <w:p>
            <w:pPr>
              <w:spacing w:line="219" w:lineRule="auto"/>
              <w:ind w:left="137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（评审结果为合格/不合格）</w:t>
            </w:r>
          </w:p>
        </w:tc>
        <w:tc>
          <w:tcPr>
            <w:tcW w:w="1384"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投标人 1</w:t>
            </w:r>
          </w:p>
        </w:tc>
        <w:tc>
          <w:tcPr>
            <w:tcW w:w="1366"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投标人 2</w:t>
            </w:r>
          </w:p>
        </w:tc>
        <w:tc>
          <w:tcPr>
            <w:tcW w:w="1260"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投标人 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550" w:type="dxa"/>
            <w:vMerge w:val="continue"/>
            <w:tcBorders>
              <w:top w:val="nil"/>
              <w:bottom w:val="single" w:color="auto" w:sz="4" w:space="0"/>
            </w:tcBorders>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613" w:type="dxa"/>
            <w:vMerge w:val="continue"/>
            <w:tcBorders>
              <w:top w:val="nil"/>
            </w:tcBorders>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84"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是否合格</w:t>
            </w:r>
          </w:p>
        </w:tc>
        <w:tc>
          <w:tcPr>
            <w:tcW w:w="1366"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是否合格</w:t>
            </w:r>
          </w:p>
        </w:tc>
        <w:tc>
          <w:tcPr>
            <w:tcW w:w="1260" w:type="dxa"/>
            <w:noWrap w:val="0"/>
            <w:vAlign w:val="top"/>
          </w:tcPr>
          <w:p>
            <w:pPr>
              <w:spacing w:before="70" w:line="219" w:lineRule="auto"/>
              <w:ind w:left="80"/>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是否合格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7" w:hRule="atLeast"/>
        </w:trPr>
        <w:tc>
          <w:tcPr>
            <w:tcW w:w="550" w:type="dxa"/>
            <w:tcBorders>
              <w:top w:val="single" w:color="auto" w:sz="4" w:space="0"/>
              <w:left w:val="single" w:color="auto" w:sz="4" w:space="0"/>
              <w:bottom w:val="single" w:color="auto" w:sz="4" w:space="0"/>
              <w:right w:val="single" w:color="auto" w:sz="4" w:space="0"/>
            </w:tcBorders>
            <w:noWrap w:val="0"/>
            <w:vAlign w:val="center"/>
          </w:tcPr>
          <w:p>
            <w:pPr>
              <w:spacing w:before="78" w:line="184"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1</w:t>
            </w:r>
          </w:p>
        </w:tc>
        <w:tc>
          <w:tcPr>
            <w:tcW w:w="4613" w:type="dxa"/>
            <w:tcBorders>
              <w:left w:val="single" w:color="auto" w:sz="4" w:space="0"/>
            </w:tcBorders>
            <w:noWrap w:val="0"/>
            <w:vAlign w:val="top"/>
          </w:tcPr>
          <w:p>
            <w:pPr>
              <w:spacing w:line="207" w:lineRule="auto"/>
              <w:ind w:left="29"/>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r>
              <w:rPr>
                <w:rFonts w:hint="eastAsia" w:ascii="宋体" w:hAnsi="宋体" w:cs="宋体"/>
                <w:color w:val="000000"/>
                <w:kern w:val="0"/>
                <w:sz w:val="24"/>
                <w:szCs w:val="24"/>
                <w:lang w:val="en-US" w:eastAsia="zh-CN" w:bidi="ar"/>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550" w:type="dxa"/>
            <w:tcBorders>
              <w:top w:val="single" w:color="auto" w:sz="4" w:space="0"/>
              <w:left w:val="single" w:color="auto" w:sz="4" w:space="0"/>
              <w:bottom w:val="single" w:color="auto" w:sz="4" w:space="0"/>
              <w:right w:val="single" w:color="auto" w:sz="4" w:space="0"/>
            </w:tcBorders>
            <w:noWrap w:val="0"/>
            <w:vAlign w:val="center"/>
          </w:tcPr>
          <w:p>
            <w:pPr>
              <w:spacing w:before="9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2</w:t>
            </w:r>
          </w:p>
        </w:tc>
        <w:tc>
          <w:tcPr>
            <w:tcW w:w="4613" w:type="dxa"/>
            <w:tcBorders>
              <w:left w:val="single" w:color="auto" w:sz="4" w:space="0"/>
            </w:tcBorders>
            <w:noWrap w:val="0"/>
            <w:vAlign w:val="top"/>
          </w:tcPr>
          <w:p>
            <w:pPr>
              <w:spacing w:before="55" w:line="219" w:lineRule="auto"/>
              <w:ind w:left="20"/>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cs="宋体"/>
                <w:i w:val="0"/>
                <w:iCs w:val="0"/>
                <w:color w:val="000000" w:themeColor="text1"/>
                <w:spacing w:val="-2"/>
                <w:sz w:val="24"/>
                <w:szCs w:val="24"/>
                <w:highlight w:val="none"/>
                <w:lang w:val="en-US" w:eastAsia="zh-CN"/>
                <w14:textFill>
                  <w14:solidFill>
                    <w14:schemeClr w14:val="tx1"/>
                  </w14:solidFill>
                </w14:textFill>
              </w:rPr>
              <w:t>法定代表人的需提供法定代表人证明书（须附法人身份证复印件正反面）或委托代理人需提供法定代表人授权委托书（授权书需附法人身份证复印件及委托人身份证复印件正反面）；</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550" w:type="dxa"/>
            <w:tcBorders>
              <w:top w:val="single" w:color="auto" w:sz="4" w:space="0"/>
            </w:tcBorders>
            <w:noWrap w:val="0"/>
            <w:vAlign w:val="center"/>
          </w:tcPr>
          <w:p>
            <w:pPr>
              <w:spacing w:before="23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w:t>
            </w:r>
          </w:p>
        </w:tc>
        <w:tc>
          <w:tcPr>
            <w:tcW w:w="4613" w:type="dxa"/>
            <w:noWrap w:val="0"/>
            <w:vAlign w:val="top"/>
          </w:tcPr>
          <w:p>
            <w:pPr>
              <w:spacing w:before="39" w:line="223" w:lineRule="auto"/>
              <w:ind w:left="18" w:right="12"/>
              <w:jc w:val="left"/>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r>
              <w:rPr>
                <w:rFonts w:hint="eastAsia" w:ascii="宋体" w:hAnsi="宋体" w:cs="宋体"/>
                <w:i w:val="0"/>
                <w:iCs w:val="0"/>
                <w:color w:val="000000" w:themeColor="text1"/>
                <w:spacing w:val="-1"/>
                <w:sz w:val="24"/>
                <w:szCs w:val="24"/>
                <w:highlight w:val="none"/>
                <w:lang w:eastAsia="zh-CN"/>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550" w:type="dxa"/>
            <w:noWrap w:val="0"/>
            <w:vAlign w:val="center"/>
          </w:tcPr>
          <w:p>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w:t>
            </w:r>
          </w:p>
        </w:tc>
        <w:tc>
          <w:tcPr>
            <w:tcW w:w="4613" w:type="dxa"/>
            <w:noWrap w:val="0"/>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具有良好的商业信誉和健全的财务会计制度：提供2023年或2024年由第三方审计机构出具的审计报告（2025年01月01日起至今成立的公司可不提</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供</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550" w:type="dxa"/>
            <w:noWrap w:val="0"/>
            <w:vAlign w:val="center"/>
          </w:tcPr>
          <w:p>
            <w:pPr>
              <w:spacing w:before="234" w:line="182"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5</w:t>
            </w:r>
          </w:p>
        </w:tc>
        <w:tc>
          <w:tcPr>
            <w:tcW w:w="4613" w:type="dxa"/>
            <w:noWrap w:val="0"/>
            <w:vAlign w:val="top"/>
          </w:tcPr>
          <w:p>
            <w:pPr>
              <w:spacing w:before="39" w:line="223" w:lineRule="auto"/>
              <w:ind w:left="29" w:right="65" w:hanging="8"/>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履行合同所必需的设备和专业技术能力：提供《投标人资格声明函》</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550" w:type="dxa"/>
            <w:noWrap w:val="0"/>
            <w:vAlign w:val="center"/>
          </w:tcPr>
          <w:p>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6</w:t>
            </w:r>
          </w:p>
        </w:tc>
        <w:tc>
          <w:tcPr>
            <w:tcW w:w="4613" w:type="dxa"/>
            <w:noWrap w:val="0"/>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550" w:type="dxa"/>
            <w:noWrap w:val="0"/>
            <w:vAlign w:val="center"/>
          </w:tcPr>
          <w:p>
            <w:pPr>
              <w:spacing w:before="78" w:line="182" w:lineRule="auto"/>
              <w:jc w:val="center"/>
              <w:rPr>
                <w:rFonts w:hint="default" w:ascii="宋体" w:hAnsi="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7</w:t>
            </w:r>
          </w:p>
        </w:tc>
        <w:tc>
          <w:tcPr>
            <w:tcW w:w="4613" w:type="dxa"/>
            <w:noWrap w:val="0"/>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3" w:hRule="atLeast"/>
        </w:trPr>
        <w:tc>
          <w:tcPr>
            <w:tcW w:w="550" w:type="dxa"/>
            <w:noWrap w:val="0"/>
            <w:vAlign w:val="center"/>
          </w:tcPr>
          <w:p>
            <w:pPr>
              <w:spacing w:before="78" w:line="182"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8</w:t>
            </w:r>
          </w:p>
        </w:tc>
        <w:tc>
          <w:tcPr>
            <w:tcW w:w="4613" w:type="dxa"/>
            <w:noWrap w:val="0"/>
            <w:vAlign w:val="top"/>
          </w:tcPr>
          <w:p>
            <w:pPr>
              <w:spacing w:before="33" w:line="235" w:lineRule="auto"/>
              <w:ind w:left="18" w:right="12" w:firstLine="11"/>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企业负责人为同一人或者存在直接控股、管理关系的不同投标人，不得参加同一合同项下的政府采购活动。否则，皆取消投标资格</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550" w:type="dxa"/>
            <w:noWrap w:val="0"/>
            <w:vAlign w:val="center"/>
          </w:tcPr>
          <w:p>
            <w:pPr>
              <w:spacing w:before="244" w:line="183" w:lineRule="auto"/>
              <w:jc w:val="center"/>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9</w:t>
            </w:r>
          </w:p>
        </w:tc>
        <w:tc>
          <w:tcPr>
            <w:tcW w:w="4613" w:type="dxa"/>
            <w:noWrap w:val="0"/>
            <w:vAlign w:val="top"/>
          </w:tcPr>
          <w:p>
            <w:pPr>
              <w:spacing w:before="74" w:line="200" w:lineRule="auto"/>
              <w:ind w:left="28"/>
              <w:jc w:val="left"/>
              <w:rPr>
                <w:rFonts w:hint="eastAsia" w:ascii="宋体" w:hAnsi="宋体" w:eastAsia="宋体" w:cs="宋体"/>
                <w:i w:val="0"/>
                <w:iCs w:val="0"/>
                <w:color w:val="000000" w:themeColor="text1"/>
                <w:spacing w:val="-4"/>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投标人须具有建筑工程施工总承包三级(含)以上资质，</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以及相关证照齐备的独立法人企业。</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并在人员、设备、资金等方面具有相应的施工能力，</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无不良业绩；</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有安全生产许可证，区外企业已进行区外进疆建筑企业信息报送。项目负责人须具备建筑工程专业注册贰级建造（含贰级）及以上执业资格</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并具有担任项目经理的经历</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，具备有效的安全生产考核合格证书，且未担任其他在施建设工程项目的项目负责人。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（需提供无在建承诺书，格式自拟）；</w:t>
            </w:r>
          </w:p>
        </w:tc>
        <w:tc>
          <w:tcPr>
            <w:tcW w:w="1384"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366"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c>
          <w:tcPr>
            <w:tcW w:w="1260" w:type="dxa"/>
            <w:noWrap w:val="0"/>
            <w:vAlign w:val="top"/>
          </w:tcPr>
          <w:p>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550" w:type="dxa"/>
            <w:noWrap w:val="0"/>
            <w:vAlign w:val="center"/>
          </w:tcPr>
          <w:p>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1</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0</w:t>
            </w:r>
          </w:p>
        </w:tc>
        <w:tc>
          <w:tcPr>
            <w:tcW w:w="4613" w:type="dxa"/>
            <w:noWrap w:val="0"/>
            <w:vAlign w:val="top"/>
          </w:tcPr>
          <w:p>
            <w:pPr>
              <w:spacing w:before="33" w:line="235" w:lineRule="auto"/>
              <w:ind w:left="18" w:right="12" w:firstLine="11"/>
              <w:jc w:val="left"/>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是否缴纳足额投标保证金</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或保函；</w:t>
            </w:r>
          </w:p>
        </w:tc>
        <w:tc>
          <w:tcPr>
            <w:tcW w:w="1384"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p>
        </w:tc>
        <w:tc>
          <w:tcPr>
            <w:tcW w:w="1366"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c>
          <w:tcPr>
            <w:tcW w:w="1260"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550" w:type="dxa"/>
            <w:noWrap w:val="0"/>
            <w:vAlign w:val="center"/>
          </w:tcPr>
          <w:p>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11</w:t>
            </w:r>
          </w:p>
        </w:tc>
        <w:tc>
          <w:tcPr>
            <w:tcW w:w="4613" w:type="dxa"/>
            <w:noWrap w:val="0"/>
            <w:vAlign w:val="top"/>
          </w:tcPr>
          <w:p>
            <w:pPr>
              <w:spacing w:before="33" w:line="235" w:lineRule="auto"/>
              <w:ind w:left="18" w:right="12" w:firstLine="11"/>
              <w:jc w:val="left"/>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是否提供《中小企业声明函》。</w:t>
            </w:r>
          </w:p>
        </w:tc>
        <w:tc>
          <w:tcPr>
            <w:tcW w:w="1384"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p>
        </w:tc>
        <w:tc>
          <w:tcPr>
            <w:tcW w:w="1366"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c>
          <w:tcPr>
            <w:tcW w:w="1260"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5163" w:type="dxa"/>
            <w:gridSpan w:val="2"/>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评审结果“ √ ”表示合格；“ × ”表示不合格，一项不合格为无效投标处，如不合格，请在结果中写明原因。</w:t>
            </w:r>
          </w:p>
        </w:tc>
        <w:tc>
          <w:tcPr>
            <w:tcW w:w="1384"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p>
        </w:tc>
        <w:tc>
          <w:tcPr>
            <w:tcW w:w="1366"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c>
          <w:tcPr>
            <w:tcW w:w="1260" w:type="dxa"/>
            <w:noWrap w:val="0"/>
            <w:vAlign w:val="top"/>
          </w:tcPr>
          <w:p>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bl>
    <w:p>
      <w:pP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br w:type="page"/>
      </w:r>
    </w:p>
    <w:p>
      <w:pPr>
        <w:spacing w:before="78" w:line="222" w:lineRule="auto"/>
        <w:ind w:firstLine="472" w:firstLineChars="200"/>
        <w:outlineLvl w:val="1"/>
        <w:rPr>
          <w:rFonts w:hint="eastAsia" w:ascii="宋体" w:hAnsi="宋体" w:eastAsia="宋体" w:cs="宋体"/>
          <w:i w:val="0"/>
          <w:iCs w:val="0"/>
          <w:color w:val="000000" w:themeColor="text1"/>
          <w:spacing w:val="-2"/>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t>1.2</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符合性评审标准</w:t>
      </w:r>
    </w:p>
    <w:tbl>
      <w:tblPr>
        <w:tblStyle w:val="25"/>
        <w:tblpPr w:leftFromText="180" w:rightFromText="180" w:vertAnchor="text" w:horzAnchor="page" w:tblpX="1152" w:tblpY="224"/>
        <w:tblOverlap w:val="never"/>
        <w:tblW w:w="943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8"/>
        <w:gridCol w:w="451"/>
        <w:gridCol w:w="5718"/>
        <w:gridCol w:w="670"/>
        <w:gridCol w:w="669"/>
        <w:gridCol w:w="670"/>
        <w:gridCol w:w="7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2" w:hRule="atLeast"/>
        </w:trPr>
        <w:tc>
          <w:tcPr>
            <w:tcW w:w="498" w:type="dxa"/>
            <w:noWrap w:val="0"/>
            <w:textDirection w:val="tbRlV"/>
            <w:vAlign w:val="center"/>
          </w:tcPr>
          <w:p>
            <w:pPr>
              <w:spacing w:before="140" w:line="206"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项</w:t>
            </w:r>
            <w:r>
              <w:rPr>
                <w:rFonts w:hint="eastAsia" w:ascii="宋体" w:hAnsi="宋体" w:eastAsia="宋体" w:cs="宋体"/>
                <w:i w:val="0"/>
                <w:iCs w:val="0"/>
                <w:color w:val="000000" w:themeColor="text1"/>
                <w:spacing w:val="-4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目</w:t>
            </w:r>
          </w:p>
        </w:tc>
        <w:tc>
          <w:tcPr>
            <w:tcW w:w="6169" w:type="dxa"/>
            <w:gridSpan w:val="2"/>
            <w:noWrap w:val="0"/>
            <w:vAlign w:val="top"/>
          </w:tcPr>
          <w:p>
            <w:pPr>
              <w:spacing w:before="312" w:line="219" w:lineRule="auto"/>
              <w:ind w:left="242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8"/>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12"/>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审</w:t>
            </w:r>
            <w:r>
              <w:rPr>
                <w:rFonts w:hint="eastAsia" w:ascii="宋体" w:hAnsi="宋体" w:eastAsia="宋体" w:cs="宋体"/>
                <w:i w:val="0"/>
                <w:iCs w:val="0"/>
                <w:color w:val="000000" w:themeColor="text1"/>
                <w:spacing w:val="20"/>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内</w:t>
            </w:r>
            <w:r>
              <w:rPr>
                <w:rFonts w:hint="eastAsia" w:ascii="宋体" w:hAnsi="宋体" w:eastAsia="宋体" w:cs="宋体"/>
                <w:i w:val="0"/>
                <w:iCs w:val="0"/>
                <w:color w:val="000000" w:themeColor="text1"/>
                <w:spacing w:val="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容</w:t>
            </w:r>
          </w:p>
        </w:tc>
        <w:tc>
          <w:tcPr>
            <w:tcW w:w="670" w:type="dxa"/>
            <w:noWrap w:val="0"/>
            <w:vAlign w:val="top"/>
          </w:tcPr>
          <w:p>
            <w:pPr>
              <w:spacing w:before="156" w:line="231" w:lineRule="auto"/>
              <w:ind w:left="154" w:right="112" w:hanging="3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7"/>
                <w:sz w:val="24"/>
                <w:szCs w:val="24"/>
                <w:highlight w:val="none"/>
                <w14:textFill>
                  <w14:solidFill>
                    <w14:schemeClr w14:val="tx1"/>
                  </w14:solidFill>
                </w14:textFill>
              </w:rPr>
              <w:t>投标</w:t>
            </w:r>
            <w:r>
              <w:rPr>
                <w:rFonts w:hint="eastAsia" w:ascii="宋体" w:hAnsi="宋体" w:eastAsia="宋体" w:cs="宋体"/>
                <w:i w:val="0"/>
                <w:iCs w:val="0"/>
                <w:color w:val="000000" w:themeColor="text1"/>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人</w:t>
            </w:r>
            <w:r>
              <w:rPr>
                <w:rFonts w:hint="eastAsia" w:ascii="宋体" w:hAnsi="宋体" w:eastAsia="宋体" w:cs="宋体"/>
                <w:i w:val="0"/>
                <w:iCs w:val="0"/>
                <w:color w:val="000000" w:themeColor="text1"/>
                <w:spacing w:val="-33"/>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1</w:t>
            </w:r>
          </w:p>
        </w:tc>
        <w:tc>
          <w:tcPr>
            <w:tcW w:w="669" w:type="dxa"/>
            <w:noWrap w:val="0"/>
            <w:vAlign w:val="top"/>
          </w:tcPr>
          <w:p>
            <w:pPr>
              <w:spacing w:before="156" w:line="231" w:lineRule="auto"/>
              <w:ind w:left="152" w:right="109" w:hanging="2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7"/>
                <w:sz w:val="24"/>
                <w:szCs w:val="24"/>
                <w:highlight w:val="none"/>
                <w14:textFill>
                  <w14:solidFill>
                    <w14:schemeClr w14:val="tx1"/>
                  </w14:solidFill>
                </w14:textFill>
              </w:rPr>
              <w:t>投标</w:t>
            </w:r>
            <w:r>
              <w:rPr>
                <w:rFonts w:hint="eastAsia" w:ascii="宋体" w:hAnsi="宋体" w:eastAsia="宋体" w:cs="宋体"/>
                <w:i w:val="0"/>
                <w:iCs w:val="0"/>
                <w:color w:val="000000" w:themeColor="text1"/>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人</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2</w:t>
            </w:r>
          </w:p>
        </w:tc>
        <w:tc>
          <w:tcPr>
            <w:tcW w:w="670" w:type="dxa"/>
            <w:noWrap w:val="0"/>
            <w:vAlign w:val="top"/>
          </w:tcPr>
          <w:p>
            <w:pPr>
              <w:spacing w:before="156" w:line="231" w:lineRule="auto"/>
              <w:ind w:left="155" w:right="110" w:hanging="3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7"/>
                <w:sz w:val="24"/>
                <w:szCs w:val="24"/>
                <w:highlight w:val="none"/>
                <w14:textFill>
                  <w14:solidFill>
                    <w14:schemeClr w14:val="tx1"/>
                  </w14:solidFill>
                </w14:textFill>
              </w:rPr>
              <w:t>投标</w:t>
            </w:r>
            <w:r>
              <w:rPr>
                <w:rFonts w:hint="eastAsia" w:ascii="宋体" w:hAnsi="宋体" w:eastAsia="宋体" w:cs="宋体"/>
                <w:i w:val="0"/>
                <w:iCs w:val="0"/>
                <w:color w:val="000000" w:themeColor="text1"/>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人</w:t>
            </w:r>
            <w:r>
              <w:rPr>
                <w:rFonts w:hint="eastAsia" w:ascii="宋体" w:hAnsi="宋体" w:eastAsia="宋体" w:cs="宋体"/>
                <w:i w:val="0"/>
                <w:iCs w:val="0"/>
                <w:color w:val="000000" w:themeColor="text1"/>
                <w:spacing w:val="-46"/>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3</w:t>
            </w:r>
          </w:p>
        </w:tc>
        <w:tc>
          <w:tcPr>
            <w:tcW w:w="760" w:type="dxa"/>
            <w:noWrap w:val="0"/>
            <w:vAlign w:val="top"/>
          </w:tcPr>
          <w:p>
            <w:pPr>
              <w:spacing w:before="156" w:line="231" w:lineRule="auto"/>
              <w:ind w:left="199" w:right="158" w:hanging="27"/>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pacing w:val="-7"/>
                <w:sz w:val="24"/>
                <w:szCs w:val="24"/>
                <w:highlight w:val="none"/>
                <w14:textFill>
                  <w14:solidFill>
                    <w14:schemeClr w14:val="tx1"/>
                  </w14:solidFill>
                </w14:textFill>
              </w:rPr>
              <w:t>投标</w:t>
            </w:r>
            <w:r>
              <w:rPr>
                <w:rFonts w:hint="eastAsia" w:ascii="宋体" w:hAnsi="宋体" w:eastAsia="宋体" w:cs="宋体"/>
                <w:i w:val="0"/>
                <w:iCs w:val="0"/>
                <w:color w:val="000000" w:themeColor="text1"/>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6"/>
                <w:sz w:val="24"/>
                <w:szCs w:val="24"/>
                <w:highlight w:val="none"/>
                <w14:textFill>
                  <w14:solidFill>
                    <w14:schemeClr w14:val="tx1"/>
                  </w14:solidFill>
                </w14:textFill>
              </w:rPr>
              <w:t>人</w:t>
            </w:r>
            <w:r>
              <w:rPr>
                <w:rFonts w:hint="eastAsia" w:ascii="宋体" w:hAnsi="宋体" w:eastAsia="宋体" w:cs="宋体"/>
                <w:i w:val="0"/>
                <w:iCs w:val="0"/>
                <w:color w:val="000000" w:themeColor="text1"/>
                <w:spacing w:val="-59"/>
                <w:sz w:val="24"/>
                <w:szCs w:val="24"/>
                <w:highlight w:val="none"/>
                <w:lang w:val="en-US" w:eastAsia="zh-CN"/>
                <w14:textFill>
                  <w14:solidFill>
                    <w14:schemeClr w14:val="tx1"/>
                  </w14:solidFill>
                </w14:textFill>
              </w:rPr>
              <w:t>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498" w:type="dxa"/>
            <w:vMerge w:val="restart"/>
            <w:noWrap w:val="0"/>
            <w:textDirection w:val="tbRlV"/>
            <w:vAlign w:val="center"/>
          </w:tcPr>
          <w:p>
            <w:pPr>
              <w:spacing w:before="174" w:line="209"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符</w:t>
            </w:r>
            <w:r>
              <w:rPr>
                <w:rFonts w:hint="eastAsia" w:ascii="宋体" w:hAnsi="宋体" w:eastAsia="宋体" w:cs="宋体"/>
                <w:i w:val="0"/>
                <w:iCs w:val="0"/>
                <w:color w:val="000000" w:themeColor="text1"/>
                <w:spacing w:val="-45"/>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合</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性</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审</w:t>
            </w:r>
          </w:p>
        </w:tc>
        <w:tc>
          <w:tcPr>
            <w:tcW w:w="451" w:type="dxa"/>
            <w:noWrap w:val="0"/>
            <w:vAlign w:val="top"/>
          </w:tcPr>
          <w:p>
            <w:pPr>
              <w:spacing w:before="294" w:line="184" w:lineRule="auto"/>
              <w:ind w:left="20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1</w:t>
            </w:r>
          </w:p>
        </w:tc>
        <w:tc>
          <w:tcPr>
            <w:tcW w:w="5718" w:type="dxa"/>
            <w:noWrap w:val="0"/>
            <w:vAlign w:val="top"/>
          </w:tcPr>
          <w:p>
            <w:pPr>
              <w:spacing w:before="100" w:line="230" w:lineRule="auto"/>
              <w:ind w:left="112" w:right="171" w:firstLine="1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需要提交的证明文件不全，或者不符合招标文件标明的</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证明文件要求的；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before="304" w:line="183" w:lineRule="auto"/>
              <w:ind w:left="18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2</w:t>
            </w:r>
          </w:p>
        </w:tc>
        <w:tc>
          <w:tcPr>
            <w:tcW w:w="5718" w:type="dxa"/>
            <w:noWrap w:val="0"/>
            <w:vAlign w:val="top"/>
          </w:tcPr>
          <w:p>
            <w:pPr>
              <w:spacing w:before="111" w:line="229" w:lineRule="auto"/>
              <w:ind w:left="111" w:right="29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投标文件无法定代表人签字,或未提供法定代表人授权委托书、资格声明书或者填写项目不齐全的；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before="156" w:line="183"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3</w:t>
            </w:r>
          </w:p>
        </w:tc>
        <w:tc>
          <w:tcPr>
            <w:tcW w:w="5718" w:type="dxa"/>
            <w:noWrap w:val="0"/>
            <w:vAlign w:val="top"/>
          </w:tcPr>
          <w:p>
            <w:pPr>
              <w:spacing w:before="118"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投标文件不齐全或者内容虚假的；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2"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line="267"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pPr>
              <w:spacing w:before="78" w:line="183" w:lineRule="auto"/>
              <w:ind w:left="18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4</w:t>
            </w:r>
          </w:p>
        </w:tc>
        <w:tc>
          <w:tcPr>
            <w:tcW w:w="5718" w:type="dxa"/>
            <w:noWrap w:val="0"/>
            <w:vAlign w:val="top"/>
          </w:tcPr>
          <w:p>
            <w:pPr>
              <w:spacing w:before="154" w:line="229" w:lineRule="auto"/>
              <w:ind w:left="112" w:right="45"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投标文件的实质性内容未使用中文表述、意思表述不明</w:t>
            </w:r>
            <w:r>
              <w:rPr>
                <w:rFonts w:hint="eastAsia" w:ascii="宋体" w:hAnsi="宋体" w:eastAsia="宋体" w:cs="宋体"/>
                <w:i w:val="0"/>
                <w:iCs w:val="0"/>
                <w:color w:val="000000" w:themeColor="text1"/>
                <w:spacing w:val="-5"/>
                <w:sz w:val="24"/>
                <w:szCs w:val="24"/>
                <w:highlight w:val="none"/>
                <w14:textFill>
                  <w14:solidFill>
                    <w14:schemeClr w14:val="tx1"/>
                  </w14:solidFill>
                </w14:textFill>
              </w:rPr>
              <w:t>确、前后矛盾或者使用计量单位不符合招标文件要求的；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before="267" w:line="182"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5</w:t>
            </w:r>
          </w:p>
        </w:tc>
        <w:tc>
          <w:tcPr>
            <w:tcW w:w="5718" w:type="dxa"/>
            <w:noWrap w:val="0"/>
            <w:vAlign w:val="top"/>
          </w:tcPr>
          <w:p>
            <w:pPr>
              <w:spacing w:before="71" w:line="230" w:lineRule="auto"/>
              <w:ind w:left="112" w:right="171"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投标人是否提</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供实施</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方案</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及售后服务方案</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，向用户提供满意的技术支持及</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服务；</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before="160" w:line="183" w:lineRule="auto"/>
              <w:ind w:left="18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6</w:t>
            </w:r>
          </w:p>
        </w:tc>
        <w:tc>
          <w:tcPr>
            <w:tcW w:w="5718" w:type="dxa"/>
            <w:noWrap w:val="0"/>
            <w:vAlign w:val="top"/>
          </w:tcPr>
          <w:p>
            <w:pPr>
              <w:spacing w:before="122" w:line="218"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单价及总</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报价是否不高于采购</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需求及采购</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预算额度；</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8"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line="269"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pPr>
              <w:spacing w:before="78" w:line="182" w:lineRule="auto"/>
              <w:ind w:left="19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7</w:t>
            </w:r>
          </w:p>
        </w:tc>
        <w:tc>
          <w:tcPr>
            <w:tcW w:w="5718" w:type="dxa"/>
            <w:noWrap w:val="0"/>
            <w:vAlign w:val="top"/>
          </w:tcPr>
          <w:p>
            <w:pPr>
              <w:spacing w:before="153" w:line="229" w:lineRule="auto"/>
              <w:ind w:left="111" w:right="17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投标报价具有选择性，或者开标价格与投标文件承诺的优惠（折扣）价格不一致的；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before="142" w:line="183" w:lineRule="auto"/>
              <w:ind w:left="18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8</w:t>
            </w:r>
          </w:p>
        </w:tc>
        <w:tc>
          <w:tcPr>
            <w:tcW w:w="5718" w:type="dxa"/>
            <w:noWrap w:val="0"/>
            <w:vAlign w:val="top"/>
          </w:tcPr>
          <w:p>
            <w:pPr>
              <w:spacing w:before="105"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投标有效期等相关条款不能满足招标文件要求的；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3" w:hRule="atLeast"/>
        </w:trPr>
        <w:tc>
          <w:tcPr>
            <w:tcW w:w="498" w:type="dxa"/>
            <w:vMerge w:val="continue"/>
            <w:noWrap w:val="0"/>
            <w:textDirection w:val="tbRlV"/>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line="309"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pPr>
              <w:spacing w:before="78" w:line="183" w:lineRule="auto"/>
              <w:ind w:left="18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9</w:t>
            </w:r>
          </w:p>
        </w:tc>
        <w:tc>
          <w:tcPr>
            <w:tcW w:w="5718" w:type="dxa"/>
            <w:noWrap w:val="0"/>
            <w:vAlign w:val="top"/>
          </w:tcPr>
          <w:p>
            <w:pPr>
              <w:spacing w:before="40" w:line="228" w:lineRule="auto"/>
              <w:ind w:left="111" w:right="171" w:firstLine="4"/>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未实质性响应招标文件要求或者投标文件有招标方不能接受的附加条件的或法律、法规和招标文件规定的其他</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无效情形；</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498" w:type="dxa"/>
            <w:vMerge w:val="continue"/>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451" w:type="dxa"/>
            <w:noWrap w:val="0"/>
            <w:vAlign w:val="top"/>
          </w:tcPr>
          <w:p>
            <w:pPr>
              <w:spacing w:line="268"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pPr>
              <w:spacing w:before="78" w:line="184" w:lineRule="auto"/>
              <w:ind w:left="14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4"/>
                <w:sz w:val="24"/>
                <w:szCs w:val="24"/>
                <w:highlight w:val="none"/>
                <w14:textFill>
                  <w14:solidFill>
                    <w14:schemeClr w14:val="tx1"/>
                  </w14:solidFill>
                </w14:textFill>
              </w:rPr>
              <w:t>10</w:t>
            </w:r>
          </w:p>
        </w:tc>
        <w:tc>
          <w:tcPr>
            <w:tcW w:w="5718" w:type="dxa"/>
            <w:noWrap w:val="0"/>
            <w:vAlign w:val="top"/>
          </w:tcPr>
          <w:p>
            <w:pPr>
              <w:spacing w:before="156" w:line="229" w:lineRule="auto"/>
              <w:ind w:left="114" w:right="171"/>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投标文件标明的响应或偏离与事实不符或伪造证明文件</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等虚假投标的。</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6667" w:type="dxa"/>
            <w:gridSpan w:val="3"/>
            <w:noWrap w:val="0"/>
            <w:vAlign w:val="top"/>
          </w:tcPr>
          <w:p>
            <w:pPr>
              <w:spacing w:before="40" w:line="205" w:lineRule="auto"/>
              <w:ind w:left="2514"/>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结论：合格/不合格</w:t>
            </w: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69"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67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60" w:type="dxa"/>
            <w:noWrap w:val="0"/>
            <w:vAlign w:val="top"/>
          </w:tcPr>
          <w:p>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9436" w:type="dxa"/>
            <w:gridSpan w:val="7"/>
            <w:noWrap w:val="0"/>
            <w:vAlign w:val="top"/>
          </w:tcPr>
          <w:p>
            <w:pPr>
              <w:spacing w:before="40"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评标委员会成员签名：</w:t>
            </w:r>
          </w:p>
          <w:p>
            <w:pPr>
              <w:spacing w:before="27" w:line="205" w:lineRule="auto"/>
              <w:ind w:firstLine="6660" w:firstLineChars="300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9"/>
                <w:sz w:val="24"/>
                <w:szCs w:val="24"/>
                <w:highlight w:val="none"/>
                <w14:textFill>
                  <w14:solidFill>
                    <w14:schemeClr w14:val="tx1"/>
                  </w14:solidFill>
                </w14:textFill>
              </w:rPr>
              <w:t>年</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月</w:t>
            </w:r>
            <w:r>
              <w:rPr>
                <w:rFonts w:hint="eastAsia" w:ascii="宋体" w:hAnsi="宋体" w:eastAsia="宋体" w:cs="宋体"/>
                <w:i w:val="0"/>
                <w:iCs w:val="0"/>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trPr>
        <w:tc>
          <w:tcPr>
            <w:tcW w:w="9436" w:type="dxa"/>
            <w:gridSpan w:val="7"/>
            <w:noWrap w:val="0"/>
            <w:vAlign w:val="top"/>
          </w:tcPr>
          <w:p>
            <w:pPr>
              <w:spacing w:before="41" w:line="229" w:lineRule="auto"/>
              <w:ind w:left="117" w:right="108" w:firstLine="1"/>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备注：如果投标文件中有一项未通过上述审查标准，</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评标委员会将认定整个投标文件不响应招</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标文件而予以废标，并且不允许投标人通过修改或撤销其</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不符合要求的差异或保留，使之成为</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具有响应性的投标。</w:t>
            </w:r>
          </w:p>
        </w:tc>
      </w:tr>
    </w:tbl>
    <w:p>
      <w:pPr>
        <w:pStyle w:val="18"/>
        <w:rPr>
          <w:rFonts w:hint="eastAsia" w:ascii="宋体" w:hAnsi="宋体" w:eastAsia="宋体" w:cs="宋体"/>
          <w:color w:val="000000" w:themeColor="text1"/>
          <w:highlight w:val="none"/>
          <w:lang w:eastAsia="zh-CN"/>
          <w14:textFill>
            <w14:solidFill>
              <w14:schemeClr w14:val="tx1"/>
            </w14:solidFill>
          </w14:textFill>
        </w:rPr>
      </w:pP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48" w:name="_Toc31277"/>
      <w:bookmarkStart w:id="249" w:name="_Toc23928"/>
      <w:bookmarkStart w:id="250" w:name="_Toc22486"/>
      <w:bookmarkStart w:id="251" w:name="_Toc13135"/>
      <w:bookmarkStart w:id="252" w:name="_Toc28004"/>
      <w:bookmarkStart w:id="253" w:name="_Toc16365"/>
      <w:bookmarkStart w:id="254" w:name="_Toc32142"/>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评审方法</w:t>
      </w:r>
      <w:bookmarkEnd w:id="248"/>
      <w:bookmarkEnd w:id="249"/>
      <w:bookmarkEnd w:id="250"/>
      <w:bookmarkEnd w:id="251"/>
      <w:bookmarkEnd w:id="252"/>
      <w:bookmarkEnd w:id="253"/>
      <w:bookmarkEnd w:id="254"/>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采用的</w:t>
      </w:r>
      <w:r>
        <w:rPr>
          <w:rFonts w:hint="eastAsia" w:ascii="宋体" w:hAnsi="宋体" w:eastAsia="宋体" w:cs="宋体"/>
          <w:color w:val="000000" w:themeColor="text1"/>
          <w:sz w:val="24"/>
          <w:szCs w:val="24"/>
          <w:highlight w:val="none"/>
          <w:lang w:eastAsia="zh-CN"/>
          <w14:textFill>
            <w14:solidFill>
              <w14:schemeClr w14:val="tx1"/>
            </w14:solidFill>
          </w14:textFill>
        </w:rPr>
        <w:t>评审</w:t>
      </w:r>
      <w:r>
        <w:rPr>
          <w:rFonts w:hint="eastAsia" w:ascii="宋体" w:hAnsi="宋体" w:eastAsia="宋体" w:cs="宋体"/>
          <w:color w:val="000000" w:themeColor="text1"/>
          <w:sz w:val="24"/>
          <w:szCs w:val="24"/>
          <w:highlight w:val="none"/>
          <w14:textFill>
            <w14:solidFill>
              <w14:schemeClr w14:val="tx1"/>
            </w14:solidFill>
          </w14:textFill>
        </w:rPr>
        <w:t>方式:最低</w:t>
      </w:r>
      <w:r>
        <w:rPr>
          <w:rFonts w:hint="eastAsia" w:ascii="宋体" w:hAnsi="宋体" w:eastAsia="宋体" w:cs="宋体"/>
          <w:color w:val="000000" w:themeColor="text1"/>
          <w:sz w:val="24"/>
          <w:szCs w:val="24"/>
          <w:highlight w:val="none"/>
          <w:lang w:eastAsia="zh-CN"/>
          <w14:textFill>
            <w14:solidFill>
              <w14:schemeClr w14:val="tx1"/>
            </w14:solidFill>
          </w14:textFill>
        </w:rPr>
        <w:t>评标</w:t>
      </w:r>
      <w:r>
        <w:rPr>
          <w:rFonts w:hint="eastAsia" w:ascii="宋体" w:hAnsi="宋体" w:eastAsia="宋体" w:cs="宋体"/>
          <w:color w:val="000000" w:themeColor="text1"/>
          <w:sz w:val="24"/>
          <w:szCs w:val="24"/>
          <w:highlight w:val="none"/>
          <w14:textFill>
            <w14:solidFill>
              <w14:schemeClr w14:val="tx1"/>
            </w14:solidFill>
          </w14:textFill>
        </w:rPr>
        <w:t>价法</w:t>
      </w:r>
      <w:r>
        <w:rPr>
          <w:rFonts w:hint="eastAsia" w:ascii="宋体" w:hAnsi="宋体" w:eastAsia="宋体" w:cs="宋体"/>
          <w:color w:val="000000" w:themeColor="text1"/>
          <w:sz w:val="24"/>
          <w:szCs w:val="24"/>
          <w:highlight w:val="none"/>
          <w:lang w:eastAsia="zh-CN"/>
          <w14:textFill>
            <w14:solidFill>
              <w14:schemeClr w14:val="tx1"/>
            </w14:solidFill>
          </w14:textFill>
        </w:rPr>
        <w:t>，是指以价格为主要因素确定成交供应商的评审方法。即在全部满足</w:t>
      </w: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lang w:eastAsia="zh-CN"/>
          <w14:textFill>
            <w14:solidFill>
              <w14:schemeClr w14:val="tx1"/>
            </w14:solidFill>
          </w14:textFill>
        </w:rPr>
        <w:t>实质性要求，且采购需求、质量和服务相等的前提下，依据统一的价格要素评定最低报价，第一轮审查投标供应商的响应文件，响应文件报价为供应商第一次报价，第二轮投标供应商提供的技术参数满足竞争性谈判文件要求的技术参数</w:t>
      </w:r>
      <w:r>
        <w:rPr>
          <w:rFonts w:hint="eastAsia" w:ascii="宋体" w:hAnsi="宋体" w:eastAsia="宋体" w:cs="宋体"/>
          <w:color w:val="000000" w:themeColor="text1"/>
          <w:sz w:val="24"/>
          <w:szCs w:val="24"/>
          <w:highlight w:val="none"/>
          <w:lang w:val="en-US" w:eastAsia="zh-CN"/>
          <w14:textFill>
            <w14:solidFill>
              <w14:schemeClr w14:val="tx1"/>
            </w14:solidFill>
          </w14:textFill>
        </w:rPr>
        <w:t>的</w:t>
      </w:r>
      <w:r>
        <w:rPr>
          <w:rFonts w:hint="eastAsia" w:ascii="宋体" w:hAnsi="宋体" w:eastAsia="宋体" w:cs="宋体"/>
          <w:color w:val="000000" w:themeColor="text1"/>
          <w:sz w:val="24"/>
          <w:szCs w:val="24"/>
          <w:highlight w:val="none"/>
          <w:lang w:eastAsia="zh-CN"/>
          <w14:textFill>
            <w14:solidFill>
              <w14:schemeClr w14:val="tx1"/>
            </w14:solidFill>
          </w14:textFill>
        </w:rPr>
        <w:t>供应商进行第二次报价，第二轮为供应商最终报价，按最终报价由低到高的顺序排序，确定成交供应商或推荐成交候选人的评审方法。</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55" w:name="_Toc17031"/>
      <w:bookmarkStart w:id="256" w:name="_Toc30619"/>
      <w:bookmarkStart w:id="257" w:name="_Toc7987"/>
      <w:bookmarkStart w:id="258" w:name="_Toc494"/>
      <w:bookmarkStart w:id="259" w:name="_Toc5791"/>
      <w:bookmarkStart w:id="260" w:name="_Toc7692"/>
      <w:bookmarkStart w:id="261" w:name="_Toc22111"/>
      <w:bookmarkStart w:id="262" w:name="_Toc8090"/>
      <w:bookmarkStart w:id="263" w:name="_Toc6742"/>
      <w:r>
        <w:rPr>
          <w:rFonts w:hint="eastAsia" w:ascii="宋体" w:hAnsi="宋体" w:eastAsia="宋体" w:cs="宋体"/>
          <w:color w:val="000000" w:themeColor="text1"/>
          <w:sz w:val="24"/>
          <w:szCs w:val="24"/>
          <w:highlight w:val="none"/>
          <w:lang w:val="en-US" w:eastAsia="zh-CN"/>
          <w14:textFill>
            <w14:solidFill>
              <w14:schemeClr w14:val="tx1"/>
            </w14:solidFill>
          </w14:textFill>
        </w:rPr>
        <w:t>3.评审标准</w:t>
      </w:r>
      <w:bookmarkEnd w:id="255"/>
      <w:bookmarkEnd w:id="256"/>
      <w:bookmarkEnd w:id="257"/>
      <w:bookmarkEnd w:id="258"/>
      <w:bookmarkEnd w:id="259"/>
      <w:bookmarkEnd w:id="260"/>
      <w:bookmarkEnd w:id="261"/>
      <w:bookmarkEnd w:id="262"/>
      <w:bookmarkEnd w:id="263"/>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.1初步评审标准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.1.1资格性审查：评标办法前附表</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.1.2符合性审查：评标办法前附表</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64" w:name="_Toc18891"/>
      <w:bookmarkStart w:id="265" w:name="_Toc1119"/>
      <w:bookmarkStart w:id="266" w:name="_Toc3869"/>
      <w:bookmarkStart w:id="267" w:name="_Toc21244"/>
      <w:bookmarkStart w:id="268" w:name="_Toc24175"/>
      <w:bookmarkStart w:id="269" w:name="_Toc24665"/>
      <w:bookmarkStart w:id="270" w:name="_Toc12165"/>
      <w:bookmarkStart w:id="271" w:name="_Toc27928"/>
      <w:bookmarkStart w:id="272" w:name="_Toc1974"/>
      <w:r>
        <w:rPr>
          <w:rFonts w:hint="eastAsia" w:ascii="宋体" w:hAnsi="宋体" w:eastAsia="宋体" w:cs="宋体"/>
          <w:color w:val="000000" w:themeColor="text1"/>
          <w:sz w:val="24"/>
          <w:szCs w:val="24"/>
          <w:highlight w:val="none"/>
          <w:lang w:val="en-US" w:eastAsia="zh-CN"/>
          <w14:textFill>
            <w14:solidFill>
              <w14:schemeClr w14:val="tx1"/>
            </w14:solidFill>
          </w14:textFill>
        </w:rPr>
        <w:t>4.评审程序</w:t>
      </w:r>
      <w:bookmarkEnd w:id="264"/>
      <w:bookmarkEnd w:id="265"/>
      <w:bookmarkEnd w:id="266"/>
      <w:bookmarkEnd w:id="267"/>
      <w:bookmarkEnd w:id="268"/>
      <w:bookmarkEnd w:id="269"/>
      <w:bookmarkEnd w:id="270"/>
      <w:bookmarkEnd w:id="271"/>
      <w:bookmarkEnd w:id="272"/>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.1初步评审</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可以要求</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提交第二章“</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须知”第</w:t>
      </w: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项规定的有关证明和证件的原件，以便核验。</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依据本章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评审办法</w:t>
      </w:r>
      <w:r>
        <w:rPr>
          <w:rFonts w:hint="eastAsia" w:ascii="宋体" w:hAnsi="宋体" w:eastAsia="宋体" w:cs="宋体"/>
          <w:color w:val="000000" w:themeColor="text1"/>
          <w:sz w:val="24"/>
          <w:szCs w:val="24"/>
          <w:highlight w:val="none"/>
          <w14:textFill>
            <w14:solidFill>
              <w14:schemeClr w14:val="tx1"/>
            </w14:solidFill>
          </w14:textFill>
        </w:rPr>
        <w:t>规定的标准对</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进行初步评审。有一项不符合评审标准的，作废标处理。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.1.2</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有以下情形之一的，其投标作废标处理：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（1）串通投标或弄虚作假或有其他违法行为的；</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（2）不按</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要求澄清、说明或补正的。</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（3）投标函中投标报价与工程量汇总价不一致时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（4）提供虚假资料的其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在开标时资格审查时递交的法人授权委托书公证件原件，其内容应与资格预审、</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的内容一致，其中委托代理人均为同一人，不一致作废标处理。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认定</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以低于成本报价竞标的。</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附有</w:t>
      </w:r>
      <w:r>
        <w:rPr>
          <w:rFonts w:hint="eastAsia" w:ascii="宋体" w:hAnsi="宋体" w:eastAsia="宋体" w:cs="宋体"/>
          <w:color w:val="000000" w:themeColor="text1"/>
          <w:sz w:val="24"/>
          <w:szCs w:val="24"/>
          <w:highlight w:val="none"/>
          <w:lang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不能接受的条件。</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偏离</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实质性要求和条件的。</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（9）一个</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递交两份或多分内容不同的</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，或在一份</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中对同一招标项目有两个或多个报价，且未声明哪一个报价有效的。</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.1.3投标报价有算术错误的，</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按以下原则对投标报价进行修正，修正的价格经</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书面确认后具有约束力。</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不接受修正价格的，其投标作废标处理。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中的大写金额与小写金额不一致的，以大写金额为准；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（2）总价金额与依据单价计算出的结果不一致的，以单价金额为准修正总价，但单价金额小数点有明显错误的除外。</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.2详细评审</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由谈判小组与供应商进行谈判，供应商进行二轮报价。第一轮报价为响应文件内报价，第二轮报价所有供应商同时报价。以最后一轮的最终报价由低到高进行排序，谈判小组推荐报价最低的三名供应商为成交候选人推荐给招标人，由招标人确定一名供应商为成交供应商。</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4.3</w:t>
      </w:r>
      <w:r>
        <w:rPr>
          <w:rFonts w:hint="eastAsia" w:ascii="宋体" w:hAnsi="宋体" w:eastAsia="宋体" w:cs="宋体"/>
          <w:color w:val="000000" w:themeColor="text1"/>
          <w:sz w:val="24"/>
          <w:szCs w:val="24"/>
          <w:highlight w:val="none"/>
          <w14:textFill>
            <w14:solidFill>
              <w14:schemeClr w14:val="tx1"/>
            </w14:solidFill>
          </w14:textFill>
        </w:rPr>
        <w:t>、谈判结束，主持人公布谈判结果。</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w:t>
      </w:r>
      <w:r>
        <w:rPr>
          <w:rFonts w:hint="eastAsia" w:ascii="宋体" w:hAnsi="宋体" w:eastAsia="宋体" w:cs="宋体"/>
          <w:color w:val="000000" w:themeColor="text1"/>
          <w:sz w:val="24"/>
          <w:szCs w:val="24"/>
          <w:highlight w:val="none"/>
          <w14:textFill>
            <w14:solidFill>
              <w14:schemeClr w14:val="tx1"/>
            </w14:solidFill>
          </w14:textFill>
        </w:rPr>
        <w:t>、谈判中的注意事项：</w:t>
      </w:r>
    </w:p>
    <w:p>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谈判时由谈判小组所有成员集中与单一供应商分别进行谈判。谈判中，谈判的任何一方不得透露与谈判有关的其他供应商的技术资料、价格和其他信息；</w:t>
      </w:r>
    </w:p>
    <w:p>
      <w:pPr>
        <w:spacing w:after="156" w:afterLines="50" w:line="360" w:lineRule="auto"/>
        <w:ind w:firstLine="480" w:firstLineChars="200"/>
        <w:outlineLvl w:val="0"/>
        <w:rPr>
          <w:rFonts w:hint="eastAsia" w:ascii="宋体" w:hAnsi="宋体" w:eastAsia="宋体" w:cs="宋体"/>
          <w:color w:val="000000" w:themeColor="text1"/>
          <w:sz w:val="24"/>
          <w:szCs w:val="24"/>
          <w:highlight w:val="none"/>
          <w14:textFill>
            <w14:solidFill>
              <w14:schemeClr w14:val="tx1"/>
            </w14:solidFill>
          </w14:textFill>
        </w:rPr>
      </w:pPr>
      <w:bookmarkStart w:id="273" w:name="_Toc16081"/>
      <w:r>
        <w:rPr>
          <w:rFonts w:hint="eastAsia" w:ascii="宋体" w:hAnsi="宋体" w:eastAsia="宋体" w:cs="宋体"/>
          <w:color w:val="000000" w:themeColor="text1"/>
          <w:sz w:val="24"/>
          <w:szCs w:val="24"/>
          <w:highlight w:val="none"/>
          <w14:textFill>
            <w14:solidFill>
              <w14:schemeClr w14:val="tx1"/>
            </w14:solidFill>
          </w14:textFill>
        </w:rPr>
        <w:t>谈判文件有实质性变动的，谈判小组应当以书面形式通知参加谈判的供应商。</w:t>
      </w:r>
      <w:bookmarkEnd w:id="273"/>
    </w:p>
    <w:p>
      <w:pPr>
        <w:numPr>
          <w:ilvl w:val="0"/>
          <w:numId w:val="2"/>
        </w:num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274" w:name="_Toc26554"/>
      <w:bookmarkStart w:id="275" w:name="_Toc1903"/>
      <w:bookmarkStart w:id="276" w:name="_Toc27584"/>
      <w:bookmarkStart w:id="277" w:name="_Toc464831170"/>
      <w:bookmarkStart w:id="278" w:name="_Toc8936"/>
      <w:bookmarkStart w:id="279" w:name="_Toc30916"/>
      <w:bookmarkStart w:id="280" w:name="_Toc25211"/>
      <w:bookmarkStart w:id="281" w:name="_Toc9296"/>
      <w:bookmarkStart w:id="282" w:name="_Toc7354"/>
      <w:r>
        <w:rPr>
          <w:rFonts w:hint="eastAsia" w:ascii="宋体" w:hAnsi="宋体" w:eastAsia="宋体" w:cs="宋体"/>
          <w:b/>
          <w:bCs/>
          <w:color w:val="000000" w:themeColor="text1"/>
          <w:sz w:val="36"/>
          <w:szCs w:val="36"/>
          <w:highlight w:val="none"/>
          <w14:textFill>
            <w14:solidFill>
              <w14:schemeClr w14:val="tx1"/>
            </w14:solidFill>
          </w14:textFill>
        </w:rPr>
        <w:t xml:space="preserve"> </w:t>
      </w:r>
      <w:bookmarkStart w:id="283" w:name="_Toc14261"/>
      <w:r>
        <w:rPr>
          <w:rFonts w:hint="eastAsia" w:ascii="宋体" w:hAnsi="宋体" w:eastAsia="宋体" w:cs="宋体"/>
          <w:b/>
          <w:bCs/>
          <w:color w:val="000000" w:themeColor="text1"/>
          <w:sz w:val="36"/>
          <w:szCs w:val="36"/>
          <w:highlight w:val="none"/>
          <w14:textFill>
            <w14:solidFill>
              <w14:schemeClr w14:val="tx1"/>
            </w14:solidFill>
          </w14:textFill>
        </w:rPr>
        <w:t>签订合同、合同主要条款</w:t>
      </w:r>
      <w:bookmarkEnd w:id="274"/>
      <w:bookmarkEnd w:id="275"/>
      <w:bookmarkEnd w:id="276"/>
      <w:bookmarkEnd w:id="277"/>
      <w:bookmarkEnd w:id="278"/>
      <w:bookmarkEnd w:id="279"/>
      <w:bookmarkEnd w:id="280"/>
      <w:bookmarkEnd w:id="281"/>
      <w:bookmarkEnd w:id="282"/>
      <w:bookmarkEnd w:id="283"/>
    </w:p>
    <w:p>
      <w:pPr>
        <w:pStyle w:val="18"/>
        <w:numPr>
          <w:ilvl w:val="0"/>
          <w:numId w:val="0"/>
        </w:numPr>
        <w:ind w:leftChars="400"/>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具体以与甲方签订的合同为准</w:t>
      </w:r>
    </w:p>
    <w:p>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4" w:name="_Toc19560"/>
      <w:bookmarkStart w:id="285" w:name="_Toc6231"/>
      <w:bookmarkStart w:id="286" w:name="_Toc32716"/>
      <w:r>
        <w:rPr>
          <w:rFonts w:hint="eastAsia" w:ascii="宋体" w:hAnsi="宋体" w:eastAsia="宋体" w:cs="宋体"/>
          <w:b/>
          <w:color w:val="000000" w:themeColor="text1"/>
          <w:sz w:val="28"/>
          <w:szCs w:val="28"/>
          <w:highlight w:val="none"/>
          <w14:textFill>
            <w14:solidFill>
              <w14:schemeClr w14:val="tx1"/>
            </w14:solidFill>
          </w14:textFill>
        </w:rPr>
        <w:t>第一节  通用合同条款</w:t>
      </w:r>
      <w:bookmarkEnd w:id="284"/>
      <w:bookmarkEnd w:id="285"/>
      <w:bookmarkEnd w:id="286"/>
    </w:p>
    <w:p>
      <w:pPr>
        <w:jc w:val="center"/>
        <w:rPr>
          <w:rFonts w:hint="eastAsia" w:ascii="宋体" w:hAnsi="宋体" w:eastAsia="宋体" w:cs="宋体"/>
          <w:color w:val="000000" w:themeColor="text1"/>
          <w:sz w:val="28"/>
          <w:szCs w:val="28"/>
          <w:highlight w:val="none"/>
          <w14:textFill>
            <w14:solidFill>
              <w14:schemeClr w14:val="tx1"/>
            </w14:solidFill>
          </w14:textFill>
        </w:rPr>
      </w:pP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通用合同条款直接引用中国计划出版社出版的中华人民共和国《标准施工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》(2007版)第一卷第四章第一节“通用合同条款”(第41页至第81页)。</w:t>
      </w:r>
    </w:p>
    <w:p>
      <w:pPr>
        <w:pStyle w:val="31"/>
        <w:spacing w:line="240" w:lineRule="auto"/>
        <w:ind w:firstLine="2811" w:firstLineChars="1000"/>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pPr>
        <w:pStyle w:val="31"/>
        <w:spacing w:line="240" w:lineRule="auto"/>
        <w:ind w:firstLine="2811" w:firstLineChars="1000"/>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7" w:name="_Toc19904"/>
      <w:bookmarkStart w:id="288" w:name="_Toc703"/>
      <w:bookmarkStart w:id="289" w:name="_Toc3743"/>
      <w:r>
        <w:rPr>
          <w:rFonts w:hint="eastAsia" w:ascii="宋体" w:hAnsi="宋体" w:eastAsia="宋体" w:cs="宋体"/>
          <w:b/>
          <w:color w:val="000000" w:themeColor="text1"/>
          <w:sz w:val="28"/>
          <w:szCs w:val="28"/>
          <w:highlight w:val="none"/>
          <w14:textFill>
            <w14:solidFill>
              <w14:schemeClr w14:val="tx1"/>
            </w14:solidFill>
          </w14:textFill>
        </w:rPr>
        <w:t>第二节  专用合同条款</w:t>
      </w:r>
      <w:bookmarkEnd w:id="287"/>
      <w:bookmarkEnd w:id="288"/>
      <w:bookmarkEnd w:id="289"/>
    </w:p>
    <w:p>
      <w:pPr>
        <w:jc w:val="center"/>
        <w:rPr>
          <w:rFonts w:hint="eastAsia" w:ascii="宋体" w:hAnsi="宋体" w:eastAsia="宋体" w:cs="宋体"/>
          <w:color w:val="000000" w:themeColor="text1"/>
          <w:sz w:val="28"/>
          <w:szCs w:val="28"/>
          <w:highlight w:val="none"/>
          <w14:textFill>
            <w14:solidFill>
              <w14:schemeClr w14:val="tx1"/>
            </w14:solidFill>
          </w14:textFill>
        </w:rPr>
      </w:pPr>
    </w:p>
    <w:p>
      <w:pPr>
        <w:jc w:val="center"/>
        <w:rPr>
          <w:rFonts w:hint="eastAsia" w:ascii="宋体" w:hAnsi="宋体" w:eastAsia="宋体" w:cs="宋体"/>
          <w:color w:val="000000" w:themeColor="text1"/>
          <w:sz w:val="28"/>
          <w:szCs w:val="28"/>
          <w:highlight w:val="none"/>
          <w14:textFill>
            <w14:solidFill>
              <w14:schemeClr w14:val="tx1"/>
            </w14:solidFill>
          </w14:textFill>
        </w:rPr>
      </w:pPr>
    </w:p>
    <w:p>
      <w:pPr>
        <w:ind w:firstLine="437"/>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专用合同条款参照中华人民共和国房屋建筑和市政工程标准施工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2010年版第一卷第四章第二节“专用合同条款”(第103页至第129页)。</w:t>
      </w:r>
    </w:p>
    <w:p>
      <w:pPr>
        <w:jc w:val="both"/>
        <w:rPr>
          <w:rFonts w:hint="eastAsia" w:ascii="宋体" w:hAnsi="宋体" w:eastAsia="宋体" w:cs="宋体"/>
          <w:b/>
          <w:color w:val="000000" w:themeColor="text1"/>
          <w:sz w:val="24"/>
          <w:szCs w:val="24"/>
          <w:highlight w:val="none"/>
          <w14:textFill>
            <w14:solidFill>
              <w14:schemeClr w14:val="tx1"/>
            </w14:solidFill>
          </w14:textFill>
        </w:rPr>
      </w:pPr>
    </w:p>
    <w:p>
      <w:pPr>
        <w:pStyle w:val="2"/>
        <w:outlineLvl w:val="9"/>
        <w:rPr>
          <w:rFonts w:hint="eastAsia" w:ascii="宋体" w:hAnsi="宋体" w:eastAsia="宋体" w:cs="宋体"/>
          <w:color w:val="000000" w:themeColor="text1"/>
          <w:sz w:val="28"/>
          <w:szCs w:val="28"/>
          <w:highlight w:val="none"/>
          <w14:textFill>
            <w14:solidFill>
              <w14:schemeClr w14:val="tx1"/>
            </w14:solidFill>
          </w14:textFill>
        </w:rPr>
      </w:pPr>
    </w:p>
    <w:p>
      <w:pPr>
        <w:jc w:val="both"/>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第三节  合同附件格式</w:t>
      </w:r>
    </w:p>
    <w:p>
      <w:pPr>
        <w:rPr>
          <w:rFonts w:hint="eastAsia" w:ascii="宋体" w:hAnsi="宋体" w:eastAsia="宋体" w:cs="宋体"/>
          <w:color w:val="000000" w:themeColor="text1"/>
          <w:sz w:val="28"/>
          <w:szCs w:val="28"/>
          <w:highlight w:val="none"/>
          <w14:textFill>
            <w14:solidFill>
              <w14:schemeClr w14:val="tx1"/>
            </w14:solidFill>
          </w14:textFill>
        </w:rPr>
      </w:pP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一：合同协议书</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附件一：房屋建筑工程质量保修书</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附件二：承包人提供的材料和工程设备一览表</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附件三：发包人提供的材料和工程设备一览表</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附件四：建设工程廉政责任书</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二：保函书</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附件一：承包人履约保函</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附件二：发包人预付款担保</w:t>
      </w:r>
    </w:p>
    <w:p>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附件三：发包人支付保函</w:t>
      </w:r>
    </w:p>
    <w:p>
      <w:pPr>
        <w:ind w:left="480"/>
        <w:rPr>
          <w:rFonts w:hint="eastAsia" w:ascii="宋体" w:hAnsi="宋体" w:eastAsia="宋体" w:cs="宋体"/>
          <w:color w:val="000000" w:themeColor="text1"/>
          <w:sz w:val="28"/>
          <w:szCs w:val="28"/>
          <w:highlight w:val="none"/>
          <w14:textFill>
            <w14:solidFill>
              <w14:schemeClr w14:val="tx1"/>
            </w14:solidFill>
          </w14:textFill>
        </w:rPr>
      </w:pPr>
    </w:p>
    <w:p>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pPr>
        <w:pStyle w:val="18"/>
        <w:rPr>
          <w:rFonts w:hint="eastAsia" w:ascii="宋体" w:hAnsi="宋体" w:eastAsia="宋体" w:cs="宋体"/>
          <w:color w:val="000000" w:themeColor="text1"/>
          <w:sz w:val="28"/>
          <w:szCs w:val="28"/>
          <w:highlight w:val="none"/>
          <w14:textFill>
            <w14:solidFill>
              <w14:schemeClr w14:val="tx1"/>
            </w14:solidFill>
          </w14:textFill>
        </w:rPr>
      </w:pPr>
    </w:p>
    <w:p>
      <w:pPr>
        <w:pStyle w:val="18"/>
        <w:rPr>
          <w:rFonts w:hint="eastAsia" w:ascii="宋体" w:hAnsi="宋体" w:eastAsia="宋体" w:cs="宋体"/>
          <w:color w:val="000000" w:themeColor="text1"/>
          <w:sz w:val="28"/>
          <w:szCs w:val="28"/>
          <w:highlight w:val="none"/>
          <w14:textFill>
            <w14:solidFill>
              <w14:schemeClr w14:val="tx1"/>
            </w14:solidFill>
          </w14:textFill>
        </w:rPr>
      </w:pPr>
    </w:p>
    <w:p>
      <w:pPr>
        <w:pStyle w:val="18"/>
        <w:rPr>
          <w:rFonts w:hint="eastAsia" w:ascii="宋体" w:hAnsi="宋体" w:eastAsia="宋体" w:cs="宋体"/>
          <w:color w:val="000000" w:themeColor="text1"/>
          <w:sz w:val="28"/>
          <w:szCs w:val="28"/>
          <w:highlight w:val="none"/>
          <w14:textFill>
            <w14:solidFill>
              <w14:schemeClr w14:val="tx1"/>
            </w14:solidFill>
          </w14:textFill>
        </w:rPr>
      </w:pPr>
    </w:p>
    <w:p>
      <w:pPr>
        <w:pStyle w:val="18"/>
        <w:rPr>
          <w:rFonts w:hint="eastAsia" w:ascii="宋体" w:hAnsi="宋体" w:eastAsia="宋体" w:cs="宋体"/>
          <w:color w:val="000000" w:themeColor="text1"/>
          <w:sz w:val="28"/>
          <w:szCs w:val="28"/>
          <w:highlight w:val="none"/>
          <w14:textFill>
            <w14:solidFill>
              <w14:schemeClr w14:val="tx1"/>
            </w14:solidFill>
          </w14:textFill>
        </w:rPr>
      </w:pPr>
    </w:p>
    <w:p>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一、合同协议书</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bCs/>
          <w:color w:val="000000" w:themeColor="text1"/>
          <w:spacing w:val="10"/>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pacing w:val="10"/>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承包人(全称）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ind w:right="-512" w:rightChars="-244"/>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发包人为建设</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(以下简称“本工程”)，已接受承包人提出的承担本工程的施工、竣工、交付并维修其任何缺陷的投标。依照《中华人民共和国</w:t>
      </w:r>
      <w:r>
        <w:rPr>
          <w:rFonts w:hint="eastAsia" w:ascii="宋体" w:hAnsi="宋体" w:eastAsia="宋体" w:cs="宋体"/>
          <w:bCs/>
          <w:color w:val="000000" w:themeColor="text1"/>
          <w:sz w:val="24"/>
          <w:szCs w:val="24"/>
          <w:highlight w:val="none"/>
          <w:lang w:eastAsia="zh-CN"/>
          <w14:textFill>
            <w14:solidFill>
              <w14:schemeClr w14:val="tx1"/>
            </w14:solidFill>
          </w14:textFill>
        </w:rPr>
        <w:t>采购</w:t>
      </w:r>
      <w:r>
        <w:rPr>
          <w:rFonts w:hint="eastAsia" w:ascii="宋体" w:hAnsi="宋体" w:eastAsia="宋体" w:cs="宋体"/>
          <w:bCs/>
          <w:color w:val="000000" w:themeColor="text1"/>
          <w:sz w:val="24"/>
          <w:szCs w:val="24"/>
          <w:highlight w:val="none"/>
          <w14:textFill>
            <w14:solidFill>
              <w14:schemeClr w14:val="tx1"/>
            </w14:solidFill>
          </w14:textFill>
        </w:rPr>
        <w:t>投标法》、《中华人民共和国合同法》、《中华人民共和国建筑法》、及其他有关法律、行政法规，遵循平等、自愿、公平和诚实信用的原则，双方共同达成并订立如下协议。</w:t>
      </w:r>
    </w:p>
    <w:p>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一、工程概况</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标段</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工程内容：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群体工程应附“承包人承揽工程项目一览表”(附件2)</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工程立项批准文号：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资金来源：</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二、工程承包范围</w:t>
      </w:r>
    </w:p>
    <w:p>
      <w:pPr>
        <w:ind w:firstLine="480" w:firstLineChars="200"/>
        <w:rPr>
          <w:rFonts w:hint="eastAsia" w:ascii="宋体" w:hAnsi="宋体" w:eastAsia="宋体" w:cs="宋体"/>
          <w:b/>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承包范围：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详细承包范围见第七章“技术标准和要求”。</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三、合同工期</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计划开工日期：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计划竣工日期：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工期总日历天数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天，自监理人发出的开工通知中载明的开工日期起算。</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四、质量标准</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工程质量标准：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合格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五、合同形式</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本合同采用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合同形式。</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六、签约合同价</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金额(大写）：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元(人民币)(小写)￥：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其中：安全文明施工费：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元，规费：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人工费：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元，暂列金额：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元（其中计日工金额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元），专业工程暂估价：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七、承包人项目负责人：</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职称：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；身份证号：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建造师执业资格证书号：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；建造师注册证书号：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。建造师执业印章号：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八、合同文件的组成</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下列文件共同构成合同文件：</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1、本协议书；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2、中标通知书；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3、投标函及投标函附录；</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4、专用合同条款；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5、通用合同条款；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6、技术标准和要求；</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7、图纸；</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8、已标价工程量清单；</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9、其他合同文件。</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上述文件互相补充和解释，如有不明确或不一致之处，以合同约定次序在先者为准。</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九、本协议书中有关词语定义与合同条款中的定义相同。</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十、承包人承诺按照合同约定进行施工、竣工、交付并在缺陷责任期内对工程缺陷承担维修责任。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十一、发包人承诺按照合同约定的条件、期限和方式向承包人支付合同价款。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十二、本协议书连同其他合同文件正本一式两份，合同双方各执一份；副本一式</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十份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份，其中一份在合同报送建设行政主管部门备案时留存。</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十三、合同未尽事宜，双方另行签订补充协议，但不得背离本协议第八条所约定的合同文件的实质性内容。补充协议是合同文件的组成部分。</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pP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pP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签约地点：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附件1：</w:t>
      </w:r>
    </w:p>
    <w:p>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房屋建筑工程质量保修书</w:t>
      </w:r>
    </w:p>
    <w:p>
      <w:pPr>
        <w:jc w:val="center"/>
        <w:rPr>
          <w:rFonts w:hint="eastAsia" w:ascii="宋体" w:hAnsi="宋体" w:eastAsia="宋体" w:cs="宋体"/>
          <w:color w:val="000000" w:themeColor="text1"/>
          <w:sz w:val="28"/>
          <w:szCs w:val="28"/>
          <w:highlight w:val="none"/>
          <w14:textFill>
            <w14:solidFill>
              <w14:schemeClr w14:val="tx1"/>
            </w14:solidFill>
          </w14:textFill>
        </w:rPr>
      </w:pP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发包人、承包人根据《中华人民共和国建筑法》、《建设工程质量管理条例》和《房屋建筑工程质量保修办法》，经协商一致，对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(工程名称)签订保修书。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一、工程保修范围和内容</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承包人在保修期内，按照有关法律、法规、规章的管理规定和双方约定，承担本工程保修责任。</w:t>
      </w:r>
    </w:p>
    <w:p>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保修责任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二、保修期</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双方根据《建设工程质量管理条例》及有关规定，在正常使用条件下约定本工程的保修期如下：</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1、基础设施工程、房屋建筑的地基基础工程和主体结构工程，为设计文件规定的该工程合理使用年限；</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2、屋面防水工程、有防水要求的卫生间、房间和外墙面的防渗漏为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5  </w:t>
      </w:r>
      <w:r>
        <w:rPr>
          <w:rFonts w:hint="eastAsia" w:ascii="宋体" w:hAnsi="宋体" w:eastAsia="宋体" w:cs="宋体"/>
          <w:color w:val="000000" w:themeColor="text1"/>
          <w:sz w:val="24"/>
          <w:szCs w:val="24"/>
          <w:highlight w:val="none"/>
          <w14:textFill>
            <w14:solidFill>
              <w14:schemeClr w14:val="tx1"/>
            </w14:solidFill>
          </w14:textFill>
        </w:rPr>
        <w:t>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3、电气管线、给排水管道、设备安装和装修工程为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4、供热与供冷系统为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个采暖期、供冷期；</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5、住宅小区内的给排水设施、道路等配套工程为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pPr>
        <w:ind w:firstLine="528" w:firstLineChars="22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6、其他项目保修期限约定如下：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三、保修责任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1、属于责任范围、内容的项目，承包人应当在接到保修通知之日起7天内派人保修。承包人不在约定期限内派人保修的，发包人可以委托他人修理。保修费用从质量保修金内扣除。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2、发生紧急抢修事故的，承包人在接到事故通知后，应当立即到达事故现场抢修。非承包人施工质量引起的事故，抢修费用由发包人承担。</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4、质量保修完成后，由发包人组织验收。</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 在保修期内，由于工程质量缺陷或因保修不及时造成财产、人身损害，由承包人承担赔偿责任。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 在国家规定的工程合理使用期限内，承包人确保地基基础工程和主体结构的质量。因承包人原因致使工程在合理使用期限内造成人身和财产损害的，承包人应承担赔偿责任。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四、保修费用</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1、保修费用由造成质量缺陷的责任方承担。</w:t>
      </w:r>
    </w:p>
    <w:p>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2、本工程双方约定承包人向发包人支付工程质量保修金金额为工程竣工结算价款的</w:t>
      </w:r>
      <w:r>
        <w:rPr>
          <w:rFonts w:hint="eastAsia" w:ascii="宋体" w:hAnsi="宋体" w:eastAsia="宋体" w:cs="宋体"/>
          <w:color w:val="000000" w:themeColor="text1"/>
          <w:sz w:val="24"/>
          <w:szCs w:val="24"/>
          <w:highlight w:val="none"/>
          <w:u w:val="singl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，质量保证金银行利率为：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3、发包人在质量保修期满验收合格后一个月内支付，质量保证金不计息。</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五、其他</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双方约定的其他工程保修责任事项：</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本工程保修书，由施工合同发包人、承包人双方在竣工验收前共同签署，作为施工合同附件，其有效期限至保修期满。</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rPr>
          <w:rFonts w:hint="eastAsia" w:ascii="宋体" w:hAnsi="宋体" w:eastAsia="宋体" w:cs="宋体"/>
          <w:color w:val="000000" w:themeColor="text1"/>
          <w:sz w:val="28"/>
          <w:szCs w:val="28"/>
          <w:highlight w:val="none"/>
          <w:u w:val="single"/>
          <w14:textFill>
            <w14:solidFill>
              <w14:schemeClr w14:val="tx1"/>
            </w14:solidFill>
          </w14:textFill>
        </w:rPr>
      </w:pPr>
    </w:p>
    <w:p>
      <w:pPr>
        <w:spacing w:after="187" w:afterLines="6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pPr>
        <w:spacing w:after="187" w:afterLines="6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承包人提供的材料和工程设备一览表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348"/>
        <w:gridCol w:w="1184"/>
        <w:gridCol w:w="703"/>
        <w:gridCol w:w="703"/>
        <w:gridCol w:w="703"/>
        <w:gridCol w:w="1033"/>
        <w:gridCol w:w="1032"/>
        <w:gridCol w:w="1033"/>
        <w:gridCol w:w="118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716"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48"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84"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703"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703"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703"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1033"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3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1033"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180"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bl>
    <w:p>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p>
    <w:p>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附件3：</w:t>
      </w:r>
    </w:p>
    <w:p>
      <w:pPr>
        <w:spacing w:after="93" w:afterLines="3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305"/>
        <w:gridCol w:w="1147"/>
        <w:gridCol w:w="680"/>
        <w:gridCol w:w="681"/>
        <w:gridCol w:w="681"/>
        <w:gridCol w:w="999"/>
        <w:gridCol w:w="1000"/>
        <w:gridCol w:w="999"/>
        <w:gridCol w:w="100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3" w:hRule="atLeast"/>
          <w:jc w:val="center"/>
        </w:trPr>
        <w:tc>
          <w:tcPr>
            <w:tcW w:w="868"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05"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47"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680"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681"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681"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999"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00"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999"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000"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pPr>
              <w:rPr>
                <w:rFonts w:hint="eastAsia" w:ascii="宋体" w:hAnsi="宋体" w:eastAsia="宋体" w:cs="宋体"/>
                <w:color w:val="000000" w:themeColor="text1"/>
                <w:sz w:val="24"/>
                <w:szCs w:val="24"/>
                <w:highlight w:val="none"/>
                <w14:textFill>
                  <w14:solidFill>
                    <w14:schemeClr w14:val="tx1"/>
                  </w14:solidFill>
                </w14:textFill>
              </w:rPr>
            </w:pPr>
          </w:p>
        </w:tc>
      </w:tr>
    </w:tbl>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备注：除合同另有约定外，本表所列发包人供应材料和工程设备的数量不考虑施工损耗，施工损耗被认为已经包括在承包人的投标价格中。</w:t>
      </w:r>
    </w:p>
    <w:p>
      <w:pP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附件4：</w:t>
      </w:r>
    </w:p>
    <w:p>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建设工程廉政责任书</w:t>
      </w: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一、双方的责任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1.1应严格遵守国家关于建设工程的有关法律、法规，相关政策，以及廉政建设的各项规定。</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1.2严格执行建设工程合同文件，自觉按合同办事。</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1.3各项活动必须坚持公开、公平、公正、诚信、透明的原则(除法律法规另有规定者外)，不得为获取不正当的利益，损害国家、集体和对方利益，不得违反建设工程管理的规章制度。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1.4发现对方在业务活动中有违规、违纪、违法行为的，应及时提醒对方，情节严重的，应向其上级主管部门或纪检监察、司法等有关机关举报。</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二、发包人责任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发包人的领导和从事该建设工程项目的工作人员，在工程建设的事前、事中、事后应遵守以下规定：</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2.1不得向承包人和相关单位索要或接受回扣、礼金、有价证券、贵重物品和好处费、感谢费等。</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2.2不得在承包人和相关单位报销任何应由发包人或个人支付的费用。</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2.3不得要求、暗示或接受承包人和相关单位为个人装修住房、婚丧嫁娶、配偶子女的工作安排以及出国(境)、旅游等提供方便。</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2.4不得参加有可能影响公正执行公务的承包人和相关单位的宴请、健身、娱乐等活动。</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2.5不得向承包人和相关单位介绍或为配偶、子女、亲属参与同发包人工程建设管理合同有关的业务活动；不得以任何理由要求承包人和相关单位使用某种产品、材料和设备。</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三、承包人责任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应与发包人保持正常的业务交往，按照有关法律法规和程序开展业务工作，严格执行工程建设的有关方针、政策，执行工程建设强制性标准，并遵守以下规定：</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3.1不得以任何理由向发包人及其工作人员索要、接受或赠送礼金、有价证券、贵重物品及回扣、好处费、感谢费等。</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3.2不得以任何理由为发包人和相关单位报销应由对方或个人支付的费用。</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3.3不得接受或暗示为发包人、相关单位或个人装修住房、婚丧嫁娶、配偶子女的工作安排以及出国(境)、旅游等提供方便。</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3.4不得以任何理由为发包人、相关单位或个人组织有可能影响公正执行公务的宴请、健身、娱乐等活动。</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四、违约责任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4.1发包人工作人员有违反本责任书第一、二条责任行为的，依据有关法律、法规给予处理；涉嫌犯罪的，移交司法机关追究刑事责任；给承包人单位造成经济损失的，应予以赔偿。</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4.2承包人工作人员有违反本责任书第一、三条责任行为的，依据有关法律法规处理；涉嫌犯罪的，移交司法机关追究刑事责任；给发包人单位造成经济损失的，应予以赔偿。</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4.3本责任书作为建设工程合同的组成部分，与建设工程合同具有同等法律效力。经双方签署后立即生效。</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五、责任书有效期</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本责任书的有效期为双方签署之日起至该工程项目竣工验收合格时止。</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六、责任书份数</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本责任书一式二份，发包人承包人各执一份，具有同等效力。</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二、保函书</w:t>
      </w:r>
    </w:p>
    <w:p>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附件1</w:t>
      </w:r>
    </w:p>
    <w:p>
      <w:pPr>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承包人履约保函</w:t>
      </w:r>
    </w:p>
    <w:p>
      <w:pPr>
        <w:jc w:val="center"/>
        <w:rPr>
          <w:rFonts w:hint="eastAsia" w:ascii="宋体" w:hAnsi="宋体" w:eastAsia="宋体" w:cs="宋体"/>
          <w:b/>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(发包人名称)：</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(承包人名称)(以下称“承包人”)于</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(工程名称)施工承包合同(以下称“主合同”)，应承包人申请，我方愿就承包人履行主合同约定的义务以保证的方式向你方提供如下担保：</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我方的保证范围是承包人未按照主合同的约定履行义务，给你方造成的实际损失。</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我方保证的金额是主合同约定的合同总价款</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元(大写)。</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我方保证的期间为：自本合同生效之日起至主合同约定的工程竣工日期后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你方与承包人协议变更工程竣工日期的，经我方书面同意后，保证期间按照变更后的竣工日期做相应调整。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我方按照你方的要求以下列方式之一承担保证责任：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(1)由我方提供资金及技术援助，使承包人继续履行主合同义务，支付金额不超过本保函第一条规定的保证金额。</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(2)由我方在本保函第一条规定的保证金额内赔偿你方的损失。</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承包人未履行主合同约定义务的证明材料。索赔通知应写明要求索赔的金额，支付款项应到达的帐号，并附有说明承包人违反主合同造成你方损失情况的证明材料。</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你方以工程质量不符合主合同约定标准为由，向我方提出违约索赔的，还需同时提供符合相应条件要求的工程质量检测部门出具的质量说明材料。</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工作日内进行核定后按照本保函的承诺承担保证责任。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2、承包人按主合同约定履行了义务的，自本保函承诺的保证期间届满次日起，我方保证责任解除。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3、我方按照本保函向你方履行保证责任所支付的金额达到本保函保证金额时，自我方向你方支付(支付款项从我方帐户划出)之日起，保证责任即解除。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1、因你方违约致使承包人不能履行义务的，我方不承担保证责任。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2、依照法律法规的规定或你方与承包人的另行约定，免除承包人部分或全部义务的，我方亦免除其相应的保证责任。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3、你方与承包人协议变更主合同(符合主合同合同条款第15条约定的变更除外)，如加重承包人责任致使我方保证责任加重的，需征得我方书面同意，否则我方不再承担因此而加重部分的保证责任。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4、因不可抗力造成承包人不能履行义务的，我方不承担保证责任。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ind w:firstLine="3290" w:firstLineChars="1371"/>
        <w:jc w:val="right"/>
        <w:rPr>
          <w:rFonts w:hint="eastAsia" w:ascii="宋体" w:hAnsi="宋体" w:eastAsia="宋体" w:cs="宋体"/>
          <w:color w:val="000000" w:themeColor="text1"/>
          <w:sz w:val="24"/>
          <w:szCs w:val="24"/>
          <w:highlight w:val="none"/>
          <w:u w:val="single"/>
          <w14:textFill>
            <w14:solidFill>
              <w14:schemeClr w14:val="tx1"/>
            </w14:solidFill>
          </w14:textFill>
        </w:rPr>
      </w:pPr>
    </w:p>
    <w:p>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备注：本履约担保格式可以采用经发包人同意的其他格式，但相关内容不得违背合同约定的实质性内容。</w:t>
      </w: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发包人预付款担保</w:t>
      </w:r>
    </w:p>
    <w:p>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pPr>
        <w:jc w:val="cente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保函编号：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w:t>
      </w:r>
    </w:p>
    <w:p>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(承包人名称)(以下称“承包人”)于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(工程名称)施工承包合同(以下称“主合同”)。</w:t>
      </w:r>
    </w:p>
    <w:p>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鉴于该主合同规定，你方将支付承包人一笔金额为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)的预付款(以下称“预付款”)，而承包人须向你方提供与预付款等额的不可撤消和无条件兑现的预付款保函。</w:t>
      </w:r>
    </w:p>
    <w:p>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我方受承包人委托，为承包人履行主合同规定的义务作出如下不可撤销的保证：</w:t>
      </w:r>
    </w:p>
    <w:p>
      <w:pPr>
        <w:ind w:firstLine="480" w:firstLineChars="200"/>
        <w:jc w:val="left"/>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我方将在收到你方提出要求收回上述预付款金额的部分或全部的索偿通知时，无须你方提出任何证明或证据，立即无条件地向你方支付不超过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)或根据本保函约定递减后的其他金额的任何你方要求的金额，并放弃向你方追索的权力。</w:t>
      </w:r>
    </w:p>
    <w:p>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我方特此确认并同意：我方受本保函制约的责任是连续的，主合同的任何修改、变更、</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中止、终止或失效都不能削弱或影响我方受本保函制约的责任。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在收到你方的书面通知后，本保函的担保金额将根据你方依主合同签认的进度付款证书</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中累计扣回的预付款金额作等额调减。</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本保函自预付款支付给承包人起生效，至你方签发的进度付款证书说明已抵扣完毕止。</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除非你方提前终止或解除本保函。本保函失效后请将本保函退回我方注销。</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本保函项下所有权利和义务均受中华人民共和国法律管辖和制约。</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spacing w:after="156" w:afterLines="50"/>
        <w:ind w:right="108" w:firstLine="4320" w:firstLineChars="180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备注：本预付款担保格式可采用经发包人认可的其他格式，但相关内容不得违背合同文件约定的实质性内容。</w:t>
      </w:r>
    </w:p>
    <w:p>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附件3</w:t>
      </w:r>
    </w:p>
    <w:p>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发包人支付保函</w:t>
      </w:r>
    </w:p>
    <w:p>
      <w:pPr>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鉴于你方作为承包人已经与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包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(发包人名称)(以下称“发包人”)于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(工程名称)施工承包合同(以下称“主合同”)，应发包人的申请，我方愿就发包人履行主合同约定的工程款支付义务以保证的方式向你方提供如下担保：</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我方的保证范围是主合同约定的工程款。</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本保函所称主合同约定的工程款是指主合同约定的除工程质量保证金以外的合同价款。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我方保证的金额是主合同约定的工程款的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％，数额最高不超过人民币元(大写：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我方保证的期间为：自本合同生效之日起至主合同约定的工程款支付之日后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你方与发包人协议变更工程款支付日期的，经我方书面同意后，保证期间按照变更后的支付日期做相应调整。</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我方承担保证责任的形式是代为支付。发包人未按主合同约定向你方支付工程款的，由我方在保证金额内代为支付。</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你方要求我方承担保证责任的，应向我方发出书面索赔通知及发包人未支付主合同约定工程款的证明材料。索赔通知应写明要求索赔的金额，支付款项应到达的帐号。</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出现你方与发包人因工程质量发生争议，发包人拒绝向你方支付工程款的情形时，你方要求我方履行保证责任代为支付的，还需提供项目总监理工程师、监理人或符合相应条件要求的工程质量检测机构出具的质量说明材料。</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个工作日内进行核定后按照本保函的承诺承担保证责任。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2、发包人按主合同约定履行了工程款的全部支付义务的，自本保函承诺的保证期间届满次日起，我方保证责任解除。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3、我方按照本保函向你方履行保证责任所支付金额达到本保函保证金额时，自我方向你方支付(支付款项从我方帐户划出)之日起，保证责任即解除。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1、因你方违约致使发包人不能履行义务的，我方不承担保证责任。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2、依照法律法规的规定或你方与发包人的另行约定，免除发包人部分或全部义务的，我方亦免除其相应的保证责任。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3、你方与发包人协议变更主合同的(符合主合同合同条款第15条约定的变更除外)，如加重发包人责任致使我方保证责任加重的，需征得我方书面同意，否则我方不再承担因此而加重部分的保证责任。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4、因不可抗力造成发包人不能履行义务的，我方不承担保证责任。</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rPr>
          <w:rFonts w:hint="eastAsia" w:ascii="宋体" w:hAnsi="宋体" w:eastAsia="宋体" w:cs="宋体"/>
          <w:color w:val="000000" w:themeColor="text1"/>
          <w:sz w:val="24"/>
          <w:szCs w:val="24"/>
          <w:highlight w:val="none"/>
          <w:u w:val="single"/>
          <w14:textFill>
            <w14:solidFill>
              <w14:schemeClr w14:val="tx1"/>
            </w14:solidFill>
          </w14:textFill>
        </w:rPr>
      </w:pPr>
    </w:p>
    <w:p>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备注：本支付担保格式可采用经承包人同意的其他格式，但相关约定应当与履约担保对等。</w:t>
      </w:r>
    </w:p>
    <w:p>
      <w:pPr>
        <w:rPr>
          <w:rFonts w:hint="eastAsia" w:ascii="宋体" w:hAnsi="宋体" w:eastAsia="宋体" w:cs="宋体"/>
          <w:color w:val="000000" w:themeColor="text1"/>
          <w:sz w:val="24"/>
          <w:szCs w:val="24"/>
          <w:highlight w:val="none"/>
          <w:lang w:eastAsia="zh-CN"/>
          <w14:textFill>
            <w14:solidFill>
              <w14:schemeClr w14:val="tx1"/>
            </w14:solidFill>
          </w14:textFill>
        </w:rPr>
      </w:pPr>
    </w:p>
    <w:p>
      <w:pPr>
        <w:rPr>
          <w:rFonts w:hint="eastAsia" w:ascii="宋体" w:hAnsi="宋体" w:eastAsia="宋体" w:cs="宋体"/>
          <w:b/>
          <w:color w:val="000000" w:themeColor="text1"/>
          <w:sz w:val="24"/>
          <w:szCs w:val="24"/>
          <w:highlight w:val="none"/>
          <w14:textFill>
            <w14:solidFill>
              <w14:schemeClr w14:val="tx1"/>
            </w14:solidFill>
          </w14:textFill>
        </w:rPr>
      </w:pPr>
    </w:p>
    <w:p>
      <w:pPr>
        <w:rPr>
          <w:rFonts w:hint="eastAsia" w:ascii="宋体" w:hAnsi="宋体" w:eastAsia="宋体" w:cs="宋体"/>
          <w:b/>
          <w:color w:val="000000" w:themeColor="text1"/>
          <w:sz w:val="24"/>
          <w:szCs w:val="24"/>
          <w:highlight w:val="none"/>
          <w14:textFill>
            <w14:solidFill>
              <w14:schemeClr w14:val="tx1"/>
            </w14:solidFill>
          </w14:textFill>
        </w:rPr>
      </w:pPr>
    </w:p>
    <w:p>
      <w:pPr>
        <w:rPr>
          <w:rFonts w:hint="eastAsia" w:ascii="宋体" w:hAnsi="宋体" w:eastAsia="宋体" w:cs="宋体"/>
          <w:color w:val="000000" w:themeColor="text1"/>
          <w:sz w:val="24"/>
          <w:szCs w:val="24"/>
          <w:highlight w:val="none"/>
          <w:lang w:eastAsia="zh-CN"/>
          <w14:textFill>
            <w14:solidFill>
              <w14:schemeClr w14:val="tx1"/>
            </w14:solidFill>
          </w14:textFill>
        </w:rPr>
        <w:sectPr>
          <w:footerReference r:id="rId6" w:type="default"/>
          <w:pgSz w:w="11906" w:h="16838"/>
          <w:pgMar w:top="1440" w:right="1080" w:bottom="1440" w:left="1080" w:header="737" w:footer="737" w:gutter="0"/>
          <w:pgNumType w:fmt="decimal"/>
          <w:cols w:space="720" w:num="1"/>
          <w:docGrid w:linePitch="312" w:charSpace="0"/>
        </w:sectPr>
      </w:pPr>
      <w:r>
        <w:rPr>
          <w:rFonts w:hint="eastAsia" w:ascii="宋体" w:hAnsi="宋体" w:eastAsia="宋体" w:cs="宋体"/>
          <w:b/>
          <w:color w:val="000000" w:themeColor="text1"/>
          <w:sz w:val="24"/>
          <w:szCs w:val="24"/>
          <w:highlight w:val="none"/>
          <w14:textFill>
            <w14:solidFill>
              <w14:schemeClr w14:val="tx1"/>
            </w14:solidFill>
          </w14:textFill>
        </w:rPr>
        <w:t>注：本合同条款仅供参考，甲乙双方可根据实际情况进行补充。</w:t>
      </w:r>
    </w:p>
    <w:p>
      <w:pPr>
        <w:spacing w:after="156" w:afterLines="50"/>
        <w:jc w:val="center"/>
        <w:outlineLvl w:val="9"/>
        <w:rPr>
          <w:rFonts w:hint="eastAsia" w:ascii="宋体" w:hAnsi="宋体" w:eastAsia="宋体" w:cs="宋体"/>
          <w:color w:val="000000" w:themeColor="text1"/>
          <w:sz w:val="24"/>
          <w:szCs w:val="24"/>
          <w:highlight w:val="none"/>
          <w:lang w:val="zh-CN"/>
          <w14:textFill>
            <w14:solidFill>
              <w14:schemeClr w14:val="tx1"/>
            </w14:solidFill>
          </w14:textFill>
        </w:rPr>
      </w:pPr>
      <w:bookmarkStart w:id="290" w:name="_Toc16731"/>
      <w:bookmarkStart w:id="291" w:name="_Toc21360"/>
      <w:bookmarkStart w:id="292" w:name="_Toc23110"/>
      <w:bookmarkStart w:id="293" w:name="_Toc563"/>
      <w:bookmarkStart w:id="294" w:name="_Toc464831175"/>
      <w:bookmarkStart w:id="295" w:name="_Toc427823747"/>
      <w:bookmarkStart w:id="296" w:name="_Toc18981"/>
      <w:bookmarkStart w:id="297" w:name="_Toc7148"/>
      <w:bookmarkStart w:id="298" w:name="_Toc28315"/>
      <w:bookmarkStart w:id="299" w:name="_Toc6773"/>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p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bookmarkStart w:id="300" w:name="_Toc2402"/>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六</w:t>
      </w:r>
      <w:r>
        <w:rPr>
          <w:rFonts w:hint="eastAsia" w:ascii="宋体" w:hAnsi="宋体" w:eastAsia="宋体" w:cs="宋体"/>
          <w:b/>
          <w:bCs/>
          <w:color w:val="000000" w:themeColor="text1"/>
          <w:sz w:val="36"/>
          <w:szCs w:val="36"/>
          <w:highlight w:val="none"/>
          <w14:textFill>
            <w14:solidFill>
              <w14:schemeClr w14:val="tx1"/>
            </w14:solidFill>
          </w14:textFill>
        </w:rPr>
        <w:t>章  响应文件格式</w:t>
      </w:r>
      <w:bookmarkEnd w:id="290"/>
      <w:bookmarkEnd w:id="291"/>
      <w:bookmarkEnd w:id="292"/>
      <w:bookmarkEnd w:id="293"/>
      <w:bookmarkEnd w:id="294"/>
      <w:bookmarkEnd w:id="295"/>
      <w:bookmarkEnd w:id="296"/>
      <w:bookmarkEnd w:id="297"/>
      <w:bookmarkEnd w:id="298"/>
      <w:bookmarkEnd w:id="299"/>
      <w:bookmarkEnd w:id="300"/>
    </w:p>
    <w:p>
      <w:pPr>
        <w:spacing w:line="420" w:lineRule="exact"/>
        <w:rPr>
          <w:rFonts w:hint="eastAsia" w:ascii="宋体" w:hAnsi="宋体" w:eastAsia="宋体" w:cs="宋体"/>
          <w:color w:val="000000" w:themeColor="text1"/>
          <w:highlight w:val="none"/>
          <w14:textFill>
            <w14:solidFill>
              <w14:schemeClr w14:val="tx1"/>
            </w14:solidFill>
          </w14:textFill>
        </w:rPr>
      </w:pPr>
    </w:p>
    <w:p>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pPr>
    </w:p>
    <w:p>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p>
    <w:p>
      <w:pPr>
        <w:spacing w:line="360" w:lineRule="auto"/>
        <w:jc w:val="righ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kern w:val="1"/>
          <w:sz w:val="36"/>
          <w:szCs w:val="36"/>
          <w:highlight w:val="none"/>
          <w14:textFill>
            <w14:solidFill>
              <w14:schemeClr w14:val="tx1"/>
            </w14:solidFill>
          </w14:textFill>
        </w:rPr>
        <w:t>正（副）本</w:t>
      </w:r>
    </w:p>
    <w:p>
      <w:pPr>
        <w:spacing w:line="360" w:lineRule="auto"/>
        <w:jc w:val="both"/>
        <w:rPr>
          <w:rFonts w:hint="default" w:ascii="宋体" w:hAnsi="宋体" w:eastAsia="宋体" w:cs="宋体"/>
          <w:b/>
          <w:bCs/>
          <w:color w:val="000000" w:themeColor="text1"/>
          <w:sz w:val="52"/>
          <w:szCs w:val="52"/>
          <w:highlight w:val="none"/>
          <w:u w:val="single"/>
          <w:lang w:val="en-US" w:eastAsia="zh-CN"/>
          <w14:textFill>
            <w14:solidFill>
              <w14:schemeClr w14:val="tx1"/>
            </w14:solidFill>
          </w14:textFill>
        </w:rPr>
      </w:pPr>
    </w:p>
    <w:p>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pPr>
        <w:spacing w:line="360" w:lineRule="auto"/>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t>项目编号：</w:t>
      </w: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pPr>
        <w:spacing w:line="360" w:lineRule="auto"/>
        <w:jc w:val="center"/>
        <w:rPr>
          <w:rFonts w:hint="eastAsia" w:ascii="宋体" w:hAnsi="宋体" w:eastAsia="宋体" w:cs="宋体"/>
          <w:color w:val="000000" w:themeColor="text1"/>
          <w:sz w:val="44"/>
          <w:szCs w:val="52"/>
          <w:highlight w:val="none"/>
          <w14:textFill>
            <w14:solidFill>
              <w14:schemeClr w14:val="tx1"/>
            </w14:solidFill>
          </w14:textFill>
        </w:rPr>
      </w:pPr>
    </w:p>
    <w:p>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1" w:name="_Toc32738"/>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301"/>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2" w:name="_Toc6652"/>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302"/>
    </w:p>
    <w:p>
      <w:pPr>
        <w:spacing w:line="360" w:lineRule="auto"/>
        <w:rPr>
          <w:rFonts w:hint="eastAsia" w:ascii="宋体" w:hAnsi="宋体" w:eastAsia="宋体" w:cs="宋体"/>
          <w:color w:val="000000" w:themeColor="text1"/>
          <w:sz w:val="28"/>
          <w:szCs w:val="28"/>
          <w:highlight w:val="none"/>
          <w:u w:val="single"/>
          <w14:textFill>
            <w14:solidFill>
              <w14:schemeClr w14:val="tx1"/>
            </w14:solidFill>
          </w14:textFill>
        </w:rPr>
      </w:pPr>
      <w:bookmarkStart w:id="303" w:name="_Toc3693"/>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地址：</w:t>
      </w:r>
      <w:bookmarkEnd w:id="303"/>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4" w:name="_Toc10765"/>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联系电话：</w:t>
      </w:r>
      <w:bookmarkEnd w:id="304"/>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5" w:name="_Toc26817"/>
      <w:r>
        <w:rPr>
          <w:rFonts w:hint="eastAsia" w:ascii="宋体" w:hAnsi="宋体" w:eastAsia="宋体" w:cs="宋体"/>
          <w:color w:val="000000" w:themeColor="text1"/>
          <w:sz w:val="28"/>
          <w:szCs w:val="28"/>
          <w:highlight w:val="none"/>
          <w14:textFill>
            <w14:solidFill>
              <w14:schemeClr w14:val="tx1"/>
            </w14:solidFill>
          </w14:textFill>
        </w:rPr>
        <w:t>年   月    日</w:t>
      </w:r>
      <w:bookmarkEnd w:id="305"/>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年</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月  </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日 </w:t>
      </w:r>
      <w:r>
        <w:rPr>
          <w:rFonts w:hint="eastAsia" w:ascii="宋体" w:hAnsi="宋体" w:eastAsia="宋体" w:cs="宋体"/>
          <w:color w:val="000000" w:themeColor="text1"/>
          <w:highlight w:val="none"/>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jc w:val="center"/>
        <w:textAlignment w:val="auto"/>
        <w:rPr>
          <w:rFonts w:hint="eastAsia" w:ascii="宋体" w:hAnsi="宋体" w:eastAsia="宋体" w:cs="宋体"/>
          <w:b/>
          <w:bCs/>
          <w:color w:val="000000" w:themeColor="text1"/>
          <w:sz w:val="32"/>
          <w:szCs w:val="32"/>
          <w:highlight w:val="none"/>
          <w:lang w:val="en-US" w:eastAsia="zh-CN"/>
          <w14:textFill>
            <w14:solidFill>
              <w14:schemeClr w14:val="tx1"/>
            </w14:solidFill>
          </w14:textFill>
        </w:rPr>
      </w:pP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目录</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（1）报价函</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（2）报价一览表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（3）商务偏离表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（4）技术偏离表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（5）谈判保证金汇款凭证或保函</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（6）法定代表人身份证明</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（7）法定代表人委托书</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（8）投标人基本情况一览表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（9）项目管理机构</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（10）</w:t>
      </w:r>
      <w:r>
        <w:rPr>
          <w:rFonts w:hint="eastAsia" w:ascii="宋体" w:hAnsi="宋体" w:eastAsia="宋体" w:cs="宋体"/>
          <w:color w:val="000000" w:themeColor="text1"/>
          <w:sz w:val="28"/>
          <w:szCs w:val="28"/>
          <w:highlight w:val="none"/>
          <w:lang w:val="en-US" w:eastAsia="zh-CN"/>
          <w14:textFill>
            <w14:solidFill>
              <w14:schemeClr w14:val="tx1"/>
            </w14:solidFill>
          </w14:textFill>
        </w:rPr>
        <w:t>近年完成的工程业绩表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拟分包项目情况表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（12）完税证明及社保</w:t>
      </w:r>
    </w:p>
    <w:p>
      <w:pPr>
        <w:keepNext w:val="0"/>
        <w:keepLines w:val="0"/>
        <w:pageBreakBefore w:val="0"/>
        <w:widowControl w:val="0"/>
        <w:kinsoku/>
        <w:wordWrap/>
        <w:overflowPunct/>
        <w:topLinePunct w:val="0"/>
        <w:autoSpaceDE/>
        <w:autoSpaceDN/>
        <w:bidi w:val="0"/>
        <w:adjustRightInd/>
        <w:snapToGrid/>
        <w:spacing w:line="500" w:lineRule="exact"/>
        <w:ind w:left="839" w:leftChars="266" w:hanging="280"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）具有良好的商业信誉和健全的财务会计制度：提供2023年或2024年由第三方审计机构出具的审计报告（2025年01月01日起至今成立的</w:t>
      </w:r>
      <w:r>
        <w:rPr>
          <w:rFonts w:hint="eastAsia" w:ascii="宋体" w:hAnsi="宋体" w:cs="宋体"/>
          <w:color w:val="000000" w:themeColor="text1"/>
          <w:sz w:val="28"/>
          <w:szCs w:val="28"/>
          <w:highlight w:val="none"/>
          <w:lang w:val="en-US" w:eastAsia="zh-CN"/>
          <w14:textFill>
            <w14:solidFill>
              <w14:schemeClr w14:val="tx1"/>
            </w14:solidFill>
          </w14:textFill>
        </w:rPr>
        <w:t>公司可不</w:t>
      </w:r>
      <w:r>
        <w:rPr>
          <w:rFonts w:hint="eastAsia" w:ascii="宋体" w:hAnsi="宋体" w:eastAsia="宋体" w:cs="宋体"/>
          <w:color w:val="000000" w:themeColor="text1"/>
          <w:sz w:val="28"/>
          <w:szCs w:val="28"/>
          <w:highlight w:val="none"/>
          <w:lang w:val="en-US" w:eastAsia="zh-CN"/>
          <w14:textFill>
            <w14:solidFill>
              <w14:schemeClr w14:val="tx1"/>
            </w14:solidFill>
          </w14:textFill>
        </w:rPr>
        <w:t>提供）。</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lang w:val="en-US" w:eastAsia="zh-CN"/>
          <w14:textFill>
            <w14:solidFill>
              <w14:schemeClr w14:val="tx1"/>
            </w14:solidFill>
          </w14:textFill>
        </w:rPr>
        <w:t>）中小企业声明函</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lang w:val="en-US" w:eastAsia="zh-CN"/>
          <w14:textFill>
            <w14:solidFill>
              <w14:schemeClr w14:val="tx1"/>
            </w14:solidFill>
          </w14:textFill>
        </w:rPr>
        <w:t>）实施方案</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）提供针对本次项目《三年内无重大违法承诺书》</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val="en-US" w:eastAsia="zh-CN"/>
          <w14:textFill>
            <w14:solidFill>
              <w14:schemeClr w14:val="tx1"/>
            </w14:solidFill>
          </w14:textFill>
        </w:rPr>
        <w:t>）网站截图</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8</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）投标建造师无在建项目承诺书</w:t>
      </w:r>
    </w:p>
    <w:p>
      <w:pPr>
        <w:pStyle w:val="15"/>
        <w:ind w:firstLine="560" w:firstLineChars="200"/>
        <w:rPr>
          <w:rFonts w:hint="default"/>
          <w:lang w:val="en-US" w:eastAsia="zh-CN"/>
        </w:rPr>
      </w:pPr>
      <w:r>
        <w:rPr>
          <w:rFonts w:hint="eastAsia" w:ascii="宋体" w:hAnsi="宋体" w:cs="宋体"/>
          <w:color w:val="000000" w:themeColor="text1"/>
          <w:sz w:val="28"/>
          <w:szCs w:val="28"/>
          <w:highlight w:val="none"/>
          <w:lang w:val="en-US" w:eastAsia="zh-CN"/>
          <w14:textFill>
            <w14:solidFill>
              <w14:schemeClr w14:val="tx1"/>
            </w14:solidFill>
          </w14:textFill>
        </w:rPr>
        <w:t>（19）拟承建该工程的项目班组人员无在建项目承诺书</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20</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项目负责人业绩真实性承诺书</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（21）不围标串标承诺书</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22</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）投标企业认为提交的其他资料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4874CB" w:themeColor="accent1"/>
          <w:sz w:val="28"/>
          <w:szCs w:val="28"/>
          <w:highlight w:val="none"/>
          <w:lang w:val="en-US" w:eastAsia="zh-CN"/>
          <w14:textFill>
            <w14:solidFill>
              <w14:schemeClr w14:val="accent1"/>
            </w14:solidFill>
          </w14:textFill>
        </w:rPr>
      </w:pPr>
    </w:p>
    <w:p>
      <w:pPr>
        <w:pStyle w:val="3"/>
        <w:pageBreakBefore w:val="0"/>
        <w:kinsoku/>
        <w:wordWrap/>
        <w:overflowPunct/>
        <w:topLinePunct w:val="0"/>
        <w:autoSpaceDE/>
        <w:autoSpaceDN/>
        <w:bidi w:val="0"/>
        <w:spacing w:before="0" w:after="0" w:line="360" w:lineRule="auto"/>
        <w:jc w:val="center"/>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一、报价</w:t>
      </w:r>
      <w:r>
        <w:rPr>
          <w:rFonts w:hint="eastAsia" w:ascii="宋体" w:hAnsi="宋体" w:eastAsia="宋体" w:cs="宋体"/>
          <w:bCs/>
          <w:color w:val="000000" w:themeColor="text1"/>
          <w:sz w:val="28"/>
          <w:szCs w:val="28"/>
          <w:highlight w:val="none"/>
          <w14:textFill>
            <w14:solidFill>
              <w14:schemeClr w14:val="tx1"/>
            </w14:solidFill>
          </w14:textFill>
        </w:rPr>
        <w:t>函</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（采购单位）</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收到你们的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none"/>
          <w14:textFill>
            <w14:solidFill>
              <w14:schemeClr w14:val="tx1"/>
            </w14:solidFill>
          </w14:textFill>
        </w:rPr>
        <w:t>号</w:t>
      </w:r>
      <w:r>
        <w:rPr>
          <w:rFonts w:hint="eastAsia" w:ascii="宋体" w:hAnsi="宋体" w:eastAsia="宋体" w:cs="宋体"/>
          <w:color w:val="000000" w:themeColor="text1"/>
          <w:sz w:val="24"/>
          <w:szCs w:val="24"/>
          <w:highlight w:val="none"/>
          <w14:textFill>
            <w14:solidFill>
              <w14:schemeClr w14:val="tx1"/>
            </w14:solidFill>
          </w14:textFill>
        </w:rPr>
        <w:t>文件，经认真研究，我们决定参加谈判并报价。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按照文件中的一切要求，提供本项目内容的采购、</w:t>
      </w:r>
      <w:r>
        <w:rPr>
          <w:rFonts w:hint="eastAsia" w:ascii="宋体" w:hAnsi="宋体" w:eastAsia="宋体" w:cs="宋体"/>
          <w:bCs/>
          <w:color w:val="000000" w:themeColor="text1"/>
          <w:sz w:val="24"/>
          <w:szCs w:val="24"/>
          <w:highlight w:val="none"/>
          <w14:textFill>
            <w14:solidFill>
              <w14:schemeClr w14:val="tx1"/>
            </w14:solidFill>
          </w14:textFill>
        </w:rPr>
        <w:t>运输、养护、验收及相关服务等</w:t>
      </w:r>
      <w:r>
        <w:rPr>
          <w:rFonts w:hint="eastAsia" w:ascii="宋体" w:hAnsi="宋体" w:eastAsia="宋体" w:cs="宋体"/>
          <w:color w:val="000000" w:themeColor="text1"/>
          <w:sz w:val="24"/>
          <w:szCs w:val="24"/>
          <w:highlight w:val="none"/>
          <w14:textFill>
            <w14:solidFill>
              <w14:schemeClr w14:val="tx1"/>
            </w14:solidFill>
          </w14:textFill>
        </w:rPr>
        <w:t>。总价为￥：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元（用阿拉伯数字书写）人民币，</w:t>
      </w:r>
      <w:r>
        <w:rPr>
          <w:rFonts w:hint="eastAsia" w:ascii="宋体" w:hAnsi="宋体" w:cs="宋体"/>
          <w:color w:val="000000" w:themeColor="text1"/>
          <w:sz w:val="24"/>
          <w:szCs w:val="24"/>
          <w:highlight w:val="none"/>
          <w:lang w:eastAsia="zh-CN"/>
          <w14:textFill>
            <w14:solidFill>
              <w14:schemeClr w14:val="tx1"/>
            </w14:solidFill>
          </w14:textFill>
        </w:rPr>
        <w:t>大写</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明细见投标报价表。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如果我们的报价文件被接受，我们将履行文件中规定的每一项义务和要求，按期、按质、按量完成交货。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我们同意按谈判文件的规定，本报价文件的有效期为开标后</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我们愿意提供采购人在文件中要求的所有资料。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我们认为你们有选择或拒绝任何投标者中标的权利。我们理解，最低报价不是中标的唯一条件。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我们愿意按合同履行自己的全部责任。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我们愿意遵守国家有关规定的收费标准，承付中标服务费。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我们同意按谈判文件规定，缴纳</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元谈判保证金。</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我们保证报价文件中的所有证件和内容真实有效，否则我们愿意承担一切法律责任。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t>其他说明。</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所有有关本次谈判的函电，请按下列地址联系：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xml:space="preserve">(盖章) ：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pPr>
        <w:pageBreakBefore w:val="0"/>
        <w:numPr>
          <w:ilvl w:val="0"/>
          <w:numId w:val="0"/>
        </w:numPr>
        <w:kinsoku/>
        <w:wordWrap/>
        <w:overflowPunct/>
        <w:topLinePunct w:val="0"/>
        <w:autoSpaceDE/>
        <w:autoSpaceDN/>
        <w:bidi w:val="0"/>
        <w:spacing w:line="360" w:lineRule="auto"/>
        <w:ind w:left="-360" w:leftChars="0"/>
        <w:jc w:val="righ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pPr>
        <w:pageBreakBefore w:val="0"/>
        <w:widowControl/>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lang w:val="en-US" w:eastAsia="zh-CN"/>
          <w14:textFill>
            <w14:solidFill>
              <w14:schemeClr w14:val="tx1"/>
            </w14:solidFill>
          </w14:textFill>
        </w:rPr>
        <w:t>二、报价一览表</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 xml:space="preserve">：                           </w:t>
      </w:r>
    </w:p>
    <w:tbl>
      <w:tblPr>
        <w:tblStyle w:val="19"/>
        <w:tblW w:w="85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35"/>
        <w:gridCol w:w="3255"/>
        <w:gridCol w:w="1411"/>
        <w:gridCol w:w="1245"/>
        <w:gridCol w:w="11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trPr>
        <w:tc>
          <w:tcPr>
            <w:tcW w:w="1435" w:type="dxa"/>
            <w:noWrap w:val="0"/>
            <w:vAlign w:val="center"/>
          </w:tcPr>
          <w:p>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3255" w:type="dxa"/>
            <w:noWrap w:val="0"/>
            <w:vAlign w:val="center"/>
          </w:tcPr>
          <w:p>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建设规模</w:t>
            </w:r>
          </w:p>
        </w:tc>
        <w:tc>
          <w:tcPr>
            <w:tcW w:w="1411" w:type="dxa"/>
            <w:noWrap w:val="0"/>
            <w:vAlign w:val="center"/>
          </w:tcPr>
          <w:p>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总价（元）</w:t>
            </w:r>
          </w:p>
        </w:tc>
        <w:tc>
          <w:tcPr>
            <w:tcW w:w="1245" w:type="dxa"/>
            <w:noWrap w:val="0"/>
            <w:vAlign w:val="center"/>
          </w:tcPr>
          <w:p>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计划工期</w:t>
            </w:r>
          </w:p>
        </w:tc>
        <w:tc>
          <w:tcPr>
            <w:tcW w:w="1174" w:type="dxa"/>
            <w:noWrap w:val="0"/>
            <w:vAlign w:val="center"/>
          </w:tcPr>
          <w:p>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备注</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06" w:hRule="atLeast"/>
        </w:trPr>
        <w:tc>
          <w:tcPr>
            <w:tcW w:w="1435" w:type="dxa"/>
            <w:noWrap w:val="0"/>
            <w:vAlign w:val="center"/>
          </w:tcPr>
          <w:p>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3255" w:type="dxa"/>
            <w:noWrap w:val="0"/>
            <w:vAlign w:val="center"/>
          </w:tcPr>
          <w:p>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11" w:type="dxa"/>
            <w:noWrap w:val="0"/>
            <w:vAlign w:val="center"/>
          </w:tcPr>
          <w:p>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45" w:type="dxa"/>
            <w:noWrap w:val="0"/>
            <w:vAlign w:val="center"/>
          </w:tcPr>
          <w:p>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174" w:type="dxa"/>
            <w:noWrap w:val="0"/>
            <w:vAlign w:val="center"/>
          </w:tcPr>
          <w:p>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trPr>
        <w:tc>
          <w:tcPr>
            <w:tcW w:w="1435" w:type="dxa"/>
            <w:noWrap w:val="0"/>
            <w:vAlign w:val="center"/>
          </w:tcPr>
          <w:p>
            <w:pPr>
              <w:pageBreakBefore w:val="0"/>
              <w:tabs>
                <w:tab w:val="left" w:pos="0"/>
              </w:tabs>
              <w:kinsoku/>
              <w:wordWrap/>
              <w:overflowPunct/>
              <w:topLinePunct w:val="0"/>
              <w:autoSpaceDE/>
              <w:autoSpaceDN/>
              <w:bidi w:val="0"/>
              <w:spacing w:line="240" w:lineRule="auto"/>
              <w:ind w:left="0" w:leftChars="0" w:firstLine="120" w:firstLineChars="5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总价：</w:t>
            </w:r>
          </w:p>
        </w:tc>
        <w:tc>
          <w:tcPr>
            <w:tcW w:w="7085" w:type="dxa"/>
            <w:gridSpan w:val="4"/>
            <w:noWrap w:val="0"/>
            <w:vAlign w:val="center"/>
          </w:tcPr>
          <w:p>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1435" w:type="dxa"/>
            <w:noWrap w:val="0"/>
            <w:vAlign w:val="center"/>
          </w:tcPr>
          <w:p>
            <w:pPr>
              <w:pageBreakBefore w:val="0"/>
              <w:tabs>
                <w:tab w:val="left" w:pos="0"/>
              </w:tabs>
              <w:kinsoku/>
              <w:wordWrap/>
              <w:overflowPunct/>
              <w:topLinePunct w:val="0"/>
              <w:autoSpaceDE/>
              <w:autoSpaceDN/>
              <w:bidi w:val="0"/>
              <w:spacing w:line="240" w:lineRule="auto"/>
              <w:ind w:left="0" w:leftChars="0" w:firstLine="240" w:firstLineChars="10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大写：</w:t>
            </w:r>
          </w:p>
        </w:tc>
        <w:tc>
          <w:tcPr>
            <w:tcW w:w="7085" w:type="dxa"/>
            <w:gridSpan w:val="4"/>
            <w:noWrap w:val="0"/>
            <w:vAlign w:val="center"/>
          </w:tcPr>
          <w:p>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b/>
          <w:bCs/>
          <w:color w:val="000000" w:themeColor="text1"/>
          <w:sz w:val="24"/>
          <w:szCs w:val="24"/>
          <w:highlight w:val="none"/>
          <w:u w:val="singl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注：1.此表应按“报价人须知”的规定，按文件提供的范围填报投标一览表。</w:t>
      </w:r>
    </w:p>
    <w:p>
      <w:pPr>
        <w:pageBreakBefore w:val="0"/>
        <w:kinsoku/>
        <w:wordWrap/>
        <w:overflowPunct/>
        <w:topLinePunct w:val="0"/>
        <w:autoSpaceDE/>
        <w:autoSpaceDN/>
        <w:bidi w:val="0"/>
        <w:spacing w:line="360" w:lineRule="auto"/>
        <w:ind w:left="0" w:leftChars="0" w:firstLine="241" w:firstLineChars="1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 xml:space="preserve">  2.投标一览表中投标总报价大小应写一致，如不一致以大写为准。</w:t>
      </w:r>
    </w:p>
    <w:p>
      <w:pPr>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3.后附报价清单。</w:t>
      </w:r>
      <w:r>
        <w:rPr>
          <w:rFonts w:hint="eastAsia" w:ascii="宋体" w:hAnsi="宋体" w:eastAsia="宋体" w:cs="宋体"/>
          <w:color w:val="000000" w:themeColor="text1"/>
          <w:sz w:val="24"/>
          <w:szCs w:val="24"/>
          <w:highlight w:val="none"/>
          <w14:textFill>
            <w14:solidFill>
              <w14:schemeClr w14:val="tx1"/>
            </w14:solidFill>
          </w14:textFill>
        </w:rPr>
        <w:t xml:space="preserve">                          </w:t>
      </w:r>
    </w:p>
    <w:p>
      <w:pPr>
        <w:pageBreakBefore w:val="0"/>
        <w:kinsoku/>
        <w:wordWrap/>
        <w:overflowPunct/>
        <w:topLinePunct w:val="0"/>
        <w:autoSpaceDE/>
        <w:autoSpaceDN/>
        <w:bidi w:val="0"/>
        <w:spacing w:line="360" w:lineRule="auto"/>
        <w:ind w:left="0" w:leftChars="0" w:firstLine="4560" w:firstLineChars="19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3360" w:firstLineChars="140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bookmarkStart w:id="306" w:name="_Toc13754"/>
      <w:bookmarkStart w:id="307" w:name="_Toc11818"/>
      <w:bookmarkStart w:id="308" w:name="_Toc8285"/>
      <w:bookmarkStart w:id="309" w:name="_Toc5822"/>
      <w:bookmarkStart w:id="310" w:name="_Toc22810"/>
      <w:bookmarkStart w:id="311" w:name="_Toc8617"/>
      <w:bookmarkStart w:id="312" w:name="_Toc16919"/>
      <w:bookmarkStart w:id="313" w:name="_Toc12616"/>
    </w:p>
    <w:p>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ageBreakBefore w:val="0"/>
        <w:kinsoku/>
        <w:wordWrap/>
        <w:overflowPunct/>
        <w:topLinePunct w:val="0"/>
        <w:autoSpaceDE/>
        <w:autoSpaceDN/>
        <w:bidi w:val="0"/>
        <w:ind w:left="0" w:left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14:textFill>
            <w14:solidFill>
              <w14:schemeClr w14:val="tx1"/>
            </w14:solidFill>
          </w14:textFill>
        </w:rPr>
        <w:t>商务条款偏离表</w:t>
      </w:r>
      <w:bookmarkEnd w:id="306"/>
      <w:bookmarkEnd w:id="307"/>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w:t>
      </w:r>
    </w:p>
    <w:tbl>
      <w:tblPr>
        <w:tblStyle w:val="19"/>
        <w:tblW w:w="8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05"/>
        <w:gridCol w:w="2177"/>
        <w:gridCol w:w="2215"/>
        <w:gridCol w:w="1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条目号</w:t>
            </w: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文件的</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报价文件的</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5" w:hRule="atLeast"/>
          <w:jc w:val="center"/>
        </w:trPr>
        <w:tc>
          <w:tcPr>
            <w:tcW w:w="828"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：1、应与文件要求逐条对应填写。</w:t>
      </w:r>
    </w:p>
    <w:p>
      <w:pPr>
        <w:pageBreakBefore w:val="0"/>
        <w:numPr>
          <w:ilvl w:val="0"/>
          <w:numId w:val="0"/>
        </w:numPr>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本表如填写不完，可以续页。</w:t>
      </w:r>
    </w:p>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bidi w:val="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bidi w:val="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四、技术偏离表</w:t>
      </w:r>
      <w:bookmarkEnd w:id="308"/>
      <w:bookmarkEnd w:id="309"/>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w:t>
      </w:r>
    </w:p>
    <w:tbl>
      <w:tblPr>
        <w:tblStyle w:val="19"/>
        <w:tblW w:w="91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023"/>
        <w:gridCol w:w="1655"/>
        <w:gridCol w:w="1471"/>
        <w:gridCol w:w="1839"/>
        <w:gridCol w:w="1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文件规格功能要求条目号</w:t>
            </w: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要求规格</w:t>
            </w: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投标规格</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功能</w:t>
            </w: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偏离</w:t>
            </w: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023"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：1、应与文件要求逐条对应填写。</w:t>
      </w:r>
    </w:p>
    <w:p>
      <w:pPr>
        <w:pageBreakBefore w:val="0"/>
        <w:numPr>
          <w:ilvl w:val="0"/>
          <w:numId w:val="0"/>
        </w:numPr>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本表如填写不完，可以续页。</w:t>
      </w:r>
    </w:p>
    <w:p>
      <w:pPr>
        <w:pageBreakBefore w:val="0"/>
        <w:kinsoku/>
        <w:wordWrap/>
        <w:overflowPunct/>
        <w:topLinePunct w:val="0"/>
        <w:autoSpaceDE/>
        <w:autoSpaceDN/>
        <w:bidi w:val="0"/>
        <w:spacing w:line="360" w:lineRule="auto"/>
        <w:ind w:left="0" w:leftChars="0" w:firstLine="3960" w:firstLineChars="165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3960" w:firstLineChars="165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bidi w:val="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pPr>
        <w:pStyle w:val="23"/>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pStyle w:val="23"/>
        <w:rPr>
          <w:rFonts w:hint="eastAsia" w:ascii="宋体" w:hAnsi="宋体" w:eastAsia="宋体" w:cs="宋体"/>
          <w:color w:val="000000" w:themeColor="text1"/>
          <w:sz w:val="28"/>
          <w:szCs w:val="28"/>
          <w:highlight w:val="none"/>
          <w14:textFill>
            <w14:solidFill>
              <w14:schemeClr w14:val="tx1"/>
            </w14:solidFill>
          </w14:textFill>
        </w:rPr>
      </w:pPr>
    </w:p>
    <w:p>
      <w:pPr>
        <w:bidi w:val="0"/>
        <w:jc w:val="center"/>
        <w:rPr>
          <w:rFonts w:hint="default" w:ascii="宋体" w:hAnsi="宋体" w:eastAsia="宋体" w:cs="宋体"/>
          <w:color w:val="000000" w:themeColor="text1"/>
          <w:kern w:val="0"/>
          <w:sz w:val="28"/>
          <w:szCs w:val="28"/>
          <w:highlight w:val="none"/>
          <w:lang w:val="en-US"/>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五、</w:t>
      </w:r>
      <w:r>
        <w:rPr>
          <w:rFonts w:hint="eastAsia" w:ascii="宋体" w:hAnsi="宋体" w:cs="宋体"/>
          <w:b/>
          <w:bCs/>
          <w:color w:val="000000" w:themeColor="text1"/>
          <w:sz w:val="28"/>
          <w:szCs w:val="28"/>
          <w:highlight w:val="none"/>
          <w:lang w:val="en-US" w:eastAsia="zh-CN"/>
          <w14:textFill>
            <w14:solidFill>
              <w14:schemeClr w14:val="tx1"/>
            </w14:solidFill>
          </w14:textFill>
        </w:rPr>
        <w:t>投标</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保证金汇款凭证</w:t>
      </w:r>
      <w:r>
        <w:rPr>
          <w:rFonts w:hint="eastAsia" w:ascii="宋体" w:hAnsi="宋体" w:cs="宋体"/>
          <w:b/>
          <w:bCs/>
          <w:color w:val="000000" w:themeColor="text1"/>
          <w:sz w:val="28"/>
          <w:szCs w:val="28"/>
          <w:highlight w:val="none"/>
          <w:lang w:val="en-US" w:eastAsia="zh-CN"/>
          <w14:textFill>
            <w14:solidFill>
              <w14:schemeClr w14:val="tx1"/>
            </w14:solidFill>
          </w14:textFill>
        </w:rPr>
        <w:t>或保函</w:t>
      </w:r>
    </w:p>
    <w:p>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p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br w:type="page"/>
      </w:r>
    </w:p>
    <w:p>
      <w:pPr>
        <w:pStyle w:val="3"/>
        <w:pageBreakBefore w:val="0"/>
        <w:numPr>
          <w:ilvl w:val="0"/>
          <w:numId w:val="0"/>
        </w:numPr>
        <w:kinsoku/>
        <w:wordWrap/>
        <w:overflowPunct/>
        <w:topLinePunct w:val="0"/>
        <w:autoSpaceDE/>
        <w:autoSpaceDN/>
        <w:bidi w:val="0"/>
        <w:spacing w:before="0" w:after="0" w:line="360" w:lineRule="auto"/>
        <w:jc w:val="center"/>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六、</w:t>
      </w:r>
      <w:r>
        <w:rPr>
          <w:rFonts w:hint="eastAsia" w:ascii="宋体" w:hAnsi="宋体" w:eastAsia="宋体" w:cs="宋体"/>
          <w:color w:val="000000" w:themeColor="text1"/>
          <w:kern w:val="0"/>
          <w:sz w:val="28"/>
          <w:szCs w:val="28"/>
          <w:highlight w:val="none"/>
          <w14:textFill>
            <w14:solidFill>
              <w14:schemeClr w14:val="tx1"/>
            </w14:solidFill>
          </w14:textFill>
        </w:rPr>
        <w:t>法定代表人证明书</w:t>
      </w:r>
      <w:bookmarkEnd w:id="310"/>
      <w:bookmarkEnd w:id="311"/>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p>
    <w:p>
      <w:pPr>
        <w:pStyle w:val="23"/>
        <w:rPr>
          <w:rFonts w:hint="eastAsia" w:ascii="宋体" w:hAnsi="宋体" w:eastAsia="宋体" w:cs="宋体"/>
          <w:color w:val="000000" w:themeColor="text1"/>
          <w:sz w:val="24"/>
          <w:szCs w:val="24"/>
          <w:highlight w:val="none"/>
          <w14:textFill>
            <w14:solidFill>
              <w14:schemeClr w14:val="tx1"/>
            </w14:solidFill>
          </w14:textFill>
        </w:rPr>
      </w:pPr>
    </w:p>
    <w:p>
      <w:pPr>
        <w:pStyle w:val="23"/>
        <w:rPr>
          <w:rFonts w:hint="eastAsia" w:ascii="宋体" w:hAnsi="宋体" w:eastAsia="宋体" w:cs="宋体"/>
          <w:color w:val="000000" w:themeColor="text1"/>
          <w:sz w:val="24"/>
          <w:szCs w:val="24"/>
          <w:highlight w:val="none"/>
          <w14:textFill>
            <w14:solidFill>
              <w14:schemeClr w14:val="tx1"/>
            </w14:solidFill>
          </w14:textFill>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6" w:hRule="atLeast"/>
        </w:trPr>
        <w:tc>
          <w:tcPr>
            <w:tcW w:w="4247" w:type="dxa"/>
            <w:noWrap w:val="0"/>
            <w:vAlign w:val="top"/>
          </w:tcPr>
          <w:p>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top"/>
          </w:tcPr>
          <w:p>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firstLine="3360" w:firstLineChars="14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w:t>
      </w: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jc w:val="left"/>
        <w:textAlignment w:val="auto"/>
        <w:outlineLvl w:val="0"/>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314" w:name="_Toc19953"/>
      <w:bookmarkStart w:id="315" w:name="_Toc20932"/>
      <w:bookmarkStart w:id="316" w:name="_Toc20925"/>
      <w:bookmarkStart w:id="317" w:name="_Toc21604"/>
      <w:bookmarkStart w:id="318" w:name="_Toc512251716"/>
      <w:r>
        <w:rPr>
          <w:rFonts w:hint="eastAsia" w:ascii="宋体" w:hAnsi="宋体" w:eastAsia="宋体" w:cs="宋体"/>
          <w:b/>
          <w:color w:val="000000" w:themeColor="text1"/>
          <w:sz w:val="28"/>
          <w:szCs w:val="28"/>
          <w:highlight w:val="none"/>
          <w14:textFill>
            <w14:solidFill>
              <w14:schemeClr w14:val="tx1"/>
            </w14:solidFill>
          </w14:textFill>
        </w:rPr>
        <w:t>注：如法人开标需</w:t>
      </w:r>
      <w:r>
        <w:rPr>
          <w:rFonts w:hint="eastAsia" w:ascii="宋体" w:hAnsi="宋体" w:eastAsia="宋体" w:cs="宋体"/>
          <w:b/>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color w:val="000000" w:themeColor="text1"/>
          <w:sz w:val="28"/>
          <w:szCs w:val="28"/>
          <w:highlight w:val="none"/>
          <w14:textFill>
            <w14:solidFill>
              <w14:schemeClr w14:val="tx1"/>
            </w14:solidFill>
          </w14:textFill>
        </w:rPr>
        <w:t>出示此表</w:t>
      </w:r>
      <w:bookmarkEnd w:id="314"/>
      <w:bookmarkEnd w:id="315"/>
      <w:r>
        <w:rPr>
          <w:rFonts w:hint="eastAsia" w:ascii="宋体" w:hAnsi="宋体" w:eastAsia="宋体" w:cs="宋体"/>
          <w:b/>
          <w:color w:val="000000" w:themeColor="text1"/>
          <w:sz w:val="28"/>
          <w:szCs w:val="28"/>
          <w:highlight w:val="none"/>
          <w:lang w:eastAsia="zh-CN"/>
          <w14:textFill>
            <w14:solidFill>
              <w14:schemeClr w14:val="tx1"/>
            </w14:solidFill>
          </w14:textFill>
        </w:rPr>
        <w:t>。</w:t>
      </w:r>
      <w:bookmarkEnd w:id="316"/>
      <w:bookmarkEnd w:id="317"/>
    </w:p>
    <w:p>
      <w:pPr>
        <w:pStyle w:val="23"/>
        <w:pageBreakBefore w:val="0"/>
        <w:kinsoku/>
        <w:wordWrap/>
        <w:overflowPunct/>
        <w:topLinePunct w:val="0"/>
        <w:autoSpaceDE/>
        <w:autoSpaceDN/>
        <w:bidi w:val="0"/>
        <w:textAlignment w:val="auto"/>
        <w:rPr>
          <w:rFonts w:hint="eastAsia" w:ascii="宋体" w:hAnsi="宋体" w:eastAsia="宋体" w:cs="宋体"/>
          <w:b/>
          <w:color w:val="000000" w:themeColor="text1"/>
          <w:sz w:val="28"/>
          <w:szCs w:val="28"/>
          <w:highlight w:val="none"/>
          <w14:textFill>
            <w14:solidFill>
              <w14:schemeClr w14:val="tx1"/>
            </w14:solidFill>
          </w14:textFill>
        </w:rPr>
      </w:pPr>
    </w:p>
    <w:p>
      <w:pPr>
        <w:rPr>
          <w:rFonts w:hint="eastAsia"/>
        </w:rPr>
      </w:pPr>
    </w:p>
    <w:p>
      <w:pPr>
        <w:rPr>
          <w:rFonts w:hint="eastAsia" w:ascii="宋体" w:hAnsi="宋体" w:eastAsia="宋体" w:cs="宋体"/>
          <w:color w:val="000000" w:themeColor="text1"/>
          <w:sz w:val="28"/>
          <w:szCs w:val="28"/>
          <w:highlight w:val="none"/>
          <w14:textFill>
            <w14:solidFill>
              <w14:schemeClr w14:val="tx1"/>
            </w14:solidFill>
          </w14:textFill>
        </w:rPr>
      </w:pPr>
    </w:p>
    <w:p>
      <w:pPr>
        <w:pStyle w:val="18"/>
        <w:rPr>
          <w:rFonts w:hint="eastAsia" w:ascii="宋体" w:hAnsi="宋体" w:eastAsia="宋体" w:cs="宋体"/>
          <w:color w:val="000000" w:themeColor="text1"/>
          <w:sz w:val="28"/>
          <w:szCs w:val="28"/>
          <w:highlight w:val="none"/>
          <w14:textFill>
            <w14:solidFill>
              <w14:schemeClr w14:val="tx1"/>
            </w14:solidFill>
          </w14:textFill>
        </w:rPr>
      </w:pPr>
    </w:p>
    <w:p>
      <w:pPr>
        <w:pStyle w:val="23"/>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bookmarkEnd w:id="318"/>
    <w:p>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七</w:t>
      </w:r>
      <w:r>
        <w:rPr>
          <w:rFonts w:hint="eastAsia" w:ascii="宋体" w:hAnsi="宋体" w:eastAsia="宋体" w:cs="宋体"/>
          <w:b/>
          <w:color w:val="000000" w:themeColor="text1"/>
          <w:sz w:val="28"/>
          <w:szCs w:val="28"/>
          <w:highlight w:val="none"/>
          <w14:textFill>
            <w14:solidFill>
              <w14:schemeClr w14:val="tx1"/>
            </w14:solidFill>
          </w14:textFill>
        </w:rPr>
        <w:t>、法定代表人授权</w:t>
      </w:r>
      <w:r>
        <w:rPr>
          <w:rFonts w:hint="eastAsia" w:ascii="宋体" w:hAnsi="宋体" w:eastAsia="宋体" w:cs="宋体"/>
          <w:b/>
          <w:color w:val="000000" w:themeColor="text1"/>
          <w:sz w:val="28"/>
          <w:szCs w:val="28"/>
          <w:highlight w:val="none"/>
          <w:lang w:val="en-US" w:eastAsia="zh-CN"/>
          <w14:textFill>
            <w14:solidFill>
              <w14:schemeClr w14:val="tx1"/>
            </w14:solidFill>
          </w14:textFill>
        </w:rPr>
        <w:t>委托</w:t>
      </w:r>
      <w:r>
        <w:rPr>
          <w:rFonts w:hint="eastAsia" w:ascii="宋体" w:hAnsi="宋体" w:eastAsia="宋体" w:cs="宋体"/>
          <w:b/>
          <w:color w:val="000000" w:themeColor="text1"/>
          <w:sz w:val="28"/>
          <w:szCs w:val="28"/>
          <w:highlight w:val="none"/>
          <w14:textFill>
            <w14:solidFill>
              <w14:schemeClr w14:val="tx1"/>
            </w14:solidFill>
          </w14:textFill>
        </w:rPr>
        <w:t>书</w:t>
      </w:r>
    </w:p>
    <w:p>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__________________（采购人名称）：</w:t>
      </w:r>
    </w:p>
    <w:p>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（法定代表人）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（投标单位名称）         </w:t>
      </w:r>
      <w:r>
        <w:rPr>
          <w:rFonts w:hint="eastAsia" w:ascii="宋体" w:hAnsi="宋体" w:eastAsia="宋体" w:cs="宋体"/>
          <w:color w:val="000000" w:themeColor="text1"/>
          <w:sz w:val="24"/>
          <w:szCs w:val="24"/>
          <w:highlight w:val="none"/>
          <w:lang w:val="en-US" w:eastAsia="zh-CN"/>
          <w14:textFill>
            <w14:solidFill>
              <w14:schemeClr w14:val="tx1"/>
            </w14:solidFill>
          </w14:textFill>
        </w:rPr>
        <w:t>的法定代表人，现委托</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（被委托人）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为我方代理人。代理人根据授权，以我方名义签署、澄清、说明、补正、递交、撤回、修改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（项目名称）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投标文件、签订合同和处理有关事宜，其法律后果由我方承担。</w:t>
      </w:r>
    </w:p>
    <w:p>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授权有效期</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w:t>
      </w: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特此声明。</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74" w:hRule="atLeast"/>
        </w:trPr>
        <w:tc>
          <w:tcPr>
            <w:tcW w:w="4247" w:type="dxa"/>
            <w:noWrap w:val="0"/>
            <w:vAlign w:val="center"/>
          </w:tcPr>
          <w:p>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center"/>
          </w:tcPr>
          <w:p>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trPr>
        <w:tc>
          <w:tcPr>
            <w:tcW w:w="4247" w:type="dxa"/>
            <w:noWrap w:val="0"/>
            <w:vAlign w:val="center"/>
          </w:tcPr>
          <w:p>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“正”面</w:t>
            </w:r>
          </w:p>
        </w:tc>
        <w:tc>
          <w:tcPr>
            <w:tcW w:w="4247" w:type="dxa"/>
            <w:noWrap w:val="0"/>
            <w:vAlign w:val="center"/>
          </w:tcPr>
          <w:p>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（附法人及授权委托人身份证）</w:t>
      </w: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（盖章）</w:t>
      </w: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(签字或盖章)</w:t>
      </w: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授权代表</w:t>
      </w:r>
      <w:r>
        <w:rPr>
          <w:rFonts w:hint="eastAsia" w:ascii="宋体" w:hAnsi="宋体" w:eastAsia="宋体" w:cs="宋体"/>
          <w:color w:val="000000" w:themeColor="text1"/>
          <w:sz w:val="24"/>
          <w:szCs w:val="24"/>
          <w:highlight w:val="none"/>
          <w:lang w:val="en-US" w:eastAsia="zh-CN"/>
          <w14:textFill>
            <w14:solidFill>
              <w14:schemeClr w14:val="tx1"/>
            </w14:solidFill>
          </w14:textFill>
        </w:rPr>
        <w:t>人</w:t>
      </w:r>
      <w:r>
        <w:rPr>
          <w:rFonts w:hint="eastAsia" w:ascii="宋体" w:hAnsi="宋体" w:eastAsia="宋体" w:cs="宋体"/>
          <w:color w:val="000000" w:themeColor="text1"/>
          <w:sz w:val="24"/>
          <w:szCs w:val="24"/>
          <w:highlight w:val="none"/>
          <w14:textFill>
            <w14:solidFill>
              <w14:schemeClr w14:val="tx1"/>
            </w14:solidFill>
          </w14:textFill>
        </w:rPr>
        <w:t>签字：</w:t>
      </w: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    期：</w:t>
      </w:r>
    </w:p>
    <w:p>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注：</w:t>
      </w:r>
      <w:r>
        <w:rPr>
          <w:rFonts w:hint="eastAsia" w:ascii="宋体" w:hAnsi="宋体" w:eastAsia="宋体" w:cs="宋体"/>
          <w:b/>
          <w:bCs/>
          <w:color w:val="000000" w:themeColor="text1"/>
          <w:sz w:val="28"/>
          <w:szCs w:val="28"/>
          <w:highlight w:val="none"/>
          <w14:textFill>
            <w14:solidFill>
              <w14:schemeClr w14:val="tx1"/>
            </w14:solidFill>
          </w14:textFill>
        </w:rPr>
        <w:t>如</w:t>
      </w:r>
      <w:r>
        <w:rPr>
          <w:rFonts w:hint="eastAsia" w:ascii="宋体" w:hAnsi="宋体" w:eastAsia="宋体" w:cs="宋体"/>
          <w:b/>
          <w:bCs/>
          <w:color w:val="000000" w:themeColor="text1"/>
          <w:sz w:val="28"/>
          <w:szCs w:val="28"/>
          <w:highlight w:val="none"/>
          <w:lang w:eastAsia="zh-CN"/>
          <w14:textFill>
            <w14:solidFill>
              <w14:schemeClr w14:val="tx1"/>
            </w14:solidFill>
          </w14:textFill>
        </w:rPr>
        <w:t>委托人</w:t>
      </w:r>
      <w:r>
        <w:rPr>
          <w:rFonts w:hint="eastAsia" w:ascii="宋体" w:hAnsi="宋体" w:eastAsia="宋体" w:cs="宋体"/>
          <w:b/>
          <w:bCs/>
          <w:color w:val="000000" w:themeColor="text1"/>
          <w:sz w:val="28"/>
          <w:szCs w:val="28"/>
          <w:highlight w:val="none"/>
          <w14:textFill>
            <w14:solidFill>
              <w14:schemeClr w14:val="tx1"/>
            </w14:solidFill>
          </w14:textFill>
        </w:rPr>
        <w:t>开标需</w:t>
      </w:r>
      <w:r>
        <w:rPr>
          <w:rFonts w:hint="eastAsia" w:ascii="宋体" w:hAnsi="宋体" w:eastAsia="宋体" w:cs="宋体"/>
          <w:b/>
          <w:bCs/>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bCs/>
          <w:color w:val="000000" w:themeColor="text1"/>
          <w:sz w:val="28"/>
          <w:szCs w:val="28"/>
          <w:highlight w:val="none"/>
          <w14:textFill>
            <w14:solidFill>
              <w14:schemeClr w14:val="tx1"/>
            </w14:solidFill>
          </w14:textFill>
        </w:rPr>
        <w:t>出示此表</w:t>
      </w:r>
      <w:r>
        <w:rPr>
          <w:rFonts w:hint="eastAsia" w:ascii="宋体" w:hAnsi="宋体" w:eastAsia="宋体" w:cs="宋体"/>
          <w:b/>
          <w:bCs/>
          <w:color w:val="000000" w:themeColor="text1"/>
          <w:sz w:val="28"/>
          <w:szCs w:val="28"/>
          <w:highlight w:val="none"/>
          <w:lang w:eastAsia="zh-CN"/>
          <w14:textFill>
            <w14:solidFill>
              <w14:schemeClr w14:val="tx1"/>
            </w14:solidFill>
          </w14:textFill>
        </w:rPr>
        <w:t>。</w:t>
      </w:r>
      <w:bookmarkEnd w:id="312"/>
      <w:bookmarkEnd w:id="313"/>
      <w:bookmarkStart w:id="319" w:name="_Toc3806"/>
      <w:bookmarkStart w:id="320" w:name="_Toc22721"/>
    </w:p>
    <w:p>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八、</w:t>
      </w:r>
      <w:bookmarkEnd w:id="319"/>
      <w:bookmarkEnd w:id="320"/>
      <w:r>
        <w:rPr>
          <w:rFonts w:hint="eastAsia" w:ascii="宋体" w:hAnsi="宋体" w:eastAsia="宋体" w:cs="宋体"/>
          <w:b/>
          <w:color w:val="000000" w:themeColor="text1"/>
          <w:sz w:val="28"/>
          <w:szCs w:val="28"/>
          <w:highlight w:val="none"/>
          <w:lang w:val="en-US" w:eastAsia="zh-CN"/>
          <w14:textFill>
            <w14:solidFill>
              <w14:schemeClr w14:val="tx1"/>
            </w14:solidFill>
          </w14:textFill>
        </w:rPr>
        <w:t>投标人基本情况一览表</w:t>
      </w:r>
    </w:p>
    <w:tbl>
      <w:tblPr>
        <w:tblStyle w:val="19"/>
        <w:tblW w:w="88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71"/>
        <w:gridCol w:w="988"/>
        <w:gridCol w:w="2568"/>
        <w:gridCol w:w="1363"/>
        <w:gridCol w:w="234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4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06"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注册地址</w:t>
            </w:r>
          </w:p>
        </w:tc>
        <w:tc>
          <w:tcPr>
            <w:tcW w:w="3556" w:type="dxa"/>
            <w:gridSpan w:val="2"/>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tc>
        <w:tc>
          <w:tcPr>
            <w:tcW w:w="2349"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vMerge w:val="restart"/>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98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256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76" w:hRule="atLeast"/>
          <w:jc w:val="center"/>
        </w:trPr>
        <w:tc>
          <w:tcPr>
            <w:tcW w:w="1571" w:type="dxa"/>
            <w:vMerge w:val="continue"/>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8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tc>
        <w:tc>
          <w:tcPr>
            <w:tcW w:w="256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网址</w:t>
            </w:r>
          </w:p>
        </w:tc>
        <w:tc>
          <w:tcPr>
            <w:tcW w:w="2349"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组织结构</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606"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p>
        </w:tc>
        <w:tc>
          <w:tcPr>
            <w:tcW w:w="98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2568"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成立时间</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企业资质</w:t>
            </w:r>
          </w:p>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等级</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营业执照号</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注册资金</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基本账户</w:t>
            </w:r>
          </w:p>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账号</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220"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经营范围</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132" w:hRule="atLeast"/>
          <w:jc w:val="center"/>
        </w:trPr>
        <w:tc>
          <w:tcPr>
            <w:tcW w:w="1571" w:type="dxa"/>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c>
          <w:tcPr>
            <w:tcW w:w="7268" w:type="dxa"/>
            <w:gridSpan w:val="4"/>
            <w:tcBorders>
              <w:tl2br w:val="nil"/>
              <w:tr2bl w:val="nil"/>
            </w:tcBorders>
            <w:noWrap w:val="0"/>
            <w:vAlign w:val="center"/>
          </w:tcPr>
          <w:p>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pageBreakBefore w:val="0"/>
        <w:kinsoku/>
        <w:wordWrap/>
        <w:overflowPunct/>
        <w:topLinePunct w:val="0"/>
        <w:autoSpaceDE/>
        <w:autoSpaceDN/>
        <w:bidi w:val="0"/>
        <w:spacing w:line="360" w:lineRule="auto"/>
        <w:ind w:left="0" w:leftChars="0"/>
        <w:jc w:val="both"/>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注：后附营业执照、资质证书、开户许可证、进疆备案登记册（如是外地投标人）等材料的复印件。</w:t>
      </w: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numPr>
          <w:ilvl w:val="0"/>
          <w:numId w:val="3"/>
        </w:numPr>
        <w:topLinePunct/>
        <w:spacing w:line="400" w:lineRule="exact"/>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项目管理机构</w:t>
      </w:r>
    </w:p>
    <w:p>
      <w:pPr>
        <w:pStyle w:val="32"/>
        <w:numPr>
          <w:ilvl w:val="0"/>
          <w:numId w:val="0"/>
        </w:numPr>
        <w:rPr>
          <w:rFonts w:hint="eastAsia" w:ascii="宋体" w:hAnsi="宋体" w:eastAsia="宋体" w:cs="宋体"/>
          <w:color w:val="000000" w:themeColor="text1"/>
          <w:sz w:val="28"/>
          <w:szCs w:val="28"/>
          <w:highlight w:val="none"/>
          <w14:textFill>
            <w14:solidFill>
              <w14:schemeClr w14:val="tx1"/>
            </w14:solidFill>
          </w14:textFill>
        </w:rPr>
      </w:pPr>
    </w:p>
    <w:p>
      <w:pPr>
        <w:pStyle w:val="32"/>
        <w:numPr>
          <w:ilvl w:val="0"/>
          <w:numId w:val="0"/>
        </w:num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项目管理机构组成表</w:t>
      </w:r>
    </w:p>
    <w:tbl>
      <w:tblPr>
        <w:tblStyle w:val="19"/>
        <w:tblW w:w="9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1153"/>
        <w:gridCol w:w="929"/>
        <w:gridCol w:w="1157"/>
        <w:gridCol w:w="803"/>
        <w:gridCol w:w="1317"/>
        <w:gridCol w:w="801"/>
        <w:gridCol w:w="1166"/>
        <w:gridCol w:w="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restart"/>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职务</w:t>
            </w:r>
          </w:p>
        </w:tc>
        <w:tc>
          <w:tcPr>
            <w:tcW w:w="1153" w:type="dxa"/>
            <w:vMerge w:val="restart"/>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929" w:type="dxa"/>
            <w:vMerge w:val="restart"/>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职称</w:t>
            </w:r>
          </w:p>
        </w:tc>
        <w:tc>
          <w:tcPr>
            <w:tcW w:w="5244" w:type="dxa"/>
            <w:gridSpan w:val="5"/>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执业或职业资格证明</w:t>
            </w:r>
          </w:p>
        </w:tc>
        <w:tc>
          <w:tcPr>
            <w:tcW w:w="742"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continue"/>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3" w:type="dxa"/>
            <w:vMerge w:val="continue"/>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vMerge w:val="continue"/>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证书名称</w:t>
            </w:r>
          </w:p>
        </w:tc>
        <w:tc>
          <w:tcPr>
            <w:tcW w:w="803"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级别</w:t>
            </w:r>
          </w:p>
        </w:tc>
        <w:tc>
          <w:tcPr>
            <w:tcW w:w="1317"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证号</w:t>
            </w:r>
          </w:p>
        </w:tc>
        <w:tc>
          <w:tcPr>
            <w:tcW w:w="801"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w:t>
            </w:r>
          </w:p>
        </w:tc>
        <w:tc>
          <w:tcPr>
            <w:tcW w:w="1166" w:type="dxa"/>
            <w:noWrap w:val="0"/>
            <w:vAlign w:val="center"/>
          </w:tcPr>
          <w:p>
            <w:pPr>
              <w:spacing w:line="440" w:lineRule="exact"/>
              <w:ind w:right="109" w:rightChars="52"/>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养老保险</w:t>
            </w:r>
          </w:p>
        </w:tc>
        <w:tc>
          <w:tcPr>
            <w:tcW w:w="742" w:type="dxa"/>
            <w:noWrap w:val="0"/>
            <w:vAlign w:val="center"/>
          </w:tcPr>
          <w:p>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1468"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c>
          <w:tcPr>
            <w:tcW w:w="1153"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项目技术负责人</w:t>
            </w:r>
          </w:p>
        </w:tc>
        <w:tc>
          <w:tcPr>
            <w:tcW w:w="1153"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施工员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质检员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安全员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资料员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材料员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68" w:type="dxa"/>
            <w:noWrap w:val="0"/>
            <w:vAlign w:val="center"/>
          </w:tcPr>
          <w:p>
            <w:pPr>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预算员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68" w:type="dxa"/>
            <w:noWrap w:val="0"/>
            <w:vAlign w:val="center"/>
          </w:tcPr>
          <w:p>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其他人员</w:t>
            </w:r>
          </w:p>
        </w:tc>
        <w:tc>
          <w:tcPr>
            <w:tcW w:w="115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spacing w:line="440" w:lineRule="exac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  如不真实，将按照有关规定接受处理。</w:t>
      </w:r>
    </w:p>
    <w:p>
      <w:pPr>
        <w:spacing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xml:space="preserve">    </w:t>
      </w:r>
    </w:p>
    <w:p>
      <w:pPr>
        <w:spacing w:line="360" w:lineRule="auto"/>
        <w:jc w:val="left"/>
        <w:rPr>
          <w:rFonts w:hint="eastAsia" w:ascii="宋体" w:hAnsi="宋体" w:eastAsia="宋体" w:cs="宋体"/>
          <w:color w:val="000000" w:themeColor="text1"/>
          <w:kern w:val="0"/>
          <w:sz w:val="28"/>
          <w:szCs w:val="28"/>
          <w:highlight w:val="none"/>
          <w14:textFill>
            <w14:solidFill>
              <w14:schemeClr w14:val="tx1"/>
            </w14:solidFill>
          </w14:textFill>
        </w:rPr>
      </w:pPr>
    </w:p>
    <w:p>
      <w:pPr>
        <w:spacing w:line="360" w:lineRule="auto"/>
        <w:jc w:val="left"/>
        <w:rPr>
          <w:rFonts w:hint="eastAsia" w:ascii="宋体" w:hAnsi="宋体" w:eastAsia="宋体" w:cs="宋体"/>
          <w:color w:val="000000" w:themeColor="text1"/>
          <w:sz w:val="28"/>
          <w:szCs w:val="28"/>
          <w:highlight w:val="none"/>
          <w14:textFill>
            <w14:solidFill>
              <w14:schemeClr w14:val="tx1"/>
            </w14:solidFill>
          </w14:textFill>
        </w:rPr>
      </w:pPr>
    </w:p>
    <w:p>
      <w:pPr>
        <w:spacing w:line="440" w:lineRule="exact"/>
        <w:jc w:val="left"/>
        <w:rPr>
          <w:rFonts w:hint="eastAsia" w:ascii="宋体" w:hAnsi="宋体" w:eastAsia="宋体" w:cs="宋体"/>
          <w:color w:val="000000" w:themeColor="text1"/>
          <w:sz w:val="28"/>
          <w:szCs w:val="28"/>
          <w:highlight w:val="none"/>
          <w14:textFill>
            <w14:solidFill>
              <w14:schemeClr w14:val="tx1"/>
            </w14:solidFill>
          </w14:textFill>
        </w:rPr>
      </w:pPr>
    </w:p>
    <w:p>
      <w:pPr>
        <w:topLinePunct/>
        <w:spacing w:line="40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现场主要人员简历表</w:t>
      </w:r>
    </w:p>
    <w:p>
      <w:pPr>
        <w:spacing w:line="420" w:lineRule="exact"/>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１）项目经理简历表</w:t>
      </w:r>
    </w:p>
    <w:p>
      <w:pPr>
        <w:spacing w:line="42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tbl>
      <w:tblPr>
        <w:tblStyle w:val="19"/>
        <w:tblW w:w="9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507"/>
        <w:gridCol w:w="528"/>
        <w:gridCol w:w="507"/>
        <w:gridCol w:w="627"/>
        <w:gridCol w:w="507"/>
        <w:gridCol w:w="768"/>
        <w:gridCol w:w="507"/>
        <w:gridCol w:w="1336"/>
        <w:gridCol w:w="50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龄</w:t>
            </w: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w:t>
            </w:r>
          </w:p>
        </w:tc>
        <w:tc>
          <w:tcPr>
            <w:tcW w:w="2126"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称</w:t>
            </w: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务</w:t>
            </w: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拟在本工程任职</w:t>
            </w:r>
          </w:p>
        </w:tc>
        <w:tc>
          <w:tcPr>
            <w:tcW w:w="2126"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注册建造师执业资格等级</w:t>
            </w: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w:t>
            </w: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建造师专业</w:t>
            </w: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w:t>
            </w:r>
          </w:p>
        </w:tc>
        <w:tc>
          <w:tcPr>
            <w:tcW w:w="5751" w:type="dxa"/>
            <w:gridSpan w:val="6"/>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7920" w:type="dxa"/>
            <w:gridSpan w:val="10"/>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2" w:type="dxa"/>
            <w:gridSpan w:val="11"/>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  间</w:t>
            </w:r>
          </w:p>
        </w:tc>
        <w:tc>
          <w:tcPr>
            <w:tcW w:w="3444" w:type="dxa"/>
            <w:gridSpan w:val="6"/>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参加过的项目名称</w:t>
            </w: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工程概况说明</w:t>
            </w: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p>
        </w:tc>
      </w:tr>
    </w:tbl>
    <w:p>
      <w:pPr>
        <w:pStyle w:val="11"/>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p>
    <w:p>
      <w:pPr>
        <w:pStyle w:val="11"/>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注：本工程一旦我单位中标，将配备上述项目管理人员。上述填报内容真实，如不真实，将按照有关规定接受处理。</w:t>
      </w:r>
    </w:p>
    <w:p>
      <w:pPr>
        <w:spacing w:line="44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２）主要项目管理人员简历表</w:t>
      </w:r>
    </w:p>
    <w:p>
      <w:pPr>
        <w:spacing w:line="42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tbl>
      <w:tblPr>
        <w:tblStyle w:val="19"/>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715"/>
        <w:gridCol w:w="3420"/>
        <w:gridCol w:w="1261"/>
        <w:gridCol w:w="2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900" w:type="dxa"/>
            <w:gridSpan w:val="5"/>
            <w:noWrap w:val="0"/>
            <w:vAlign w:val="center"/>
          </w:tcPr>
          <w:p>
            <w:pPr>
              <w:spacing w:line="42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岗位名称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3420"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年龄</w:t>
            </w:r>
          </w:p>
        </w:tc>
        <w:tc>
          <w:tcPr>
            <w:tcW w:w="2296"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性别</w:t>
            </w:r>
          </w:p>
        </w:tc>
        <w:tc>
          <w:tcPr>
            <w:tcW w:w="3420"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2296"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学历和专业</w:t>
            </w:r>
          </w:p>
        </w:tc>
        <w:tc>
          <w:tcPr>
            <w:tcW w:w="3420"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毕业时间</w:t>
            </w:r>
          </w:p>
        </w:tc>
        <w:tc>
          <w:tcPr>
            <w:tcW w:w="2296"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拥有的执业资格</w:t>
            </w:r>
          </w:p>
        </w:tc>
        <w:tc>
          <w:tcPr>
            <w:tcW w:w="3420"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专业职称</w:t>
            </w:r>
          </w:p>
        </w:tc>
        <w:tc>
          <w:tcPr>
            <w:tcW w:w="2296" w:type="dxa"/>
            <w:noWrap w:val="0"/>
            <w:vAlign w:val="top"/>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执业资格证书编号</w:t>
            </w:r>
          </w:p>
        </w:tc>
        <w:tc>
          <w:tcPr>
            <w:tcW w:w="3420"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工作年限</w:t>
            </w:r>
          </w:p>
        </w:tc>
        <w:tc>
          <w:tcPr>
            <w:tcW w:w="2296"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08" w:type="dxa"/>
            <w:noWrap w:val="0"/>
            <w:vAlign w:val="center"/>
          </w:tcPr>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主要工作业绩及担任的主要工作</w:t>
            </w: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692" w:type="dxa"/>
            <w:gridSpan w:val="4"/>
            <w:noWrap w:val="0"/>
            <w:vAlign w:val="center"/>
          </w:tcPr>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近年完成的工程业绩表</w:t>
      </w:r>
    </w:p>
    <w:tbl>
      <w:tblPr>
        <w:tblStyle w:val="19"/>
        <w:tblW w:w="89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4"/>
        <w:gridCol w:w="6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序号</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项目名称</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项目所在地</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发包人名称</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发包人地址</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发包人联系人</w:t>
            </w:r>
          </w:p>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合同价格</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开工日期</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竣工日期</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承担的工作</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工程质量</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项目负责人</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技术负责人</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总监理工程师</w:t>
            </w:r>
          </w:p>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项目描述</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2814" w:type="dxa"/>
            <w:noWrap w:val="0"/>
            <w:vAlign w:val="center"/>
          </w:tcPr>
          <w:p>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备注</w:t>
            </w:r>
          </w:p>
        </w:tc>
        <w:tc>
          <w:tcPr>
            <w:tcW w:w="6094" w:type="dxa"/>
            <w:noWrap w:val="0"/>
            <w:vAlign w:val="center"/>
          </w:tcPr>
          <w:p>
            <w:pPr>
              <w:widowControl w:val="0"/>
              <w:spacing w:line="440" w:lineRule="exact"/>
              <w:jc w:val="center"/>
              <w:rPr>
                <w:rFonts w:ascii="宋体" w:hAnsi="宋体" w:eastAsia="宋体" w:cs="宋体"/>
                <w:kern w:val="2"/>
                <w:sz w:val="32"/>
                <w:szCs w:val="32"/>
                <w:lang w:val="en-US" w:eastAsia="zh-CN" w:bidi="ar-SA"/>
              </w:rPr>
            </w:pPr>
          </w:p>
        </w:tc>
      </w:tr>
    </w:tbl>
    <w:p>
      <w:pPr>
        <w:spacing w:line="440" w:lineRule="exact"/>
        <w:jc w:val="left"/>
        <w:rPr>
          <w:rFonts w:ascii="宋体" w:hAnsi="宋体" w:cs="宋体"/>
          <w:b/>
          <w:bCs/>
          <w:sz w:val="28"/>
          <w:szCs w:val="28"/>
        </w:rPr>
      </w:pPr>
      <w:r>
        <w:rPr>
          <w:rFonts w:hint="eastAsia" w:ascii="宋体" w:hAnsi="宋体" w:cs="宋体"/>
          <w:b/>
          <w:bCs/>
          <w:sz w:val="28"/>
          <w:szCs w:val="28"/>
        </w:rPr>
        <w:t>注：</w:t>
      </w:r>
    </w:p>
    <w:p>
      <w:pPr>
        <w:spacing w:line="440" w:lineRule="exact"/>
        <w:ind w:firstLine="562" w:firstLineChars="200"/>
        <w:jc w:val="left"/>
        <w:rPr>
          <w:rFonts w:ascii="宋体" w:hAnsi="宋体" w:cs="宋体"/>
          <w:b/>
          <w:bCs/>
          <w:sz w:val="28"/>
          <w:szCs w:val="28"/>
        </w:rPr>
      </w:pPr>
      <w:r>
        <w:rPr>
          <w:rFonts w:hint="eastAsia" w:ascii="宋体" w:hAnsi="宋体" w:cs="宋体"/>
          <w:b/>
          <w:bCs/>
          <w:sz w:val="28"/>
          <w:szCs w:val="28"/>
        </w:rPr>
        <w:t>1、</w:t>
      </w:r>
      <w:r>
        <w:rPr>
          <w:rFonts w:hint="eastAsia" w:ascii="宋体" w:hAnsi="宋体" w:cs="宋体"/>
          <w:b/>
          <w:bCs/>
          <w:sz w:val="28"/>
          <w:szCs w:val="28"/>
          <w:lang w:val="en-US" w:eastAsia="zh-CN"/>
        </w:rPr>
        <w:t>工程</w:t>
      </w:r>
      <w:r>
        <w:rPr>
          <w:rFonts w:hint="eastAsia" w:ascii="宋体" w:hAnsi="宋体" w:cs="宋体"/>
          <w:b/>
          <w:bCs/>
          <w:sz w:val="28"/>
          <w:szCs w:val="28"/>
        </w:rPr>
        <w:t>项目指与发包工程建设规模相似、结构类型、使用功能相同的房屋建筑和市政基础设施工程项目。</w:t>
      </w:r>
    </w:p>
    <w:p>
      <w:pPr>
        <w:spacing w:line="440" w:lineRule="exact"/>
        <w:ind w:firstLine="562" w:firstLineChars="200"/>
        <w:jc w:val="left"/>
        <w:rPr>
          <w:rFonts w:hint="eastAsia" w:ascii="宋体" w:hAnsi="宋体" w:cs="宋体"/>
          <w:b/>
          <w:bCs/>
          <w:sz w:val="28"/>
          <w:szCs w:val="28"/>
        </w:rPr>
      </w:pPr>
      <w:r>
        <w:rPr>
          <w:rFonts w:hint="eastAsia" w:ascii="宋体" w:hAnsi="宋体" w:cs="宋体"/>
          <w:b/>
          <w:bCs/>
          <w:sz w:val="28"/>
          <w:szCs w:val="28"/>
        </w:rPr>
        <w:t>2、本表后附中标通知书（如有）或发包通知书（如有）、合同协议书、工程接收证书或工程竣工验收证书（表）的扫描件，具体年份要求见投标人须知前附表。每张表格只填写一个项目，并标明序号（示例：序号2-1，2是指投标人此次投标共填报2项工程业绩，1是指投标人2项业绩中的第1项工程业绩，依次类推2-1，2-2）。</w:t>
      </w:r>
    </w:p>
    <w:p>
      <w:pPr>
        <w:spacing w:line="440" w:lineRule="exact"/>
        <w:ind w:firstLine="640" w:firstLineChars="200"/>
        <w:jc w:val="center"/>
        <w:rPr>
          <w:rFonts w:hint="eastAsia" w:ascii="宋体" w:hAnsi="宋体" w:cs="宋体"/>
          <w:b/>
          <w:bCs/>
          <w:sz w:val="28"/>
          <w:szCs w:val="28"/>
        </w:rPr>
      </w:pPr>
      <w:bookmarkStart w:id="321" w:name="_Toc256000148"/>
      <w:r>
        <w:rPr>
          <w:rFonts w:ascii="黑体" w:hAnsi="黑体" w:eastAsia="黑体" w:cs="黑体"/>
          <w:kern w:val="0"/>
          <w:sz w:val="32"/>
          <w:szCs w:val="24"/>
          <w:lang w:eastAsia="en-US"/>
        </w:rPr>
        <w:t>十一、拟分包项目情况表</w:t>
      </w:r>
      <w:bookmarkEnd w:id="321"/>
    </w:p>
    <w:tbl>
      <w:tblPr>
        <w:tblStyle w:val="19"/>
        <w:tblpPr w:leftFromText="180" w:rightFromText="180" w:vertAnchor="text" w:horzAnchor="margin" w:tblpXSpec="center" w:tblpY="5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6"/>
        <w:gridCol w:w="2415"/>
        <w:gridCol w:w="2019"/>
        <w:gridCol w:w="2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分包人名称</w:t>
            </w: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地 址</w:t>
            </w:r>
          </w:p>
        </w:tc>
        <w:tc>
          <w:tcPr>
            <w:tcW w:w="2394" w:type="dxa"/>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法定代表人</w:t>
            </w: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电 话</w:t>
            </w:r>
          </w:p>
        </w:tc>
        <w:tc>
          <w:tcPr>
            <w:tcW w:w="2394" w:type="dxa"/>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统一社会信用代码</w:t>
            </w: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资质等级</w:t>
            </w:r>
          </w:p>
        </w:tc>
        <w:tc>
          <w:tcPr>
            <w:tcW w:w="2394" w:type="dxa"/>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拟分包的工程项目</w:t>
            </w:r>
          </w:p>
        </w:tc>
        <w:tc>
          <w:tcPr>
            <w:tcW w:w="2415"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主 要 内 容</w:t>
            </w:r>
          </w:p>
        </w:tc>
        <w:tc>
          <w:tcPr>
            <w:tcW w:w="2019"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预计造价</w:t>
            </w:r>
          </w:p>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（万元）</w:t>
            </w:r>
          </w:p>
        </w:tc>
        <w:tc>
          <w:tcPr>
            <w:tcW w:w="2394" w:type="dxa"/>
            <w:noWrap w:val="0"/>
            <w:vAlign w:val="center"/>
          </w:tcPr>
          <w:p>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有关业绩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restart"/>
            <w:noWrap w:val="0"/>
            <w:vAlign w:val="center"/>
          </w:tcPr>
          <w:p>
            <w:pPr>
              <w:widowControl w:val="0"/>
              <w:jc w:val="both"/>
              <w:rPr>
                <w:rFonts w:ascii="Times New Roman" w:hAnsi="Times New Roman" w:eastAsia="宋体"/>
                <w:kern w:val="2"/>
                <w:sz w:val="21"/>
                <w:szCs w:val="24"/>
                <w:lang w:val="en-US" w:eastAsia="zh-CN" w:bidi="ar-SA"/>
              </w:rPr>
            </w:pPr>
          </w:p>
          <w:p>
            <w:pPr>
              <w:widowControl w:val="0"/>
              <w:jc w:val="both"/>
              <w:rPr>
                <w:rFonts w:ascii="Times New Roman" w:hAnsi="Times New Roman" w:eastAsia="宋体"/>
                <w:kern w:val="2"/>
                <w:sz w:val="21"/>
                <w:szCs w:val="24"/>
                <w:lang w:val="en-US" w:eastAsia="zh-CN" w:bidi="ar-SA"/>
              </w:rPr>
            </w:pPr>
          </w:p>
          <w:p>
            <w:pPr>
              <w:widowControl w:val="0"/>
              <w:jc w:val="both"/>
              <w:rPr>
                <w:rFonts w:ascii="Times New Roman" w:hAnsi="Times New Roman" w:eastAsia="宋体"/>
                <w:kern w:val="2"/>
                <w:sz w:val="21"/>
                <w:szCs w:val="24"/>
                <w:lang w:val="en-US" w:eastAsia="zh-CN" w:bidi="ar-SA"/>
              </w:rPr>
            </w:pPr>
          </w:p>
          <w:p>
            <w:pPr>
              <w:widowControl w:val="0"/>
              <w:jc w:val="both"/>
              <w:rPr>
                <w:rFonts w:ascii="Times New Roman" w:hAnsi="Times New Roman" w:eastAsia="宋体"/>
                <w:kern w:val="2"/>
                <w:sz w:val="21"/>
                <w:szCs w:val="24"/>
                <w:lang w:val="en-US" w:eastAsia="zh-CN" w:bidi="ar-SA"/>
              </w:rPr>
            </w:pPr>
          </w:p>
          <w:p>
            <w:pPr>
              <w:widowControl w:val="0"/>
              <w:jc w:val="both"/>
              <w:rPr>
                <w:rFonts w:ascii="Times New Roman" w:hAnsi="Times New Roman" w:eastAsia="宋体"/>
                <w:kern w:val="2"/>
                <w:sz w:val="21"/>
                <w:szCs w:val="24"/>
                <w:lang w:val="en-US" w:eastAsia="zh-CN" w:bidi="ar-SA"/>
              </w:rPr>
            </w:pPr>
          </w:p>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pPr>
              <w:widowControl w:val="0"/>
              <w:jc w:val="both"/>
              <w:rPr>
                <w:rFonts w:ascii="Times New Roman" w:hAnsi="Times New Roman" w:eastAsia="宋体"/>
                <w:kern w:val="2"/>
                <w:sz w:val="21"/>
                <w:szCs w:val="24"/>
                <w:lang w:val="en-US" w:eastAsia="zh-CN" w:bidi="ar-SA"/>
              </w:rPr>
            </w:pPr>
          </w:p>
        </w:tc>
        <w:tc>
          <w:tcPr>
            <w:tcW w:w="2415" w:type="dxa"/>
            <w:noWrap w:val="0"/>
            <w:vAlign w:val="center"/>
          </w:tcPr>
          <w:p>
            <w:pPr>
              <w:widowControl w:val="0"/>
              <w:jc w:val="both"/>
              <w:rPr>
                <w:rFonts w:ascii="Times New Roman" w:hAnsi="Times New Roman" w:eastAsia="宋体"/>
                <w:kern w:val="2"/>
                <w:sz w:val="21"/>
                <w:szCs w:val="24"/>
                <w:lang w:val="en-US" w:eastAsia="zh-CN" w:bidi="ar-SA"/>
              </w:rPr>
            </w:pPr>
          </w:p>
        </w:tc>
        <w:tc>
          <w:tcPr>
            <w:tcW w:w="2019" w:type="dxa"/>
            <w:noWrap w:val="0"/>
            <w:vAlign w:val="center"/>
          </w:tcPr>
          <w:p>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pPr>
              <w:widowControl w:val="0"/>
              <w:jc w:val="both"/>
              <w:rPr>
                <w:rFonts w:ascii="Times New Roman" w:hAnsi="Times New Roman" w:eastAsia="宋体"/>
                <w:kern w:val="2"/>
                <w:sz w:val="21"/>
                <w:szCs w:val="24"/>
                <w:lang w:val="en-US" w:eastAsia="zh-CN" w:bidi="ar-SA"/>
              </w:rPr>
            </w:pPr>
          </w:p>
        </w:tc>
      </w:tr>
    </w:tbl>
    <w:p>
      <w:pPr>
        <w:keepNext w:val="0"/>
        <w:keepLines w:val="0"/>
        <w:pageBreakBefore w:val="0"/>
        <w:widowControl w:val="0"/>
        <w:numPr>
          <w:ilvl w:val="0"/>
          <w:numId w:val="0"/>
        </w:numPr>
        <w:kinsoku/>
        <w:wordWrap/>
        <w:overflowPunct/>
        <w:topLinePunct w:val="0"/>
        <w:autoSpaceDE/>
        <w:autoSpaceDN/>
        <w:bidi w:val="0"/>
        <w:adjustRightInd/>
        <w:snapToGrid/>
        <w:ind w:leftChars="0"/>
        <w:jc w:val="both"/>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cs="宋体"/>
          <w:b/>
          <w:bCs/>
          <w:color w:val="000000" w:themeColor="text1"/>
          <w:sz w:val="28"/>
          <w:szCs w:val="28"/>
          <w:highlight w:val="none"/>
          <w:lang w:val="en-US" w:eastAsia="zh-CN"/>
          <w14:textFill>
            <w14:solidFill>
              <w14:schemeClr w14:val="tx1"/>
            </w14:solidFill>
          </w14:textFill>
        </w:rPr>
        <w:t>十二、</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完税证明</w:t>
      </w:r>
      <w:r>
        <w:rPr>
          <w:rFonts w:hint="eastAsia" w:ascii="宋体" w:hAnsi="宋体" w:cs="宋体"/>
          <w:b/>
          <w:bCs/>
          <w:color w:val="000000" w:themeColor="text1"/>
          <w:sz w:val="28"/>
          <w:szCs w:val="28"/>
          <w:highlight w:val="none"/>
          <w:lang w:val="en-US" w:eastAsia="zh-CN"/>
          <w14:textFill>
            <w14:solidFill>
              <w14:schemeClr w14:val="tx1"/>
            </w14:solidFill>
          </w14:textFill>
        </w:rPr>
        <w:t>及社保</w:t>
      </w:r>
    </w:p>
    <w:p>
      <w:pPr>
        <w:keepNext w:val="0"/>
        <w:keepLines w:val="0"/>
        <w:pageBreakBefore w:val="0"/>
        <w:widowControl w:val="0"/>
        <w:kinsoku/>
        <w:wordWrap/>
        <w:overflowPunct/>
        <w:topLinePunct w:val="0"/>
        <w:autoSpaceDE/>
        <w:autoSpaceDN/>
        <w:bidi w:val="0"/>
        <w:adjustRightInd/>
        <w:snapToGrid/>
        <w:spacing w:line="500" w:lineRule="exact"/>
        <w:ind w:left="840" w:leftChars="266" w:hanging="281"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具有良好的商业信誉和健全的财务会计制度：提供2023年或2024年由第三方审计机构出具的审计报告（2025年01月01日起至今成立的</w:t>
      </w:r>
      <w:r>
        <w:rPr>
          <w:rFonts w:hint="eastAsia" w:ascii="宋体" w:hAnsi="宋体" w:cs="宋体"/>
          <w:color w:val="000000" w:themeColor="text1"/>
          <w:sz w:val="28"/>
          <w:szCs w:val="28"/>
          <w:highlight w:val="none"/>
          <w:lang w:val="en-US" w:eastAsia="zh-CN"/>
          <w14:textFill>
            <w14:solidFill>
              <w14:schemeClr w14:val="tx1"/>
            </w14:solidFill>
          </w14:textFill>
        </w:rPr>
        <w:t>公司可不</w:t>
      </w:r>
      <w:r>
        <w:rPr>
          <w:rFonts w:hint="eastAsia" w:ascii="宋体" w:hAnsi="宋体" w:eastAsia="宋体" w:cs="宋体"/>
          <w:color w:val="000000" w:themeColor="text1"/>
          <w:sz w:val="28"/>
          <w:szCs w:val="28"/>
          <w:highlight w:val="none"/>
          <w:lang w:val="en-US" w:eastAsia="zh-CN"/>
          <w14:textFill>
            <w14:solidFill>
              <w14:schemeClr w14:val="tx1"/>
            </w14:solidFill>
          </w14:textFill>
        </w:rPr>
        <w:t>提供）。</w:t>
      </w:r>
    </w:p>
    <w:p>
      <w:pPr>
        <w:pStyle w:val="33"/>
        <w:jc w:val="center"/>
        <w:rPr>
          <w:rFonts w:hint="eastAsia" w:ascii="宋体" w:hAnsi="宋体" w:eastAsia="宋体" w:cs="宋体"/>
          <w:b/>
          <w:bCs/>
          <w:color w:val="FF0000"/>
          <w:sz w:val="28"/>
          <w:szCs w:val="28"/>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四</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、中小企业声明函（服务、工程）</w:t>
      </w:r>
    </w:p>
    <w:p>
      <w:pPr>
        <w:pStyle w:val="8"/>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pPr>
        <w:pStyle w:val="8"/>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本公司（联合体）郑重声明，根据《政府采购促进中小企业发展</w:t>
      </w: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管理办法》（财库[2020]46</w:t>
      </w:r>
      <w:r>
        <w:rPr>
          <w:rFonts w:hint="eastAsia" w:ascii="宋体" w:hAnsi="宋体" w:eastAsia="宋体" w:cs="宋体"/>
          <w:color w:val="000000" w:themeColor="text1"/>
          <w:spacing w:val="-4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号）的规定，本公司（联合体）参加</w:t>
      </w:r>
      <w:r>
        <w:rPr>
          <w:rFonts w:hint="eastAsia" w:ascii="宋体" w:hAnsi="宋体" w:eastAsia="宋体" w:cs="宋体"/>
          <w:color w:val="000000" w:themeColor="text1"/>
          <w:spacing w:val="-6"/>
          <w:sz w:val="24"/>
          <w:szCs w:val="24"/>
          <w:highlight w:val="none"/>
          <w:u w:val="single" w:color="auto"/>
          <w14:textFill>
            <w14:solidFill>
              <w14:schemeClr w14:val="tx1"/>
            </w14:solidFill>
          </w14:textFill>
        </w:rPr>
        <w:t>（单</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位名称）</w:t>
      </w:r>
      <w:r>
        <w:rPr>
          <w:rFonts w:hint="eastAsia" w:ascii="宋体" w:hAnsi="宋体" w:eastAsia="宋体" w:cs="宋体"/>
          <w:color w:val="000000" w:themeColor="text1"/>
          <w:spacing w:val="-4"/>
          <w:sz w:val="24"/>
          <w:szCs w:val="24"/>
          <w:highlight w:val="none"/>
          <w14:textFill>
            <w14:solidFill>
              <w14:schemeClr w14:val="tx1"/>
            </w14:solidFill>
          </w14:textFill>
        </w:rPr>
        <w:t>的</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（项目名称）</w:t>
      </w:r>
      <w:r>
        <w:rPr>
          <w:rFonts w:hint="eastAsia" w:ascii="宋体" w:hAnsi="宋体" w:eastAsia="宋体" w:cs="宋体"/>
          <w:color w:val="000000" w:themeColor="text1"/>
          <w:spacing w:val="-4"/>
          <w:sz w:val="24"/>
          <w:szCs w:val="24"/>
          <w:highlight w:val="none"/>
          <w14:textFill>
            <w14:solidFill>
              <w14:schemeClr w14:val="tx1"/>
            </w14:solidFill>
          </w14:textFill>
        </w:rPr>
        <w:t>采购活动，提供的货物全部由符合政策要求</w:t>
      </w:r>
      <w:r>
        <w:rPr>
          <w:rFonts w:hint="eastAsia" w:ascii="宋体" w:hAnsi="宋体" w:eastAsia="宋体" w:cs="宋体"/>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的中小企业制造。相关企业（含联合体中的中小企业、签订分包意向</w:t>
      </w:r>
      <w:r>
        <w:rPr>
          <w:rFonts w:hint="eastAsia" w:ascii="宋体" w:hAnsi="宋体" w:eastAsia="宋体" w:cs="宋体"/>
          <w:color w:val="000000" w:themeColor="text1"/>
          <w:spacing w:val="-1"/>
          <w:sz w:val="24"/>
          <w:szCs w:val="24"/>
          <w:highlight w:val="none"/>
          <w14:textFill>
            <w14:solidFill>
              <w14:schemeClr w14:val="tx1"/>
            </w14:solidFill>
          </w14:textFill>
        </w:rPr>
        <w:t>协议的中小企业）的具体情况如下：</w:t>
      </w:r>
    </w:p>
    <w:p>
      <w:pPr>
        <w:spacing w:before="175" w:line="335" w:lineRule="auto"/>
        <w:ind w:left="28" w:right="13" w:firstLine="57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1.</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属于</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10"/>
          <w:sz w:val="24"/>
          <w:szCs w:val="24"/>
          <w:highlight w:val="none"/>
          <w14:textFill>
            <w14:solidFill>
              <w14:schemeClr w14:val="tx1"/>
            </w14:solidFill>
          </w14:textFill>
        </w:rPr>
        <w:t>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60"/>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60"/>
          <w:sz w:val="24"/>
          <w:szCs w:val="24"/>
          <w:highlight w:val="none"/>
          <w14:textFill>
            <w14:solidFill>
              <w14:schemeClr w14:val="tx1"/>
            </w14:solidFill>
          </w14:textFill>
        </w:rPr>
        <w:t>，</w:t>
      </w:r>
      <w:r>
        <w:rPr>
          <w:rFonts w:hint="eastAsia" w:ascii="宋体" w:hAnsi="宋体" w:eastAsia="宋体" w:cs="宋体"/>
          <w:color w:val="000000" w:themeColor="text1"/>
          <w:spacing w:val="-10"/>
          <w:sz w:val="24"/>
          <w:szCs w:val="24"/>
          <w:highlight w:val="none"/>
          <w14:textFill>
            <w14:solidFill>
              <w14:schemeClr w14:val="tx1"/>
            </w14:solidFill>
          </w14:textFill>
        </w:rPr>
        <w:t>从业人员</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5"/>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人，营业收入为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3"/>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万元，资产总额为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1"/>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w:t>
      </w:r>
      <w:r>
        <w:rPr>
          <w:rFonts w:hint="eastAsia" w:ascii="宋体" w:hAnsi="宋体" w:eastAsia="宋体" w:cs="宋体"/>
          <w:color w:val="000000" w:themeColor="text1"/>
          <w:spacing w:val="-1"/>
          <w:sz w:val="24"/>
          <w:szCs w:val="24"/>
          <w:highlight w:val="none"/>
          <w14:textFill>
            <w14:solidFill>
              <w14:schemeClr w14:val="tx1"/>
            </w14:solidFill>
          </w14:textFill>
        </w:rPr>
        <w:t>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pacing w:val="2"/>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2"/>
          <w:sz w:val="24"/>
          <w:szCs w:val="24"/>
          <w:highlight w:val="none"/>
          <w14:textFill>
            <w14:solidFill>
              <w14:schemeClr w14:val="tx1"/>
            </w14:solidFill>
          </w14:textFill>
        </w:rPr>
        <w:t>；</w:t>
      </w:r>
    </w:p>
    <w:p>
      <w:pPr>
        <w:spacing w:before="174" w:line="335" w:lineRule="auto"/>
        <w:ind w:left="30" w:right="13" w:firstLine="55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color w:val="000000" w:themeColor="text1"/>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4"/>
          <w:sz w:val="24"/>
          <w:szCs w:val="24"/>
          <w:highlight w:val="none"/>
          <w14:textFill>
            <w14:solidFill>
              <w14:schemeClr w14:val="tx1"/>
            </w14:solidFill>
          </w14:textFill>
        </w:rPr>
        <w:t>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11"/>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11"/>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从业人员</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7"/>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人，营业收入为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万元，资产总额为</w:t>
      </w:r>
      <w:r>
        <w:rPr>
          <w:rFonts w:hint="eastAsia" w:ascii="宋体" w:hAnsi="宋体" w:cs="宋体"/>
          <w:color w:val="000000" w:themeColor="text1"/>
          <w:spacing w:val="-4"/>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highlight w:val="none"/>
          <w14:textFill>
            <w14:solidFill>
              <w14:schemeClr w14:val="tx1"/>
            </w14:solidFill>
          </w14:textFill>
        </w:rPr>
        <w:t>万元，属于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z w:val="24"/>
          <w:szCs w:val="24"/>
          <w:highlight w:val="none"/>
          <w:u w:val="single" w:color="auto"/>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pPr>
        <w:spacing w:before="175" w:line="442" w:lineRule="exact"/>
        <w:ind w:left="601"/>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14"/>
          <w:position w:val="3"/>
          <w:sz w:val="24"/>
          <w:szCs w:val="24"/>
          <w:highlight w:val="none"/>
          <w14:textFill>
            <w14:solidFill>
              <w14:schemeClr w14:val="tx1"/>
            </w14:solidFill>
          </w14:textFill>
        </w:rPr>
        <w:t>……</w:t>
      </w:r>
    </w:p>
    <w:p>
      <w:pPr>
        <w:spacing w:before="91" w:line="335" w:lineRule="auto"/>
        <w:ind w:left="25" w:right="13" w:firstLine="56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本企业对上述声明内容的真实性负责。如有虚假，将依法承担相应责任。</w:t>
      </w:r>
    </w:p>
    <w:p>
      <w:pPr>
        <w:pStyle w:val="14"/>
        <w:spacing w:before="120" w:line="360" w:lineRule="auto"/>
        <w:ind w:firstLine="4300" w:firstLineChars="179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（盖章）：</w:t>
      </w:r>
    </w:p>
    <w:p>
      <w:pPr>
        <w:pStyle w:val="14"/>
        <w:spacing w:before="120" w:line="360" w:lineRule="auto"/>
        <w:ind w:firstLine="4320" w:firstLineChars="18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法定代表人（签字或盖章）：</w:t>
      </w:r>
    </w:p>
    <w:p>
      <w:pPr>
        <w:pStyle w:val="14"/>
        <w:rPr>
          <w:rFonts w:hint="eastAsia" w:ascii="宋体" w:hAnsi="宋体" w:eastAsia="宋体" w:cs="宋体"/>
          <w:color w:val="000000" w:themeColor="text1"/>
          <w:sz w:val="24"/>
          <w:szCs w:val="24"/>
          <w:highlight w:val="none"/>
          <w14:textFill>
            <w14:solidFill>
              <w14:schemeClr w14:val="tx1"/>
            </w14:solidFill>
          </w14:textFill>
        </w:rPr>
      </w:pPr>
    </w:p>
    <w:p>
      <w:pPr>
        <w:spacing w:before="1" w:line="220" w:lineRule="auto"/>
        <w:ind w:left="3714" w:firstLine="80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20"/>
          <w:sz w:val="24"/>
          <w:szCs w:val="24"/>
          <w:highlight w:val="none"/>
          <w14:textFill>
            <w14:solidFill>
              <w14:schemeClr w14:val="tx1"/>
            </w14:solidFill>
          </w14:textFill>
        </w:rPr>
        <w:t>日期：</w:t>
      </w:r>
    </w:p>
    <w:p>
      <w:pPr>
        <w:pStyle w:val="8"/>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pPr>
        <w:pStyle w:val="8"/>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pStyle w:val="8"/>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pPr>
        <w:spacing w:before="59" w:line="219" w:lineRule="auto"/>
        <w:ind w:left="23"/>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从业人员、营业收入、资产总额填报上一年度数据，无上一年度数据</w:t>
      </w:r>
      <w:r>
        <w:rPr>
          <w:rFonts w:hint="eastAsia" w:ascii="宋体" w:hAnsi="宋体" w:eastAsia="宋体" w:cs="宋体"/>
          <w:color w:val="000000" w:themeColor="text1"/>
          <w:spacing w:val="-1"/>
          <w:sz w:val="24"/>
          <w:szCs w:val="24"/>
          <w:highlight w:val="none"/>
          <w14:textFill>
            <w14:solidFill>
              <w14:schemeClr w14:val="tx1"/>
            </w14:solidFill>
          </w14:textFill>
        </w:rPr>
        <w:t>的新成立企业可不填报。</w:t>
      </w:r>
    </w:p>
    <w:p>
      <w:pPr>
        <w:spacing w:line="219" w:lineRule="auto"/>
        <w:rPr>
          <w:rFonts w:hint="eastAsia" w:ascii="宋体" w:hAnsi="宋体" w:eastAsia="宋体" w:cs="宋体"/>
          <w:color w:val="000000" w:themeColor="text1"/>
          <w:sz w:val="24"/>
          <w:szCs w:val="24"/>
          <w:highlight w:val="none"/>
          <w14:textFill>
            <w14:solidFill>
              <w14:schemeClr w14:val="tx1"/>
            </w14:solidFill>
          </w14:textFill>
        </w:rPr>
        <w:sectPr>
          <w:footerReference r:id="rId8" w:type="default"/>
          <w:pgSz w:w="11906" w:h="16839"/>
          <w:pgMar w:top="1440" w:right="1800" w:bottom="1440" w:left="1800" w:header="0" w:footer="994" w:gutter="0"/>
          <w:pgNumType w:fmt="decimal"/>
          <w:cols w:space="720" w:num="1"/>
        </w:sectPr>
      </w:pP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五</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、实施方案</w:t>
      </w:r>
    </w:p>
    <w:p>
      <w:pPr>
        <w:pStyle w:val="33"/>
        <w:ind w:firstLine="1687" w:firstLineChars="600"/>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六、</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《三年内无重大违法承诺书》</w:t>
      </w:r>
    </w:p>
    <w:p>
      <w:pPr>
        <w:pStyle w:val="33"/>
        <w:ind w:firstLine="3092" w:firstLineChars="1100"/>
        <w:jc w:val="both"/>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七</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、网站截图</w:t>
      </w:r>
    </w:p>
    <w:p>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十八、</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投标建造师无在建项目承诺书</w:t>
      </w:r>
    </w:p>
    <w:p>
      <w:pPr>
        <w:spacing w:line="220" w:lineRule="atLeast"/>
      </w:pP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 ：</w:t>
      </w:r>
    </w:p>
    <w:p>
      <w:pPr>
        <w:spacing w:line="360" w:lineRule="auto"/>
        <w:ind w:left="307" w:leftChars="146"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       (项目名称)的建造师(姓名)：           ，身份证号：            ，注册建造师证注册号：       ，现未担任任何在建设工程项目负责人。</w:t>
      </w:r>
    </w:p>
    <w:p>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我公司保证上述信息的真实性和准确性，如有虚假我方自愿承担一切法律责任，并接受建设行政主管部门的处罚。</w:t>
      </w:r>
    </w:p>
    <w:p>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220" w:lineRule="atLeas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pPr>
        <w:spacing w:line="220" w:lineRule="atLeast"/>
        <w:ind w:firstLine="1560" w:firstLineChars="6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pPr>
        <w:spacing w:line="220" w:lineRule="atLeast"/>
        <w:ind w:firstLine="3240" w:firstLineChars="13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pPr>
        <w:pStyle w:val="33"/>
        <w:numPr>
          <w:ilvl w:val="0"/>
          <w:numId w:val="4"/>
        </w:numPr>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拟承建该工程的项目班组人员无在建项目承诺书</w:t>
      </w:r>
    </w:p>
    <w:p>
      <w:pPr>
        <w:pStyle w:val="33"/>
        <w:numPr>
          <w:ilvl w:val="0"/>
          <w:numId w:val="0"/>
        </w:numPr>
        <w:ind w:firstLine="3373" w:firstLineChars="1200"/>
        <w:jc w:val="both"/>
        <w:rPr>
          <w:rFonts w:hint="default"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（格式自拟）</w:t>
      </w:r>
    </w:p>
    <w:p>
      <w:pPr>
        <w:spacing w:line="220" w:lineRule="atLeast"/>
      </w:pPr>
    </w:p>
    <w:p>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项目负责人业绩真实性承诺书</w:t>
      </w:r>
    </w:p>
    <w:p>
      <w:pPr>
        <w:rPr>
          <w:sz w:val="28"/>
          <w:szCs w:val="28"/>
        </w:rPr>
      </w:pP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w:t>
      </w: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我公司在此承诺，拟投标(项目名称)的项目负责人       (姓名)身份证号：       ，注册建造师证注册号：      ，投标文件中所提供的项目负责人业绩真实有效，无造假行为，如有虚假我方自愿承担一切法律责任，并接受建设行政主管部门的处罚。</w:t>
      </w: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pPr>
        <w:spacing w:line="360" w:lineRule="auto"/>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pPr>
        <w:widowControl/>
        <w:adjustRightInd w:val="0"/>
        <w:snapToGrid w:val="0"/>
        <w:spacing w:after="200" w:line="220" w:lineRule="atLeast"/>
        <w:jc w:val="left"/>
        <w:rPr>
          <w:rFonts w:ascii="仿宋" w:hAnsi="仿宋" w:eastAsia="仿宋" w:cs="仿宋"/>
          <w:kern w:val="0"/>
          <w:sz w:val="32"/>
          <w:szCs w:val="32"/>
        </w:rPr>
      </w:pPr>
    </w:p>
    <w:p>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二十一、</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不围标串标承诺书</w:t>
      </w:r>
    </w:p>
    <w:p>
      <w:pPr>
        <w:jc w:val="center"/>
        <w:rPr>
          <w:rFonts w:hint="eastAsia" w:eastAsiaTheme="minorEastAsia"/>
          <w:sz w:val="28"/>
          <w:szCs w:val="36"/>
          <w:lang w:eastAsia="zh-CN"/>
        </w:rPr>
      </w:pPr>
      <w:r>
        <w:rPr>
          <w:rFonts w:hint="eastAsia"/>
          <w:sz w:val="28"/>
          <w:szCs w:val="36"/>
          <w:lang w:eastAsia="zh-CN"/>
        </w:rPr>
        <w:t>（</w:t>
      </w:r>
      <w:r>
        <w:rPr>
          <w:rFonts w:hint="eastAsia"/>
          <w:sz w:val="28"/>
          <w:szCs w:val="36"/>
          <w:lang w:val="en-US" w:eastAsia="zh-CN"/>
        </w:rPr>
        <w:t>格式自拟</w:t>
      </w:r>
      <w:r>
        <w:rPr>
          <w:rFonts w:hint="eastAsia"/>
          <w:sz w:val="28"/>
          <w:szCs w:val="36"/>
          <w:lang w:eastAsia="zh-CN"/>
        </w:rPr>
        <w:t>）</w:t>
      </w:r>
    </w:p>
    <w:p>
      <w:pPr>
        <w:rPr>
          <w:rFonts w:hint="eastAsia" w:ascii="宋体" w:hAnsi="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br w:type="page"/>
      </w:r>
    </w:p>
    <w:p>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二十二、</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投标企业认为提交的其他资料</w:t>
      </w:r>
    </w:p>
    <w:p>
      <w:pPr>
        <w:spacing w:line="420" w:lineRule="exact"/>
        <w:jc w:val="left"/>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p>
    <w:p>
      <w:pPr>
        <w:pStyle w:val="2"/>
        <w:numPr>
          <w:ilvl w:val="0"/>
          <w:numId w:val="0"/>
        </w:numPr>
        <w:tabs>
          <w:tab w:val="left" w:pos="5852"/>
        </w:tabs>
        <w:ind w:leftChars="0"/>
        <w:jc w:val="center"/>
        <w:outlineLvl w:val="0"/>
        <w:rPr>
          <w:rFonts w:hint="eastAsia" w:ascii="宋体" w:hAnsi="宋体" w:eastAsia="宋体" w:cs="宋体"/>
          <w:sz w:val="21"/>
          <w:szCs w:val="21"/>
        </w:rPr>
      </w:pPr>
      <w:r>
        <w:rPr>
          <w:rFonts w:hint="eastAsia" w:ascii="宋体" w:hAnsi="宋体" w:eastAsia="宋体" w:cs="宋体"/>
          <w:sz w:val="21"/>
          <w:szCs w:val="21"/>
        </w:rPr>
        <w:t>中小企业划分标准</w:t>
      </w:r>
      <w:bookmarkEnd w:id="232"/>
      <w:bookmarkEnd w:id="233"/>
      <w:bookmarkEnd w:id="234"/>
      <w:bookmarkEnd w:id="235"/>
      <w:bookmarkEnd w:id="236"/>
    </w:p>
    <w:p>
      <w:pPr>
        <w:ind w:firstLine="420" w:firstLineChars="200"/>
        <w:rPr>
          <w:rFonts w:hint="eastAsia" w:ascii="宋体" w:hAnsi="宋体" w:eastAsia="宋体" w:cs="宋体"/>
          <w:sz w:val="21"/>
          <w:szCs w:val="21"/>
        </w:rPr>
      </w:pPr>
      <w:r>
        <w:rPr>
          <w:rFonts w:hint="eastAsia" w:ascii="宋体" w:hAnsi="宋体" w:eastAsia="宋体" w:cs="宋体"/>
          <w:sz w:val="21"/>
          <w:szCs w:val="21"/>
        </w:rPr>
        <w:t>工业和信息化部、国家统计局、发展改革委、财政部等四部门《关于印发中小企业划型标准规定的通知》（工信部联企业〔2011〕300号）规定中小企业划型标准如表所示：</w:t>
      </w:r>
    </w:p>
    <w:tbl>
      <w:tblPr>
        <w:tblStyle w:val="19"/>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2"/>
        <w:gridCol w:w="1828"/>
        <w:gridCol w:w="6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农、林、牧、渔业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工业</w:t>
            </w:r>
          </w:p>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（包括采矿业，制造业，电力、热力、燃气及水生产和供应</w:t>
            </w:r>
          </w:p>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40000万元以下的为中小微型企业。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300万元一2 000万元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建筑业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营业收入80000万元以下或资产总额 80000万元以下的为中小微型企业。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营业收入6000万元一80000万元，且资产总额 5 000万元一80 000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 300万元一6 000万元，且资产总额 300万一5 000万元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营业收入300万元以下或资产总额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批发业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40 000万元以下的为中小微型企业。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从业人员20人一200人，且营业收入 5 000万元一40 000万元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从业人员5人一20人，且营业收入 1 000万元一5 000万元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从业人员5人以下或营业收入 1 000万元以下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零售业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20 000万元以下的为中小微型企业。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50人一300人，且营业收入 500万元一20 000万元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从业人员10人一50人，且营业收入 100万元一500万元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交通运输业 （不含铁路运输业）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3 000万元一30 000万元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200万元一3 000万元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200万元以下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仓储业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从业人员100人一200人，且营业收入 1 000万元一30 000万元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邮政业</w:t>
            </w:r>
          </w:p>
        </w:tc>
        <w:tc>
          <w:tcPr>
            <w:tcW w:w="4263" w:type="pct"/>
            <w:gridSpan w:val="2"/>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bl>
    <w:p>
      <w:pPr>
        <w:spacing w:line="1" w:lineRule="exact"/>
        <w:jc w:val="center"/>
        <w:rPr>
          <w:rFonts w:hint="eastAsia" w:ascii="宋体" w:hAnsi="宋体" w:eastAsia="宋体" w:cs="宋体"/>
          <w:sz w:val="21"/>
          <w:szCs w:val="21"/>
        </w:rPr>
      </w:pPr>
    </w:p>
    <w:tbl>
      <w:tblPr>
        <w:tblStyle w:val="19"/>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住宿业</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餐饮业</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信息传输业 （包括电信、互联网 和相关服务）</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从业人员2 000人以下或营业收入 100 000万元以下的为中小微型企业。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从业人员100人一2 000人，且营业收入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软件和信息技术服务业</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50万元一1 000万元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color w:val="000000"/>
                <w:sz w:val="21"/>
                <w:szCs w:val="21"/>
              </w:rPr>
              <w:t>房地产开发经营</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营业收入200 000万元以下或资产总额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营业收入1 000万元一200 000万元，且资产总额 5 000万元一10000万元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营业收入100万元一1 000万元，且资产总额 2 000万元一5 000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营业收入100万元以下或资产总额2 000万元以下的为微型企业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物业管理</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5 000万元以下的为中小微型企业。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1000万元一5 000万元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500万元一1 000万元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从业人员100人以下或营业收入 500万元以下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租赁和商务服务业</w:t>
            </w:r>
          </w:p>
        </w:tc>
        <w:tc>
          <w:tcPr>
            <w:tcW w:w="8354" w:type="dxa"/>
            <w:gridSpan w:val="2"/>
            <w:shd w:val="clear" w:color="auto" w:fill="FFFFFF"/>
            <w:noWrap w:val="0"/>
            <w:vAlign w:val="center"/>
          </w:tcPr>
          <w:p>
            <w:pPr>
              <w:pStyle w:val="38"/>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000000"/>
                <w:sz w:val="21"/>
                <w:szCs w:val="21"/>
                <w:lang w:val="en-US"/>
              </w:rPr>
              <w:t>10</w:t>
            </w:r>
            <w:r>
              <w:rPr>
                <w:rFonts w:hint="eastAsia" w:ascii="宋体" w:hAnsi="宋体" w:eastAsia="宋体" w:cs="宋体"/>
                <w:color w:val="000000"/>
                <w:sz w:val="21"/>
                <w:szCs w:val="21"/>
              </w:rPr>
              <w:t>人以下或资产总额 100万元以下的为微型企业。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从业人员100人一300人，且资产总额 8 000万元一120 000万元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从业人员10人一100人，且资产总额 100万元一8 000万元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10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从业人员10人以下或资产总额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其他未列明行业</w:t>
            </w:r>
          </w:p>
        </w:tc>
        <w:tc>
          <w:tcPr>
            <w:tcW w:w="8354" w:type="dxa"/>
            <w:gridSpan w:val="2"/>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8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w:t>
            </w:r>
          </w:p>
        </w:tc>
      </w:tr>
    </w:tbl>
    <w:p>
      <w:pPr>
        <w:pStyle w:val="5"/>
        <w:ind w:left="0" w:leftChars="0" w:firstLine="0" w:firstLineChars="0"/>
        <w:rPr>
          <w:rFonts w:hint="eastAsia" w:ascii="宋体" w:hAnsi="宋体" w:eastAsia="宋体" w:cs="宋体"/>
          <w:sz w:val="21"/>
          <w:szCs w:val="21"/>
        </w:rPr>
        <w:sectPr>
          <w:headerReference r:id="rId9" w:type="default"/>
          <w:footerReference r:id="rId10" w:type="default"/>
          <w:pgSz w:w="11906" w:h="16838"/>
          <w:pgMar w:top="1440" w:right="1797" w:bottom="1440" w:left="1797" w:header="851" w:footer="992" w:gutter="0"/>
          <w:cols w:space="720" w:num="1"/>
          <w:docGrid w:linePitch="312" w:charSpace="0"/>
        </w:sectPr>
      </w:pPr>
    </w:p>
    <w:p>
      <w:pPr>
        <w:rPr>
          <w:rFonts w:hint="eastAsia" w:ascii="宋体" w:hAnsi="宋体" w:eastAsia="宋体" w:cs="宋体"/>
          <w:color w:val="000000" w:themeColor="text1"/>
          <w:sz w:val="28"/>
          <w:szCs w:val="28"/>
          <w:highlight w:val="none"/>
          <w14:textFill>
            <w14:solidFill>
              <w14:schemeClr w14:val="tx1"/>
            </w14:solidFill>
          </w14:textFill>
        </w:rPr>
      </w:pPr>
    </w:p>
    <w:sectPr>
      <w:footerReference r:id="rId11"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宋?">
    <w:altName w:val="宋体"/>
    <w:panose1 w:val="00000000000000000000"/>
    <w:charset w:val="81"/>
    <w:family w:val="auto"/>
    <w:pitch w:val="default"/>
    <w:sig w:usb0="00000000" w:usb1="00000000" w:usb2="00000010" w:usb3="00000000" w:csb0="00080000"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ascii="宋体" w:hAnsi="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ascii="宋体" w:hAnsi="宋体"/>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tabs>
        <w:tab w:val="center" w:pos="487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tabs>
        <w:tab w:val="center" w:pos="4139"/>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127</w:t>
                    </w:r>
                    <w:r>
                      <w:fldChar w:fldCharType="end"/>
                    </w:r>
                  </w:p>
                </w:txbxContent>
              </v:textbox>
            </v:shape>
          </w:pict>
        </mc:Fallback>
      </mc:AlternateContent>
    </w:r>
    <w:r>
      <w:rPr>
        <w:rFonts w:hint="eastAsia"/>
        <w:lang w:eastAsia="zh-CN"/>
      </w:rPr>
      <w:tab/>
    </w:r>
    <w:r>
      <w:rPr>
        <w:rFonts w:hint="eastAsia" w:ascii="宋体" w:hAnsi="宋体" w:eastAsia="宋体" w:cs="宋体"/>
        <w:sz w:val="21"/>
        <w:szCs w:val="21"/>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143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tabs>
        <w:tab w:val="center" w:pos="4873"/>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147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A30B00"/>
    <w:multiLevelType w:val="singleLevel"/>
    <w:tmpl w:val="86A30B00"/>
    <w:lvl w:ilvl="0" w:tentative="0">
      <w:start w:val="9"/>
      <w:numFmt w:val="chineseCounting"/>
      <w:suff w:val="nothing"/>
      <w:lvlText w:val="%1、"/>
      <w:lvlJc w:val="left"/>
      <w:rPr>
        <w:rFonts w:hint="eastAsia"/>
      </w:rPr>
    </w:lvl>
  </w:abstractNum>
  <w:abstractNum w:abstractNumId="1">
    <w:nsid w:val="C58AC0F8"/>
    <w:multiLevelType w:val="singleLevel"/>
    <w:tmpl w:val="C58AC0F8"/>
    <w:lvl w:ilvl="0" w:tentative="0">
      <w:start w:val="5"/>
      <w:numFmt w:val="chineseCounting"/>
      <w:suff w:val="space"/>
      <w:lvlText w:val="第%1章"/>
      <w:lvlJc w:val="left"/>
      <w:rPr>
        <w:rFonts w:hint="eastAsia"/>
      </w:rPr>
    </w:lvl>
  </w:abstractNum>
  <w:abstractNum w:abstractNumId="2">
    <w:nsid w:val="E555D575"/>
    <w:multiLevelType w:val="singleLevel"/>
    <w:tmpl w:val="E555D575"/>
    <w:lvl w:ilvl="0" w:tentative="0">
      <w:start w:val="1"/>
      <w:numFmt w:val="chineseCounting"/>
      <w:suff w:val="nothing"/>
      <w:lvlText w:val="%1、"/>
      <w:lvlJc w:val="left"/>
      <w:rPr>
        <w:rFonts w:hint="eastAsia"/>
      </w:rPr>
    </w:lvl>
  </w:abstractNum>
  <w:abstractNum w:abstractNumId="3">
    <w:nsid w:val="2226F84E"/>
    <w:multiLevelType w:val="singleLevel"/>
    <w:tmpl w:val="2226F84E"/>
    <w:lvl w:ilvl="0" w:tentative="0">
      <w:start w:val="19"/>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1OTRjZmZlNWRjMGQ0YjBmOGU0ZDdlY2QzYzI0YzYifQ=="/>
    <w:docVar w:name="KSO_WPS_MARK_KEY" w:val="cf218fbe-9b42-41b3-b3d1-ac114c91c5de"/>
  </w:docVars>
  <w:rsids>
    <w:rsidRoot w:val="4AC75B3B"/>
    <w:rsid w:val="00016D8E"/>
    <w:rsid w:val="001612B1"/>
    <w:rsid w:val="0026154C"/>
    <w:rsid w:val="00311A5F"/>
    <w:rsid w:val="0031535E"/>
    <w:rsid w:val="00437D78"/>
    <w:rsid w:val="007E79DC"/>
    <w:rsid w:val="007F0A1D"/>
    <w:rsid w:val="009269A2"/>
    <w:rsid w:val="00997D30"/>
    <w:rsid w:val="009C779F"/>
    <w:rsid w:val="00B34633"/>
    <w:rsid w:val="00DF677C"/>
    <w:rsid w:val="00E84B06"/>
    <w:rsid w:val="00F37A63"/>
    <w:rsid w:val="00FC02AA"/>
    <w:rsid w:val="00FF4772"/>
    <w:rsid w:val="00FF6F56"/>
    <w:rsid w:val="011F1764"/>
    <w:rsid w:val="012810B4"/>
    <w:rsid w:val="012C687B"/>
    <w:rsid w:val="01330404"/>
    <w:rsid w:val="015B73CA"/>
    <w:rsid w:val="015E4ACC"/>
    <w:rsid w:val="01692E5D"/>
    <w:rsid w:val="016E4D66"/>
    <w:rsid w:val="017546F1"/>
    <w:rsid w:val="019C23B2"/>
    <w:rsid w:val="019C51DF"/>
    <w:rsid w:val="01C35AF5"/>
    <w:rsid w:val="01CB21A9"/>
    <w:rsid w:val="01D17056"/>
    <w:rsid w:val="01E22B26"/>
    <w:rsid w:val="01F30850"/>
    <w:rsid w:val="01F66ABD"/>
    <w:rsid w:val="02012E78"/>
    <w:rsid w:val="02182C5B"/>
    <w:rsid w:val="02215E8E"/>
    <w:rsid w:val="023B6BC5"/>
    <w:rsid w:val="026C7207"/>
    <w:rsid w:val="026E2AF7"/>
    <w:rsid w:val="028B7ABC"/>
    <w:rsid w:val="02A27609"/>
    <w:rsid w:val="02E234DD"/>
    <w:rsid w:val="02FE1FF9"/>
    <w:rsid w:val="030D350D"/>
    <w:rsid w:val="032260BD"/>
    <w:rsid w:val="033C0E47"/>
    <w:rsid w:val="037A3B41"/>
    <w:rsid w:val="038C50E0"/>
    <w:rsid w:val="03A42787"/>
    <w:rsid w:val="03BC36B1"/>
    <w:rsid w:val="03E147EA"/>
    <w:rsid w:val="03E5503B"/>
    <w:rsid w:val="03F5128D"/>
    <w:rsid w:val="04117BDE"/>
    <w:rsid w:val="04152967"/>
    <w:rsid w:val="0419368E"/>
    <w:rsid w:val="04387860"/>
    <w:rsid w:val="04422DCA"/>
    <w:rsid w:val="044E739D"/>
    <w:rsid w:val="045A3333"/>
    <w:rsid w:val="04762AE0"/>
    <w:rsid w:val="04781A0B"/>
    <w:rsid w:val="047E5D41"/>
    <w:rsid w:val="04B8484E"/>
    <w:rsid w:val="04B96A4C"/>
    <w:rsid w:val="04DC0AA0"/>
    <w:rsid w:val="050339C8"/>
    <w:rsid w:val="050B14B3"/>
    <w:rsid w:val="050E1569"/>
    <w:rsid w:val="05145E61"/>
    <w:rsid w:val="05336716"/>
    <w:rsid w:val="056B7B7D"/>
    <w:rsid w:val="05781409"/>
    <w:rsid w:val="05A0746B"/>
    <w:rsid w:val="05AB50DB"/>
    <w:rsid w:val="05B9677F"/>
    <w:rsid w:val="05BD667A"/>
    <w:rsid w:val="05DC680B"/>
    <w:rsid w:val="060E737E"/>
    <w:rsid w:val="06135E8F"/>
    <w:rsid w:val="061F2E9B"/>
    <w:rsid w:val="063A14C7"/>
    <w:rsid w:val="065564A8"/>
    <w:rsid w:val="06755013"/>
    <w:rsid w:val="067B1F30"/>
    <w:rsid w:val="06C76C7A"/>
    <w:rsid w:val="06D80A8A"/>
    <w:rsid w:val="06EB44E8"/>
    <w:rsid w:val="06EE4206"/>
    <w:rsid w:val="06F63309"/>
    <w:rsid w:val="070457D8"/>
    <w:rsid w:val="072858CC"/>
    <w:rsid w:val="072C44ED"/>
    <w:rsid w:val="07362663"/>
    <w:rsid w:val="07373DFF"/>
    <w:rsid w:val="07524795"/>
    <w:rsid w:val="07B11FAD"/>
    <w:rsid w:val="07C531CC"/>
    <w:rsid w:val="07CD046F"/>
    <w:rsid w:val="07CD2038"/>
    <w:rsid w:val="07DC6674"/>
    <w:rsid w:val="07E0507A"/>
    <w:rsid w:val="07E55674"/>
    <w:rsid w:val="07EF7893"/>
    <w:rsid w:val="08130D4D"/>
    <w:rsid w:val="081B102B"/>
    <w:rsid w:val="08215AE4"/>
    <w:rsid w:val="08257D6D"/>
    <w:rsid w:val="083F0917"/>
    <w:rsid w:val="08564759"/>
    <w:rsid w:val="0866222B"/>
    <w:rsid w:val="08760957"/>
    <w:rsid w:val="08805332"/>
    <w:rsid w:val="08986A27"/>
    <w:rsid w:val="08AD034C"/>
    <w:rsid w:val="08D13DE0"/>
    <w:rsid w:val="08F700C6"/>
    <w:rsid w:val="08FD1FCF"/>
    <w:rsid w:val="090E7CEB"/>
    <w:rsid w:val="091E160B"/>
    <w:rsid w:val="095216D9"/>
    <w:rsid w:val="095F2F6D"/>
    <w:rsid w:val="09697100"/>
    <w:rsid w:val="096C05AB"/>
    <w:rsid w:val="09773E97"/>
    <w:rsid w:val="098269A5"/>
    <w:rsid w:val="09D771D4"/>
    <w:rsid w:val="09DF42DA"/>
    <w:rsid w:val="09EB0ED1"/>
    <w:rsid w:val="09F91B56"/>
    <w:rsid w:val="0A1E6855"/>
    <w:rsid w:val="0A2574B3"/>
    <w:rsid w:val="0A4F2875"/>
    <w:rsid w:val="0A81556C"/>
    <w:rsid w:val="0A9B4EF3"/>
    <w:rsid w:val="0ABE2142"/>
    <w:rsid w:val="0ACB34C4"/>
    <w:rsid w:val="0B056A0E"/>
    <w:rsid w:val="0B090DAA"/>
    <w:rsid w:val="0B157411"/>
    <w:rsid w:val="0B32416D"/>
    <w:rsid w:val="0B385646"/>
    <w:rsid w:val="0B7F5D75"/>
    <w:rsid w:val="0B8B368D"/>
    <w:rsid w:val="0B94510B"/>
    <w:rsid w:val="0B971913"/>
    <w:rsid w:val="0BA15CEB"/>
    <w:rsid w:val="0BC26BCB"/>
    <w:rsid w:val="0BC301D9"/>
    <w:rsid w:val="0BD95C00"/>
    <w:rsid w:val="0BFD70B9"/>
    <w:rsid w:val="0C1237DB"/>
    <w:rsid w:val="0C2C7C08"/>
    <w:rsid w:val="0CB41A4E"/>
    <w:rsid w:val="0CBC0CE6"/>
    <w:rsid w:val="0CF85DDF"/>
    <w:rsid w:val="0D010EE5"/>
    <w:rsid w:val="0D1A078A"/>
    <w:rsid w:val="0D3D54C7"/>
    <w:rsid w:val="0D4940E8"/>
    <w:rsid w:val="0D4E59FF"/>
    <w:rsid w:val="0D5A5442"/>
    <w:rsid w:val="0D5E59FB"/>
    <w:rsid w:val="0D787914"/>
    <w:rsid w:val="0DEF71E2"/>
    <w:rsid w:val="0E244D27"/>
    <w:rsid w:val="0E247D43"/>
    <w:rsid w:val="0E573A15"/>
    <w:rsid w:val="0E677F50"/>
    <w:rsid w:val="0E6C0137"/>
    <w:rsid w:val="0E9F2797"/>
    <w:rsid w:val="0EDD16F0"/>
    <w:rsid w:val="0EF12AE6"/>
    <w:rsid w:val="0EFA6AA1"/>
    <w:rsid w:val="0F075DB7"/>
    <w:rsid w:val="0F444223"/>
    <w:rsid w:val="0F4B669A"/>
    <w:rsid w:val="0F4D0AAA"/>
    <w:rsid w:val="0F53554E"/>
    <w:rsid w:val="0F5F5CA1"/>
    <w:rsid w:val="0F634E4C"/>
    <w:rsid w:val="0FA35C35"/>
    <w:rsid w:val="0FC226D4"/>
    <w:rsid w:val="0FD7617F"/>
    <w:rsid w:val="0FF137B6"/>
    <w:rsid w:val="1001144E"/>
    <w:rsid w:val="100D7863"/>
    <w:rsid w:val="1018101F"/>
    <w:rsid w:val="101F3001"/>
    <w:rsid w:val="1023499A"/>
    <w:rsid w:val="103A670E"/>
    <w:rsid w:val="103B4960"/>
    <w:rsid w:val="104222BC"/>
    <w:rsid w:val="104A18C6"/>
    <w:rsid w:val="1054157E"/>
    <w:rsid w:val="10616837"/>
    <w:rsid w:val="10B81C0F"/>
    <w:rsid w:val="10CB7841"/>
    <w:rsid w:val="10D17073"/>
    <w:rsid w:val="10E67546"/>
    <w:rsid w:val="10EE01D6"/>
    <w:rsid w:val="110C1984"/>
    <w:rsid w:val="113A6FD0"/>
    <w:rsid w:val="11501174"/>
    <w:rsid w:val="11614964"/>
    <w:rsid w:val="11651569"/>
    <w:rsid w:val="118947D1"/>
    <w:rsid w:val="11915461"/>
    <w:rsid w:val="11A976A8"/>
    <w:rsid w:val="11C72224"/>
    <w:rsid w:val="11CE5105"/>
    <w:rsid w:val="11DE1CDD"/>
    <w:rsid w:val="121C2E46"/>
    <w:rsid w:val="12483364"/>
    <w:rsid w:val="125E4936"/>
    <w:rsid w:val="127A31E0"/>
    <w:rsid w:val="127B3F74"/>
    <w:rsid w:val="12EB6997"/>
    <w:rsid w:val="12F7414E"/>
    <w:rsid w:val="130B33CC"/>
    <w:rsid w:val="13103353"/>
    <w:rsid w:val="13324B8D"/>
    <w:rsid w:val="133E02C4"/>
    <w:rsid w:val="134F44BD"/>
    <w:rsid w:val="135350C1"/>
    <w:rsid w:val="135E3453"/>
    <w:rsid w:val="13876815"/>
    <w:rsid w:val="13A74B4C"/>
    <w:rsid w:val="13B860EB"/>
    <w:rsid w:val="13CE4A0B"/>
    <w:rsid w:val="13DE7224"/>
    <w:rsid w:val="13E25670"/>
    <w:rsid w:val="140F6AF9"/>
    <w:rsid w:val="14237BE5"/>
    <w:rsid w:val="1430702E"/>
    <w:rsid w:val="145E6879"/>
    <w:rsid w:val="147A2925"/>
    <w:rsid w:val="14935A4E"/>
    <w:rsid w:val="14A50B30"/>
    <w:rsid w:val="14AE78FC"/>
    <w:rsid w:val="14C41AA0"/>
    <w:rsid w:val="14F831F4"/>
    <w:rsid w:val="150A4793"/>
    <w:rsid w:val="15155054"/>
    <w:rsid w:val="152C2AC9"/>
    <w:rsid w:val="152F37AA"/>
    <w:rsid w:val="15305B2B"/>
    <w:rsid w:val="154148ED"/>
    <w:rsid w:val="155223BE"/>
    <w:rsid w:val="1559227C"/>
    <w:rsid w:val="156E60D3"/>
    <w:rsid w:val="159B19FD"/>
    <w:rsid w:val="15AF4F21"/>
    <w:rsid w:val="15B06226"/>
    <w:rsid w:val="15B44C2C"/>
    <w:rsid w:val="15C31468"/>
    <w:rsid w:val="15C66932"/>
    <w:rsid w:val="15D05455"/>
    <w:rsid w:val="15F1340C"/>
    <w:rsid w:val="15FD2AA2"/>
    <w:rsid w:val="160114A8"/>
    <w:rsid w:val="1629525B"/>
    <w:rsid w:val="162B5273"/>
    <w:rsid w:val="162F4575"/>
    <w:rsid w:val="163946DF"/>
    <w:rsid w:val="166167A3"/>
    <w:rsid w:val="16822CFB"/>
    <w:rsid w:val="16880487"/>
    <w:rsid w:val="16946498"/>
    <w:rsid w:val="16A26BF5"/>
    <w:rsid w:val="16A62408"/>
    <w:rsid w:val="16D0087B"/>
    <w:rsid w:val="16D23D7F"/>
    <w:rsid w:val="16E834C7"/>
    <w:rsid w:val="16EF3DAF"/>
    <w:rsid w:val="16F72C63"/>
    <w:rsid w:val="16FD0446"/>
    <w:rsid w:val="171F3B6A"/>
    <w:rsid w:val="173F4A44"/>
    <w:rsid w:val="175D6F94"/>
    <w:rsid w:val="175E0F34"/>
    <w:rsid w:val="1782733C"/>
    <w:rsid w:val="17856554"/>
    <w:rsid w:val="17A13152"/>
    <w:rsid w:val="17C214C3"/>
    <w:rsid w:val="17EE22B8"/>
    <w:rsid w:val="18022764"/>
    <w:rsid w:val="1802755F"/>
    <w:rsid w:val="18052E77"/>
    <w:rsid w:val="18137F71"/>
    <w:rsid w:val="181B0BD3"/>
    <w:rsid w:val="183E4110"/>
    <w:rsid w:val="18833745"/>
    <w:rsid w:val="188B43D5"/>
    <w:rsid w:val="189F77F2"/>
    <w:rsid w:val="18A74BFE"/>
    <w:rsid w:val="18D36D47"/>
    <w:rsid w:val="18DF1F83"/>
    <w:rsid w:val="18ED6A14"/>
    <w:rsid w:val="18F02060"/>
    <w:rsid w:val="18F953B8"/>
    <w:rsid w:val="18FC27B3"/>
    <w:rsid w:val="18FD340F"/>
    <w:rsid w:val="190F4D31"/>
    <w:rsid w:val="19145D4E"/>
    <w:rsid w:val="19173FB9"/>
    <w:rsid w:val="1932773E"/>
    <w:rsid w:val="193B777F"/>
    <w:rsid w:val="194849D3"/>
    <w:rsid w:val="1955189F"/>
    <w:rsid w:val="19717B4A"/>
    <w:rsid w:val="19722F3E"/>
    <w:rsid w:val="197752D7"/>
    <w:rsid w:val="197E72DA"/>
    <w:rsid w:val="198B3467"/>
    <w:rsid w:val="19923902"/>
    <w:rsid w:val="19A013ED"/>
    <w:rsid w:val="19A54B21"/>
    <w:rsid w:val="19AA0FA9"/>
    <w:rsid w:val="19B00339"/>
    <w:rsid w:val="19C608D9"/>
    <w:rsid w:val="19C72DC1"/>
    <w:rsid w:val="19CF1023"/>
    <w:rsid w:val="19F50124"/>
    <w:rsid w:val="19FC5530"/>
    <w:rsid w:val="1A1409D8"/>
    <w:rsid w:val="1A18186E"/>
    <w:rsid w:val="1A1A4AE0"/>
    <w:rsid w:val="1A306C84"/>
    <w:rsid w:val="1A387913"/>
    <w:rsid w:val="1A4F7538"/>
    <w:rsid w:val="1A5F77D3"/>
    <w:rsid w:val="1A693E78"/>
    <w:rsid w:val="1A6E148E"/>
    <w:rsid w:val="1AAC1FB7"/>
    <w:rsid w:val="1ADC289C"/>
    <w:rsid w:val="1B0537E4"/>
    <w:rsid w:val="1B240CFC"/>
    <w:rsid w:val="1B342696"/>
    <w:rsid w:val="1B4F4EDD"/>
    <w:rsid w:val="1B59326E"/>
    <w:rsid w:val="1B650AE3"/>
    <w:rsid w:val="1B697C85"/>
    <w:rsid w:val="1B6B3188"/>
    <w:rsid w:val="1B710915"/>
    <w:rsid w:val="1B753A98"/>
    <w:rsid w:val="1B7C5E2D"/>
    <w:rsid w:val="1B803B6F"/>
    <w:rsid w:val="1B8371BB"/>
    <w:rsid w:val="1BD56F23"/>
    <w:rsid w:val="1BE069CA"/>
    <w:rsid w:val="1BEF11E3"/>
    <w:rsid w:val="1BEF4851"/>
    <w:rsid w:val="1C00080C"/>
    <w:rsid w:val="1C174926"/>
    <w:rsid w:val="1C27133D"/>
    <w:rsid w:val="1C322F51"/>
    <w:rsid w:val="1C3276CE"/>
    <w:rsid w:val="1C3560D4"/>
    <w:rsid w:val="1C3B45AA"/>
    <w:rsid w:val="1C5823F6"/>
    <w:rsid w:val="1C676ADD"/>
    <w:rsid w:val="1C823FD5"/>
    <w:rsid w:val="1C8242BD"/>
    <w:rsid w:val="1C9176B6"/>
    <w:rsid w:val="1CA3450A"/>
    <w:rsid w:val="1CA5548E"/>
    <w:rsid w:val="1CA74072"/>
    <w:rsid w:val="1CAC4E19"/>
    <w:rsid w:val="1CB02068"/>
    <w:rsid w:val="1CC009A4"/>
    <w:rsid w:val="1CFE5B1D"/>
    <w:rsid w:val="1D017314"/>
    <w:rsid w:val="1D031B48"/>
    <w:rsid w:val="1D0B4E33"/>
    <w:rsid w:val="1D1075D0"/>
    <w:rsid w:val="1D2373D2"/>
    <w:rsid w:val="1D3C18D5"/>
    <w:rsid w:val="1D3F091B"/>
    <w:rsid w:val="1D441B15"/>
    <w:rsid w:val="1D576491"/>
    <w:rsid w:val="1D715E5C"/>
    <w:rsid w:val="1DE06110"/>
    <w:rsid w:val="1DF05690"/>
    <w:rsid w:val="1DF93765"/>
    <w:rsid w:val="1E004446"/>
    <w:rsid w:val="1E1B2A71"/>
    <w:rsid w:val="1E392382"/>
    <w:rsid w:val="1E47236C"/>
    <w:rsid w:val="1E6C6310"/>
    <w:rsid w:val="1E76134C"/>
    <w:rsid w:val="1E990AA4"/>
    <w:rsid w:val="1E9B1B6C"/>
    <w:rsid w:val="1EA13FCF"/>
    <w:rsid w:val="1EA33C4F"/>
    <w:rsid w:val="1EB25197"/>
    <w:rsid w:val="1F1A7472"/>
    <w:rsid w:val="1F262C04"/>
    <w:rsid w:val="1F31221E"/>
    <w:rsid w:val="1F5339F5"/>
    <w:rsid w:val="1F59377E"/>
    <w:rsid w:val="1F5F50E4"/>
    <w:rsid w:val="1F794B99"/>
    <w:rsid w:val="1F8232BD"/>
    <w:rsid w:val="1F865547"/>
    <w:rsid w:val="1FAC1F03"/>
    <w:rsid w:val="1FE110D8"/>
    <w:rsid w:val="1FE424EF"/>
    <w:rsid w:val="1FEA4231"/>
    <w:rsid w:val="1FEB3115"/>
    <w:rsid w:val="1FEE5268"/>
    <w:rsid w:val="20185475"/>
    <w:rsid w:val="202D3756"/>
    <w:rsid w:val="20512691"/>
    <w:rsid w:val="20731CCC"/>
    <w:rsid w:val="209854B7"/>
    <w:rsid w:val="2099410A"/>
    <w:rsid w:val="20AE4CDA"/>
    <w:rsid w:val="20B6593D"/>
    <w:rsid w:val="20BB20C0"/>
    <w:rsid w:val="20BC7B42"/>
    <w:rsid w:val="20C5639C"/>
    <w:rsid w:val="20D14264"/>
    <w:rsid w:val="20DC5E78"/>
    <w:rsid w:val="20EB4E0E"/>
    <w:rsid w:val="21295BFA"/>
    <w:rsid w:val="213977FF"/>
    <w:rsid w:val="215A6C10"/>
    <w:rsid w:val="21690F5F"/>
    <w:rsid w:val="21725FEC"/>
    <w:rsid w:val="217C1966"/>
    <w:rsid w:val="21A41C3A"/>
    <w:rsid w:val="21AC2CCE"/>
    <w:rsid w:val="21B6105F"/>
    <w:rsid w:val="21C969FA"/>
    <w:rsid w:val="21E253A6"/>
    <w:rsid w:val="21E45026"/>
    <w:rsid w:val="21E5632B"/>
    <w:rsid w:val="21EC1E61"/>
    <w:rsid w:val="21F030D1"/>
    <w:rsid w:val="21F97134"/>
    <w:rsid w:val="21FF6ED4"/>
    <w:rsid w:val="220E74EF"/>
    <w:rsid w:val="2217065D"/>
    <w:rsid w:val="226E080D"/>
    <w:rsid w:val="2284712E"/>
    <w:rsid w:val="229067C3"/>
    <w:rsid w:val="22993768"/>
    <w:rsid w:val="22993850"/>
    <w:rsid w:val="229E2B2D"/>
    <w:rsid w:val="22A10C5C"/>
    <w:rsid w:val="22AE547D"/>
    <w:rsid w:val="22B456FE"/>
    <w:rsid w:val="22B91B86"/>
    <w:rsid w:val="22C55A01"/>
    <w:rsid w:val="22FD5263"/>
    <w:rsid w:val="2308452D"/>
    <w:rsid w:val="23092BD5"/>
    <w:rsid w:val="23225D32"/>
    <w:rsid w:val="23431AEA"/>
    <w:rsid w:val="23682C23"/>
    <w:rsid w:val="23726DB6"/>
    <w:rsid w:val="237F6549"/>
    <w:rsid w:val="2383244E"/>
    <w:rsid w:val="239C52BE"/>
    <w:rsid w:val="23A25387"/>
    <w:rsid w:val="23AC5C96"/>
    <w:rsid w:val="23AD3718"/>
    <w:rsid w:val="23AD7E95"/>
    <w:rsid w:val="23BF2431"/>
    <w:rsid w:val="23C87E61"/>
    <w:rsid w:val="24102138"/>
    <w:rsid w:val="24207C9D"/>
    <w:rsid w:val="24383C3C"/>
    <w:rsid w:val="243C1D02"/>
    <w:rsid w:val="245A12B2"/>
    <w:rsid w:val="24610C3D"/>
    <w:rsid w:val="246B6FCE"/>
    <w:rsid w:val="247A4BEB"/>
    <w:rsid w:val="248003D7"/>
    <w:rsid w:val="24952391"/>
    <w:rsid w:val="24AB4534"/>
    <w:rsid w:val="24B74494"/>
    <w:rsid w:val="24BA4B4F"/>
    <w:rsid w:val="24C97368"/>
    <w:rsid w:val="24D01560"/>
    <w:rsid w:val="24DA5084"/>
    <w:rsid w:val="24EB0BA1"/>
    <w:rsid w:val="25251434"/>
    <w:rsid w:val="25275183"/>
    <w:rsid w:val="25300011"/>
    <w:rsid w:val="25370A70"/>
    <w:rsid w:val="253C76A7"/>
    <w:rsid w:val="254856B7"/>
    <w:rsid w:val="25592D3B"/>
    <w:rsid w:val="255A5461"/>
    <w:rsid w:val="256162F1"/>
    <w:rsid w:val="256776B8"/>
    <w:rsid w:val="256A4F48"/>
    <w:rsid w:val="25805811"/>
    <w:rsid w:val="25822292"/>
    <w:rsid w:val="25A4254E"/>
    <w:rsid w:val="25CD2005"/>
    <w:rsid w:val="25D52D1D"/>
    <w:rsid w:val="25D725DE"/>
    <w:rsid w:val="2607472D"/>
    <w:rsid w:val="26257624"/>
    <w:rsid w:val="26290229"/>
    <w:rsid w:val="26683591"/>
    <w:rsid w:val="26AB74FD"/>
    <w:rsid w:val="26B11081"/>
    <w:rsid w:val="26DC1351"/>
    <w:rsid w:val="2702378F"/>
    <w:rsid w:val="27052538"/>
    <w:rsid w:val="270A26AA"/>
    <w:rsid w:val="270F17A0"/>
    <w:rsid w:val="271B64E8"/>
    <w:rsid w:val="271B7152"/>
    <w:rsid w:val="274A0DD4"/>
    <w:rsid w:val="27520F90"/>
    <w:rsid w:val="27544493"/>
    <w:rsid w:val="276500BD"/>
    <w:rsid w:val="277F4E19"/>
    <w:rsid w:val="2785737E"/>
    <w:rsid w:val="278A496D"/>
    <w:rsid w:val="27943258"/>
    <w:rsid w:val="27AC35F6"/>
    <w:rsid w:val="27B0758A"/>
    <w:rsid w:val="27B74E9A"/>
    <w:rsid w:val="27C869D0"/>
    <w:rsid w:val="27CC1EEA"/>
    <w:rsid w:val="27E0001A"/>
    <w:rsid w:val="27EE00B2"/>
    <w:rsid w:val="27F5667A"/>
    <w:rsid w:val="280E3605"/>
    <w:rsid w:val="2814104E"/>
    <w:rsid w:val="28186EDD"/>
    <w:rsid w:val="281C69CE"/>
    <w:rsid w:val="285E01C8"/>
    <w:rsid w:val="28696559"/>
    <w:rsid w:val="289B47AA"/>
    <w:rsid w:val="28AE59C9"/>
    <w:rsid w:val="28C2758B"/>
    <w:rsid w:val="28F57442"/>
    <w:rsid w:val="28F72945"/>
    <w:rsid w:val="29146F70"/>
    <w:rsid w:val="29181DA8"/>
    <w:rsid w:val="29235B3A"/>
    <w:rsid w:val="293B2E83"/>
    <w:rsid w:val="294F0C22"/>
    <w:rsid w:val="29550782"/>
    <w:rsid w:val="2967011C"/>
    <w:rsid w:val="29932CBF"/>
    <w:rsid w:val="29997F50"/>
    <w:rsid w:val="29A0362E"/>
    <w:rsid w:val="29B4657B"/>
    <w:rsid w:val="29E37333"/>
    <w:rsid w:val="29EF765A"/>
    <w:rsid w:val="2A1F73DE"/>
    <w:rsid w:val="2A340855"/>
    <w:rsid w:val="2A475AEA"/>
    <w:rsid w:val="2A5A31E3"/>
    <w:rsid w:val="2A600C13"/>
    <w:rsid w:val="2A66162A"/>
    <w:rsid w:val="2A677CA8"/>
    <w:rsid w:val="2A842608"/>
    <w:rsid w:val="2A982071"/>
    <w:rsid w:val="2A9D4251"/>
    <w:rsid w:val="2A9D64F9"/>
    <w:rsid w:val="2AA50082"/>
    <w:rsid w:val="2AA9450A"/>
    <w:rsid w:val="2AAB4235"/>
    <w:rsid w:val="2AB37D82"/>
    <w:rsid w:val="2AE01395"/>
    <w:rsid w:val="2AE17EE7"/>
    <w:rsid w:val="2AE2376A"/>
    <w:rsid w:val="2AE5754B"/>
    <w:rsid w:val="2B3134E9"/>
    <w:rsid w:val="2B357971"/>
    <w:rsid w:val="2B3758CC"/>
    <w:rsid w:val="2B3F744B"/>
    <w:rsid w:val="2B642A3F"/>
    <w:rsid w:val="2B6F03FE"/>
    <w:rsid w:val="2B742CD9"/>
    <w:rsid w:val="2BB74A47"/>
    <w:rsid w:val="2BE77795"/>
    <w:rsid w:val="2BEA3703"/>
    <w:rsid w:val="2BF65BCF"/>
    <w:rsid w:val="2BFD736F"/>
    <w:rsid w:val="2C18592C"/>
    <w:rsid w:val="2C506D1D"/>
    <w:rsid w:val="2C6A1AAC"/>
    <w:rsid w:val="2C6B57F0"/>
    <w:rsid w:val="2C6E074E"/>
    <w:rsid w:val="2C921E2C"/>
    <w:rsid w:val="2CA43B3A"/>
    <w:rsid w:val="2CBF201D"/>
    <w:rsid w:val="2CE3551B"/>
    <w:rsid w:val="2CF00429"/>
    <w:rsid w:val="2CF352A8"/>
    <w:rsid w:val="2D0B1F79"/>
    <w:rsid w:val="2D1D7D25"/>
    <w:rsid w:val="2D2D6159"/>
    <w:rsid w:val="2D3816C0"/>
    <w:rsid w:val="2D5409B8"/>
    <w:rsid w:val="2D637F86"/>
    <w:rsid w:val="2D697572"/>
    <w:rsid w:val="2D6C2E14"/>
    <w:rsid w:val="2D8A23C4"/>
    <w:rsid w:val="2D974F5D"/>
    <w:rsid w:val="2DA509EF"/>
    <w:rsid w:val="2DB81C0E"/>
    <w:rsid w:val="2DB94CBF"/>
    <w:rsid w:val="2DC51EE6"/>
    <w:rsid w:val="2DC93154"/>
    <w:rsid w:val="2DCC67A0"/>
    <w:rsid w:val="2DDB69E3"/>
    <w:rsid w:val="2DED4667"/>
    <w:rsid w:val="2DF53F49"/>
    <w:rsid w:val="2E02460C"/>
    <w:rsid w:val="2E036815"/>
    <w:rsid w:val="2E2D11B0"/>
    <w:rsid w:val="2E3D248B"/>
    <w:rsid w:val="2E402CEA"/>
    <w:rsid w:val="2E6049A6"/>
    <w:rsid w:val="2E953036"/>
    <w:rsid w:val="2E994780"/>
    <w:rsid w:val="2EA46A38"/>
    <w:rsid w:val="2EC15BD9"/>
    <w:rsid w:val="2EC92D50"/>
    <w:rsid w:val="2ED7364E"/>
    <w:rsid w:val="2EDA686E"/>
    <w:rsid w:val="2EE6487F"/>
    <w:rsid w:val="2EF23F15"/>
    <w:rsid w:val="2EFD22A6"/>
    <w:rsid w:val="2F1034C5"/>
    <w:rsid w:val="2F120BC6"/>
    <w:rsid w:val="2F46011B"/>
    <w:rsid w:val="2F54283A"/>
    <w:rsid w:val="2F5716BB"/>
    <w:rsid w:val="2F7964B4"/>
    <w:rsid w:val="2F8D1F5F"/>
    <w:rsid w:val="2F971030"/>
    <w:rsid w:val="2FA06136"/>
    <w:rsid w:val="2FE83639"/>
    <w:rsid w:val="2FFB6945"/>
    <w:rsid w:val="300B076C"/>
    <w:rsid w:val="30234286"/>
    <w:rsid w:val="3028070E"/>
    <w:rsid w:val="303B192D"/>
    <w:rsid w:val="303D63A8"/>
    <w:rsid w:val="304212B8"/>
    <w:rsid w:val="3091013E"/>
    <w:rsid w:val="309148BA"/>
    <w:rsid w:val="30CF21A1"/>
    <w:rsid w:val="30EC3CCF"/>
    <w:rsid w:val="30EF096B"/>
    <w:rsid w:val="30F2145C"/>
    <w:rsid w:val="30F524B2"/>
    <w:rsid w:val="312915B6"/>
    <w:rsid w:val="31362CC3"/>
    <w:rsid w:val="313C1E8F"/>
    <w:rsid w:val="31561180"/>
    <w:rsid w:val="31A002FB"/>
    <w:rsid w:val="31A3023E"/>
    <w:rsid w:val="31A428EC"/>
    <w:rsid w:val="31A77C86"/>
    <w:rsid w:val="31BF532C"/>
    <w:rsid w:val="31C0486E"/>
    <w:rsid w:val="31E7637C"/>
    <w:rsid w:val="31F521F9"/>
    <w:rsid w:val="31FB7654"/>
    <w:rsid w:val="32002EBC"/>
    <w:rsid w:val="32005D96"/>
    <w:rsid w:val="32390A1C"/>
    <w:rsid w:val="324A4137"/>
    <w:rsid w:val="325E19B3"/>
    <w:rsid w:val="325E612F"/>
    <w:rsid w:val="32674029"/>
    <w:rsid w:val="326F3E4B"/>
    <w:rsid w:val="327526A5"/>
    <w:rsid w:val="328A65D8"/>
    <w:rsid w:val="328B33A1"/>
    <w:rsid w:val="32A92D2C"/>
    <w:rsid w:val="32AA07AD"/>
    <w:rsid w:val="32C600DD"/>
    <w:rsid w:val="32C91062"/>
    <w:rsid w:val="32E5510F"/>
    <w:rsid w:val="32F742BF"/>
    <w:rsid w:val="32FA5B5D"/>
    <w:rsid w:val="32FC1801"/>
    <w:rsid w:val="32FF5CB9"/>
    <w:rsid w:val="33126ED8"/>
    <w:rsid w:val="331E076C"/>
    <w:rsid w:val="332A7E02"/>
    <w:rsid w:val="336D6FF1"/>
    <w:rsid w:val="337C76E9"/>
    <w:rsid w:val="33964F33"/>
    <w:rsid w:val="33A367C7"/>
    <w:rsid w:val="33A855B9"/>
    <w:rsid w:val="33B61BE4"/>
    <w:rsid w:val="33BF05E4"/>
    <w:rsid w:val="33D62126"/>
    <w:rsid w:val="33FB0DE1"/>
    <w:rsid w:val="340D5E76"/>
    <w:rsid w:val="34126ED7"/>
    <w:rsid w:val="341D068F"/>
    <w:rsid w:val="341E6110"/>
    <w:rsid w:val="34473235"/>
    <w:rsid w:val="345D6EFA"/>
    <w:rsid w:val="347D07F4"/>
    <w:rsid w:val="34881F3C"/>
    <w:rsid w:val="34902BCC"/>
    <w:rsid w:val="349C315B"/>
    <w:rsid w:val="34C71A6F"/>
    <w:rsid w:val="34E10222"/>
    <w:rsid w:val="352B2EEF"/>
    <w:rsid w:val="352E7146"/>
    <w:rsid w:val="353436DA"/>
    <w:rsid w:val="3537465F"/>
    <w:rsid w:val="354A587E"/>
    <w:rsid w:val="35502895"/>
    <w:rsid w:val="35584B93"/>
    <w:rsid w:val="355D1673"/>
    <w:rsid w:val="35825586"/>
    <w:rsid w:val="358D2CB9"/>
    <w:rsid w:val="35A47211"/>
    <w:rsid w:val="35BD6AB6"/>
    <w:rsid w:val="35C16A85"/>
    <w:rsid w:val="35E05D71"/>
    <w:rsid w:val="35FD3123"/>
    <w:rsid w:val="360A6FB9"/>
    <w:rsid w:val="361374C5"/>
    <w:rsid w:val="366053C6"/>
    <w:rsid w:val="366672CF"/>
    <w:rsid w:val="3673637F"/>
    <w:rsid w:val="36820DFD"/>
    <w:rsid w:val="368653F6"/>
    <w:rsid w:val="3696201C"/>
    <w:rsid w:val="36AA1648"/>
    <w:rsid w:val="36E561CA"/>
    <w:rsid w:val="36EA5EE9"/>
    <w:rsid w:val="373566A3"/>
    <w:rsid w:val="374878C2"/>
    <w:rsid w:val="375D490D"/>
    <w:rsid w:val="3772660A"/>
    <w:rsid w:val="37907CB6"/>
    <w:rsid w:val="3791016F"/>
    <w:rsid w:val="37910FBB"/>
    <w:rsid w:val="37BD2706"/>
    <w:rsid w:val="37C157A0"/>
    <w:rsid w:val="37E706C5"/>
    <w:rsid w:val="380B4369"/>
    <w:rsid w:val="38157F0F"/>
    <w:rsid w:val="38196F8C"/>
    <w:rsid w:val="382F2686"/>
    <w:rsid w:val="38604B0B"/>
    <w:rsid w:val="38674496"/>
    <w:rsid w:val="386817BB"/>
    <w:rsid w:val="38723B65"/>
    <w:rsid w:val="3875702F"/>
    <w:rsid w:val="38866F49"/>
    <w:rsid w:val="38A5396D"/>
    <w:rsid w:val="38C05E29"/>
    <w:rsid w:val="38C95049"/>
    <w:rsid w:val="38E23715"/>
    <w:rsid w:val="38FE5C7B"/>
    <w:rsid w:val="391C2CC0"/>
    <w:rsid w:val="39224BC9"/>
    <w:rsid w:val="392F7192"/>
    <w:rsid w:val="393D26E3"/>
    <w:rsid w:val="396F4CC8"/>
    <w:rsid w:val="39855933"/>
    <w:rsid w:val="398B750F"/>
    <w:rsid w:val="39900A80"/>
    <w:rsid w:val="39923F83"/>
    <w:rsid w:val="39926182"/>
    <w:rsid w:val="39AB70AC"/>
    <w:rsid w:val="39BE4A47"/>
    <w:rsid w:val="39C932AF"/>
    <w:rsid w:val="39D620EE"/>
    <w:rsid w:val="39E06281"/>
    <w:rsid w:val="3A0D004A"/>
    <w:rsid w:val="3A1F37E7"/>
    <w:rsid w:val="3A235A71"/>
    <w:rsid w:val="3A4B4EF0"/>
    <w:rsid w:val="3A4C30B9"/>
    <w:rsid w:val="3A6E6DEA"/>
    <w:rsid w:val="3A824DB6"/>
    <w:rsid w:val="3A8E5120"/>
    <w:rsid w:val="3A9934B1"/>
    <w:rsid w:val="3AA70248"/>
    <w:rsid w:val="3AAA11CD"/>
    <w:rsid w:val="3AE17129"/>
    <w:rsid w:val="3AEB54BA"/>
    <w:rsid w:val="3AEF063D"/>
    <w:rsid w:val="3B105364"/>
    <w:rsid w:val="3B3A1CDA"/>
    <w:rsid w:val="3B3B2CBA"/>
    <w:rsid w:val="3B701AC7"/>
    <w:rsid w:val="3B7905A1"/>
    <w:rsid w:val="3B7E29F9"/>
    <w:rsid w:val="3B82342F"/>
    <w:rsid w:val="3B9A0AD5"/>
    <w:rsid w:val="3BA31F2C"/>
    <w:rsid w:val="3BB52F69"/>
    <w:rsid w:val="3BB60406"/>
    <w:rsid w:val="3BB653A8"/>
    <w:rsid w:val="3BBC1BB7"/>
    <w:rsid w:val="3BDB0B61"/>
    <w:rsid w:val="3BE321CE"/>
    <w:rsid w:val="3BEC505C"/>
    <w:rsid w:val="3BF31DC2"/>
    <w:rsid w:val="3BFF5F92"/>
    <w:rsid w:val="3C00500B"/>
    <w:rsid w:val="3C0F6516"/>
    <w:rsid w:val="3C134F1C"/>
    <w:rsid w:val="3C1952EA"/>
    <w:rsid w:val="3C243C4B"/>
    <w:rsid w:val="3C57218D"/>
    <w:rsid w:val="3C6F6BEB"/>
    <w:rsid w:val="3CB13B21"/>
    <w:rsid w:val="3CBD7933"/>
    <w:rsid w:val="3CD11E57"/>
    <w:rsid w:val="3CD334F8"/>
    <w:rsid w:val="3CEC4BFF"/>
    <w:rsid w:val="3CF4361D"/>
    <w:rsid w:val="3D1228C0"/>
    <w:rsid w:val="3D212EDB"/>
    <w:rsid w:val="3D2D1ADF"/>
    <w:rsid w:val="3D54160E"/>
    <w:rsid w:val="3D550DAB"/>
    <w:rsid w:val="3D5620B0"/>
    <w:rsid w:val="3D613ED0"/>
    <w:rsid w:val="3D806841"/>
    <w:rsid w:val="3D9F5C7F"/>
    <w:rsid w:val="3DC966B3"/>
    <w:rsid w:val="3DF05AD0"/>
    <w:rsid w:val="3DF83E38"/>
    <w:rsid w:val="3DFC0389"/>
    <w:rsid w:val="3E015FF2"/>
    <w:rsid w:val="3E1C72D0"/>
    <w:rsid w:val="3E1D0E70"/>
    <w:rsid w:val="3E3B3627"/>
    <w:rsid w:val="3E4B1963"/>
    <w:rsid w:val="3E530005"/>
    <w:rsid w:val="3E605DE6"/>
    <w:rsid w:val="3E721583"/>
    <w:rsid w:val="3E955C5C"/>
    <w:rsid w:val="3E9B4013"/>
    <w:rsid w:val="3EBC7066"/>
    <w:rsid w:val="3EE250BA"/>
    <w:rsid w:val="3EE65CBF"/>
    <w:rsid w:val="3EF1768B"/>
    <w:rsid w:val="3F0110BB"/>
    <w:rsid w:val="3F1735F3"/>
    <w:rsid w:val="3F2226C4"/>
    <w:rsid w:val="3F341641"/>
    <w:rsid w:val="3F5A3A7F"/>
    <w:rsid w:val="3F64438F"/>
    <w:rsid w:val="3F6C708F"/>
    <w:rsid w:val="3F916157"/>
    <w:rsid w:val="3F9D61EE"/>
    <w:rsid w:val="3FCD6F0E"/>
    <w:rsid w:val="3FD30E74"/>
    <w:rsid w:val="3FD55947"/>
    <w:rsid w:val="3FE01600"/>
    <w:rsid w:val="3FE15239"/>
    <w:rsid w:val="3FE24C5D"/>
    <w:rsid w:val="3FF12096"/>
    <w:rsid w:val="3FF27622"/>
    <w:rsid w:val="3FFE458D"/>
    <w:rsid w:val="401541B2"/>
    <w:rsid w:val="402F14D9"/>
    <w:rsid w:val="40302BBE"/>
    <w:rsid w:val="40374E6F"/>
    <w:rsid w:val="404F780F"/>
    <w:rsid w:val="405145CB"/>
    <w:rsid w:val="40582115"/>
    <w:rsid w:val="405B10A3"/>
    <w:rsid w:val="405B6EA5"/>
    <w:rsid w:val="40A06315"/>
    <w:rsid w:val="40BE58C5"/>
    <w:rsid w:val="40CE13E2"/>
    <w:rsid w:val="411A73CB"/>
    <w:rsid w:val="41323600"/>
    <w:rsid w:val="414561D0"/>
    <w:rsid w:val="417E0CA1"/>
    <w:rsid w:val="41872B03"/>
    <w:rsid w:val="41872D8F"/>
    <w:rsid w:val="41D81894"/>
    <w:rsid w:val="41DD1898"/>
    <w:rsid w:val="41F45941"/>
    <w:rsid w:val="41F91DC9"/>
    <w:rsid w:val="41FC07CF"/>
    <w:rsid w:val="421D3391"/>
    <w:rsid w:val="4230600B"/>
    <w:rsid w:val="42311ECC"/>
    <w:rsid w:val="42625F75"/>
    <w:rsid w:val="426E780A"/>
    <w:rsid w:val="42726210"/>
    <w:rsid w:val="42744F96"/>
    <w:rsid w:val="428A38B6"/>
    <w:rsid w:val="42941C47"/>
    <w:rsid w:val="42947A49"/>
    <w:rsid w:val="429C278D"/>
    <w:rsid w:val="42B70F03"/>
    <w:rsid w:val="42CE346F"/>
    <w:rsid w:val="42E73C50"/>
    <w:rsid w:val="42EA29D6"/>
    <w:rsid w:val="42EC3109"/>
    <w:rsid w:val="42F26851"/>
    <w:rsid w:val="43171E14"/>
    <w:rsid w:val="431D69BF"/>
    <w:rsid w:val="43274A3A"/>
    <w:rsid w:val="43275583"/>
    <w:rsid w:val="432A7D99"/>
    <w:rsid w:val="432B3B11"/>
    <w:rsid w:val="43310182"/>
    <w:rsid w:val="434C3974"/>
    <w:rsid w:val="434D13F6"/>
    <w:rsid w:val="434D4C79"/>
    <w:rsid w:val="434E26FB"/>
    <w:rsid w:val="434F7125"/>
    <w:rsid w:val="43733481"/>
    <w:rsid w:val="43762FDE"/>
    <w:rsid w:val="43BD29AF"/>
    <w:rsid w:val="43C12820"/>
    <w:rsid w:val="43C55D14"/>
    <w:rsid w:val="43CF26EE"/>
    <w:rsid w:val="43D55E57"/>
    <w:rsid w:val="44027C20"/>
    <w:rsid w:val="442742D8"/>
    <w:rsid w:val="442B6866"/>
    <w:rsid w:val="44357175"/>
    <w:rsid w:val="444E3361"/>
    <w:rsid w:val="4458310A"/>
    <w:rsid w:val="44722BFE"/>
    <w:rsid w:val="44865C7B"/>
    <w:rsid w:val="448A687F"/>
    <w:rsid w:val="448E07FB"/>
    <w:rsid w:val="44B042CE"/>
    <w:rsid w:val="44BA3256"/>
    <w:rsid w:val="44BF702A"/>
    <w:rsid w:val="44E36014"/>
    <w:rsid w:val="44E93C84"/>
    <w:rsid w:val="451467E3"/>
    <w:rsid w:val="453F568F"/>
    <w:rsid w:val="4554734F"/>
    <w:rsid w:val="45787E3F"/>
    <w:rsid w:val="4585361F"/>
    <w:rsid w:val="45A32FFD"/>
    <w:rsid w:val="45A96EDA"/>
    <w:rsid w:val="45CC270F"/>
    <w:rsid w:val="45D65FB6"/>
    <w:rsid w:val="45E8203F"/>
    <w:rsid w:val="45EA3344"/>
    <w:rsid w:val="45F509A8"/>
    <w:rsid w:val="45FC0CDF"/>
    <w:rsid w:val="461A0599"/>
    <w:rsid w:val="463446BC"/>
    <w:rsid w:val="46357180"/>
    <w:rsid w:val="46380A1F"/>
    <w:rsid w:val="46540183"/>
    <w:rsid w:val="46610A04"/>
    <w:rsid w:val="46655126"/>
    <w:rsid w:val="4667038F"/>
    <w:rsid w:val="467B6B5D"/>
    <w:rsid w:val="467E5DB6"/>
    <w:rsid w:val="4698326B"/>
    <w:rsid w:val="469F0A9E"/>
    <w:rsid w:val="46B16AEE"/>
    <w:rsid w:val="46C40B3F"/>
    <w:rsid w:val="46D74E6D"/>
    <w:rsid w:val="46D9157A"/>
    <w:rsid w:val="46E86601"/>
    <w:rsid w:val="47193A36"/>
    <w:rsid w:val="471B6F39"/>
    <w:rsid w:val="472A5ECE"/>
    <w:rsid w:val="47446A78"/>
    <w:rsid w:val="4746716B"/>
    <w:rsid w:val="474D22A8"/>
    <w:rsid w:val="47580F9C"/>
    <w:rsid w:val="476A6CB8"/>
    <w:rsid w:val="47906638"/>
    <w:rsid w:val="47A82FE8"/>
    <w:rsid w:val="47B265AF"/>
    <w:rsid w:val="47DC4A34"/>
    <w:rsid w:val="47E66258"/>
    <w:rsid w:val="47F22E4F"/>
    <w:rsid w:val="4800731A"/>
    <w:rsid w:val="480E2235"/>
    <w:rsid w:val="480F755D"/>
    <w:rsid w:val="4811150C"/>
    <w:rsid w:val="481E59F2"/>
    <w:rsid w:val="48264E6C"/>
    <w:rsid w:val="48315726"/>
    <w:rsid w:val="483B158F"/>
    <w:rsid w:val="48584940"/>
    <w:rsid w:val="48741AB6"/>
    <w:rsid w:val="48B06F92"/>
    <w:rsid w:val="48B57FD2"/>
    <w:rsid w:val="48BF75E9"/>
    <w:rsid w:val="48C308D3"/>
    <w:rsid w:val="48D82712"/>
    <w:rsid w:val="48EC5AF0"/>
    <w:rsid w:val="48F80521"/>
    <w:rsid w:val="491017DF"/>
    <w:rsid w:val="49260006"/>
    <w:rsid w:val="49264A0F"/>
    <w:rsid w:val="493A36B0"/>
    <w:rsid w:val="493C2BF3"/>
    <w:rsid w:val="494707C7"/>
    <w:rsid w:val="495E03EC"/>
    <w:rsid w:val="497E0921"/>
    <w:rsid w:val="498B0AA8"/>
    <w:rsid w:val="498C7C37"/>
    <w:rsid w:val="4A354385"/>
    <w:rsid w:val="4A365275"/>
    <w:rsid w:val="4A3B0ADD"/>
    <w:rsid w:val="4A4A12EF"/>
    <w:rsid w:val="4A542F03"/>
    <w:rsid w:val="4A6A5635"/>
    <w:rsid w:val="4A7224B3"/>
    <w:rsid w:val="4A722DBC"/>
    <w:rsid w:val="4A8449B6"/>
    <w:rsid w:val="4A934476"/>
    <w:rsid w:val="4AC431B7"/>
    <w:rsid w:val="4AC75B3B"/>
    <w:rsid w:val="4ACF1232"/>
    <w:rsid w:val="4AE11B0D"/>
    <w:rsid w:val="4B32706E"/>
    <w:rsid w:val="4B434D8A"/>
    <w:rsid w:val="4B5A31E5"/>
    <w:rsid w:val="4B746E6A"/>
    <w:rsid w:val="4B96350F"/>
    <w:rsid w:val="4B963A09"/>
    <w:rsid w:val="4B9C37FE"/>
    <w:rsid w:val="4BCE772F"/>
    <w:rsid w:val="4C190454"/>
    <w:rsid w:val="4C1922D7"/>
    <w:rsid w:val="4C1F59F2"/>
    <w:rsid w:val="4C204934"/>
    <w:rsid w:val="4C237A7B"/>
    <w:rsid w:val="4C31118F"/>
    <w:rsid w:val="4C4E2CBD"/>
    <w:rsid w:val="4C5A1917"/>
    <w:rsid w:val="4C626ABB"/>
    <w:rsid w:val="4C63256E"/>
    <w:rsid w:val="4C812213"/>
    <w:rsid w:val="4C9F13C1"/>
    <w:rsid w:val="4CB12D62"/>
    <w:rsid w:val="4CC01CF8"/>
    <w:rsid w:val="4CC22C7C"/>
    <w:rsid w:val="4CC82987"/>
    <w:rsid w:val="4CCE2DC3"/>
    <w:rsid w:val="4CEC7977"/>
    <w:rsid w:val="4CF40329"/>
    <w:rsid w:val="4D0258E3"/>
    <w:rsid w:val="4D0C2FE6"/>
    <w:rsid w:val="4D19148D"/>
    <w:rsid w:val="4D1C4610"/>
    <w:rsid w:val="4D252D21"/>
    <w:rsid w:val="4D422183"/>
    <w:rsid w:val="4D42484F"/>
    <w:rsid w:val="4D773A25"/>
    <w:rsid w:val="4D836E49"/>
    <w:rsid w:val="4D9C1893"/>
    <w:rsid w:val="4DA25B6E"/>
    <w:rsid w:val="4DB07082"/>
    <w:rsid w:val="4DB27309"/>
    <w:rsid w:val="4DD90246"/>
    <w:rsid w:val="4DF26BF1"/>
    <w:rsid w:val="4E135DC0"/>
    <w:rsid w:val="4E1835AE"/>
    <w:rsid w:val="4E19102F"/>
    <w:rsid w:val="4E545991"/>
    <w:rsid w:val="4E703C3C"/>
    <w:rsid w:val="4E7963D7"/>
    <w:rsid w:val="4EA431B6"/>
    <w:rsid w:val="4EB04A26"/>
    <w:rsid w:val="4EB726FD"/>
    <w:rsid w:val="4EC3779A"/>
    <w:rsid w:val="4EC436C7"/>
    <w:rsid w:val="4ECD1F20"/>
    <w:rsid w:val="4ED70169"/>
    <w:rsid w:val="4ED901C0"/>
    <w:rsid w:val="4EDE7AF4"/>
    <w:rsid w:val="4EE41DF2"/>
    <w:rsid w:val="4EFE2294"/>
    <w:rsid w:val="4F0444B0"/>
    <w:rsid w:val="4F0C0C9A"/>
    <w:rsid w:val="4F1D2E5C"/>
    <w:rsid w:val="4F1E452A"/>
    <w:rsid w:val="4F2F38E7"/>
    <w:rsid w:val="4F4C4F97"/>
    <w:rsid w:val="4F560A37"/>
    <w:rsid w:val="4F9827A5"/>
    <w:rsid w:val="4F9E0E2B"/>
    <w:rsid w:val="4F9E46AF"/>
    <w:rsid w:val="4FE70901"/>
    <w:rsid w:val="4FF053B2"/>
    <w:rsid w:val="4FF24139"/>
    <w:rsid w:val="4FF86042"/>
    <w:rsid w:val="4FF95CC2"/>
    <w:rsid w:val="500F5C67"/>
    <w:rsid w:val="5012466D"/>
    <w:rsid w:val="501442ED"/>
    <w:rsid w:val="502344EE"/>
    <w:rsid w:val="503C7A30"/>
    <w:rsid w:val="504812C4"/>
    <w:rsid w:val="506C277D"/>
    <w:rsid w:val="5078079B"/>
    <w:rsid w:val="507D3D1D"/>
    <w:rsid w:val="50816EA0"/>
    <w:rsid w:val="50836D3A"/>
    <w:rsid w:val="509B32CD"/>
    <w:rsid w:val="50B25872"/>
    <w:rsid w:val="50B618F8"/>
    <w:rsid w:val="50C05A8B"/>
    <w:rsid w:val="50E27F05"/>
    <w:rsid w:val="50E449C6"/>
    <w:rsid w:val="50FD6AED"/>
    <w:rsid w:val="5107796B"/>
    <w:rsid w:val="5108417B"/>
    <w:rsid w:val="51160A18"/>
    <w:rsid w:val="511C4B20"/>
    <w:rsid w:val="512963B4"/>
    <w:rsid w:val="512A76B9"/>
    <w:rsid w:val="51326CC3"/>
    <w:rsid w:val="513E6359"/>
    <w:rsid w:val="515F5A90"/>
    <w:rsid w:val="51630526"/>
    <w:rsid w:val="516C5BA3"/>
    <w:rsid w:val="517045AA"/>
    <w:rsid w:val="517664B3"/>
    <w:rsid w:val="517E7143"/>
    <w:rsid w:val="51850CCC"/>
    <w:rsid w:val="51B754FE"/>
    <w:rsid w:val="51BF3DA2"/>
    <w:rsid w:val="51CE23C5"/>
    <w:rsid w:val="51DE4BDE"/>
    <w:rsid w:val="51E647F0"/>
    <w:rsid w:val="51E909F0"/>
    <w:rsid w:val="52190FE2"/>
    <w:rsid w:val="52466B8B"/>
    <w:rsid w:val="524D2C93"/>
    <w:rsid w:val="524D4C50"/>
    <w:rsid w:val="525C54AC"/>
    <w:rsid w:val="52722ED3"/>
    <w:rsid w:val="52765273"/>
    <w:rsid w:val="529C0587"/>
    <w:rsid w:val="52AB07CA"/>
    <w:rsid w:val="52BA32C7"/>
    <w:rsid w:val="52D576F4"/>
    <w:rsid w:val="52FE6B4C"/>
    <w:rsid w:val="52FE7B5C"/>
    <w:rsid w:val="530C28D8"/>
    <w:rsid w:val="530C534A"/>
    <w:rsid w:val="531F2FEB"/>
    <w:rsid w:val="532D1216"/>
    <w:rsid w:val="533B291C"/>
    <w:rsid w:val="53481B98"/>
    <w:rsid w:val="535449BE"/>
    <w:rsid w:val="536F1AF1"/>
    <w:rsid w:val="538D1507"/>
    <w:rsid w:val="539D474F"/>
    <w:rsid w:val="53B042EA"/>
    <w:rsid w:val="53E917BB"/>
    <w:rsid w:val="53F66B23"/>
    <w:rsid w:val="540F0375"/>
    <w:rsid w:val="541D3002"/>
    <w:rsid w:val="543108C8"/>
    <w:rsid w:val="543C792C"/>
    <w:rsid w:val="543D36A4"/>
    <w:rsid w:val="545220E4"/>
    <w:rsid w:val="54536DC6"/>
    <w:rsid w:val="54540E6A"/>
    <w:rsid w:val="54570EE0"/>
    <w:rsid w:val="54574766"/>
    <w:rsid w:val="54886F27"/>
    <w:rsid w:val="54B57798"/>
    <w:rsid w:val="54C855A5"/>
    <w:rsid w:val="54C94F38"/>
    <w:rsid w:val="54DB67C4"/>
    <w:rsid w:val="54E603D9"/>
    <w:rsid w:val="54F14BBA"/>
    <w:rsid w:val="55000F83"/>
    <w:rsid w:val="550C3CB1"/>
    <w:rsid w:val="551A792E"/>
    <w:rsid w:val="552104C7"/>
    <w:rsid w:val="55390642"/>
    <w:rsid w:val="553A77E5"/>
    <w:rsid w:val="55413F6A"/>
    <w:rsid w:val="55517A88"/>
    <w:rsid w:val="55902BF9"/>
    <w:rsid w:val="559612BE"/>
    <w:rsid w:val="559F5609"/>
    <w:rsid w:val="55B55BE8"/>
    <w:rsid w:val="55CE28D5"/>
    <w:rsid w:val="55D95B61"/>
    <w:rsid w:val="55E23AF4"/>
    <w:rsid w:val="55E31FCB"/>
    <w:rsid w:val="55EC6455"/>
    <w:rsid w:val="56062A2F"/>
    <w:rsid w:val="562A2FA0"/>
    <w:rsid w:val="56501BA9"/>
    <w:rsid w:val="565F5B54"/>
    <w:rsid w:val="566045E6"/>
    <w:rsid w:val="567120DE"/>
    <w:rsid w:val="567315FF"/>
    <w:rsid w:val="567D5EF0"/>
    <w:rsid w:val="56AB0FBE"/>
    <w:rsid w:val="56B77B9A"/>
    <w:rsid w:val="56CA1873"/>
    <w:rsid w:val="56D20E7E"/>
    <w:rsid w:val="571A38C4"/>
    <w:rsid w:val="571A57FF"/>
    <w:rsid w:val="572949E5"/>
    <w:rsid w:val="576047D5"/>
    <w:rsid w:val="57622CEB"/>
    <w:rsid w:val="576E23B2"/>
    <w:rsid w:val="57722F85"/>
    <w:rsid w:val="577634CA"/>
    <w:rsid w:val="577E6D98"/>
    <w:rsid w:val="57833220"/>
    <w:rsid w:val="57871C26"/>
    <w:rsid w:val="57990C47"/>
    <w:rsid w:val="57A62B2B"/>
    <w:rsid w:val="57C65F30"/>
    <w:rsid w:val="57F325DA"/>
    <w:rsid w:val="57FC2B10"/>
    <w:rsid w:val="57FC5363"/>
    <w:rsid w:val="58055D78"/>
    <w:rsid w:val="58175C92"/>
    <w:rsid w:val="582B3909"/>
    <w:rsid w:val="585316E8"/>
    <w:rsid w:val="58657096"/>
    <w:rsid w:val="587E21BE"/>
    <w:rsid w:val="58835464"/>
    <w:rsid w:val="58851B49"/>
    <w:rsid w:val="58923397"/>
    <w:rsid w:val="58A6596B"/>
    <w:rsid w:val="58B24ED6"/>
    <w:rsid w:val="58BB67A0"/>
    <w:rsid w:val="58C02C27"/>
    <w:rsid w:val="58C779E0"/>
    <w:rsid w:val="58CD5B48"/>
    <w:rsid w:val="58E11D14"/>
    <w:rsid w:val="58FC5041"/>
    <w:rsid w:val="591304B3"/>
    <w:rsid w:val="59281352"/>
    <w:rsid w:val="592B61C1"/>
    <w:rsid w:val="59301FE2"/>
    <w:rsid w:val="594B280B"/>
    <w:rsid w:val="59525A19"/>
    <w:rsid w:val="59564420"/>
    <w:rsid w:val="59632FFE"/>
    <w:rsid w:val="59745DBA"/>
    <w:rsid w:val="599D4019"/>
    <w:rsid w:val="59B30962"/>
    <w:rsid w:val="59C77C98"/>
    <w:rsid w:val="59DE0E81"/>
    <w:rsid w:val="59E06FAB"/>
    <w:rsid w:val="59F36CDF"/>
    <w:rsid w:val="5A03251D"/>
    <w:rsid w:val="5A5E0BC1"/>
    <w:rsid w:val="5A5E308C"/>
    <w:rsid w:val="5A6279C1"/>
    <w:rsid w:val="5A647BDD"/>
    <w:rsid w:val="5A7C4951"/>
    <w:rsid w:val="5A7E1904"/>
    <w:rsid w:val="5A7F2D94"/>
    <w:rsid w:val="5A874791"/>
    <w:rsid w:val="5AAF3758"/>
    <w:rsid w:val="5AB346C0"/>
    <w:rsid w:val="5ACD7484"/>
    <w:rsid w:val="5AE7002E"/>
    <w:rsid w:val="5B0D3DD0"/>
    <w:rsid w:val="5BAD7361"/>
    <w:rsid w:val="5BB26726"/>
    <w:rsid w:val="5BC94934"/>
    <w:rsid w:val="5BCD17B1"/>
    <w:rsid w:val="5BEA43D9"/>
    <w:rsid w:val="5BF32AEA"/>
    <w:rsid w:val="5BFB5978"/>
    <w:rsid w:val="5C076A71"/>
    <w:rsid w:val="5C0A1B37"/>
    <w:rsid w:val="5C2344D8"/>
    <w:rsid w:val="5C5F565F"/>
    <w:rsid w:val="5C617A1B"/>
    <w:rsid w:val="5C6A7BC1"/>
    <w:rsid w:val="5C6E6AF1"/>
    <w:rsid w:val="5C732359"/>
    <w:rsid w:val="5C7E485A"/>
    <w:rsid w:val="5C8561D7"/>
    <w:rsid w:val="5C915E6B"/>
    <w:rsid w:val="5CB149B1"/>
    <w:rsid w:val="5CB14C2F"/>
    <w:rsid w:val="5CC62AC2"/>
    <w:rsid w:val="5CDB71E4"/>
    <w:rsid w:val="5CF00EE7"/>
    <w:rsid w:val="5D120EA2"/>
    <w:rsid w:val="5D3665F9"/>
    <w:rsid w:val="5D3F1487"/>
    <w:rsid w:val="5D4B6E32"/>
    <w:rsid w:val="5D4F1722"/>
    <w:rsid w:val="5D5339AB"/>
    <w:rsid w:val="5D63417B"/>
    <w:rsid w:val="5D7C12EC"/>
    <w:rsid w:val="5D826A79"/>
    <w:rsid w:val="5D84417A"/>
    <w:rsid w:val="5DA311AC"/>
    <w:rsid w:val="5DAB1E3B"/>
    <w:rsid w:val="5DAB65B8"/>
    <w:rsid w:val="5DBD6E2E"/>
    <w:rsid w:val="5DCB1D21"/>
    <w:rsid w:val="5DD3777C"/>
    <w:rsid w:val="5DD923CF"/>
    <w:rsid w:val="5DE30E18"/>
    <w:rsid w:val="5E007347"/>
    <w:rsid w:val="5E47584B"/>
    <w:rsid w:val="5E497F75"/>
    <w:rsid w:val="5E823228"/>
    <w:rsid w:val="5EA52572"/>
    <w:rsid w:val="5EB016E9"/>
    <w:rsid w:val="5EBB7A7A"/>
    <w:rsid w:val="5EBC76FA"/>
    <w:rsid w:val="5EC609A8"/>
    <w:rsid w:val="5ECE7D1A"/>
    <w:rsid w:val="5ED276B4"/>
    <w:rsid w:val="5EE52114"/>
    <w:rsid w:val="5EF81ADD"/>
    <w:rsid w:val="5EFA4FE0"/>
    <w:rsid w:val="5F0223ED"/>
    <w:rsid w:val="5F0B0AFE"/>
    <w:rsid w:val="5F0B6879"/>
    <w:rsid w:val="5F292A9E"/>
    <w:rsid w:val="5F2D2C93"/>
    <w:rsid w:val="5F4104EC"/>
    <w:rsid w:val="5F5A4218"/>
    <w:rsid w:val="5F6D1A9C"/>
    <w:rsid w:val="5F7239A5"/>
    <w:rsid w:val="5F79590E"/>
    <w:rsid w:val="5F8D4FB7"/>
    <w:rsid w:val="5F954394"/>
    <w:rsid w:val="5F9C5723"/>
    <w:rsid w:val="5FD903D8"/>
    <w:rsid w:val="5FE22D60"/>
    <w:rsid w:val="60150B9A"/>
    <w:rsid w:val="604D575A"/>
    <w:rsid w:val="60522285"/>
    <w:rsid w:val="606F4BE5"/>
    <w:rsid w:val="60AD7EAA"/>
    <w:rsid w:val="60AF5A9D"/>
    <w:rsid w:val="60B3076C"/>
    <w:rsid w:val="60BB42CE"/>
    <w:rsid w:val="60CC4EDB"/>
    <w:rsid w:val="60D1526D"/>
    <w:rsid w:val="60D422E8"/>
    <w:rsid w:val="60F862B1"/>
    <w:rsid w:val="61107F4E"/>
    <w:rsid w:val="611778D9"/>
    <w:rsid w:val="614D49C5"/>
    <w:rsid w:val="61543FF9"/>
    <w:rsid w:val="61656152"/>
    <w:rsid w:val="61770BF8"/>
    <w:rsid w:val="61897F29"/>
    <w:rsid w:val="61907BF0"/>
    <w:rsid w:val="619D5782"/>
    <w:rsid w:val="619D77B2"/>
    <w:rsid w:val="61AB234B"/>
    <w:rsid w:val="61B606DC"/>
    <w:rsid w:val="61D03DA9"/>
    <w:rsid w:val="61D1258B"/>
    <w:rsid w:val="61E01520"/>
    <w:rsid w:val="61ED6638"/>
    <w:rsid w:val="61F12AC0"/>
    <w:rsid w:val="62007857"/>
    <w:rsid w:val="62142C74"/>
    <w:rsid w:val="621625BE"/>
    <w:rsid w:val="62221901"/>
    <w:rsid w:val="623065F6"/>
    <w:rsid w:val="62487C4B"/>
    <w:rsid w:val="62542147"/>
    <w:rsid w:val="626345C0"/>
    <w:rsid w:val="62703611"/>
    <w:rsid w:val="6279041A"/>
    <w:rsid w:val="627A5E9C"/>
    <w:rsid w:val="629152E7"/>
    <w:rsid w:val="62960B4F"/>
    <w:rsid w:val="62AA7CF0"/>
    <w:rsid w:val="62D853C1"/>
    <w:rsid w:val="62E62FCC"/>
    <w:rsid w:val="630755A9"/>
    <w:rsid w:val="63246334"/>
    <w:rsid w:val="633D721D"/>
    <w:rsid w:val="635A680F"/>
    <w:rsid w:val="63626C83"/>
    <w:rsid w:val="63755831"/>
    <w:rsid w:val="63806A4E"/>
    <w:rsid w:val="639D4CF9"/>
    <w:rsid w:val="63D5573C"/>
    <w:rsid w:val="63DF02D4"/>
    <w:rsid w:val="63E46773"/>
    <w:rsid w:val="640843A9"/>
    <w:rsid w:val="641F6922"/>
    <w:rsid w:val="642D3F0B"/>
    <w:rsid w:val="642F7AEC"/>
    <w:rsid w:val="643C1380"/>
    <w:rsid w:val="643E4FFA"/>
    <w:rsid w:val="646E75D0"/>
    <w:rsid w:val="647C5B23"/>
    <w:rsid w:val="64952D13"/>
    <w:rsid w:val="64A84B6A"/>
    <w:rsid w:val="64AE5E3B"/>
    <w:rsid w:val="64BA54D1"/>
    <w:rsid w:val="64C45DE1"/>
    <w:rsid w:val="64CD66F0"/>
    <w:rsid w:val="64D811FE"/>
    <w:rsid w:val="64F94FB6"/>
    <w:rsid w:val="654F0B24"/>
    <w:rsid w:val="655D5954"/>
    <w:rsid w:val="656A1DF2"/>
    <w:rsid w:val="656C52F5"/>
    <w:rsid w:val="65950765"/>
    <w:rsid w:val="659C2241"/>
    <w:rsid w:val="65A9336D"/>
    <w:rsid w:val="65B31E66"/>
    <w:rsid w:val="65B56D12"/>
    <w:rsid w:val="65C24246"/>
    <w:rsid w:val="65D76BA2"/>
    <w:rsid w:val="65E8076A"/>
    <w:rsid w:val="65FB005C"/>
    <w:rsid w:val="65FB63B1"/>
    <w:rsid w:val="664571D6"/>
    <w:rsid w:val="665242EE"/>
    <w:rsid w:val="66533F6E"/>
    <w:rsid w:val="665B6338"/>
    <w:rsid w:val="66696111"/>
    <w:rsid w:val="667D7330"/>
    <w:rsid w:val="667F2833"/>
    <w:rsid w:val="6687372F"/>
    <w:rsid w:val="66B40B0F"/>
    <w:rsid w:val="66B52A70"/>
    <w:rsid w:val="66BA1819"/>
    <w:rsid w:val="66BC5077"/>
    <w:rsid w:val="66D07A5D"/>
    <w:rsid w:val="66D47E98"/>
    <w:rsid w:val="66D87F7E"/>
    <w:rsid w:val="66DB4D83"/>
    <w:rsid w:val="66DE4873"/>
    <w:rsid w:val="66E16111"/>
    <w:rsid w:val="66ED66EB"/>
    <w:rsid w:val="67261D48"/>
    <w:rsid w:val="673100D9"/>
    <w:rsid w:val="67373758"/>
    <w:rsid w:val="674572F5"/>
    <w:rsid w:val="67547394"/>
    <w:rsid w:val="676B283C"/>
    <w:rsid w:val="67726A1A"/>
    <w:rsid w:val="67760F4F"/>
    <w:rsid w:val="677E1BB2"/>
    <w:rsid w:val="67A04E78"/>
    <w:rsid w:val="67A21691"/>
    <w:rsid w:val="67A55E99"/>
    <w:rsid w:val="67D516F5"/>
    <w:rsid w:val="67D80844"/>
    <w:rsid w:val="67EB6F82"/>
    <w:rsid w:val="67F85E08"/>
    <w:rsid w:val="67FC1454"/>
    <w:rsid w:val="68077114"/>
    <w:rsid w:val="681F3F15"/>
    <w:rsid w:val="68386205"/>
    <w:rsid w:val="684F16FD"/>
    <w:rsid w:val="685B0BE7"/>
    <w:rsid w:val="685E5C6B"/>
    <w:rsid w:val="68636470"/>
    <w:rsid w:val="68A21E6C"/>
    <w:rsid w:val="68A72F37"/>
    <w:rsid w:val="68AF3DCD"/>
    <w:rsid w:val="68BA7FE1"/>
    <w:rsid w:val="68CA3301"/>
    <w:rsid w:val="68FB795E"/>
    <w:rsid w:val="68FD3ECC"/>
    <w:rsid w:val="690833DF"/>
    <w:rsid w:val="69110044"/>
    <w:rsid w:val="6924760F"/>
    <w:rsid w:val="692D6C1A"/>
    <w:rsid w:val="69394E1A"/>
    <w:rsid w:val="693C1432"/>
    <w:rsid w:val="693E784B"/>
    <w:rsid w:val="69587D8B"/>
    <w:rsid w:val="695928D6"/>
    <w:rsid w:val="695E7EED"/>
    <w:rsid w:val="696B7D83"/>
    <w:rsid w:val="69725190"/>
    <w:rsid w:val="69726A30"/>
    <w:rsid w:val="69891532"/>
    <w:rsid w:val="699102C2"/>
    <w:rsid w:val="69B610FC"/>
    <w:rsid w:val="6A12254A"/>
    <w:rsid w:val="6A1A14DF"/>
    <w:rsid w:val="6A2664C8"/>
    <w:rsid w:val="6A333F49"/>
    <w:rsid w:val="6A586707"/>
    <w:rsid w:val="6A883473"/>
    <w:rsid w:val="6AA33303"/>
    <w:rsid w:val="6ABA2F28"/>
    <w:rsid w:val="6AEA1A38"/>
    <w:rsid w:val="6AEC1C54"/>
    <w:rsid w:val="6AF86AEC"/>
    <w:rsid w:val="6B205734"/>
    <w:rsid w:val="6B2976F6"/>
    <w:rsid w:val="6B5275DD"/>
    <w:rsid w:val="6B601138"/>
    <w:rsid w:val="6B8270EE"/>
    <w:rsid w:val="6B835E7D"/>
    <w:rsid w:val="6B8538F6"/>
    <w:rsid w:val="6B856669"/>
    <w:rsid w:val="6B877C81"/>
    <w:rsid w:val="6B8B57FF"/>
    <w:rsid w:val="6B91677C"/>
    <w:rsid w:val="6BA0061E"/>
    <w:rsid w:val="6BB40298"/>
    <w:rsid w:val="6BBB5183"/>
    <w:rsid w:val="6BDC4305"/>
    <w:rsid w:val="6BDF7488"/>
    <w:rsid w:val="6BF419AB"/>
    <w:rsid w:val="6BF670AD"/>
    <w:rsid w:val="6C050FB1"/>
    <w:rsid w:val="6C133D38"/>
    <w:rsid w:val="6C302F5A"/>
    <w:rsid w:val="6C303E6B"/>
    <w:rsid w:val="6C371207"/>
    <w:rsid w:val="6C3F7B62"/>
    <w:rsid w:val="6C411B2C"/>
    <w:rsid w:val="6C472EBA"/>
    <w:rsid w:val="6C88441D"/>
    <w:rsid w:val="6CA82754"/>
    <w:rsid w:val="6CB73B9C"/>
    <w:rsid w:val="6D0019E7"/>
    <w:rsid w:val="6D0E20F8"/>
    <w:rsid w:val="6D170809"/>
    <w:rsid w:val="6D29666E"/>
    <w:rsid w:val="6D3451EC"/>
    <w:rsid w:val="6D3C4D14"/>
    <w:rsid w:val="6D4B1F5D"/>
    <w:rsid w:val="6D7917A7"/>
    <w:rsid w:val="6D8952C5"/>
    <w:rsid w:val="6DB30807"/>
    <w:rsid w:val="6DBE449A"/>
    <w:rsid w:val="6DE72C85"/>
    <w:rsid w:val="6E016208"/>
    <w:rsid w:val="6E1F083E"/>
    <w:rsid w:val="6E34430C"/>
    <w:rsid w:val="6E3B5AC3"/>
    <w:rsid w:val="6E675BAD"/>
    <w:rsid w:val="6E851A78"/>
    <w:rsid w:val="6EC95E08"/>
    <w:rsid w:val="6EDC1FE0"/>
    <w:rsid w:val="6EDC3D8E"/>
    <w:rsid w:val="6EF65E94"/>
    <w:rsid w:val="6EF94940"/>
    <w:rsid w:val="6EFB592F"/>
    <w:rsid w:val="6F000329"/>
    <w:rsid w:val="6F131548"/>
    <w:rsid w:val="6F176B74"/>
    <w:rsid w:val="6F1D1E58"/>
    <w:rsid w:val="6F3B6D06"/>
    <w:rsid w:val="6F4319DE"/>
    <w:rsid w:val="6F5F0D3C"/>
    <w:rsid w:val="6F6822D7"/>
    <w:rsid w:val="6F792572"/>
    <w:rsid w:val="6FAA79E8"/>
    <w:rsid w:val="6FC62348"/>
    <w:rsid w:val="6FC7059A"/>
    <w:rsid w:val="6FC87D72"/>
    <w:rsid w:val="6FC935F6"/>
    <w:rsid w:val="6FCE54FF"/>
    <w:rsid w:val="6FE0321B"/>
    <w:rsid w:val="6FE3114C"/>
    <w:rsid w:val="6FEA3942"/>
    <w:rsid w:val="6FF82AC0"/>
    <w:rsid w:val="70077857"/>
    <w:rsid w:val="70095F02"/>
    <w:rsid w:val="702552C0"/>
    <w:rsid w:val="70567859"/>
    <w:rsid w:val="705A1CDC"/>
    <w:rsid w:val="70626C7A"/>
    <w:rsid w:val="7075605A"/>
    <w:rsid w:val="70B0226E"/>
    <w:rsid w:val="70B2624B"/>
    <w:rsid w:val="70C62A65"/>
    <w:rsid w:val="70E4517B"/>
    <w:rsid w:val="70E67D8E"/>
    <w:rsid w:val="71016B75"/>
    <w:rsid w:val="71072C7D"/>
    <w:rsid w:val="710E2608"/>
    <w:rsid w:val="713524C7"/>
    <w:rsid w:val="71386CCF"/>
    <w:rsid w:val="71411B5D"/>
    <w:rsid w:val="715C343B"/>
    <w:rsid w:val="7176761D"/>
    <w:rsid w:val="717C1858"/>
    <w:rsid w:val="718A5018"/>
    <w:rsid w:val="718B5455"/>
    <w:rsid w:val="7198476A"/>
    <w:rsid w:val="719A5A6F"/>
    <w:rsid w:val="719C3171"/>
    <w:rsid w:val="71A843FB"/>
    <w:rsid w:val="71B7463E"/>
    <w:rsid w:val="72031C1B"/>
    <w:rsid w:val="721C4D44"/>
    <w:rsid w:val="722A0C5E"/>
    <w:rsid w:val="7237336F"/>
    <w:rsid w:val="72671940"/>
    <w:rsid w:val="72785B7B"/>
    <w:rsid w:val="728743F3"/>
    <w:rsid w:val="72AC3695"/>
    <w:rsid w:val="72CB03A1"/>
    <w:rsid w:val="72D16F0C"/>
    <w:rsid w:val="72E7380A"/>
    <w:rsid w:val="72ED6E1D"/>
    <w:rsid w:val="72F01BB6"/>
    <w:rsid w:val="72FD3671"/>
    <w:rsid w:val="730168D6"/>
    <w:rsid w:val="73214147"/>
    <w:rsid w:val="732C4B81"/>
    <w:rsid w:val="734967EC"/>
    <w:rsid w:val="735238B8"/>
    <w:rsid w:val="73866514"/>
    <w:rsid w:val="7387590E"/>
    <w:rsid w:val="73974BA2"/>
    <w:rsid w:val="73A81F4C"/>
    <w:rsid w:val="73C019B4"/>
    <w:rsid w:val="73C86084"/>
    <w:rsid w:val="73E73BB3"/>
    <w:rsid w:val="740C41EF"/>
    <w:rsid w:val="740D1C70"/>
    <w:rsid w:val="740D76F2"/>
    <w:rsid w:val="74367A9C"/>
    <w:rsid w:val="743957DE"/>
    <w:rsid w:val="745368A0"/>
    <w:rsid w:val="74822F34"/>
    <w:rsid w:val="749C18DF"/>
    <w:rsid w:val="74B11819"/>
    <w:rsid w:val="74B80DF9"/>
    <w:rsid w:val="74BF7515"/>
    <w:rsid w:val="74C8762A"/>
    <w:rsid w:val="74CC6652"/>
    <w:rsid w:val="74D516B9"/>
    <w:rsid w:val="74E8615B"/>
    <w:rsid w:val="74F27AE5"/>
    <w:rsid w:val="75003802"/>
    <w:rsid w:val="753C2362"/>
    <w:rsid w:val="754E0E15"/>
    <w:rsid w:val="756248C1"/>
    <w:rsid w:val="756844AB"/>
    <w:rsid w:val="756C4D79"/>
    <w:rsid w:val="75707935"/>
    <w:rsid w:val="75895CE5"/>
    <w:rsid w:val="75A426F4"/>
    <w:rsid w:val="75C96ACE"/>
    <w:rsid w:val="75D15764"/>
    <w:rsid w:val="75D77FE2"/>
    <w:rsid w:val="75DE31F0"/>
    <w:rsid w:val="75EB6C83"/>
    <w:rsid w:val="76203C5A"/>
    <w:rsid w:val="76394550"/>
    <w:rsid w:val="764F753B"/>
    <w:rsid w:val="76637BC6"/>
    <w:rsid w:val="767D3FF3"/>
    <w:rsid w:val="76B344CD"/>
    <w:rsid w:val="76BB697E"/>
    <w:rsid w:val="76C46966"/>
    <w:rsid w:val="76C84BF7"/>
    <w:rsid w:val="76E6342A"/>
    <w:rsid w:val="76EA1012"/>
    <w:rsid w:val="76FC5BC6"/>
    <w:rsid w:val="771801CC"/>
    <w:rsid w:val="771F15FE"/>
    <w:rsid w:val="77230004"/>
    <w:rsid w:val="774C33C7"/>
    <w:rsid w:val="775D6EE5"/>
    <w:rsid w:val="77850FA2"/>
    <w:rsid w:val="778F5135"/>
    <w:rsid w:val="77935205"/>
    <w:rsid w:val="779F1B4C"/>
    <w:rsid w:val="77AC46E5"/>
    <w:rsid w:val="77B27390"/>
    <w:rsid w:val="77DA1086"/>
    <w:rsid w:val="77F80350"/>
    <w:rsid w:val="78361F07"/>
    <w:rsid w:val="783A77CC"/>
    <w:rsid w:val="784C2F6A"/>
    <w:rsid w:val="787231A9"/>
    <w:rsid w:val="78795E14"/>
    <w:rsid w:val="788354A1"/>
    <w:rsid w:val="788A0850"/>
    <w:rsid w:val="789939B6"/>
    <w:rsid w:val="78A72E41"/>
    <w:rsid w:val="78C101A2"/>
    <w:rsid w:val="78C806DE"/>
    <w:rsid w:val="78DB3308"/>
    <w:rsid w:val="78DD2BDC"/>
    <w:rsid w:val="78E0065C"/>
    <w:rsid w:val="78E916F5"/>
    <w:rsid w:val="78F65A4C"/>
    <w:rsid w:val="78FF6291"/>
    <w:rsid w:val="790A4622"/>
    <w:rsid w:val="793E15F9"/>
    <w:rsid w:val="794A5553"/>
    <w:rsid w:val="79676F3A"/>
    <w:rsid w:val="797030CC"/>
    <w:rsid w:val="79924194"/>
    <w:rsid w:val="799E4E95"/>
    <w:rsid w:val="79C31852"/>
    <w:rsid w:val="7A011336"/>
    <w:rsid w:val="7A124E54"/>
    <w:rsid w:val="7A284DF9"/>
    <w:rsid w:val="7A2C76EB"/>
    <w:rsid w:val="7A30316D"/>
    <w:rsid w:val="7A417F22"/>
    <w:rsid w:val="7A430EA6"/>
    <w:rsid w:val="7A460C55"/>
    <w:rsid w:val="7A48123C"/>
    <w:rsid w:val="7A527E3C"/>
    <w:rsid w:val="7A6300D6"/>
    <w:rsid w:val="7A851910"/>
    <w:rsid w:val="7AB968E7"/>
    <w:rsid w:val="7ABB6566"/>
    <w:rsid w:val="7AE30252"/>
    <w:rsid w:val="7AF763CB"/>
    <w:rsid w:val="7B5909EE"/>
    <w:rsid w:val="7B646D7F"/>
    <w:rsid w:val="7B676A54"/>
    <w:rsid w:val="7B6B1DB3"/>
    <w:rsid w:val="7B792D35"/>
    <w:rsid w:val="7B8149EA"/>
    <w:rsid w:val="7BFF6BFE"/>
    <w:rsid w:val="7C287DC2"/>
    <w:rsid w:val="7C4D6CFD"/>
    <w:rsid w:val="7C544109"/>
    <w:rsid w:val="7C582B10"/>
    <w:rsid w:val="7C5E6C17"/>
    <w:rsid w:val="7C5F7DAC"/>
    <w:rsid w:val="7C60211A"/>
    <w:rsid w:val="7C662EE9"/>
    <w:rsid w:val="7C7970C0"/>
    <w:rsid w:val="7C8F0C60"/>
    <w:rsid w:val="7CAF571D"/>
    <w:rsid w:val="7CF114EA"/>
    <w:rsid w:val="7D077714"/>
    <w:rsid w:val="7D1D3B52"/>
    <w:rsid w:val="7D707253"/>
    <w:rsid w:val="7D99311C"/>
    <w:rsid w:val="7DA44D30"/>
    <w:rsid w:val="7DAA3C87"/>
    <w:rsid w:val="7DE95B7F"/>
    <w:rsid w:val="7DF228B1"/>
    <w:rsid w:val="7DFC793D"/>
    <w:rsid w:val="7DFE2E40"/>
    <w:rsid w:val="7E01184C"/>
    <w:rsid w:val="7E11407B"/>
    <w:rsid w:val="7E244E09"/>
    <w:rsid w:val="7E301A00"/>
    <w:rsid w:val="7E3F4F2E"/>
    <w:rsid w:val="7E5B6A5D"/>
    <w:rsid w:val="7E5C0C5B"/>
    <w:rsid w:val="7E84439E"/>
    <w:rsid w:val="7E9136B4"/>
    <w:rsid w:val="7E93243A"/>
    <w:rsid w:val="7E970E40"/>
    <w:rsid w:val="7EA1645A"/>
    <w:rsid w:val="7EA82F2C"/>
    <w:rsid w:val="7EB652B5"/>
    <w:rsid w:val="7ED421CF"/>
    <w:rsid w:val="7EDC1B88"/>
    <w:rsid w:val="7EEF18BB"/>
    <w:rsid w:val="7EFE38AC"/>
    <w:rsid w:val="7F080287"/>
    <w:rsid w:val="7F190115"/>
    <w:rsid w:val="7F194892"/>
    <w:rsid w:val="7F4853E1"/>
    <w:rsid w:val="7F525CF0"/>
    <w:rsid w:val="7F565496"/>
    <w:rsid w:val="7F742637"/>
    <w:rsid w:val="7F975160"/>
    <w:rsid w:val="7FAB531A"/>
    <w:rsid w:val="7FB73496"/>
    <w:rsid w:val="7FC65CAF"/>
    <w:rsid w:val="7FCA19E0"/>
    <w:rsid w:val="7FD065BE"/>
    <w:rsid w:val="7FF8479F"/>
    <w:rsid w:val="7FFE5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bCs/>
      <w:sz w:val="52"/>
      <w:szCs w:val="32"/>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paragraph" w:styleId="4">
    <w:name w:val="heading 4"/>
    <w:basedOn w:val="1"/>
    <w:next w:val="1"/>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ind w:firstLine="420" w:firstLineChars="200"/>
    </w:pPr>
  </w:style>
  <w:style w:type="paragraph" w:styleId="6">
    <w:name w:val="index 5"/>
    <w:basedOn w:val="1"/>
    <w:next w:val="1"/>
    <w:qFormat/>
    <w:uiPriority w:val="0"/>
    <w:pPr>
      <w:ind w:left="800" w:leftChars="800"/>
    </w:pPr>
  </w:style>
  <w:style w:type="paragraph" w:styleId="7">
    <w:name w:val="toa heading"/>
    <w:basedOn w:val="1"/>
    <w:next w:val="1"/>
    <w:qFormat/>
    <w:uiPriority w:val="99"/>
    <w:pPr>
      <w:spacing w:before="120"/>
    </w:pPr>
    <w:rPr>
      <w:rFonts w:ascii="Arial" w:hAnsi="Arial" w:eastAsia="仿宋"/>
      <w:sz w:val="24"/>
      <w:szCs w:val="20"/>
    </w:rPr>
  </w:style>
  <w:style w:type="paragraph" w:styleId="8">
    <w:name w:val="Body Text"/>
    <w:basedOn w:val="1"/>
    <w:next w:val="1"/>
    <w:semiHidden/>
    <w:qFormat/>
    <w:uiPriority w:val="0"/>
    <w:pPr>
      <w:autoSpaceDE w:val="0"/>
      <w:autoSpaceDN w:val="0"/>
      <w:adjustRightInd w:val="0"/>
      <w:spacing w:before="40" w:beforeLines="0" w:after="40" w:afterLines="0" w:line="320" w:lineRule="atLeast"/>
      <w:ind w:firstLine="357"/>
      <w:textAlignment w:val="baseline"/>
    </w:pPr>
    <w:rPr>
      <w:sz w:val="18"/>
    </w:rPr>
  </w:style>
  <w:style w:type="paragraph" w:styleId="9">
    <w:name w:val="Body Text Indent"/>
    <w:basedOn w:val="1"/>
    <w:next w:val="4"/>
    <w:qFormat/>
    <w:uiPriority w:val="0"/>
    <w:pPr>
      <w:spacing w:after="120"/>
      <w:ind w:left="420" w:leftChars="200"/>
    </w:pPr>
    <w:rPr>
      <w:rFonts w:ascii="Times New Roman" w:hAnsi="Times New Roman" w:eastAsia="Times New Roman"/>
      <w:kern w:val="0"/>
      <w:sz w:val="20"/>
      <w:szCs w:val="21"/>
    </w:rPr>
  </w:style>
  <w:style w:type="paragraph" w:styleId="10">
    <w:name w:val="Plain Text"/>
    <w:basedOn w:val="1"/>
    <w:next w:val="1"/>
    <w:qFormat/>
    <w:uiPriority w:val="0"/>
    <w:rPr>
      <w:rFonts w:ascii="宋体" w:hAnsi="Courier New" w:eastAsia="宋体" w:cs="Times New Roman"/>
      <w:szCs w:val="22"/>
    </w:rPr>
  </w:style>
  <w:style w:type="paragraph" w:styleId="11">
    <w:name w:val="Body Text Indent 2"/>
    <w:basedOn w:val="1"/>
    <w:qFormat/>
    <w:uiPriority w:val="0"/>
    <w:pPr>
      <w:widowControl/>
      <w:overflowPunct w:val="0"/>
      <w:autoSpaceDE w:val="0"/>
      <w:autoSpaceDN w:val="0"/>
      <w:adjustRightInd w:val="0"/>
      <w:spacing w:line="360" w:lineRule="auto"/>
      <w:ind w:firstLine="555"/>
      <w:textAlignment w:val="baseline"/>
    </w:pPr>
    <w:rPr>
      <w:rFonts w:ascii="宋体" w:hAnsi="MS Sans Serif"/>
      <w:spacing w:val="12"/>
      <w:sz w:val="24"/>
      <w:szCs w:val="20"/>
    </w:rPr>
  </w:style>
  <w:style w:type="paragraph" w:styleId="12">
    <w:name w:val="footer"/>
    <w:basedOn w:val="1"/>
    <w:next w:val="6"/>
    <w:unhideWhenUsed/>
    <w:qFormat/>
    <w:uiPriority w:val="99"/>
    <w:pPr>
      <w:tabs>
        <w:tab w:val="center" w:pos="4153"/>
        <w:tab w:val="right" w:pos="8306"/>
      </w:tabs>
      <w:snapToGrid w:val="0"/>
      <w:jc w:val="left"/>
    </w:pPr>
    <w:rPr>
      <w:sz w:val="18"/>
      <w:szCs w:val="18"/>
    </w:rPr>
  </w:style>
  <w:style w:type="paragraph" w:styleId="13">
    <w:name w:val="header"/>
    <w:basedOn w:val="1"/>
    <w:next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footnote text"/>
    <w:basedOn w:val="1"/>
    <w:next w:val="6"/>
    <w:qFormat/>
    <w:uiPriority w:val="0"/>
    <w:pPr>
      <w:snapToGrid w:val="0"/>
      <w:jc w:val="left"/>
    </w:pPr>
    <w:rPr>
      <w:sz w:val="18"/>
    </w:rPr>
  </w:style>
  <w:style w:type="paragraph" w:styleId="15">
    <w:name w:val="Body Text 2"/>
    <w:basedOn w:val="1"/>
    <w:qFormat/>
    <w:uiPriority w:val="0"/>
    <w:rPr>
      <w:bCs/>
      <w:sz w:val="28"/>
      <w:szCs w:val="20"/>
    </w:rPr>
  </w:style>
  <w:style w:type="paragraph" w:styleId="1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7">
    <w:name w:val="Body Text First Indent"/>
    <w:basedOn w:val="8"/>
    <w:qFormat/>
    <w:uiPriority w:val="99"/>
    <w:pPr>
      <w:ind w:firstLine="420" w:firstLineChars="100"/>
    </w:pPr>
    <w:rPr>
      <w:rFonts w:eastAsia="仿宋_GB2312"/>
      <w:sz w:val="28"/>
      <w:szCs w:val="20"/>
    </w:rPr>
  </w:style>
  <w:style w:type="paragraph" w:styleId="18">
    <w:name w:val="Body Text First Indent 2"/>
    <w:basedOn w:val="9"/>
    <w:qFormat/>
    <w:uiPriority w:val="0"/>
    <w:pPr>
      <w:ind w:firstLine="420" w:firstLineChars="200"/>
    </w:pPr>
    <w:rPr>
      <w:rFonts w:ascii="Times New Roman" w:hAnsi="Times New Roman" w:eastAsia="宋?"/>
      <w:szCs w:val="20"/>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basedOn w:val="21"/>
    <w:qFormat/>
    <w:uiPriority w:val="0"/>
    <w:rPr>
      <w:color w:val="0000FF"/>
      <w:u w:val="single"/>
    </w:rPr>
  </w:style>
  <w:style w:type="paragraph" w:customStyle="1" w:styleId="23">
    <w:name w:val="NormalIndent"/>
    <w:basedOn w:val="1"/>
    <w:next w:val="1"/>
    <w:qFormat/>
    <w:uiPriority w:val="0"/>
    <w:pPr>
      <w:ind w:firstLine="420" w:firstLineChars="200"/>
    </w:pPr>
    <w:rPr>
      <w:sz w:val="24"/>
      <w:szCs w:val="20"/>
    </w:rPr>
  </w:style>
  <w:style w:type="character" w:customStyle="1" w:styleId="24">
    <w:name w:val="样式 仿宋"/>
    <w:qFormat/>
    <w:uiPriority w:val="0"/>
    <w:rPr>
      <w:rFonts w:ascii="仿宋" w:hAnsi="仿宋" w:eastAsia="仿宋"/>
      <w:kern w:val="1"/>
    </w:rPr>
  </w:style>
  <w:style w:type="table" w:customStyle="1" w:styleId="25">
    <w:name w:val="Table Normal"/>
    <w:unhideWhenUsed/>
    <w:qFormat/>
    <w:uiPriority w:val="0"/>
    <w:tblPr>
      <w:tblCellMar>
        <w:top w:w="0" w:type="dxa"/>
        <w:left w:w="0" w:type="dxa"/>
        <w:bottom w:w="0" w:type="dxa"/>
        <w:right w:w="0" w:type="dxa"/>
      </w:tblCellMar>
    </w:tblPr>
  </w:style>
  <w:style w:type="paragraph" w:customStyle="1" w:styleId="26">
    <w:name w:val="样式 仿宋 行距: 1.5 倍行距"/>
    <w:basedOn w:val="1"/>
    <w:qFormat/>
    <w:uiPriority w:val="0"/>
    <w:pPr>
      <w:spacing w:line="360" w:lineRule="auto"/>
    </w:pPr>
    <w:rPr>
      <w:rFonts w:ascii="仿宋" w:hAnsi="仿宋" w:eastAsia="仿宋" w:cs="宋体"/>
      <w:sz w:val="24"/>
      <w:szCs w:val="20"/>
    </w:rPr>
  </w:style>
  <w:style w:type="paragraph" w:customStyle="1" w:styleId="27">
    <w:name w:val="样式 宋体 四号 居中 行距: 1.5 倍行距"/>
    <w:basedOn w:val="1"/>
    <w:qFormat/>
    <w:uiPriority w:val="0"/>
    <w:pPr>
      <w:spacing w:line="360" w:lineRule="auto"/>
      <w:jc w:val="center"/>
    </w:pPr>
    <w:rPr>
      <w:rFonts w:ascii="宋体" w:hAnsi="Cambria" w:cs="宋体"/>
      <w:sz w:val="28"/>
      <w:szCs w:val="20"/>
    </w:rPr>
  </w:style>
  <w:style w:type="paragraph" w:customStyle="1" w:styleId="28">
    <w:name w:val="UserStyle_0"/>
    <w:basedOn w:val="1"/>
    <w:qFormat/>
    <w:uiPriority w:val="0"/>
    <w:pPr>
      <w:widowControl/>
      <w:spacing w:before="100" w:beforeAutospacing="1" w:after="100" w:afterAutospacing="1"/>
      <w:jc w:val="left"/>
      <w:textAlignment w:val="baseline"/>
    </w:pPr>
    <w:rPr>
      <w:rFonts w:ascii="宋体" w:hAnsi="Calibri" w:eastAsia="宋体"/>
      <w:kern w:val="0"/>
      <w:sz w:val="24"/>
      <w:szCs w:val="24"/>
      <w:lang w:val="en-US" w:eastAsia="zh-CN" w:bidi="ar-SA"/>
    </w:rPr>
  </w:style>
  <w:style w:type="character" w:customStyle="1" w:styleId="29">
    <w:name w:val="NormalCharacter"/>
    <w:qFormat/>
    <w:uiPriority w:val="0"/>
    <w:rPr>
      <w:rFonts w:ascii="Times New Roman" w:hAnsi="Times New Roman" w:eastAsia="宋体" w:cs="Times New Roman"/>
      <w:kern w:val="2"/>
      <w:sz w:val="21"/>
      <w:szCs w:val="24"/>
      <w:lang w:val="en-US" w:eastAsia="zh-CN" w:bidi="ar-SA"/>
    </w:rPr>
  </w:style>
  <w:style w:type="paragraph" w:customStyle="1" w:styleId="30">
    <w:name w:val="Normal_10"/>
    <w:qFormat/>
    <w:uiPriority w:val="0"/>
    <w:rPr>
      <w:rFonts w:ascii="黑体" w:hAnsi="黑体" w:eastAsia="黑体" w:cs="Times New Roman"/>
      <w:b/>
      <w:sz w:val="32"/>
      <w:szCs w:val="24"/>
      <w:lang w:val="en-US" w:eastAsia="zh-CN" w:bidi="ar-SA"/>
    </w:rPr>
  </w:style>
  <w:style w:type="paragraph" w:customStyle="1" w:styleId="31">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rPr>
  </w:style>
  <w:style w:type="paragraph" w:customStyle="1" w:styleId="3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正文_0"/>
    <w:unhideWhenUsed/>
    <w:qFormat/>
    <w:uiPriority w:val="0"/>
    <w:pPr>
      <w:widowControl w:val="0"/>
      <w:jc w:val="both"/>
    </w:pPr>
    <w:rPr>
      <w:rFonts w:ascii="Calibri" w:hAnsi="Calibri" w:eastAsia="宋体" w:cs="Times New Roman"/>
      <w:kern w:val="2"/>
      <w:sz w:val="21"/>
      <w:szCs w:val="24"/>
      <w:lang w:eastAsia="en-US"/>
    </w:rPr>
  </w:style>
  <w:style w:type="paragraph" w:customStyle="1" w:styleId="36">
    <w:name w:val="表格文字2"/>
    <w:basedOn w:val="37"/>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7">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38">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character" w:customStyle="1" w:styleId="39">
    <w:name w:val="font31"/>
    <w:basedOn w:val="21"/>
    <w:qFormat/>
    <w:uiPriority w:val="0"/>
    <w:rPr>
      <w:rFonts w:hint="eastAsia" w:ascii="宋体" w:hAnsi="宋体" w:eastAsia="宋体" w:cs="宋体"/>
      <w:b/>
      <w:bCs/>
      <w:color w:val="000000"/>
      <w:sz w:val="20"/>
      <w:szCs w:val="20"/>
      <w:u w:val="none"/>
    </w:rPr>
  </w:style>
  <w:style w:type="character" w:customStyle="1" w:styleId="40">
    <w:name w:val="font51"/>
    <w:basedOn w:val="21"/>
    <w:qFormat/>
    <w:uiPriority w:val="0"/>
    <w:rPr>
      <w:rFonts w:hint="default" w:ascii="Times New Roman" w:hAnsi="Times New Roman" w:cs="Times New Roman"/>
      <w:b/>
      <w:bCs/>
      <w:color w:val="000000"/>
      <w:sz w:val="20"/>
      <w:szCs w:val="20"/>
      <w:u w:val="none"/>
    </w:rPr>
  </w:style>
  <w:style w:type="character" w:customStyle="1" w:styleId="41">
    <w:name w:val="font41"/>
    <w:basedOn w:val="21"/>
    <w:qFormat/>
    <w:uiPriority w:val="0"/>
    <w:rPr>
      <w:rFonts w:hint="eastAsia" w:ascii="宋体" w:hAnsi="宋体" w:eastAsia="宋体" w:cs="宋体"/>
      <w:b/>
      <w:bCs/>
      <w:color w:val="000000"/>
      <w:sz w:val="20"/>
      <w:szCs w:val="20"/>
      <w:u w:val="none"/>
    </w:rPr>
  </w:style>
  <w:style w:type="character" w:customStyle="1" w:styleId="42">
    <w:name w:val="font21"/>
    <w:basedOn w:val="21"/>
    <w:qFormat/>
    <w:uiPriority w:val="0"/>
    <w:rPr>
      <w:rFonts w:hint="default" w:ascii="Times New Roman" w:hAnsi="Times New Roman" w:cs="Times New Roman"/>
      <w:b/>
      <w:bCs/>
      <w:color w:val="000000"/>
      <w:sz w:val="20"/>
      <w:szCs w:val="20"/>
      <w:u w:val="none"/>
    </w:rPr>
  </w:style>
  <w:style w:type="character" w:customStyle="1" w:styleId="43">
    <w:name w:val="font71"/>
    <w:basedOn w:val="21"/>
    <w:qFormat/>
    <w:uiPriority w:val="0"/>
    <w:rPr>
      <w:rFonts w:hint="eastAsia" w:ascii="宋体" w:hAnsi="宋体" w:eastAsia="宋体" w:cs="宋体"/>
      <w:color w:val="000000"/>
      <w:sz w:val="20"/>
      <w:szCs w:val="20"/>
      <w:u w:val="none"/>
    </w:rPr>
  </w:style>
  <w:style w:type="character" w:customStyle="1" w:styleId="44">
    <w:name w:val="font61"/>
    <w:basedOn w:val="21"/>
    <w:qFormat/>
    <w:uiPriority w:val="0"/>
    <w:rPr>
      <w:rFonts w:hint="default" w:ascii="Times New Roman" w:hAnsi="Times New Roman" w:cs="Times New Roman"/>
      <w:color w:val="000000"/>
      <w:sz w:val="20"/>
      <w:szCs w:val="20"/>
      <w:u w:val="none"/>
    </w:rPr>
  </w:style>
  <w:style w:type="character" w:customStyle="1" w:styleId="45">
    <w:name w:val="font81"/>
    <w:basedOn w:val="21"/>
    <w:qFormat/>
    <w:uiPriority w:val="0"/>
    <w:rPr>
      <w:rFonts w:hint="eastAsia" w:ascii="宋体" w:hAnsi="宋体" w:eastAsia="宋体" w:cs="宋体"/>
      <w:color w:val="000000"/>
      <w:sz w:val="20"/>
      <w:szCs w:val="20"/>
      <w:u w:val="none"/>
    </w:rPr>
  </w:style>
  <w:style w:type="paragraph" w:customStyle="1" w:styleId="46">
    <w:name w:val="表"/>
    <w:next w:val="1"/>
    <w:qFormat/>
    <w:uiPriority w:val="0"/>
    <w:pPr>
      <w:pBdr>
        <w:between w:val="dashSmallGap" w:color="666699" w:sz="4" w:space="1"/>
      </w:pBdr>
      <w:topLinePunct/>
      <w:adjustRightInd w:val="0"/>
      <w:snapToGrid w:val="0"/>
      <w:spacing w:line="288" w:lineRule="auto"/>
      <w:jc w:val="center"/>
      <w:textAlignment w:val="center"/>
    </w:pPr>
    <w:rPr>
      <w:rFonts w:ascii="宋体" w:hAnsi="宋体" w:eastAsia="宋体" w:cs="宋体"/>
      <w:color w:val="000000"/>
      <w:sz w:val="21"/>
      <w:szCs w:val="21"/>
      <w:highlight w:val="yellow"/>
      <w:lang w:val="en-US" w:eastAsia="zh-CN" w:bidi="ar-SA"/>
    </w:rPr>
  </w:style>
  <w:style w:type="paragraph" w:customStyle="1" w:styleId="47">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92</Pages>
  <Words>41774</Words>
  <Characters>46497</Characters>
  <Lines>0</Lines>
  <Paragraphs>0</Paragraphs>
  <TotalTime>0</TotalTime>
  <ScaleCrop>false</ScaleCrop>
  <LinksUpToDate>false</LinksUpToDate>
  <CharactersWithSpaces>52125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2023-12-01T07:59:00Z</dcterms:created>
  <dc:creator>别动我的糖</dc:creator>
  <cp:lastModifiedBy>My Princes May</cp:lastModifiedBy>
  <cp:lastPrinted>2025-04-01T15:23:00Z</cp:lastPrinted>
  <dcterms:modified xsi:type="dcterms:W3CDTF">2025-04-07T05:00:37Z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92032EDACC3B414AACEC35D9966E7151_13</vt:lpwstr>
  </property>
  <property fmtid="{D5CDD505-2E9C-101B-9397-08002B2CF9AE}" pid="4" name="KSOTemplateDocerSaveRecord">
    <vt:lpwstr>eyJoZGlkIjoiNGE3OGNiNjY3NTIwNTU1YmNmODU3MmExMzQwYjQxZGIiLCJ1c2VySWQiOiIyODg3OTk5MzgifQ==</vt:lpwstr>
  </property>
</Properties>
</file>