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79F29">
      <w:pPr>
        <w:widowControl w:val="0"/>
        <w:kinsoku/>
        <w:topLinePunct/>
        <w:autoSpaceDE/>
        <w:autoSpaceDN/>
        <w:jc w:val="both"/>
        <w:rPr>
          <w:rFonts w:ascii="楷体" w:hAnsi="楷体" w:eastAsia="楷体" w:cs="楷体"/>
          <w:color w:val="auto"/>
          <w:sz w:val="24"/>
          <w:szCs w:val="24"/>
          <w:highlight w:val="none"/>
        </w:rPr>
      </w:pPr>
    </w:p>
    <w:p w14:paraId="7566B6B7">
      <w:pPr>
        <w:widowControl w:val="0"/>
        <w:kinsoku/>
        <w:topLinePunct/>
        <w:autoSpaceDE/>
        <w:autoSpaceDN/>
        <w:jc w:val="center"/>
        <w:rPr>
          <w:rFonts w:hint="eastAsia" w:ascii="楷体" w:hAnsi="楷体" w:eastAsia="楷体" w:cs="楷体"/>
          <w:b/>
          <w:color w:val="auto"/>
          <w:sz w:val="28"/>
          <w:szCs w:val="28"/>
          <w:highlight w:val="none"/>
          <w:lang w:eastAsia="zh-CN"/>
        </w:rPr>
      </w:pPr>
      <w:r>
        <w:rPr>
          <w:rFonts w:hint="eastAsia" w:ascii="楷体" w:hAnsi="楷体" w:eastAsia="楷体" w:cs="楷体"/>
          <w:b/>
          <w:color w:val="auto"/>
          <w:sz w:val="28"/>
          <w:szCs w:val="28"/>
          <w:highlight w:val="none"/>
          <w:lang w:eastAsia="zh-CN" w:bidi="ar"/>
        </w:rPr>
        <w:t>2024年和田市城市道路及人行道和公园等公共基础设施零星修补项目</w:t>
      </w:r>
    </w:p>
    <w:p w14:paraId="1BAD23D5">
      <w:pPr>
        <w:widowControl w:val="0"/>
        <w:kinsoku/>
        <w:topLinePunct/>
        <w:autoSpaceDE/>
        <w:autoSpaceDN/>
        <w:jc w:val="both"/>
        <w:rPr>
          <w:rFonts w:ascii="楷体" w:hAnsi="楷体" w:eastAsia="楷体" w:cs="楷体"/>
          <w:color w:val="auto"/>
          <w:sz w:val="24"/>
          <w:szCs w:val="24"/>
          <w:highlight w:val="none"/>
        </w:rPr>
      </w:pPr>
    </w:p>
    <w:p w14:paraId="6FD90B15">
      <w:pPr>
        <w:widowControl w:val="0"/>
        <w:kinsoku/>
        <w:topLinePunct/>
        <w:autoSpaceDE/>
        <w:autoSpaceDN/>
        <w:jc w:val="both"/>
        <w:rPr>
          <w:rFonts w:ascii="楷体" w:hAnsi="楷体" w:eastAsia="楷体" w:cs="楷体"/>
          <w:color w:val="auto"/>
          <w:sz w:val="24"/>
          <w:szCs w:val="24"/>
          <w:highlight w:val="none"/>
        </w:rPr>
      </w:pPr>
    </w:p>
    <w:p w14:paraId="414355D7">
      <w:pPr>
        <w:widowControl w:val="0"/>
        <w:kinsoku/>
        <w:topLinePunct/>
        <w:autoSpaceDE/>
        <w:autoSpaceDN/>
        <w:jc w:val="both"/>
        <w:rPr>
          <w:rFonts w:ascii="楷体" w:hAnsi="楷体" w:eastAsia="楷体" w:cs="楷体"/>
          <w:color w:val="auto"/>
          <w:sz w:val="24"/>
          <w:szCs w:val="24"/>
          <w:highlight w:val="none"/>
        </w:rPr>
      </w:pPr>
    </w:p>
    <w:p w14:paraId="073217DF">
      <w:pPr>
        <w:widowControl w:val="0"/>
        <w:kinsoku/>
        <w:topLinePunct/>
        <w:autoSpaceDE/>
        <w:autoSpaceDN/>
        <w:jc w:val="both"/>
        <w:rPr>
          <w:rFonts w:ascii="楷体" w:hAnsi="楷体" w:eastAsia="楷体" w:cs="楷体"/>
          <w:color w:val="auto"/>
          <w:sz w:val="24"/>
          <w:szCs w:val="24"/>
          <w:highlight w:val="none"/>
        </w:rPr>
      </w:pPr>
    </w:p>
    <w:p w14:paraId="6FC70E78">
      <w:pPr>
        <w:widowControl w:val="0"/>
        <w:kinsoku/>
        <w:topLinePunct/>
        <w:autoSpaceDE/>
        <w:autoSpaceDN/>
        <w:jc w:val="both"/>
        <w:rPr>
          <w:rFonts w:ascii="楷体" w:hAnsi="楷体" w:eastAsia="楷体" w:cs="楷体"/>
          <w:color w:val="auto"/>
          <w:sz w:val="24"/>
          <w:szCs w:val="24"/>
          <w:highlight w:val="none"/>
        </w:rPr>
      </w:pPr>
    </w:p>
    <w:p w14:paraId="301C642C">
      <w:pPr>
        <w:widowControl w:val="0"/>
        <w:kinsoku/>
        <w:topLinePunct/>
        <w:autoSpaceDE/>
        <w:autoSpaceDN/>
        <w:jc w:val="both"/>
        <w:rPr>
          <w:rFonts w:ascii="楷体" w:hAnsi="楷体" w:eastAsia="楷体" w:cs="楷体"/>
          <w:color w:val="auto"/>
          <w:sz w:val="24"/>
          <w:szCs w:val="24"/>
          <w:highlight w:val="none"/>
        </w:rPr>
      </w:pPr>
    </w:p>
    <w:p w14:paraId="1D6829DF">
      <w:pPr>
        <w:widowControl w:val="0"/>
        <w:kinsoku/>
        <w:topLinePunct/>
        <w:autoSpaceDE/>
        <w:autoSpaceDN/>
        <w:spacing w:line="249" w:lineRule="auto"/>
        <w:jc w:val="center"/>
        <w:rPr>
          <w:rFonts w:ascii="华文新魏" w:hAnsi="华文新魏" w:eastAsia="华文新魏" w:cs="华文新魏"/>
          <w:color w:val="auto"/>
          <w:sz w:val="84"/>
          <w:szCs w:val="84"/>
          <w:highlight w:val="none"/>
        </w:rPr>
      </w:pPr>
      <w:r>
        <w:rPr>
          <w:rFonts w:hint="eastAsia" w:ascii="华文新魏" w:hAnsi="华文新魏" w:eastAsia="华文新魏" w:cs="华文新魏"/>
          <w:color w:val="auto"/>
          <w:sz w:val="84"/>
          <w:szCs w:val="84"/>
          <w:highlight w:val="none"/>
        </w:rPr>
        <w:t>招标文件</w:t>
      </w:r>
    </w:p>
    <w:p w14:paraId="399F303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outlineLvl w:val="0"/>
        <w:rPr>
          <w:rFonts w:hint="eastAsia" w:ascii="楷体" w:hAnsi="楷体" w:eastAsia="楷体" w:cs="楷体"/>
          <w:b/>
          <w:color w:val="auto"/>
          <w:sz w:val="28"/>
          <w:szCs w:val="28"/>
          <w:highlight w:val="none"/>
          <w:lang w:bidi="ar"/>
        </w:rPr>
      </w:pPr>
      <w:bookmarkStart w:id="0" w:name="_Toc30403"/>
      <w:r>
        <w:rPr>
          <w:rFonts w:hint="eastAsia" w:ascii="仿宋_GB2312" w:hAnsi="仿宋_GB2312" w:eastAsia="仿宋_GB2312" w:cs="仿宋_GB2312"/>
          <w:b/>
          <w:color w:val="auto"/>
          <w:sz w:val="28"/>
          <w:szCs w:val="28"/>
          <w:highlight w:val="none"/>
          <w:lang w:bidi="ar"/>
        </w:rPr>
        <w:t>（</w:t>
      </w:r>
      <w:r>
        <w:rPr>
          <w:rFonts w:hint="eastAsia" w:ascii="楷体" w:hAnsi="楷体" w:eastAsia="楷体" w:cs="楷体"/>
          <w:b/>
          <w:color w:val="auto"/>
          <w:sz w:val="28"/>
          <w:szCs w:val="28"/>
          <w:highlight w:val="none"/>
          <w:lang w:bidi="ar"/>
        </w:rPr>
        <w:t>项目编号：</w:t>
      </w:r>
      <w:r>
        <w:rPr>
          <w:rFonts w:hint="eastAsia" w:ascii="楷体" w:hAnsi="楷体" w:eastAsia="楷体" w:cs="楷体"/>
          <w:b/>
          <w:color w:val="auto"/>
          <w:sz w:val="28"/>
          <w:szCs w:val="28"/>
          <w:highlight w:val="none"/>
          <w:lang w:eastAsia="zh-CN" w:bidi="ar"/>
        </w:rPr>
        <w:t>HTSZFCGZBDL-2024-070</w:t>
      </w:r>
      <w:r>
        <w:rPr>
          <w:rFonts w:hint="eastAsia" w:ascii="楷体" w:hAnsi="楷体" w:eastAsia="楷体" w:cs="楷体"/>
          <w:b/>
          <w:color w:val="auto"/>
          <w:sz w:val="28"/>
          <w:szCs w:val="28"/>
          <w:highlight w:val="none"/>
          <w:lang w:bidi="ar"/>
        </w:rPr>
        <w:t>）</w:t>
      </w:r>
      <w:bookmarkEnd w:id="0"/>
    </w:p>
    <w:p w14:paraId="2B5C96C5">
      <w:pPr>
        <w:widowControl w:val="0"/>
        <w:kinsoku/>
        <w:topLinePunct/>
        <w:autoSpaceDE/>
        <w:autoSpaceDN/>
        <w:jc w:val="center"/>
        <w:rPr>
          <w:rFonts w:ascii="楷体" w:hAnsi="楷体" w:eastAsia="楷体" w:cs="楷体"/>
          <w:color w:val="auto"/>
          <w:sz w:val="24"/>
          <w:szCs w:val="24"/>
          <w:highlight w:val="none"/>
        </w:rPr>
      </w:pPr>
    </w:p>
    <w:p w14:paraId="336AA851">
      <w:pPr>
        <w:widowControl w:val="0"/>
        <w:kinsoku/>
        <w:topLinePunct/>
        <w:autoSpaceDE/>
        <w:autoSpaceDN/>
        <w:jc w:val="both"/>
        <w:rPr>
          <w:rFonts w:ascii="楷体" w:hAnsi="楷体" w:eastAsia="楷体" w:cs="楷体"/>
          <w:color w:val="auto"/>
          <w:sz w:val="24"/>
          <w:szCs w:val="24"/>
          <w:highlight w:val="none"/>
        </w:rPr>
      </w:pPr>
    </w:p>
    <w:p w14:paraId="2670A3B7">
      <w:pPr>
        <w:widowControl w:val="0"/>
        <w:kinsoku/>
        <w:topLinePunct/>
        <w:autoSpaceDE/>
        <w:autoSpaceDN/>
        <w:jc w:val="both"/>
        <w:rPr>
          <w:rFonts w:ascii="楷体" w:hAnsi="楷体" w:eastAsia="楷体" w:cs="楷体"/>
          <w:color w:val="auto"/>
          <w:sz w:val="24"/>
          <w:szCs w:val="24"/>
          <w:highlight w:val="none"/>
        </w:rPr>
      </w:pPr>
    </w:p>
    <w:p w14:paraId="3AFCA11D">
      <w:pPr>
        <w:widowControl w:val="0"/>
        <w:kinsoku/>
        <w:topLinePunct/>
        <w:autoSpaceDE/>
        <w:autoSpaceDN/>
        <w:jc w:val="both"/>
        <w:rPr>
          <w:rFonts w:ascii="楷体" w:hAnsi="楷体" w:eastAsia="楷体" w:cs="楷体"/>
          <w:color w:val="auto"/>
          <w:sz w:val="24"/>
          <w:szCs w:val="24"/>
          <w:highlight w:val="none"/>
        </w:rPr>
      </w:pPr>
    </w:p>
    <w:p w14:paraId="14A5FA40">
      <w:pPr>
        <w:widowControl w:val="0"/>
        <w:kinsoku/>
        <w:topLinePunct/>
        <w:autoSpaceDE/>
        <w:autoSpaceDN/>
        <w:jc w:val="both"/>
        <w:rPr>
          <w:rFonts w:ascii="楷体" w:hAnsi="楷体" w:eastAsia="楷体" w:cs="楷体"/>
          <w:color w:val="auto"/>
          <w:sz w:val="24"/>
          <w:szCs w:val="24"/>
          <w:highlight w:val="none"/>
        </w:rPr>
      </w:pPr>
    </w:p>
    <w:p w14:paraId="70255612">
      <w:pPr>
        <w:widowControl w:val="0"/>
        <w:kinsoku/>
        <w:topLinePunct/>
        <w:autoSpaceDE/>
        <w:autoSpaceDN/>
        <w:jc w:val="both"/>
        <w:rPr>
          <w:rFonts w:ascii="楷体" w:hAnsi="楷体" w:eastAsia="楷体" w:cs="楷体"/>
          <w:color w:val="auto"/>
          <w:sz w:val="24"/>
          <w:szCs w:val="24"/>
          <w:highlight w:val="none"/>
        </w:rPr>
      </w:pPr>
    </w:p>
    <w:p w14:paraId="0F1E5F1D">
      <w:pPr>
        <w:widowControl w:val="0"/>
        <w:kinsoku/>
        <w:topLinePunct/>
        <w:autoSpaceDE/>
        <w:autoSpaceDN/>
        <w:jc w:val="both"/>
        <w:rPr>
          <w:rFonts w:ascii="楷体" w:hAnsi="楷体" w:eastAsia="楷体" w:cs="楷体"/>
          <w:color w:val="auto"/>
          <w:sz w:val="24"/>
          <w:szCs w:val="24"/>
          <w:highlight w:val="none"/>
        </w:rPr>
      </w:pPr>
    </w:p>
    <w:p w14:paraId="3E69027F">
      <w:pPr>
        <w:widowControl w:val="0"/>
        <w:kinsoku/>
        <w:topLinePunct/>
        <w:autoSpaceDE/>
        <w:autoSpaceDN/>
        <w:jc w:val="both"/>
        <w:rPr>
          <w:rFonts w:ascii="楷体" w:hAnsi="楷体" w:eastAsia="楷体" w:cs="楷体"/>
          <w:color w:val="auto"/>
          <w:sz w:val="24"/>
          <w:szCs w:val="24"/>
          <w:highlight w:val="none"/>
        </w:rPr>
      </w:pPr>
    </w:p>
    <w:p w14:paraId="0FADF447">
      <w:pPr>
        <w:widowControl w:val="0"/>
        <w:kinsoku/>
        <w:topLinePunct/>
        <w:autoSpaceDE/>
        <w:autoSpaceDN/>
        <w:jc w:val="both"/>
        <w:rPr>
          <w:rFonts w:ascii="楷体" w:hAnsi="楷体" w:eastAsia="楷体" w:cs="楷体"/>
          <w:color w:val="auto"/>
          <w:sz w:val="24"/>
          <w:szCs w:val="24"/>
          <w:highlight w:val="none"/>
        </w:rPr>
      </w:pPr>
    </w:p>
    <w:p w14:paraId="4663CC69">
      <w:pPr>
        <w:widowControl w:val="0"/>
        <w:kinsoku/>
        <w:topLinePunct/>
        <w:autoSpaceDE/>
        <w:autoSpaceDN/>
        <w:jc w:val="both"/>
        <w:rPr>
          <w:rFonts w:ascii="楷体" w:hAnsi="楷体" w:eastAsia="楷体" w:cs="楷体"/>
          <w:color w:val="auto"/>
          <w:sz w:val="24"/>
          <w:szCs w:val="24"/>
          <w:highlight w:val="none"/>
        </w:rPr>
      </w:pPr>
    </w:p>
    <w:p w14:paraId="092F8F4D">
      <w:pPr>
        <w:widowControl w:val="0"/>
        <w:kinsoku/>
        <w:topLinePunct/>
        <w:autoSpaceDE/>
        <w:autoSpaceDN/>
        <w:jc w:val="both"/>
        <w:rPr>
          <w:rFonts w:ascii="楷体" w:hAnsi="楷体" w:eastAsia="楷体" w:cs="楷体"/>
          <w:color w:val="auto"/>
          <w:sz w:val="24"/>
          <w:szCs w:val="24"/>
          <w:highlight w:val="none"/>
        </w:rPr>
      </w:pPr>
    </w:p>
    <w:p w14:paraId="04474874">
      <w:pPr>
        <w:widowControl w:val="0"/>
        <w:kinsoku/>
        <w:topLinePunct/>
        <w:autoSpaceDE/>
        <w:autoSpaceDN/>
        <w:spacing w:line="420" w:lineRule="auto"/>
        <w:ind w:firstLine="840" w:firstLineChars="300"/>
        <w:jc w:val="both"/>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bidi="ar"/>
        </w:rPr>
        <w:t>采 购 人：和田市城市管理局</w:t>
      </w:r>
      <w:r>
        <w:rPr>
          <w:rFonts w:hint="eastAsia" w:ascii="仿宋_GB2312" w:hAnsi="仿宋_GB2312" w:eastAsia="仿宋_GB2312" w:cs="仿宋_GB2312"/>
          <w:bCs/>
          <w:color w:val="auto"/>
          <w:sz w:val="28"/>
          <w:szCs w:val="28"/>
          <w:highlight w:val="none"/>
          <w:lang w:val="zh-CN" w:bidi="ar"/>
        </w:rPr>
        <w:t>（盖章）</w:t>
      </w:r>
    </w:p>
    <w:p w14:paraId="138385B8">
      <w:pPr>
        <w:widowControl w:val="0"/>
        <w:kinsoku/>
        <w:topLinePunct/>
        <w:autoSpaceDE/>
        <w:autoSpaceDN/>
        <w:spacing w:line="420" w:lineRule="auto"/>
        <w:ind w:firstLine="840" w:firstLineChars="300"/>
        <w:jc w:val="both"/>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bidi="ar"/>
        </w:rPr>
        <w:t>联 系 人：</w:t>
      </w:r>
      <w:r>
        <w:rPr>
          <w:rFonts w:hint="eastAsia" w:ascii="仿宋_GB2312" w:hAnsi="仿宋_GB2312" w:eastAsia="仿宋_GB2312" w:cs="仿宋_GB2312"/>
          <w:bCs/>
          <w:color w:val="auto"/>
          <w:sz w:val="28"/>
          <w:szCs w:val="28"/>
          <w:highlight w:val="none"/>
          <w:lang w:eastAsia="zh-CN" w:bidi="ar"/>
        </w:rPr>
        <w:t>王梦</w:t>
      </w:r>
    </w:p>
    <w:p w14:paraId="00CEF5B0">
      <w:pPr>
        <w:widowControl w:val="0"/>
        <w:kinsoku/>
        <w:topLinePunct/>
        <w:autoSpaceDE/>
        <w:autoSpaceDN/>
        <w:spacing w:line="420" w:lineRule="auto"/>
        <w:ind w:firstLine="840" w:firstLineChars="300"/>
        <w:jc w:val="both"/>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bidi="ar"/>
        </w:rPr>
        <w:t>联系电话：</w:t>
      </w:r>
      <w:r>
        <w:rPr>
          <w:rFonts w:ascii="仿宋_GB2312" w:hAnsi="仿宋_GB2312" w:eastAsia="仿宋_GB2312" w:cs="仿宋_GB2312"/>
          <w:bCs/>
          <w:color w:val="auto"/>
          <w:sz w:val="28"/>
          <w:szCs w:val="28"/>
          <w:highlight w:val="none"/>
          <w:lang w:bidi="ar"/>
        </w:rPr>
        <w:t>0903-2062213</w:t>
      </w:r>
    </w:p>
    <w:p w14:paraId="2F34C803">
      <w:pPr>
        <w:widowControl w:val="0"/>
        <w:kinsoku/>
        <w:topLinePunct/>
        <w:autoSpaceDE/>
        <w:autoSpaceDN/>
        <w:spacing w:line="420" w:lineRule="auto"/>
        <w:ind w:firstLine="840" w:firstLineChars="300"/>
        <w:jc w:val="both"/>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bidi="ar"/>
        </w:rPr>
        <w:t>联系地址：和田市</w:t>
      </w:r>
      <w:r>
        <w:rPr>
          <w:rFonts w:hint="eastAsia" w:ascii="仿宋_GB2312" w:hAnsi="仿宋_GB2312" w:eastAsia="仿宋_GB2312" w:cs="仿宋_GB2312"/>
          <w:bCs/>
          <w:color w:val="auto"/>
          <w:sz w:val="28"/>
          <w:szCs w:val="28"/>
          <w:highlight w:val="none"/>
          <w:lang w:eastAsia="zh-CN" w:bidi="ar"/>
        </w:rPr>
        <w:t>塔乃依</w:t>
      </w:r>
      <w:r>
        <w:rPr>
          <w:rFonts w:hint="eastAsia" w:ascii="仿宋_GB2312" w:hAnsi="仿宋_GB2312" w:eastAsia="仿宋_GB2312" w:cs="仿宋_GB2312"/>
          <w:bCs/>
          <w:color w:val="auto"/>
          <w:sz w:val="28"/>
          <w:szCs w:val="28"/>
          <w:highlight w:val="none"/>
          <w:lang w:bidi="ar"/>
        </w:rPr>
        <w:t>南路32</w:t>
      </w:r>
      <w:r>
        <w:rPr>
          <w:rFonts w:hint="eastAsia" w:ascii="仿宋_GB2312" w:hAnsi="仿宋_GB2312" w:eastAsia="仿宋_GB2312" w:cs="仿宋_GB2312"/>
          <w:bCs/>
          <w:color w:val="auto"/>
          <w:sz w:val="28"/>
          <w:szCs w:val="28"/>
          <w:highlight w:val="none"/>
          <w:lang w:val="en-US" w:eastAsia="zh-CN" w:bidi="ar"/>
        </w:rPr>
        <w:t>9</w:t>
      </w:r>
      <w:r>
        <w:rPr>
          <w:rFonts w:hint="eastAsia" w:ascii="仿宋_GB2312" w:hAnsi="仿宋_GB2312" w:eastAsia="仿宋_GB2312" w:cs="仿宋_GB2312"/>
          <w:bCs/>
          <w:color w:val="auto"/>
          <w:sz w:val="28"/>
          <w:szCs w:val="28"/>
          <w:highlight w:val="none"/>
          <w:lang w:bidi="ar"/>
        </w:rPr>
        <w:t>号</w:t>
      </w:r>
    </w:p>
    <w:p w14:paraId="35281B67">
      <w:pPr>
        <w:widowControl w:val="0"/>
        <w:kinsoku/>
        <w:topLinePunct/>
        <w:autoSpaceDE/>
        <w:autoSpaceDN/>
        <w:spacing w:line="420" w:lineRule="auto"/>
        <w:ind w:firstLine="840" w:firstLineChars="300"/>
        <w:jc w:val="both"/>
        <w:rPr>
          <w:rFonts w:ascii="仿宋_GB2312" w:hAnsi="仿宋_GB2312" w:eastAsia="仿宋_GB2312" w:cs="仿宋_GB2312"/>
          <w:bCs/>
          <w:color w:val="auto"/>
          <w:sz w:val="28"/>
          <w:szCs w:val="28"/>
          <w:highlight w:val="none"/>
        </w:rPr>
      </w:pPr>
    </w:p>
    <w:p w14:paraId="18E49F6F">
      <w:pPr>
        <w:widowControl w:val="0"/>
        <w:kinsoku/>
        <w:topLinePunct/>
        <w:autoSpaceDE/>
        <w:autoSpaceDN/>
        <w:spacing w:line="420" w:lineRule="auto"/>
        <w:ind w:firstLine="840" w:firstLineChars="300"/>
        <w:jc w:val="both"/>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bidi="ar"/>
        </w:rPr>
        <w:t>招</w:t>
      </w:r>
      <w:r>
        <w:rPr>
          <w:rFonts w:hint="eastAsia" w:ascii="仿宋_GB2312" w:hAnsi="仿宋_GB2312" w:eastAsia="仿宋_GB2312" w:cs="仿宋_GB2312"/>
          <w:bCs/>
          <w:color w:val="auto"/>
          <w:sz w:val="28"/>
          <w:szCs w:val="28"/>
          <w:highlight w:val="none"/>
          <w:lang w:val="zh-CN" w:bidi="ar"/>
        </w:rPr>
        <w:t>标代理机构：</w:t>
      </w:r>
      <w:r>
        <w:rPr>
          <w:rFonts w:hint="eastAsia" w:ascii="仿宋_GB2312" w:hAnsi="仿宋_GB2312" w:eastAsia="仿宋_GB2312" w:cs="仿宋_GB2312"/>
          <w:bCs/>
          <w:color w:val="auto"/>
          <w:sz w:val="28"/>
          <w:szCs w:val="28"/>
          <w:highlight w:val="none"/>
          <w:lang w:bidi="ar"/>
        </w:rPr>
        <w:t>四川明力建设工程项目管理有限公司</w:t>
      </w:r>
      <w:r>
        <w:rPr>
          <w:rFonts w:hint="eastAsia" w:ascii="仿宋_GB2312" w:hAnsi="仿宋_GB2312" w:eastAsia="仿宋_GB2312" w:cs="仿宋_GB2312"/>
          <w:bCs/>
          <w:color w:val="auto"/>
          <w:sz w:val="28"/>
          <w:szCs w:val="28"/>
          <w:highlight w:val="none"/>
          <w:lang w:val="zh-CN" w:bidi="ar"/>
        </w:rPr>
        <w:t>（盖章）</w:t>
      </w:r>
    </w:p>
    <w:p w14:paraId="090653AE">
      <w:pPr>
        <w:widowControl w:val="0"/>
        <w:kinsoku/>
        <w:topLinePunct/>
        <w:autoSpaceDE/>
        <w:autoSpaceDN/>
        <w:spacing w:line="420" w:lineRule="auto"/>
        <w:ind w:firstLine="840" w:firstLineChars="300"/>
        <w:jc w:val="both"/>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zh-CN" w:bidi="ar"/>
        </w:rPr>
        <w:t>项目负责人：</w:t>
      </w:r>
      <w:r>
        <w:rPr>
          <w:rFonts w:hint="eastAsia" w:ascii="仿宋_GB2312" w:hAnsi="仿宋_GB2312" w:eastAsia="仿宋_GB2312" w:cs="仿宋_GB2312"/>
          <w:bCs/>
          <w:color w:val="auto"/>
          <w:sz w:val="28"/>
          <w:szCs w:val="28"/>
          <w:highlight w:val="none"/>
          <w:lang w:bidi="ar"/>
        </w:rPr>
        <w:t>任国均</w:t>
      </w:r>
    </w:p>
    <w:p w14:paraId="0294D9BD">
      <w:pPr>
        <w:widowControl w:val="0"/>
        <w:kinsoku/>
        <w:topLinePunct/>
        <w:autoSpaceDE/>
        <w:autoSpaceDN/>
        <w:spacing w:line="420" w:lineRule="auto"/>
        <w:ind w:firstLine="840" w:firstLineChars="300"/>
        <w:jc w:val="both"/>
        <w:rPr>
          <w:rFonts w:hint="eastAsia" w:ascii="仿宋_GB2312" w:hAnsi="仿宋_GB2312" w:eastAsia="仿宋_GB2312" w:cs="仿宋_GB2312"/>
          <w:bCs/>
          <w:color w:val="auto"/>
          <w:sz w:val="28"/>
          <w:szCs w:val="28"/>
          <w:highlight w:val="none"/>
          <w:lang w:bidi="ar"/>
        </w:rPr>
      </w:pPr>
      <w:r>
        <w:rPr>
          <w:rFonts w:hint="eastAsia" w:ascii="仿宋_GB2312" w:hAnsi="仿宋_GB2312" w:eastAsia="仿宋_GB2312" w:cs="仿宋_GB2312"/>
          <w:bCs/>
          <w:color w:val="auto"/>
          <w:sz w:val="28"/>
          <w:szCs w:val="28"/>
          <w:highlight w:val="none"/>
          <w:lang w:bidi="ar"/>
        </w:rPr>
        <w:t>联系电话</w:t>
      </w:r>
      <w:r>
        <w:rPr>
          <w:rFonts w:hint="eastAsia" w:ascii="仿宋_GB2312" w:hAnsi="仿宋_GB2312" w:eastAsia="仿宋_GB2312" w:cs="仿宋_GB2312"/>
          <w:bCs/>
          <w:color w:val="auto"/>
          <w:sz w:val="28"/>
          <w:szCs w:val="28"/>
          <w:highlight w:val="none"/>
          <w:lang w:val="zh-CN" w:bidi="ar"/>
        </w:rPr>
        <w:t>：0903-</w:t>
      </w:r>
      <w:r>
        <w:rPr>
          <w:rFonts w:hint="eastAsia" w:ascii="仿宋_GB2312" w:hAnsi="仿宋_GB2312" w:eastAsia="仿宋_GB2312" w:cs="仿宋_GB2312"/>
          <w:bCs/>
          <w:color w:val="auto"/>
          <w:sz w:val="28"/>
          <w:szCs w:val="28"/>
          <w:highlight w:val="none"/>
          <w:lang w:bidi="ar"/>
        </w:rPr>
        <w:t>6588456</w:t>
      </w:r>
    </w:p>
    <w:p w14:paraId="0B19358A">
      <w:pPr>
        <w:widowControl w:val="0"/>
        <w:kinsoku/>
        <w:topLinePunct/>
        <w:autoSpaceDE/>
        <w:autoSpaceDN/>
        <w:spacing w:line="420" w:lineRule="auto"/>
        <w:ind w:firstLine="840" w:firstLineChars="300"/>
        <w:jc w:val="both"/>
        <w:rPr>
          <w:rFonts w:ascii="仿宋_GB2312" w:hAnsi="仿宋_GB2312" w:eastAsia="仿宋_GB2312" w:cs="仿宋_GB2312"/>
          <w:bCs/>
          <w:color w:val="auto"/>
          <w:sz w:val="28"/>
          <w:szCs w:val="28"/>
          <w:highlight w:val="none"/>
          <w:lang w:bidi="ar"/>
        </w:rPr>
      </w:pPr>
      <w:r>
        <w:rPr>
          <w:rFonts w:hint="eastAsia" w:ascii="仿宋_GB2312" w:hAnsi="仿宋_GB2312" w:eastAsia="仿宋_GB2312" w:cs="仿宋_GB2312"/>
          <w:bCs/>
          <w:color w:val="auto"/>
          <w:sz w:val="28"/>
          <w:szCs w:val="28"/>
          <w:highlight w:val="none"/>
          <w:lang w:bidi="ar"/>
        </w:rPr>
        <w:t>联系地址</w:t>
      </w:r>
      <w:r>
        <w:rPr>
          <w:rFonts w:hint="eastAsia" w:ascii="仿宋_GB2312" w:hAnsi="仿宋_GB2312" w:eastAsia="仿宋_GB2312" w:cs="仿宋_GB2312"/>
          <w:bCs/>
          <w:color w:val="auto"/>
          <w:sz w:val="28"/>
          <w:szCs w:val="28"/>
          <w:highlight w:val="none"/>
          <w:lang w:val="zh-CN" w:bidi="ar"/>
        </w:rPr>
        <w:t>：和田市</w:t>
      </w:r>
      <w:r>
        <w:rPr>
          <w:rFonts w:hint="eastAsia" w:ascii="仿宋_GB2312" w:hAnsi="仿宋_GB2312" w:eastAsia="仿宋_GB2312" w:cs="仿宋_GB2312"/>
          <w:bCs/>
          <w:color w:val="auto"/>
          <w:sz w:val="28"/>
          <w:szCs w:val="28"/>
          <w:highlight w:val="none"/>
          <w:lang w:bidi="ar"/>
        </w:rPr>
        <w:t>安康路环湖小区商铺3-4号楼3-306室</w:t>
      </w:r>
    </w:p>
    <w:p w14:paraId="78E88D7F">
      <w:pPr>
        <w:widowControl w:val="0"/>
        <w:kinsoku/>
        <w:topLinePunct/>
        <w:autoSpaceDE/>
        <w:autoSpaceDN/>
        <w:spacing w:line="420" w:lineRule="auto"/>
        <w:ind w:firstLine="840" w:firstLineChars="300"/>
        <w:jc w:val="both"/>
        <w:rPr>
          <w:rFonts w:ascii="仿宋_GB2312" w:hAnsi="仿宋_GB2312" w:eastAsia="仿宋_GB2312" w:cs="仿宋_GB2312"/>
          <w:bCs/>
          <w:color w:val="auto"/>
          <w:sz w:val="28"/>
          <w:szCs w:val="28"/>
          <w:highlight w:val="none"/>
        </w:rPr>
      </w:pPr>
    </w:p>
    <w:p w14:paraId="6AB0F343">
      <w:pPr>
        <w:widowControl w:val="0"/>
        <w:kinsoku/>
        <w:topLinePunct/>
        <w:autoSpaceDE/>
        <w:autoSpaceDN/>
        <w:spacing w:line="420" w:lineRule="auto"/>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zh-CN" w:bidi="ar"/>
        </w:rPr>
        <w:t>202</w:t>
      </w:r>
      <w:r>
        <w:rPr>
          <w:rFonts w:hint="eastAsia" w:ascii="仿宋_GB2312" w:hAnsi="仿宋_GB2312" w:eastAsia="仿宋_GB2312" w:cs="仿宋_GB2312"/>
          <w:bCs/>
          <w:color w:val="auto"/>
          <w:sz w:val="28"/>
          <w:szCs w:val="28"/>
          <w:highlight w:val="none"/>
          <w:lang w:val="en-US" w:eastAsia="zh-CN" w:bidi="ar"/>
        </w:rPr>
        <w:t>4</w:t>
      </w:r>
      <w:r>
        <w:rPr>
          <w:rFonts w:hint="eastAsia" w:ascii="仿宋_GB2312" w:hAnsi="仿宋_GB2312" w:eastAsia="仿宋_GB2312" w:cs="仿宋_GB2312"/>
          <w:bCs/>
          <w:color w:val="auto"/>
          <w:sz w:val="28"/>
          <w:szCs w:val="28"/>
          <w:highlight w:val="none"/>
          <w:lang w:val="zh-CN" w:bidi="ar"/>
        </w:rPr>
        <w:t>年</w:t>
      </w:r>
      <w:r>
        <w:rPr>
          <w:rFonts w:hint="eastAsia" w:ascii="仿宋_GB2312" w:hAnsi="仿宋_GB2312" w:eastAsia="仿宋_GB2312" w:cs="仿宋_GB2312"/>
          <w:bCs/>
          <w:color w:val="auto"/>
          <w:sz w:val="28"/>
          <w:szCs w:val="28"/>
          <w:highlight w:val="none"/>
          <w:lang w:val="en-US" w:eastAsia="zh-CN" w:bidi="ar"/>
        </w:rPr>
        <w:t>10</w:t>
      </w:r>
      <w:r>
        <w:rPr>
          <w:rFonts w:hint="eastAsia" w:ascii="仿宋_GB2312" w:hAnsi="仿宋_GB2312" w:eastAsia="仿宋_GB2312" w:cs="仿宋_GB2312"/>
          <w:bCs/>
          <w:color w:val="auto"/>
          <w:sz w:val="28"/>
          <w:szCs w:val="28"/>
          <w:highlight w:val="none"/>
          <w:lang w:val="zh-CN" w:bidi="ar"/>
        </w:rPr>
        <w:t>月</w:t>
      </w:r>
    </w:p>
    <w:p w14:paraId="47F9BA68">
      <w:pPr>
        <w:widowControl w:val="0"/>
        <w:kinsoku/>
        <w:topLinePunct/>
        <w:autoSpaceDE/>
        <w:autoSpaceDN/>
        <w:spacing w:line="420" w:lineRule="auto"/>
        <w:ind w:firstLine="560" w:firstLineChars="200"/>
        <w:rPr>
          <w:rFonts w:ascii="仿宋_GB2312" w:hAnsi="仿宋_GB2312" w:eastAsia="仿宋_GB2312" w:cs="仿宋_GB2312"/>
          <w:bCs/>
          <w:color w:val="auto"/>
          <w:sz w:val="28"/>
          <w:szCs w:val="28"/>
          <w:highlight w:val="none"/>
          <w14:textOutline w14:w="5791" w14:cap="sq" w14:cmpd="sng" w14:algn="ctr">
            <w14:solidFill>
              <w14:srgbClr w14:val="000000"/>
            </w14:solidFill>
            <w14:prstDash w14:val="solid"/>
            <w14:bevel/>
          </w14:textOutline>
        </w:rPr>
        <w:sectPr>
          <w:pgSz w:w="11906" w:h="16839"/>
          <w:pgMar w:top="1247" w:right="1588" w:bottom="1247" w:left="1531" w:header="851" w:footer="851" w:gutter="0"/>
          <w:cols w:space="0" w:num="1"/>
        </w:sectPr>
      </w:pPr>
    </w:p>
    <w:p w14:paraId="4781ECEB">
      <w:pPr>
        <w:widowControl w:val="0"/>
        <w:kinsoku/>
        <w:topLinePunct/>
        <w:autoSpaceDE/>
        <w:autoSpaceDN/>
        <w:spacing w:line="480" w:lineRule="auto"/>
        <w:jc w:val="center"/>
        <w:outlineLvl w:val="0"/>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bookmarkStart w:id="1" w:name="_Toc132755226"/>
      <w:bookmarkStart w:id="2" w:name="_Toc132754778"/>
      <w:bookmarkStart w:id="3" w:name="_Toc132755437"/>
      <w:bookmarkStart w:id="4" w:name="_Toc20732"/>
      <w:bookmarkStart w:id="5" w:name="_Toc17245"/>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 xml:space="preserve">目 </w:t>
      </w:r>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 xml:space="preserve"> </w:t>
      </w:r>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录</w:t>
      </w:r>
      <w:bookmarkEnd w:id="1"/>
      <w:bookmarkEnd w:id="2"/>
      <w:bookmarkEnd w:id="3"/>
      <w:bookmarkEnd w:id="4"/>
      <w:bookmarkEnd w:id="5"/>
    </w:p>
    <w:p w14:paraId="0F558023">
      <w:pPr>
        <w:widowControl w:val="0"/>
        <w:kinsoku/>
        <w:topLinePunct/>
        <w:autoSpaceDE/>
        <w:autoSpaceDN/>
        <w:spacing w:line="420" w:lineRule="auto"/>
        <w:jc w:val="both"/>
        <w:rPr>
          <w:rFonts w:cs="宋体" w:asciiTheme="minorEastAsia" w:hAnsiTheme="minorEastAsia" w:eastAsiaTheme="minorEastAsia"/>
          <w:color w:val="auto"/>
          <w:highlight w:val="none"/>
        </w:rPr>
      </w:pPr>
    </w:p>
    <w:sdt>
      <w:sdtPr>
        <w:rPr>
          <w:rFonts w:ascii="宋体" w:hAnsi="宋体" w:eastAsia="宋体" w:cs="Arial"/>
          <w:snapToGrid w:val="0"/>
          <w:color w:val="000000"/>
          <w:sz w:val="21"/>
          <w:szCs w:val="21"/>
          <w:lang w:val="en-US" w:eastAsia="zh-CN" w:bidi="ar-SA"/>
        </w:rPr>
        <w:id w:val="147464002"/>
        <w15:color w:val="DBDBDB"/>
        <w:docPartObj>
          <w:docPartGallery w:val="Table of Contents"/>
          <w:docPartUnique/>
        </w:docPartObj>
      </w:sdtPr>
      <w:sdtEndPr>
        <w:rPr>
          <w:rFonts w:cs="宋体" w:asciiTheme="minorEastAsia" w:hAnsiTheme="minorEastAsia" w:eastAsiaTheme="minorEastAsia"/>
          <w:snapToGrid w:val="0"/>
          <w:color w:val="auto"/>
          <w:sz w:val="21"/>
          <w:szCs w:val="21"/>
          <w:highlight w:val="none"/>
          <w:lang w:val="en-US" w:eastAsia="zh-CN" w:bidi="ar-SA"/>
        </w:rPr>
      </w:sdtEndPr>
      <w:sdtContent>
        <w:p w14:paraId="67AFB0B9">
          <w:pPr>
            <w:spacing w:before="0" w:beforeLines="0" w:after="0" w:afterLines="0" w:line="240" w:lineRule="auto"/>
            <w:ind w:left="0" w:leftChars="0" w:right="0" w:rightChars="0" w:firstLine="0" w:firstLineChars="0"/>
            <w:jc w:val="center"/>
          </w:pPr>
        </w:p>
        <w:p w14:paraId="38AC5673">
          <w:pPr>
            <w:pStyle w:val="40"/>
            <w:tabs>
              <w:tab w:val="right" w:leader="dot" w:pos="8787"/>
            </w:tabs>
          </w:pP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TOC \o "1-1" \h \u </w:instrText>
          </w:r>
          <w:r>
            <w:rPr>
              <w:rFonts w:cs="宋体" w:asciiTheme="minorEastAsia" w:hAnsiTheme="minorEastAsia" w:eastAsiaTheme="minorEastAsia"/>
              <w:color w:val="auto"/>
              <w:highlight w:val="none"/>
            </w:rPr>
            <w:fldChar w:fldCharType="separate"/>
          </w:r>
        </w:p>
        <w:p w14:paraId="5ED13EEF">
          <w:pPr>
            <w:pStyle w:val="40"/>
            <w:tabs>
              <w:tab w:val="right" w:leader="dot" w:pos="8787"/>
            </w:tabs>
            <w:spacing w:line="360" w:lineRule="auto"/>
            <w:rPr>
              <w:sz w:val="24"/>
              <w:szCs w:val="24"/>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sz w:val="24"/>
              <w:szCs w:val="24"/>
              <w:highlight w:val="none"/>
            </w:rPr>
            <w:instrText xml:space="preserve"> HYPERLINK \l _Toc16505 </w:instrText>
          </w:r>
          <w:r>
            <w:rPr>
              <w:rFonts w:cs="宋体" w:asciiTheme="minorEastAsia" w:hAnsiTheme="minorEastAsia" w:eastAsiaTheme="minorEastAsia"/>
              <w:sz w:val="24"/>
              <w:szCs w:val="24"/>
              <w:highlight w:val="none"/>
            </w:rPr>
            <w:fldChar w:fldCharType="separate"/>
          </w:r>
          <w:r>
            <w:rPr>
              <w:rFonts w:ascii="宋体" w:hAnsi="宋体" w:eastAsia="宋体" w:cs="宋体"/>
              <w:sz w:val="24"/>
              <w:szCs w:val="24"/>
              <w:highlight w:val="none"/>
              <w14:textOutline w14:w="6540" w14:cap="sq" w14:cmpd="sng" w14:algn="ctr">
                <w14:solidFill>
                  <w14:srgbClr w14:val="000000"/>
                </w14:solidFill>
                <w14:prstDash w14:val="solid"/>
                <w14:bevel/>
              </w14:textOutline>
            </w:rPr>
            <w:t>第一部分</w:t>
          </w:r>
          <w:r>
            <w:rPr>
              <w:rFonts w:hint="eastAsia" w:ascii="宋体" w:hAnsi="宋体" w:eastAsia="宋体" w:cs="宋体"/>
              <w:sz w:val="24"/>
              <w:szCs w:val="24"/>
              <w:highlight w:val="none"/>
              <w14:textOutline w14:w="6540" w14:cap="sq" w14:cmpd="sng" w14:algn="ctr">
                <w14:solidFill>
                  <w14:srgbClr w14:val="000000"/>
                </w14:solidFill>
                <w14:prstDash w14:val="solid"/>
                <w14:bevel/>
              </w14:textOutline>
            </w:rPr>
            <w:t xml:space="preserve">  </w:t>
          </w:r>
          <w:r>
            <w:rPr>
              <w:rFonts w:ascii="宋体" w:hAnsi="宋体" w:eastAsia="宋体" w:cs="宋体"/>
              <w:sz w:val="24"/>
              <w:szCs w:val="24"/>
              <w:highlight w:val="none"/>
              <w14:textOutline w14:w="6540" w14:cap="sq" w14:cmpd="sng" w14:algn="ctr">
                <w14:solidFill>
                  <w14:srgbClr w14:val="000000"/>
                </w14:solidFill>
                <w14:prstDash w14:val="solid"/>
                <w14:bevel/>
              </w14:textOutline>
            </w:rPr>
            <w:t>招标公告</w:t>
          </w:r>
          <w:r>
            <w:rPr>
              <w:sz w:val="24"/>
              <w:szCs w:val="24"/>
            </w:rPr>
            <w:tab/>
          </w:r>
          <w:r>
            <w:rPr>
              <w:sz w:val="24"/>
              <w:szCs w:val="24"/>
            </w:rPr>
            <w:fldChar w:fldCharType="begin"/>
          </w:r>
          <w:r>
            <w:rPr>
              <w:sz w:val="24"/>
              <w:szCs w:val="24"/>
            </w:rPr>
            <w:instrText xml:space="preserve"> PAGEREF _Toc16505 \h </w:instrText>
          </w:r>
          <w:r>
            <w:rPr>
              <w:sz w:val="24"/>
              <w:szCs w:val="24"/>
            </w:rPr>
            <w:fldChar w:fldCharType="separate"/>
          </w:r>
          <w:r>
            <w:rPr>
              <w:sz w:val="24"/>
              <w:szCs w:val="24"/>
            </w:rPr>
            <w:t>2</w:t>
          </w:r>
          <w:r>
            <w:rPr>
              <w:sz w:val="24"/>
              <w:szCs w:val="24"/>
            </w:rPr>
            <w:fldChar w:fldCharType="end"/>
          </w:r>
          <w:r>
            <w:rPr>
              <w:rFonts w:cs="宋体" w:asciiTheme="minorEastAsia" w:hAnsiTheme="minorEastAsia" w:eastAsiaTheme="minorEastAsia"/>
              <w:color w:val="auto"/>
              <w:sz w:val="24"/>
              <w:szCs w:val="24"/>
              <w:highlight w:val="none"/>
            </w:rPr>
            <w:fldChar w:fldCharType="end"/>
          </w:r>
        </w:p>
        <w:p w14:paraId="40D55E4D">
          <w:pPr>
            <w:pStyle w:val="40"/>
            <w:tabs>
              <w:tab w:val="right" w:leader="dot" w:pos="8787"/>
            </w:tabs>
            <w:spacing w:line="360" w:lineRule="auto"/>
            <w:rPr>
              <w:sz w:val="24"/>
              <w:szCs w:val="24"/>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sz w:val="24"/>
              <w:szCs w:val="24"/>
              <w:highlight w:val="none"/>
            </w:rPr>
            <w:instrText xml:space="preserve"> HYPERLINK \l _Toc20730 </w:instrText>
          </w:r>
          <w:r>
            <w:rPr>
              <w:rFonts w:cs="宋体" w:asciiTheme="minorEastAsia" w:hAnsiTheme="minorEastAsia" w:eastAsiaTheme="minorEastAsia"/>
              <w:sz w:val="24"/>
              <w:szCs w:val="24"/>
              <w:highlight w:val="none"/>
            </w:rPr>
            <w:fldChar w:fldCharType="separate"/>
          </w:r>
          <w:r>
            <w:rPr>
              <w:rFonts w:ascii="宋体" w:hAnsi="宋体" w:eastAsia="宋体" w:cs="宋体"/>
              <w:sz w:val="24"/>
              <w:szCs w:val="24"/>
              <w:highlight w:val="none"/>
              <w14:textOutline w14:w="6540" w14:cap="sq" w14:cmpd="sng" w14:algn="ctr">
                <w14:solidFill>
                  <w14:srgbClr w14:val="000000"/>
                </w14:solidFill>
                <w14:prstDash w14:val="solid"/>
                <w14:bevel/>
              </w14:textOutline>
            </w:rPr>
            <w:t>第二部分</w:t>
          </w:r>
          <w:r>
            <w:rPr>
              <w:rFonts w:hint="eastAsia" w:ascii="宋体" w:hAnsi="宋体" w:eastAsia="宋体" w:cs="宋体"/>
              <w:sz w:val="24"/>
              <w:szCs w:val="24"/>
              <w:highlight w:val="none"/>
              <w14:textOutline w14:w="6540" w14:cap="sq" w14:cmpd="sng" w14:algn="ctr">
                <w14:solidFill>
                  <w14:srgbClr w14:val="000000"/>
                </w14:solidFill>
                <w14:prstDash w14:val="solid"/>
                <w14:bevel/>
              </w14:textOutline>
            </w:rPr>
            <w:t xml:space="preserve">  </w:t>
          </w:r>
          <w:r>
            <w:rPr>
              <w:rFonts w:ascii="宋体" w:hAnsi="宋体" w:eastAsia="宋体" w:cs="宋体"/>
              <w:sz w:val="24"/>
              <w:szCs w:val="24"/>
              <w:highlight w:val="none"/>
              <w14:textOutline w14:w="6540" w14:cap="sq" w14:cmpd="sng" w14:algn="ctr">
                <w14:solidFill>
                  <w14:srgbClr w14:val="000000"/>
                </w14:solidFill>
                <w14:prstDash w14:val="solid"/>
                <w14:bevel/>
              </w14:textOutline>
            </w:rPr>
            <w:t>投标人须知</w:t>
          </w:r>
          <w:bookmarkStart w:id="358" w:name="_GoBack"/>
          <w:bookmarkEnd w:id="358"/>
          <w:r>
            <w:rPr>
              <w:sz w:val="24"/>
              <w:szCs w:val="24"/>
            </w:rPr>
            <w:tab/>
          </w:r>
          <w:r>
            <w:rPr>
              <w:sz w:val="24"/>
              <w:szCs w:val="24"/>
            </w:rPr>
            <w:fldChar w:fldCharType="begin"/>
          </w:r>
          <w:r>
            <w:rPr>
              <w:sz w:val="24"/>
              <w:szCs w:val="24"/>
            </w:rPr>
            <w:instrText xml:space="preserve"> PAGEREF _Toc20730 \h </w:instrText>
          </w:r>
          <w:r>
            <w:rPr>
              <w:sz w:val="24"/>
              <w:szCs w:val="24"/>
            </w:rPr>
            <w:fldChar w:fldCharType="separate"/>
          </w:r>
          <w:r>
            <w:rPr>
              <w:sz w:val="24"/>
              <w:szCs w:val="24"/>
            </w:rPr>
            <w:t>6</w:t>
          </w:r>
          <w:r>
            <w:rPr>
              <w:sz w:val="24"/>
              <w:szCs w:val="24"/>
            </w:rPr>
            <w:fldChar w:fldCharType="end"/>
          </w:r>
          <w:r>
            <w:rPr>
              <w:rFonts w:cs="宋体" w:asciiTheme="minorEastAsia" w:hAnsiTheme="minorEastAsia" w:eastAsiaTheme="minorEastAsia"/>
              <w:color w:val="auto"/>
              <w:sz w:val="24"/>
              <w:szCs w:val="24"/>
              <w:highlight w:val="none"/>
            </w:rPr>
            <w:fldChar w:fldCharType="end"/>
          </w:r>
        </w:p>
        <w:p w14:paraId="51F0377D">
          <w:pPr>
            <w:pStyle w:val="40"/>
            <w:tabs>
              <w:tab w:val="right" w:leader="dot" w:pos="8787"/>
            </w:tabs>
            <w:spacing w:line="360" w:lineRule="auto"/>
            <w:rPr>
              <w:sz w:val="24"/>
              <w:szCs w:val="24"/>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sz w:val="24"/>
              <w:szCs w:val="24"/>
              <w:highlight w:val="none"/>
            </w:rPr>
            <w:instrText xml:space="preserve"> HYPERLINK \l _Toc26397 </w:instrText>
          </w:r>
          <w:r>
            <w:rPr>
              <w:rFonts w:cs="宋体" w:asciiTheme="minorEastAsia" w:hAnsiTheme="minorEastAsia" w:eastAsiaTheme="minorEastAsia"/>
              <w:sz w:val="24"/>
              <w:szCs w:val="24"/>
              <w:highlight w:val="none"/>
            </w:rPr>
            <w:fldChar w:fldCharType="separate"/>
          </w:r>
          <w:r>
            <w:rPr>
              <w:rFonts w:ascii="宋体" w:hAnsi="宋体" w:eastAsia="宋体" w:cs="宋体"/>
              <w:sz w:val="24"/>
              <w:szCs w:val="24"/>
              <w:highlight w:val="none"/>
              <w14:textOutline w14:w="6540" w14:cap="sq" w14:cmpd="sng" w14:algn="ctr">
                <w14:solidFill>
                  <w14:srgbClr w14:val="000000"/>
                </w14:solidFill>
                <w14:prstDash w14:val="solid"/>
                <w14:bevel/>
              </w14:textOutline>
            </w:rPr>
            <w:t>第三部分</w:t>
          </w:r>
          <w:r>
            <w:rPr>
              <w:rFonts w:hint="eastAsia" w:ascii="宋体" w:hAnsi="宋体" w:eastAsia="宋体" w:cs="宋体"/>
              <w:sz w:val="24"/>
              <w:szCs w:val="24"/>
              <w:highlight w:val="none"/>
              <w14:textOutline w14:w="6540" w14:cap="sq" w14:cmpd="sng" w14:algn="ctr">
                <w14:solidFill>
                  <w14:srgbClr w14:val="000000"/>
                </w14:solidFill>
                <w14:prstDash w14:val="solid"/>
                <w14:bevel/>
              </w14:textOutline>
            </w:rPr>
            <w:t xml:space="preserve">  </w:t>
          </w:r>
          <w:r>
            <w:rPr>
              <w:rFonts w:ascii="宋体" w:hAnsi="宋体" w:eastAsia="宋体" w:cs="宋体"/>
              <w:sz w:val="24"/>
              <w:szCs w:val="24"/>
              <w:highlight w:val="none"/>
              <w14:textOutline w14:w="6540" w14:cap="sq" w14:cmpd="sng" w14:algn="ctr">
                <w14:solidFill>
                  <w14:srgbClr w14:val="000000"/>
                </w14:solidFill>
                <w14:prstDash w14:val="solid"/>
                <w14:bevel/>
              </w14:textOutline>
            </w:rPr>
            <w:t>采购需求</w:t>
          </w:r>
          <w:r>
            <w:rPr>
              <w:sz w:val="24"/>
              <w:szCs w:val="24"/>
            </w:rPr>
            <w:tab/>
          </w:r>
          <w:r>
            <w:rPr>
              <w:sz w:val="24"/>
              <w:szCs w:val="24"/>
            </w:rPr>
            <w:fldChar w:fldCharType="begin"/>
          </w:r>
          <w:r>
            <w:rPr>
              <w:sz w:val="24"/>
              <w:szCs w:val="24"/>
            </w:rPr>
            <w:instrText xml:space="preserve"> PAGEREF _Toc26397 \h </w:instrText>
          </w:r>
          <w:r>
            <w:rPr>
              <w:sz w:val="24"/>
              <w:szCs w:val="24"/>
            </w:rPr>
            <w:fldChar w:fldCharType="separate"/>
          </w:r>
          <w:r>
            <w:rPr>
              <w:sz w:val="24"/>
              <w:szCs w:val="24"/>
            </w:rPr>
            <w:t>31</w:t>
          </w:r>
          <w:r>
            <w:rPr>
              <w:sz w:val="24"/>
              <w:szCs w:val="24"/>
            </w:rPr>
            <w:fldChar w:fldCharType="end"/>
          </w:r>
          <w:r>
            <w:rPr>
              <w:rFonts w:cs="宋体" w:asciiTheme="minorEastAsia" w:hAnsiTheme="minorEastAsia" w:eastAsiaTheme="minorEastAsia"/>
              <w:color w:val="auto"/>
              <w:sz w:val="24"/>
              <w:szCs w:val="24"/>
              <w:highlight w:val="none"/>
            </w:rPr>
            <w:fldChar w:fldCharType="end"/>
          </w:r>
        </w:p>
        <w:p w14:paraId="6CBEEBCE">
          <w:pPr>
            <w:pStyle w:val="40"/>
            <w:tabs>
              <w:tab w:val="right" w:leader="dot" w:pos="8787"/>
            </w:tabs>
            <w:spacing w:line="360" w:lineRule="auto"/>
            <w:rPr>
              <w:sz w:val="24"/>
              <w:szCs w:val="24"/>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sz w:val="24"/>
              <w:szCs w:val="24"/>
              <w:highlight w:val="none"/>
            </w:rPr>
            <w:instrText xml:space="preserve"> HYPERLINK \l _Toc956 </w:instrText>
          </w:r>
          <w:r>
            <w:rPr>
              <w:rFonts w:cs="宋体" w:asciiTheme="minorEastAsia" w:hAnsiTheme="minorEastAsia" w:eastAsiaTheme="minorEastAsia"/>
              <w:sz w:val="24"/>
              <w:szCs w:val="24"/>
              <w:highlight w:val="none"/>
            </w:rPr>
            <w:fldChar w:fldCharType="separate"/>
          </w:r>
          <w:r>
            <w:rPr>
              <w:rFonts w:ascii="宋体" w:hAnsi="宋体" w:eastAsia="宋体" w:cs="宋体"/>
              <w:sz w:val="24"/>
              <w:szCs w:val="24"/>
              <w:highlight w:val="none"/>
              <w14:textOutline w14:w="6540" w14:cap="sq" w14:cmpd="sng" w14:algn="ctr">
                <w14:solidFill>
                  <w14:srgbClr w14:val="000000"/>
                </w14:solidFill>
                <w14:prstDash w14:val="solid"/>
                <w14:bevel/>
              </w14:textOutline>
            </w:rPr>
            <w:t>第四部分</w:t>
          </w:r>
          <w:r>
            <w:rPr>
              <w:rFonts w:hint="eastAsia" w:ascii="宋体" w:hAnsi="宋体" w:eastAsia="宋体" w:cs="宋体"/>
              <w:sz w:val="24"/>
              <w:szCs w:val="24"/>
              <w:highlight w:val="none"/>
              <w14:textOutline w14:w="6540" w14:cap="sq" w14:cmpd="sng" w14:algn="ctr">
                <w14:solidFill>
                  <w14:srgbClr w14:val="000000"/>
                </w14:solidFill>
                <w14:prstDash w14:val="solid"/>
                <w14:bevel/>
              </w14:textOutline>
            </w:rPr>
            <w:t xml:space="preserve">  </w:t>
          </w:r>
          <w:r>
            <w:rPr>
              <w:rFonts w:ascii="宋体" w:hAnsi="宋体" w:eastAsia="宋体" w:cs="宋体"/>
              <w:sz w:val="24"/>
              <w:szCs w:val="24"/>
              <w:highlight w:val="none"/>
              <w14:textOutline w14:w="6540" w14:cap="sq" w14:cmpd="sng" w14:algn="ctr">
                <w14:solidFill>
                  <w14:srgbClr w14:val="000000"/>
                </w14:solidFill>
                <w14:prstDash w14:val="solid"/>
                <w14:bevel/>
              </w14:textOutline>
            </w:rPr>
            <w:t>评审方法</w:t>
          </w:r>
          <w:r>
            <w:rPr>
              <w:rFonts w:hint="eastAsia" w:ascii="宋体" w:hAnsi="宋体" w:eastAsia="宋体" w:cs="宋体"/>
              <w:sz w:val="24"/>
              <w:szCs w:val="24"/>
              <w:highlight w:val="none"/>
              <w14:textOutline w14:w="6540" w14:cap="sq" w14:cmpd="sng" w14:algn="ctr">
                <w14:solidFill>
                  <w14:srgbClr w14:val="000000"/>
                </w14:solidFill>
                <w14:prstDash w14:val="solid"/>
                <w14:bevel/>
              </w14:textOutline>
            </w:rPr>
            <w:t>（</w:t>
          </w:r>
          <w:r>
            <w:rPr>
              <w:rFonts w:ascii="宋体" w:hAnsi="宋体" w:eastAsia="宋体" w:cs="宋体"/>
              <w:sz w:val="24"/>
              <w:szCs w:val="24"/>
              <w:highlight w:val="none"/>
              <w14:textOutline w14:w="6540" w14:cap="sq" w14:cmpd="sng" w14:algn="ctr">
                <w14:solidFill>
                  <w14:srgbClr w14:val="000000"/>
                </w14:solidFill>
                <w14:prstDash w14:val="solid"/>
                <w14:bevel/>
              </w14:textOutline>
            </w:rPr>
            <w:t>综合评分法</w:t>
          </w:r>
          <w:r>
            <w:rPr>
              <w:rFonts w:hint="eastAsia" w:ascii="宋体" w:hAnsi="宋体" w:eastAsia="宋体" w:cs="宋体"/>
              <w:sz w:val="24"/>
              <w:szCs w:val="24"/>
              <w:highlight w:val="none"/>
              <w14:textOutline w14:w="6540" w14:cap="sq" w14:cmpd="sng" w14:algn="ctr">
                <w14:solidFill>
                  <w14:srgbClr w14:val="000000"/>
                </w14:solidFill>
                <w14:prstDash w14:val="solid"/>
                <w14:bevel/>
              </w14:textOutline>
            </w:rPr>
            <w:t>）</w:t>
          </w:r>
          <w:r>
            <w:rPr>
              <w:sz w:val="24"/>
              <w:szCs w:val="24"/>
            </w:rPr>
            <w:tab/>
          </w:r>
          <w:r>
            <w:rPr>
              <w:sz w:val="24"/>
              <w:szCs w:val="24"/>
            </w:rPr>
            <w:fldChar w:fldCharType="begin"/>
          </w:r>
          <w:r>
            <w:rPr>
              <w:sz w:val="24"/>
              <w:szCs w:val="24"/>
            </w:rPr>
            <w:instrText xml:space="preserve"> PAGEREF _Toc956 \h </w:instrText>
          </w:r>
          <w:r>
            <w:rPr>
              <w:sz w:val="24"/>
              <w:szCs w:val="24"/>
            </w:rPr>
            <w:fldChar w:fldCharType="separate"/>
          </w:r>
          <w:r>
            <w:rPr>
              <w:sz w:val="24"/>
              <w:szCs w:val="24"/>
            </w:rPr>
            <w:t>35</w:t>
          </w:r>
          <w:r>
            <w:rPr>
              <w:sz w:val="24"/>
              <w:szCs w:val="24"/>
            </w:rPr>
            <w:fldChar w:fldCharType="end"/>
          </w:r>
          <w:r>
            <w:rPr>
              <w:rFonts w:cs="宋体" w:asciiTheme="minorEastAsia" w:hAnsiTheme="minorEastAsia" w:eastAsiaTheme="minorEastAsia"/>
              <w:color w:val="auto"/>
              <w:sz w:val="24"/>
              <w:szCs w:val="24"/>
              <w:highlight w:val="none"/>
            </w:rPr>
            <w:fldChar w:fldCharType="end"/>
          </w:r>
        </w:p>
        <w:p w14:paraId="5E59381A">
          <w:pPr>
            <w:pStyle w:val="40"/>
            <w:tabs>
              <w:tab w:val="right" w:leader="dot" w:pos="8787"/>
            </w:tabs>
            <w:spacing w:line="360" w:lineRule="auto"/>
            <w:rPr>
              <w:sz w:val="24"/>
              <w:szCs w:val="24"/>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sz w:val="24"/>
              <w:szCs w:val="24"/>
              <w:highlight w:val="none"/>
            </w:rPr>
            <w:instrText xml:space="preserve"> HYPERLINK \l _Toc27766 </w:instrText>
          </w:r>
          <w:r>
            <w:rPr>
              <w:rFonts w:cs="宋体" w:asciiTheme="minorEastAsia" w:hAnsiTheme="minorEastAsia" w:eastAsiaTheme="minorEastAsia"/>
              <w:sz w:val="24"/>
              <w:szCs w:val="24"/>
              <w:highlight w:val="none"/>
            </w:rPr>
            <w:fldChar w:fldCharType="separate"/>
          </w:r>
          <w:r>
            <w:rPr>
              <w:rFonts w:hint="eastAsia" w:ascii="宋体" w:hAnsi="宋体" w:eastAsia="宋体" w:cs="宋体"/>
              <w:sz w:val="24"/>
              <w:szCs w:val="24"/>
              <w14:textOutline w14:w="6540" w14:cap="sq" w14:cmpd="sng" w14:algn="ctr">
                <w14:solidFill>
                  <w14:srgbClr w14:val="000000"/>
                </w14:solidFill>
                <w14:prstDash w14:val="solid"/>
                <w14:bevel/>
              </w14:textOutline>
            </w:rPr>
            <w:t xml:space="preserve">第五部分 </w:t>
          </w:r>
          <w:r>
            <w:rPr>
              <w:rFonts w:hint="eastAsia" w:ascii="宋体" w:hAnsi="宋体" w:eastAsia="宋体" w:cs="宋体"/>
              <w:sz w:val="24"/>
              <w:szCs w:val="24"/>
              <w:lang w:val="en-US" w:eastAsia="zh-CN"/>
              <w14:textOutline w14:w="6540" w14:cap="sq" w14:cmpd="sng" w14:algn="ctr">
                <w14:solidFill>
                  <w14:srgbClr w14:val="000000"/>
                </w14:solidFill>
                <w14:prstDash w14:val="solid"/>
                <w14:bevel/>
              </w14:textOutline>
            </w:rPr>
            <w:t xml:space="preserve"> </w:t>
          </w:r>
          <w:r>
            <w:rPr>
              <w:rFonts w:ascii="宋体" w:hAnsi="宋体" w:eastAsia="宋体" w:cs="宋体"/>
              <w:sz w:val="24"/>
              <w:szCs w:val="24"/>
              <w:highlight w:val="none"/>
              <w14:textOutline w14:w="6540" w14:cap="sq" w14:cmpd="sng" w14:algn="ctr">
                <w14:solidFill>
                  <w14:srgbClr w14:val="000000"/>
                </w14:solidFill>
                <w14:prstDash w14:val="solid"/>
                <w14:bevel/>
              </w14:textOutline>
            </w:rPr>
            <w:t>政府采购合同</w:t>
          </w:r>
          <w:r>
            <w:rPr>
              <w:sz w:val="24"/>
              <w:szCs w:val="24"/>
            </w:rPr>
            <w:tab/>
          </w:r>
          <w:r>
            <w:rPr>
              <w:sz w:val="24"/>
              <w:szCs w:val="24"/>
            </w:rPr>
            <w:fldChar w:fldCharType="begin"/>
          </w:r>
          <w:r>
            <w:rPr>
              <w:sz w:val="24"/>
              <w:szCs w:val="24"/>
            </w:rPr>
            <w:instrText xml:space="preserve"> PAGEREF _Toc27766 \h </w:instrText>
          </w:r>
          <w:r>
            <w:rPr>
              <w:sz w:val="24"/>
              <w:szCs w:val="24"/>
            </w:rPr>
            <w:fldChar w:fldCharType="separate"/>
          </w:r>
          <w:r>
            <w:rPr>
              <w:sz w:val="24"/>
              <w:szCs w:val="24"/>
            </w:rPr>
            <w:t>39</w:t>
          </w:r>
          <w:r>
            <w:rPr>
              <w:sz w:val="24"/>
              <w:szCs w:val="24"/>
            </w:rPr>
            <w:fldChar w:fldCharType="end"/>
          </w:r>
          <w:r>
            <w:rPr>
              <w:rFonts w:cs="宋体" w:asciiTheme="minorEastAsia" w:hAnsiTheme="minorEastAsia" w:eastAsiaTheme="minorEastAsia"/>
              <w:color w:val="auto"/>
              <w:sz w:val="24"/>
              <w:szCs w:val="24"/>
              <w:highlight w:val="none"/>
            </w:rPr>
            <w:fldChar w:fldCharType="end"/>
          </w:r>
        </w:p>
        <w:p w14:paraId="74FA14D5">
          <w:pPr>
            <w:pStyle w:val="40"/>
            <w:tabs>
              <w:tab w:val="right" w:leader="dot" w:pos="8787"/>
            </w:tabs>
            <w:spacing w:line="360" w:lineRule="auto"/>
            <w:rPr>
              <w:sz w:val="24"/>
              <w:szCs w:val="24"/>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sz w:val="24"/>
              <w:szCs w:val="24"/>
              <w:highlight w:val="none"/>
            </w:rPr>
            <w:instrText xml:space="preserve"> HYPERLINK \l _Toc4785 </w:instrText>
          </w:r>
          <w:r>
            <w:rPr>
              <w:rFonts w:cs="宋体" w:asciiTheme="minorEastAsia" w:hAnsiTheme="minorEastAsia" w:eastAsiaTheme="minorEastAsia"/>
              <w:sz w:val="24"/>
              <w:szCs w:val="24"/>
              <w:highlight w:val="none"/>
            </w:rPr>
            <w:fldChar w:fldCharType="separate"/>
          </w:r>
          <w:r>
            <w:rPr>
              <w:rFonts w:ascii="宋体" w:hAnsi="宋体" w:eastAsia="宋体" w:cs="宋体"/>
              <w:sz w:val="24"/>
              <w:szCs w:val="24"/>
              <w:highlight w:val="none"/>
              <w14:textOutline w14:w="6540" w14:cap="sq" w14:cmpd="sng" w14:algn="ctr">
                <w14:solidFill>
                  <w14:srgbClr w14:val="000000"/>
                </w14:solidFill>
                <w14:prstDash w14:val="solid"/>
                <w14:bevel/>
              </w14:textOutline>
            </w:rPr>
            <w:t>第六部分</w:t>
          </w:r>
          <w:r>
            <w:rPr>
              <w:rFonts w:hint="eastAsia" w:ascii="宋体" w:hAnsi="宋体" w:eastAsia="宋体" w:cs="宋体"/>
              <w:sz w:val="24"/>
              <w:szCs w:val="24"/>
              <w:highlight w:val="none"/>
              <w14:textOutline w14:w="6540" w14:cap="sq" w14:cmpd="sng" w14:algn="ctr">
                <w14:solidFill>
                  <w14:srgbClr w14:val="000000"/>
                </w14:solidFill>
                <w14:prstDash w14:val="solid"/>
                <w14:bevel/>
              </w14:textOutline>
            </w:rPr>
            <w:t xml:space="preserve">  </w:t>
          </w:r>
          <w:r>
            <w:rPr>
              <w:rFonts w:ascii="宋体" w:hAnsi="宋体" w:eastAsia="宋体" w:cs="宋体"/>
              <w:sz w:val="24"/>
              <w:szCs w:val="24"/>
              <w:highlight w:val="none"/>
              <w14:textOutline w14:w="6540" w14:cap="sq" w14:cmpd="sng" w14:algn="ctr">
                <w14:solidFill>
                  <w14:srgbClr w14:val="000000"/>
                </w14:solidFill>
                <w14:prstDash w14:val="solid"/>
                <w14:bevel/>
              </w14:textOutline>
            </w:rPr>
            <w:t>投标文件格式</w:t>
          </w:r>
          <w:r>
            <w:rPr>
              <w:sz w:val="24"/>
              <w:szCs w:val="24"/>
            </w:rPr>
            <w:tab/>
          </w:r>
          <w:r>
            <w:rPr>
              <w:sz w:val="24"/>
              <w:szCs w:val="24"/>
            </w:rPr>
            <w:fldChar w:fldCharType="begin"/>
          </w:r>
          <w:r>
            <w:rPr>
              <w:sz w:val="24"/>
              <w:szCs w:val="24"/>
            </w:rPr>
            <w:instrText xml:space="preserve"> PAGEREF _Toc4785 \h </w:instrText>
          </w:r>
          <w:r>
            <w:rPr>
              <w:sz w:val="24"/>
              <w:szCs w:val="24"/>
            </w:rPr>
            <w:fldChar w:fldCharType="separate"/>
          </w:r>
          <w:r>
            <w:rPr>
              <w:sz w:val="24"/>
              <w:szCs w:val="24"/>
            </w:rPr>
            <w:t>50</w:t>
          </w:r>
          <w:r>
            <w:rPr>
              <w:sz w:val="24"/>
              <w:szCs w:val="24"/>
            </w:rPr>
            <w:fldChar w:fldCharType="end"/>
          </w:r>
          <w:r>
            <w:rPr>
              <w:rFonts w:cs="宋体" w:asciiTheme="minorEastAsia" w:hAnsiTheme="minorEastAsia" w:eastAsiaTheme="minorEastAsia"/>
              <w:color w:val="auto"/>
              <w:sz w:val="24"/>
              <w:szCs w:val="24"/>
              <w:highlight w:val="none"/>
            </w:rPr>
            <w:fldChar w:fldCharType="end"/>
          </w:r>
        </w:p>
        <w:p w14:paraId="30700CD5">
          <w:pPr>
            <w:widowControl w:val="0"/>
            <w:kinsoku/>
            <w:topLinePunct/>
            <w:autoSpaceDE/>
            <w:autoSpaceDN/>
            <w:spacing w:line="420" w:lineRule="auto"/>
            <w:ind w:firstLine="420" w:firstLineChars="200"/>
            <w:jc w:val="both"/>
            <w:outlineLvl w:val="9"/>
            <w:rPr>
              <w:rFonts w:cs="宋体" w:asciiTheme="minorEastAsia" w:hAnsiTheme="minorEastAsia" w:eastAsiaTheme="minorEastAsia"/>
              <w:snapToGrid w:val="0"/>
              <w:color w:val="auto"/>
              <w:sz w:val="21"/>
              <w:szCs w:val="21"/>
              <w:highlight w:val="none"/>
              <w:lang w:val="en-US" w:eastAsia="zh-CN" w:bidi="ar-SA"/>
            </w:rPr>
          </w:pPr>
          <w:r>
            <w:rPr>
              <w:rFonts w:cs="宋体" w:asciiTheme="minorEastAsia" w:hAnsiTheme="minorEastAsia" w:eastAsiaTheme="minorEastAsia"/>
              <w:color w:val="auto"/>
              <w:highlight w:val="none"/>
            </w:rPr>
            <w:fldChar w:fldCharType="end"/>
          </w:r>
        </w:p>
      </w:sdtContent>
    </w:sdt>
    <w:p w14:paraId="30EC33D2">
      <w:pPr>
        <w:widowControl w:val="0"/>
        <w:kinsoku/>
        <w:topLinePunct/>
        <w:autoSpaceDE/>
        <w:autoSpaceDN/>
        <w:spacing w:line="420" w:lineRule="auto"/>
        <w:ind w:firstLine="420" w:firstLineChars="200"/>
        <w:jc w:val="both"/>
        <w:outlineLvl w:val="9"/>
        <w:rPr>
          <w:rFonts w:cs="宋体" w:asciiTheme="minorEastAsia" w:hAnsiTheme="minorEastAsia" w:eastAsiaTheme="minorEastAsia"/>
          <w:snapToGrid w:val="0"/>
          <w:color w:val="auto"/>
          <w:sz w:val="21"/>
          <w:szCs w:val="21"/>
          <w:highlight w:val="none"/>
          <w:lang w:val="en-US" w:eastAsia="zh-CN" w:bidi="ar-SA"/>
        </w:rPr>
        <w:sectPr>
          <w:headerReference r:id="rId3" w:type="default"/>
          <w:footerReference r:id="rId4" w:type="default"/>
          <w:pgSz w:w="11906" w:h="16839"/>
          <w:pgMar w:top="1247" w:right="1588" w:bottom="1247" w:left="1531" w:header="851" w:footer="851" w:gutter="0"/>
          <w:pgNumType w:start="1"/>
          <w:cols w:space="0" w:num="1"/>
        </w:sectPr>
      </w:pPr>
    </w:p>
    <w:p w14:paraId="15AF40B8">
      <w:pPr>
        <w:widowControl w:val="0"/>
        <w:kinsoku/>
        <w:topLinePunct/>
        <w:autoSpaceDE/>
        <w:autoSpaceDN/>
        <w:spacing w:line="480" w:lineRule="auto"/>
        <w:jc w:val="center"/>
        <w:outlineLvl w:val="0"/>
        <w:rPr>
          <w:rFonts w:ascii="宋体" w:hAnsi="宋体" w:eastAsia="宋体" w:cs="宋体"/>
          <w:color w:val="auto"/>
          <w:sz w:val="28"/>
          <w:szCs w:val="28"/>
          <w:highlight w:val="none"/>
        </w:rPr>
      </w:pPr>
      <w:bookmarkStart w:id="6" w:name="_Toc132755227"/>
      <w:bookmarkStart w:id="7" w:name="_Toc5560"/>
      <w:bookmarkStart w:id="8" w:name="_Toc16505"/>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第一部分</w:t>
      </w:r>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 xml:space="preserve">  </w:t>
      </w:r>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招标公告</w:t>
      </w:r>
      <w:bookmarkEnd w:id="6"/>
      <w:bookmarkEnd w:id="7"/>
      <w:bookmarkEnd w:id="8"/>
    </w:p>
    <w:p w14:paraId="09818196">
      <w:pPr>
        <w:widowControl w:val="0"/>
        <w:kinsoku/>
        <w:topLinePunct/>
        <w:autoSpaceDE/>
        <w:autoSpaceDN/>
        <w:spacing w:line="300" w:lineRule="auto"/>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14:textOutline w14:w="5448" w14:cap="sq" w14:cmpd="sng" w14:algn="ctr">
            <w14:solidFill>
              <w14:srgbClr w14:val="000000"/>
            </w14:solidFill>
            <w14:prstDash w14:val="solid"/>
            <w14:bevel/>
          </w14:textOutline>
        </w:rPr>
        <w:t>2024年和田市城市道路及人行道和公园等公共基础设施零星修补项目</w:t>
      </w:r>
    </w:p>
    <w:p w14:paraId="05813B75">
      <w:pPr>
        <w:widowControl w:val="0"/>
        <w:kinsoku/>
        <w:topLinePunct/>
        <w:autoSpaceDE/>
        <w:autoSpaceDN/>
        <w:spacing w:line="360" w:lineRule="auto"/>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14:textOutline w14:w="5448" w14:cap="sq" w14:cmpd="sng" w14:algn="ctr">
            <w14:solidFill>
              <w14:srgbClr w14:val="000000"/>
            </w14:solidFill>
            <w14:prstDash w14:val="solid"/>
            <w14:bevel/>
          </w14:textOutline>
        </w:rPr>
        <w:t>公开招标公告</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901"/>
      </w:tblGrid>
      <w:tr w14:paraId="2538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8" w:hRule="atLeast"/>
        </w:trPr>
        <w:tc>
          <w:tcPr>
            <w:tcW w:w="5000" w:type="pct"/>
            <w:shd w:val="clear" w:color="auto" w:fill="auto"/>
            <w:vAlign w:val="center"/>
          </w:tcPr>
          <w:p w14:paraId="0383366C">
            <w:pPr>
              <w:widowControl w:val="0"/>
              <w:kinsoku/>
              <w:topLinePunct/>
              <w:autoSpaceDE/>
              <w:autoSpaceDN/>
              <w:spacing w:line="360" w:lineRule="auto"/>
              <w:jc w:val="both"/>
              <w:rPr>
                <w:rFonts w:asciiTheme="minorEastAsia" w:hAnsiTheme="minorEastAsia" w:eastAsiaTheme="minorEastAsia" w:cstheme="minorEastAsia"/>
                <w:color w:val="auto"/>
                <w:highlight w:val="none"/>
              </w:rPr>
            </w:pPr>
            <w:bookmarkStart w:id="9" w:name="_Toc28359003"/>
            <w:bookmarkStart w:id="10" w:name="_Toc31185"/>
            <w:bookmarkStart w:id="11" w:name="_Toc35393791"/>
            <w:bookmarkStart w:id="12" w:name="_Toc17129"/>
            <w:bookmarkStart w:id="13" w:name="_Toc35393622"/>
            <w:bookmarkStart w:id="14" w:name="_Toc28359080"/>
            <w:bookmarkStart w:id="15" w:name="_Toc31021"/>
            <w:bookmarkStart w:id="16" w:name="_Toc8181"/>
            <w:bookmarkStart w:id="17" w:name="_Toc14454"/>
            <w:bookmarkStart w:id="18" w:name="_Toc17685"/>
            <w:r>
              <w:rPr>
                <w:rFonts w:hint="eastAsia" w:asciiTheme="minorEastAsia" w:hAnsiTheme="minorEastAsia" w:eastAsiaTheme="minorEastAsia" w:cstheme="minorEastAsia"/>
                <w:color w:val="auto"/>
                <w:highlight w:val="none"/>
              </w:rPr>
              <w:t>项目概况：</w:t>
            </w:r>
          </w:p>
          <w:p w14:paraId="1E95C2CB">
            <w:pPr>
              <w:widowControl w:val="0"/>
              <w:kinsoku/>
              <w:topLinePunct/>
              <w:autoSpaceDE/>
              <w:autoSpaceDN/>
              <w:spacing w:line="360" w:lineRule="auto"/>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lang w:eastAsia="zh-CN"/>
              </w:rPr>
              <w:t>2024年和田市城市道路及人行道和公园等公共基础设施零星修补项目</w:t>
            </w:r>
            <w:r>
              <w:rPr>
                <w:rFonts w:hint="eastAsia" w:asciiTheme="minorEastAsia" w:hAnsiTheme="minorEastAsia" w:eastAsiaTheme="minorEastAsia" w:cstheme="minorEastAsia"/>
                <w:color w:val="auto"/>
                <w:highlight w:val="none"/>
              </w:rPr>
              <w:t>招标采购项目的潜在供应商应登陆政采云平台（https://www.zcygov.cn）在线申请获取采购文件（进入“项目采购”应用，在“获取采购文件”菜单中选择项目，申请获取采购文件），并于</w:t>
            </w:r>
            <w:r>
              <w:rPr>
                <w:rFonts w:hint="eastAsia" w:asciiTheme="minorEastAsia" w:hAnsiTheme="minorEastAsia" w:eastAsiaTheme="minorEastAsia" w:cstheme="minorEastAsia"/>
                <w:color w:val="auto"/>
                <w:highlight w:val="none"/>
                <w:u w:val="single"/>
                <w:lang w:eastAsia="zh-CN"/>
              </w:rPr>
              <w:t>2024年11月</w:t>
            </w:r>
            <w:r>
              <w:rPr>
                <w:rFonts w:hint="eastAsia" w:asciiTheme="minorEastAsia" w:hAnsiTheme="minorEastAsia" w:eastAsiaTheme="minorEastAsia" w:cstheme="minorEastAsia"/>
                <w:color w:val="auto"/>
                <w:highlight w:val="none"/>
                <w:u w:val="single"/>
                <w:lang w:val="en-US" w:eastAsia="zh-CN"/>
              </w:rPr>
              <w:t>14</w:t>
            </w:r>
            <w:r>
              <w:rPr>
                <w:rFonts w:hint="eastAsia" w:asciiTheme="minorEastAsia" w:hAnsiTheme="minorEastAsia" w:eastAsiaTheme="minorEastAsia" w:cstheme="minorEastAsia"/>
                <w:color w:val="auto"/>
                <w:highlight w:val="none"/>
                <w:u w:val="single"/>
                <w:lang w:eastAsia="zh-CN"/>
              </w:rPr>
              <w:t>日</w:t>
            </w:r>
            <w:r>
              <w:rPr>
                <w:rFonts w:hint="eastAsia" w:asciiTheme="minorEastAsia" w:hAnsiTheme="minorEastAsia" w:eastAsiaTheme="minorEastAsia" w:cstheme="minorEastAsia"/>
                <w:color w:val="auto"/>
                <w:highlight w:val="none"/>
                <w:u w:val="single"/>
              </w:rPr>
              <w:t>11:00（北京时间）</w:t>
            </w:r>
            <w:r>
              <w:rPr>
                <w:rFonts w:hint="eastAsia" w:asciiTheme="minorEastAsia" w:hAnsiTheme="minorEastAsia" w:eastAsiaTheme="minorEastAsia" w:cstheme="minorEastAsia"/>
                <w:color w:val="auto"/>
                <w:highlight w:val="none"/>
              </w:rPr>
              <w:t>前递交投标文件。</w:t>
            </w:r>
            <w:bookmarkEnd w:id="9"/>
            <w:bookmarkEnd w:id="10"/>
            <w:bookmarkEnd w:id="11"/>
            <w:bookmarkEnd w:id="12"/>
            <w:bookmarkEnd w:id="13"/>
            <w:bookmarkEnd w:id="14"/>
            <w:bookmarkEnd w:id="15"/>
            <w:bookmarkEnd w:id="16"/>
            <w:bookmarkEnd w:id="17"/>
            <w:bookmarkEnd w:id="18"/>
          </w:p>
        </w:tc>
      </w:tr>
    </w:tbl>
    <w:p w14:paraId="457F55BE">
      <w:pPr>
        <w:widowControl w:val="0"/>
        <w:kinsoku/>
        <w:topLinePunct/>
        <w:autoSpaceDE/>
        <w:autoSpaceDN/>
        <w:rPr>
          <w:rFonts w:ascii="宋体" w:hAnsi="宋体" w:eastAsia="宋体" w:cs="宋体"/>
          <w:color w:val="auto"/>
          <w:highlight w:val="none"/>
        </w:rPr>
      </w:pPr>
    </w:p>
    <w:p w14:paraId="202C3120">
      <w:pPr>
        <w:widowControl w:val="0"/>
        <w:kinsoku/>
        <w:topLinePunct/>
        <w:autoSpaceDE/>
        <w:autoSpaceDN/>
        <w:spacing w:line="420" w:lineRule="auto"/>
        <w:ind w:firstLine="422" w:firstLineChars="200"/>
        <w:jc w:val="both"/>
        <w:rPr>
          <w:rFonts w:ascii="宋体" w:hAnsi="宋体" w:eastAsia="宋体" w:cs="宋体"/>
          <w:b/>
          <w:color w:val="auto"/>
          <w:highlight w:val="none"/>
        </w:rPr>
      </w:pPr>
      <w:r>
        <w:rPr>
          <w:rFonts w:hint="eastAsia" w:ascii="宋体" w:hAnsi="宋体" w:eastAsia="宋体" w:cs="宋体"/>
          <w:b/>
          <w:color w:val="auto"/>
          <w:highlight w:val="none"/>
        </w:rPr>
        <w:t>一、项目基本情况</w:t>
      </w:r>
    </w:p>
    <w:p w14:paraId="49F583F8">
      <w:pPr>
        <w:widowControl w:val="0"/>
        <w:kinsoku/>
        <w:topLinePunct/>
        <w:autoSpaceDE/>
        <w:autoSpaceDN/>
        <w:spacing w:line="42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项目编号</w:t>
      </w:r>
      <w:r>
        <w:rPr>
          <w:rFonts w:hint="eastAsia" w:ascii="宋体" w:hAnsi="宋体" w:eastAsia="宋体" w:cs="宋体"/>
          <w:color w:val="auto"/>
          <w:highlight w:val="none"/>
        </w:rPr>
        <w:t>：</w:t>
      </w:r>
      <w:r>
        <w:rPr>
          <w:rFonts w:hint="eastAsia" w:ascii="宋体" w:hAnsi="宋体" w:eastAsia="宋体" w:cs="宋体"/>
          <w:color w:val="auto"/>
          <w:highlight w:val="none"/>
          <w:u w:val="single"/>
          <w:lang w:eastAsia="zh-CN"/>
        </w:rPr>
        <w:t>HTSZFCGZBDL-2024-070</w:t>
      </w:r>
    </w:p>
    <w:p w14:paraId="1F902B61">
      <w:pPr>
        <w:widowControl w:val="0"/>
        <w:kinsoku/>
        <w:topLinePunct/>
        <w:autoSpaceDE/>
        <w:autoSpaceDN/>
        <w:spacing w:line="42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ascii="宋体" w:hAnsi="宋体" w:eastAsia="宋体" w:cs="宋体"/>
          <w:color w:val="auto"/>
          <w:highlight w:val="none"/>
        </w:rPr>
        <w:t>.</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2024年和田市城市道路及人行道和公园等公共基础设施零星修补项目</w:t>
      </w:r>
    </w:p>
    <w:p w14:paraId="140D4B3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w:t>
      </w:r>
      <w:r>
        <w:rPr>
          <w:rFonts w:hint="eastAsia" w:ascii="宋体" w:hAnsi="宋体" w:eastAsia="宋体" w:cs="宋体"/>
          <w:color w:val="auto"/>
          <w:highlight w:val="none"/>
        </w:rPr>
        <w:t>采购方式：公开招标</w:t>
      </w:r>
    </w:p>
    <w:p w14:paraId="68A3130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w:t>
      </w:r>
      <w:r>
        <w:rPr>
          <w:rFonts w:ascii="宋体" w:hAnsi="宋体" w:eastAsia="宋体" w:cs="宋体"/>
          <w:color w:val="auto"/>
          <w:highlight w:val="none"/>
        </w:rPr>
        <w:t>.</w:t>
      </w:r>
      <w:r>
        <w:rPr>
          <w:rFonts w:hint="eastAsia" w:ascii="宋体" w:hAnsi="宋体" w:eastAsia="宋体" w:cs="宋体"/>
          <w:color w:val="auto"/>
          <w:highlight w:val="none"/>
        </w:rPr>
        <w:t>预算金额：</w:t>
      </w:r>
      <w:r>
        <w:rPr>
          <w:rFonts w:hint="eastAsia" w:ascii="宋体" w:hAnsi="宋体" w:eastAsia="宋体" w:cs="宋体"/>
          <w:color w:val="auto"/>
          <w:highlight w:val="none"/>
          <w:lang w:val="en-US" w:eastAsia="zh-CN"/>
        </w:rPr>
        <w:t>15000000</w:t>
      </w:r>
      <w:r>
        <w:rPr>
          <w:rFonts w:hint="eastAsia" w:ascii="宋体" w:hAnsi="宋体" w:eastAsia="宋体" w:cs="宋体"/>
          <w:color w:val="auto"/>
          <w:highlight w:val="none"/>
        </w:rPr>
        <w:t>元</w:t>
      </w:r>
    </w:p>
    <w:p w14:paraId="60BA245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w:t>
      </w:r>
      <w:r>
        <w:rPr>
          <w:rFonts w:ascii="宋体" w:hAnsi="宋体" w:eastAsia="宋体" w:cs="宋体"/>
          <w:color w:val="auto"/>
          <w:highlight w:val="none"/>
        </w:rPr>
        <w:t>.</w:t>
      </w:r>
      <w:r>
        <w:rPr>
          <w:rFonts w:hint="eastAsia" w:ascii="宋体" w:hAnsi="宋体" w:eastAsia="宋体" w:cs="宋体"/>
          <w:color w:val="auto"/>
          <w:highlight w:val="none"/>
        </w:rPr>
        <w:t>招标内容及要求</w:t>
      </w:r>
    </w:p>
    <w:tbl>
      <w:tblPr>
        <w:tblStyle w:val="20"/>
        <w:tblW w:w="490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57" w:type="dxa"/>
          <w:bottom w:w="0" w:type="dxa"/>
          <w:right w:w="57" w:type="dxa"/>
        </w:tblCellMar>
      </w:tblPr>
      <w:tblGrid>
        <w:gridCol w:w="615"/>
        <w:gridCol w:w="2137"/>
        <w:gridCol w:w="789"/>
        <w:gridCol w:w="3831"/>
        <w:gridCol w:w="1367"/>
      </w:tblGrid>
      <w:tr w14:paraId="069AF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680" w:hRule="atLeast"/>
        </w:trPr>
        <w:tc>
          <w:tcPr>
            <w:tcW w:w="352" w:type="pct"/>
            <w:vAlign w:val="center"/>
          </w:tcPr>
          <w:p w14:paraId="7DD1E3AA">
            <w:pPr>
              <w:widowControl w:val="0"/>
              <w:kinsoku/>
              <w:topLinePunct/>
              <w:autoSpaceDE/>
              <w:autoSpaceDN/>
              <w:jc w:val="center"/>
              <w:rPr>
                <w:rFonts w:ascii="宋体" w:hAnsi="宋体" w:eastAsia="宋体" w:cs="宋体"/>
                <w:color w:val="auto"/>
                <w:sz w:val="18"/>
                <w:szCs w:val="18"/>
                <w:highlight w:val="none"/>
              </w:rPr>
            </w:pPr>
          </w:p>
        </w:tc>
        <w:tc>
          <w:tcPr>
            <w:tcW w:w="1222" w:type="pct"/>
            <w:vAlign w:val="center"/>
          </w:tcPr>
          <w:p w14:paraId="54E91441">
            <w:pPr>
              <w:widowControl w:val="0"/>
              <w:kinsoku/>
              <w:topLinePunct/>
              <w:autoSpaceDE/>
              <w:autoSpaceDN/>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标项名称</w:t>
            </w:r>
          </w:p>
        </w:tc>
        <w:tc>
          <w:tcPr>
            <w:tcW w:w="451" w:type="pct"/>
            <w:vAlign w:val="center"/>
          </w:tcPr>
          <w:p w14:paraId="75D97162">
            <w:pPr>
              <w:widowControl w:val="0"/>
              <w:kinsoku/>
              <w:topLinePunct/>
              <w:autoSpaceDE/>
              <w:autoSpaceDN/>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2191" w:type="pct"/>
            <w:vAlign w:val="center"/>
          </w:tcPr>
          <w:p w14:paraId="677D3F7B">
            <w:pPr>
              <w:widowControl w:val="0"/>
              <w:kinsoku/>
              <w:topLinePunct/>
              <w:autoSpaceDE/>
              <w:autoSpaceDN/>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简要规格描述</w:t>
            </w:r>
          </w:p>
        </w:tc>
        <w:tc>
          <w:tcPr>
            <w:tcW w:w="782" w:type="pct"/>
            <w:vAlign w:val="center"/>
          </w:tcPr>
          <w:p w14:paraId="6172EF89">
            <w:pPr>
              <w:widowControl w:val="0"/>
              <w:kinsoku/>
              <w:topLinePunct/>
              <w:autoSpaceDE/>
              <w:autoSpaceDN/>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4CFDA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701" w:hRule="atLeast"/>
        </w:trPr>
        <w:tc>
          <w:tcPr>
            <w:tcW w:w="352" w:type="pct"/>
            <w:vAlign w:val="center"/>
          </w:tcPr>
          <w:p w14:paraId="05023C11">
            <w:pPr>
              <w:widowControl w:val="0"/>
              <w:kinsoku/>
              <w:topLinePunct/>
              <w:autoSpaceDE/>
              <w:autoSpaceDN/>
              <w:spacing w:line="300"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222" w:type="pct"/>
            <w:vAlign w:val="center"/>
          </w:tcPr>
          <w:p w14:paraId="761628FC">
            <w:pPr>
              <w:widowControl w:val="0"/>
              <w:kinsoku/>
              <w:topLinePunct/>
              <w:autoSpaceDE/>
              <w:autoSpaceDN/>
              <w:spacing w:line="30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2024年和田市城市道路及人行道和公园等公共基础设施零星修补项目</w:t>
            </w:r>
          </w:p>
        </w:tc>
        <w:tc>
          <w:tcPr>
            <w:tcW w:w="451" w:type="pct"/>
            <w:vAlign w:val="center"/>
          </w:tcPr>
          <w:p w14:paraId="60B10598">
            <w:pPr>
              <w:widowControl w:val="0"/>
              <w:kinsoku/>
              <w:topLinePunct/>
              <w:autoSpaceDE/>
              <w:autoSpaceDN/>
              <w:spacing w:line="300"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191" w:type="pct"/>
            <w:vAlign w:val="center"/>
          </w:tcPr>
          <w:p w14:paraId="60F2725D">
            <w:pPr>
              <w:widowControl w:val="0"/>
              <w:kinsoku/>
              <w:topLinePunct/>
              <w:autoSpaceDE/>
              <w:autoSpaceDN/>
              <w:spacing w:line="30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对和田市城市道路及人行道和公园等公共基础设施零星修补。</w:t>
            </w:r>
          </w:p>
        </w:tc>
        <w:tc>
          <w:tcPr>
            <w:tcW w:w="782" w:type="pct"/>
            <w:vAlign w:val="center"/>
          </w:tcPr>
          <w:p w14:paraId="602AED5A">
            <w:pPr>
              <w:widowControl w:val="0"/>
              <w:kinsoku/>
              <w:topLinePunct/>
              <w:autoSpaceDE/>
              <w:autoSpaceDN/>
              <w:spacing w:line="300"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具体</w:t>
            </w:r>
            <w:r>
              <w:rPr>
                <w:rFonts w:hint="eastAsia" w:ascii="宋体" w:hAnsi="宋体" w:eastAsia="宋体" w:cs="宋体"/>
                <w:color w:val="auto"/>
                <w:sz w:val="18"/>
                <w:szCs w:val="18"/>
                <w:highlight w:val="none"/>
                <w:lang w:val="en-US" w:eastAsia="zh-CN"/>
              </w:rPr>
              <w:t>要求</w:t>
            </w:r>
            <w:r>
              <w:rPr>
                <w:rFonts w:hint="eastAsia" w:ascii="宋体" w:hAnsi="宋体" w:eastAsia="宋体" w:cs="宋体"/>
                <w:color w:val="auto"/>
                <w:sz w:val="18"/>
                <w:szCs w:val="18"/>
                <w:highlight w:val="none"/>
              </w:rPr>
              <w:t>详见招标文件</w:t>
            </w:r>
          </w:p>
        </w:tc>
      </w:tr>
    </w:tbl>
    <w:p w14:paraId="579FF0A9">
      <w:pPr>
        <w:widowControl w:val="0"/>
        <w:kinsoku/>
        <w:topLinePunct/>
        <w:autoSpaceDE/>
        <w:autoSpaceDN/>
        <w:rPr>
          <w:rFonts w:ascii="宋体" w:hAnsi="宋体" w:eastAsia="宋体" w:cs="宋体"/>
          <w:color w:val="auto"/>
          <w:highlight w:val="none"/>
        </w:rPr>
      </w:pPr>
    </w:p>
    <w:p w14:paraId="7FC06A7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6</w:t>
      </w:r>
      <w:r>
        <w:rPr>
          <w:rFonts w:ascii="宋体" w:hAnsi="宋体" w:eastAsia="宋体" w:cs="宋体"/>
          <w:color w:val="auto"/>
          <w:highlight w:val="none"/>
        </w:rPr>
        <w:t>.</w:t>
      </w:r>
      <w:r>
        <w:rPr>
          <w:rFonts w:hint="eastAsia" w:ascii="宋体" w:hAnsi="宋体" w:eastAsia="宋体" w:cs="宋体"/>
          <w:color w:val="auto"/>
          <w:highlight w:val="none"/>
        </w:rPr>
        <w:t>合同履行期限：一年（以签订合同时间为准）。</w:t>
      </w:r>
    </w:p>
    <w:p w14:paraId="60618B35">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7.本项目（是/否）接受联合体投标：否</w:t>
      </w:r>
    </w:p>
    <w:p w14:paraId="1B8A5535">
      <w:pPr>
        <w:widowControl w:val="0"/>
        <w:kinsoku/>
        <w:topLinePunct/>
        <w:autoSpaceDE/>
        <w:autoSpaceDN/>
        <w:spacing w:line="420" w:lineRule="auto"/>
        <w:ind w:firstLine="422" w:firstLineChars="200"/>
        <w:jc w:val="both"/>
        <w:rPr>
          <w:rFonts w:ascii="宋体" w:hAnsi="宋体" w:eastAsia="宋体" w:cs="宋体"/>
          <w:b/>
          <w:color w:val="auto"/>
          <w:highlight w:val="none"/>
        </w:rPr>
      </w:pPr>
      <w:r>
        <w:rPr>
          <w:rFonts w:hint="eastAsia" w:ascii="宋体" w:hAnsi="宋体" w:eastAsia="宋体" w:cs="宋体"/>
          <w:b/>
          <w:color w:val="auto"/>
          <w:highlight w:val="none"/>
        </w:rPr>
        <w:t>二、申请人的资格要求</w:t>
      </w:r>
    </w:p>
    <w:p w14:paraId="28EBBA03">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1.满足《中华人民共和国政府采购法》第二十二条规定；</w:t>
      </w:r>
    </w:p>
    <w:p w14:paraId="1DC713A6">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（1）投标人具有独立法人资格，具备有效的企业法人营业执照（副本）。</w:t>
      </w:r>
    </w:p>
    <w:p w14:paraId="02B8F048">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（2）法定代表人投标需携带法定代表人证明书及法定代表人身份证，委托代理人投标需携带法定代表人证明书、法定代表人授权委托书及委托代理人身份证。</w:t>
      </w:r>
    </w:p>
    <w:p w14:paraId="7B5586C9">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（3）投标人具有良好的商业信誉和健全的财务会计制度，须提供2023年度经第三方审计机构出具的财务审计报告（新成立的公司可不提供但需提供银行出具的近3个月的资信证明），和健全的财务会计制度。</w:t>
      </w:r>
    </w:p>
    <w:p w14:paraId="664F3EDA">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4）提供具有税务局开具依法缴纳近三个月的完税证明（完税证明或税务部门出具的其他证明，需含增值税、印花税等税种；非社会保险类。若为零申报企业，需提供无欠税证明或国家税务总局电子税务局“申报结果查询截图”）；新成立公司按实际发生提供税务机关出具的无欠税证明。</w:t>
      </w:r>
    </w:p>
    <w:p w14:paraId="035B3272">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（5）提供社保局出具的本单位缴纳的近三个月的单位社保缴纳证明（新成立的公司按实际发生提供）；</w:t>
      </w:r>
    </w:p>
    <w:p w14:paraId="1CFCA038">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6）凡拟参加本次招标项目的供应商，如在“信用中国”网站（www.creditchina.gov.cn）被列入失信被执行人、严重失信主体名单、重大税收违法失信主体；国家企业信用信息公示系统（http://www.gsxt.gov.cn）被列入严重违法失信名单（黑名单）；中国政府采购网（http://www.ccgp.gov.cn/search/cr/）被列入政府采购严重违法失信行为记录名单（尚在处罚期内的），将拒绝其参加本次采购活动（以开标现场代理机构或采购人查询为准）。</w:t>
      </w:r>
    </w:p>
    <w:p w14:paraId="4A7D2005">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（7）单位负责人为同一人或者存在直接控股、管理关系的不同供应商，不得参加同一合同项下的政府采购活动。（提供声明函）；</w:t>
      </w:r>
    </w:p>
    <w:p w14:paraId="34C3F229">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（8）参加政府采购活动前3年内在经营活动中没有重大违法记录的书面声明；</w:t>
      </w:r>
    </w:p>
    <w:p w14:paraId="308A18C9">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（9）提供投标保证转账凭证或保函/保单及基本户开户许可证或基本账户存款信息；</w:t>
      </w:r>
    </w:p>
    <w:p w14:paraId="008506F8">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2.落实政府采购政策需满足的资格要求：根据财政部、工业和信息化部关于印发《政府采购促进中小企业发展管理办法》的通知（财库〔2020〕46号）；根据财政部、工业和信息化部关于印发《关于进一步加大政府采购支持中小企业力度的通知》（财库〔2022〕19号）；超过200万元的货物和服务采购项目适宜由中小企业提供的，预留该部分采购项目预算总额的30%面向中小企业采购，其中预留给小微企业的比例为60%。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本项目中小企业划分标准为：其他未列明行业。从业人员300人以下的为中小微型企业。其中，从业人员100人及以上的为中型企业；从业人员10人及以上的为小型企业；从业人员10人以下的为微型企业。</w:t>
      </w:r>
    </w:p>
    <w:p w14:paraId="27BFEEDC">
      <w:pPr>
        <w:widowControl w:val="0"/>
        <w:kinsoku/>
        <w:topLinePunct/>
        <w:autoSpaceDE/>
        <w:autoSpaceDN/>
        <w:spacing w:line="420" w:lineRule="auto"/>
        <w:ind w:firstLine="420" w:firstLineChars="20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特定资格条件：具备行政主管部门颁发的市政公用工程施工总承包叁级及以上资质，具有有效的安全生产许可证。外省企业进疆从事建筑活动，应登录新疆工程建设云（http//jsy.xjjs.gov.cn/dataservice/index）注册报送企业基本信息和人员信息，其项目人员为信息报送册注册人员）；项目负责人须具备市政公用工程专业二级（含以上级）注册建造师执业资格、并具备有效的安全生产考核合格证书（B证），且不得担任其他在建工程项目的项目负责人（提供无在建承诺书）。</w:t>
      </w:r>
    </w:p>
    <w:p w14:paraId="54B8A20C">
      <w:pPr>
        <w:widowControl w:val="0"/>
        <w:kinsoku/>
        <w:topLinePunct/>
        <w:autoSpaceDE/>
        <w:autoSpaceDN/>
        <w:spacing w:line="420" w:lineRule="auto"/>
        <w:ind w:firstLine="422" w:firstLineChars="200"/>
        <w:jc w:val="both"/>
        <w:rPr>
          <w:rFonts w:ascii="宋体" w:hAnsi="宋体" w:eastAsia="宋体" w:cs="宋体"/>
          <w:b/>
          <w:color w:val="auto"/>
          <w:highlight w:val="none"/>
        </w:rPr>
      </w:pPr>
      <w:r>
        <w:rPr>
          <w:rFonts w:hint="eastAsia" w:ascii="宋体" w:hAnsi="宋体" w:eastAsia="宋体" w:cs="宋体"/>
          <w:b/>
          <w:color w:val="auto"/>
          <w:highlight w:val="none"/>
        </w:rPr>
        <w:t>三、获取招标文件</w:t>
      </w:r>
    </w:p>
    <w:p w14:paraId="4463AE9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lang w:eastAsia="zh-CN"/>
        </w:rPr>
        <w:t>日</w:t>
      </w:r>
      <w:r>
        <w:rPr>
          <w:rFonts w:hint="eastAsia" w:ascii="宋体" w:hAnsi="宋体" w:eastAsia="宋体" w:cs="宋体"/>
          <w:color w:val="auto"/>
          <w:highlight w:val="none"/>
        </w:rPr>
        <w:t>至</w:t>
      </w:r>
      <w:r>
        <w:rPr>
          <w:rFonts w:hint="eastAsia" w:ascii="宋体" w:hAnsi="宋体" w:eastAsia="宋体" w:cs="宋体"/>
          <w:color w:val="auto"/>
          <w:highlight w:val="none"/>
          <w:lang w:eastAsia="zh-CN"/>
        </w:rPr>
        <w:t>2024年11月</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lang w:eastAsia="zh-CN"/>
        </w:rPr>
        <w:t>日</w:t>
      </w:r>
      <w:r>
        <w:rPr>
          <w:rFonts w:hint="eastAsia" w:ascii="宋体" w:hAnsi="宋体" w:eastAsia="宋体" w:cs="宋体"/>
          <w:color w:val="auto"/>
          <w:highlight w:val="none"/>
        </w:rPr>
        <w:t>（线上获取法定节假日均可）</w:t>
      </w:r>
    </w:p>
    <w:p w14:paraId="56F200F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地点（网址）：政采云平台（https://www.zcygov.cn/）线上获取</w:t>
      </w:r>
    </w:p>
    <w:p w14:paraId="524ECCB6">
      <w:pPr>
        <w:widowControl w:val="0"/>
        <w:kinsoku/>
        <w:topLinePunct/>
        <w:autoSpaceDE/>
        <w:autoSpaceDN/>
        <w:spacing w:line="42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505A4A3">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售价：0.0元</w:t>
      </w:r>
    </w:p>
    <w:p w14:paraId="19C8E45B">
      <w:pPr>
        <w:widowControl w:val="0"/>
        <w:kinsoku/>
        <w:topLinePunct/>
        <w:autoSpaceDE/>
        <w:autoSpaceDN/>
        <w:spacing w:line="420" w:lineRule="auto"/>
        <w:ind w:firstLine="422" w:firstLineChars="200"/>
        <w:jc w:val="both"/>
        <w:rPr>
          <w:rFonts w:ascii="宋体" w:hAnsi="宋体" w:eastAsia="宋体" w:cs="宋体"/>
          <w:b/>
          <w:color w:val="auto"/>
          <w:highlight w:val="none"/>
        </w:rPr>
      </w:pPr>
      <w:r>
        <w:rPr>
          <w:rFonts w:hint="eastAsia" w:ascii="宋体" w:hAnsi="宋体" w:eastAsia="宋体" w:cs="宋体"/>
          <w:b/>
          <w:color w:val="auto"/>
          <w:highlight w:val="none"/>
        </w:rPr>
        <w:t>四、提交投标文件截止时间、开标时间和地点</w:t>
      </w:r>
    </w:p>
    <w:p w14:paraId="16DAE980">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提交（上传）投标文件截止时间：</w:t>
      </w:r>
      <w:r>
        <w:rPr>
          <w:rFonts w:hint="eastAsia" w:eastAsia="宋体" w:cs="宋体"/>
          <w:color w:val="auto"/>
          <w:sz w:val="21"/>
          <w:szCs w:val="21"/>
          <w:highlight w:val="none"/>
          <w:lang w:eastAsia="zh-CN"/>
        </w:rPr>
        <w:t>2024年11月</w:t>
      </w:r>
      <w:r>
        <w:rPr>
          <w:rFonts w:hint="eastAsia" w:eastAsia="宋体" w:cs="宋体"/>
          <w:color w:val="auto"/>
          <w:sz w:val="21"/>
          <w:szCs w:val="21"/>
          <w:highlight w:val="none"/>
          <w:lang w:val="en-US" w:eastAsia="zh-CN"/>
        </w:rPr>
        <w:t>14</w:t>
      </w:r>
      <w:r>
        <w:rPr>
          <w:rFonts w:hint="eastAsia" w:eastAsia="宋体" w:cs="宋体"/>
          <w:color w:val="auto"/>
          <w:sz w:val="21"/>
          <w:szCs w:val="21"/>
          <w:highlight w:val="none"/>
          <w:lang w:eastAsia="zh-CN"/>
        </w:rPr>
        <w:t>日</w:t>
      </w:r>
      <w:r>
        <w:rPr>
          <w:rFonts w:eastAsia="宋体" w:cs="宋体"/>
          <w:color w:val="auto"/>
          <w:sz w:val="21"/>
          <w:szCs w:val="21"/>
          <w:highlight w:val="none"/>
        </w:rPr>
        <w:t>11:00（北京时间）</w:t>
      </w:r>
    </w:p>
    <w:p w14:paraId="3F05EF3F">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投标地点：请登录政采云投标客户端投标</w:t>
      </w:r>
    </w:p>
    <w:p w14:paraId="4FBF0F03">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开标时间：</w:t>
      </w:r>
      <w:r>
        <w:rPr>
          <w:rFonts w:hint="eastAsia" w:eastAsia="宋体" w:cs="宋体"/>
          <w:color w:val="auto"/>
          <w:sz w:val="21"/>
          <w:szCs w:val="21"/>
          <w:highlight w:val="none"/>
          <w:lang w:eastAsia="zh-CN"/>
        </w:rPr>
        <w:t>2024年11月</w:t>
      </w:r>
      <w:r>
        <w:rPr>
          <w:rFonts w:hint="eastAsia" w:eastAsia="宋体" w:cs="宋体"/>
          <w:color w:val="auto"/>
          <w:sz w:val="21"/>
          <w:szCs w:val="21"/>
          <w:highlight w:val="none"/>
          <w:lang w:val="en-US" w:eastAsia="zh-CN"/>
        </w:rPr>
        <w:t>14</w:t>
      </w:r>
      <w:r>
        <w:rPr>
          <w:rFonts w:hint="eastAsia" w:eastAsia="宋体" w:cs="宋体"/>
          <w:color w:val="auto"/>
          <w:sz w:val="21"/>
          <w:szCs w:val="21"/>
          <w:highlight w:val="none"/>
          <w:lang w:eastAsia="zh-CN"/>
        </w:rPr>
        <w:t>日</w:t>
      </w:r>
      <w:r>
        <w:rPr>
          <w:rFonts w:eastAsia="宋体" w:cs="宋体"/>
          <w:color w:val="auto"/>
          <w:sz w:val="21"/>
          <w:szCs w:val="21"/>
          <w:highlight w:val="none"/>
        </w:rPr>
        <w:t>11:00（北京时间）</w:t>
      </w:r>
    </w:p>
    <w:p w14:paraId="5A35D4EA">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开标地点：</w:t>
      </w:r>
      <w:r>
        <w:rPr>
          <w:rFonts w:hint="eastAsia" w:eastAsia="宋体" w:cs="宋体"/>
          <w:color w:val="auto"/>
          <w:sz w:val="21"/>
          <w:szCs w:val="21"/>
          <w:highlight w:val="none"/>
        </w:rPr>
        <w:t>新疆政府采购网政采云平台www.zcygov.cn)(投标供应商无需到场)</w:t>
      </w:r>
    </w:p>
    <w:p w14:paraId="2CBF4F53">
      <w:pPr>
        <w:widowControl w:val="0"/>
        <w:kinsoku/>
        <w:topLinePunct/>
        <w:autoSpaceDE/>
        <w:autoSpaceDN/>
        <w:spacing w:line="420" w:lineRule="auto"/>
        <w:ind w:firstLine="422" w:firstLineChars="200"/>
        <w:jc w:val="both"/>
        <w:rPr>
          <w:rFonts w:ascii="宋体" w:hAnsi="宋体" w:eastAsia="宋体" w:cs="宋体"/>
          <w:b/>
          <w:color w:val="auto"/>
          <w:highlight w:val="none"/>
        </w:rPr>
      </w:pPr>
      <w:r>
        <w:rPr>
          <w:rFonts w:hint="eastAsia" w:ascii="宋体" w:hAnsi="宋体" w:eastAsia="宋体" w:cs="宋体"/>
          <w:b/>
          <w:color w:val="auto"/>
          <w:highlight w:val="none"/>
        </w:rPr>
        <w:t>五、公告期限</w:t>
      </w:r>
    </w:p>
    <w:p w14:paraId="2AE0C2B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7C071960">
      <w:pPr>
        <w:widowControl w:val="0"/>
        <w:kinsoku/>
        <w:topLinePunct/>
        <w:autoSpaceDE/>
        <w:autoSpaceDN/>
        <w:spacing w:line="420" w:lineRule="auto"/>
        <w:ind w:firstLine="422" w:firstLineChars="200"/>
        <w:jc w:val="both"/>
        <w:rPr>
          <w:rFonts w:ascii="宋体" w:hAnsi="宋体" w:eastAsia="宋体" w:cs="宋体"/>
          <w:b/>
          <w:color w:val="auto"/>
          <w:highlight w:val="none"/>
          <w:u w:val="single"/>
        </w:rPr>
      </w:pPr>
      <w:r>
        <w:rPr>
          <w:rFonts w:hint="eastAsia" w:ascii="宋体" w:hAnsi="宋体" w:eastAsia="宋体" w:cs="宋体"/>
          <w:b/>
          <w:color w:val="auto"/>
          <w:highlight w:val="none"/>
        </w:rPr>
        <w:t>六、其他补充事宜</w:t>
      </w:r>
    </w:p>
    <w:p w14:paraId="30043E78">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1.本项目报价以综合单价为基数报折扣率（例：下浮1%，则折扣率为99%；下浮2%，则折扣率为98%，以此类推）。</w:t>
      </w:r>
    </w:p>
    <w:p w14:paraId="7E6EA7DB">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2.本项目实行网上投标，采用电子投标文件。若供应商参与投标，自行承担投标一切费用。</w:t>
      </w:r>
    </w:p>
    <w:p w14:paraId="5741CD00">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6B5D88B7">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72883D72">
      <w:pPr>
        <w:pStyle w:val="18"/>
        <w:widowControl w:val="0"/>
        <w:kinsoku/>
        <w:topLinePunct/>
        <w:autoSpaceDE/>
        <w:autoSpaceDN/>
        <w:spacing w:before="0" w:beforeAutospacing="0" w:after="0" w:afterAutospacing="0" w:line="420" w:lineRule="auto"/>
        <w:ind w:firstLine="420" w:firstLineChars="200"/>
        <w:jc w:val="both"/>
        <w:rPr>
          <w:rFonts w:hint="default" w:eastAsia="宋体" w:cs="宋体"/>
          <w:color w:val="auto"/>
          <w:sz w:val="21"/>
          <w:szCs w:val="21"/>
          <w:highlight w:val="none"/>
        </w:rPr>
      </w:pPr>
      <w:r>
        <w:rPr>
          <w:rFonts w:eastAsia="宋体" w:cs="宋体"/>
          <w:color w:val="auto"/>
          <w:sz w:val="21"/>
          <w:szCs w:val="21"/>
          <w:highlight w:val="none"/>
        </w:rPr>
        <w:t>5.有意向参与新疆区域电子开评标的供应商，可访问新疆数字证书认证中心官方网站（https://www.xjca.com.cn/）或下载“新疆政务通”APP自行进行申领。如需咨询，请联系新疆CA服务热线0991-2819290。</w:t>
      </w:r>
    </w:p>
    <w:p w14:paraId="2FCD6DB1">
      <w:pPr>
        <w:widowControl w:val="0"/>
        <w:kinsoku/>
        <w:topLinePunct/>
        <w:autoSpaceDE/>
        <w:autoSpaceDN/>
        <w:spacing w:line="420" w:lineRule="auto"/>
        <w:ind w:firstLine="422" w:firstLineChars="200"/>
        <w:jc w:val="both"/>
        <w:rPr>
          <w:rFonts w:ascii="宋体" w:hAnsi="宋体" w:eastAsia="宋体" w:cs="宋体"/>
          <w:b/>
          <w:color w:val="auto"/>
          <w:highlight w:val="none"/>
        </w:rPr>
      </w:pPr>
      <w:r>
        <w:rPr>
          <w:rFonts w:hint="eastAsia" w:ascii="宋体" w:hAnsi="宋体" w:eastAsia="宋体" w:cs="宋体"/>
          <w:b/>
          <w:color w:val="auto"/>
          <w:highlight w:val="none"/>
        </w:rPr>
        <w:t>七、对本次招标提出询问，请按以下方式联系</w:t>
      </w:r>
    </w:p>
    <w:p w14:paraId="0B5227CA">
      <w:pPr>
        <w:widowControl w:val="0"/>
        <w:kinsoku/>
        <w:topLinePunct/>
        <w:autoSpaceDE/>
        <w:autoSpaceDN/>
        <w:spacing w:line="420" w:lineRule="auto"/>
        <w:ind w:firstLine="420" w:firstLineChars="200"/>
        <w:jc w:val="both"/>
        <w:rPr>
          <w:rFonts w:hint="eastAsia" w:ascii="宋体" w:hAnsi="宋体" w:eastAsia="宋体" w:cs="宋体"/>
          <w:color w:val="auto"/>
          <w:highlight w:val="none"/>
        </w:rPr>
      </w:pPr>
    </w:p>
    <w:p w14:paraId="266EF88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w:t>
      </w:r>
      <w:r>
        <w:rPr>
          <w:rFonts w:hint="eastAsia" w:ascii="宋体" w:hAnsi="宋体" w:eastAsia="宋体" w:cs="宋体"/>
          <w:color w:val="auto"/>
          <w:highlight w:val="none"/>
        </w:rPr>
        <w:t>采购人信息</w:t>
      </w:r>
    </w:p>
    <w:p w14:paraId="5ACD998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名称：和田市城市管理局</w:t>
      </w:r>
    </w:p>
    <w:p w14:paraId="7BD1D57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地址：和田市塔乃依南路329号</w:t>
      </w:r>
    </w:p>
    <w:p w14:paraId="515112C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联系方式：0903-</w:t>
      </w:r>
      <w:r>
        <w:rPr>
          <w:rFonts w:ascii="宋体" w:hAnsi="宋体" w:eastAsia="宋体" w:cs="宋体"/>
          <w:color w:val="auto"/>
          <w:highlight w:val="none"/>
        </w:rPr>
        <w:t>2062213</w:t>
      </w:r>
    </w:p>
    <w:p w14:paraId="2FB764B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w:t>
      </w:r>
      <w:r>
        <w:rPr>
          <w:rFonts w:hint="eastAsia" w:ascii="宋体" w:hAnsi="宋体" w:eastAsia="宋体" w:cs="宋体"/>
          <w:color w:val="auto"/>
          <w:highlight w:val="none"/>
        </w:rPr>
        <w:t>采购代理机构信息</w:t>
      </w:r>
    </w:p>
    <w:p w14:paraId="600A9C2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名称：四川明力建设工程项目管理有限公司</w:t>
      </w:r>
    </w:p>
    <w:p w14:paraId="4D54501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地址：和田市安康路环湖小区商铺3-4号楼3-306</w:t>
      </w:r>
    </w:p>
    <w:p w14:paraId="4E73ADD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联系方式：0903-6588456</w:t>
      </w:r>
    </w:p>
    <w:p w14:paraId="494C8BEF">
      <w:pPr>
        <w:pStyle w:val="7"/>
        <w:widowControl w:val="0"/>
        <w:kinsoku/>
        <w:topLinePunct/>
        <w:autoSpaceDE/>
        <w:autoSpaceDN/>
        <w:spacing w:line="420" w:lineRule="auto"/>
        <w:ind w:firstLineChars="200"/>
        <w:rPr>
          <w:rFonts w:ascii="宋体" w:hAnsi="宋体" w:eastAsia="宋体" w:cs="宋体"/>
          <w:color w:val="auto"/>
          <w:szCs w:val="21"/>
          <w:highlight w:val="none"/>
        </w:rPr>
      </w:pPr>
    </w:p>
    <w:p w14:paraId="798D3FFD">
      <w:pPr>
        <w:pStyle w:val="7"/>
        <w:widowControl w:val="0"/>
        <w:kinsoku/>
        <w:topLinePunct/>
        <w:autoSpaceDE/>
        <w:autoSpaceDN/>
        <w:spacing w:line="420" w:lineRule="auto"/>
        <w:ind w:firstLineChars="200"/>
        <w:rPr>
          <w:rFonts w:ascii="宋体" w:hAnsi="宋体" w:eastAsia="宋体" w:cs="宋体"/>
          <w:color w:val="auto"/>
          <w:szCs w:val="21"/>
          <w:highlight w:val="none"/>
        </w:rPr>
      </w:pPr>
    </w:p>
    <w:p w14:paraId="2E699D21">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bookmarkStart w:id="19" w:name="_Toc132755228"/>
    </w:p>
    <w:p w14:paraId="5C30CB55">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1FCB6F41">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5C77D711">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0DED3D70">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4960761E">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104CA773">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39210410">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6C57E00F">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476E291C">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2BCB9A11">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229FDE8B">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223E5B56">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63C71D88">
      <w:pPr>
        <w:widowControl w:val="0"/>
        <w:kinsoku/>
        <w:topLinePunct/>
        <w:autoSpaceDE/>
        <w:autoSpaceDN/>
        <w:spacing w:line="480" w:lineRule="auto"/>
        <w:jc w:val="center"/>
        <w:outlineLvl w:val="0"/>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bookmarkStart w:id="20" w:name="_Toc28914"/>
      <w:bookmarkStart w:id="21" w:name="_Toc20730"/>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第二部分</w:t>
      </w:r>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 xml:space="preserve">  </w:t>
      </w:r>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投标人须知</w:t>
      </w:r>
      <w:bookmarkEnd w:id="19"/>
      <w:bookmarkEnd w:id="20"/>
      <w:bookmarkEnd w:id="21"/>
    </w:p>
    <w:p w14:paraId="0442EEA9">
      <w:pPr>
        <w:widowControl w:val="0"/>
        <w:kinsoku/>
        <w:topLinePunct/>
        <w:autoSpaceDE/>
        <w:autoSpaceDN/>
        <w:spacing w:line="360" w:lineRule="auto"/>
        <w:jc w:val="center"/>
        <w:outlineLvl w:val="1"/>
        <w:rPr>
          <w:color w:val="auto"/>
          <w:sz w:val="24"/>
          <w:szCs w:val="24"/>
          <w:highlight w:val="none"/>
        </w:rPr>
      </w:pPr>
      <w:bookmarkStart w:id="22" w:name="_Toc132755229"/>
      <w:bookmarkStart w:id="23" w:name="_Toc2196"/>
      <w:r>
        <w:rPr>
          <w:rFonts w:hint="eastAsia" w:ascii="楷体" w:hAnsi="楷体" w:eastAsia="楷体" w:cs="楷体"/>
          <w:color w:val="auto"/>
          <w:sz w:val="24"/>
          <w:szCs w:val="24"/>
          <w:highlight w:val="none"/>
          <w14:textOutline w14:w="5448" w14:cap="sq" w14:cmpd="sng" w14:algn="ctr">
            <w14:solidFill>
              <w14:srgbClr w14:val="000000"/>
            </w14:solidFill>
            <w14:prstDash w14:val="solid"/>
            <w14:bevel/>
          </w14:textOutline>
        </w:rPr>
        <w:t>投标人须知前附表</w:t>
      </w:r>
      <w:bookmarkEnd w:id="22"/>
      <w:bookmarkEnd w:id="23"/>
    </w:p>
    <w:p w14:paraId="54C1FA6A">
      <w:pPr>
        <w:widowControl w:val="0"/>
        <w:kinsoku/>
        <w:topLinePunct/>
        <w:autoSpaceDE/>
        <w:autoSpaceDN/>
        <w:spacing w:line="73" w:lineRule="auto"/>
        <w:rPr>
          <w:color w:val="auto"/>
          <w:sz w:val="2"/>
          <w:highlight w:val="none"/>
        </w:rPr>
      </w:pPr>
    </w:p>
    <w:tbl>
      <w:tblPr>
        <w:tblStyle w:val="29"/>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15"/>
        <w:gridCol w:w="801"/>
        <w:gridCol w:w="806"/>
        <w:gridCol w:w="6674"/>
      </w:tblGrid>
      <w:tr w14:paraId="6FA52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093BF9DB">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序号</w:t>
            </w:r>
          </w:p>
        </w:tc>
        <w:tc>
          <w:tcPr>
            <w:tcW w:w="903" w:type="pct"/>
            <w:gridSpan w:val="2"/>
            <w:tcBorders>
              <w:tl2br w:val="nil"/>
              <w:tr2bl w:val="nil"/>
            </w:tcBorders>
            <w:vAlign w:val="center"/>
          </w:tcPr>
          <w:p w14:paraId="12739F95">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内容</w:t>
            </w:r>
          </w:p>
        </w:tc>
        <w:tc>
          <w:tcPr>
            <w:tcW w:w="3750" w:type="pct"/>
            <w:tcBorders>
              <w:tl2br w:val="nil"/>
              <w:tr2bl w:val="nil"/>
            </w:tcBorders>
            <w:vAlign w:val="center"/>
          </w:tcPr>
          <w:p w14:paraId="42E6620B">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说明与要求</w:t>
            </w:r>
          </w:p>
        </w:tc>
      </w:tr>
      <w:tr w14:paraId="18B76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31F29826">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w:t>
            </w:r>
          </w:p>
        </w:tc>
        <w:tc>
          <w:tcPr>
            <w:tcW w:w="903" w:type="pct"/>
            <w:gridSpan w:val="2"/>
            <w:tcBorders>
              <w:tl2br w:val="nil"/>
              <w:tr2bl w:val="nil"/>
            </w:tcBorders>
            <w:vAlign w:val="center"/>
          </w:tcPr>
          <w:p w14:paraId="20D7CF2A">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项目名称</w:t>
            </w:r>
          </w:p>
        </w:tc>
        <w:tc>
          <w:tcPr>
            <w:tcW w:w="3750" w:type="pct"/>
            <w:tcBorders>
              <w:tl2br w:val="nil"/>
              <w:tr2bl w:val="nil"/>
            </w:tcBorders>
            <w:vAlign w:val="center"/>
          </w:tcPr>
          <w:p w14:paraId="1B90DCD9">
            <w:pPr>
              <w:widowControl w:val="0"/>
              <w:kinsoku/>
              <w:topLinePunct/>
              <w:autoSpaceDE/>
              <w:autoSpaceDN/>
              <w:spacing w:line="30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2024年和田市城市道路及人行道和公园等公共基础设施零星修补项目</w:t>
            </w:r>
          </w:p>
        </w:tc>
      </w:tr>
      <w:tr w14:paraId="7BBDA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2CC52673">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w:t>
            </w:r>
          </w:p>
        </w:tc>
        <w:tc>
          <w:tcPr>
            <w:tcW w:w="903" w:type="pct"/>
            <w:gridSpan w:val="2"/>
            <w:tcBorders>
              <w:tl2br w:val="nil"/>
              <w:tr2bl w:val="nil"/>
            </w:tcBorders>
            <w:vAlign w:val="center"/>
          </w:tcPr>
          <w:p w14:paraId="5B543311">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采购人</w:t>
            </w:r>
          </w:p>
        </w:tc>
        <w:tc>
          <w:tcPr>
            <w:tcW w:w="3750" w:type="pct"/>
            <w:tcBorders>
              <w:tl2br w:val="nil"/>
              <w:tr2bl w:val="nil"/>
            </w:tcBorders>
            <w:vAlign w:val="center"/>
          </w:tcPr>
          <w:p w14:paraId="0F96017F">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 xml:space="preserve">名 </w:t>
            </w:r>
            <w:r>
              <w:rPr>
                <w:rFonts w:ascii="宋体" w:hAnsi="宋体" w:eastAsia="宋体" w:cs="宋体"/>
                <w:color w:val="auto"/>
                <w:highlight w:val="none"/>
              </w:rPr>
              <w:t xml:space="preserve">   </w:t>
            </w:r>
            <w:r>
              <w:rPr>
                <w:rFonts w:hint="eastAsia" w:ascii="宋体" w:hAnsi="宋体" w:eastAsia="宋体" w:cs="宋体"/>
                <w:color w:val="auto"/>
                <w:highlight w:val="none"/>
              </w:rPr>
              <w:t>称：</w:t>
            </w:r>
            <w:r>
              <w:rPr>
                <w:rFonts w:hint="eastAsia" w:ascii="宋体" w:hAnsi="宋体" w:eastAsia="宋体" w:cs="宋体"/>
                <w:color w:val="auto"/>
                <w:highlight w:val="none"/>
                <w:u w:val="single"/>
              </w:rPr>
              <w:t>和田市城市管理局</w:t>
            </w:r>
          </w:p>
          <w:p w14:paraId="50A980D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 xml:space="preserve">地 </w:t>
            </w:r>
            <w:r>
              <w:rPr>
                <w:rFonts w:ascii="宋体" w:hAnsi="宋体" w:eastAsia="宋体" w:cs="宋体"/>
                <w:color w:val="auto"/>
                <w:highlight w:val="none"/>
              </w:rPr>
              <w:t xml:space="preserve">   </w:t>
            </w:r>
            <w:r>
              <w:rPr>
                <w:rFonts w:hint="eastAsia" w:ascii="宋体" w:hAnsi="宋体" w:eastAsia="宋体" w:cs="宋体"/>
                <w:color w:val="auto"/>
                <w:highlight w:val="none"/>
              </w:rPr>
              <w:t>址：</w:t>
            </w:r>
            <w:r>
              <w:rPr>
                <w:rFonts w:hint="eastAsia" w:ascii="宋体" w:hAnsi="宋体" w:eastAsia="宋体" w:cs="宋体"/>
                <w:color w:val="auto"/>
                <w:highlight w:val="none"/>
                <w:u w:val="single"/>
              </w:rPr>
              <w:t>和田市塔乃依南路329号</w:t>
            </w:r>
          </w:p>
          <w:p w14:paraId="7CEDF4ED">
            <w:pPr>
              <w:widowControl w:val="0"/>
              <w:kinsoku/>
              <w:topLinePunct/>
              <w:autoSpaceDE/>
              <w:autoSpaceDN/>
              <w:spacing w:line="30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联 系 人：</w:t>
            </w:r>
            <w:r>
              <w:rPr>
                <w:rFonts w:hint="eastAsia" w:ascii="宋体" w:hAnsi="宋体" w:eastAsia="宋体" w:cs="宋体"/>
                <w:color w:val="auto"/>
                <w:highlight w:val="none"/>
                <w:u w:val="single"/>
                <w:lang w:eastAsia="zh-CN"/>
              </w:rPr>
              <w:t>王梦</w:t>
            </w:r>
          </w:p>
          <w:p w14:paraId="46C38429">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联系电话：</w:t>
            </w:r>
            <w:r>
              <w:rPr>
                <w:rFonts w:ascii="宋体" w:hAnsi="宋体" w:eastAsia="宋体" w:cs="宋体"/>
                <w:color w:val="auto"/>
                <w:highlight w:val="none"/>
                <w:u w:val="single"/>
              </w:rPr>
              <w:t>0903-2062213</w:t>
            </w:r>
          </w:p>
        </w:tc>
      </w:tr>
      <w:tr w14:paraId="30247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5247AF26">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w:t>
            </w:r>
          </w:p>
        </w:tc>
        <w:tc>
          <w:tcPr>
            <w:tcW w:w="903" w:type="pct"/>
            <w:gridSpan w:val="2"/>
            <w:tcBorders>
              <w:tl2br w:val="nil"/>
              <w:tr2bl w:val="nil"/>
            </w:tcBorders>
            <w:vAlign w:val="center"/>
          </w:tcPr>
          <w:p w14:paraId="2615F39F">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采购代理机构</w:t>
            </w:r>
          </w:p>
        </w:tc>
        <w:tc>
          <w:tcPr>
            <w:tcW w:w="3750" w:type="pct"/>
            <w:tcBorders>
              <w:tl2br w:val="nil"/>
              <w:tr2bl w:val="nil"/>
            </w:tcBorders>
            <w:vAlign w:val="center"/>
          </w:tcPr>
          <w:p w14:paraId="274F422B">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u w:val="single"/>
              </w:rPr>
              <w:t>四川明力建设工程项目管理有限公司</w:t>
            </w:r>
          </w:p>
          <w:p w14:paraId="0A1A5C90">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和田市安康路环湖小区商铺3-4号楼3-306</w:t>
            </w:r>
          </w:p>
          <w:p w14:paraId="53141F52">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任国均</w:t>
            </w:r>
          </w:p>
          <w:p w14:paraId="6AB99209">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0903-6588456</w:t>
            </w:r>
          </w:p>
          <w:p w14:paraId="0AE8E590">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电子邮件：</w:t>
            </w:r>
            <w:r>
              <w:rPr>
                <w:rFonts w:hint="eastAsia" w:ascii="宋体" w:hAnsi="宋体" w:eastAsia="宋体" w:cs="宋体"/>
                <w:color w:val="auto"/>
                <w:highlight w:val="none"/>
                <w:u w:val="single"/>
                <w:lang w:eastAsia="zh-CN"/>
              </w:rPr>
              <w:t>190283575</w:t>
            </w:r>
            <w:r>
              <w:rPr>
                <w:rFonts w:hint="eastAsia" w:ascii="宋体" w:hAnsi="宋体" w:eastAsia="宋体" w:cs="宋体"/>
                <w:color w:val="auto"/>
                <w:highlight w:val="none"/>
                <w:u w:val="single"/>
              </w:rPr>
              <w:t>@qq.com</w:t>
            </w:r>
          </w:p>
        </w:tc>
      </w:tr>
      <w:tr w14:paraId="4D311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5F75C43D">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4</w:t>
            </w:r>
          </w:p>
        </w:tc>
        <w:tc>
          <w:tcPr>
            <w:tcW w:w="903" w:type="pct"/>
            <w:gridSpan w:val="2"/>
            <w:tcBorders>
              <w:tl2br w:val="nil"/>
              <w:tr2bl w:val="nil"/>
            </w:tcBorders>
            <w:vAlign w:val="center"/>
          </w:tcPr>
          <w:p w14:paraId="0F50AFA6">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采购内容</w:t>
            </w:r>
          </w:p>
        </w:tc>
        <w:tc>
          <w:tcPr>
            <w:tcW w:w="3750" w:type="pct"/>
            <w:tcBorders>
              <w:tl2br w:val="nil"/>
              <w:tr2bl w:val="nil"/>
            </w:tcBorders>
            <w:vAlign w:val="center"/>
          </w:tcPr>
          <w:p w14:paraId="53B56C79">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详见招标文件第三部分采购需求；</w:t>
            </w:r>
          </w:p>
        </w:tc>
      </w:tr>
      <w:tr w14:paraId="0213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2D3B8D46">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5</w:t>
            </w:r>
          </w:p>
        </w:tc>
        <w:tc>
          <w:tcPr>
            <w:tcW w:w="903" w:type="pct"/>
            <w:gridSpan w:val="2"/>
            <w:tcBorders>
              <w:tl2br w:val="nil"/>
              <w:tr2bl w:val="nil"/>
            </w:tcBorders>
            <w:vAlign w:val="center"/>
          </w:tcPr>
          <w:p w14:paraId="19AC623A">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投标人资格要求</w:t>
            </w:r>
          </w:p>
        </w:tc>
        <w:tc>
          <w:tcPr>
            <w:tcW w:w="3750" w:type="pct"/>
            <w:tcBorders>
              <w:tl2br w:val="nil"/>
              <w:tr2bl w:val="nil"/>
            </w:tcBorders>
            <w:vAlign w:val="center"/>
          </w:tcPr>
          <w:p w14:paraId="72A92EB6">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4A538BF0">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（1）投标人具有独立法人资格，具备有效的企业法人营业执照（副本）。</w:t>
            </w:r>
          </w:p>
          <w:p w14:paraId="0676E87D">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（2）法定代表人投标需携带法定代表人证明书及法定代表人身份证，委托代理人投标需携带法定代表人证明书、法定代表人授权委托书及委托代理人身份证。</w:t>
            </w:r>
          </w:p>
          <w:p w14:paraId="5F29C4D7">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（3）投标人具有良好的商业信誉和健全的财务会计制度，须提供2023年度经第三方审计机构出具的财务审计报告（新成立的公司可不提供但需提供银行出具的近3个月的资信证明），和健全的财务会计制度。</w:t>
            </w:r>
          </w:p>
          <w:p w14:paraId="63253041">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4）提供具有税务局开具依法缴纳近三个月的完税证明（完税证明或税务部门出具的其他证明，需含增值税、印花税等税种；非社会保险类。若为零申报企业，需提供无欠税证明或国家税务总局电子税务局“申报结果查询截图”）；  新成立公司按实际发生提供税务机关出具的无欠税证明。</w:t>
            </w:r>
          </w:p>
          <w:p w14:paraId="23EB4673">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（5）提供社保局出具的本单位缴纳的近三个月的单位社保缴纳证明（新成立的公司按实际发生提供）；</w:t>
            </w:r>
          </w:p>
          <w:p w14:paraId="297A5FCC">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6）凡拟参加本次招标项目的供应商，如在“信用中国”网站（www.creditchina.gov.cn）被列入失信被执行人、严重失信主体名单、重大税收违法失信主体；国家企业信用信息公示系统（http://www.gsxt.gov.cn）被列入严重违法失信名单（黑名单）；中国政府采购网（http://www.ccgp.gov.cn/search/cr/）被列入政府采购严重违法失信行为记录名单（尚在处罚期内的），将拒绝其参加本次采购活动（以开标现场代理机构或采购人查询为准）。</w:t>
            </w:r>
          </w:p>
          <w:p w14:paraId="3753763E">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（7）单位负责人为同一人或者存在直接控股、管理关系的不同供应商，不得参加同一合同项下的政府采购活动。（提供声明函）；</w:t>
            </w:r>
          </w:p>
          <w:p w14:paraId="0F1E562F">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（8）参加政府采购活动前3年内在经营活动中没有重大违法记录的书面声明；</w:t>
            </w:r>
          </w:p>
          <w:p w14:paraId="09F6D14A">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（9）提供投标保证转账凭证或保函/保单及基本户开户许可证或基本账户存款信息；</w:t>
            </w:r>
          </w:p>
          <w:p w14:paraId="3C857528">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根据财政部、工业和信息化部关于印发《政府采购促进中小企业发展管理办法》的通知（财库〔2020〕46号）；根据财政部、工业和信息化部关于印发《关于进一步加大政府采购支持中小企业力度的通知》（财库〔2022〕19号）；超过200万元的货物和服务采购项目适宜由中小企业提供的，预留该部分采购项目预算总额的30%面向中小企业采购，其中预留给小微企业的比例为60%。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本项目中小企业划分标准为：其他未列明行业。从业人员300人以下的为中小微型企业。其中，从业人员100人及以上的为中型企业；从业人员10人及以上的为小型企业；从业人员10人以下的为微型企业。</w:t>
            </w:r>
          </w:p>
          <w:p w14:paraId="673ADE42">
            <w:pPr>
              <w:widowControl w:val="0"/>
              <w:kinsoku/>
              <w:topLinePunct/>
              <w:autoSpaceDE/>
              <w:autoSpaceDN/>
              <w:spacing w:line="300" w:lineRule="auto"/>
              <w:ind w:left="420" w:hanging="420" w:hangingChars="200"/>
              <w:jc w:val="both"/>
              <w:rPr>
                <w:rFonts w:ascii="宋体" w:hAnsi="宋体" w:eastAsia="宋体" w:cs="宋体"/>
                <w:b/>
                <w:bCs/>
                <w:color w:val="auto"/>
                <w:highlight w:val="none"/>
              </w:rPr>
            </w:pPr>
            <w:r>
              <w:rPr>
                <w:rFonts w:hint="eastAsia" w:ascii="宋体" w:hAnsi="宋体" w:eastAsia="宋体" w:cs="宋体"/>
                <w:color w:val="auto"/>
                <w:highlight w:val="none"/>
              </w:rPr>
              <w:t>3.特定资格条件：具备行政主管部门颁发的市政公用工程施工总承包叁级及以上资质，具有有效的安全生产许可证。外省企业进疆从事建筑活动，应登录新疆工程建设云（http//jsy.xjjs.gov.cn/dataservice/index）注册报送企业基本信息和人员信息，其项目人员为信息报送册注册人员）；项目负责人须具备市政公用工程专业二级（含以上级）注册建造师执业资格、并具备有效的安全生产考核合格证书（B证），且不得担任其他在建工程项目的项目负责人（提供无在建承诺书）。</w:t>
            </w:r>
          </w:p>
        </w:tc>
      </w:tr>
      <w:tr w14:paraId="6DFA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71791156">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6</w:t>
            </w:r>
          </w:p>
        </w:tc>
        <w:tc>
          <w:tcPr>
            <w:tcW w:w="903" w:type="pct"/>
            <w:gridSpan w:val="2"/>
            <w:tcBorders>
              <w:tl2br w:val="nil"/>
              <w:tr2bl w:val="nil"/>
            </w:tcBorders>
            <w:vAlign w:val="center"/>
          </w:tcPr>
          <w:p w14:paraId="6477D85D">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投标报价</w:t>
            </w:r>
          </w:p>
        </w:tc>
        <w:tc>
          <w:tcPr>
            <w:tcW w:w="3750" w:type="pct"/>
            <w:tcBorders>
              <w:tl2br w:val="nil"/>
              <w:tr2bl w:val="nil"/>
            </w:tcBorders>
            <w:vAlign w:val="center"/>
          </w:tcPr>
          <w:p w14:paraId="11E8C379">
            <w:pPr>
              <w:widowControl w:val="0"/>
              <w:numPr>
                <w:ilvl w:val="0"/>
                <w:numId w:val="4"/>
              </w:numPr>
              <w:kinsoku/>
              <w:topLinePunct/>
              <w:autoSpaceDE/>
              <w:autoSpaceDN/>
              <w:spacing w:line="300" w:lineRule="auto"/>
              <w:ind w:left="315" w:hanging="315" w:hangingChars="150"/>
              <w:jc w:val="both"/>
              <w:rPr>
                <w:rFonts w:ascii="宋体" w:hAnsi="宋体" w:eastAsia="宋体" w:cs="宋体"/>
                <w:color w:val="auto"/>
                <w:highlight w:val="none"/>
              </w:rPr>
            </w:pPr>
            <w:r>
              <w:rPr>
                <w:rFonts w:hint="eastAsia" w:ascii="宋体" w:hAnsi="宋体" w:eastAsia="宋体" w:cs="宋体"/>
                <w:color w:val="auto"/>
                <w:highlight w:val="none"/>
              </w:rPr>
              <w:t>本项目预算投资1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00万元；</w:t>
            </w:r>
          </w:p>
          <w:p w14:paraId="777ECE24">
            <w:pPr>
              <w:widowControl w:val="0"/>
              <w:numPr>
                <w:ilvl w:val="0"/>
                <w:numId w:val="4"/>
              </w:numPr>
              <w:kinsoku/>
              <w:topLinePunct/>
              <w:autoSpaceDE/>
              <w:autoSpaceDN/>
              <w:spacing w:line="300" w:lineRule="auto"/>
              <w:ind w:left="315" w:hanging="315" w:hangingChars="150"/>
              <w:jc w:val="both"/>
              <w:rPr>
                <w:rFonts w:ascii="宋体" w:hAnsi="宋体" w:eastAsia="宋体" w:cs="宋体"/>
                <w:color w:val="auto"/>
                <w:highlight w:val="none"/>
              </w:rPr>
            </w:pPr>
            <w:r>
              <w:rPr>
                <w:rFonts w:hint="eastAsia" w:ascii="宋体" w:hAnsi="宋体" w:eastAsia="宋体" w:cs="宋体"/>
                <w:color w:val="auto"/>
                <w:highlight w:val="none"/>
              </w:rPr>
              <w:t>招标文件第三部分采购需求罗列了本项目实施清单，并给出了最高限价，投标单位以该最高限价为基础，按折扣率进行报价。</w:t>
            </w:r>
          </w:p>
        </w:tc>
      </w:tr>
      <w:tr w14:paraId="4EF43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vMerge w:val="restart"/>
            <w:tcBorders>
              <w:tl2br w:val="nil"/>
              <w:tr2bl w:val="nil"/>
            </w:tcBorders>
            <w:vAlign w:val="center"/>
          </w:tcPr>
          <w:p w14:paraId="1D66D117">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7</w:t>
            </w:r>
          </w:p>
        </w:tc>
        <w:tc>
          <w:tcPr>
            <w:tcW w:w="450" w:type="pct"/>
            <w:vMerge w:val="restart"/>
            <w:tcBorders>
              <w:tl2br w:val="nil"/>
              <w:tr2bl w:val="nil"/>
            </w:tcBorders>
            <w:vAlign w:val="center"/>
          </w:tcPr>
          <w:p w14:paraId="0428AF56">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投标文件的组成部分</w:t>
            </w:r>
          </w:p>
        </w:tc>
        <w:tc>
          <w:tcPr>
            <w:tcW w:w="453" w:type="pct"/>
            <w:tcBorders>
              <w:tl2br w:val="nil"/>
              <w:tr2bl w:val="nil"/>
            </w:tcBorders>
            <w:vAlign w:val="center"/>
          </w:tcPr>
          <w:p w14:paraId="61CD1BF9">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封面</w:t>
            </w:r>
          </w:p>
        </w:tc>
        <w:tc>
          <w:tcPr>
            <w:tcW w:w="3750" w:type="pct"/>
            <w:tcBorders>
              <w:tl2br w:val="nil"/>
              <w:tr2bl w:val="nil"/>
            </w:tcBorders>
            <w:vAlign w:val="center"/>
          </w:tcPr>
          <w:p w14:paraId="32ABA662">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投标文件封面；</w:t>
            </w:r>
          </w:p>
        </w:tc>
      </w:tr>
      <w:tr w14:paraId="10885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vMerge w:val="continue"/>
            <w:tcBorders>
              <w:tl2br w:val="nil"/>
              <w:tr2bl w:val="nil"/>
            </w:tcBorders>
            <w:vAlign w:val="center"/>
          </w:tcPr>
          <w:p w14:paraId="6120B679">
            <w:pPr>
              <w:widowControl w:val="0"/>
              <w:kinsoku/>
              <w:topLinePunct/>
              <w:autoSpaceDE/>
              <w:autoSpaceDN/>
              <w:spacing w:line="300" w:lineRule="auto"/>
              <w:rPr>
                <w:rFonts w:ascii="宋体" w:hAnsi="宋体" w:eastAsia="宋体" w:cs="宋体"/>
                <w:color w:val="auto"/>
                <w:highlight w:val="none"/>
              </w:rPr>
            </w:pPr>
          </w:p>
        </w:tc>
        <w:tc>
          <w:tcPr>
            <w:tcW w:w="450" w:type="pct"/>
            <w:vMerge w:val="continue"/>
            <w:tcBorders>
              <w:tl2br w:val="nil"/>
              <w:tr2bl w:val="nil"/>
            </w:tcBorders>
            <w:vAlign w:val="center"/>
          </w:tcPr>
          <w:p w14:paraId="529A1EC0">
            <w:pPr>
              <w:widowControl w:val="0"/>
              <w:kinsoku/>
              <w:topLinePunct/>
              <w:autoSpaceDE/>
              <w:autoSpaceDN/>
              <w:spacing w:line="300" w:lineRule="auto"/>
              <w:rPr>
                <w:rFonts w:ascii="宋体" w:hAnsi="宋体" w:eastAsia="宋体" w:cs="宋体"/>
                <w:color w:val="auto"/>
                <w:highlight w:val="none"/>
              </w:rPr>
            </w:pPr>
          </w:p>
        </w:tc>
        <w:tc>
          <w:tcPr>
            <w:tcW w:w="453" w:type="pct"/>
            <w:tcBorders>
              <w:tl2br w:val="nil"/>
              <w:tr2bl w:val="nil"/>
            </w:tcBorders>
            <w:vAlign w:val="center"/>
          </w:tcPr>
          <w:p w14:paraId="0CA769E1">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资格审查材料</w:t>
            </w:r>
          </w:p>
        </w:tc>
        <w:tc>
          <w:tcPr>
            <w:tcW w:w="3750" w:type="pct"/>
            <w:tcBorders>
              <w:tl2br w:val="nil"/>
              <w:tr2bl w:val="nil"/>
            </w:tcBorders>
            <w:vAlign w:val="center"/>
          </w:tcPr>
          <w:p w14:paraId="5314326E">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☆营业执照（三证合一）</w:t>
            </w:r>
          </w:p>
          <w:p w14:paraId="25E84E7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☆法定代表人身份证明及授权委托书</w:t>
            </w:r>
          </w:p>
          <w:p w14:paraId="6957597E">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☆投标保证金</w:t>
            </w:r>
          </w:p>
          <w:p w14:paraId="52EB06B3">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☆中小企业声明函</w:t>
            </w:r>
          </w:p>
          <w:p w14:paraId="7607B4E2">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☆供应商认为有必要提供的声明及文件资料</w:t>
            </w:r>
          </w:p>
          <w:p w14:paraId="22EBE5C2">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☆《中华人民共和国政府采购法》第二十二条应当具备的条件</w:t>
            </w:r>
          </w:p>
          <w:p w14:paraId="6DE15A1E">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☆资质证书</w:t>
            </w:r>
          </w:p>
          <w:p w14:paraId="01C5E93A">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☆安全生产许可证</w:t>
            </w:r>
          </w:p>
          <w:p w14:paraId="47D034D5">
            <w:pPr>
              <w:widowControl w:val="0"/>
              <w:kinsoku/>
              <w:topLinePunct/>
              <w:autoSpaceDE/>
              <w:autoSpaceDN/>
              <w:spacing w:line="300" w:lineRule="auto"/>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☆项目负责人证书</w:t>
            </w:r>
            <w:r>
              <w:rPr>
                <w:rFonts w:hint="eastAsia" w:ascii="宋体" w:hAnsi="宋体" w:eastAsia="宋体" w:cs="宋体"/>
                <w:color w:val="auto"/>
                <w:highlight w:val="none"/>
                <w:lang w:val="en-US" w:eastAsia="zh-CN"/>
              </w:rPr>
              <w:t>及无在建承诺书</w:t>
            </w:r>
          </w:p>
          <w:p w14:paraId="69DA394E">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☆不参与围标串标承诺书</w:t>
            </w:r>
          </w:p>
        </w:tc>
      </w:tr>
      <w:tr w14:paraId="77097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vMerge w:val="continue"/>
            <w:tcBorders>
              <w:tl2br w:val="nil"/>
              <w:tr2bl w:val="nil"/>
            </w:tcBorders>
            <w:vAlign w:val="center"/>
          </w:tcPr>
          <w:p w14:paraId="3F1B2BC9">
            <w:pPr>
              <w:widowControl w:val="0"/>
              <w:kinsoku/>
              <w:topLinePunct/>
              <w:autoSpaceDE/>
              <w:autoSpaceDN/>
              <w:spacing w:line="300" w:lineRule="auto"/>
              <w:rPr>
                <w:rFonts w:ascii="宋体" w:hAnsi="宋体" w:eastAsia="宋体" w:cs="宋体"/>
                <w:color w:val="auto"/>
                <w:highlight w:val="none"/>
              </w:rPr>
            </w:pPr>
          </w:p>
        </w:tc>
        <w:tc>
          <w:tcPr>
            <w:tcW w:w="450" w:type="pct"/>
            <w:vMerge w:val="continue"/>
            <w:tcBorders>
              <w:tl2br w:val="nil"/>
              <w:tr2bl w:val="nil"/>
            </w:tcBorders>
            <w:vAlign w:val="center"/>
          </w:tcPr>
          <w:p w14:paraId="6570FDFC">
            <w:pPr>
              <w:widowControl w:val="0"/>
              <w:kinsoku/>
              <w:topLinePunct/>
              <w:autoSpaceDE/>
              <w:autoSpaceDN/>
              <w:spacing w:line="300" w:lineRule="auto"/>
              <w:rPr>
                <w:rFonts w:ascii="宋体" w:hAnsi="宋体" w:eastAsia="宋体" w:cs="宋体"/>
                <w:color w:val="auto"/>
                <w:highlight w:val="none"/>
              </w:rPr>
            </w:pPr>
          </w:p>
        </w:tc>
        <w:tc>
          <w:tcPr>
            <w:tcW w:w="453" w:type="pct"/>
            <w:tcBorders>
              <w:tl2br w:val="nil"/>
              <w:tr2bl w:val="nil"/>
            </w:tcBorders>
            <w:vAlign w:val="center"/>
          </w:tcPr>
          <w:p w14:paraId="60958485">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商务文件</w:t>
            </w:r>
          </w:p>
        </w:tc>
        <w:tc>
          <w:tcPr>
            <w:tcW w:w="3750" w:type="pct"/>
            <w:tcBorders>
              <w:tl2br w:val="nil"/>
              <w:tr2bl w:val="nil"/>
            </w:tcBorders>
            <w:vAlign w:val="center"/>
          </w:tcPr>
          <w:p w14:paraId="3C86160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☆投标函；</w:t>
            </w:r>
          </w:p>
          <w:p w14:paraId="62AA0BE6">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☆开标一览表；</w:t>
            </w:r>
          </w:p>
          <w:p w14:paraId="2597B4DD">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☆投标报价明细表；</w:t>
            </w:r>
          </w:p>
          <w:p w14:paraId="655FFB45">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☆售后服务承诺书；</w:t>
            </w:r>
          </w:p>
          <w:p w14:paraId="0F80910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☆商务条款偏离说明表；</w:t>
            </w:r>
          </w:p>
          <w:p w14:paraId="381999B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供应商认为有必要提供的声明及文件资料；</w:t>
            </w:r>
          </w:p>
          <w:p w14:paraId="38881D04">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其他：</w:t>
            </w:r>
          </w:p>
        </w:tc>
      </w:tr>
      <w:tr w14:paraId="7E896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346" w:type="pct"/>
            <w:vMerge w:val="continue"/>
            <w:tcBorders>
              <w:tl2br w:val="nil"/>
              <w:tr2bl w:val="nil"/>
            </w:tcBorders>
            <w:vAlign w:val="center"/>
          </w:tcPr>
          <w:p w14:paraId="4E12D4C8">
            <w:pPr>
              <w:widowControl w:val="0"/>
              <w:kinsoku/>
              <w:topLinePunct/>
              <w:autoSpaceDE/>
              <w:autoSpaceDN/>
              <w:spacing w:line="300" w:lineRule="auto"/>
              <w:rPr>
                <w:rFonts w:ascii="宋体" w:hAnsi="宋体" w:eastAsia="宋体" w:cs="宋体"/>
                <w:color w:val="auto"/>
                <w:highlight w:val="none"/>
              </w:rPr>
            </w:pPr>
          </w:p>
        </w:tc>
        <w:tc>
          <w:tcPr>
            <w:tcW w:w="450" w:type="pct"/>
            <w:vMerge w:val="continue"/>
            <w:tcBorders>
              <w:tl2br w:val="nil"/>
              <w:tr2bl w:val="nil"/>
            </w:tcBorders>
            <w:vAlign w:val="center"/>
          </w:tcPr>
          <w:p w14:paraId="09D9CE79">
            <w:pPr>
              <w:widowControl w:val="0"/>
              <w:kinsoku/>
              <w:topLinePunct/>
              <w:autoSpaceDE/>
              <w:autoSpaceDN/>
              <w:spacing w:line="300" w:lineRule="auto"/>
              <w:rPr>
                <w:rFonts w:ascii="宋体" w:hAnsi="宋体" w:eastAsia="宋体" w:cs="宋体"/>
                <w:color w:val="auto"/>
                <w:highlight w:val="none"/>
              </w:rPr>
            </w:pPr>
          </w:p>
        </w:tc>
        <w:tc>
          <w:tcPr>
            <w:tcW w:w="453" w:type="pct"/>
            <w:tcBorders>
              <w:tl2br w:val="nil"/>
              <w:tr2bl w:val="nil"/>
            </w:tcBorders>
            <w:vAlign w:val="center"/>
          </w:tcPr>
          <w:p w14:paraId="68F09E34">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技术文件</w:t>
            </w:r>
          </w:p>
        </w:tc>
        <w:tc>
          <w:tcPr>
            <w:tcW w:w="3750" w:type="pct"/>
            <w:tcBorders>
              <w:tl2br w:val="nil"/>
              <w:tr2bl w:val="nil"/>
            </w:tcBorders>
            <w:vAlign w:val="center"/>
          </w:tcPr>
          <w:p w14:paraId="4EE1119D">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投标人自行编写的技术文件：</w:t>
            </w:r>
          </w:p>
        </w:tc>
      </w:tr>
      <w:tr w14:paraId="761D8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346" w:type="pct"/>
            <w:tcBorders>
              <w:tl2br w:val="nil"/>
              <w:tr2bl w:val="nil"/>
            </w:tcBorders>
            <w:vAlign w:val="center"/>
          </w:tcPr>
          <w:p w14:paraId="67E112A6">
            <w:pPr>
              <w:widowControl w:val="0"/>
              <w:kinsoku/>
              <w:topLinePunct/>
              <w:autoSpaceDE/>
              <w:autoSpaceDN/>
              <w:spacing w:line="30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8</w:t>
            </w:r>
          </w:p>
        </w:tc>
        <w:tc>
          <w:tcPr>
            <w:tcW w:w="903" w:type="pct"/>
            <w:gridSpan w:val="2"/>
            <w:tcBorders>
              <w:tl2br w:val="nil"/>
              <w:tr2bl w:val="nil"/>
            </w:tcBorders>
            <w:vAlign w:val="center"/>
          </w:tcPr>
          <w:p w14:paraId="7025537B">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是否允许联合体投标</w:t>
            </w:r>
          </w:p>
        </w:tc>
        <w:tc>
          <w:tcPr>
            <w:tcW w:w="3750" w:type="pct"/>
            <w:tcBorders>
              <w:tl2br w:val="nil"/>
              <w:tr2bl w:val="nil"/>
            </w:tcBorders>
            <w:vAlign w:val="center"/>
          </w:tcPr>
          <w:p w14:paraId="7AC54C4F">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□是。</w:t>
            </w:r>
          </w:p>
          <w:p w14:paraId="3F28E708">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应满足要求：</w:t>
            </w:r>
          </w:p>
          <w:p w14:paraId="5794E855">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w:t>
            </w:r>
          </w:p>
        </w:tc>
      </w:tr>
      <w:tr w14:paraId="10674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346" w:type="pct"/>
            <w:tcBorders>
              <w:tl2br w:val="nil"/>
              <w:tr2bl w:val="nil"/>
            </w:tcBorders>
            <w:vAlign w:val="center"/>
          </w:tcPr>
          <w:p w14:paraId="4A4A798A">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9</w:t>
            </w:r>
          </w:p>
        </w:tc>
        <w:tc>
          <w:tcPr>
            <w:tcW w:w="903" w:type="pct"/>
            <w:gridSpan w:val="2"/>
            <w:tcBorders>
              <w:tl2br w:val="nil"/>
              <w:tr2bl w:val="nil"/>
            </w:tcBorders>
            <w:vAlign w:val="center"/>
          </w:tcPr>
          <w:p w14:paraId="15E63BA7">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信用情况</w:t>
            </w:r>
          </w:p>
        </w:tc>
        <w:tc>
          <w:tcPr>
            <w:tcW w:w="3750" w:type="pct"/>
            <w:tcBorders>
              <w:tl2br w:val="nil"/>
              <w:tr2bl w:val="nil"/>
            </w:tcBorders>
            <w:vAlign w:val="center"/>
          </w:tcPr>
          <w:p w14:paraId="10F3B09E">
            <w:pPr>
              <w:widowControl w:val="0"/>
              <w:kinsoku/>
              <w:topLinePunct/>
              <w:autoSpaceDE/>
              <w:autoSpaceDN/>
              <w:spacing w:line="300" w:lineRule="auto"/>
              <w:ind w:left="420" w:hanging="420" w:hangingChars="200"/>
              <w:jc w:val="both"/>
              <w:rPr>
                <w:rFonts w:ascii="宋体" w:hAnsi="宋体" w:eastAsia="宋体" w:cs="宋体"/>
                <w:color w:val="auto"/>
                <w:highlight w:val="none"/>
              </w:rPr>
            </w:pPr>
            <w:r>
              <w:rPr>
                <w:rFonts w:hint="eastAsia" w:ascii="宋体" w:hAnsi="宋体" w:eastAsia="宋体" w:cs="宋体"/>
                <w:color w:val="auto"/>
                <w:highlight w:val="none"/>
              </w:rPr>
              <w:t>1、信用记录查询时间及方式：</w:t>
            </w:r>
          </w:p>
          <w:p w14:paraId="2A97A6C0">
            <w:pPr>
              <w:widowControl w:val="0"/>
              <w:kinsoku/>
              <w:topLinePunct/>
              <w:autoSpaceDE/>
              <w:autoSpaceDN/>
              <w:spacing w:line="300" w:lineRule="auto"/>
              <w:ind w:left="420" w:hanging="420" w:hangingChars="200"/>
              <w:jc w:val="both"/>
              <w:rPr>
                <w:rFonts w:ascii="宋体" w:hAnsi="宋体" w:eastAsia="宋体" w:cs="宋体"/>
                <w:color w:val="auto"/>
                <w:highlight w:val="none"/>
              </w:rPr>
            </w:pPr>
            <w:r>
              <w:rPr>
                <w:rFonts w:hint="eastAsia" w:ascii="宋体" w:hAnsi="宋体" w:eastAsia="宋体" w:cs="宋体"/>
                <w:color w:val="auto"/>
                <w:highlight w:val="none"/>
              </w:rPr>
              <w:t>（1）查询时间：自招标公告发布日期起至开标日期止。</w:t>
            </w:r>
          </w:p>
          <w:p w14:paraId="064D98DE">
            <w:pPr>
              <w:widowControl w:val="0"/>
              <w:kinsoku/>
              <w:topLinePunct/>
              <w:autoSpaceDE/>
              <w:autoSpaceDN/>
              <w:spacing w:line="300" w:lineRule="auto"/>
              <w:ind w:left="420" w:hanging="42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2）查询方式：凡拟参加本次招标项目的供应商，如在“信用中国”网站（www.creditchina.gov.cn）被列入失信被执行人、严重失信主体名单、重大税收违法失信主体；国家企业信用信息公示系统（http://www.gsxt.gov.cn）被列入严重违法失信名单（黑名单）；中国政府采购网（http://www.ccgp.gov.cn/search/cr/）被列入政府采购严重违法失信行为记录名单（尚在处罚期内的），将拒绝其参加本次采购活动（以开标现场代理机构或采购人查询为准）。</w:t>
            </w:r>
          </w:p>
          <w:p w14:paraId="7228CB02">
            <w:pPr>
              <w:widowControl w:val="0"/>
              <w:kinsoku/>
              <w:topLinePunct/>
              <w:autoSpaceDE/>
              <w:autoSpaceDN/>
              <w:spacing w:line="300" w:lineRule="auto"/>
              <w:ind w:firstLine="422" w:firstLineChars="200"/>
              <w:jc w:val="both"/>
              <w:rPr>
                <w:rFonts w:ascii="宋体" w:hAnsi="宋体" w:eastAsia="宋体" w:cs="宋体"/>
                <w:color w:val="auto"/>
                <w:highlight w:val="none"/>
              </w:rPr>
            </w:pPr>
            <w:r>
              <w:rPr>
                <w:rFonts w:hint="eastAsia" w:ascii="楷体" w:hAnsi="楷体" w:eastAsia="楷体" w:cs="楷体"/>
                <w:b/>
                <w:bCs/>
                <w:color w:val="auto"/>
                <w:highlight w:val="none"/>
              </w:rPr>
              <w:t>本项目不接受失信企业投标。</w:t>
            </w:r>
          </w:p>
        </w:tc>
      </w:tr>
      <w:tr w14:paraId="2F2F9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346" w:type="pct"/>
            <w:tcBorders>
              <w:tl2br w:val="nil"/>
              <w:tr2bl w:val="nil"/>
            </w:tcBorders>
            <w:vAlign w:val="center"/>
          </w:tcPr>
          <w:p w14:paraId="60CCB68C">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10</w:t>
            </w:r>
          </w:p>
        </w:tc>
        <w:tc>
          <w:tcPr>
            <w:tcW w:w="903" w:type="pct"/>
            <w:gridSpan w:val="2"/>
            <w:tcBorders>
              <w:tl2br w:val="nil"/>
              <w:tr2bl w:val="nil"/>
            </w:tcBorders>
            <w:vAlign w:val="center"/>
          </w:tcPr>
          <w:p w14:paraId="58A9466A">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招标文件发放</w:t>
            </w:r>
          </w:p>
        </w:tc>
        <w:tc>
          <w:tcPr>
            <w:tcW w:w="3750" w:type="pct"/>
            <w:tcBorders>
              <w:tl2br w:val="nil"/>
              <w:tr2bl w:val="nil"/>
            </w:tcBorders>
            <w:vAlign w:val="center"/>
          </w:tcPr>
          <w:p w14:paraId="3A5CF951">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供应商登陆政采云平台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highlight w:val="none"/>
              </w:rPr>
              <w:t>https://www.zcygov.cn/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在线申请获取采购文件（进入“项目采购”应用，在获取采购文件菜单中选择项目，申请获取采购文件）。</w:t>
            </w:r>
          </w:p>
        </w:tc>
      </w:tr>
      <w:tr w14:paraId="645E1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346" w:type="pct"/>
            <w:tcBorders>
              <w:tl2br w:val="nil"/>
              <w:tr2bl w:val="nil"/>
            </w:tcBorders>
            <w:vAlign w:val="center"/>
          </w:tcPr>
          <w:p w14:paraId="3F4D52DB">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11</w:t>
            </w:r>
          </w:p>
        </w:tc>
        <w:tc>
          <w:tcPr>
            <w:tcW w:w="903" w:type="pct"/>
            <w:gridSpan w:val="2"/>
            <w:tcBorders>
              <w:tl2br w:val="nil"/>
              <w:tr2bl w:val="nil"/>
            </w:tcBorders>
            <w:vAlign w:val="center"/>
          </w:tcPr>
          <w:p w14:paraId="5856384B">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踏勘现场</w:t>
            </w:r>
          </w:p>
        </w:tc>
        <w:tc>
          <w:tcPr>
            <w:tcW w:w="3750" w:type="pct"/>
            <w:tcBorders>
              <w:tl2br w:val="nil"/>
              <w:tr2bl w:val="nil"/>
            </w:tcBorders>
            <w:vAlign w:val="center"/>
          </w:tcPr>
          <w:p w14:paraId="10ABEBC2">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自行踏勘。</w:t>
            </w:r>
          </w:p>
          <w:p w14:paraId="37AFB258">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统一组织。</w:t>
            </w:r>
          </w:p>
          <w:p w14:paraId="3F48B4AA">
            <w:pPr>
              <w:widowControl w:val="0"/>
              <w:kinsoku/>
              <w:topLinePunct/>
              <w:autoSpaceDE/>
              <w:autoSpaceDN/>
              <w:spacing w:line="300" w:lineRule="auto"/>
              <w:jc w:val="both"/>
              <w:rPr>
                <w:rFonts w:ascii="宋体" w:hAnsi="宋体" w:eastAsia="宋体" w:cs="宋体"/>
                <w:color w:val="auto"/>
                <w:highlight w:val="none"/>
                <w:u w:val="single"/>
              </w:rPr>
            </w:pPr>
            <w:r>
              <w:rPr>
                <w:rFonts w:hint="eastAsia" w:ascii="宋体" w:hAnsi="宋体" w:eastAsia="宋体" w:cs="宋体"/>
                <w:color w:val="auto"/>
                <w:highlight w:val="none"/>
              </w:rPr>
              <w:t>联系人：</w:t>
            </w:r>
          </w:p>
          <w:p w14:paraId="4DE45BD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联系电话：</w:t>
            </w:r>
          </w:p>
          <w:p w14:paraId="53D844C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踏勘时间：</w:t>
            </w:r>
          </w:p>
          <w:p w14:paraId="339B6400">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踏勘地点：</w:t>
            </w:r>
          </w:p>
        </w:tc>
      </w:tr>
      <w:tr w14:paraId="01DDE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346" w:type="pct"/>
            <w:tcBorders>
              <w:tl2br w:val="nil"/>
              <w:tr2bl w:val="nil"/>
            </w:tcBorders>
            <w:vAlign w:val="center"/>
          </w:tcPr>
          <w:p w14:paraId="2C048B1A">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11</w:t>
            </w:r>
          </w:p>
        </w:tc>
        <w:tc>
          <w:tcPr>
            <w:tcW w:w="903" w:type="pct"/>
            <w:gridSpan w:val="2"/>
            <w:tcBorders>
              <w:tl2br w:val="nil"/>
              <w:tr2bl w:val="nil"/>
            </w:tcBorders>
            <w:vAlign w:val="center"/>
          </w:tcPr>
          <w:p w14:paraId="16EC9C17">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答疑接受时间</w:t>
            </w:r>
          </w:p>
        </w:tc>
        <w:tc>
          <w:tcPr>
            <w:tcW w:w="3750" w:type="pct"/>
            <w:tcBorders>
              <w:tl2br w:val="nil"/>
              <w:tr2bl w:val="nil"/>
            </w:tcBorders>
            <w:vAlign w:val="center"/>
          </w:tcPr>
          <w:p w14:paraId="737D7A5D">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在获取采购文件或者采购文件公告期限届满之日起7个工作日前接受投标人疑问或澄清要求（逾期不予受理）。</w:t>
            </w:r>
          </w:p>
          <w:p w14:paraId="70A911FD">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任国均</w:t>
            </w:r>
          </w:p>
          <w:p w14:paraId="2409C22F">
            <w:pPr>
              <w:widowControl w:val="0"/>
              <w:kinsoku/>
              <w:topLinePunct/>
              <w:autoSpaceDE/>
              <w:autoSpaceDN/>
              <w:spacing w:line="300" w:lineRule="auto"/>
              <w:jc w:val="both"/>
              <w:rPr>
                <w:rFonts w:ascii="宋体" w:hAnsi="宋体" w:eastAsia="宋体" w:cs="宋体"/>
                <w:color w:val="auto"/>
                <w:highlight w:val="none"/>
                <w:u w:val="singl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0903-6588456</w:t>
            </w:r>
          </w:p>
          <w:p w14:paraId="0FF99B44">
            <w:pPr>
              <w:widowControl w:val="0"/>
              <w:kinsoku/>
              <w:topLinePunct/>
              <w:autoSpaceDE/>
              <w:autoSpaceDN/>
              <w:spacing w:line="300" w:lineRule="auto"/>
              <w:jc w:val="both"/>
              <w:rPr>
                <w:rFonts w:hint="eastAsia" w:ascii="宋体" w:hAnsi="宋体" w:eastAsia="宋体" w:cs="宋体"/>
                <w:color w:val="auto"/>
                <w:highlight w:val="none"/>
                <w:u w:val="single"/>
              </w:rPr>
            </w:pPr>
            <w:r>
              <w:rPr>
                <w:rFonts w:hint="eastAsia" w:ascii="宋体" w:hAnsi="宋体" w:eastAsia="宋体" w:cs="宋体"/>
                <w:color w:val="auto"/>
                <w:highlight w:val="none"/>
              </w:rPr>
              <w:t>提交方式：</w:t>
            </w:r>
            <w:r>
              <w:rPr>
                <w:rFonts w:hint="eastAsia" w:ascii="宋体" w:hAnsi="宋体" w:eastAsia="宋体" w:cs="宋体"/>
                <w:color w:val="auto"/>
                <w:highlight w:val="none"/>
                <w:u w:val="single"/>
              </w:rPr>
              <w:t>书面、电子邮件（文件发送至</w:t>
            </w:r>
            <w:r>
              <w:rPr>
                <w:rFonts w:hint="eastAsia" w:ascii="宋体" w:hAnsi="宋体" w:eastAsia="宋体" w:cs="宋体"/>
                <w:color w:val="auto"/>
                <w:highlight w:val="none"/>
                <w:u w:val="single"/>
                <w:lang w:eastAsia="zh-CN"/>
              </w:rPr>
              <w:fldChar w:fldCharType="begin"/>
            </w:r>
            <w:r>
              <w:rPr>
                <w:rFonts w:hint="eastAsia" w:ascii="宋体" w:hAnsi="宋体" w:eastAsia="宋体" w:cs="宋体"/>
                <w:color w:val="auto"/>
                <w:highlight w:val="none"/>
                <w:u w:val="single"/>
                <w:lang w:eastAsia="zh-CN"/>
              </w:rPr>
              <w:instrText xml:space="preserve"> HYPERLINK "mailto:190283575@qq.com）" </w:instrText>
            </w:r>
            <w:r>
              <w:rPr>
                <w:rFonts w:hint="eastAsia" w:ascii="宋体" w:hAnsi="宋体" w:eastAsia="宋体" w:cs="宋体"/>
                <w:color w:val="auto"/>
                <w:highlight w:val="none"/>
                <w:u w:val="single"/>
                <w:lang w:eastAsia="zh-CN"/>
              </w:rPr>
              <w:fldChar w:fldCharType="separate"/>
            </w:r>
            <w:r>
              <w:rPr>
                <w:rStyle w:val="26"/>
                <w:rFonts w:hint="eastAsia" w:ascii="宋体" w:hAnsi="宋体" w:eastAsia="宋体" w:cs="宋体"/>
                <w:color w:val="auto"/>
                <w:highlight w:val="none"/>
                <w:lang w:eastAsia="zh-CN"/>
              </w:rPr>
              <w:t>190283575</w:t>
            </w:r>
            <w:r>
              <w:rPr>
                <w:rStyle w:val="26"/>
                <w:rFonts w:hint="eastAsia" w:ascii="宋体" w:hAnsi="宋体" w:eastAsia="宋体" w:cs="宋体"/>
                <w:color w:val="auto"/>
                <w:highlight w:val="none"/>
              </w:rPr>
              <w:t>@qq.com）</w:t>
            </w:r>
            <w:r>
              <w:rPr>
                <w:rFonts w:hint="eastAsia" w:ascii="宋体" w:hAnsi="宋体" w:eastAsia="宋体" w:cs="宋体"/>
                <w:color w:val="auto"/>
                <w:highlight w:val="none"/>
                <w:u w:val="single"/>
                <w:lang w:eastAsia="zh-CN"/>
              </w:rPr>
              <w:fldChar w:fldCharType="end"/>
            </w:r>
          </w:p>
          <w:p w14:paraId="099CAA49">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注：澄清、修改文件发出后，投标人必须使用最新的澄清文件制作电子投标文件，否则将无法完成上传。</w:t>
            </w:r>
          </w:p>
        </w:tc>
      </w:tr>
      <w:tr w14:paraId="5E61A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346" w:type="pct"/>
            <w:tcBorders>
              <w:tl2br w:val="nil"/>
              <w:tr2bl w:val="nil"/>
            </w:tcBorders>
            <w:vAlign w:val="center"/>
          </w:tcPr>
          <w:p w14:paraId="3B2A8613">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13</w:t>
            </w:r>
          </w:p>
        </w:tc>
        <w:tc>
          <w:tcPr>
            <w:tcW w:w="903" w:type="pct"/>
            <w:gridSpan w:val="2"/>
            <w:tcBorders>
              <w:tl2br w:val="nil"/>
              <w:tr2bl w:val="nil"/>
            </w:tcBorders>
            <w:vAlign w:val="center"/>
          </w:tcPr>
          <w:p w14:paraId="1CB451F5">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投标有效期</w:t>
            </w:r>
          </w:p>
        </w:tc>
        <w:tc>
          <w:tcPr>
            <w:tcW w:w="3750" w:type="pct"/>
            <w:tcBorders>
              <w:tl2br w:val="nil"/>
              <w:tr2bl w:val="nil"/>
            </w:tcBorders>
            <w:vAlign w:val="center"/>
          </w:tcPr>
          <w:p w14:paraId="56D5D032">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自投标截止之日起</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u w:val="single"/>
              </w:rPr>
              <w:t>0</w:t>
            </w:r>
            <w:r>
              <w:rPr>
                <w:rFonts w:hint="eastAsia" w:ascii="宋体" w:hAnsi="宋体" w:eastAsia="宋体" w:cs="宋体"/>
                <w:color w:val="auto"/>
                <w:highlight w:val="none"/>
              </w:rPr>
              <w:t>日历天。</w:t>
            </w:r>
          </w:p>
        </w:tc>
      </w:tr>
      <w:tr w14:paraId="55E51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346" w:type="pct"/>
            <w:tcBorders>
              <w:tl2br w:val="nil"/>
              <w:tr2bl w:val="nil"/>
            </w:tcBorders>
            <w:vAlign w:val="center"/>
          </w:tcPr>
          <w:p w14:paraId="2462AC8D">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14</w:t>
            </w:r>
          </w:p>
        </w:tc>
        <w:tc>
          <w:tcPr>
            <w:tcW w:w="903" w:type="pct"/>
            <w:gridSpan w:val="2"/>
            <w:tcBorders>
              <w:tl2br w:val="nil"/>
              <w:tr2bl w:val="nil"/>
            </w:tcBorders>
            <w:vAlign w:val="center"/>
          </w:tcPr>
          <w:p w14:paraId="314A7E87">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投标截止时间（开标时间）</w:t>
            </w:r>
          </w:p>
        </w:tc>
        <w:tc>
          <w:tcPr>
            <w:tcW w:w="3750" w:type="pct"/>
            <w:tcBorders>
              <w:tl2br w:val="nil"/>
              <w:tr2bl w:val="nil"/>
            </w:tcBorders>
            <w:vAlign w:val="center"/>
          </w:tcPr>
          <w:p w14:paraId="4839D12D">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截止时间：</w:t>
            </w:r>
            <w:r>
              <w:rPr>
                <w:rFonts w:hint="eastAsia" w:ascii="宋体" w:hAnsi="宋体" w:eastAsia="宋体" w:cs="宋体"/>
                <w:color w:val="auto"/>
                <w:highlight w:val="none"/>
                <w:u w:val="single"/>
                <w:lang w:eastAsia="zh-CN"/>
              </w:rPr>
              <w:t>2024年11月14日</w:t>
            </w:r>
            <w:r>
              <w:rPr>
                <w:rFonts w:hint="eastAsia" w:ascii="宋体" w:hAnsi="宋体" w:eastAsia="宋体" w:cs="宋体"/>
                <w:color w:val="auto"/>
                <w:highlight w:val="none"/>
                <w:u w:val="single"/>
              </w:rPr>
              <w:t>11：00</w:t>
            </w:r>
            <w:r>
              <w:rPr>
                <w:rFonts w:hint="eastAsia" w:ascii="宋体" w:hAnsi="宋体" w:eastAsia="宋体" w:cs="宋体"/>
                <w:color w:val="auto"/>
                <w:highlight w:val="none"/>
              </w:rPr>
              <w:t>（北京时间）</w:t>
            </w:r>
          </w:p>
        </w:tc>
      </w:tr>
      <w:tr w14:paraId="46437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346" w:type="pct"/>
            <w:tcBorders>
              <w:tl2br w:val="nil"/>
              <w:tr2bl w:val="nil"/>
            </w:tcBorders>
            <w:vAlign w:val="center"/>
          </w:tcPr>
          <w:p w14:paraId="0917370E">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15</w:t>
            </w:r>
          </w:p>
        </w:tc>
        <w:tc>
          <w:tcPr>
            <w:tcW w:w="903" w:type="pct"/>
            <w:gridSpan w:val="2"/>
            <w:tcBorders>
              <w:tl2br w:val="nil"/>
              <w:tr2bl w:val="nil"/>
            </w:tcBorders>
            <w:vAlign w:val="center"/>
          </w:tcPr>
          <w:p w14:paraId="4E83084C">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投标人在投标截止时间前提交的文件</w:t>
            </w:r>
          </w:p>
        </w:tc>
        <w:tc>
          <w:tcPr>
            <w:tcW w:w="3750" w:type="pct"/>
            <w:tcBorders>
              <w:tl2br w:val="nil"/>
              <w:tr2bl w:val="nil"/>
            </w:tcBorders>
            <w:vAlign w:val="center"/>
          </w:tcPr>
          <w:p w14:paraId="35002287">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电子投标文件（资格文件，报价文件，商务技术文件）</w:t>
            </w:r>
          </w:p>
        </w:tc>
      </w:tr>
      <w:tr w14:paraId="68C25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5584778B">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16</w:t>
            </w:r>
          </w:p>
        </w:tc>
        <w:tc>
          <w:tcPr>
            <w:tcW w:w="903" w:type="pct"/>
            <w:gridSpan w:val="2"/>
            <w:tcBorders>
              <w:tl2br w:val="nil"/>
              <w:tr2bl w:val="nil"/>
            </w:tcBorders>
            <w:vAlign w:val="center"/>
          </w:tcPr>
          <w:p w14:paraId="7F8F7916">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投标文件份数</w:t>
            </w:r>
          </w:p>
        </w:tc>
        <w:tc>
          <w:tcPr>
            <w:tcW w:w="3750" w:type="pct"/>
            <w:tcBorders>
              <w:tl2br w:val="nil"/>
              <w:tr2bl w:val="nil"/>
            </w:tcBorders>
            <w:vAlign w:val="center"/>
          </w:tcPr>
          <w:p w14:paraId="5467F1D9">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采用不见面开标：投标人应于</w:t>
            </w:r>
            <w:r>
              <w:rPr>
                <w:rFonts w:hint="eastAsia" w:ascii="宋体" w:hAnsi="宋体" w:eastAsia="宋体" w:cs="宋体"/>
                <w:color w:val="auto"/>
                <w:highlight w:val="none"/>
                <w:lang w:eastAsia="zh-CN"/>
              </w:rPr>
              <w:t>2024年11月14日</w:t>
            </w:r>
            <w:r>
              <w:rPr>
                <w:rFonts w:hint="eastAsia" w:ascii="宋体" w:hAnsi="宋体" w:eastAsia="宋体" w:cs="宋体"/>
                <w:color w:val="auto"/>
                <w:highlight w:val="none"/>
              </w:rPr>
              <w:t>11:00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40287B8D">
            <w:pPr>
              <w:widowControl w:val="0"/>
              <w:kinsoku/>
              <w:topLinePunct/>
              <w:autoSpaceDE/>
              <w:autoSpaceDN/>
              <w:spacing w:line="30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中标单位</w:t>
            </w:r>
            <w:r>
              <w:rPr>
                <w:rFonts w:hint="eastAsia" w:ascii="宋体" w:hAnsi="宋体" w:eastAsia="宋体" w:cs="宋体"/>
                <w:color w:val="auto"/>
                <w:highlight w:val="none"/>
              </w:rPr>
              <w:t>开标结束后三个工作日内通过邮寄或现场送达至四川明力建设工程项目管理有限公司，投标文件：一式三份（A4打印胶装成册）</w:t>
            </w:r>
            <w:r>
              <w:rPr>
                <w:rFonts w:hint="eastAsia" w:ascii="宋体" w:hAnsi="宋体" w:eastAsia="宋体" w:cs="宋体"/>
                <w:color w:val="auto"/>
                <w:highlight w:val="none"/>
                <w:lang w:eastAsia="zh-CN"/>
              </w:rPr>
              <w:t>。</w:t>
            </w:r>
          </w:p>
        </w:tc>
      </w:tr>
      <w:tr w14:paraId="11BCE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1975B9CD">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17</w:t>
            </w:r>
          </w:p>
        </w:tc>
        <w:tc>
          <w:tcPr>
            <w:tcW w:w="903" w:type="pct"/>
            <w:gridSpan w:val="2"/>
            <w:tcBorders>
              <w:tl2br w:val="nil"/>
              <w:tr2bl w:val="nil"/>
            </w:tcBorders>
            <w:vAlign w:val="center"/>
          </w:tcPr>
          <w:p w14:paraId="6623EB84">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开标时间及地点</w:t>
            </w:r>
          </w:p>
        </w:tc>
        <w:tc>
          <w:tcPr>
            <w:tcW w:w="3750" w:type="pct"/>
            <w:tcBorders>
              <w:tl2br w:val="nil"/>
              <w:tr2bl w:val="nil"/>
            </w:tcBorders>
            <w:vAlign w:val="center"/>
          </w:tcPr>
          <w:p w14:paraId="48C79B8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采用不见面开标：</w:t>
            </w:r>
          </w:p>
          <w:p w14:paraId="1C794243">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开标时间：同投标截止时间</w:t>
            </w:r>
          </w:p>
          <w:p w14:paraId="49D8DA59">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开标地点：政采云平台（https://www.zcygov.cn/）</w:t>
            </w:r>
          </w:p>
          <w:p w14:paraId="09170AC0">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招标文件解密时间：</w:t>
            </w:r>
          </w:p>
          <w:p w14:paraId="492EFB70">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开标时间后30分钟内（</w:t>
            </w:r>
            <w:r>
              <w:rPr>
                <w:rFonts w:hint="eastAsia" w:ascii="宋体" w:hAnsi="宋体" w:eastAsia="宋体" w:cs="宋体"/>
                <w:color w:val="auto"/>
                <w:highlight w:val="none"/>
                <w:lang w:eastAsia="zh-CN"/>
              </w:rPr>
              <w:t>2024年11月14日</w:t>
            </w:r>
            <w:r>
              <w:rPr>
                <w:rFonts w:hint="eastAsia" w:ascii="宋体" w:hAnsi="宋体" w:eastAsia="宋体" w:cs="宋体"/>
                <w:color w:val="auto"/>
                <w:highlight w:val="none"/>
              </w:rPr>
              <w:t>上午11:00-11：30前）供应商可以登录“政采云”平台，用“项目采购-开标评标”功能进行解密投标文件。若供应商在规定时间内（</w:t>
            </w:r>
            <w:r>
              <w:rPr>
                <w:rFonts w:hint="eastAsia" w:ascii="宋体" w:hAnsi="宋体" w:eastAsia="宋体" w:cs="宋体"/>
                <w:color w:val="auto"/>
                <w:highlight w:val="none"/>
                <w:lang w:eastAsia="zh-CN"/>
              </w:rPr>
              <w:t>2024年11月14日</w:t>
            </w:r>
            <w:r>
              <w:rPr>
                <w:rFonts w:hint="eastAsia" w:ascii="宋体" w:hAnsi="宋体" w:eastAsia="宋体" w:cs="宋体"/>
                <w:color w:val="auto"/>
                <w:highlight w:val="none"/>
              </w:rPr>
              <w:t>上午11:30前）未按时解密的，视为投标文件撤回。</w:t>
            </w:r>
          </w:p>
        </w:tc>
      </w:tr>
      <w:tr w14:paraId="1F9A1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7D78B573">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18</w:t>
            </w:r>
          </w:p>
        </w:tc>
        <w:tc>
          <w:tcPr>
            <w:tcW w:w="903" w:type="pct"/>
            <w:gridSpan w:val="2"/>
            <w:tcBorders>
              <w:tl2br w:val="nil"/>
              <w:tr2bl w:val="nil"/>
            </w:tcBorders>
            <w:vAlign w:val="center"/>
          </w:tcPr>
          <w:p w14:paraId="2176CCF1">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评标委员会的组成</w:t>
            </w:r>
          </w:p>
        </w:tc>
        <w:tc>
          <w:tcPr>
            <w:tcW w:w="3750" w:type="pct"/>
            <w:tcBorders>
              <w:tl2br w:val="nil"/>
              <w:tr2bl w:val="nil"/>
            </w:tcBorders>
            <w:vAlign w:val="center"/>
          </w:tcPr>
          <w:p w14:paraId="3F27FB6A">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评标委员会构成：7人或7人以上单数组成，评标专家确定方式：由招标代理在开标前48小时在政采云专家中随机抽取此次评标专家。</w:t>
            </w:r>
          </w:p>
        </w:tc>
      </w:tr>
      <w:tr w14:paraId="14EFD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6750290B">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19</w:t>
            </w:r>
          </w:p>
        </w:tc>
        <w:tc>
          <w:tcPr>
            <w:tcW w:w="903" w:type="pct"/>
            <w:gridSpan w:val="2"/>
            <w:tcBorders>
              <w:tl2br w:val="nil"/>
              <w:tr2bl w:val="nil"/>
            </w:tcBorders>
            <w:vAlign w:val="center"/>
          </w:tcPr>
          <w:p w14:paraId="517BC717">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投标保证金</w:t>
            </w:r>
          </w:p>
        </w:tc>
        <w:tc>
          <w:tcPr>
            <w:tcW w:w="3750" w:type="pct"/>
            <w:tcBorders>
              <w:tl2br w:val="nil"/>
              <w:tr2bl w:val="nil"/>
            </w:tcBorders>
            <w:vAlign w:val="center"/>
          </w:tcPr>
          <w:p w14:paraId="57B69183">
            <w:pPr>
              <w:widowControl w:val="0"/>
              <w:kinsoku/>
              <w:topLinePunct/>
              <w:autoSpaceDE/>
              <w:autoSpaceDN/>
              <w:spacing w:line="300" w:lineRule="auto"/>
              <w:jc w:val="both"/>
              <w:rPr>
                <w:color w:val="auto"/>
                <w:highlight w:val="none"/>
              </w:rPr>
            </w:pPr>
            <w:r>
              <w:rPr>
                <w:rFonts w:hint="eastAsia"/>
                <w:color w:val="auto"/>
                <w:highlight w:val="none"/>
              </w:rPr>
              <w:t>缴纳方式：以转账、汇款、电子保函等形式递交投标保证金。</w:t>
            </w:r>
          </w:p>
          <w:p w14:paraId="42A689A7">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金额（小写）：</w:t>
            </w:r>
            <w:r>
              <w:rPr>
                <w:rFonts w:hint="eastAsia" w:ascii="宋体" w:hAnsi="宋体" w:eastAsia="宋体" w:cs="宋体"/>
                <w:color w:val="auto"/>
                <w:highlight w:val="none"/>
                <w:u w:val="single"/>
                <w:lang w:val="en-US" w:eastAsia="zh-CN"/>
              </w:rPr>
              <w:t>150000</w:t>
            </w:r>
            <w:r>
              <w:rPr>
                <w:rFonts w:hint="eastAsia" w:ascii="宋体" w:hAnsi="宋体" w:eastAsia="宋体" w:cs="宋体"/>
                <w:color w:val="auto"/>
                <w:highlight w:val="none"/>
                <w:u w:val="single"/>
              </w:rPr>
              <w:t>.00元</w:t>
            </w:r>
          </w:p>
          <w:p w14:paraId="3B96967E">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金额（大写）：</w:t>
            </w:r>
            <w:r>
              <w:rPr>
                <w:rFonts w:hint="eastAsia" w:ascii="宋体" w:hAnsi="宋体" w:eastAsia="宋体" w:cs="宋体"/>
                <w:color w:val="auto"/>
                <w:highlight w:val="none"/>
                <w:u w:val="single"/>
                <w:lang w:val="en-US" w:eastAsia="zh-CN"/>
              </w:rPr>
              <w:t>壹拾伍万元</w:t>
            </w:r>
            <w:r>
              <w:rPr>
                <w:rFonts w:hint="eastAsia" w:ascii="宋体" w:hAnsi="宋体" w:eastAsia="宋体" w:cs="宋体"/>
                <w:color w:val="auto"/>
                <w:highlight w:val="none"/>
                <w:u w:val="single"/>
              </w:rPr>
              <w:t>整</w:t>
            </w:r>
          </w:p>
          <w:p w14:paraId="2E9074CA">
            <w:pPr>
              <w:topLinePunct/>
              <w:adjustRightInd w:val="0"/>
              <w:snapToGrid w:val="0"/>
              <w:spacing w:line="276" w:lineRule="auto"/>
              <w:ind w:left="0" w:right="0" w:firstLine="0" w:firstLineChars="0"/>
              <w:rPr>
                <w:rFonts w:hint="eastAsia" w:ascii="宋体" w:hAnsi="宋体" w:cs="仿宋"/>
                <w:color w:val="auto"/>
                <w:kern w:val="0"/>
                <w:szCs w:val="21"/>
                <w:highlight w:val="none"/>
              </w:rPr>
            </w:pPr>
            <w:r>
              <w:rPr>
                <w:rFonts w:hint="eastAsia" w:ascii="宋体" w:hAnsi="宋体" w:cs="仿宋"/>
                <w:color w:val="auto"/>
                <w:kern w:val="0"/>
                <w:szCs w:val="21"/>
                <w:highlight w:val="none"/>
              </w:rPr>
              <w:t>开户名称：四川明力建设工程项目管理有限公司和田分公司</w:t>
            </w:r>
          </w:p>
          <w:p w14:paraId="362108EA">
            <w:pPr>
              <w:topLinePunct/>
              <w:adjustRightInd w:val="0"/>
              <w:snapToGrid w:val="0"/>
              <w:spacing w:line="276" w:lineRule="auto"/>
              <w:ind w:left="0" w:right="0" w:firstLine="0" w:firstLineChars="0"/>
              <w:rPr>
                <w:rFonts w:hint="eastAsia" w:ascii="宋体" w:hAnsi="宋体" w:cs="仿宋"/>
                <w:color w:val="auto"/>
                <w:kern w:val="0"/>
                <w:szCs w:val="21"/>
                <w:highlight w:val="none"/>
              </w:rPr>
            </w:pPr>
            <w:r>
              <w:rPr>
                <w:rFonts w:hint="eastAsia" w:ascii="宋体" w:hAnsi="宋体" w:cs="仿宋"/>
                <w:color w:val="auto"/>
                <w:kern w:val="0"/>
                <w:szCs w:val="21"/>
                <w:highlight w:val="none"/>
              </w:rPr>
              <w:t>开户银行：中国建设银行股份有限公司和田地区分行营业部</w:t>
            </w:r>
          </w:p>
          <w:p w14:paraId="2B34F3D1">
            <w:pPr>
              <w:topLinePunct/>
              <w:adjustRightInd w:val="0"/>
              <w:snapToGrid w:val="0"/>
              <w:spacing w:line="276" w:lineRule="auto"/>
              <w:ind w:left="0" w:right="0" w:firstLine="0" w:firstLineChars="0"/>
              <w:rPr>
                <w:rFonts w:hint="eastAsia" w:ascii="宋体" w:hAnsi="宋体" w:cs="仿宋"/>
                <w:color w:val="auto"/>
                <w:kern w:val="0"/>
                <w:szCs w:val="21"/>
                <w:highlight w:val="none"/>
              </w:rPr>
            </w:pPr>
            <w:r>
              <w:rPr>
                <w:rFonts w:hint="eastAsia" w:ascii="宋体" w:hAnsi="宋体" w:cs="仿宋"/>
                <w:color w:val="auto"/>
                <w:kern w:val="0"/>
                <w:szCs w:val="21"/>
                <w:highlight w:val="none"/>
              </w:rPr>
              <w:t>账    号：65050172868600000395</w:t>
            </w:r>
          </w:p>
          <w:p w14:paraId="5A85EE75">
            <w:pPr>
              <w:topLinePunct/>
              <w:adjustRightInd w:val="0"/>
              <w:snapToGrid w:val="0"/>
              <w:spacing w:line="276" w:lineRule="auto"/>
              <w:ind w:left="0" w:right="0" w:firstLine="0" w:firstLineChars="0"/>
              <w:rPr>
                <w:rFonts w:hint="eastAsia" w:ascii="宋体" w:hAnsi="宋体" w:cs="仿宋"/>
                <w:color w:val="auto"/>
                <w:kern w:val="0"/>
                <w:szCs w:val="21"/>
                <w:highlight w:val="none"/>
              </w:rPr>
            </w:pPr>
            <w:r>
              <w:rPr>
                <w:rFonts w:hint="eastAsia" w:ascii="宋体" w:hAnsi="宋体" w:cs="仿宋"/>
                <w:color w:val="auto"/>
                <w:kern w:val="0"/>
                <w:szCs w:val="21"/>
                <w:highlight w:val="none"/>
              </w:rPr>
              <w:t>银行行号：1058 9600 0102</w:t>
            </w:r>
          </w:p>
          <w:p w14:paraId="6E4EDFC2">
            <w:pPr>
              <w:topLinePunct/>
              <w:adjustRightInd w:val="0"/>
              <w:snapToGrid w:val="0"/>
              <w:spacing w:line="276" w:lineRule="auto"/>
              <w:ind w:left="0" w:right="0" w:firstLine="0" w:firstLineChars="0"/>
              <w:rPr>
                <w:rFonts w:ascii="宋体" w:hAnsi="宋体" w:cs="仿宋"/>
                <w:color w:val="auto"/>
                <w:kern w:val="0"/>
                <w:szCs w:val="21"/>
                <w:highlight w:val="none"/>
              </w:rPr>
            </w:pPr>
            <w:r>
              <w:rPr>
                <w:rFonts w:hint="eastAsia" w:ascii="宋体" w:hAnsi="宋体" w:cs="仿宋"/>
                <w:color w:val="auto"/>
                <w:kern w:val="0"/>
                <w:szCs w:val="21"/>
                <w:highlight w:val="none"/>
              </w:rPr>
              <w:t>注：保证金缴纳时请供应商仔细核对收取人名称、开户银行及账号，并注明项目名称。投标保证金请于投标截止时间前缴入指定账户，各投标企业保证金缴纳只接受企业基本账户足额对公转账，其他以私人名义或现金缴纳等存入、汇款方式均视为无效投标保证金，未按规定时间交保证金的投标人不得参加本次投标（以到账时间为准）。</w:t>
            </w:r>
            <w:r>
              <w:rPr>
                <w:rFonts w:hint="eastAsia" w:ascii="宋体" w:hAnsi="宋体" w:cs="仿宋"/>
                <w:b/>
                <w:bCs/>
                <w:color w:val="auto"/>
                <w:kern w:val="0"/>
                <w:szCs w:val="21"/>
                <w:highlight w:val="none"/>
              </w:rPr>
              <w:t>投标单位须在汇款单备注栏标明：XXX项目</w:t>
            </w:r>
            <w:r>
              <w:rPr>
                <w:rFonts w:hint="eastAsia" w:ascii="宋体" w:hAnsi="宋体" w:cs="仿宋"/>
                <w:b/>
                <w:bCs/>
                <w:color w:val="auto"/>
                <w:kern w:val="0"/>
                <w:szCs w:val="21"/>
                <w:highlight w:val="none"/>
                <w:lang w:val="en-US" w:eastAsia="zh-CN"/>
              </w:rPr>
              <w:t>名称</w:t>
            </w:r>
            <w:r>
              <w:rPr>
                <w:rFonts w:hint="eastAsia" w:ascii="宋体" w:hAnsi="宋体" w:cs="仿宋"/>
                <w:b/>
                <w:bCs/>
                <w:color w:val="auto"/>
                <w:kern w:val="0"/>
                <w:szCs w:val="21"/>
                <w:highlight w:val="none"/>
              </w:rPr>
              <w:t>、项目编号。</w:t>
            </w:r>
            <w:r>
              <w:rPr>
                <w:rFonts w:hint="eastAsia" w:ascii="宋体" w:hAnsi="宋体" w:cs="仿宋"/>
                <w:color w:val="auto"/>
                <w:kern w:val="0"/>
                <w:szCs w:val="21"/>
                <w:highlight w:val="none"/>
              </w:rP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1310991B">
            <w:pPr>
              <w:topLinePunct/>
              <w:adjustRightInd w:val="0"/>
              <w:snapToGrid w:val="0"/>
              <w:spacing w:line="276" w:lineRule="auto"/>
              <w:ind w:left="0" w:right="0" w:firstLine="0" w:firstLineChars="0"/>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保函投保金额(元)：</w:t>
            </w:r>
            <w:r>
              <w:rPr>
                <w:rFonts w:hint="eastAsia" w:ascii="宋体" w:hAnsi="宋体" w:cs="仿宋"/>
                <w:b/>
                <w:bCs/>
                <w:color w:val="auto"/>
                <w:kern w:val="0"/>
                <w:szCs w:val="21"/>
                <w:highlight w:val="none"/>
                <w:lang w:val="en-US" w:eastAsia="zh-CN"/>
              </w:rPr>
              <w:t>150000元（壹拾伍万元整）</w:t>
            </w:r>
            <w:r>
              <w:rPr>
                <w:rFonts w:hint="eastAsia" w:ascii="宋体" w:hAnsi="宋体" w:cs="仿宋"/>
                <w:b/>
                <w:bCs/>
                <w:color w:val="auto"/>
                <w:kern w:val="0"/>
                <w:szCs w:val="21"/>
                <w:highlight w:val="none"/>
              </w:rPr>
              <w:t xml:space="preserve">         </w:t>
            </w:r>
          </w:p>
          <w:p w14:paraId="21B9F4C2">
            <w:pPr>
              <w:widowControl w:val="0"/>
              <w:kinsoku/>
              <w:topLinePunct/>
              <w:autoSpaceDE/>
              <w:autoSpaceDN/>
              <w:spacing w:line="300" w:lineRule="auto"/>
              <w:jc w:val="both"/>
              <w:rPr>
                <w:rFonts w:hint="default" w:ascii="宋体" w:hAnsi="宋体" w:eastAsia="宋体" w:cs="宋体"/>
                <w:color w:val="auto"/>
                <w:highlight w:val="none"/>
                <w:lang w:val="en-US" w:eastAsia="zh-CN"/>
              </w:rPr>
            </w:pPr>
            <w:r>
              <w:rPr>
                <w:rFonts w:hint="eastAsia" w:ascii="宋体" w:hAnsi="宋体" w:cs="仿宋"/>
                <w:b/>
                <w:bCs/>
                <w:color w:val="auto"/>
                <w:kern w:val="0"/>
                <w:szCs w:val="21"/>
                <w:highlight w:val="none"/>
              </w:rPr>
              <w:t>保函承保期限：</w:t>
            </w:r>
            <w:r>
              <w:rPr>
                <w:rFonts w:hint="eastAsia" w:ascii="宋体" w:hAnsi="宋体" w:cs="仿宋"/>
                <w:b/>
                <w:bCs/>
                <w:color w:val="auto"/>
                <w:kern w:val="0"/>
                <w:szCs w:val="21"/>
                <w:highlight w:val="none"/>
                <w:lang w:eastAsia="zh-CN"/>
              </w:rPr>
              <w:t>2024年11月14日--</w:t>
            </w:r>
            <w:r>
              <w:rPr>
                <w:rFonts w:hint="eastAsia" w:ascii="宋体" w:hAnsi="宋体" w:cs="仿宋"/>
                <w:b/>
                <w:bCs/>
                <w:color w:val="auto"/>
                <w:kern w:val="0"/>
                <w:szCs w:val="21"/>
                <w:highlight w:val="none"/>
              </w:rPr>
              <w:t xml:space="preserve"> 202</w:t>
            </w:r>
            <w:r>
              <w:rPr>
                <w:rFonts w:hint="eastAsia" w:ascii="宋体" w:hAnsi="宋体" w:cs="仿宋"/>
                <w:b/>
                <w:bCs/>
                <w:color w:val="auto"/>
                <w:kern w:val="0"/>
                <w:szCs w:val="21"/>
                <w:highlight w:val="none"/>
                <w:lang w:val="en-US" w:eastAsia="zh-CN"/>
              </w:rPr>
              <w:t>5</w:t>
            </w:r>
            <w:r>
              <w:rPr>
                <w:rFonts w:hint="eastAsia" w:ascii="宋体" w:hAnsi="宋体" w:cs="仿宋"/>
                <w:b/>
                <w:bCs/>
                <w:color w:val="auto"/>
                <w:kern w:val="0"/>
                <w:szCs w:val="21"/>
                <w:highlight w:val="none"/>
              </w:rPr>
              <w:t xml:space="preserve"> 年</w:t>
            </w:r>
            <w:r>
              <w:rPr>
                <w:rFonts w:hint="eastAsia" w:ascii="宋体" w:hAnsi="宋体" w:cs="仿宋"/>
                <w:b/>
                <w:bCs/>
                <w:color w:val="auto"/>
                <w:kern w:val="0"/>
                <w:szCs w:val="21"/>
                <w:highlight w:val="none"/>
                <w:lang w:val="en-US" w:eastAsia="zh-CN"/>
              </w:rPr>
              <w:t>02</w:t>
            </w:r>
            <w:r>
              <w:rPr>
                <w:rFonts w:hint="eastAsia" w:ascii="宋体" w:hAnsi="宋体" w:cs="仿宋"/>
                <w:b/>
                <w:bCs/>
                <w:color w:val="auto"/>
                <w:kern w:val="0"/>
                <w:szCs w:val="21"/>
                <w:highlight w:val="none"/>
              </w:rPr>
              <w:t>月</w:t>
            </w:r>
            <w:r>
              <w:rPr>
                <w:rFonts w:hint="eastAsia" w:ascii="宋体" w:hAnsi="宋体" w:cs="仿宋"/>
                <w:b/>
                <w:bCs/>
                <w:color w:val="auto"/>
                <w:kern w:val="0"/>
                <w:szCs w:val="21"/>
                <w:highlight w:val="none"/>
                <w:lang w:val="en-US" w:eastAsia="zh-CN"/>
              </w:rPr>
              <w:t>12</w:t>
            </w:r>
            <w:r>
              <w:rPr>
                <w:rFonts w:hint="eastAsia" w:ascii="宋体" w:hAnsi="宋体" w:cs="仿宋"/>
                <w:b/>
                <w:bCs/>
                <w:color w:val="auto"/>
                <w:kern w:val="0"/>
                <w:szCs w:val="21"/>
                <w:highlight w:val="none"/>
              </w:rPr>
              <w:t xml:space="preserve">日（90日历天） </w:t>
            </w:r>
            <w:r>
              <w:rPr>
                <w:rFonts w:hint="eastAsia" w:ascii="宋体" w:hAnsi="宋体" w:cs="仿宋"/>
                <w:color w:val="auto"/>
                <w:kern w:val="0"/>
                <w:szCs w:val="21"/>
                <w:highlight w:val="none"/>
              </w:rPr>
              <w:t xml:space="preserve"> </w:t>
            </w:r>
          </w:p>
        </w:tc>
      </w:tr>
      <w:tr w14:paraId="589F8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397EECBC">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lang w:eastAsia="zh-CN"/>
                <w14:textOutline w14:w="4356" w14:cap="sq" w14:cmpd="sng" w14:algn="ctr">
                  <w14:solidFill>
                    <w14:srgbClr w14:val="000000"/>
                  </w14:solidFill>
                  <w14:prstDash w14:val="solid"/>
                  <w14:bevel/>
                </w14:textOutline>
              </w:rPr>
              <w:t xml:space="preserve"> </w:t>
            </w: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20</w:t>
            </w:r>
          </w:p>
        </w:tc>
        <w:tc>
          <w:tcPr>
            <w:tcW w:w="903" w:type="pct"/>
            <w:gridSpan w:val="2"/>
            <w:tcBorders>
              <w:tl2br w:val="nil"/>
              <w:tr2bl w:val="nil"/>
            </w:tcBorders>
            <w:vAlign w:val="center"/>
          </w:tcPr>
          <w:p w14:paraId="26EECEC5">
            <w:pPr>
              <w:widowControl w:val="0"/>
              <w:kinsoku/>
              <w:topLinePunct/>
              <w:autoSpaceDE/>
              <w:autoSpaceDN/>
              <w:spacing w:line="300" w:lineRule="auto"/>
              <w:jc w:val="center"/>
              <w:rPr>
                <w:rFonts w:hint="eastAsia" w:ascii="宋体" w:hAnsi="宋体" w:eastAsia="宋体" w:cs="宋体"/>
                <w:color w:val="auto"/>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政府采购政策</w:t>
            </w:r>
            <w:r>
              <w:rPr>
                <w:rFonts w:hint="eastAsia" w:ascii="宋体" w:hAnsi="宋体" w:eastAsia="宋体" w:cs="宋体"/>
                <w:color w:val="auto"/>
                <w:highlight w:val="none"/>
                <w:lang w:val="en-US" w:eastAsia="zh-CN"/>
                <w14:textOutline w14:w="4356" w14:cap="sq" w14:cmpd="sng" w14:algn="ctr">
                  <w14:solidFill>
                    <w14:srgbClr w14:val="000000"/>
                  </w14:solidFill>
                  <w14:prstDash w14:val="solid"/>
                  <w14:bevel/>
                </w14:textOutline>
              </w:rPr>
              <w:t>支持</w:t>
            </w:r>
          </w:p>
        </w:tc>
        <w:tc>
          <w:tcPr>
            <w:tcW w:w="3750" w:type="pct"/>
            <w:tcBorders>
              <w:tl2br w:val="nil"/>
              <w:tr2bl w:val="nil"/>
            </w:tcBorders>
            <w:vAlign w:val="center"/>
          </w:tcPr>
          <w:p w14:paraId="1D5F7386">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根据财政部、工业和信息化部关于印发《政府采购促进中小企业发展管理办法》的通知（财库〔2020〕46号）；根据财政部、工业和信息化部关于印发《关于进一步加大政府采购支持中小企业力度的通知》（财库〔2022〕19号）；超过200万元的货物和服务采购项目适宜由中小企业提供的，预留该部分采购项目预算总额的30%面向中小企业采购，其中预留给小微企业的比例为60%。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本项目中小企业划分标准为：其他未列明行业。从业人员300人以下的为中小微型企业。其中，从业人员100人及以上的为中型企业；从业人员10人及以上的为小型企业；从业人员10人以下的为微型企业。</w:t>
            </w:r>
          </w:p>
        </w:tc>
      </w:tr>
      <w:tr w14:paraId="6A993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0E07D709">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21</w:t>
            </w:r>
          </w:p>
        </w:tc>
        <w:tc>
          <w:tcPr>
            <w:tcW w:w="903" w:type="pct"/>
            <w:gridSpan w:val="2"/>
            <w:tcBorders>
              <w:tl2br w:val="nil"/>
              <w:tr2bl w:val="nil"/>
            </w:tcBorders>
            <w:vAlign w:val="center"/>
          </w:tcPr>
          <w:p w14:paraId="7A10C3EE">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技术部分是否采用“暗标”评审方式</w:t>
            </w:r>
          </w:p>
        </w:tc>
        <w:tc>
          <w:tcPr>
            <w:tcW w:w="3750" w:type="pct"/>
            <w:tcBorders>
              <w:tl2br w:val="nil"/>
              <w:tr2bl w:val="nil"/>
            </w:tcBorders>
            <w:vAlign w:val="center"/>
          </w:tcPr>
          <w:p w14:paraId="311BE8F8">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w:t>
            </w:r>
          </w:p>
          <w:p w14:paraId="02579EC9">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□是。</w:t>
            </w:r>
          </w:p>
        </w:tc>
      </w:tr>
      <w:tr w14:paraId="4500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2C669540">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22</w:t>
            </w:r>
          </w:p>
        </w:tc>
        <w:tc>
          <w:tcPr>
            <w:tcW w:w="903" w:type="pct"/>
            <w:gridSpan w:val="2"/>
            <w:tcBorders>
              <w:tl2br w:val="nil"/>
              <w:tr2bl w:val="nil"/>
            </w:tcBorders>
            <w:vAlign w:val="center"/>
          </w:tcPr>
          <w:p w14:paraId="2C7FA80F">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评审方法</w:t>
            </w:r>
          </w:p>
        </w:tc>
        <w:tc>
          <w:tcPr>
            <w:tcW w:w="3750" w:type="pct"/>
            <w:tcBorders>
              <w:tl2br w:val="nil"/>
              <w:tr2bl w:val="nil"/>
            </w:tcBorders>
            <w:vAlign w:val="center"/>
          </w:tcPr>
          <w:p w14:paraId="09F78B3B">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资格后审</w:t>
            </w:r>
          </w:p>
          <w:p w14:paraId="44A12D1A">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综合评分法</w:t>
            </w:r>
          </w:p>
        </w:tc>
      </w:tr>
      <w:tr w14:paraId="4328A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51058398">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23</w:t>
            </w:r>
          </w:p>
        </w:tc>
        <w:tc>
          <w:tcPr>
            <w:tcW w:w="903" w:type="pct"/>
            <w:gridSpan w:val="2"/>
            <w:tcBorders>
              <w:tl2br w:val="nil"/>
              <w:tr2bl w:val="nil"/>
            </w:tcBorders>
            <w:vAlign w:val="center"/>
          </w:tcPr>
          <w:p w14:paraId="7E592933">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履约保证金</w:t>
            </w:r>
          </w:p>
        </w:tc>
        <w:tc>
          <w:tcPr>
            <w:tcW w:w="3750" w:type="pct"/>
            <w:tcBorders>
              <w:tl2br w:val="nil"/>
              <w:tr2bl w:val="nil"/>
            </w:tcBorders>
            <w:vAlign w:val="center"/>
          </w:tcPr>
          <w:p w14:paraId="21CFC3B9">
            <w:pPr>
              <w:widowControl w:val="0"/>
              <w:kinsoku/>
              <w:topLinePunct/>
              <w:autoSpaceDE/>
              <w:autoSpaceDN/>
              <w:spacing w:line="30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履约保证金的数额不得超过政府采购合同金额的10%。具体以与甲方约定为准，中标人与招标人签订合同前提交履约保证金，如中标人未按规定的时间履行服务项目，则扣除履约保证金。</w:t>
            </w:r>
          </w:p>
          <w:p w14:paraId="0271F7C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履约保证金形式：支票、汇票、本票、或者金融机构、担保机构出具的保函、等非现金形式提交（履约赔付地点为项目所在地）</w:t>
            </w:r>
          </w:p>
        </w:tc>
      </w:tr>
      <w:tr w14:paraId="01B1C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41B4799F">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24</w:t>
            </w:r>
          </w:p>
        </w:tc>
        <w:tc>
          <w:tcPr>
            <w:tcW w:w="903" w:type="pct"/>
            <w:gridSpan w:val="2"/>
            <w:tcBorders>
              <w:tl2br w:val="nil"/>
              <w:tr2bl w:val="nil"/>
            </w:tcBorders>
            <w:vAlign w:val="center"/>
          </w:tcPr>
          <w:p w14:paraId="02DDB232">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代理服务费</w:t>
            </w:r>
          </w:p>
        </w:tc>
        <w:tc>
          <w:tcPr>
            <w:tcW w:w="3750" w:type="pct"/>
            <w:tcBorders>
              <w:tl2br w:val="nil"/>
              <w:tr2bl w:val="nil"/>
            </w:tcBorders>
            <w:vAlign w:val="center"/>
          </w:tcPr>
          <w:p w14:paraId="2B539796">
            <w:pPr>
              <w:widowControl w:val="0"/>
              <w:kinsoku/>
              <w:topLinePunct/>
              <w:autoSpaceDE/>
              <w:autoSpaceDN/>
              <w:spacing w:line="300" w:lineRule="auto"/>
              <w:jc w:val="both"/>
              <w:rPr>
                <w:rFonts w:hint="eastAsia" w:ascii="宋体" w:hAnsi="宋体" w:eastAsia="宋体" w:cs="宋体"/>
                <w:color w:val="auto"/>
                <w:highlight w:val="none"/>
              </w:rPr>
            </w:pPr>
            <w:r>
              <w:rPr>
                <w:rFonts w:hint="eastAsia" w:ascii="宋体" w:hAnsi="宋体" w:eastAsia="宋体" w:cs="宋体"/>
                <w:color w:val="auto"/>
                <w:highlight w:val="none"/>
              </w:rPr>
              <w:t>代理费用收取方式及标准，采用以下方式：</w:t>
            </w:r>
          </w:p>
          <w:p w14:paraId="1951EC06">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参照《招标代理服务收费管理暂行办法》计价格〔2002〕1980号文和发改价格〔2011〕534号文以中标价计取，由</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人领取成交通知书时一次性支付。</w:t>
            </w:r>
          </w:p>
        </w:tc>
      </w:tr>
      <w:tr w14:paraId="72503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0F209348">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25</w:t>
            </w:r>
          </w:p>
        </w:tc>
        <w:tc>
          <w:tcPr>
            <w:tcW w:w="903" w:type="pct"/>
            <w:gridSpan w:val="2"/>
            <w:tcBorders>
              <w:tl2br w:val="nil"/>
              <w:tr2bl w:val="nil"/>
            </w:tcBorders>
            <w:vAlign w:val="center"/>
          </w:tcPr>
          <w:p w14:paraId="220077D4">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场地服务费</w:t>
            </w:r>
          </w:p>
        </w:tc>
        <w:tc>
          <w:tcPr>
            <w:tcW w:w="3750" w:type="pct"/>
            <w:tcBorders>
              <w:tl2br w:val="nil"/>
              <w:tr2bl w:val="nil"/>
            </w:tcBorders>
            <w:vAlign w:val="center"/>
          </w:tcPr>
          <w:p w14:paraId="0A5E9AE2">
            <w:pPr>
              <w:widowControl w:val="0"/>
              <w:kinsoku/>
              <w:topLinePunct/>
              <w:autoSpaceDE/>
              <w:autoSpaceDN/>
              <w:spacing w:line="300" w:lineRule="auto"/>
              <w:jc w:val="both"/>
              <w:rPr>
                <w:rFonts w:ascii="宋体" w:hAnsi="宋体" w:eastAsia="宋体" w:cs="宋体"/>
                <w:color w:val="auto"/>
                <w:highlight w:val="none"/>
              </w:rPr>
            </w:pPr>
            <w:bookmarkStart w:id="24" w:name="OLE_LINK1"/>
            <w:r>
              <w:rPr>
                <w:rFonts w:hint="eastAsia" w:ascii="宋体" w:hAnsi="宋体" w:eastAsia="宋体" w:cs="宋体"/>
                <w:color w:val="auto"/>
                <w:highlight w:val="none"/>
                <w:lang w:eastAsia="zh-CN"/>
              </w:rPr>
              <w:t>☑</w:t>
            </w:r>
            <w:bookmarkEnd w:id="24"/>
            <w:r>
              <w:rPr>
                <w:rFonts w:hint="eastAsia" w:ascii="宋体" w:hAnsi="宋体" w:eastAsia="宋体" w:cs="宋体"/>
                <w:color w:val="auto"/>
                <w:highlight w:val="none"/>
              </w:rPr>
              <w:t>不交纳。</w:t>
            </w:r>
          </w:p>
          <w:p w14:paraId="50085651">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□交纳。</w:t>
            </w:r>
          </w:p>
        </w:tc>
      </w:tr>
      <w:tr w14:paraId="65387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463BDCEA">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26</w:t>
            </w:r>
          </w:p>
        </w:tc>
        <w:tc>
          <w:tcPr>
            <w:tcW w:w="903" w:type="pct"/>
            <w:gridSpan w:val="2"/>
            <w:tcBorders>
              <w:tl2br w:val="nil"/>
              <w:tr2bl w:val="nil"/>
            </w:tcBorders>
            <w:vAlign w:val="center"/>
          </w:tcPr>
          <w:p w14:paraId="729630C8">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付款途径</w:t>
            </w:r>
          </w:p>
        </w:tc>
        <w:tc>
          <w:tcPr>
            <w:tcW w:w="3750" w:type="pct"/>
            <w:tcBorders>
              <w:tl2br w:val="nil"/>
              <w:tr2bl w:val="nil"/>
            </w:tcBorders>
            <w:vAlign w:val="center"/>
          </w:tcPr>
          <w:p w14:paraId="0A84E23F">
            <w:pPr>
              <w:widowControl w:val="0"/>
              <w:tabs>
                <w:tab w:val="left" w:pos="480"/>
              </w:tabs>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u w:val="single"/>
              </w:rPr>
              <w:t>公对公账户进行转账</w:t>
            </w:r>
          </w:p>
        </w:tc>
      </w:tr>
      <w:tr w14:paraId="04B8A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16F98059">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27</w:t>
            </w:r>
          </w:p>
        </w:tc>
        <w:tc>
          <w:tcPr>
            <w:tcW w:w="903" w:type="pct"/>
            <w:gridSpan w:val="2"/>
            <w:tcBorders>
              <w:tl2br w:val="nil"/>
              <w:tr2bl w:val="nil"/>
            </w:tcBorders>
            <w:vAlign w:val="center"/>
          </w:tcPr>
          <w:p w14:paraId="63FEF1FB">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付款方式</w:t>
            </w:r>
          </w:p>
        </w:tc>
        <w:tc>
          <w:tcPr>
            <w:tcW w:w="3750" w:type="pct"/>
            <w:tcBorders>
              <w:tl2br w:val="nil"/>
              <w:tr2bl w:val="nil"/>
            </w:tcBorders>
            <w:vAlign w:val="center"/>
          </w:tcPr>
          <w:p w14:paraId="76169B3C">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本项目进度款按进度支付，每半年支付一次进度款。向发包人报送该支付周期内完成的工程量报告，并附进度付款申请单、已完成工程量报表和对比照片等相关资料；发包人在收到承包人提交的工程量报告后14天内，完成对承包人提交的工程量报告的审核，按照审计确定的金额支付进度款。（具体以签订合同为准）</w:t>
            </w:r>
          </w:p>
        </w:tc>
      </w:tr>
      <w:tr w14:paraId="5EFB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3EE95129">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28</w:t>
            </w:r>
          </w:p>
        </w:tc>
        <w:tc>
          <w:tcPr>
            <w:tcW w:w="903" w:type="pct"/>
            <w:gridSpan w:val="2"/>
            <w:tcBorders>
              <w:tl2br w:val="nil"/>
              <w:tr2bl w:val="nil"/>
            </w:tcBorders>
            <w:vAlign w:val="center"/>
          </w:tcPr>
          <w:p w14:paraId="51E8AA41">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合同履行期限</w:t>
            </w:r>
          </w:p>
        </w:tc>
        <w:tc>
          <w:tcPr>
            <w:tcW w:w="3750" w:type="pct"/>
            <w:tcBorders>
              <w:tl2br w:val="nil"/>
              <w:tr2bl w:val="nil"/>
            </w:tcBorders>
            <w:vAlign w:val="center"/>
          </w:tcPr>
          <w:p w14:paraId="564F30C0">
            <w:pPr>
              <w:widowControl w:val="0"/>
              <w:tabs>
                <w:tab w:val="left" w:pos="715"/>
              </w:tabs>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u w:val="single"/>
              </w:rPr>
              <w:t>一年（以签订合同时间为准）</w:t>
            </w:r>
          </w:p>
        </w:tc>
      </w:tr>
      <w:tr w14:paraId="39F06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230AE19D">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29</w:t>
            </w:r>
          </w:p>
        </w:tc>
        <w:tc>
          <w:tcPr>
            <w:tcW w:w="903" w:type="pct"/>
            <w:gridSpan w:val="2"/>
            <w:tcBorders>
              <w:tl2br w:val="nil"/>
              <w:tr2bl w:val="nil"/>
            </w:tcBorders>
            <w:vAlign w:val="center"/>
          </w:tcPr>
          <w:p w14:paraId="5D21D040">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交付地点</w:t>
            </w:r>
          </w:p>
        </w:tc>
        <w:tc>
          <w:tcPr>
            <w:tcW w:w="3750" w:type="pct"/>
            <w:tcBorders>
              <w:tl2br w:val="nil"/>
              <w:tr2bl w:val="nil"/>
            </w:tcBorders>
            <w:vAlign w:val="center"/>
          </w:tcPr>
          <w:p w14:paraId="0E6067BA">
            <w:pPr>
              <w:widowControl w:val="0"/>
              <w:tabs>
                <w:tab w:val="left" w:pos="715"/>
              </w:tabs>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u w:val="single"/>
              </w:rPr>
              <w:t>和田市</w:t>
            </w:r>
          </w:p>
        </w:tc>
      </w:tr>
      <w:tr w14:paraId="78638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0C6137BC">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30</w:t>
            </w:r>
          </w:p>
        </w:tc>
        <w:tc>
          <w:tcPr>
            <w:tcW w:w="903" w:type="pct"/>
            <w:gridSpan w:val="2"/>
            <w:tcBorders>
              <w:tl2br w:val="nil"/>
              <w:tr2bl w:val="nil"/>
            </w:tcBorders>
            <w:vAlign w:val="center"/>
          </w:tcPr>
          <w:p w14:paraId="10AB418D">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保修期</w:t>
            </w:r>
          </w:p>
        </w:tc>
        <w:tc>
          <w:tcPr>
            <w:tcW w:w="3750" w:type="pct"/>
            <w:tcBorders>
              <w:tl2br w:val="nil"/>
              <w:tr2bl w:val="nil"/>
            </w:tcBorders>
            <w:vAlign w:val="center"/>
          </w:tcPr>
          <w:p w14:paraId="34D1F694">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一年</w:t>
            </w:r>
          </w:p>
        </w:tc>
      </w:tr>
      <w:tr w14:paraId="3ECEC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737E8879">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31</w:t>
            </w:r>
          </w:p>
        </w:tc>
        <w:tc>
          <w:tcPr>
            <w:tcW w:w="903" w:type="pct"/>
            <w:gridSpan w:val="2"/>
            <w:tcBorders>
              <w:tl2br w:val="nil"/>
              <w:tr2bl w:val="nil"/>
            </w:tcBorders>
            <w:vAlign w:val="center"/>
          </w:tcPr>
          <w:p w14:paraId="6A837905">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争议的解决</w:t>
            </w:r>
          </w:p>
        </w:tc>
        <w:tc>
          <w:tcPr>
            <w:tcW w:w="3750" w:type="pct"/>
            <w:tcBorders>
              <w:tl2br w:val="nil"/>
              <w:tr2bl w:val="nil"/>
            </w:tcBorders>
            <w:vAlign w:val="center"/>
          </w:tcPr>
          <w:p w14:paraId="3112EBF4">
            <w:pPr>
              <w:widowControl w:val="0"/>
              <w:tabs>
                <w:tab w:val="left" w:pos="477"/>
              </w:tabs>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u w:val="single"/>
              </w:rPr>
              <w:t>项目所在地法院</w:t>
            </w:r>
          </w:p>
        </w:tc>
      </w:tr>
      <w:tr w14:paraId="35535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33BE1821">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32</w:t>
            </w:r>
          </w:p>
        </w:tc>
        <w:tc>
          <w:tcPr>
            <w:tcW w:w="903" w:type="pct"/>
            <w:gridSpan w:val="2"/>
            <w:tcBorders>
              <w:tl2br w:val="nil"/>
              <w:tr2bl w:val="nil"/>
            </w:tcBorders>
            <w:vAlign w:val="center"/>
          </w:tcPr>
          <w:p w14:paraId="067D0787">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最高限价</w:t>
            </w:r>
          </w:p>
        </w:tc>
        <w:tc>
          <w:tcPr>
            <w:tcW w:w="3750" w:type="pct"/>
            <w:tcBorders>
              <w:tl2br w:val="nil"/>
              <w:tr2bl w:val="nil"/>
            </w:tcBorders>
            <w:vAlign w:val="center"/>
          </w:tcPr>
          <w:p w14:paraId="725F9385">
            <w:pPr>
              <w:widowControl w:val="0"/>
              <w:kinsoku/>
              <w:topLinePunct/>
              <w:autoSpaceDE/>
              <w:autoSpaceDN/>
              <w:spacing w:line="300" w:lineRule="auto"/>
              <w:jc w:val="both"/>
              <w:rPr>
                <w:rFonts w:ascii="宋体" w:hAnsi="宋体" w:eastAsia="宋体" w:cs="宋体"/>
                <w:color w:val="auto"/>
                <w:highlight w:val="none"/>
              </w:rPr>
            </w:pPr>
            <w:r>
              <w:rPr>
                <w:rFonts w:hint="eastAsia" w:ascii="宋体" w:hAnsi="宋体" w:eastAsia="宋体" w:cs="宋体"/>
                <w:color w:val="auto"/>
                <w:highlight w:val="none"/>
              </w:rPr>
              <w:t>本项目最高限价为</w:t>
            </w:r>
            <w:r>
              <w:rPr>
                <w:rFonts w:ascii="宋体" w:hAnsi="宋体" w:eastAsia="宋体" w:cs="宋体"/>
                <w:color w:val="auto"/>
                <w:highlight w:val="none"/>
                <w:u w:val="single"/>
              </w:rPr>
              <w:t>100</w:t>
            </w:r>
            <w:r>
              <w:rPr>
                <w:rFonts w:hint="eastAsia" w:ascii="宋体" w:hAnsi="宋体" w:eastAsia="宋体" w:cs="宋体"/>
                <w:color w:val="auto"/>
                <w:highlight w:val="none"/>
                <w:u w:val="single"/>
              </w:rPr>
              <w:t>%</w:t>
            </w:r>
            <w:r>
              <w:rPr>
                <w:rFonts w:hint="eastAsia" w:ascii="宋体" w:hAnsi="宋体" w:eastAsia="宋体" w:cs="宋体"/>
                <w:color w:val="auto"/>
                <w:highlight w:val="none"/>
              </w:rPr>
              <w:t>，投标人投标报价超过最高限价的按无效投标处理。</w:t>
            </w:r>
          </w:p>
        </w:tc>
      </w:tr>
      <w:tr w14:paraId="0894D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4CEEBE93">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bookmarkStart w:id="25" w:name="_bookmark7"/>
            <w:bookmarkEnd w:id="25"/>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33</w:t>
            </w:r>
          </w:p>
        </w:tc>
        <w:tc>
          <w:tcPr>
            <w:tcW w:w="903" w:type="pct"/>
            <w:gridSpan w:val="2"/>
            <w:tcBorders>
              <w:tl2br w:val="nil"/>
              <w:tr2bl w:val="nil"/>
            </w:tcBorders>
            <w:vAlign w:val="center"/>
          </w:tcPr>
          <w:p w14:paraId="1C6377CC">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其他</w:t>
            </w:r>
          </w:p>
        </w:tc>
        <w:tc>
          <w:tcPr>
            <w:tcW w:w="3750" w:type="pct"/>
            <w:tcBorders>
              <w:tl2br w:val="nil"/>
              <w:tr2bl w:val="nil"/>
            </w:tcBorders>
            <w:vAlign w:val="center"/>
          </w:tcPr>
          <w:p w14:paraId="2D525A27">
            <w:pPr>
              <w:widowControl w:val="0"/>
              <w:numPr>
                <w:ilvl w:val="0"/>
                <w:numId w:val="5"/>
              </w:numPr>
              <w:kinsoku/>
              <w:topLinePunct/>
              <w:autoSpaceDE/>
              <w:autoSpaceDN/>
              <w:spacing w:line="300" w:lineRule="auto"/>
              <w:ind w:left="315" w:hanging="315" w:hangingChars="150"/>
              <w:jc w:val="both"/>
              <w:rPr>
                <w:rFonts w:ascii="宋体" w:hAnsi="宋体" w:eastAsia="宋体" w:cs="宋体"/>
                <w:color w:val="auto"/>
                <w:highlight w:val="none"/>
              </w:rPr>
            </w:pPr>
            <w:r>
              <w:rPr>
                <w:rFonts w:hint="eastAsia" w:ascii="宋体" w:hAnsi="宋体" w:eastAsia="宋体" w:cs="宋体"/>
                <w:color w:val="auto"/>
                <w:highlight w:val="none"/>
              </w:rPr>
              <w:t>本项目的招标投标活动以及相关当事人须接受财政监督部门依法实施的监督。</w:t>
            </w:r>
          </w:p>
          <w:p w14:paraId="0DFB6F67">
            <w:pPr>
              <w:pStyle w:val="2"/>
              <w:keepNext w:val="0"/>
              <w:keepLines w:val="0"/>
              <w:widowControl w:val="0"/>
              <w:numPr>
                <w:ilvl w:val="0"/>
                <w:numId w:val="5"/>
              </w:numPr>
              <w:kinsoku/>
              <w:topLinePunct/>
              <w:autoSpaceDE/>
              <w:autoSpaceDN/>
              <w:spacing w:before="0" w:after="0" w:line="300" w:lineRule="auto"/>
              <w:ind w:left="315" w:leftChars="0" w:hanging="315" w:hangingChars="150"/>
              <w:jc w:val="both"/>
              <w:rPr>
                <w:rFonts w:hint="eastAsia" w:ascii="宋体" w:hAnsi="宋体" w:eastAsia="宋体" w:cs="宋体"/>
                <w:b w:val="0"/>
                <w:bCs w:val="0"/>
                <w:snapToGrid w:val="0"/>
                <w:color w:val="auto"/>
                <w:kern w:val="0"/>
                <w:sz w:val="21"/>
                <w:szCs w:val="21"/>
                <w:highlight w:val="none"/>
                <w:lang w:val="en-US" w:eastAsia="zh-CN" w:bidi="ar-SA"/>
              </w:rPr>
            </w:pPr>
            <w:bookmarkStart w:id="26" w:name="_Toc132755441"/>
            <w:bookmarkStart w:id="27" w:name="_Toc132755230"/>
            <w:bookmarkStart w:id="28" w:name="_Toc9516"/>
            <w:bookmarkStart w:id="29" w:name="_Toc132754782"/>
            <w:bookmarkStart w:id="30" w:name="_Toc13882"/>
            <w:r>
              <w:rPr>
                <w:rFonts w:hint="eastAsia" w:ascii="宋体" w:hAnsi="宋体" w:eastAsia="宋体" w:cs="宋体"/>
                <w:b w:val="0"/>
                <w:bCs w:val="0"/>
                <w:color w:val="auto"/>
                <w:kern w:val="0"/>
                <w:sz w:val="21"/>
                <w:szCs w:val="21"/>
                <w:highlight w:val="none"/>
              </w:rPr>
              <w:t>更正补充公告请自</w:t>
            </w:r>
            <w:r>
              <w:rPr>
                <w:rFonts w:hint="eastAsia" w:ascii="宋体" w:hAnsi="宋体" w:eastAsia="宋体" w:cs="宋体"/>
                <w:b w:val="0"/>
                <w:bCs w:val="0"/>
                <w:snapToGrid w:val="0"/>
                <w:color w:val="auto"/>
                <w:kern w:val="0"/>
                <w:sz w:val="21"/>
                <w:szCs w:val="21"/>
                <w:highlight w:val="none"/>
                <w:lang w:val="en-US" w:eastAsia="zh-CN" w:bidi="ar-SA"/>
              </w:rPr>
              <w:t>行登录新疆政府采购网查看下载。</w:t>
            </w:r>
            <w:bookmarkEnd w:id="26"/>
            <w:bookmarkEnd w:id="27"/>
            <w:bookmarkEnd w:id="28"/>
            <w:bookmarkEnd w:id="29"/>
            <w:bookmarkEnd w:id="30"/>
          </w:p>
          <w:p w14:paraId="294F0AFC">
            <w:pPr>
              <w:pStyle w:val="9"/>
              <w:ind w:left="0" w:leftChars="0" w:firstLine="0" w:firstLineChars="0"/>
              <w:rPr>
                <w:rFonts w:hint="default" w:eastAsia="宋体"/>
                <w:color w:val="auto"/>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bidi="ar-SA"/>
              </w:rPr>
              <w:t>3、资金来源：地方自筹资金</w:t>
            </w:r>
          </w:p>
        </w:tc>
      </w:tr>
      <w:tr w14:paraId="5D1A5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058F44E2">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34</w:t>
            </w:r>
          </w:p>
        </w:tc>
        <w:tc>
          <w:tcPr>
            <w:tcW w:w="903" w:type="pct"/>
            <w:gridSpan w:val="2"/>
            <w:tcBorders>
              <w:tl2br w:val="nil"/>
              <w:tr2bl w:val="nil"/>
            </w:tcBorders>
            <w:vAlign w:val="center"/>
          </w:tcPr>
          <w:p w14:paraId="3EE98F0E">
            <w:pPr>
              <w:widowControl w:val="0"/>
              <w:kinsoku/>
              <w:topLinePunct/>
              <w:autoSpaceDE/>
              <w:autoSpaceDN/>
              <w:spacing w:line="30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招标人补充的其他内容</w:t>
            </w:r>
          </w:p>
        </w:tc>
        <w:tc>
          <w:tcPr>
            <w:tcW w:w="3750" w:type="pct"/>
            <w:tcBorders>
              <w:tl2br w:val="nil"/>
              <w:tr2bl w:val="nil"/>
            </w:tcBorders>
            <w:vAlign w:val="center"/>
          </w:tcPr>
          <w:p w14:paraId="772AE7D9">
            <w:pPr>
              <w:widowControl w:val="0"/>
              <w:kinsoku/>
              <w:topLinePunct/>
              <w:autoSpaceDE/>
              <w:autoSpaceDN/>
              <w:spacing w:line="300" w:lineRule="auto"/>
              <w:ind w:firstLine="1470" w:firstLineChars="700"/>
              <w:jc w:val="both"/>
              <w:rPr>
                <w:rFonts w:ascii="宋体" w:hAnsi="宋体" w:eastAsia="宋体" w:cs="宋体"/>
                <w:color w:val="auto"/>
                <w:highlight w:val="none"/>
              </w:rPr>
            </w:pPr>
            <w:r>
              <w:rPr>
                <w:rFonts w:hint="eastAsia" w:ascii="宋体" w:hAnsi="宋体" w:eastAsia="宋体" w:cs="宋体"/>
                <w:color w:val="auto"/>
                <w:highlight w:val="none"/>
              </w:rPr>
              <w:t>/</w:t>
            </w:r>
          </w:p>
        </w:tc>
      </w:tr>
      <w:tr w14:paraId="44A26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trPr>
        <w:tc>
          <w:tcPr>
            <w:tcW w:w="346" w:type="pct"/>
            <w:tcBorders>
              <w:tl2br w:val="nil"/>
              <w:tr2bl w:val="nil"/>
            </w:tcBorders>
            <w:vAlign w:val="center"/>
          </w:tcPr>
          <w:p w14:paraId="2A219464">
            <w:pPr>
              <w:widowControl w:val="0"/>
              <w:kinsoku/>
              <w:topLinePunct/>
              <w:autoSpaceDE/>
              <w:autoSpaceDN/>
              <w:spacing w:line="300" w:lineRule="auto"/>
              <w:rPr>
                <w:rFonts w:ascii="宋体" w:hAnsi="宋体" w:eastAsia="宋体" w:cs="宋体"/>
                <w:color w:val="auto"/>
                <w:highlight w:val="none"/>
              </w:rPr>
            </w:pPr>
            <w:r>
              <w:rPr>
                <w:rFonts w:hint="eastAsia" w:ascii="宋体" w:hAnsi="宋体" w:eastAsia="宋体" w:cs="宋体"/>
                <w:color w:val="auto"/>
                <w:highlight w:val="none"/>
              </w:rPr>
              <w:t>注意事项</w:t>
            </w:r>
          </w:p>
        </w:tc>
        <w:tc>
          <w:tcPr>
            <w:tcW w:w="4653" w:type="pct"/>
            <w:gridSpan w:val="3"/>
            <w:tcBorders>
              <w:tl2br w:val="nil"/>
              <w:tr2bl w:val="nil"/>
            </w:tcBorders>
            <w:vAlign w:val="center"/>
          </w:tcPr>
          <w:p w14:paraId="239988C0">
            <w:pPr>
              <w:widowControl w:val="0"/>
              <w:kinsoku/>
              <w:topLinePunct/>
              <w:autoSpaceDE/>
              <w:autoSpaceDN/>
              <w:spacing w:line="300" w:lineRule="auto"/>
              <w:ind w:left="316" w:hanging="316" w:hangingChars="150"/>
              <w:jc w:val="both"/>
              <w:rPr>
                <w:rFonts w:ascii="宋体" w:hAnsi="宋体" w:eastAsia="宋体" w:cs="宋体"/>
                <w:b/>
                <w:bCs/>
                <w:color w:val="auto"/>
                <w:highlight w:val="none"/>
              </w:rPr>
            </w:pPr>
            <w:r>
              <w:rPr>
                <w:rFonts w:hint="eastAsia" w:ascii="宋体" w:hAnsi="宋体" w:eastAsia="宋体" w:cs="宋体"/>
                <w:b/>
                <w:bCs/>
                <w:color w:val="auto"/>
                <w:highlight w:val="none"/>
              </w:rPr>
              <w:t>注：</w:t>
            </w:r>
          </w:p>
          <w:p w14:paraId="22C504B1">
            <w:pPr>
              <w:widowControl w:val="0"/>
              <w:kinsoku/>
              <w:topLinePunct/>
              <w:autoSpaceDE/>
              <w:autoSpaceDN/>
              <w:spacing w:line="300" w:lineRule="auto"/>
              <w:ind w:left="316" w:hanging="316" w:hangingChars="150"/>
              <w:jc w:val="both"/>
              <w:rPr>
                <w:rFonts w:ascii="宋体" w:hAnsi="宋体" w:eastAsia="宋体" w:cs="宋体"/>
                <w:b/>
                <w:bCs/>
                <w:color w:val="auto"/>
                <w:highlight w:val="none"/>
              </w:rPr>
            </w:pPr>
            <w:r>
              <w:rPr>
                <w:rFonts w:hint="eastAsia" w:ascii="宋体" w:hAnsi="宋体" w:eastAsia="宋体" w:cs="宋体"/>
                <w:b/>
                <w:bCs/>
                <w:color w:val="auto"/>
                <w:highlight w:val="none"/>
              </w:rPr>
              <w:t>1、本项目报价以综合单价为基数报折扣率（例：下浮1%，则折扣率为99%；下浮2%，则折扣率为98%，以此类推），清单及最高限价表中所有清单项目，均统一按成交供应商投标报价的折扣率进行结算；</w:t>
            </w:r>
          </w:p>
          <w:p w14:paraId="352883D3">
            <w:pPr>
              <w:widowControl w:val="0"/>
              <w:kinsoku/>
              <w:topLinePunct/>
              <w:autoSpaceDE/>
              <w:autoSpaceDN/>
              <w:spacing w:line="300" w:lineRule="auto"/>
              <w:ind w:left="316" w:hanging="316" w:hangingChars="150"/>
              <w:jc w:val="both"/>
              <w:rPr>
                <w:rFonts w:ascii="宋体" w:hAnsi="宋体" w:eastAsia="宋体" w:cs="宋体"/>
                <w:b/>
                <w:bCs/>
                <w:color w:val="auto"/>
                <w:highlight w:val="none"/>
              </w:rPr>
            </w:pPr>
            <w:r>
              <w:rPr>
                <w:rFonts w:hint="eastAsia" w:ascii="宋体" w:hAnsi="宋体" w:eastAsia="宋体" w:cs="宋体"/>
                <w:b/>
                <w:bCs/>
                <w:color w:val="auto"/>
                <w:highlight w:val="none"/>
              </w:rPr>
              <w:t>2、所有投标人的报价高于投标最高限价的视为无效报价，作否决投标处理；</w:t>
            </w:r>
          </w:p>
          <w:p w14:paraId="09221970">
            <w:pPr>
              <w:widowControl w:val="0"/>
              <w:kinsoku/>
              <w:topLinePunct/>
              <w:autoSpaceDE/>
              <w:autoSpaceDN/>
              <w:spacing w:line="300" w:lineRule="auto"/>
              <w:ind w:left="316" w:hanging="316" w:hangingChars="150"/>
              <w:jc w:val="both"/>
              <w:rPr>
                <w:rFonts w:ascii="宋体" w:hAnsi="宋体" w:eastAsia="宋体" w:cs="宋体"/>
                <w:b/>
                <w:bCs/>
                <w:color w:val="auto"/>
                <w:highlight w:val="none"/>
              </w:rPr>
            </w:pPr>
            <w:r>
              <w:rPr>
                <w:rFonts w:hint="eastAsia" w:ascii="宋体" w:hAnsi="宋体" w:eastAsia="宋体" w:cs="宋体"/>
                <w:b/>
                <w:bCs/>
                <w:color w:val="auto"/>
                <w:highlight w:val="none"/>
              </w:rPr>
              <w:t>3、所有投标人的报价明显低于其他投标报价或者在设有标底时明显低于标底，使得其投标报价可能低于其个别成本的，应当要求该投标人作出书面说明并提供相应证明材料。投标人不能合理或者不能提供相应证明材料的，评标委员会可以认定该投标人以低于成本报价竞标，其投标视为无效标处理。</w:t>
            </w:r>
          </w:p>
        </w:tc>
      </w:tr>
    </w:tbl>
    <w:p w14:paraId="1B91EF97">
      <w:pPr>
        <w:widowControl w:val="0"/>
        <w:kinsoku/>
        <w:topLinePunct/>
        <w:autoSpaceDE/>
        <w:autoSpaceDN/>
        <w:rPr>
          <w:rFonts w:ascii="宋体" w:hAnsi="宋体" w:eastAsia="宋体" w:cs="宋体"/>
          <w:color w:val="auto"/>
          <w:sz w:val="18"/>
          <w:szCs w:val="18"/>
          <w:highlight w:val="none"/>
        </w:rPr>
      </w:pPr>
    </w:p>
    <w:p w14:paraId="1B73EB2F">
      <w:pPr>
        <w:widowControl w:val="0"/>
        <w:kinsoku/>
        <w:topLinePunct/>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注：1、本表中加☆项目若有缺失或无效，将导致投标无效且不允许在开标后补正；</w:t>
      </w:r>
    </w:p>
    <w:p w14:paraId="0D206BB0">
      <w:pPr>
        <w:widowControl w:val="0"/>
        <w:kinsoku/>
        <w:topLinePunct/>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2、本表内容与招标文件其它内容不一致的，应当以本表内容为准。</w:t>
      </w:r>
    </w:p>
    <w:p w14:paraId="0C9B7550">
      <w:pPr>
        <w:widowControl w:val="0"/>
        <w:kinsoku/>
        <w:topLinePunct/>
        <w:autoSpaceDE/>
        <w:autoSpaceDN/>
        <w:spacing w:line="360" w:lineRule="auto"/>
        <w:ind w:firstLine="420" w:firstLineChars="200"/>
        <w:rPr>
          <w:rFonts w:ascii="宋体" w:hAnsi="宋体" w:eastAsia="宋体" w:cs="宋体"/>
          <w:color w:val="auto"/>
          <w:highlight w:val="none"/>
          <w14:textOutline w14:w="5105" w14:cap="sq" w14:cmpd="sng" w14:algn="ctr">
            <w14:solidFill>
              <w14:srgbClr w14:val="000000"/>
            </w14:solidFill>
            <w14:prstDash w14:val="solid"/>
            <w14:bevel/>
          </w14:textOutline>
        </w:rPr>
      </w:pPr>
      <w:r>
        <w:rPr>
          <w:rFonts w:hint="eastAsia" w:ascii="宋体" w:hAnsi="宋体" w:eastAsia="宋体" w:cs="宋体"/>
          <w:color w:val="auto"/>
          <w:highlight w:val="none"/>
        </w:rPr>
        <w:t>3、本表中“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”标示选择使用该项，“□”标示不选择使用该项。</w:t>
      </w:r>
    </w:p>
    <w:p w14:paraId="0B1FBF19">
      <w:pPr>
        <w:widowControl w:val="0"/>
        <w:kinsoku/>
        <w:topLinePunct/>
        <w:autoSpaceDE/>
        <w:autoSpaceDN/>
        <w:spacing w:line="360" w:lineRule="auto"/>
        <w:jc w:val="center"/>
        <w:outlineLvl w:val="9"/>
        <w:rPr>
          <w:rFonts w:ascii="宋体" w:hAnsi="宋体" w:eastAsia="宋体" w:cs="宋体"/>
          <w:color w:val="auto"/>
          <w:highlight w:val="none"/>
          <w14:textOutline w14:w="5448" w14:cap="sq" w14:cmpd="sng" w14:algn="ctr">
            <w14:solidFill>
              <w14:srgbClr w14:val="000000"/>
            </w14:solidFill>
            <w14:prstDash w14:val="solid"/>
            <w14:bevel/>
          </w14:textOutline>
        </w:rPr>
        <w:sectPr>
          <w:footerReference r:id="rId5" w:type="default"/>
          <w:pgSz w:w="11906" w:h="16839"/>
          <w:pgMar w:top="1247" w:right="1588" w:bottom="1247" w:left="1531" w:header="851" w:footer="851" w:gutter="0"/>
          <w:cols w:space="0" w:num="1"/>
        </w:sectPr>
      </w:pPr>
    </w:p>
    <w:p w14:paraId="60D93D9E">
      <w:pPr>
        <w:widowControl w:val="0"/>
        <w:kinsoku/>
        <w:topLinePunct/>
        <w:autoSpaceDE/>
        <w:autoSpaceDN/>
        <w:spacing w:line="480" w:lineRule="auto"/>
        <w:jc w:val="center"/>
        <w:outlineLvl w:val="1"/>
        <w:rPr>
          <w:rFonts w:ascii="楷体" w:hAnsi="楷体" w:eastAsia="楷体" w:cs="楷体"/>
          <w:color w:val="auto"/>
          <w:sz w:val="24"/>
          <w:szCs w:val="24"/>
          <w:highlight w:val="none"/>
          <w14:textOutline w14:w="5448" w14:cap="sq" w14:cmpd="sng" w14:algn="ctr">
            <w14:solidFill>
              <w14:srgbClr w14:val="000000"/>
            </w14:solidFill>
            <w14:prstDash w14:val="solid"/>
            <w14:bevel/>
          </w14:textOutline>
        </w:rPr>
      </w:pPr>
      <w:bookmarkStart w:id="31" w:name="_Toc132755231"/>
      <w:bookmarkStart w:id="32" w:name="_Toc18077"/>
      <w:r>
        <w:rPr>
          <w:rFonts w:hint="eastAsia" w:ascii="楷体" w:hAnsi="楷体" w:eastAsia="楷体" w:cs="楷体"/>
          <w:color w:val="auto"/>
          <w:sz w:val="24"/>
          <w:szCs w:val="24"/>
          <w:highlight w:val="none"/>
          <w14:textOutline w14:w="5448" w14:cap="sq" w14:cmpd="sng" w14:algn="ctr">
            <w14:solidFill>
              <w14:srgbClr w14:val="000000"/>
            </w14:solidFill>
            <w14:prstDash w14:val="solid"/>
            <w14:bevel/>
          </w14:textOutline>
        </w:rPr>
        <w:t>投标人须知正文部分</w:t>
      </w:r>
      <w:bookmarkEnd w:id="31"/>
      <w:bookmarkEnd w:id="32"/>
    </w:p>
    <w:p w14:paraId="1EC10DF1">
      <w:pPr>
        <w:widowControl w:val="0"/>
        <w:kinsoku/>
        <w:topLinePunct/>
        <w:autoSpaceDE/>
        <w:autoSpaceDN/>
        <w:spacing w:line="420" w:lineRule="auto"/>
        <w:jc w:val="both"/>
        <w:outlineLvl w:val="2"/>
        <w:rPr>
          <w:rFonts w:ascii="宋体" w:hAnsi="宋体" w:eastAsia="宋体" w:cs="宋体"/>
          <w:color w:val="auto"/>
          <w:highlight w:val="none"/>
        </w:rPr>
      </w:pPr>
      <w:bookmarkStart w:id="33" w:name="_Toc132754784"/>
      <w:bookmarkStart w:id="34" w:name="_Toc132755443"/>
      <w:bookmarkStart w:id="35" w:name="_Toc132755232"/>
      <w:bookmarkStart w:id="36" w:name="_Toc22411"/>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一、总则</w:t>
      </w:r>
      <w:bookmarkEnd w:id="33"/>
      <w:bookmarkEnd w:id="34"/>
      <w:bookmarkEnd w:id="35"/>
      <w:bookmarkEnd w:id="36"/>
    </w:p>
    <w:p w14:paraId="106D68A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1.说明</w:t>
      </w:r>
    </w:p>
    <w:p w14:paraId="650E878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1.1本招标文件适用于本次招标采购项目的招标投标。</w:t>
      </w:r>
    </w:p>
    <w:p w14:paraId="5B81E89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2.定义</w:t>
      </w:r>
    </w:p>
    <w:p w14:paraId="2518EAF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2.1“采购人”名称见本招标文件第二部分“投标人须知前附表”中第1项。</w:t>
      </w:r>
    </w:p>
    <w:p w14:paraId="5C58AB2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2.2“采购代理机构”名称见本招标文件第二部分“投标人须知前附表”中第2项。</w:t>
      </w:r>
    </w:p>
    <w:p w14:paraId="2A2B284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2.3“招标货物”指招标文件第三部分所述所有货物；“服务”指招标文件第三部分所述投标人应该履行的承诺和义务。</w:t>
      </w:r>
    </w:p>
    <w:p w14:paraId="07BBAB9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2.4“潜在投标人”指符合招标文件各项规定的供应商。</w:t>
      </w:r>
    </w:p>
    <w:p w14:paraId="0F644EC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2.5“投标人”指符合招标文件规定并参加投标的供应商。</w:t>
      </w:r>
    </w:p>
    <w:p w14:paraId="0644A4B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2.6“投标人公章”在投标文件中指与投标人标准公章一致的投标人电子签章。</w:t>
      </w:r>
    </w:p>
    <w:p w14:paraId="19F846EF">
      <w:pPr>
        <w:widowControl w:val="0"/>
        <w:kinsoku/>
        <w:topLinePunct/>
        <w:autoSpaceDE/>
        <w:autoSpaceDN/>
        <w:spacing w:line="42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2.7“电子投标文件”应按照本项目招标文件和政采云平台的要求编制、加密传输投标文件。</w:t>
      </w:r>
    </w:p>
    <w:p w14:paraId="62E4E945">
      <w:pPr>
        <w:widowControl w:val="0"/>
        <w:kinsoku/>
        <w:topLinePunct/>
        <w:autoSpaceDE/>
        <w:autoSpaceDN/>
        <w:spacing w:line="42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w:t>
      </w:r>
      <w:r>
        <w:rPr>
          <w:rFonts w:hint="eastAsia" w:ascii="宋体" w:hAnsi="宋体" w:eastAsia="宋体" w:cs="宋体"/>
          <w:color w:val="auto"/>
          <w:highlight w:val="none"/>
        </w:rPr>
        <w:t>招标文件中标“★”号条款为实质性条款。</w:t>
      </w:r>
    </w:p>
    <w:p w14:paraId="1D347F8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3.合格投标人的条件</w:t>
      </w:r>
    </w:p>
    <w:p w14:paraId="534A4A8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3.1具有本项目生产、制造、供应或实施能力，符合、承认并承诺履行本文件各项规定的国内法人、其他组织或自然人均可参加投标。</w:t>
      </w:r>
    </w:p>
    <w:p w14:paraId="22F5D2C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★3.2遵守有关的国家法律、法规和条例，具备《中华人民共和国政府采购法》和本文件中规定的条件：</w:t>
      </w:r>
    </w:p>
    <w:p w14:paraId="0EA6E00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15D52E5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C3120A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39FC11D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4）具有依法缴纳税收和社会保障资金的良好记录；</w:t>
      </w:r>
    </w:p>
    <w:p w14:paraId="39D46C2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0EB8D7A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6）法律、行政法规规定的其他条件；</w:t>
      </w:r>
    </w:p>
    <w:p w14:paraId="5A34551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7）具有本招标文件第二部分“投标人须知前附表”中第5项规定的资格条件。</w:t>
      </w:r>
    </w:p>
    <w:p w14:paraId="0D58A43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3.3投标人之间如果存在下列情形之一的，不得同时参加同一包（标段）或者不分包（标段）的同一项目投标：</w:t>
      </w:r>
    </w:p>
    <w:p w14:paraId="43B4031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3.3.1法定代表人为同一个人的两个及两个以上法人；</w:t>
      </w:r>
    </w:p>
    <w:p w14:paraId="756C5CD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3.3.2母公司、全资子公司及其控股公司；</w:t>
      </w:r>
    </w:p>
    <w:p w14:paraId="4944060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3.3.3参加投标的其他组织之间存在特殊的利害关系的；</w:t>
      </w:r>
    </w:p>
    <w:p w14:paraId="2003FDA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3.3.4法律和行政法规规定的其他情形。</w:t>
      </w:r>
    </w:p>
    <w:p w14:paraId="53F1259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3.4投标人须持有《法定代表人授权委托书》。</w:t>
      </w:r>
    </w:p>
    <w:p w14:paraId="4C4BF03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3.5投标人应按照本项目招标文件和政采云平台的要求编制、加密传输投标文件。</w:t>
      </w:r>
    </w:p>
    <w:p w14:paraId="6662E96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3.6投标人按时足额交纳投标保证金。</w:t>
      </w:r>
    </w:p>
    <w:p w14:paraId="19A0C37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3.7本次招标是否允许由两个以上投标人组成一个联合体以一个投标人身份共同投标，按照招标文件第二部分“投标人须知前附表”中第7项的规定。如果允许，除均应符合上述规定外，还应符合下列要求：</w:t>
      </w:r>
    </w:p>
    <w:p w14:paraId="5F96002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4DD1915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2）联合体各方中至少应当有一方对应满足本项目规定的相应资质条件，并且联合体投标人整体应当符合本项目的资质要求，否则，其提交的联合投标将被拒绝。</w:t>
      </w:r>
    </w:p>
    <w:p w14:paraId="1A8BF59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3）由不同专业的投标人组成的联合体,首先以投标的全权代表方的应答材料作为认定资质以及商务评审的依据；涉及行业专属的资质,按照所属行业所对应的投标人的应答材料确定。</w:t>
      </w:r>
    </w:p>
    <w:p w14:paraId="29FF13C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w:t>
      </w:r>
      <w:bookmarkStart w:id="37" w:name="_bookmark8"/>
      <w:bookmarkEnd w:id="37"/>
      <w:r>
        <w:rPr>
          <w:rFonts w:hint="eastAsia" w:ascii="宋体" w:hAnsi="宋体" w:eastAsia="宋体" w:cs="宋体"/>
          <w:color w:val="auto"/>
          <w:highlight w:val="none"/>
        </w:rPr>
        <w:t>表该联合体的签署或意思表示的法律效力，并且据此各成员为履行合同应向采购代理机构与采购人承担连带责任。</w:t>
      </w:r>
    </w:p>
    <w:p w14:paraId="3070A3F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704FCC9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6）联合体各方均不得同时再以自己独立的名义单独投标，也不得再同时参加其他的联合体投标。若该等情形被发现，其单独的投标和与此有关的联合体的投标均将被一并拒绝。</w:t>
      </w:r>
    </w:p>
    <w:p w14:paraId="2CD10E1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3.7投标人不得与采购人、采购代理机构等有利害关系。</w:t>
      </w:r>
    </w:p>
    <w:p w14:paraId="599913D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4.投标费用</w:t>
      </w:r>
    </w:p>
    <w:p w14:paraId="3F864D9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★4.1投标人应承担所有与准备和参加投标有关的费用。</w:t>
      </w:r>
    </w:p>
    <w:p w14:paraId="39B3E30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5.纪律</w:t>
      </w:r>
    </w:p>
    <w:p w14:paraId="3AE987B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5.1投标人的投标行为应遵守中国的有关法律、法规和规章。</w:t>
      </w:r>
    </w:p>
    <w:p w14:paraId="15979CB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5.2投标人不得相互串通投标报价，不得妨碍其他投标人的公平竞争，不得损害采购人或其他投标人的合法权益，投标人不得以向采购人、评标委员会成员行贿或者采取其他不正当手段谋取中标。</w:t>
      </w:r>
    </w:p>
    <w:p w14:paraId="10FE6A8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5.2.1有下列情形之一的，属于投标人相互串通投标：</w:t>
      </w:r>
    </w:p>
    <w:p w14:paraId="76773EE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5.2.1.1投标人之间协商投标报价等投标文件的实质性内容；</w:t>
      </w:r>
    </w:p>
    <w:p w14:paraId="5493AC3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5.2.1.2投标人之间约定中标人；</w:t>
      </w:r>
    </w:p>
    <w:p w14:paraId="7CC873D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5.2.1.3投标人之间约定部分投标人放弃投标或者中标；</w:t>
      </w:r>
    </w:p>
    <w:p w14:paraId="13F1B43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5.2.1.4属于同一集团、协会、商会等组织成员的投标人按照该组织要求协同投标；</w:t>
      </w:r>
    </w:p>
    <w:p w14:paraId="1A6CFA0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5.2.1.5投标人之间为谋取中标或者排斥特定投标人而采取的其他联合行动。</w:t>
      </w:r>
    </w:p>
    <w:p w14:paraId="0199B12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5.2.2有下列情形之一的，视为投标人相互串通投标：</w:t>
      </w:r>
    </w:p>
    <w:p w14:paraId="42A4D46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5.2.2.1不同投标人的投标文件由同一单位或者个人编制；</w:t>
      </w:r>
    </w:p>
    <w:p w14:paraId="3F24046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5.2.2.2不同投标人委托同一单位或者个人办理投标事宜，或制作电子投标文件的文件制作机器码（mac地址）一致，或制作电子投标文件的文件创建标识码一致；</w:t>
      </w:r>
    </w:p>
    <w:p w14:paraId="3E4487F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5.2.2.3不同投标人的投标文件载明的项目管理成员为同一人；</w:t>
      </w:r>
    </w:p>
    <w:p w14:paraId="2F20EF7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5.2.2.4不同投标人的投标文件异常一致或者投标报价呈规律性差异；</w:t>
      </w:r>
    </w:p>
    <w:p w14:paraId="706B8A4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5.2.2.5不同投标人的投标文件相互混装；</w:t>
      </w:r>
    </w:p>
    <w:p w14:paraId="248BFC3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5.2.2.6不同投标人的投标保证金从同一单位或者个人的账户转出。</w:t>
      </w:r>
    </w:p>
    <w:p w14:paraId="79E4F3C6">
      <w:pPr>
        <w:widowControl w:val="0"/>
        <w:kinsoku/>
        <w:topLinePunct/>
        <w:autoSpaceDE/>
        <w:autoSpaceDN/>
        <w:spacing w:line="42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6.通知</w:t>
      </w:r>
    </w:p>
    <w:p w14:paraId="5F70B1F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6.1对与本项目有关的通知，采购代理机构将以书面（包括书面材料、信函、传真等，下同）或在本次招标公告刊登的媒体上发布公告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14:paraId="714AE889">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38" w:name="_Toc132755444"/>
      <w:bookmarkStart w:id="39" w:name="_Toc132754785"/>
      <w:bookmarkStart w:id="40" w:name="_Toc132755233"/>
      <w:bookmarkStart w:id="41" w:name="_Toc29740"/>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二、招标文件</w:t>
      </w:r>
      <w:bookmarkEnd w:id="38"/>
      <w:bookmarkEnd w:id="39"/>
      <w:bookmarkEnd w:id="40"/>
      <w:bookmarkEnd w:id="41"/>
    </w:p>
    <w:p w14:paraId="043A0D1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7.招标文件组成</w:t>
      </w:r>
    </w:p>
    <w:p w14:paraId="429188B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7.1招标文件由招标文件目录所列内容组成。</w:t>
      </w:r>
    </w:p>
    <w:p w14:paraId="6CAE5E4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8.踏勘现场</w:t>
      </w:r>
    </w:p>
    <w:p w14:paraId="110B707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8.1本项目是否统一组织投标人踏勘现场见招标文件第二部分“投标人须知前附表”中第10项的规定。无论是否统一组织，投标人应对供货现场和周围环境进行勘察，以获取编制投标文件所需的资料。</w:t>
      </w:r>
    </w:p>
    <w:p w14:paraId="66B3171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8.2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4FB55E6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8.3除非有特殊要求，招标文件不单独提供供货使用地的自然环境、气候条件、公用设施等情况，投标人被视为熟悉上述与履行合同有关的一切情况。</w:t>
      </w:r>
    </w:p>
    <w:p w14:paraId="74EA24C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8.4除采购人原因外，投标人自行负责在踏勘现场中所发生的人员伤亡和财产损失。</w:t>
      </w:r>
    </w:p>
    <w:p w14:paraId="01FBF435">
      <w:pPr>
        <w:widowControl w:val="0"/>
        <w:kinsoku/>
        <w:topLinePunct/>
        <w:autoSpaceDE/>
        <w:autoSpaceDN/>
        <w:spacing w:line="420" w:lineRule="auto"/>
        <w:ind w:firstLine="420" w:firstLineChars="200"/>
        <w:jc w:val="both"/>
        <w:rPr>
          <w:rFonts w:ascii="宋体" w:hAnsi="宋体" w:eastAsia="宋体" w:cs="宋体"/>
          <w:color w:val="auto"/>
          <w:highlight w:val="none"/>
        </w:rPr>
      </w:pPr>
      <w:bookmarkStart w:id="42" w:name="_bookmark9"/>
      <w:bookmarkEnd w:id="42"/>
      <w:r>
        <w:rPr>
          <w:rFonts w:hint="eastAsia" w:ascii="宋体" w:hAnsi="宋体" w:eastAsia="宋体" w:cs="宋体"/>
          <w:color w:val="auto"/>
          <w:highlight w:val="none"/>
          <w14:textOutline w14:w="4356" w14:cap="sq" w14:cmpd="sng" w14:algn="ctr">
            <w14:solidFill>
              <w14:srgbClr w14:val="000000"/>
            </w14:solidFill>
            <w14:prstDash w14:val="solid"/>
            <w14:bevel/>
          </w14:textOutline>
        </w:rPr>
        <w:t>9.知识产权</w:t>
      </w:r>
    </w:p>
    <w:p w14:paraId="6151595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9.1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275D39C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9.2投标人如欲在项目实施过程中采用自有知识成果，须在投标文件中声明，并提供相关知识产权证明文件。使用该知识成果后，投标人须提供开发接口和开发手册等技术文档。</w:t>
      </w:r>
    </w:p>
    <w:p w14:paraId="7BCDFDA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10.答疑及招标文件的澄清和修改</w:t>
      </w:r>
    </w:p>
    <w:p w14:paraId="12953B9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10.1投标人如果对招标文件有疑问或要求进行澄清的，应按照招标文件第二部分“投标人须知前附表”第11项规定向采购代理机构提出。提出后，请投标人及时通过交易平台“答疑文件下载”栏目查看答疑文件或澄清文件。必要时，采购代理机构将组织相关专家召开答疑会，如召开，答疑会安排另行通知。</w:t>
      </w:r>
    </w:p>
    <w:p w14:paraId="2287D1B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投标人在规定的时间内未对招标文件提出疑问或要求澄清的，采购代理机构将视其为同意，对在“答疑接受时间”后就招标文件内容提出的疑问及澄清要求将不予受理。</w:t>
      </w:r>
    </w:p>
    <w:p w14:paraId="6389189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10.2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3E28838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特殊情况下，采购代理机构发布澄清、修改文件后，征得投标人同意，可不改变投标截止时间和开标时间。</w:t>
      </w:r>
    </w:p>
    <w:p w14:paraId="7992B49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10.3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1362332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10.4采购代理机构对招标文件作出的澄清、修改，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14E8FB5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上述澄清、修改在交易平台上发布的同时，交易平台将通过第三方短信群发方式提醒投标人进行查询。此短信仅系友情提示，并不具有任何约束性和必要性，采购代理机构不承担投标人未收到短信而引起的一切后果和法律责任。</w:t>
      </w:r>
    </w:p>
    <w:p w14:paraId="12FEDE1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10.5澄清、修改文件发出后，投标人必须使用最新的答疑、澄清文件制作电子投标文件，否则将无法完成上传。</w:t>
      </w:r>
    </w:p>
    <w:p w14:paraId="1F597B26">
      <w:pPr>
        <w:widowControl w:val="0"/>
        <w:kinsoku/>
        <w:topLinePunct/>
        <w:autoSpaceDE/>
        <w:autoSpaceDN/>
        <w:spacing w:line="420" w:lineRule="auto"/>
        <w:ind w:firstLine="420" w:firstLineChars="200"/>
        <w:outlineLvl w:val="2"/>
        <w:rPr>
          <w:rFonts w:ascii="宋体" w:hAnsi="宋体" w:eastAsia="宋体" w:cs="宋体"/>
          <w:color w:val="auto"/>
          <w:highlight w:val="none"/>
        </w:rPr>
      </w:pPr>
      <w:bookmarkStart w:id="43" w:name="_Toc132755234"/>
      <w:bookmarkStart w:id="44" w:name="_Toc132755445"/>
      <w:bookmarkStart w:id="45" w:name="_Toc132754786"/>
      <w:bookmarkStart w:id="46" w:name="_Toc25212"/>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三、投标文件</w:t>
      </w:r>
      <w:bookmarkEnd w:id="43"/>
      <w:bookmarkEnd w:id="44"/>
      <w:bookmarkEnd w:id="45"/>
      <w:bookmarkEnd w:id="46"/>
    </w:p>
    <w:p w14:paraId="7BE00E2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11.投标文件的语言及计量单位</w:t>
      </w:r>
    </w:p>
    <w:p w14:paraId="39534D8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11.1投标人提交的投标文件（包括技术文件和资料、图纸中的说明）以及投标人与采购代理机构就有关投标的所有来往函电均应使用中文简体字。</w:t>
      </w:r>
    </w:p>
    <w:p w14:paraId="3720338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5133287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11.3除非招标文件另有规定，投标文件所使用的计量单位，应使用国家法定计量单位。</w:t>
      </w:r>
    </w:p>
    <w:p w14:paraId="13BF3E8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11.4对违反上述规定情形的，评标委员会有权要求投标人限期提供相应文件或决定对其投标予以拒绝。</w:t>
      </w:r>
    </w:p>
    <w:p w14:paraId="3962B26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11.5电报、电话、传真形式的投标概不接受。投标人的投标文件一律不予退还。</w:t>
      </w:r>
    </w:p>
    <w:p w14:paraId="335725D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12.投标文件组成及编制</w:t>
      </w:r>
    </w:p>
    <w:p w14:paraId="0D69CE5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12.1投标文件分为资格审查资料、商务文件、技术文件和服务文件。</w:t>
      </w:r>
    </w:p>
    <w:p w14:paraId="6D87F60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6项规定提交资格审查资料、商务文件、技术文件和服务文件，其中加☆项目若有缺失或无效，将导致投标被拒绝且不允许在开标后补正。</w:t>
      </w:r>
    </w:p>
    <w:p w14:paraId="46A865E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12.2投标人递交的投标文件及相关要求按照招标文件第二部分“投标人须知前附表”中第14、15项的规定。</w:t>
      </w:r>
    </w:p>
    <w:p w14:paraId="0AF91C1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12.2.1电子投标文件的编制</w:t>
      </w:r>
    </w:p>
    <w:p w14:paraId="032D9F3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12.2.1.1电子投标文件按照招标文件要求进行制作编制。投标文件制作时，不同内容按标签提示制作导入，按照招标文件中明确的投标文件目录和格式进行编制，保证目录清晰、内容完整。</w:t>
      </w:r>
    </w:p>
    <w:p w14:paraId="34954C9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★12.2.1.2电子投标文件须使用投标人公章的电子签章以及法定代表人的电子签章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逐页加盖公章及法人签字或盖章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。若无电子签章，则视为无效投标。</w:t>
      </w:r>
    </w:p>
    <w:p w14:paraId="3393FEA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12.2.1.3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0A9922A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12.2.1.4电子投标文件制作工具在生成加密投标文件时，同时生成非加密投标文件一份。未加密的电子投标文件由投标人使用U盘制作（投标人须保证启用U盘时能正常读取）。</w:t>
      </w:r>
    </w:p>
    <w:p w14:paraId="72FC859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13.投标报价</w:t>
      </w:r>
    </w:p>
    <w:p w14:paraId="36AB042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★13.1投标报价以采购需求中本项目工程清单及限价中的限价为基准，以折扣方式报价。投标报价包括完成清单项目所需的人工费、材料和工程设备费、施工机具使用费和企业管理费、规费、利润，风险</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税金。</w:t>
      </w:r>
    </w:p>
    <w:p w14:paraId="0BEE432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13.2投标人投报多包的，须对每包分别制作投标文件并报价。</w:t>
      </w:r>
    </w:p>
    <w:p w14:paraId="2D351D5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13.3除非招标文件另有规定，不接受可选择或可调整的投标方案和报价，任何有选择的或可调整的投标方案和报价将被视为非响应性投标而被拒绝。</w:t>
      </w:r>
    </w:p>
    <w:p w14:paraId="1A31F19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13.4本项目是否接受进口产品按照招标文件第二部分“投标人须知前附表中”中第8项的规定。</w:t>
      </w:r>
    </w:p>
    <w:p w14:paraId="6BA34CB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13.5本项目是否允许投标人将项目的非主体、非关键性工作交由他人完成按照招标文件第二部分“投标人须知前附表”中第9项的规定。如允许，投标人根据采购项目的实际情况，拟在中标后将中标项目的非主体、非关键性工作交由他人完成，须在技术文件中载明。</w:t>
      </w:r>
    </w:p>
    <w:p w14:paraId="5273956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13.6投标人须严格按照报价明细表规定的内容填写货物单价以及其他事项。</w:t>
      </w:r>
    </w:p>
    <w:p w14:paraId="551F472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13.7投标人对投标报价若有说明应在投标文件中显著处注明。</w:t>
      </w:r>
    </w:p>
    <w:p w14:paraId="588A82F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除政策性文件规定以外，投标人所报价格在合同实施期间不因市场变化因素而变动。</w:t>
      </w:r>
    </w:p>
    <w:p w14:paraId="000433A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BD9AA5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13.9最低报价不能作为中标的保证。</w:t>
      </w:r>
    </w:p>
    <w:p w14:paraId="07C74C0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14.投标有效期</w:t>
      </w:r>
    </w:p>
    <w:p w14:paraId="17083BB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14.1本项目的投标有效期按照招标文件第二部分“投标人须知前附表中”中第12项的规定。投标有效期自开标之日起计算，短于规定期限的投标将按无效投标处理。</w:t>
      </w:r>
    </w:p>
    <w:p w14:paraId="4A49B50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4FB6343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15.投标内容填写说明</w:t>
      </w:r>
    </w:p>
    <w:p w14:paraId="14707BD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14:paraId="3072ED7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15.2投标文件须严格按照招标文件第六部分规定的格式提交，并按规定的统一格式逐项填写，不准有空项；无相应内容可填的项，应填写“无”、“未测试”、</w:t>
      </w:r>
      <w:bookmarkStart w:id="47" w:name="_bookmark11"/>
      <w:bookmarkEnd w:id="47"/>
      <w:bookmarkStart w:id="48" w:name="_bookmark10"/>
      <w:bookmarkEnd w:id="48"/>
      <w:r>
        <w:rPr>
          <w:rFonts w:hint="eastAsia" w:ascii="宋体" w:hAnsi="宋体" w:eastAsia="宋体" w:cs="宋体"/>
          <w:color w:val="auto"/>
          <w:highlight w:val="none"/>
        </w:rPr>
        <w:t>“没有相应指标”等明确的回答文字。由于编排混乱导致投标文件被误读或查找不到，其责任由投标人承担。投标文件未按规定提交或留有空项，将被视为不完整响应的投标文件，其投标有可能被拒绝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w:t>
      </w:r>
    </w:p>
    <w:p w14:paraId="4EFFB5C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15.3开标一览表为在开标仪式上唱标的内容，要求按格式统一填写，不得自行增减内容。</w:t>
      </w:r>
    </w:p>
    <w:p w14:paraId="4CF2777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7EB1867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15.5投标人必须保证投标文件所提供的全部资料真实可靠，并接受采购代理机构或评标委员会对其中任何资料进一步审查的要求。</w:t>
      </w:r>
    </w:p>
    <w:p w14:paraId="6D6B11B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15.6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394D8A5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15.7本项目技术部分是否采用“暗标”评审方式按照招标文件第二部分“投标人须知前附表中”中第21项的规定。如果采用暗标评审方式的，投标人在制作投标文件时应当以能够隐去投标人的身份为原则并需严格遵守以下各项规定：</w:t>
      </w:r>
    </w:p>
    <w:p w14:paraId="4098804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15.7.1技术部分中纳入“暗标”部分的内容：样品。</w:t>
      </w:r>
    </w:p>
    <w:p w14:paraId="120BC8A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15.7.2暗标的编制要求</w:t>
      </w:r>
    </w:p>
    <w:p w14:paraId="25066EE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15.7.2.1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14:paraId="197DB77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15.7.2.2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14:paraId="4F7E687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15.7.2.3任何情况下，技术部分（“暗标”部分）中不得出现任何投标人的审阅或者批注痕迹，否则将导致投标被拒绝。</w:t>
      </w:r>
    </w:p>
    <w:p w14:paraId="0D3ED905">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49" w:name="_Toc132755446"/>
      <w:bookmarkStart w:id="50" w:name="_Toc132754787"/>
      <w:bookmarkStart w:id="51" w:name="_Toc132755235"/>
      <w:bookmarkStart w:id="52" w:name="_Toc29604"/>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四、投标保证金</w:t>
      </w:r>
      <w:bookmarkEnd w:id="49"/>
      <w:bookmarkEnd w:id="50"/>
      <w:bookmarkEnd w:id="51"/>
      <w:bookmarkEnd w:id="52"/>
    </w:p>
    <w:p w14:paraId="5078C98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16.投标保证金</w:t>
      </w:r>
    </w:p>
    <w:p w14:paraId="7FD937F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16.1投标人应按照招标文件第二部分“投标人须知前附表”中第18项的规定交纳。投标保证金须于到账截止时间前到帐，并经采购代理机构确认。</w:t>
      </w:r>
    </w:p>
    <w:p w14:paraId="38BDFDA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16.2采购代理机构不接收以现金或汇票等其他形式递交的投标保证金。未按要求提交投标保证金的，将被视为无效投标。</w:t>
      </w:r>
    </w:p>
    <w:p w14:paraId="3AD885A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16.3未中标的投标人的投标保证金在中标通知书发出之日起5个工作日内退还；中标人的投标保证金将在交纳履约保证金并于合同生效后5个工作日内退还。</w:t>
      </w:r>
    </w:p>
    <w:p w14:paraId="273C667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16.4投标保证金退还一律采用网上银行转帐方式退还至投标人的汇款帐户，资金原路返回。</w:t>
      </w:r>
    </w:p>
    <w:p w14:paraId="3AA5E12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16.5如开标时投标人对本单位投标保证金缴纳情况有疑义，投标人应在开标结束前向招标人提交书面申请核实保证金缴纳情况。由银行或保险公司核实后出具书面材料予以答复。</w:t>
      </w:r>
    </w:p>
    <w:p w14:paraId="71265C3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16.6开标结束后，转账、电汇、网银形式缴纳的保证金由招标代理或招标人统一办理中标人和未中标人的保证金退还事宜。如本项目招标中遇质疑，投诉，复议等特殊情况，保证金退还时间按相关规定执行。银行电子保函、保险电子保函等形式缴纳的投标保证金按协议执行，无需办理退款手续。</w:t>
      </w:r>
    </w:p>
    <w:p w14:paraId="0A032880">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53" w:name="_Toc132755236"/>
      <w:bookmarkStart w:id="54" w:name="_Toc132755447"/>
      <w:bookmarkStart w:id="55" w:name="_Toc132754788"/>
      <w:bookmarkStart w:id="56" w:name="_Toc29139"/>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五、投标文件的递交</w:t>
      </w:r>
      <w:bookmarkEnd w:id="53"/>
      <w:bookmarkEnd w:id="54"/>
      <w:bookmarkEnd w:id="55"/>
      <w:bookmarkEnd w:id="56"/>
    </w:p>
    <w:p w14:paraId="558D3D1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17.投标文件的密封和标记</w:t>
      </w:r>
    </w:p>
    <w:p w14:paraId="799D700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17.1投标人应通过电子投标文件制作工具严格按招标文件要求制作投标文件，在投标截止时间前完成上传经过数字证书电子签章并加密的投标文件（加密</w:t>
      </w:r>
      <w:bookmarkStart w:id="57" w:name="_bookmark12"/>
      <w:bookmarkEnd w:id="57"/>
      <w:r>
        <w:rPr>
          <w:rFonts w:hint="eastAsia" w:ascii="宋体" w:hAnsi="宋体" w:eastAsia="宋体" w:cs="宋体"/>
          <w:color w:val="auto"/>
          <w:highlight w:val="none"/>
        </w:rPr>
        <w:t>和解密须用同一把数字证书）。投标人在投标截止时间前，可以对其所递交的投标文件进行修改并重新上传，但以投标截止时间前最后一次上传的投标文件为有效投标文件。</w:t>
      </w:r>
    </w:p>
    <w:p w14:paraId="758DC80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投标截止时间，逾期系统将自动关闭，未完成上传的投标文件视为逾期送达，将被拒绝。</w:t>
      </w:r>
    </w:p>
    <w:p w14:paraId="26A35B3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17.2未加密的电子投标文件U盘应封装在信封中。封口处加盖投标人公章，封皮上注明项目编号、包号、项目名称、投标人名称，并注明“未加密的电子投标文件”字样。</w:t>
      </w:r>
    </w:p>
    <w:p w14:paraId="4C3DDF4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投标人认为有必要提交的其他资料请于投标截止时间前一并提交。</w:t>
      </w:r>
    </w:p>
    <w:p w14:paraId="383E021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17.3如果投标人未按上述要求密封及加写标记，采购代理机构对投标文件的误投和提前启封概不负责。对由此造成提前开封的投标文件，采购代理机构有权予以拒绝，并退回投标人。</w:t>
      </w:r>
    </w:p>
    <w:p w14:paraId="489BE0D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17.4是否采用不见面开标方式详见投标人须知前附表，若本项目采用不见面开标，无需提供电子投标文件U盘、纸质投标文件。</w:t>
      </w:r>
    </w:p>
    <w:p w14:paraId="2EE9F9B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18.投标文件的递交</w:t>
      </w:r>
    </w:p>
    <w:p w14:paraId="1777561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18.1投标人应当在招标文件要求提交投标文件的截止时间前网上投标，并将未加密的电子投标文件U盘密封送达指定开标地点。</w:t>
      </w:r>
    </w:p>
    <w:p w14:paraId="61C4E2C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18.2在招标文件要求提交投标文件的截止时间之后送达的投标文件，为无效投标文件，采购代理机构将拒绝接收。</w:t>
      </w:r>
    </w:p>
    <w:p w14:paraId="35EB91C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18.3是否采用不见面开标详见投标人须知前附表，若项目采用不见面开标。应按照本项目招标文件和政采云平台的要求编制、加密传输投标文件。逾期上传的或者未上传到平台的投标文件，采购人不予受理。</w:t>
      </w:r>
    </w:p>
    <w:p w14:paraId="18875A9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19.投标文件的修改和撤回</w:t>
      </w:r>
    </w:p>
    <w:p w14:paraId="0CC74C2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19.1投标人在递交投标文件后，可以修改或撤回其投标，但这种修改和撤回，必须在规定的投标截止时间前。在投标截止时间后，投标人不得要求修改或撤回其投标文件。</w:t>
      </w:r>
    </w:p>
    <w:p w14:paraId="2621D772">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58" w:name="_bookmark13"/>
      <w:bookmarkEnd w:id="58"/>
      <w:bookmarkStart w:id="59" w:name="_Toc132755448"/>
      <w:bookmarkStart w:id="60" w:name="_Toc132755237"/>
      <w:bookmarkStart w:id="61" w:name="_Toc20613"/>
      <w:bookmarkStart w:id="62" w:name="_Toc132754789"/>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六、开标</w:t>
      </w:r>
      <w:bookmarkEnd w:id="59"/>
      <w:bookmarkEnd w:id="60"/>
      <w:bookmarkEnd w:id="61"/>
      <w:bookmarkEnd w:id="62"/>
    </w:p>
    <w:p w14:paraId="71E71F4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20.开标</w:t>
      </w:r>
    </w:p>
    <w:p w14:paraId="487F228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A．采用见面开标方式</w:t>
      </w:r>
    </w:p>
    <w:p w14:paraId="4335DBD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20.1采购代理机构按照招标文件规定的时间、地点主持开标。投标人法定代表人或授权代理人应携带身份证明、电子密钥（电子证书）、未加密的电子投标文件（用信封密封）及应当提交的其他资料参加开标并签到。</w:t>
      </w:r>
    </w:p>
    <w:p w14:paraId="5AF301C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20.2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14:paraId="5C72203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因网上招标系统故障导致所有投标人均解密失败时，投标人使用未加密的电子投标文件进行开评标。</w:t>
      </w:r>
    </w:p>
    <w:p w14:paraId="0F9129C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20.3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14:paraId="37E4E8C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20.4在评审结束前，未得到采购代理机构允许，投标人法定代表人或授权代理人不得离开开标现场。</w:t>
      </w:r>
    </w:p>
    <w:p w14:paraId="09E4377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B．采用不见面开标方式</w:t>
      </w:r>
      <w:r>
        <w:rPr>
          <w:rFonts w:hint="eastAsia" w:ascii="宋体" w:hAnsi="宋体" w:eastAsia="宋体" w:cs="宋体"/>
          <w:color w:val="auto"/>
          <w:highlight w:val="none"/>
        </w:rPr>
        <w:t>（是否采用详见投标人须知前附表）</w:t>
      </w:r>
    </w:p>
    <w:p w14:paraId="624AC4B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招标人在规定的投标截止时间（开标时间）和投标人须知前附表规定的地点开标。投标人的法定代表人或其委托代理人无需到达开标现场，仅需在任意地点使用CA密钥完成远程解密、提疑澄清、开标唱标、结果公布等交互环节。</w:t>
      </w:r>
    </w:p>
    <w:p w14:paraId="5FF765E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36E657AD">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63" w:name="_Toc132755238"/>
      <w:bookmarkStart w:id="64" w:name="_Toc132755449"/>
      <w:bookmarkStart w:id="65" w:name="_Toc132754790"/>
      <w:bookmarkStart w:id="66" w:name="_Toc7713"/>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七、评标步骤和要求</w:t>
      </w:r>
      <w:bookmarkEnd w:id="63"/>
      <w:bookmarkEnd w:id="64"/>
      <w:bookmarkEnd w:id="65"/>
      <w:bookmarkEnd w:id="66"/>
    </w:p>
    <w:p w14:paraId="3F0B79D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21.组建评标委员会</w:t>
      </w:r>
    </w:p>
    <w:p w14:paraId="158F900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21.1采购代理机构根据有关法律法规和本招标文件的规定，结合招标项目的特点组建评标委员会，对投标文件进行评估和比较。评标委员会由五人以上单数组成，其中经济、技术等方面的专家不少于三分之二。</w:t>
      </w:r>
    </w:p>
    <w:p w14:paraId="5840200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21.2参与过本项目的论证专家不得作为评标专家参加评标。</w:t>
      </w:r>
    </w:p>
    <w:p w14:paraId="3774461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3797" w14:cap="sq" w14:cmpd="sng" w14:algn="ctr">
            <w14:solidFill>
              <w14:srgbClr w14:val="000000"/>
            </w14:solidFill>
            <w14:prstDash w14:val="solid"/>
            <w14:bevel/>
          </w14:textOutline>
        </w:rPr>
        <w:t>22、资格审查</w:t>
      </w:r>
    </w:p>
    <w:p w14:paraId="62E0D88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22.1公开招标采购项目开标结束后，采购人或者采购代理机构应当依法对投标人的资格进行审查。合格投标人不足3家的，不得评标。</w:t>
      </w:r>
    </w:p>
    <w:p w14:paraId="3A3E27E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23.初步评审</w:t>
      </w:r>
    </w:p>
    <w:p w14:paraId="52FEEFB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23.1评标委员会审查投标文件是否符合招标文件的基本要求：内容是否完整、资格证明文件是否合格、文件签署是否齐全、有无计算错误等。</w:t>
      </w:r>
    </w:p>
    <w:p w14:paraId="680BF92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23.2评标委员会审查投标文件是否实质上响应招标文件的要求。</w:t>
      </w:r>
    </w:p>
    <w:p w14:paraId="1953A6D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1）实质上响应的投标是指与招标文件上的条款、条件和规格相符，没有重大偏离或保留，否则将视为无效投标。</w:t>
      </w:r>
    </w:p>
    <w:p w14:paraId="45373BA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281D0A1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A、招标文件第二部分“投标人须知前附表”第6条“投标文件组成”部分</w:t>
      </w:r>
    </w:p>
    <w:p w14:paraId="0B019E0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中，带“☆”号部分的证明文件不全或无效的；</w:t>
      </w:r>
    </w:p>
    <w:p w14:paraId="611EC48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B、投标文件未按招标文件的规定签章的；</w:t>
      </w:r>
    </w:p>
    <w:p w14:paraId="00C50C3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C、未按投标文件份数要求提交投标文件的；</w:t>
      </w:r>
    </w:p>
    <w:p w14:paraId="550502F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D、招标文件带“☆”号部分任意一款不满足要求的；</w:t>
      </w:r>
    </w:p>
    <w:p w14:paraId="348AE4D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E、报价超过项目预算或经评标委员会认定低于成本的；</w:t>
      </w:r>
    </w:p>
    <w:p w14:paraId="4E065E6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F、投标有效期不足的；</w:t>
      </w:r>
    </w:p>
    <w:p w14:paraId="035959F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G、联合体投标文件未附联合体投标协议书的；</w:t>
      </w:r>
    </w:p>
    <w:p w14:paraId="2BD7F43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H、不符合招标文件中有关分包规定的；</w:t>
      </w:r>
    </w:p>
    <w:p w14:paraId="5A54F0C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I、有串通投标或弄虚作假或有其他违法行为的；</w:t>
      </w:r>
    </w:p>
    <w:p w14:paraId="36C4BD9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J、投标人递交的电子投标文件（加密电子投标文件和未加密电子投标文件）均无法满足正常开标、评标使用功能的；</w:t>
      </w:r>
    </w:p>
    <w:p w14:paraId="61C7704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K、投标人名称或组织结构与领取采购文件时不一致且无有效变更证明的；L、不符合招标文件中规定的其他实质性要求。</w:t>
      </w:r>
    </w:p>
    <w:p w14:paraId="62EF692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6267EBF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23.4初步评审中，对明显的文字和计算错误按下述原则处理，若出现相互矛盾之处，应以排列在先的原则为准优先处理：</w:t>
      </w:r>
    </w:p>
    <w:p w14:paraId="5710CE1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1）投标文件中的开标一览表与明细表内容不一致的，以开标一览表为准。</w:t>
      </w:r>
    </w:p>
    <w:p w14:paraId="4F24D7C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2）如果以文字表示的数据与数字表示的有差别，以文字为准修正数字。如果大写金额和小写金额不一致的，以大写金额为准；</w:t>
      </w:r>
    </w:p>
    <w:p w14:paraId="677D8E1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3）如果单价乘以数量不等于总价，以单价为准修正总价，但单价金额小数点有明显错位的，应以总价为准，并修改单价。如果明细价格相加不等于汇总价格，以明细价格为准。</w:t>
      </w:r>
    </w:p>
    <w:p w14:paraId="1F8F37B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4）调整后的数据对投标人具有约束力，投标人不同意以上修正，其投标将被拒绝。</w:t>
      </w:r>
    </w:p>
    <w:p w14:paraId="399201F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24.投标的澄清</w:t>
      </w:r>
    </w:p>
    <w:p w14:paraId="2B9A9B7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29A81F0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27F6CA0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0A1DF82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24.4公开招标采购项目开标结束后，采购人或者采购代理机构应当依法对投标人的资格进行审查。合格投标人不足3家的，不得评标。</w:t>
      </w:r>
    </w:p>
    <w:p w14:paraId="0D5C776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25.详细评审</w:t>
      </w:r>
    </w:p>
    <w:p w14:paraId="6535F75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25.1评标委员会只对实质上响应招标文件的投标进行评价和比较；评审应严格按照招标文件第二部分“投标人须知前附表”中第22项规定以及招标文件的要求进行。具体要求等详见招标文件第五部分“评审方法”。</w:t>
      </w:r>
    </w:p>
    <w:p w14:paraId="4E09625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380DED2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25.3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18B9DEE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26.确定中标人</w:t>
      </w:r>
    </w:p>
    <w:p w14:paraId="3507660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26.1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0D5BC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26.2评标委员会根据评审结果及招标文件的规定确定中标人。</w:t>
      </w:r>
    </w:p>
    <w:p w14:paraId="4085E80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27.评标过程要求</w:t>
      </w:r>
    </w:p>
    <w:p w14:paraId="768C284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27.1开标之后，直到签订合同止，凡是属于审查、澄清、评价和比较投标的有关资料以及定标意向等，均不向投标人或者其他与评标无关的人员透露。</w:t>
      </w:r>
    </w:p>
    <w:p w14:paraId="223399A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27.2在确定中标人之前，投标人试图在投标文件审查、澄清、比较和评标时对评标委员会、采购人和采购代理机构施加任何影响都可能导致其投标无效。</w:t>
      </w:r>
    </w:p>
    <w:p w14:paraId="100C8F0A">
      <w:pPr>
        <w:widowControl w:val="0"/>
        <w:kinsoku/>
        <w:topLinePunct/>
        <w:autoSpaceDE/>
        <w:autoSpaceDN/>
        <w:spacing w:line="420" w:lineRule="auto"/>
        <w:ind w:firstLine="420" w:firstLineChars="200"/>
        <w:jc w:val="both"/>
        <w:rPr>
          <w:rFonts w:ascii="宋体" w:hAnsi="宋体" w:eastAsia="宋体" w:cs="宋体"/>
          <w:color w:val="auto"/>
          <w:highlight w:val="none"/>
        </w:rPr>
      </w:pPr>
      <w:bookmarkStart w:id="67" w:name="_bookmark15"/>
      <w:bookmarkEnd w:id="67"/>
      <w:bookmarkStart w:id="68" w:name="_bookmark16"/>
      <w:bookmarkEnd w:id="68"/>
      <w:bookmarkStart w:id="69" w:name="_bookmark14"/>
      <w:bookmarkEnd w:id="69"/>
      <w:r>
        <w:rPr>
          <w:rFonts w:hint="eastAsia" w:ascii="宋体" w:hAnsi="宋体" w:eastAsia="宋体" w:cs="宋体"/>
          <w:color w:val="auto"/>
          <w:highlight w:val="none"/>
        </w:rPr>
        <w:t>27.3电子招投标的应急措施</w:t>
      </w:r>
    </w:p>
    <w:p w14:paraId="1BF9469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27.3.1电子开标、评标如出现下列原因，导致系统无法正常运行或无法正常评标时，应采取应急措施。</w:t>
      </w:r>
    </w:p>
    <w:p w14:paraId="68571D0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（1）系统服务器发生故障，无法访问或无法使用系统；</w:t>
      </w:r>
    </w:p>
    <w:p w14:paraId="64B5093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（2）系统的软件或数据库出现错误，不能进行正常操作；</w:t>
      </w:r>
    </w:p>
    <w:p w14:paraId="5D45A67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（3）系统发现有安全漏洞，有潜在的泄密危险；</w:t>
      </w:r>
    </w:p>
    <w:p w14:paraId="6DC7ACE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（4）病毒发作或受到外来病毒的攻击；</w:t>
      </w:r>
    </w:p>
    <w:p w14:paraId="123333C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（5）出现其他不可抗拒的客观原因造成开评标系统无法正常使用。</w:t>
      </w:r>
    </w:p>
    <w:p w14:paraId="23BDE3F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出现上述情况时，应对未开标的暂停开标。已在系统内开标、评标的立即停止。采取应急措施时，必须对原有资料及信息作出妥善保密处理。</w:t>
      </w:r>
    </w:p>
    <w:p w14:paraId="38E2989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27.3.2因系统原因导致投标人均无法解密电子投标文件时，采购代理机构可在开标现场直接导入投标人在投标截止时间前递交的未加密的电子投标文件进行开标、评标。</w:t>
      </w:r>
    </w:p>
    <w:p w14:paraId="46DD34D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28.投标人瑕疵滞后发现的处理规则</w:t>
      </w:r>
    </w:p>
    <w:p w14:paraId="04D99F0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58401EA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29.采购项目废标</w:t>
      </w:r>
    </w:p>
    <w:p w14:paraId="4540665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29.1在评标过程中，评标委员会发现有下列情形之一的，应对采购项目予以废标：</w:t>
      </w:r>
    </w:p>
    <w:p w14:paraId="2801399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1）符合专业条件的供应商或者对招标文件作实质响应的供应商数量不足，导致进入详细评审、打分阶段的供应商不足3家的；</w:t>
      </w:r>
    </w:p>
    <w:p w14:paraId="25551FA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2）投标人的报价均超过了采购预算；</w:t>
      </w:r>
    </w:p>
    <w:p w14:paraId="0278375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3）出现影响采购公正的违法、违规行为的；</w:t>
      </w:r>
    </w:p>
    <w:p w14:paraId="20C7F76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108E246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29.2投标人存在下列情况之一的,投标无效；</w:t>
      </w:r>
    </w:p>
    <w:p w14:paraId="3ED913F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（一）未按照招标文件的规定提交投标保证金的；</w:t>
      </w:r>
    </w:p>
    <w:p w14:paraId="2B137B1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（二）投标文件未按招标文件要求签署、盖章的；</w:t>
      </w:r>
    </w:p>
    <w:p w14:paraId="2CF762A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（三）不具备招标文件中规定的资格要求的；</w:t>
      </w:r>
    </w:p>
    <w:p w14:paraId="17FF2CF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（四）报价超过招标文件中规定的预算金额或者最高限价的；</w:t>
      </w:r>
    </w:p>
    <w:p w14:paraId="025B093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（五）投标文件含有采购人不能接受的附加条件的；</w:t>
      </w:r>
    </w:p>
    <w:p w14:paraId="7A39CDC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（六）法律、法规和招标文件规定的其他无效情形；</w:t>
      </w:r>
    </w:p>
    <w:p w14:paraId="5897010F">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70" w:name="_bookmark17"/>
      <w:bookmarkEnd w:id="70"/>
      <w:bookmarkStart w:id="71" w:name="_Toc132755239"/>
      <w:bookmarkStart w:id="72" w:name="_Toc132755450"/>
      <w:bookmarkStart w:id="73" w:name="_Toc132754791"/>
      <w:bookmarkStart w:id="74" w:name="_Toc22496"/>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八、履约保证金</w:t>
      </w:r>
      <w:bookmarkEnd w:id="71"/>
      <w:bookmarkEnd w:id="72"/>
      <w:bookmarkEnd w:id="73"/>
      <w:bookmarkEnd w:id="74"/>
    </w:p>
    <w:p w14:paraId="7CBDA42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30.履约保证金</w:t>
      </w:r>
    </w:p>
    <w:p w14:paraId="6AFBBBE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30.1履约保证金按照招标文件第二部分“投标人须知前附表”中第23项规定，在签订合同前交纳。</w:t>
      </w:r>
    </w:p>
    <w:p w14:paraId="7F2366B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30.2中标人在中标公告发布后及时足额交纳履约保证金。</w:t>
      </w:r>
    </w:p>
    <w:p w14:paraId="2D9E38B0">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75" w:name="_Toc132754792"/>
      <w:bookmarkStart w:id="76" w:name="_Toc132755240"/>
      <w:bookmarkStart w:id="77" w:name="_Toc132755451"/>
      <w:bookmarkStart w:id="78" w:name="_Toc25561"/>
      <w:r>
        <w:rPr>
          <w:rFonts w:hint="eastAsia" w:ascii="宋体" w:hAnsi="宋体" w:eastAsia="宋体" w:cs="宋体"/>
          <w:color w:val="auto"/>
          <w:highlight w:val="none"/>
          <w14:textOutline w14:w="4356" w14:cap="sq" w14:cmpd="sng" w14:algn="ctr">
            <w14:solidFill>
              <w14:srgbClr w14:val="000000"/>
            </w14:solidFill>
            <w14:prstDash w14:val="solid"/>
            <w14:bevel/>
          </w14:textOutline>
        </w:rPr>
        <w:t>九、代理服务费</w:t>
      </w:r>
      <w:bookmarkEnd w:id="75"/>
      <w:bookmarkEnd w:id="76"/>
      <w:bookmarkEnd w:id="77"/>
      <w:bookmarkEnd w:id="78"/>
    </w:p>
    <w:p w14:paraId="2E8DEC2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31.代理服务费</w:t>
      </w:r>
    </w:p>
    <w:p w14:paraId="66FE9C8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31.1代理服务费、公证费按照招标文件第二部分“投标人须知前附表”中第24项的规定由中标人交纳，请投标人在测算投标报价时充分考虑这一因素。</w:t>
      </w:r>
    </w:p>
    <w:p w14:paraId="22B4F5BB">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79" w:name="_Toc132754793"/>
      <w:bookmarkStart w:id="80" w:name="_Toc132755452"/>
      <w:bookmarkStart w:id="81" w:name="_Toc132755241"/>
      <w:bookmarkStart w:id="82" w:name="_Toc29054"/>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十、签订、审核合同</w:t>
      </w:r>
      <w:bookmarkEnd w:id="79"/>
      <w:bookmarkEnd w:id="80"/>
      <w:bookmarkEnd w:id="81"/>
      <w:bookmarkEnd w:id="82"/>
    </w:p>
    <w:p w14:paraId="4041EF2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32.中标通知</w:t>
      </w:r>
    </w:p>
    <w:p w14:paraId="3C94A8D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32.1中标人确定后,采购代理机构将在相关政府采购信息发布媒体上发布中标公告，并以书面形式向中标人发出中标通知书，但该中标结果的有效性不依赖于未中标的投标人是否已经收到该通知。中标人应按照上述第23、24、26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40E75E6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32.2采购代理机构对未中标的投标人不作未中标原因的解释，但中标结果的有效性不以未中标的投标人是否收到相应的通知为前提。</w:t>
      </w:r>
    </w:p>
    <w:p w14:paraId="7A2A2BB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32.3中标通知书是合同的组成部分。</w:t>
      </w:r>
    </w:p>
    <w:p w14:paraId="5CFFC82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33.签订合同</w:t>
      </w:r>
    </w:p>
    <w:p w14:paraId="0F283C55">
      <w:pPr>
        <w:widowControl w:val="0"/>
        <w:kinsoku/>
        <w:topLinePunct/>
        <w:autoSpaceDE/>
        <w:autoSpaceDN/>
        <w:spacing w:line="420" w:lineRule="auto"/>
        <w:ind w:firstLine="420" w:firstLineChars="200"/>
        <w:jc w:val="both"/>
        <w:rPr>
          <w:rFonts w:ascii="宋体" w:hAnsi="宋体" w:eastAsia="宋体" w:cs="宋体"/>
          <w:color w:val="auto"/>
          <w:highlight w:val="none"/>
        </w:rPr>
      </w:pPr>
      <w:bookmarkStart w:id="83" w:name="_bookmark18"/>
      <w:bookmarkEnd w:id="83"/>
      <w:r>
        <w:rPr>
          <w:rFonts w:hint="eastAsia" w:ascii="宋体" w:hAnsi="宋体" w:eastAsia="宋体" w:cs="宋体"/>
          <w:color w:val="auto"/>
          <w:highlight w:val="none"/>
        </w:rPr>
        <w:t>33.1中标人须在中标通知书发出之日起</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日内与采购人签订采购合同。</w:t>
      </w:r>
    </w:p>
    <w:p w14:paraId="5D08097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33.2中标人须按照招标文件、投标文件及评标过程中的有关澄清、说明或者补正文件的内容与采购人签订合同。中标人不得再与采购人签订背离合同实质性内容的其他协议或声明。</w:t>
      </w:r>
    </w:p>
    <w:p w14:paraId="643129C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33.3采购人如需追加与合同标的相同的货物，在不改变合同其他条款的前提下，提交追加合同的申请报经有关部门审核后，可与中标人签订补充合同，但所有补充合同的采购金额不得超过原合同金额的百分之十。</w:t>
      </w:r>
    </w:p>
    <w:p w14:paraId="3A0EC2A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33.4中标人一旦中标及签订合同后，不得转包，亦不得将合同全部及任何权利、义务向第三方转让。</w:t>
      </w:r>
    </w:p>
    <w:p w14:paraId="2B9C5F0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33.5中标人不履行合同的，采购人可在报经同级人民政府财政部门核准后，与排位在中标人之后的第一位中标候选供应商签订合同，以此类推；或在报经同级人民政府财政部门核准后重新组织采购。</w:t>
      </w:r>
    </w:p>
    <w:p w14:paraId="22FE003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33.6违反32.1条、32.2条的规定，给对方造成损失的，应承担赔偿责任。</w:t>
      </w:r>
    </w:p>
    <w:p w14:paraId="04C7BC4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34.审核合同</w:t>
      </w:r>
    </w:p>
    <w:p w14:paraId="641380D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34.1中标人持政府采购合同于签订合同之日起</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个工作日内进行备案留存。</w:t>
      </w:r>
    </w:p>
    <w:p w14:paraId="062ED823">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84" w:name="_Toc132755242"/>
      <w:bookmarkStart w:id="85" w:name="_Toc23635"/>
      <w:bookmarkStart w:id="86" w:name="_Toc132754794"/>
      <w:bookmarkStart w:id="87" w:name="_Toc132755453"/>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十一、处罚、询问和质疑</w:t>
      </w:r>
      <w:bookmarkEnd w:id="84"/>
      <w:bookmarkEnd w:id="85"/>
      <w:bookmarkEnd w:id="86"/>
      <w:bookmarkEnd w:id="87"/>
    </w:p>
    <w:p w14:paraId="721E372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35.处罚</w:t>
      </w:r>
    </w:p>
    <w:p w14:paraId="7B5FCF4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35.1发生下列情况之一，投标人的保证金不予退还；情节严重的将其列入不良记录名单。</w:t>
      </w:r>
    </w:p>
    <w:p w14:paraId="4CD3F84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1）开标后在投标有效期内，投标人撤回其投标；</w:t>
      </w:r>
    </w:p>
    <w:p w14:paraId="0FF64EB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2）中标后无正当理由不与采购人签订合同的；</w:t>
      </w:r>
    </w:p>
    <w:p w14:paraId="0113B18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3）中标人与采购人订立背离合同实质性内容的其他协议；</w:t>
      </w:r>
    </w:p>
    <w:p w14:paraId="6B80522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4）将中标项目转让给他人，或者在投标文件中未说明，且未经采购代理机构同意，将中标项目分包给他人的；</w:t>
      </w:r>
    </w:p>
    <w:p w14:paraId="05905BF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5）存在串通投标行为的；</w:t>
      </w:r>
    </w:p>
    <w:p w14:paraId="310CCC2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6）存在弄虚作假或提供虚假材料谋取中标的；</w:t>
      </w:r>
    </w:p>
    <w:p w14:paraId="45933AD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7）投标人其他未按招标文件规定和合同约定履行义务的行为。</w:t>
      </w:r>
    </w:p>
    <w:p w14:paraId="1E4BE20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36.询问</w:t>
      </w:r>
    </w:p>
    <w:p w14:paraId="1646B91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36.1投标人对采购事项有疑问的，可以向采购人或采购代理机构提出询问。</w:t>
      </w:r>
    </w:p>
    <w:p w14:paraId="26FAF99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37.投标人有权就招标事宜提出质疑</w:t>
      </w:r>
    </w:p>
    <w:p w14:paraId="11A1DAE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37.1投标人认为招标文件、采购过程和中标结果使自已的权益受到损害的，可以在知道或者应知其权益受到损害之日起7个工作日内，以书面形式提出质疑。</w:t>
      </w:r>
    </w:p>
    <w:p w14:paraId="3E12436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37.2质疑应当按照《中华人民共和国政府采购法》、《中华人民共和国政府采购法实施条例》、《政府采购质疑和投诉办法》等法律法规的相关规定，以书面形式向采购代理机构提出。</w:t>
      </w:r>
    </w:p>
    <w:p w14:paraId="66561EE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2B4383B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37.4质疑人可以采取直接送达或者邮寄方式提交质疑书。采购代理机构收到质疑书后，对质疑书进行审查，对符合质疑条件的将办理签收手续，自签收质疑书之日起即为受理。</w:t>
      </w:r>
    </w:p>
    <w:p w14:paraId="13C9B8D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37.5采购代理机构将在受理书面质疑后7个工作日内审查质疑事项，作出答复或相关处理决定，并以书面形式通知质疑人和其他相关供应商，但答复的内容不涉及商业秘密。</w:t>
      </w:r>
    </w:p>
    <w:p w14:paraId="46FFB91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37.6投标人进行虚假和恶意质疑的，采购代理机构将提请有关部门将其列入不良记录名单，在一至三年内禁止参加政府采购活动，并将处理决定在相关政府采购媒体上公布。</w:t>
      </w:r>
    </w:p>
    <w:p w14:paraId="21F5FE4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37.7质疑人对答复不满意以及采购代理机构未在规定的时间内作出答复的，可以在答复期满后15个工作日内向财政部门投拆。</w:t>
      </w:r>
    </w:p>
    <w:p w14:paraId="5F271FA3">
      <w:pPr>
        <w:widowControl w:val="0"/>
        <w:kinsoku/>
        <w:topLinePunct/>
        <w:autoSpaceDE/>
        <w:autoSpaceDN/>
        <w:spacing w:line="420" w:lineRule="auto"/>
        <w:ind w:firstLine="420" w:firstLineChars="200"/>
        <w:jc w:val="both"/>
        <w:outlineLvl w:val="2"/>
        <w:rPr>
          <w:rFonts w:ascii="宋体" w:hAnsi="宋体" w:eastAsia="宋体" w:cs="宋体"/>
          <w:color w:val="auto"/>
          <w:highlight w:val="none"/>
        </w:rPr>
      </w:pPr>
      <w:bookmarkStart w:id="88" w:name="_Toc132755454"/>
      <w:bookmarkStart w:id="89" w:name="_Toc132755243"/>
      <w:bookmarkStart w:id="90" w:name="_Toc132754795"/>
      <w:bookmarkStart w:id="91" w:name="_Toc10046"/>
      <w:r>
        <w:rPr>
          <w:rFonts w:hint="eastAsia" w:ascii="宋体" w:hAnsi="宋体" w:eastAsia="宋体" w:cs="宋体"/>
          <w:color w:val="auto"/>
          <w:highlight w:val="none"/>
          <w14:textOutline w14:w="4356" w14:cap="sq" w14:cmpd="sng" w14:algn="ctr">
            <w14:solidFill>
              <w14:srgbClr w14:val="000000"/>
            </w14:solidFill>
            <w14:prstDash w14:val="solid"/>
            <w14:bevel/>
          </w14:textOutline>
        </w:rPr>
        <w:t>十二、保密和披露</w:t>
      </w:r>
      <w:bookmarkEnd w:id="88"/>
      <w:bookmarkEnd w:id="89"/>
      <w:bookmarkEnd w:id="90"/>
      <w:bookmarkEnd w:id="91"/>
    </w:p>
    <w:p w14:paraId="26666F8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38.保密和披露</w:t>
      </w:r>
    </w:p>
    <w:p w14:paraId="5FC981D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38.1投标人自领取招标文件之日起，须承担本招标项目保密义务，不得将</w:t>
      </w:r>
      <w:bookmarkStart w:id="92" w:name="_bookmark19"/>
      <w:bookmarkEnd w:id="92"/>
      <w:r>
        <w:rPr>
          <w:rFonts w:hint="eastAsia" w:ascii="宋体" w:hAnsi="宋体" w:eastAsia="宋体" w:cs="宋体"/>
          <w:color w:val="auto"/>
          <w:highlight w:val="none"/>
        </w:rPr>
        <w:t>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2F793B7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38.2采购代理机构有权将投标人提供的所有资料向有关政府部门或评审标书的有关人员披露。</w:t>
      </w:r>
    </w:p>
    <w:p w14:paraId="6D33C5E7">
      <w:pPr>
        <w:widowControl w:val="0"/>
        <w:kinsoku/>
        <w:topLinePunct/>
        <w:autoSpaceDE/>
        <w:autoSpaceDN/>
        <w:spacing w:line="420" w:lineRule="auto"/>
        <w:ind w:firstLine="420" w:firstLineChars="200"/>
        <w:jc w:val="both"/>
        <w:rPr>
          <w:rFonts w:ascii="宋体" w:hAnsi="宋体" w:eastAsia="宋体" w:cs="宋体"/>
          <w:color w:val="auto"/>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highlight w:val="none"/>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A103E64">
      <w:pPr>
        <w:widowControl w:val="0"/>
        <w:kinsoku/>
        <w:topLinePunct/>
        <w:autoSpaceDE/>
        <w:autoSpaceDN/>
        <w:spacing w:line="420" w:lineRule="auto"/>
        <w:jc w:val="center"/>
        <w:rPr>
          <w:rFonts w:ascii="宋体" w:hAnsi="宋体" w:eastAsia="宋体" w:cs="宋体"/>
          <w:color w:val="auto"/>
          <w:highlight w:val="none"/>
          <w14:textOutline w14:w="4356" w14:cap="sq" w14:cmpd="sng" w14:algn="ctr">
            <w14:solidFill>
              <w14:srgbClr w14:val="000000"/>
            </w14:solidFill>
            <w14:prstDash w14:val="solid"/>
            <w14:bevel/>
          </w14:textOutline>
        </w:rPr>
        <w:sectPr>
          <w:footerReference r:id="rId6" w:type="default"/>
          <w:pgSz w:w="11906" w:h="16839"/>
          <w:pgMar w:top="1247" w:right="1588" w:bottom="1247" w:left="1531" w:header="851" w:footer="851" w:gutter="0"/>
          <w:cols w:space="0" w:num="1"/>
        </w:sectPr>
      </w:pPr>
    </w:p>
    <w:p w14:paraId="34466585">
      <w:pPr>
        <w:widowControl w:val="0"/>
        <w:kinsoku/>
        <w:topLinePunct/>
        <w:autoSpaceDE/>
        <w:autoSpaceDN/>
        <w:spacing w:line="420" w:lineRule="auto"/>
        <w:jc w:val="center"/>
        <w:rPr>
          <w:rFonts w:ascii="宋体" w:hAnsi="宋体" w:eastAsia="宋体" w:cs="宋体"/>
          <w:color w:val="auto"/>
          <w:highlight w:val="none"/>
        </w:rPr>
      </w:pPr>
      <w:r>
        <w:rPr>
          <w:rFonts w:hint="eastAsia" w:ascii="宋体" w:hAnsi="宋体" w:eastAsia="宋体" w:cs="宋体"/>
          <w:color w:val="auto"/>
          <w:highlight w:val="none"/>
          <w14:textOutline w14:w="4356" w14:cap="sq" w14:cmpd="sng" w14:algn="ctr">
            <w14:solidFill>
              <w14:srgbClr w14:val="000000"/>
            </w14:solidFill>
            <w14:prstDash w14:val="solid"/>
            <w14:bevel/>
          </w14:textOutline>
        </w:rPr>
        <w:t>质疑函</w:t>
      </w:r>
    </w:p>
    <w:p w14:paraId="074F701C">
      <w:pPr>
        <w:widowControl w:val="0"/>
        <w:kinsoku/>
        <w:topLinePunct/>
        <w:autoSpaceDE/>
        <w:autoSpaceDN/>
        <w:spacing w:line="420" w:lineRule="auto"/>
        <w:jc w:val="both"/>
        <w:rPr>
          <w:rFonts w:ascii="宋体" w:hAnsi="宋体" w:eastAsia="宋体" w:cs="宋体"/>
          <w:color w:val="auto"/>
          <w:highlight w:val="none"/>
        </w:rPr>
      </w:pPr>
      <w:r>
        <w:rPr>
          <w:rFonts w:hint="eastAsia" w:ascii="宋体" w:hAnsi="宋体" w:eastAsia="宋体" w:cs="宋体"/>
          <w:color w:val="auto"/>
          <w:highlight w:val="none"/>
        </w:rPr>
        <w:t>致：</w:t>
      </w:r>
    </w:p>
    <w:p w14:paraId="7D88DFC8">
      <w:pPr>
        <w:widowControl w:val="0"/>
        <w:tabs>
          <w:tab w:val="left" w:pos="885"/>
        </w:tabs>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依据政府采购相关法规，我公司对的项目（项目编号：</w:t>
      </w:r>
      <w:r>
        <w:rPr>
          <w:rFonts w:hint="eastAsia" w:ascii="宋体" w:hAnsi="宋体" w:eastAsia="宋体" w:cs="宋体"/>
          <w:color w:val="auto"/>
          <w:highlight w:val="none"/>
          <w:u w:val="single"/>
        </w:rPr>
        <w:tab/>
      </w:r>
      <w:r>
        <w:rPr>
          <w:rFonts w:hint="eastAsia" w:ascii="宋体" w:hAnsi="宋体" w:eastAsia="宋体" w:cs="宋体"/>
          <w:color w:val="auto"/>
          <w:highlight w:val="none"/>
        </w:rPr>
        <w:t>）评审活动存在疑问，特提出质疑（详见下表）。</w:t>
      </w:r>
    </w:p>
    <w:p w14:paraId="081C80E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我公司和本人对此质疑函内容的真实性负责，并愿意承担由此引起的相应处理和法律责任。</w:t>
      </w:r>
    </w:p>
    <w:p w14:paraId="1F289719">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224E954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法定代表人（签字并盖名章）：</w:t>
      </w:r>
    </w:p>
    <w:p w14:paraId="047BE70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身份证号码：</w:t>
      </w:r>
    </w:p>
    <w:p w14:paraId="3460915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固话：</w:t>
      </w:r>
    </w:p>
    <w:p w14:paraId="7850769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传真：</w:t>
      </w:r>
    </w:p>
    <w:p w14:paraId="23C6852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手机：</w:t>
      </w:r>
    </w:p>
    <w:p w14:paraId="12CD0587">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3EECC272">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本项目授权委托人（签字并盖名章）：</w:t>
      </w:r>
    </w:p>
    <w:p w14:paraId="3CCBF93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身份证号码：</w:t>
      </w:r>
    </w:p>
    <w:p w14:paraId="3F24C92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固话：</w:t>
      </w:r>
    </w:p>
    <w:p w14:paraId="1F53564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传真：</w:t>
      </w:r>
    </w:p>
    <w:p w14:paraId="40070F4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手机：</w:t>
      </w:r>
    </w:p>
    <w:p w14:paraId="782DF48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公司地址：</w:t>
      </w:r>
    </w:p>
    <w:p w14:paraId="3B7E5EA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邮编：</w:t>
      </w:r>
    </w:p>
    <w:p w14:paraId="600A522F">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4296B9E1">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4C49B4DF">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67FB7CB9">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质疑人（公章）</w:t>
      </w:r>
    </w:p>
    <w:p w14:paraId="547CAB4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年月日</w:t>
      </w:r>
    </w:p>
    <w:p w14:paraId="63597C44">
      <w:pPr>
        <w:pStyle w:val="2"/>
        <w:keepNext w:val="0"/>
        <w:keepLines w:val="0"/>
        <w:widowControl w:val="0"/>
        <w:kinsoku/>
        <w:topLinePunct/>
        <w:autoSpaceDE/>
        <w:autoSpaceDN/>
        <w:spacing w:before="0" w:after="0" w:line="420" w:lineRule="auto"/>
        <w:ind w:firstLine="422" w:firstLineChars="200"/>
        <w:jc w:val="both"/>
        <w:outlineLvl w:val="9"/>
        <w:rPr>
          <w:rFonts w:ascii="宋体" w:hAnsi="宋体" w:eastAsia="宋体" w:cs="宋体"/>
          <w:color w:val="auto"/>
          <w:kern w:val="0"/>
          <w:sz w:val="21"/>
          <w:szCs w:val="21"/>
          <w:highlight w:val="none"/>
        </w:rPr>
        <w:sectPr>
          <w:pgSz w:w="11906" w:h="16839"/>
          <w:pgMar w:top="1247" w:right="1588" w:bottom="1247" w:left="1531" w:header="851" w:footer="851" w:gutter="0"/>
          <w:cols w:space="0" w:num="1"/>
        </w:sectPr>
      </w:pPr>
    </w:p>
    <w:p w14:paraId="2526F2ED">
      <w:pPr>
        <w:widowControl w:val="0"/>
        <w:kinsoku/>
        <w:topLinePunct/>
        <w:autoSpaceDE/>
        <w:autoSpaceDN/>
        <w:spacing w:line="420" w:lineRule="auto"/>
        <w:jc w:val="center"/>
        <w:rPr>
          <w:rFonts w:ascii="宋体" w:hAnsi="宋体" w:eastAsia="宋体" w:cs="宋体"/>
          <w:color w:val="auto"/>
          <w:highlight w:val="none"/>
        </w:rPr>
      </w:pPr>
      <w:r>
        <w:rPr>
          <w:rFonts w:ascii="宋体" w:hAnsi="宋体" w:eastAsia="宋体" w:cs="宋体"/>
          <w:color w:val="auto"/>
          <w:highlight w:val="none"/>
          <w14:textOutline w14:w="4356" w14:cap="sq" w14:cmpd="sng" w14:algn="ctr">
            <w14:solidFill>
              <w14:srgbClr w14:val="000000"/>
            </w14:solidFill>
            <w14:prstDash w14:val="solid"/>
            <w14:bevel/>
          </w14:textOutline>
        </w:rPr>
        <w:t>质疑内容</w:t>
      </w:r>
    </w:p>
    <w:p w14:paraId="35444F3A">
      <w:pPr>
        <w:widowControl w:val="0"/>
        <w:kinsoku/>
        <w:topLinePunct/>
        <w:autoSpaceDE/>
        <w:autoSpaceDN/>
        <w:spacing w:line="420" w:lineRule="auto"/>
        <w:rPr>
          <w:rFonts w:ascii="宋体" w:hAnsi="宋体" w:eastAsia="宋体" w:cs="宋体"/>
          <w:color w:val="auto"/>
          <w:highlight w:val="none"/>
        </w:rPr>
      </w:pPr>
      <w:r>
        <w:rPr>
          <w:rFonts w:ascii="宋体" w:hAnsi="宋体" w:eastAsia="宋体" w:cs="宋体"/>
          <w:color w:val="auto"/>
          <w:highlight w:val="none"/>
        </w:rPr>
        <w:t>项目名称：</w:t>
      </w:r>
    </w:p>
    <w:p w14:paraId="7C9F9400">
      <w:pPr>
        <w:widowControl w:val="0"/>
        <w:kinsoku/>
        <w:topLinePunct/>
        <w:autoSpaceDE/>
        <w:autoSpaceDN/>
        <w:spacing w:line="420" w:lineRule="auto"/>
        <w:rPr>
          <w:color w:val="auto"/>
          <w:highlight w:val="none"/>
        </w:rPr>
      </w:pPr>
      <w:r>
        <w:rPr>
          <w:rFonts w:ascii="宋体" w:hAnsi="宋体" w:eastAsia="宋体" w:cs="宋体"/>
          <w:color w:val="auto"/>
          <w:highlight w:val="none"/>
        </w:rPr>
        <w:t>项目编号：</w:t>
      </w:r>
    </w:p>
    <w:tbl>
      <w:tblPr>
        <w:tblStyle w:val="29"/>
        <w:tblW w:w="8236"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7409"/>
      </w:tblGrid>
      <w:tr w14:paraId="1E632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7" w:type="dxa"/>
            <w:vMerge w:val="restart"/>
            <w:tcBorders>
              <w:bottom w:val="nil"/>
            </w:tcBorders>
            <w:vAlign w:val="center"/>
          </w:tcPr>
          <w:p w14:paraId="71F70496">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具体</w:t>
            </w:r>
          </w:p>
          <w:p w14:paraId="29548019">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内容</w:t>
            </w:r>
          </w:p>
        </w:tc>
        <w:tc>
          <w:tcPr>
            <w:tcW w:w="7409" w:type="dxa"/>
            <w:vAlign w:val="center"/>
          </w:tcPr>
          <w:p w14:paraId="06034431">
            <w:pPr>
              <w:widowControl w:val="0"/>
              <w:kinsoku/>
              <w:topLinePunct/>
              <w:autoSpaceDE/>
              <w:autoSpaceDN/>
              <w:rPr>
                <w:rFonts w:ascii="宋体" w:hAnsi="宋体" w:eastAsia="宋体" w:cs="宋体"/>
                <w:color w:val="auto"/>
                <w:highlight w:val="none"/>
              </w:rPr>
            </w:pPr>
            <w:r>
              <w:rPr>
                <w:rFonts w:ascii="宋体" w:hAnsi="宋体" w:eastAsia="宋体" w:cs="宋体"/>
                <w:color w:val="auto"/>
                <w:highlight w:val="none"/>
              </w:rPr>
              <w:t>质疑事项：</w:t>
            </w:r>
          </w:p>
        </w:tc>
      </w:tr>
      <w:tr w14:paraId="711C0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vAlign w:val="center"/>
          </w:tcPr>
          <w:p w14:paraId="15A3A49F">
            <w:pPr>
              <w:widowControl w:val="0"/>
              <w:kinsoku/>
              <w:topLinePunct/>
              <w:autoSpaceDE/>
              <w:autoSpaceDN/>
              <w:rPr>
                <w:color w:val="auto"/>
                <w:highlight w:val="none"/>
              </w:rPr>
            </w:pPr>
          </w:p>
        </w:tc>
        <w:tc>
          <w:tcPr>
            <w:tcW w:w="7409" w:type="dxa"/>
            <w:vAlign w:val="center"/>
          </w:tcPr>
          <w:p w14:paraId="778E175A">
            <w:pPr>
              <w:widowControl w:val="0"/>
              <w:kinsoku/>
              <w:topLinePunct/>
              <w:autoSpaceDE/>
              <w:autoSpaceDN/>
              <w:rPr>
                <w:rFonts w:ascii="宋体" w:hAnsi="宋体" w:eastAsia="宋体" w:cs="宋体"/>
                <w:color w:val="auto"/>
                <w:highlight w:val="none"/>
              </w:rPr>
            </w:pPr>
            <w:r>
              <w:rPr>
                <w:rFonts w:ascii="宋体" w:hAnsi="宋体" w:eastAsia="宋体" w:cs="宋体"/>
                <w:color w:val="auto"/>
                <w:highlight w:val="none"/>
              </w:rPr>
              <w:t>主要内容：</w:t>
            </w:r>
          </w:p>
        </w:tc>
      </w:tr>
      <w:tr w14:paraId="15911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vAlign w:val="center"/>
          </w:tcPr>
          <w:p w14:paraId="6DC31480">
            <w:pPr>
              <w:widowControl w:val="0"/>
              <w:kinsoku/>
              <w:topLinePunct/>
              <w:autoSpaceDE/>
              <w:autoSpaceDN/>
              <w:rPr>
                <w:color w:val="auto"/>
                <w:highlight w:val="none"/>
              </w:rPr>
            </w:pPr>
          </w:p>
        </w:tc>
        <w:tc>
          <w:tcPr>
            <w:tcW w:w="7409" w:type="dxa"/>
            <w:vAlign w:val="center"/>
          </w:tcPr>
          <w:p w14:paraId="719DEC92">
            <w:pPr>
              <w:widowControl w:val="0"/>
              <w:kinsoku/>
              <w:topLinePunct/>
              <w:autoSpaceDE/>
              <w:autoSpaceDN/>
              <w:rPr>
                <w:rFonts w:ascii="宋体" w:hAnsi="宋体" w:eastAsia="宋体" w:cs="宋体"/>
                <w:color w:val="auto"/>
                <w:highlight w:val="none"/>
              </w:rPr>
            </w:pPr>
            <w:r>
              <w:rPr>
                <w:rFonts w:ascii="宋体" w:hAnsi="宋体" w:eastAsia="宋体" w:cs="宋体"/>
                <w:color w:val="auto"/>
                <w:highlight w:val="none"/>
              </w:rPr>
              <w:t>事实依据：</w:t>
            </w:r>
          </w:p>
        </w:tc>
      </w:tr>
      <w:tr w14:paraId="0AD6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vAlign w:val="center"/>
          </w:tcPr>
          <w:p w14:paraId="530662A5">
            <w:pPr>
              <w:widowControl w:val="0"/>
              <w:kinsoku/>
              <w:topLinePunct/>
              <w:autoSpaceDE/>
              <w:autoSpaceDN/>
              <w:rPr>
                <w:color w:val="auto"/>
                <w:highlight w:val="none"/>
              </w:rPr>
            </w:pPr>
          </w:p>
        </w:tc>
        <w:tc>
          <w:tcPr>
            <w:tcW w:w="7409" w:type="dxa"/>
            <w:vAlign w:val="center"/>
          </w:tcPr>
          <w:p w14:paraId="6954FD2A">
            <w:pPr>
              <w:widowControl w:val="0"/>
              <w:kinsoku/>
              <w:topLinePunct/>
              <w:autoSpaceDE/>
              <w:autoSpaceDN/>
              <w:rPr>
                <w:rFonts w:ascii="宋体" w:hAnsi="宋体" w:eastAsia="宋体" w:cs="宋体"/>
                <w:color w:val="auto"/>
                <w:highlight w:val="none"/>
              </w:rPr>
            </w:pPr>
            <w:r>
              <w:rPr>
                <w:rFonts w:ascii="宋体" w:hAnsi="宋体" w:eastAsia="宋体" w:cs="宋体"/>
                <w:color w:val="auto"/>
                <w:highlight w:val="none"/>
              </w:rPr>
              <w:t>适应法规条款：</w:t>
            </w:r>
          </w:p>
        </w:tc>
      </w:tr>
      <w:tr w14:paraId="289CB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27" w:type="dxa"/>
            <w:vMerge w:val="continue"/>
            <w:tcBorders>
              <w:top w:val="nil"/>
            </w:tcBorders>
            <w:vAlign w:val="center"/>
          </w:tcPr>
          <w:p w14:paraId="0CB8DC41">
            <w:pPr>
              <w:widowControl w:val="0"/>
              <w:kinsoku/>
              <w:topLinePunct/>
              <w:autoSpaceDE/>
              <w:autoSpaceDN/>
              <w:rPr>
                <w:color w:val="auto"/>
                <w:highlight w:val="none"/>
              </w:rPr>
            </w:pPr>
          </w:p>
        </w:tc>
        <w:tc>
          <w:tcPr>
            <w:tcW w:w="7409" w:type="dxa"/>
            <w:vAlign w:val="center"/>
          </w:tcPr>
          <w:p w14:paraId="0248B267">
            <w:pPr>
              <w:widowControl w:val="0"/>
              <w:kinsoku/>
              <w:topLinePunct/>
              <w:autoSpaceDE/>
              <w:autoSpaceDN/>
              <w:rPr>
                <w:rFonts w:ascii="宋体" w:hAnsi="宋体" w:eastAsia="宋体" w:cs="宋体"/>
                <w:color w:val="auto"/>
                <w:highlight w:val="none"/>
              </w:rPr>
            </w:pPr>
            <w:r>
              <w:rPr>
                <w:rFonts w:ascii="宋体" w:hAnsi="宋体" w:eastAsia="宋体" w:cs="宋体"/>
                <w:color w:val="auto"/>
                <w:highlight w:val="none"/>
              </w:rPr>
              <w:t>佐证材料：</w:t>
            </w:r>
          </w:p>
        </w:tc>
      </w:tr>
    </w:tbl>
    <w:p w14:paraId="35CF0FD3">
      <w:pPr>
        <w:widowControl w:val="0"/>
        <w:kinsoku/>
        <w:topLinePunct/>
        <w:autoSpaceDE/>
        <w:autoSpaceDN/>
        <w:spacing w:line="360" w:lineRule="auto"/>
        <w:rPr>
          <w:rFonts w:ascii="宋体" w:hAnsi="宋体" w:eastAsia="宋体" w:cs="宋体"/>
          <w:color w:val="auto"/>
          <w:sz w:val="24"/>
          <w:szCs w:val="24"/>
          <w:highlight w:val="none"/>
        </w:rPr>
      </w:pPr>
    </w:p>
    <w:p w14:paraId="0030FB00">
      <w:pPr>
        <w:widowControl w:val="0"/>
        <w:kinsoku/>
        <w:topLinePunct/>
        <w:autoSpaceDE/>
        <w:autoSpaceDN/>
        <w:spacing w:line="420" w:lineRule="auto"/>
        <w:rPr>
          <w:rFonts w:ascii="宋体" w:hAnsi="宋体" w:eastAsia="宋体" w:cs="宋体"/>
          <w:color w:val="auto"/>
          <w:highlight w:val="none"/>
        </w:rPr>
      </w:pPr>
      <w:r>
        <w:rPr>
          <w:rFonts w:ascii="宋体" w:hAnsi="宋体" w:eastAsia="宋体" w:cs="宋体"/>
          <w:color w:val="auto"/>
          <w:highlight w:val="none"/>
        </w:rPr>
        <w:t>备注：</w:t>
      </w:r>
    </w:p>
    <w:p w14:paraId="5478D148">
      <w:pPr>
        <w:widowControl w:val="0"/>
        <w:kinsoku/>
        <w:topLinePunct/>
        <w:autoSpaceDE/>
        <w:autoSpaceDN/>
        <w:spacing w:line="420" w:lineRule="auto"/>
        <w:ind w:firstLine="497"/>
        <w:rPr>
          <w:rFonts w:ascii="宋体" w:hAnsi="宋体" w:eastAsia="宋体" w:cs="宋体"/>
          <w:color w:val="auto"/>
          <w:highlight w:val="none"/>
        </w:rPr>
      </w:pPr>
      <w:r>
        <w:rPr>
          <w:rFonts w:ascii="宋体" w:hAnsi="宋体" w:eastAsia="宋体" w:cs="宋体"/>
          <w:color w:val="auto"/>
          <w:highlight w:val="none"/>
        </w:rPr>
        <w:t>1、质疑人的法定代表人办理质疑事务的，在提交质疑函</w:t>
      </w:r>
      <w:r>
        <w:rPr>
          <w:rFonts w:hint="eastAsia" w:ascii="宋体" w:hAnsi="宋体" w:eastAsia="宋体" w:cs="宋体"/>
          <w:color w:val="auto"/>
          <w:highlight w:val="none"/>
        </w:rPr>
        <w:t>（</w:t>
      </w:r>
      <w:r>
        <w:rPr>
          <w:rFonts w:ascii="宋体" w:hAnsi="宋体" w:eastAsia="宋体" w:cs="宋体"/>
          <w:color w:val="auto"/>
          <w:highlight w:val="none"/>
        </w:rPr>
        <w:t>无需填写授权委托人</w:t>
      </w:r>
      <w:r>
        <w:rPr>
          <w:rFonts w:hint="eastAsia" w:ascii="宋体" w:hAnsi="宋体" w:eastAsia="宋体" w:cs="宋体"/>
          <w:color w:val="auto"/>
          <w:highlight w:val="none"/>
        </w:rPr>
        <w:t>）</w:t>
      </w:r>
      <w:r>
        <w:rPr>
          <w:rFonts w:ascii="宋体" w:hAnsi="宋体" w:eastAsia="宋体" w:cs="宋体"/>
          <w:color w:val="auto"/>
          <w:highlight w:val="none"/>
        </w:rPr>
        <w:t>的同时，还应提交加盖质疑人公章的营业执照副本复印件和法定代表人的身份证复印件。请持身份证原件用于核对。</w:t>
      </w:r>
    </w:p>
    <w:p w14:paraId="35CDACE9">
      <w:pPr>
        <w:widowControl w:val="0"/>
        <w:kinsoku/>
        <w:topLinePunct/>
        <w:autoSpaceDE/>
        <w:autoSpaceDN/>
        <w:spacing w:line="420" w:lineRule="auto"/>
        <w:ind w:firstLine="483"/>
        <w:rPr>
          <w:rFonts w:ascii="宋体" w:hAnsi="宋体" w:eastAsia="宋体" w:cs="宋体"/>
          <w:color w:val="auto"/>
          <w:highlight w:val="none"/>
        </w:rPr>
      </w:pPr>
      <w:r>
        <w:rPr>
          <w:rFonts w:ascii="宋体" w:hAnsi="宋体" w:eastAsia="宋体" w:cs="宋体"/>
          <w:color w:val="auto"/>
          <w:highlight w:val="none"/>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69064568">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3、“具体的质疑事项及事实依据”一栏填写不下时，质疑人可另附页</w:t>
      </w:r>
      <w:r>
        <w:rPr>
          <w:rFonts w:hint="eastAsia" w:ascii="宋体" w:hAnsi="宋体" w:eastAsia="宋体" w:cs="宋体"/>
          <w:color w:val="auto"/>
          <w:highlight w:val="none"/>
        </w:rPr>
        <w:t>（</w:t>
      </w:r>
      <w:r>
        <w:rPr>
          <w:rFonts w:ascii="宋体" w:hAnsi="宋体" w:eastAsia="宋体" w:cs="宋体"/>
          <w:color w:val="auto"/>
          <w:highlight w:val="none"/>
        </w:rPr>
        <w:t>A4</w:t>
      </w:r>
      <w:r>
        <w:rPr>
          <w:rFonts w:hint="eastAsia" w:ascii="宋体" w:hAnsi="宋体" w:eastAsia="宋体" w:cs="宋体"/>
          <w:color w:val="auto"/>
          <w:highlight w:val="none"/>
        </w:rPr>
        <w:t>）</w:t>
      </w:r>
      <w:r>
        <w:rPr>
          <w:rFonts w:ascii="宋体" w:hAnsi="宋体" w:eastAsia="宋体" w:cs="宋体"/>
          <w:color w:val="auto"/>
          <w:highlight w:val="none"/>
        </w:rPr>
        <w:t>，但附纸要求加盖质疑人公章。</w:t>
      </w:r>
    </w:p>
    <w:p w14:paraId="43A56E0A">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4、与质疑事项有关的材料应与质疑函合并装订。</w:t>
      </w:r>
    </w:p>
    <w:p w14:paraId="78650C76">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5、质疑函一式三份。</w:t>
      </w:r>
    </w:p>
    <w:p w14:paraId="4E266C98">
      <w:pPr>
        <w:widowControl w:val="0"/>
        <w:kinsoku/>
        <w:topLinePunct/>
        <w:autoSpaceDE/>
        <w:autoSpaceDN/>
        <w:spacing w:line="420" w:lineRule="auto"/>
        <w:ind w:firstLine="420" w:firstLineChars="200"/>
        <w:rPr>
          <w:rFonts w:ascii="宋体" w:hAnsi="宋体" w:eastAsia="宋体" w:cs="宋体"/>
          <w:color w:val="auto"/>
          <w:highlight w:val="none"/>
        </w:rPr>
        <w:sectPr>
          <w:footerReference r:id="rId7" w:type="default"/>
          <w:pgSz w:w="11906" w:h="16839"/>
          <w:pgMar w:top="1247" w:right="1588" w:bottom="1247" w:left="1531" w:header="851" w:footer="851" w:gutter="0"/>
          <w:cols w:space="0" w:num="1"/>
        </w:sectPr>
      </w:pPr>
    </w:p>
    <w:p w14:paraId="5201899C">
      <w:pPr>
        <w:widowControl w:val="0"/>
        <w:kinsoku/>
        <w:topLinePunct/>
        <w:autoSpaceDE/>
        <w:autoSpaceDN/>
        <w:spacing w:line="480" w:lineRule="auto"/>
        <w:jc w:val="center"/>
        <w:outlineLvl w:val="0"/>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bookmarkStart w:id="93" w:name="_bookmark20"/>
      <w:bookmarkEnd w:id="93"/>
      <w:bookmarkStart w:id="94" w:name="_Toc26397"/>
      <w:bookmarkStart w:id="95" w:name="_Toc132755244"/>
      <w:bookmarkStart w:id="96" w:name="_Toc4141"/>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第三部分</w:t>
      </w:r>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 xml:space="preserve">  </w:t>
      </w:r>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采购需求</w:t>
      </w:r>
      <w:bookmarkEnd w:id="94"/>
      <w:bookmarkEnd w:id="95"/>
      <w:bookmarkEnd w:id="96"/>
    </w:p>
    <w:p w14:paraId="5DAB8BF7">
      <w:pPr>
        <w:topLinePunct/>
        <w:adjustRightInd w:val="0"/>
        <w:snapToGrid w:val="0"/>
        <w:spacing w:line="396" w:lineRule="auto"/>
        <w:ind w:firstLine="480" w:firstLineChars="200"/>
        <w:jc w:val="left"/>
        <w:rPr>
          <w:rFonts w:hint="eastAsia" w:ascii="宋体" w:hAnsi="宋体" w:eastAsia="宋体" w:cs="宋体"/>
          <w:snapToGrid w:val="0"/>
          <w:color w:val="auto"/>
          <w:kern w:val="0"/>
          <w:sz w:val="24"/>
          <w:szCs w:val="24"/>
          <w:highlight w:val="none"/>
        </w:rPr>
      </w:pPr>
      <w:bookmarkStart w:id="97" w:name="_Toc132755245"/>
      <w:r>
        <w:rPr>
          <w:rFonts w:hint="eastAsia" w:ascii="宋体" w:hAnsi="宋体" w:eastAsia="宋体" w:cs="宋体"/>
          <w:snapToGrid w:val="0"/>
          <w:color w:val="auto"/>
          <w:kern w:val="0"/>
          <w:sz w:val="24"/>
          <w:szCs w:val="24"/>
          <w:highlight w:val="none"/>
        </w:rPr>
        <w:t>（1）技术要求</w:t>
      </w:r>
    </w:p>
    <w:p w14:paraId="5FDB39B2">
      <w:pPr>
        <w:topLinePunct/>
        <w:adjustRightInd w:val="0"/>
        <w:snapToGrid w:val="0"/>
        <w:spacing w:line="396" w:lineRule="auto"/>
        <w:jc w:val="center"/>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2024年和田市城市道路及人行道和公园等公共基础设施零星修补项目清单</w:t>
      </w:r>
    </w:p>
    <w:tbl>
      <w:tblPr>
        <w:tblStyle w:val="2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57" w:type="dxa"/>
          <w:bottom w:w="0" w:type="dxa"/>
          <w:right w:w="57" w:type="dxa"/>
        </w:tblCellMar>
      </w:tblPr>
      <w:tblGrid>
        <w:gridCol w:w="652"/>
        <w:gridCol w:w="1777"/>
        <w:gridCol w:w="958"/>
        <w:gridCol w:w="958"/>
        <w:gridCol w:w="4552"/>
      </w:tblGrid>
      <w:tr w14:paraId="355D0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blHeader/>
        </w:trPr>
        <w:tc>
          <w:tcPr>
            <w:tcW w:w="366" w:type="pct"/>
            <w:tcBorders>
              <w:tl2br w:val="nil"/>
              <w:tr2bl w:val="nil"/>
            </w:tcBorders>
            <w:shd w:val="clear" w:color="auto" w:fill="F1F1F1"/>
            <w:noWrap w:val="0"/>
            <w:vAlign w:val="center"/>
          </w:tcPr>
          <w:p w14:paraId="197999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98" w:type="pct"/>
            <w:tcBorders>
              <w:tl2br w:val="nil"/>
              <w:tr2bl w:val="nil"/>
            </w:tcBorders>
            <w:shd w:val="clear" w:color="auto" w:fill="F1F1F1"/>
            <w:noWrap w:val="0"/>
            <w:vAlign w:val="center"/>
          </w:tcPr>
          <w:p w14:paraId="00C368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单位工程名称</w:t>
            </w:r>
          </w:p>
        </w:tc>
        <w:tc>
          <w:tcPr>
            <w:tcW w:w="538" w:type="pct"/>
            <w:tcBorders>
              <w:tl2br w:val="nil"/>
              <w:tr2bl w:val="nil"/>
            </w:tcBorders>
            <w:shd w:val="clear" w:color="auto" w:fill="F1F1F1"/>
            <w:noWrap w:val="0"/>
            <w:vAlign w:val="center"/>
          </w:tcPr>
          <w:p w14:paraId="4FCB07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金额</w:t>
            </w:r>
          </w:p>
        </w:tc>
        <w:tc>
          <w:tcPr>
            <w:tcW w:w="538" w:type="pct"/>
            <w:tcBorders>
              <w:tl2br w:val="nil"/>
              <w:tr2bl w:val="nil"/>
            </w:tcBorders>
            <w:shd w:val="clear" w:color="auto" w:fill="F1F1F1"/>
            <w:noWrap w:val="0"/>
            <w:vAlign w:val="center"/>
          </w:tcPr>
          <w:p w14:paraId="7774D4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557" w:type="pct"/>
            <w:tcBorders>
              <w:tl2br w:val="nil"/>
              <w:tr2bl w:val="nil"/>
            </w:tcBorders>
            <w:shd w:val="clear" w:color="auto" w:fill="F1F1F1"/>
            <w:noWrap w:val="0"/>
            <w:vAlign w:val="center"/>
          </w:tcPr>
          <w:p w14:paraId="64B1EB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052A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115C53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98" w:type="pct"/>
            <w:tcBorders>
              <w:tl2br w:val="nil"/>
              <w:tr2bl w:val="nil"/>
            </w:tcBorders>
            <w:noWrap w:val="0"/>
            <w:vAlign w:val="center"/>
          </w:tcPr>
          <w:p w14:paraId="627EEF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S砖拆除重新铺设（旧砖利用）</w:t>
            </w:r>
          </w:p>
        </w:tc>
        <w:tc>
          <w:tcPr>
            <w:tcW w:w="538" w:type="pct"/>
            <w:tcBorders>
              <w:tl2br w:val="nil"/>
              <w:tr2bl w:val="nil"/>
            </w:tcBorders>
            <w:noWrap w:val="0"/>
            <w:vAlign w:val="center"/>
          </w:tcPr>
          <w:p w14:paraId="6DF88A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112.20</w:t>
            </w:r>
          </w:p>
        </w:tc>
        <w:tc>
          <w:tcPr>
            <w:tcW w:w="538" w:type="pct"/>
            <w:tcBorders>
              <w:tl2br w:val="nil"/>
              <w:tr2bl w:val="nil"/>
            </w:tcBorders>
            <w:noWrap w:val="0"/>
            <w:vAlign w:val="center"/>
          </w:tcPr>
          <w:p w14:paraId="40B561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143F166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拆除老旧塌陷S砖，清运原垫层垃圾150mm厚，回填150mm厚戈壁料压实，利用旧砖重新铺设</w:t>
            </w:r>
          </w:p>
        </w:tc>
      </w:tr>
      <w:tr w14:paraId="19FFE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79F6AF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98" w:type="pct"/>
            <w:tcBorders>
              <w:tl2br w:val="nil"/>
              <w:tr2bl w:val="nil"/>
            </w:tcBorders>
            <w:noWrap w:val="0"/>
            <w:vAlign w:val="center"/>
          </w:tcPr>
          <w:p w14:paraId="188B93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S砖拆除重新铺设（新砖新铺）</w:t>
            </w:r>
          </w:p>
        </w:tc>
        <w:tc>
          <w:tcPr>
            <w:tcW w:w="538" w:type="pct"/>
            <w:tcBorders>
              <w:tl2br w:val="nil"/>
              <w:tr2bl w:val="nil"/>
            </w:tcBorders>
            <w:noWrap w:val="0"/>
            <w:vAlign w:val="center"/>
          </w:tcPr>
          <w:p w14:paraId="437E8D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188.72</w:t>
            </w:r>
          </w:p>
        </w:tc>
        <w:tc>
          <w:tcPr>
            <w:tcW w:w="538" w:type="pct"/>
            <w:tcBorders>
              <w:tl2br w:val="nil"/>
              <w:tr2bl w:val="nil"/>
            </w:tcBorders>
            <w:noWrap w:val="0"/>
            <w:vAlign w:val="center"/>
          </w:tcPr>
          <w:p w14:paraId="57643A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1F97A865">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拆除老旧塌陷S砖，清运原垫层垃圾150mm厚，回填150mm厚戈壁料压实，重新铺设新砖</w:t>
            </w:r>
          </w:p>
        </w:tc>
      </w:tr>
      <w:tr w14:paraId="109C2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0D3C5A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98" w:type="pct"/>
            <w:tcBorders>
              <w:tl2br w:val="nil"/>
              <w:tr2bl w:val="nil"/>
            </w:tcBorders>
            <w:noWrap w:val="0"/>
            <w:vAlign w:val="center"/>
          </w:tcPr>
          <w:p w14:paraId="3A53C2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条纹砖、面包砖、仿石砖拆除重新铺设（旧砖利用）</w:t>
            </w:r>
          </w:p>
        </w:tc>
        <w:tc>
          <w:tcPr>
            <w:tcW w:w="538" w:type="pct"/>
            <w:tcBorders>
              <w:tl2br w:val="nil"/>
              <w:tr2bl w:val="nil"/>
            </w:tcBorders>
            <w:noWrap w:val="0"/>
            <w:vAlign w:val="center"/>
          </w:tcPr>
          <w:p w14:paraId="67377B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99.24</w:t>
            </w:r>
          </w:p>
        </w:tc>
        <w:tc>
          <w:tcPr>
            <w:tcW w:w="538" w:type="pct"/>
            <w:tcBorders>
              <w:tl2br w:val="nil"/>
              <w:tr2bl w:val="nil"/>
            </w:tcBorders>
            <w:noWrap w:val="0"/>
            <w:vAlign w:val="center"/>
          </w:tcPr>
          <w:p w14:paraId="1BA824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3453139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拆除老旧塌陷条纹砖、面包砖、仿石砖，清运原垫层垃圾150mm厚，回填150mm厚戈壁料压实，利用旧砖重新铺设</w:t>
            </w:r>
          </w:p>
        </w:tc>
      </w:tr>
      <w:tr w14:paraId="312CA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57405A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98" w:type="pct"/>
            <w:tcBorders>
              <w:tl2br w:val="nil"/>
              <w:tr2bl w:val="nil"/>
            </w:tcBorders>
            <w:noWrap w:val="0"/>
            <w:vAlign w:val="center"/>
          </w:tcPr>
          <w:p w14:paraId="06D200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条纹砖拆除重新铺设（新砖新铺）</w:t>
            </w:r>
          </w:p>
        </w:tc>
        <w:tc>
          <w:tcPr>
            <w:tcW w:w="538" w:type="pct"/>
            <w:tcBorders>
              <w:tl2br w:val="nil"/>
              <w:tr2bl w:val="nil"/>
            </w:tcBorders>
            <w:noWrap w:val="0"/>
            <w:vAlign w:val="center"/>
          </w:tcPr>
          <w:p w14:paraId="3E3AF2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155.50</w:t>
            </w:r>
          </w:p>
        </w:tc>
        <w:tc>
          <w:tcPr>
            <w:tcW w:w="538" w:type="pct"/>
            <w:tcBorders>
              <w:tl2br w:val="nil"/>
              <w:tr2bl w:val="nil"/>
            </w:tcBorders>
            <w:noWrap w:val="0"/>
            <w:vAlign w:val="center"/>
          </w:tcPr>
          <w:p w14:paraId="7A08D0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2C7635A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拆除老旧塌陷条纹砖，清运原垫层垃圾150mm厚，回填150mm厚戈壁料压实，重新铺设新砖</w:t>
            </w:r>
          </w:p>
        </w:tc>
      </w:tr>
      <w:tr w14:paraId="03716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77B6E9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98" w:type="pct"/>
            <w:tcBorders>
              <w:tl2br w:val="nil"/>
              <w:tr2bl w:val="nil"/>
            </w:tcBorders>
            <w:noWrap w:val="0"/>
            <w:vAlign w:val="center"/>
          </w:tcPr>
          <w:p w14:paraId="51C3D8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面包砖拆除重新铺设（新砖新铺）</w:t>
            </w:r>
          </w:p>
        </w:tc>
        <w:tc>
          <w:tcPr>
            <w:tcW w:w="538" w:type="pct"/>
            <w:tcBorders>
              <w:tl2br w:val="nil"/>
              <w:tr2bl w:val="nil"/>
            </w:tcBorders>
            <w:noWrap w:val="0"/>
            <w:vAlign w:val="center"/>
          </w:tcPr>
          <w:p w14:paraId="0DFCB5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161.74</w:t>
            </w:r>
          </w:p>
        </w:tc>
        <w:tc>
          <w:tcPr>
            <w:tcW w:w="538" w:type="pct"/>
            <w:tcBorders>
              <w:tl2br w:val="nil"/>
              <w:tr2bl w:val="nil"/>
            </w:tcBorders>
            <w:noWrap w:val="0"/>
            <w:vAlign w:val="center"/>
          </w:tcPr>
          <w:p w14:paraId="0894ED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4EB2DE8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拆除老旧塌陷面包砖，清运原垫层垃圾150mm厚，回填150mm厚戈壁料压实，重新铺设新砖</w:t>
            </w:r>
          </w:p>
        </w:tc>
      </w:tr>
      <w:tr w14:paraId="7A9B9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2A93AC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98" w:type="pct"/>
            <w:tcBorders>
              <w:tl2br w:val="nil"/>
              <w:tr2bl w:val="nil"/>
            </w:tcBorders>
            <w:noWrap w:val="0"/>
            <w:vAlign w:val="center"/>
          </w:tcPr>
          <w:p w14:paraId="7E3B22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仿石砖拆除重新铺设（新砖新铺）</w:t>
            </w:r>
          </w:p>
        </w:tc>
        <w:tc>
          <w:tcPr>
            <w:tcW w:w="538" w:type="pct"/>
            <w:tcBorders>
              <w:tl2br w:val="nil"/>
              <w:tr2bl w:val="nil"/>
            </w:tcBorders>
            <w:noWrap w:val="0"/>
            <w:vAlign w:val="center"/>
          </w:tcPr>
          <w:p w14:paraId="609A81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180.51</w:t>
            </w:r>
          </w:p>
        </w:tc>
        <w:tc>
          <w:tcPr>
            <w:tcW w:w="538" w:type="pct"/>
            <w:tcBorders>
              <w:tl2br w:val="nil"/>
              <w:tr2bl w:val="nil"/>
            </w:tcBorders>
            <w:noWrap w:val="0"/>
            <w:vAlign w:val="center"/>
          </w:tcPr>
          <w:p w14:paraId="5E16A2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4074A2B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拆除老旧塌陷仿石砖，清运原垫层垃圾150mm厚，回填150mm厚戈壁料压实，重新铺设新砖</w:t>
            </w:r>
          </w:p>
        </w:tc>
      </w:tr>
      <w:tr w14:paraId="7490A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04F14D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98" w:type="pct"/>
            <w:tcBorders>
              <w:tl2br w:val="nil"/>
              <w:tr2bl w:val="nil"/>
            </w:tcBorders>
            <w:noWrap w:val="0"/>
            <w:vAlign w:val="center"/>
          </w:tcPr>
          <w:p w14:paraId="2E57C6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条纹砖铺设（新砖新铺）</w:t>
            </w:r>
          </w:p>
        </w:tc>
        <w:tc>
          <w:tcPr>
            <w:tcW w:w="538" w:type="pct"/>
            <w:tcBorders>
              <w:tl2br w:val="nil"/>
              <w:tr2bl w:val="nil"/>
            </w:tcBorders>
            <w:noWrap w:val="0"/>
            <w:vAlign w:val="center"/>
          </w:tcPr>
          <w:p w14:paraId="36890F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151.97</w:t>
            </w:r>
          </w:p>
        </w:tc>
        <w:tc>
          <w:tcPr>
            <w:tcW w:w="538" w:type="pct"/>
            <w:tcBorders>
              <w:tl2br w:val="nil"/>
              <w:tr2bl w:val="nil"/>
            </w:tcBorders>
            <w:noWrap w:val="0"/>
            <w:vAlign w:val="center"/>
          </w:tcPr>
          <w:p w14:paraId="39627B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634A793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场地平整，浇筑C15混凝土垫层，铺设条纹砖</w:t>
            </w:r>
          </w:p>
        </w:tc>
      </w:tr>
      <w:tr w14:paraId="616AB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517014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98" w:type="pct"/>
            <w:tcBorders>
              <w:tl2br w:val="nil"/>
              <w:tr2bl w:val="nil"/>
            </w:tcBorders>
            <w:noWrap w:val="0"/>
            <w:vAlign w:val="center"/>
          </w:tcPr>
          <w:p w14:paraId="01700D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面包砖铺设（新砖新铺）</w:t>
            </w:r>
          </w:p>
        </w:tc>
        <w:tc>
          <w:tcPr>
            <w:tcW w:w="538" w:type="pct"/>
            <w:tcBorders>
              <w:tl2br w:val="nil"/>
              <w:tr2bl w:val="nil"/>
            </w:tcBorders>
            <w:noWrap w:val="0"/>
            <w:vAlign w:val="center"/>
          </w:tcPr>
          <w:p w14:paraId="22A2F7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158.21</w:t>
            </w:r>
          </w:p>
        </w:tc>
        <w:tc>
          <w:tcPr>
            <w:tcW w:w="538" w:type="pct"/>
            <w:tcBorders>
              <w:tl2br w:val="nil"/>
              <w:tr2bl w:val="nil"/>
            </w:tcBorders>
            <w:noWrap w:val="0"/>
            <w:vAlign w:val="center"/>
          </w:tcPr>
          <w:p w14:paraId="51B269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04152FD0">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场地平整，浇筑C15混凝土垫层，铺设面包砖</w:t>
            </w:r>
          </w:p>
        </w:tc>
      </w:tr>
      <w:tr w14:paraId="35E36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4C855B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98" w:type="pct"/>
            <w:tcBorders>
              <w:tl2br w:val="nil"/>
              <w:tr2bl w:val="nil"/>
            </w:tcBorders>
            <w:noWrap w:val="0"/>
            <w:vAlign w:val="center"/>
          </w:tcPr>
          <w:p w14:paraId="1BBF57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仿石砖铺设（新砖新铺）</w:t>
            </w:r>
          </w:p>
        </w:tc>
        <w:tc>
          <w:tcPr>
            <w:tcW w:w="538" w:type="pct"/>
            <w:tcBorders>
              <w:tl2br w:val="nil"/>
              <w:tr2bl w:val="nil"/>
            </w:tcBorders>
            <w:noWrap w:val="0"/>
            <w:vAlign w:val="center"/>
          </w:tcPr>
          <w:p w14:paraId="57E02C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176.97</w:t>
            </w:r>
          </w:p>
        </w:tc>
        <w:tc>
          <w:tcPr>
            <w:tcW w:w="538" w:type="pct"/>
            <w:tcBorders>
              <w:tl2br w:val="nil"/>
              <w:tr2bl w:val="nil"/>
            </w:tcBorders>
            <w:noWrap w:val="0"/>
            <w:vAlign w:val="center"/>
          </w:tcPr>
          <w:p w14:paraId="363171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58665CF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场地平整，浇筑C15混凝土垫层，铺设仿石砖</w:t>
            </w:r>
          </w:p>
        </w:tc>
      </w:tr>
      <w:tr w14:paraId="54045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20CED0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998" w:type="pct"/>
            <w:tcBorders>
              <w:tl2br w:val="nil"/>
              <w:tr2bl w:val="nil"/>
            </w:tcBorders>
            <w:noWrap w:val="0"/>
            <w:vAlign w:val="center"/>
          </w:tcPr>
          <w:p w14:paraId="6864E7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路沿石拆除重新安装新路沿石</w:t>
            </w:r>
          </w:p>
        </w:tc>
        <w:tc>
          <w:tcPr>
            <w:tcW w:w="538" w:type="pct"/>
            <w:tcBorders>
              <w:tl2br w:val="nil"/>
              <w:tr2bl w:val="nil"/>
            </w:tcBorders>
            <w:noWrap w:val="0"/>
            <w:vAlign w:val="center"/>
          </w:tcPr>
          <w:p w14:paraId="1FBEAB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74.25</w:t>
            </w:r>
          </w:p>
        </w:tc>
        <w:tc>
          <w:tcPr>
            <w:tcW w:w="538" w:type="pct"/>
            <w:tcBorders>
              <w:tl2br w:val="nil"/>
              <w:tr2bl w:val="nil"/>
            </w:tcBorders>
            <w:noWrap w:val="0"/>
            <w:vAlign w:val="center"/>
          </w:tcPr>
          <w:p w14:paraId="2CE27E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557" w:type="pct"/>
            <w:tcBorders>
              <w:tl2br w:val="nil"/>
              <w:tr2bl w:val="nil"/>
            </w:tcBorders>
            <w:noWrap w:val="0"/>
            <w:vAlign w:val="center"/>
          </w:tcPr>
          <w:p w14:paraId="7F482A3A">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拆除破旧塌陷路沿石，清运垃圾，重新安装新路沿石</w:t>
            </w:r>
          </w:p>
        </w:tc>
      </w:tr>
      <w:tr w14:paraId="3F2FC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4932A6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998" w:type="pct"/>
            <w:tcBorders>
              <w:tl2br w:val="nil"/>
              <w:tr2bl w:val="nil"/>
            </w:tcBorders>
            <w:noWrap w:val="0"/>
            <w:vAlign w:val="center"/>
          </w:tcPr>
          <w:p w14:paraId="254D55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路沿石拆除重新安装旧路沿石</w:t>
            </w:r>
          </w:p>
        </w:tc>
        <w:tc>
          <w:tcPr>
            <w:tcW w:w="538" w:type="pct"/>
            <w:tcBorders>
              <w:tl2br w:val="nil"/>
              <w:tr2bl w:val="nil"/>
            </w:tcBorders>
            <w:noWrap w:val="0"/>
            <w:vAlign w:val="center"/>
          </w:tcPr>
          <w:p w14:paraId="670924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64.35</w:t>
            </w:r>
          </w:p>
        </w:tc>
        <w:tc>
          <w:tcPr>
            <w:tcW w:w="538" w:type="pct"/>
            <w:tcBorders>
              <w:tl2br w:val="nil"/>
              <w:tr2bl w:val="nil"/>
            </w:tcBorders>
            <w:noWrap w:val="0"/>
            <w:vAlign w:val="center"/>
          </w:tcPr>
          <w:p w14:paraId="267286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557" w:type="pct"/>
            <w:tcBorders>
              <w:tl2br w:val="nil"/>
              <w:tr2bl w:val="nil"/>
            </w:tcBorders>
            <w:noWrap w:val="0"/>
            <w:vAlign w:val="center"/>
          </w:tcPr>
          <w:p w14:paraId="4C0A282F">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拆除破旧塌陷路沿石，清运垃圾，利用旧路沿石重新安装</w:t>
            </w:r>
          </w:p>
        </w:tc>
      </w:tr>
      <w:tr w14:paraId="2B3BD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2AACD7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998" w:type="pct"/>
            <w:tcBorders>
              <w:tl2br w:val="nil"/>
              <w:tr2bl w:val="nil"/>
            </w:tcBorders>
            <w:noWrap w:val="0"/>
            <w:vAlign w:val="center"/>
          </w:tcPr>
          <w:p w14:paraId="72F9CF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路沿石安装（新安装）</w:t>
            </w:r>
          </w:p>
        </w:tc>
        <w:tc>
          <w:tcPr>
            <w:tcW w:w="538" w:type="pct"/>
            <w:tcBorders>
              <w:tl2br w:val="nil"/>
              <w:tr2bl w:val="nil"/>
            </w:tcBorders>
            <w:noWrap w:val="0"/>
            <w:vAlign w:val="center"/>
          </w:tcPr>
          <w:p w14:paraId="1768F3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85.65</w:t>
            </w:r>
          </w:p>
        </w:tc>
        <w:tc>
          <w:tcPr>
            <w:tcW w:w="538" w:type="pct"/>
            <w:tcBorders>
              <w:tl2br w:val="nil"/>
              <w:tr2bl w:val="nil"/>
            </w:tcBorders>
            <w:noWrap w:val="0"/>
            <w:vAlign w:val="center"/>
          </w:tcPr>
          <w:p w14:paraId="2DFDE5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557" w:type="pct"/>
            <w:tcBorders>
              <w:tl2br w:val="nil"/>
              <w:tr2bl w:val="nil"/>
            </w:tcBorders>
            <w:noWrap w:val="0"/>
            <w:vAlign w:val="center"/>
          </w:tcPr>
          <w:p w14:paraId="7EFF50E2">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安装路沿石（新作），C15混凝土靠背，50mm厚干拌砂浆垫层</w:t>
            </w:r>
          </w:p>
        </w:tc>
      </w:tr>
      <w:tr w14:paraId="6C458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1478B2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998" w:type="pct"/>
            <w:tcBorders>
              <w:tl2br w:val="nil"/>
              <w:tr2bl w:val="nil"/>
            </w:tcBorders>
            <w:noWrap w:val="0"/>
            <w:vAlign w:val="center"/>
          </w:tcPr>
          <w:p w14:paraId="5A2EC9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地坪浇筑-15cm</w:t>
            </w:r>
          </w:p>
        </w:tc>
        <w:tc>
          <w:tcPr>
            <w:tcW w:w="538" w:type="pct"/>
            <w:tcBorders>
              <w:tl2br w:val="nil"/>
              <w:tr2bl w:val="nil"/>
            </w:tcBorders>
            <w:noWrap w:val="0"/>
            <w:vAlign w:val="center"/>
          </w:tcPr>
          <w:p w14:paraId="4AF655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108.90</w:t>
            </w:r>
          </w:p>
        </w:tc>
        <w:tc>
          <w:tcPr>
            <w:tcW w:w="538" w:type="pct"/>
            <w:tcBorders>
              <w:tl2br w:val="nil"/>
              <w:tr2bl w:val="nil"/>
            </w:tcBorders>
            <w:noWrap w:val="0"/>
            <w:vAlign w:val="center"/>
          </w:tcPr>
          <w:p w14:paraId="1F733A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07208C05">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场地碾压平整，铺设20cm厚戈壁料垫层，浇筑15cm厚C25商品混凝土地坪，切割伸缩缝</w:t>
            </w:r>
          </w:p>
        </w:tc>
      </w:tr>
      <w:tr w14:paraId="5D165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627061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998" w:type="pct"/>
            <w:tcBorders>
              <w:tl2br w:val="nil"/>
              <w:tr2bl w:val="nil"/>
            </w:tcBorders>
            <w:noWrap w:val="0"/>
            <w:vAlign w:val="center"/>
          </w:tcPr>
          <w:p w14:paraId="123B10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地坪浇筑-12cm</w:t>
            </w:r>
          </w:p>
        </w:tc>
        <w:tc>
          <w:tcPr>
            <w:tcW w:w="538" w:type="pct"/>
            <w:tcBorders>
              <w:tl2br w:val="nil"/>
              <w:tr2bl w:val="nil"/>
            </w:tcBorders>
            <w:noWrap w:val="0"/>
            <w:vAlign w:val="center"/>
          </w:tcPr>
          <w:p w14:paraId="317C79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106.92</w:t>
            </w:r>
          </w:p>
        </w:tc>
        <w:tc>
          <w:tcPr>
            <w:tcW w:w="538" w:type="pct"/>
            <w:tcBorders>
              <w:tl2br w:val="nil"/>
              <w:tr2bl w:val="nil"/>
            </w:tcBorders>
            <w:noWrap w:val="0"/>
            <w:vAlign w:val="center"/>
          </w:tcPr>
          <w:p w14:paraId="10CF34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7AF2FA10">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场地碾压平整，铺设20cm厚戈壁料垫层，浇筑12cm厚C25商品混凝土地坪，切割伸缩缝</w:t>
            </w:r>
          </w:p>
        </w:tc>
      </w:tr>
      <w:tr w14:paraId="13817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4C37EC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98" w:type="pct"/>
            <w:tcBorders>
              <w:tl2br w:val="nil"/>
              <w:tr2bl w:val="nil"/>
            </w:tcBorders>
            <w:noWrap w:val="0"/>
            <w:vAlign w:val="center"/>
          </w:tcPr>
          <w:p w14:paraId="5C5072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沥青路面拆除恢复-8cm（含基层）</w:t>
            </w:r>
          </w:p>
        </w:tc>
        <w:tc>
          <w:tcPr>
            <w:tcW w:w="538" w:type="pct"/>
            <w:tcBorders>
              <w:tl2br w:val="nil"/>
              <w:tr2bl w:val="nil"/>
            </w:tcBorders>
            <w:noWrap w:val="0"/>
            <w:vAlign w:val="center"/>
          </w:tcPr>
          <w:p w14:paraId="201249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163.35</w:t>
            </w:r>
          </w:p>
        </w:tc>
        <w:tc>
          <w:tcPr>
            <w:tcW w:w="538" w:type="pct"/>
            <w:tcBorders>
              <w:tl2br w:val="nil"/>
              <w:tr2bl w:val="nil"/>
            </w:tcBorders>
            <w:noWrap w:val="0"/>
            <w:vAlign w:val="center"/>
          </w:tcPr>
          <w:p w14:paraId="0CAC44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172915C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拆除塌陷破旧沥青路面，垃圾清运，铺设150mm厚戈壁料基层，碾压密实，铺设8cm厚AC-13细粒式沥青混凝土</w:t>
            </w:r>
          </w:p>
        </w:tc>
      </w:tr>
      <w:tr w14:paraId="0B232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519CDB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998" w:type="pct"/>
            <w:tcBorders>
              <w:tl2br w:val="nil"/>
              <w:tr2bl w:val="nil"/>
            </w:tcBorders>
            <w:noWrap w:val="0"/>
            <w:vAlign w:val="center"/>
          </w:tcPr>
          <w:p w14:paraId="7C5D59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沥青路面拆除恢复-8cm（不含基层）</w:t>
            </w:r>
          </w:p>
        </w:tc>
        <w:tc>
          <w:tcPr>
            <w:tcW w:w="538" w:type="pct"/>
            <w:tcBorders>
              <w:tl2br w:val="nil"/>
              <w:tr2bl w:val="nil"/>
            </w:tcBorders>
            <w:noWrap w:val="0"/>
            <w:vAlign w:val="center"/>
          </w:tcPr>
          <w:p w14:paraId="36DA6A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127.12</w:t>
            </w:r>
          </w:p>
        </w:tc>
        <w:tc>
          <w:tcPr>
            <w:tcW w:w="538" w:type="pct"/>
            <w:tcBorders>
              <w:tl2br w:val="nil"/>
              <w:tr2bl w:val="nil"/>
            </w:tcBorders>
            <w:noWrap w:val="0"/>
            <w:vAlign w:val="center"/>
          </w:tcPr>
          <w:p w14:paraId="3BFC04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52552A2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拆除塌陷破旧沥青路面，垃圾清运，基层碾压密实，铺设8cm厚AC-13细粒式沥青混凝土</w:t>
            </w:r>
          </w:p>
        </w:tc>
      </w:tr>
      <w:tr w14:paraId="7298E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2D9A7E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998" w:type="pct"/>
            <w:tcBorders>
              <w:tl2br w:val="nil"/>
              <w:tr2bl w:val="nil"/>
            </w:tcBorders>
            <w:noWrap w:val="0"/>
            <w:vAlign w:val="center"/>
          </w:tcPr>
          <w:p w14:paraId="42B404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沥青路面拆除恢复-6cm（不含基层）</w:t>
            </w:r>
          </w:p>
        </w:tc>
        <w:tc>
          <w:tcPr>
            <w:tcW w:w="538" w:type="pct"/>
            <w:tcBorders>
              <w:tl2br w:val="nil"/>
              <w:tr2bl w:val="nil"/>
            </w:tcBorders>
            <w:noWrap w:val="0"/>
            <w:vAlign w:val="center"/>
          </w:tcPr>
          <w:p w14:paraId="596740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106.33</w:t>
            </w:r>
          </w:p>
        </w:tc>
        <w:tc>
          <w:tcPr>
            <w:tcW w:w="538" w:type="pct"/>
            <w:tcBorders>
              <w:tl2br w:val="nil"/>
              <w:tr2bl w:val="nil"/>
            </w:tcBorders>
            <w:noWrap w:val="0"/>
            <w:vAlign w:val="center"/>
          </w:tcPr>
          <w:p w14:paraId="4E77E1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792095E8">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拆除塌陷破旧沥青路面，垃圾清运，基层碾压密实，铺设6cm厚AC-13细粒式沥青混凝土</w:t>
            </w:r>
          </w:p>
        </w:tc>
      </w:tr>
      <w:tr w14:paraId="21470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7F5A30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998" w:type="pct"/>
            <w:tcBorders>
              <w:tl2br w:val="nil"/>
              <w:tr2bl w:val="nil"/>
            </w:tcBorders>
            <w:noWrap w:val="0"/>
            <w:vAlign w:val="center"/>
          </w:tcPr>
          <w:p w14:paraId="4324FA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沥青路面拆除恢复-6cm（含基层）</w:t>
            </w:r>
          </w:p>
        </w:tc>
        <w:tc>
          <w:tcPr>
            <w:tcW w:w="538" w:type="pct"/>
            <w:tcBorders>
              <w:tl2br w:val="nil"/>
              <w:tr2bl w:val="nil"/>
            </w:tcBorders>
            <w:noWrap w:val="0"/>
            <w:vAlign w:val="center"/>
          </w:tcPr>
          <w:p w14:paraId="07052A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142.56</w:t>
            </w:r>
          </w:p>
        </w:tc>
        <w:tc>
          <w:tcPr>
            <w:tcW w:w="538" w:type="pct"/>
            <w:tcBorders>
              <w:tl2br w:val="nil"/>
              <w:tr2bl w:val="nil"/>
            </w:tcBorders>
            <w:noWrap w:val="0"/>
            <w:vAlign w:val="center"/>
          </w:tcPr>
          <w:p w14:paraId="449613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4C5FB3C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拆除塌陷破旧沥青路面，垃圾清运，铺设150mm厚戈壁料基层，碾压密实，铺设6cm厚AC-13细粒式沥青混凝土</w:t>
            </w:r>
          </w:p>
        </w:tc>
      </w:tr>
      <w:tr w14:paraId="1CC56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2AC3E7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998" w:type="pct"/>
            <w:tcBorders>
              <w:tl2br w:val="nil"/>
              <w:tr2bl w:val="nil"/>
            </w:tcBorders>
            <w:noWrap w:val="0"/>
            <w:vAlign w:val="center"/>
          </w:tcPr>
          <w:p w14:paraId="2E6E6B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垃圾外运</w:t>
            </w:r>
          </w:p>
        </w:tc>
        <w:tc>
          <w:tcPr>
            <w:tcW w:w="538" w:type="pct"/>
            <w:tcBorders>
              <w:tl2br w:val="nil"/>
              <w:tr2bl w:val="nil"/>
            </w:tcBorders>
            <w:noWrap w:val="0"/>
            <w:vAlign w:val="center"/>
          </w:tcPr>
          <w:p w14:paraId="190A4B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37.62</w:t>
            </w:r>
          </w:p>
        </w:tc>
        <w:tc>
          <w:tcPr>
            <w:tcW w:w="538" w:type="pct"/>
            <w:tcBorders>
              <w:tl2br w:val="nil"/>
              <w:tr2bl w:val="nil"/>
            </w:tcBorders>
            <w:noWrap w:val="0"/>
            <w:vAlign w:val="center"/>
          </w:tcPr>
          <w:p w14:paraId="4FA2C2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立方米</w:t>
            </w:r>
          </w:p>
        </w:tc>
        <w:tc>
          <w:tcPr>
            <w:tcW w:w="2557" w:type="pct"/>
            <w:tcBorders>
              <w:tl2br w:val="nil"/>
              <w:tr2bl w:val="nil"/>
            </w:tcBorders>
            <w:noWrap w:val="0"/>
            <w:vAlign w:val="center"/>
          </w:tcPr>
          <w:p w14:paraId="0DAF8772">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垃圾清运至倾倒点</w:t>
            </w:r>
          </w:p>
        </w:tc>
      </w:tr>
      <w:tr w14:paraId="5F85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667998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998" w:type="pct"/>
            <w:tcBorders>
              <w:tl2br w:val="nil"/>
              <w:tr2bl w:val="nil"/>
            </w:tcBorders>
            <w:noWrap w:val="0"/>
            <w:vAlign w:val="center"/>
          </w:tcPr>
          <w:p w14:paraId="4D2E50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种植土回填</w:t>
            </w:r>
          </w:p>
        </w:tc>
        <w:tc>
          <w:tcPr>
            <w:tcW w:w="538" w:type="pct"/>
            <w:tcBorders>
              <w:tl2br w:val="nil"/>
              <w:tr2bl w:val="nil"/>
            </w:tcBorders>
            <w:noWrap w:val="0"/>
            <w:vAlign w:val="center"/>
          </w:tcPr>
          <w:p w14:paraId="6F87D9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17.82</w:t>
            </w:r>
          </w:p>
        </w:tc>
        <w:tc>
          <w:tcPr>
            <w:tcW w:w="538" w:type="pct"/>
            <w:tcBorders>
              <w:tl2br w:val="nil"/>
              <w:tr2bl w:val="nil"/>
            </w:tcBorders>
            <w:noWrap w:val="0"/>
            <w:vAlign w:val="center"/>
          </w:tcPr>
          <w:p w14:paraId="396169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立方米</w:t>
            </w:r>
          </w:p>
        </w:tc>
        <w:tc>
          <w:tcPr>
            <w:tcW w:w="2557" w:type="pct"/>
            <w:tcBorders>
              <w:tl2br w:val="nil"/>
              <w:tr2bl w:val="nil"/>
            </w:tcBorders>
            <w:noWrap w:val="0"/>
            <w:vAlign w:val="center"/>
          </w:tcPr>
          <w:p w14:paraId="325832A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种植土回填，回填厚度50cm</w:t>
            </w:r>
          </w:p>
        </w:tc>
      </w:tr>
      <w:tr w14:paraId="345FA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3C8255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998" w:type="pct"/>
            <w:tcBorders>
              <w:tl2br w:val="nil"/>
              <w:tr2bl w:val="nil"/>
            </w:tcBorders>
            <w:noWrap w:val="0"/>
            <w:vAlign w:val="center"/>
          </w:tcPr>
          <w:p w14:paraId="09A4C7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水泥砖砌筑</w:t>
            </w:r>
          </w:p>
        </w:tc>
        <w:tc>
          <w:tcPr>
            <w:tcW w:w="538" w:type="pct"/>
            <w:tcBorders>
              <w:tl2br w:val="nil"/>
              <w:tr2bl w:val="nil"/>
            </w:tcBorders>
            <w:noWrap w:val="0"/>
            <w:vAlign w:val="center"/>
          </w:tcPr>
          <w:p w14:paraId="2FA57D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654.63</w:t>
            </w:r>
          </w:p>
        </w:tc>
        <w:tc>
          <w:tcPr>
            <w:tcW w:w="538" w:type="pct"/>
            <w:tcBorders>
              <w:tl2br w:val="nil"/>
              <w:tr2bl w:val="nil"/>
            </w:tcBorders>
            <w:noWrap w:val="0"/>
            <w:vAlign w:val="center"/>
          </w:tcPr>
          <w:p w14:paraId="51CD0D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立方米</w:t>
            </w:r>
          </w:p>
        </w:tc>
        <w:tc>
          <w:tcPr>
            <w:tcW w:w="2557" w:type="pct"/>
            <w:tcBorders>
              <w:tl2br w:val="nil"/>
              <w:tr2bl w:val="nil"/>
            </w:tcBorders>
            <w:noWrap w:val="0"/>
            <w:vAlign w:val="center"/>
          </w:tcPr>
          <w:p w14:paraId="742790A5">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M5.0砌筑砂浆预制水泥砖</w:t>
            </w:r>
          </w:p>
        </w:tc>
      </w:tr>
      <w:tr w14:paraId="2F35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264618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998" w:type="pct"/>
            <w:tcBorders>
              <w:tl2br w:val="nil"/>
              <w:tr2bl w:val="nil"/>
            </w:tcBorders>
            <w:noWrap w:val="0"/>
            <w:vAlign w:val="center"/>
          </w:tcPr>
          <w:p w14:paraId="2450A7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水泥砖零星砌筑</w:t>
            </w:r>
          </w:p>
        </w:tc>
        <w:tc>
          <w:tcPr>
            <w:tcW w:w="538" w:type="pct"/>
            <w:tcBorders>
              <w:tl2br w:val="nil"/>
              <w:tr2bl w:val="nil"/>
            </w:tcBorders>
            <w:noWrap w:val="0"/>
            <w:vAlign w:val="center"/>
          </w:tcPr>
          <w:p w14:paraId="6AE15C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957.20</w:t>
            </w:r>
          </w:p>
        </w:tc>
        <w:tc>
          <w:tcPr>
            <w:tcW w:w="538" w:type="pct"/>
            <w:tcBorders>
              <w:tl2br w:val="nil"/>
              <w:tr2bl w:val="nil"/>
            </w:tcBorders>
            <w:noWrap w:val="0"/>
            <w:vAlign w:val="center"/>
          </w:tcPr>
          <w:p w14:paraId="70AEA5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立方米</w:t>
            </w:r>
          </w:p>
        </w:tc>
        <w:tc>
          <w:tcPr>
            <w:tcW w:w="2557" w:type="pct"/>
            <w:tcBorders>
              <w:tl2br w:val="nil"/>
              <w:tr2bl w:val="nil"/>
            </w:tcBorders>
            <w:noWrap w:val="0"/>
            <w:vAlign w:val="center"/>
          </w:tcPr>
          <w:p w14:paraId="70B3A30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M5.0砌筑砂浆预制水泥砖零星砌体</w:t>
            </w:r>
          </w:p>
        </w:tc>
      </w:tr>
      <w:tr w14:paraId="4067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496C90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998" w:type="pct"/>
            <w:tcBorders>
              <w:tl2br w:val="nil"/>
              <w:tr2bl w:val="nil"/>
            </w:tcBorders>
            <w:noWrap w:val="0"/>
            <w:vAlign w:val="center"/>
          </w:tcPr>
          <w:p w14:paraId="59FE51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多孔砖砌筑</w:t>
            </w:r>
          </w:p>
        </w:tc>
        <w:tc>
          <w:tcPr>
            <w:tcW w:w="538" w:type="pct"/>
            <w:tcBorders>
              <w:tl2br w:val="nil"/>
              <w:tr2bl w:val="nil"/>
            </w:tcBorders>
            <w:noWrap w:val="0"/>
            <w:vAlign w:val="center"/>
          </w:tcPr>
          <w:p w14:paraId="205126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520.89</w:t>
            </w:r>
          </w:p>
        </w:tc>
        <w:tc>
          <w:tcPr>
            <w:tcW w:w="538" w:type="pct"/>
            <w:tcBorders>
              <w:tl2br w:val="nil"/>
              <w:tr2bl w:val="nil"/>
            </w:tcBorders>
            <w:noWrap w:val="0"/>
            <w:vAlign w:val="center"/>
          </w:tcPr>
          <w:p w14:paraId="6ED492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立方米</w:t>
            </w:r>
          </w:p>
        </w:tc>
        <w:tc>
          <w:tcPr>
            <w:tcW w:w="2557" w:type="pct"/>
            <w:tcBorders>
              <w:tl2br w:val="nil"/>
              <w:tr2bl w:val="nil"/>
            </w:tcBorders>
            <w:noWrap w:val="0"/>
            <w:vAlign w:val="center"/>
          </w:tcPr>
          <w:p w14:paraId="5525A11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M5.0砌筑砂浆多孔砖砌体</w:t>
            </w:r>
          </w:p>
        </w:tc>
      </w:tr>
      <w:tr w14:paraId="7E683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6B5120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998" w:type="pct"/>
            <w:tcBorders>
              <w:tl2br w:val="nil"/>
              <w:tr2bl w:val="nil"/>
            </w:tcBorders>
            <w:noWrap w:val="0"/>
            <w:vAlign w:val="center"/>
          </w:tcPr>
          <w:p w14:paraId="51BF88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多孔砖零星砌筑</w:t>
            </w:r>
          </w:p>
        </w:tc>
        <w:tc>
          <w:tcPr>
            <w:tcW w:w="538" w:type="pct"/>
            <w:tcBorders>
              <w:tl2br w:val="nil"/>
              <w:tr2bl w:val="nil"/>
            </w:tcBorders>
            <w:noWrap w:val="0"/>
            <w:vAlign w:val="center"/>
          </w:tcPr>
          <w:p w14:paraId="4FBBF3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587.72</w:t>
            </w:r>
          </w:p>
        </w:tc>
        <w:tc>
          <w:tcPr>
            <w:tcW w:w="538" w:type="pct"/>
            <w:tcBorders>
              <w:tl2br w:val="nil"/>
              <w:tr2bl w:val="nil"/>
            </w:tcBorders>
            <w:noWrap w:val="0"/>
            <w:vAlign w:val="center"/>
          </w:tcPr>
          <w:p w14:paraId="149C05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立方米</w:t>
            </w:r>
          </w:p>
        </w:tc>
        <w:tc>
          <w:tcPr>
            <w:tcW w:w="2557" w:type="pct"/>
            <w:tcBorders>
              <w:tl2br w:val="nil"/>
              <w:tr2bl w:val="nil"/>
            </w:tcBorders>
            <w:noWrap w:val="0"/>
            <w:vAlign w:val="center"/>
          </w:tcPr>
          <w:p w14:paraId="48D3C1D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M5.0砌筑砂浆多孔砖零星砌体</w:t>
            </w:r>
          </w:p>
        </w:tc>
      </w:tr>
      <w:tr w14:paraId="43646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1820C2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998" w:type="pct"/>
            <w:tcBorders>
              <w:tl2br w:val="nil"/>
              <w:tr2bl w:val="nil"/>
            </w:tcBorders>
            <w:noWrap w:val="0"/>
            <w:vAlign w:val="center"/>
          </w:tcPr>
          <w:p w14:paraId="065BC5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水泥砂浆抹灰</w:t>
            </w:r>
          </w:p>
        </w:tc>
        <w:tc>
          <w:tcPr>
            <w:tcW w:w="538" w:type="pct"/>
            <w:tcBorders>
              <w:tl2br w:val="nil"/>
              <w:tr2bl w:val="nil"/>
            </w:tcBorders>
            <w:noWrap w:val="0"/>
            <w:vAlign w:val="center"/>
          </w:tcPr>
          <w:p w14:paraId="10F7F8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29.70</w:t>
            </w:r>
          </w:p>
        </w:tc>
        <w:tc>
          <w:tcPr>
            <w:tcW w:w="538" w:type="pct"/>
            <w:tcBorders>
              <w:tl2br w:val="nil"/>
              <w:tr2bl w:val="nil"/>
            </w:tcBorders>
            <w:noWrap w:val="0"/>
            <w:vAlign w:val="center"/>
          </w:tcPr>
          <w:p w14:paraId="684150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79C844C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13mm厚1:3水泥砂浆打底，7mm厚1:2.5水泥砂浆面层抹灰</w:t>
            </w:r>
          </w:p>
        </w:tc>
      </w:tr>
      <w:tr w14:paraId="614C1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2F8357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26</w:t>
            </w:r>
          </w:p>
        </w:tc>
        <w:tc>
          <w:tcPr>
            <w:tcW w:w="998" w:type="pct"/>
            <w:tcBorders>
              <w:tl2br w:val="nil"/>
              <w:tr2bl w:val="nil"/>
            </w:tcBorders>
            <w:noWrap w:val="0"/>
            <w:vAlign w:val="center"/>
          </w:tcPr>
          <w:p w14:paraId="05FBF2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挂网抹灰</w:t>
            </w:r>
          </w:p>
        </w:tc>
        <w:tc>
          <w:tcPr>
            <w:tcW w:w="538" w:type="pct"/>
            <w:tcBorders>
              <w:tl2br w:val="nil"/>
              <w:tr2bl w:val="nil"/>
            </w:tcBorders>
            <w:noWrap w:val="0"/>
            <w:vAlign w:val="center"/>
          </w:tcPr>
          <w:p w14:paraId="268D00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34.65</w:t>
            </w:r>
          </w:p>
        </w:tc>
        <w:tc>
          <w:tcPr>
            <w:tcW w:w="538" w:type="pct"/>
            <w:tcBorders>
              <w:tl2br w:val="nil"/>
              <w:tr2bl w:val="nil"/>
            </w:tcBorders>
            <w:noWrap w:val="0"/>
            <w:vAlign w:val="center"/>
          </w:tcPr>
          <w:p w14:paraId="44176D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31ABC9BA">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墙面挂玻纤网格布，抹4mm厚粘接砂浆</w:t>
            </w:r>
          </w:p>
        </w:tc>
      </w:tr>
      <w:tr w14:paraId="51660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740242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27</w:t>
            </w:r>
          </w:p>
        </w:tc>
        <w:tc>
          <w:tcPr>
            <w:tcW w:w="998" w:type="pct"/>
            <w:tcBorders>
              <w:tl2br w:val="nil"/>
              <w:tr2bl w:val="nil"/>
            </w:tcBorders>
            <w:noWrap w:val="0"/>
            <w:vAlign w:val="center"/>
          </w:tcPr>
          <w:p w14:paraId="147938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粉刷涂料</w:t>
            </w:r>
          </w:p>
        </w:tc>
        <w:tc>
          <w:tcPr>
            <w:tcW w:w="538" w:type="pct"/>
            <w:tcBorders>
              <w:tl2br w:val="nil"/>
              <w:tr2bl w:val="nil"/>
            </w:tcBorders>
            <w:noWrap w:val="0"/>
            <w:vAlign w:val="center"/>
          </w:tcPr>
          <w:p w14:paraId="149902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24.75</w:t>
            </w:r>
          </w:p>
        </w:tc>
        <w:tc>
          <w:tcPr>
            <w:tcW w:w="538" w:type="pct"/>
            <w:tcBorders>
              <w:tl2br w:val="nil"/>
              <w:tr2bl w:val="nil"/>
            </w:tcBorders>
            <w:noWrap w:val="0"/>
            <w:vAlign w:val="center"/>
          </w:tcPr>
          <w:p w14:paraId="37818D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0368015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墙面刮腻子一道，粉刷白色乳胶漆两道</w:t>
            </w:r>
          </w:p>
        </w:tc>
      </w:tr>
      <w:tr w14:paraId="7A4BC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0543CB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998" w:type="pct"/>
            <w:tcBorders>
              <w:tl2br w:val="nil"/>
              <w:tr2bl w:val="nil"/>
            </w:tcBorders>
            <w:noWrap w:val="0"/>
            <w:vAlign w:val="center"/>
          </w:tcPr>
          <w:p w14:paraId="23A047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喷涂真石漆</w:t>
            </w:r>
          </w:p>
        </w:tc>
        <w:tc>
          <w:tcPr>
            <w:tcW w:w="538" w:type="pct"/>
            <w:tcBorders>
              <w:tl2br w:val="nil"/>
              <w:tr2bl w:val="nil"/>
            </w:tcBorders>
            <w:noWrap w:val="0"/>
            <w:vAlign w:val="center"/>
          </w:tcPr>
          <w:p w14:paraId="7F6FFD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100.41</w:t>
            </w:r>
          </w:p>
        </w:tc>
        <w:tc>
          <w:tcPr>
            <w:tcW w:w="538" w:type="pct"/>
            <w:tcBorders>
              <w:tl2br w:val="nil"/>
              <w:tr2bl w:val="nil"/>
            </w:tcBorders>
            <w:noWrap w:val="0"/>
            <w:vAlign w:val="center"/>
          </w:tcPr>
          <w:p w14:paraId="4EBE1B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6408578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抹灰面墙面喷真石漆</w:t>
            </w:r>
          </w:p>
        </w:tc>
      </w:tr>
      <w:tr w14:paraId="550A2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6" w:type="pct"/>
            <w:tcBorders>
              <w:tl2br w:val="nil"/>
              <w:tr2bl w:val="nil"/>
            </w:tcBorders>
            <w:noWrap w:val="0"/>
            <w:vAlign w:val="center"/>
          </w:tcPr>
          <w:p w14:paraId="48E953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998" w:type="pct"/>
            <w:tcBorders>
              <w:tl2br w:val="nil"/>
              <w:tr2bl w:val="nil"/>
            </w:tcBorders>
            <w:noWrap w:val="0"/>
            <w:vAlign w:val="center"/>
          </w:tcPr>
          <w:p w14:paraId="3D3390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大理石零星铺设</w:t>
            </w:r>
          </w:p>
        </w:tc>
        <w:tc>
          <w:tcPr>
            <w:tcW w:w="538" w:type="pct"/>
            <w:tcBorders>
              <w:tl2br w:val="nil"/>
              <w:tr2bl w:val="nil"/>
            </w:tcBorders>
            <w:noWrap w:val="0"/>
            <w:vAlign w:val="center"/>
          </w:tcPr>
          <w:p w14:paraId="5D7961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330.65</w:t>
            </w:r>
          </w:p>
        </w:tc>
        <w:tc>
          <w:tcPr>
            <w:tcW w:w="538" w:type="pct"/>
            <w:tcBorders>
              <w:tl2br w:val="nil"/>
              <w:tr2bl w:val="nil"/>
            </w:tcBorders>
            <w:noWrap w:val="0"/>
            <w:vAlign w:val="center"/>
          </w:tcPr>
          <w:p w14:paraId="22E77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7C93D82A">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拆除原有损坏大理石块料面层，80mm厚C15混凝土垫层，重新铺设大理石块料面层</w:t>
            </w:r>
          </w:p>
        </w:tc>
      </w:tr>
      <w:tr w14:paraId="3F463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059104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98" w:type="pct"/>
            <w:tcBorders>
              <w:tl2br w:val="nil"/>
              <w:tr2bl w:val="nil"/>
            </w:tcBorders>
            <w:noWrap w:val="0"/>
            <w:vAlign w:val="center"/>
          </w:tcPr>
          <w:p w14:paraId="79C0FF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大理石铺设</w:t>
            </w:r>
          </w:p>
        </w:tc>
        <w:tc>
          <w:tcPr>
            <w:tcW w:w="538" w:type="pct"/>
            <w:tcBorders>
              <w:tl2br w:val="nil"/>
              <w:tr2bl w:val="nil"/>
            </w:tcBorders>
            <w:noWrap w:val="0"/>
            <w:vAlign w:val="center"/>
          </w:tcPr>
          <w:p w14:paraId="67BB06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257.08</w:t>
            </w:r>
          </w:p>
        </w:tc>
        <w:tc>
          <w:tcPr>
            <w:tcW w:w="538" w:type="pct"/>
            <w:tcBorders>
              <w:tl2br w:val="nil"/>
              <w:tr2bl w:val="nil"/>
            </w:tcBorders>
            <w:noWrap w:val="0"/>
            <w:vAlign w:val="center"/>
          </w:tcPr>
          <w:p w14:paraId="2DDAA5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67E6388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80mm厚C15混凝土垫层，大理石块料面层</w:t>
            </w:r>
          </w:p>
        </w:tc>
      </w:tr>
      <w:tr w14:paraId="1F4B9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5E81D2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998" w:type="pct"/>
            <w:tcBorders>
              <w:tl2br w:val="nil"/>
              <w:tr2bl w:val="nil"/>
            </w:tcBorders>
            <w:noWrap w:val="0"/>
            <w:vAlign w:val="center"/>
          </w:tcPr>
          <w:p w14:paraId="5D371F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干挂零星大理石</w:t>
            </w:r>
          </w:p>
        </w:tc>
        <w:tc>
          <w:tcPr>
            <w:tcW w:w="538" w:type="pct"/>
            <w:tcBorders>
              <w:tl2br w:val="nil"/>
              <w:tr2bl w:val="nil"/>
            </w:tcBorders>
            <w:noWrap w:val="0"/>
            <w:vAlign w:val="center"/>
          </w:tcPr>
          <w:p w14:paraId="4D7587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421.40</w:t>
            </w:r>
          </w:p>
        </w:tc>
        <w:tc>
          <w:tcPr>
            <w:tcW w:w="538" w:type="pct"/>
            <w:tcBorders>
              <w:tl2br w:val="nil"/>
              <w:tr2bl w:val="nil"/>
            </w:tcBorders>
            <w:noWrap w:val="0"/>
            <w:vAlign w:val="center"/>
          </w:tcPr>
          <w:p w14:paraId="3BB183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03DBFB5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轻钢龙骨，零星干挂大理石，宽缝</w:t>
            </w:r>
          </w:p>
        </w:tc>
      </w:tr>
      <w:tr w14:paraId="60CB3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0F4717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998" w:type="pct"/>
            <w:tcBorders>
              <w:tl2br w:val="nil"/>
              <w:tr2bl w:val="nil"/>
            </w:tcBorders>
            <w:noWrap w:val="0"/>
            <w:vAlign w:val="center"/>
          </w:tcPr>
          <w:p w14:paraId="063337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铁艺围档拆除</w:t>
            </w:r>
          </w:p>
        </w:tc>
        <w:tc>
          <w:tcPr>
            <w:tcW w:w="538" w:type="pct"/>
            <w:tcBorders>
              <w:tl2br w:val="nil"/>
              <w:tr2bl w:val="nil"/>
            </w:tcBorders>
            <w:noWrap w:val="0"/>
            <w:vAlign w:val="center"/>
          </w:tcPr>
          <w:p w14:paraId="4BD29C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35.64</w:t>
            </w:r>
          </w:p>
        </w:tc>
        <w:tc>
          <w:tcPr>
            <w:tcW w:w="538" w:type="pct"/>
            <w:tcBorders>
              <w:tl2br w:val="nil"/>
              <w:tr2bl w:val="nil"/>
            </w:tcBorders>
            <w:noWrap w:val="0"/>
            <w:vAlign w:val="center"/>
          </w:tcPr>
          <w:p w14:paraId="247889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557" w:type="pct"/>
            <w:tcBorders>
              <w:tl2br w:val="nil"/>
              <w:tr2bl w:val="nil"/>
            </w:tcBorders>
            <w:noWrap w:val="0"/>
            <w:vAlign w:val="center"/>
          </w:tcPr>
          <w:p w14:paraId="6077C55E">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拆除原老旧损坏的铁艺围挡</w:t>
            </w:r>
          </w:p>
        </w:tc>
      </w:tr>
      <w:tr w14:paraId="2C34A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1D5621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998" w:type="pct"/>
            <w:tcBorders>
              <w:tl2br w:val="nil"/>
              <w:tr2bl w:val="nil"/>
            </w:tcBorders>
            <w:noWrap w:val="0"/>
            <w:vAlign w:val="center"/>
          </w:tcPr>
          <w:p w14:paraId="2C96FA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新建铁艺围挡</w:t>
            </w:r>
          </w:p>
        </w:tc>
        <w:tc>
          <w:tcPr>
            <w:tcW w:w="538" w:type="pct"/>
            <w:tcBorders>
              <w:tl2br w:val="nil"/>
              <w:tr2bl w:val="nil"/>
            </w:tcBorders>
            <w:noWrap w:val="0"/>
            <w:vAlign w:val="center"/>
          </w:tcPr>
          <w:p w14:paraId="2AEC0E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222.75</w:t>
            </w:r>
          </w:p>
        </w:tc>
        <w:tc>
          <w:tcPr>
            <w:tcW w:w="538" w:type="pct"/>
            <w:tcBorders>
              <w:tl2br w:val="nil"/>
              <w:tr2bl w:val="nil"/>
            </w:tcBorders>
            <w:noWrap w:val="0"/>
            <w:vAlign w:val="center"/>
          </w:tcPr>
          <w:p w14:paraId="298467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3AF4EAE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安装1.5m高铁艺围挡，外挂绿色草皮</w:t>
            </w:r>
          </w:p>
        </w:tc>
      </w:tr>
      <w:tr w14:paraId="27EC8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4E67CE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998" w:type="pct"/>
            <w:tcBorders>
              <w:tl2br w:val="nil"/>
              <w:tr2bl w:val="nil"/>
            </w:tcBorders>
            <w:noWrap w:val="0"/>
            <w:vAlign w:val="center"/>
          </w:tcPr>
          <w:p w14:paraId="2DB31C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垫层浇筑</w:t>
            </w:r>
          </w:p>
        </w:tc>
        <w:tc>
          <w:tcPr>
            <w:tcW w:w="538" w:type="pct"/>
            <w:tcBorders>
              <w:tl2br w:val="nil"/>
              <w:tr2bl w:val="nil"/>
            </w:tcBorders>
            <w:noWrap w:val="0"/>
            <w:vAlign w:val="center"/>
          </w:tcPr>
          <w:p w14:paraId="23A053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482.65</w:t>
            </w:r>
          </w:p>
        </w:tc>
        <w:tc>
          <w:tcPr>
            <w:tcW w:w="538" w:type="pct"/>
            <w:tcBorders>
              <w:tl2br w:val="nil"/>
              <w:tr2bl w:val="nil"/>
            </w:tcBorders>
            <w:noWrap w:val="0"/>
            <w:vAlign w:val="center"/>
          </w:tcPr>
          <w:p w14:paraId="3A3286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立方米</w:t>
            </w:r>
          </w:p>
        </w:tc>
        <w:tc>
          <w:tcPr>
            <w:tcW w:w="2557" w:type="pct"/>
            <w:tcBorders>
              <w:tl2br w:val="nil"/>
              <w:tr2bl w:val="nil"/>
            </w:tcBorders>
            <w:noWrap w:val="0"/>
            <w:vAlign w:val="center"/>
          </w:tcPr>
          <w:p w14:paraId="3C6AD1B8">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垫层浇筑C20商品混凝土</w:t>
            </w:r>
          </w:p>
        </w:tc>
      </w:tr>
      <w:tr w14:paraId="66F89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610556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998" w:type="pct"/>
            <w:tcBorders>
              <w:tl2br w:val="nil"/>
              <w:tr2bl w:val="nil"/>
            </w:tcBorders>
            <w:noWrap w:val="0"/>
            <w:vAlign w:val="center"/>
          </w:tcPr>
          <w:p w14:paraId="377859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贴面砖</w:t>
            </w:r>
          </w:p>
        </w:tc>
        <w:tc>
          <w:tcPr>
            <w:tcW w:w="538" w:type="pct"/>
            <w:tcBorders>
              <w:tl2br w:val="nil"/>
              <w:tr2bl w:val="nil"/>
            </w:tcBorders>
            <w:noWrap w:val="0"/>
            <w:vAlign w:val="center"/>
          </w:tcPr>
          <w:p w14:paraId="1A8A10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123.75</w:t>
            </w:r>
          </w:p>
        </w:tc>
        <w:tc>
          <w:tcPr>
            <w:tcW w:w="538" w:type="pct"/>
            <w:tcBorders>
              <w:tl2br w:val="nil"/>
              <w:tr2bl w:val="nil"/>
            </w:tcBorders>
            <w:noWrap w:val="0"/>
            <w:vAlign w:val="center"/>
          </w:tcPr>
          <w:p w14:paraId="7D8C68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62F9F98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1：2水泥砂浆外墙贴面砖</w:t>
            </w:r>
          </w:p>
        </w:tc>
      </w:tr>
      <w:tr w14:paraId="33C1B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6" w:type="pct"/>
            <w:tcBorders>
              <w:tl2br w:val="nil"/>
              <w:tr2bl w:val="nil"/>
            </w:tcBorders>
            <w:noWrap w:val="0"/>
            <w:vAlign w:val="center"/>
          </w:tcPr>
          <w:p w14:paraId="1B8A24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998" w:type="pct"/>
            <w:tcBorders>
              <w:tl2br w:val="nil"/>
              <w:tr2bl w:val="nil"/>
            </w:tcBorders>
            <w:noWrap w:val="0"/>
            <w:vAlign w:val="center"/>
          </w:tcPr>
          <w:p w14:paraId="20B05A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贴地砖</w:t>
            </w:r>
          </w:p>
        </w:tc>
        <w:tc>
          <w:tcPr>
            <w:tcW w:w="538" w:type="pct"/>
            <w:tcBorders>
              <w:tl2br w:val="nil"/>
              <w:tr2bl w:val="nil"/>
            </w:tcBorders>
            <w:noWrap w:val="0"/>
            <w:vAlign w:val="center"/>
          </w:tcPr>
          <w:p w14:paraId="7CC998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138.60</w:t>
            </w:r>
          </w:p>
        </w:tc>
        <w:tc>
          <w:tcPr>
            <w:tcW w:w="538" w:type="pct"/>
            <w:tcBorders>
              <w:tl2br w:val="nil"/>
              <w:tr2bl w:val="nil"/>
            </w:tcBorders>
            <w:noWrap w:val="0"/>
            <w:vAlign w:val="center"/>
          </w:tcPr>
          <w:p w14:paraId="7BFB92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4B3D5245">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原土打夯，100mm厚戈壁料垫层，80mm厚C15混凝土垫层，800mm×800mm陶瓷地砖</w:t>
            </w:r>
          </w:p>
        </w:tc>
      </w:tr>
      <w:tr w14:paraId="56C6A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2FFB65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998" w:type="pct"/>
            <w:tcBorders>
              <w:tl2br w:val="nil"/>
              <w:tr2bl w:val="nil"/>
            </w:tcBorders>
            <w:noWrap w:val="0"/>
            <w:vAlign w:val="center"/>
          </w:tcPr>
          <w:p w14:paraId="598E11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井道提升40cm</w:t>
            </w:r>
          </w:p>
        </w:tc>
        <w:tc>
          <w:tcPr>
            <w:tcW w:w="538" w:type="pct"/>
            <w:tcBorders>
              <w:tl2br w:val="nil"/>
              <w:tr2bl w:val="nil"/>
            </w:tcBorders>
            <w:noWrap w:val="0"/>
            <w:vAlign w:val="center"/>
          </w:tcPr>
          <w:p w14:paraId="47590B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269.12</w:t>
            </w:r>
          </w:p>
        </w:tc>
        <w:tc>
          <w:tcPr>
            <w:tcW w:w="538" w:type="pct"/>
            <w:tcBorders>
              <w:tl2br w:val="nil"/>
              <w:tr2bl w:val="nil"/>
            </w:tcBorders>
            <w:noWrap w:val="0"/>
            <w:vAlign w:val="center"/>
          </w:tcPr>
          <w:p w14:paraId="0CDBBB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2557" w:type="pct"/>
            <w:tcBorders>
              <w:tl2br w:val="nil"/>
              <w:tr2bl w:val="nil"/>
            </w:tcBorders>
            <w:noWrap w:val="0"/>
            <w:vAlign w:val="center"/>
          </w:tcPr>
          <w:p w14:paraId="26AEBEC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井口砌筑多孔砖提升40cm，砂浆等级M5.0</w:t>
            </w:r>
          </w:p>
        </w:tc>
      </w:tr>
      <w:tr w14:paraId="3E6AC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3584D4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998" w:type="pct"/>
            <w:tcBorders>
              <w:tl2br w:val="nil"/>
              <w:tr2bl w:val="nil"/>
            </w:tcBorders>
            <w:noWrap w:val="0"/>
            <w:vAlign w:val="center"/>
          </w:tcPr>
          <w:p w14:paraId="6D92C2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井道提升20cm</w:t>
            </w:r>
          </w:p>
        </w:tc>
        <w:tc>
          <w:tcPr>
            <w:tcW w:w="538" w:type="pct"/>
            <w:tcBorders>
              <w:tl2br w:val="nil"/>
              <w:tr2bl w:val="nil"/>
            </w:tcBorders>
            <w:noWrap w:val="0"/>
            <w:vAlign w:val="center"/>
          </w:tcPr>
          <w:p w14:paraId="608B87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176.56</w:t>
            </w:r>
          </w:p>
        </w:tc>
        <w:tc>
          <w:tcPr>
            <w:tcW w:w="538" w:type="pct"/>
            <w:tcBorders>
              <w:tl2br w:val="nil"/>
              <w:tr2bl w:val="nil"/>
            </w:tcBorders>
            <w:noWrap w:val="0"/>
            <w:vAlign w:val="center"/>
          </w:tcPr>
          <w:p w14:paraId="56CC8C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2557" w:type="pct"/>
            <w:tcBorders>
              <w:tl2br w:val="nil"/>
              <w:tr2bl w:val="nil"/>
            </w:tcBorders>
            <w:noWrap w:val="0"/>
            <w:vAlign w:val="center"/>
          </w:tcPr>
          <w:p w14:paraId="00B71E88">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井口砌筑多孔砖提升20cm，砂浆等级M5.0</w:t>
            </w:r>
          </w:p>
        </w:tc>
      </w:tr>
      <w:tr w14:paraId="71B5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160057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998" w:type="pct"/>
            <w:tcBorders>
              <w:tl2br w:val="nil"/>
              <w:tr2bl w:val="nil"/>
            </w:tcBorders>
            <w:noWrap w:val="0"/>
            <w:vAlign w:val="center"/>
          </w:tcPr>
          <w:p w14:paraId="1A579D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井盖更换</w:t>
            </w:r>
          </w:p>
        </w:tc>
        <w:tc>
          <w:tcPr>
            <w:tcW w:w="538" w:type="pct"/>
            <w:tcBorders>
              <w:tl2br w:val="nil"/>
              <w:tr2bl w:val="nil"/>
            </w:tcBorders>
            <w:noWrap w:val="0"/>
            <w:vAlign w:val="center"/>
          </w:tcPr>
          <w:p w14:paraId="6F1BB3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674.54</w:t>
            </w:r>
          </w:p>
        </w:tc>
        <w:tc>
          <w:tcPr>
            <w:tcW w:w="538" w:type="pct"/>
            <w:tcBorders>
              <w:tl2br w:val="nil"/>
              <w:tr2bl w:val="nil"/>
            </w:tcBorders>
            <w:noWrap w:val="0"/>
            <w:vAlign w:val="center"/>
          </w:tcPr>
          <w:p w14:paraId="0C86A5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557" w:type="pct"/>
            <w:tcBorders>
              <w:tl2br w:val="nil"/>
              <w:tr2bl w:val="nil"/>
            </w:tcBorders>
            <w:noWrap w:val="0"/>
            <w:vAlign w:val="center"/>
          </w:tcPr>
          <w:p w14:paraId="3954C99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更换φ700重型井盖、井座</w:t>
            </w:r>
          </w:p>
        </w:tc>
      </w:tr>
      <w:tr w14:paraId="1076C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4608E9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998" w:type="pct"/>
            <w:tcBorders>
              <w:tl2br w:val="nil"/>
              <w:tr2bl w:val="nil"/>
            </w:tcBorders>
            <w:noWrap w:val="0"/>
            <w:vAlign w:val="center"/>
          </w:tcPr>
          <w:p w14:paraId="32D15A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道路标线(热熔)</w:t>
            </w:r>
          </w:p>
        </w:tc>
        <w:tc>
          <w:tcPr>
            <w:tcW w:w="538" w:type="pct"/>
            <w:tcBorders>
              <w:tl2br w:val="nil"/>
              <w:tr2bl w:val="nil"/>
            </w:tcBorders>
            <w:noWrap w:val="0"/>
            <w:vAlign w:val="center"/>
          </w:tcPr>
          <w:p w14:paraId="5B95E0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43.04</w:t>
            </w:r>
          </w:p>
        </w:tc>
        <w:tc>
          <w:tcPr>
            <w:tcW w:w="538" w:type="pct"/>
            <w:tcBorders>
              <w:tl2br w:val="nil"/>
              <w:tr2bl w:val="nil"/>
            </w:tcBorders>
            <w:noWrap w:val="0"/>
            <w:vAlign w:val="center"/>
          </w:tcPr>
          <w:p w14:paraId="1C3C62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0A5337E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道路划线，100mm宽热熔式道路标志标线</w:t>
            </w:r>
          </w:p>
        </w:tc>
      </w:tr>
      <w:tr w14:paraId="2DC3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07532A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998" w:type="pct"/>
            <w:tcBorders>
              <w:tl2br w:val="nil"/>
              <w:tr2bl w:val="nil"/>
            </w:tcBorders>
            <w:noWrap w:val="0"/>
            <w:vAlign w:val="center"/>
          </w:tcPr>
          <w:p w14:paraId="680188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清除标线</w:t>
            </w:r>
          </w:p>
        </w:tc>
        <w:tc>
          <w:tcPr>
            <w:tcW w:w="538" w:type="pct"/>
            <w:tcBorders>
              <w:tl2br w:val="nil"/>
              <w:tr2bl w:val="nil"/>
            </w:tcBorders>
            <w:noWrap w:val="0"/>
            <w:vAlign w:val="center"/>
          </w:tcPr>
          <w:p w14:paraId="027B32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538" w:type="pct"/>
            <w:tcBorders>
              <w:tl2br w:val="nil"/>
              <w:tr2bl w:val="nil"/>
            </w:tcBorders>
            <w:noWrap w:val="0"/>
            <w:vAlign w:val="center"/>
          </w:tcPr>
          <w:p w14:paraId="386FC4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2557" w:type="pct"/>
            <w:tcBorders>
              <w:tl2br w:val="nil"/>
              <w:tr2bl w:val="nil"/>
            </w:tcBorders>
            <w:noWrap w:val="0"/>
            <w:vAlign w:val="center"/>
          </w:tcPr>
          <w:p w14:paraId="68805F3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道路标线清除</w:t>
            </w:r>
          </w:p>
        </w:tc>
      </w:tr>
      <w:tr w14:paraId="47E0B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767EA0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998" w:type="pct"/>
            <w:tcBorders>
              <w:tl2br w:val="nil"/>
              <w:tr2bl w:val="nil"/>
            </w:tcBorders>
            <w:noWrap w:val="0"/>
            <w:vAlign w:val="center"/>
          </w:tcPr>
          <w:p w14:paraId="4D7E82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道路标线（油漆）</w:t>
            </w:r>
          </w:p>
        </w:tc>
        <w:tc>
          <w:tcPr>
            <w:tcW w:w="538" w:type="pct"/>
            <w:tcBorders>
              <w:tl2br w:val="nil"/>
              <w:tr2bl w:val="nil"/>
            </w:tcBorders>
            <w:noWrap w:val="0"/>
            <w:vAlign w:val="center"/>
          </w:tcPr>
          <w:p w14:paraId="181DF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538" w:type="pct"/>
            <w:tcBorders>
              <w:tl2br w:val="nil"/>
              <w:tr2bl w:val="nil"/>
            </w:tcBorders>
            <w:noWrap w:val="0"/>
            <w:vAlign w:val="center"/>
          </w:tcPr>
          <w:p w14:paraId="530499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2557" w:type="pct"/>
            <w:tcBorders>
              <w:tl2br w:val="nil"/>
              <w:tr2bl w:val="nil"/>
            </w:tcBorders>
            <w:noWrap w:val="0"/>
            <w:vAlign w:val="center"/>
          </w:tcPr>
          <w:p w14:paraId="78A1056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道路划线，100mm宽油漆道路标志标线</w:t>
            </w:r>
          </w:p>
        </w:tc>
      </w:tr>
      <w:tr w14:paraId="0D5FF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6EE082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998" w:type="pct"/>
            <w:tcBorders>
              <w:tl2br w:val="nil"/>
              <w:tr2bl w:val="nil"/>
            </w:tcBorders>
            <w:noWrap w:val="0"/>
            <w:vAlign w:val="center"/>
          </w:tcPr>
          <w:p w14:paraId="15009F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地坪拆除</w:t>
            </w:r>
          </w:p>
        </w:tc>
        <w:tc>
          <w:tcPr>
            <w:tcW w:w="538" w:type="pct"/>
            <w:tcBorders>
              <w:tl2br w:val="nil"/>
              <w:tr2bl w:val="nil"/>
            </w:tcBorders>
            <w:noWrap w:val="0"/>
            <w:vAlign w:val="center"/>
          </w:tcPr>
          <w:p w14:paraId="3DECE6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33.42</w:t>
            </w:r>
          </w:p>
        </w:tc>
        <w:tc>
          <w:tcPr>
            <w:tcW w:w="538" w:type="pct"/>
            <w:tcBorders>
              <w:tl2br w:val="nil"/>
              <w:tr2bl w:val="nil"/>
            </w:tcBorders>
            <w:noWrap w:val="0"/>
            <w:vAlign w:val="center"/>
          </w:tcPr>
          <w:p w14:paraId="765342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18280F1A">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拆除100mm厚地坪</w:t>
            </w:r>
          </w:p>
        </w:tc>
      </w:tr>
      <w:tr w14:paraId="525D8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52C43B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998" w:type="pct"/>
            <w:tcBorders>
              <w:tl2br w:val="nil"/>
              <w:tr2bl w:val="nil"/>
            </w:tcBorders>
            <w:noWrap w:val="0"/>
            <w:vAlign w:val="center"/>
          </w:tcPr>
          <w:p w14:paraId="5F5AF7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彩钢房-骨架</w:t>
            </w:r>
          </w:p>
        </w:tc>
        <w:tc>
          <w:tcPr>
            <w:tcW w:w="538" w:type="pct"/>
            <w:tcBorders>
              <w:tl2br w:val="nil"/>
              <w:tr2bl w:val="nil"/>
            </w:tcBorders>
            <w:noWrap w:val="0"/>
            <w:vAlign w:val="center"/>
          </w:tcPr>
          <w:p w14:paraId="6E58DE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11296.26</w:t>
            </w:r>
          </w:p>
        </w:tc>
        <w:tc>
          <w:tcPr>
            <w:tcW w:w="538" w:type="pct"/>
            <w:tcBorders>
              <w:tl2br w:val="nil"/>
              <w:tr2bl w:val="nil"/>
            </w:tcBorders>
            <w:noWrap w:val="0"/>
            <w:vAlign w:val="center"/>
          </w:tcPr>
          <w:p w14:paraId="281B72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吨</w:t>
            </w:r>
          </w:p>
        </w:tc>
        <w:tc>
          <w:tcPr>
            <w:tcW w:w="2557" w:type="pct"/>
            <w:tcBorders>
              <w:tl2br w:val="nil"/>
              <w:tr2bl w:val="nil"/>
            </w:tcBorders>
            <w:noWrap w:val="0"/>
            <w:vAlign w:val="center"/>
          </w:tcPr>
          <w:p w14:paraId="2402120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彩钢房搭设-骨架（包含钢柱，钢梁，檩条）</w:t>
            </w:r>
          </w:p>
        </w:tc>
      </w:tr>
      <w:tr w14:paraId="1482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6" w:type="pct"/>
            <w:tcBorders>
              <w:tl2br w:val="nil"/>
              <w:tr2bl w:val="nil"/>
            </w:tcBorders>
            <w:noWrap w:val="0"/>
            <w:vAlign w:val="center"/>
          </w:tcPr>
          <w:p w14:paraId="78DAA9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998" w:type="pct"/>
            <w:tcBorders>
              <w:tl2br w:val="nil"/>
              <w:tr2bl w:val="nil"/>
            </w:tcBorders>
            <w:noWrap w:val="0"/>
            <w:vAlign w:val="center"/>
          </w:tcPr>
          <w:p w14:paraId="0F5C5F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彩钢房-墙板及屋面板</w:t>
            </w:r>
          </w:p>
        </w:tc>
        <w:tc>
          <w:tcPr>
            <w:tcW w:w="538" w:type="pct"/>
            <w:tcBorders>
              <w:tl2br w:val="nil"/>
              <w:tr2bl w:val="nil"/>
            </w:tcBorders>
            <w:noWrap w:val="0"/>
            <w:vAlign w:val="center"/>
          </w:tcPr>
          <w:p w14:paraId="2BA7BE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204.47</w:t>
            </w:r>
          </w:p>
        </w:tc>
        <w:tc>
          <w:tcPr>
            <w:tcW w:w="538" w:type="pct"/>
            <w:tcBorders>
              <w:tl2br w:val="nil"/>
              <w:tr2bl w:val="nil"/>
            </w:tcBorders>
            <w:noWrap w:val="0"/>
            <w:vAlign w:val="center"/>
          </w:tcPr>
          <w:p w14:paraId="411CB2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2557" w:type="pct"/>
            <w:tcBorders>
              <w:tl2br w:val="nil"/>
              <w:tr2bl w:val="nil"/>
            </w:tcBorders>
            <w:noWrap w:val="0"/>
            <w:vAlign w:val="center"/>
          </w:tcPr>
          <w:p w14:paraId="1CA9CA0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彩钢房搭设-100mm厚彩钢岩棉夹芯板屋面及墙面</w:t>
            </w:r>
          </w:p>
        </w:tc>
      </w:tr>
      <w:tr w14:paraId="06848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6" w:type="pct"/>
            <w:tcBorders>
              <w:tl2br w:val="nil"/>
              <w:tr2bl w:val="nil"/>
            </w:tcBorders>
            <w:noWrap w:val="0"/>
            <w:vAlign w:val="center"/>
          </w:tcPr>
          <w:p w14:paraId="470E52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998" w:type="pct"/>
            <w:tcBorders>
              <w:tl2br w:val="nil"/>
              <w:tr2bl w:val="nil"/>
            </w:tcBorders>
            <w:noWrap w:val="0"/>
            <w:vAlign w:val="center"/>
          </w:tcPr>
          <w:p w14:paraId="47F305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钢筋混凝土构件人工拆除</w:t>
            </w:r>
          </w:p>
        </w:tc>
        <w:tc>
          <w:tcPr>
            <w:tcW w:w="538" w:type="pct"/>
            <w:tcBorders>
              <w:tl2br w:val="nil"/>
              <w:tr2bl w:val="nil"/>
            </w:tcBorders>
            <w:noWrap w:val="0"/>
            <w:vAlign w:val="center"/>
          </w:tcPr>
          <w:p w14:paraId="763A92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662.28</w:t>
            </w:r>
          </w:p>
        </w:tc>
        <w:tc>
          <w:tcPr>
            <w:tcW w:w="538" w:type="pct"/>
            <w:tcBorders>
              <w:tl2br w:val="nil"/>
              <w:tr2bl w:val="nil"/>
            </w:tcBorders>
            <w:noWrap w:val="0"/>
            <w:vAlign w:val="center"/>
          </w:tcPr>
          <w:p w14:paraId="098231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立方米</w:t>
            </w:r>
          </w:p>
        </w:tc>
        <w:tc>
          <w:tcPr>
            <w:tcW w:w="2557" w:type="pct"/>
            <w:tcBorders>
              <w:tl2br w:val="nil"/>
              <w:tr2bl w:val="nil"/>
            </w:tcBorders>
            <w:noWrap w:val="0"/>
            <w:vAlign w:val="center"/>
          </w:tcPr>
          <w:p w14:paraId="1B6B8DDA">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钢筋混凝土构件人工拆除</w:t>
            </w:r>
          </w:p>
        </w:tc>
      </w:tr>
      <w:tr w14:paraId="75AC0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2340C5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998" w:type="pct"/>
            <w:tcBorders>
              <w:tl2br w:val="nil"/>
              <w:tr2bl w:val="nil"/>
            </w:tcBorders>
            <w:noWrap w:val="0"/>
            <w:vAlign w:val="center"/>
          </w:tcPr>
          <w:p w14:paraId="1E5AD1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混凝土构件浇筑</w:t>
            </w:r>
          </w:p>
        </w:tc>
        <w:tc>
          <w:tcPr>
            <w:tcW w:w="538" w:type="pct"/>
            <w:tcBorders>
              <w:tl2br w:val="nil"/>
              <w:tr2bl w:val="nil"/>
            </w:tcBorders>
            <w:noWrap w:val="0"/>
            <w:vAlign w:val="center"/>
          </w:tcPr>
          <w:p w14:paraId="07BC35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740.65</w:t>
            </w:r>
          </w:p>
        </w:tc>
        <w:tc>
          <w:tcPr>
            <w:tcW w:w="538" w:type="pct"/>
            <w:tcBorders>
              <w:tl2br w:val="nil"/>
              <w:tr2bl w:val="nil"/>
            </w:tcBorders>
            <w:noWrap w:val="0"/>
            <w:vAlign w:val="center"/>
          </w:tcPr>
          <w:p w14:paraId="5E6430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立方米</w:t>
            </w:r>
          </w:p>
        </w:tc>
        <w:tc>
          <w:tcPr>
            <w:tcW w:w="2557" w:type="pct"/>
            <w:tcBorders>
              <w:tl2br w:val="nil"/>
              <w:tr2bl w:val="nil"/>
            </w:tcBorders>
            <w:noWrap w:val="0"/>
            <w:vAlign w:val="center"/>
          </w:tcPr>
          <w:p w14:paraId="3D9464F0">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钢筋混凝土构件-C25混凝土浇筑</w:t>
            </w:r>
          </w:p>
        </w:tc>
      </w:tr>
      <w:tr w14:paraId="55236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6" w:type="pct"/>
            <w:tcBorders>
              <w:tl2br w:val="nil"/>
              <w:tr2bl w:val="nil"/>
            </w:tcBorders>
            <w:noWrap w:val="0"/>
            <w:vAlign w:val="center"/>
          </w:tcPr>
          <w:p w14:paraId="784598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998" w:type="pct"/>
            <w:tcBorders>
              <w:tl2br w:val="nil"/>
              <w:tr2bl w:val="nil"/>
            </w:tcBorders>
            <w:noWrap w:val="0"/>
            <w:vAlign w:val="center"/>
          </w:tcPr>
          <w:p w14:paraId="7472C4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钢筋混凝土构件-钢筋绑扎</w:t>
            </w:r>
          </w:p>
        </w:tc>
        <w:tc>
          <w:tcPr>
            <w:tcW w:w="538" w:type="pct"/>
            <w:tcBorders>
              <w:tl2br w:val="nil"/>
              <w:tr2bl w:val="nil"/>
            </w:tcBorders>
            <w:noWrap w:val="0"/>
            <w:vAlign w:val="center"/>
          </w:tcPr>
          <w:p w14:paraId="6439C0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7656.72</w:t>
            </w:r>
          </w:p>
        </w:tc>
        <w:tc>
          <w:tcPr>
            <w:tcW w:w="538" w:type="pct"/>
            <w:tcBorders>
              <w:tl2br w:val="nil"/>
              <w:tr2bl w:val="nil"/>
            </w:tcBorders>
            <w:noWrap w:val="0"/>
            <w:vAlign w:val="center"/>
          </w:tcPr>
          <w:p w14:paraId="276FD3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吨</w:t>
            </w:r>
          </w:p>
        </w:tc>
        <w:tc>
          <w:tcPr>
            <w:tcW w:w="2557" w:type="pct"/>
            <w:tcBorders>
              <w:tl2br w:val="nil"/>
              <w:tr2bl w:val="nil"/>
            </w:tcBorders>
            <w:noWrap w:val="0"/>
            <w:vAlign w:val="center"/>
          </w:tcPr>
          <w:p w14:paraId="2606D1C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钢筋混凝土构件-钢筋绑扎（φ10以内）</w:t>
            </w:r>
          </w:p>
        </w:tc>
      </w:tr>
      <w:tr w14:paraId="3210F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012F1A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49</w:t>
            </w:r>
          </w:p>
        </w:tc>
        <w:tc>
          <w:tcPr>
            <w:tcW w:w="998" w:type="pct"/>
            <w:tcBorders>
              <w:tl2br w:val="nil"/>
              <w:tr2bl w:val="nil"/>
            </w:tcBorders>
            <w:noWrap w:val="0"/>
            <w:vAlign w:val="center"/>
          </w:tcPr>
          <w:p w14:paraId="0B7A74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U型钢管挡车器</w:t>
            </w:r>
          </w:p>
        </w:tc>
        <w:tc>
          <w:tcPr>
            <w:tcW w:w="538" w:type="pct"/>
            <w:tcBorders>
              <w:tl2br w:val="nil"/>
              <w:tr2bl w:val="nil"/>
            </w:tcBorders>
            <w:noWrap w:val="0"/>
            <w:vAlign w:val="center"/>
          </w:tcPr>
          <w:p w14:paraId="3BB7A0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277.20</w:t>
            </w:r>
          </w:p>
        </w:tc>
        <w:tc>
          <w:tcPr>
            <w:tcW w:w="538" w:type="pct"/>
            <w:tcBorders>
              <w:tl2br w:val="nil"/>
              <w:tr2bl w:val="nil"/>
            </w:tcBorders>
            <w:noWrap w:val="0"/>
            <w:vAlign w:val="center"/>
          </w:tcPr>
          <w:p w14:paraId="6973ED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557" w:type="pct"/>
            <w:tcBorders>
              <w:tl2br w:val="nil"/>
              <w:tr2bl w:val="nil"/>
            </w:tcBorders>
            <w:noWrap w:val="0"/>
            <w:vAlign w:val="center"/>
          </w:tcPr>
          <w:p w14:paraId="037F73B8">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壁厚3mm</w:t>
            </w:r>
          </w:p>
        </w:tc>
      </w:tr>
      <w:tr w14:paraId="27798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6" w:type="pct"/>
            <w:tcBorders>
              <w:tl2br w:val="nil"/>
              <w:tr2bl w:val="nil"/>
            </w:tcBorders>
            <w:noWrap w:val="0"/>
            <w:vAlign w:val="center"/>
          </w:tcPr>
          <w:p w14:paraId="4F5B59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998" w:type="pct"/>
            <w:tcBorders>
              <w:tl2br w:val="nil"/>
              <w:tr2bl w:val="nil"/>
            </w:tcBorders>
            <w:noWrap w:val="0"/>
            <w:vAlign w:val="center"/>
          </w:tcPr>
          <w:p w14:paraId="1B6BA5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沥青路面灌缝</w:t>
            </w:r>
          </w:p>
        </w:tc>
        <w:tc>
          <w:tcPr>
            <w:tcW w:w="538" w:type="pct"/>
            <w:tcBorders>
              <w:tl2br w:val="nil"/>
              <w:tr2bl w:val="nil"/>
            </w:tcBorders>
            <w:noWrap w:val="0"/>
            <w:vAlign w:val="center"/>
          </w:tcPr>
          <w:p w14:paraId="53B6C0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538" w:type="pct"/>
            <w:tcBorders>
              <w:tl2br w:val="nil"/>
              <w:tr2bl w:val="nil"/>
            </w:tcBorders>
            <w:noWrap w:val="0"/>
            <w:vAlign w:val="center"/>
          </w:tcPr>
          <w:p w14:paraId="300C62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2557" w:type="pct"/>
            <w:tcBorders>
              <w:tl2br w:val="nil"/>
              <w:tr2bl w:val="nil"/>
            </w:tcBorders>
            <w:noWrap w:val="0"/>
            <w:vAlign w:val="center"/>
          </w:tcPr>
          <w:p w14:paraId="16AF0E0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开槽机开槽，吹扫槽缝，灌入道路修复沥青胶(混合剂)</w:t>
            </w:r>
          </w:p>
        </w:tc>
      </w:tr>
    </w:tbl>
    <w:p w14:paraId="05C7E40E">
      <w:pPr>
        <w:topLinePunct/>
        <w:adjustRightInd w:val="0"/>
        <w:snapToGrid w:val="0"/>
        <w:spacing w:line="396" w:lineRule="auto"/>
        <w:ind w:firstLine="480" w:firstLineChars="200"/>
        <w:jc w:val="left"/>
        <w:rPr>
          <w:rFonts w:hint="eastAsia" w:ascii="宋体" w:hAnsi="宋体" w:eastAsia="宋体" w:cs="宋体"/>
          <w:snapToGrid w:val="0"/>
          <w:color w:val="auto"/>
          <w:kern w:val="0"/>
          <w:sz w:val="24"/>
          <w:szCs w:val="24"/>
          <w:highlight w:val="none"/>
        </w:rPr>
      </w:pPr>
    </w:p>
    <w:p w14:paraId="104287E2">
      <w:pPr>
        <w:topLinePunct/>
        <w:adjustRightInd w:val="0"/>
        <w:snapToGrid w:val="0"/>
        <w:spacing w:line="396"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（2）商务要求</w:t>
      </w:r>
    </w:p>
    <w:p w14:paraId="2C05CBAD">
      <w:pPr>
        <w:topLinePunct/>
        <w:adjustRightInd w:val="0"/>
        <w:snapToGrid w:val="0"/>
        <w:spacing w:line="396" w:lineRule="auto"/>
        <w:ind w:firstLine="420" w:firstLineChars="200"/>
        <w:rPr>
          <w:rFonts w:hint="eastAsia" w:ascii="宋体" w:hAnsi="宋体" w:eastAsia="宋体" w:cs="宋体"/>
          <w:snapToGrid w:val="0"/>
          <w:color w:val="auto"/>
          <w:kern w:val="0"/>
          <w:sz w:val="21"/>
          <w:szCs w:val="21"/>
          <w:highlight w:val="none"/>
          <w:u w:val="none"/>
        </w:rPr>
      </w:pPr>
      <w:r>
        <w:rPr>
          <w:rFonts w:hint="eastAsia" w:ascii="宋体" w:hAnsi="宋体" w:eastAsia="宋体" w:cs="宋体"/>
          <w:color w:val="auto"/>
          <w:highlight w:val="none"/>
        </w:rPr>
        <w:t>★</w:t>
      </w:r>
      <w:r>
        <w:rPr>
          <w:rFonts w:hint="eastAsia" w:ascii="宋体" w:hAnsi="宋体" w:eastAsia="宋体" w:cs="宋体"/>
          <w:snapToGrid w:val="0"/>
          <w:color w:val="auto"/>
          <w:kern w:val="0"/>
          <w:sz w:val="21"/>
          <w:szCs w:val="21"/>
          <w:highlight w:val="none"/>
          <w:u w:val="none"/>
        </w:rPr>
        <w:t>1、</w:t>
      </w:r>
      <w:r>
        <w:rPr>
          <w:rFonts w:hint="eastAsia" w:ascii="宋体" w:hAnsi="宋体" w:eastAsia="宋体" w:cs="宋体"/>
          <w:snapToGrid w:val="0"/>
          <w:color w:val="auto"/>
          <w:kern w:val="0"/>
          <w:sz w:val="21"/>
          <w:szCs w:val="21"/>
          <w:highlight w:val="none"/>
          <w:u w:val="none"/>
          <w:lang w:val="en-US" w:eastAsia="zh-CN"/>
        </w:rPr>
        <w:t>服务</w:t>
      </w:r>
      <w:r>
        <w:rPr>
          <w:rFonts w:hint="eastAsia" w:ascii="宋体" w:hAnsi="宋体" w:eastAsia="宋体" w:cs="宋体"/>
          <w:snapToGrid w:val="0"/>
          <w:color w:val="auto"/>
          <w:kern w:val="0"/>
          <w:sz w:val="21"/>
          <w:szCs w:val="21"/>
          <w:highlight w:val="none"/>
          <w:u w:val="none"/>
        </w:rPr>
        <w:t>期限：1年</w:t>
      </w:r>
    </w:p>
    <w:p w14:paraId="17BD1108">
      <w:pPr>
        <w:topLinePunct/>
        <w:adjustRightInd w:val="0"/>
        <w:snapToGrid w:val="0"/>
        <w:spacing w:line="396" w:lineRule="auto"/>
        <w:ind w:firstLine="420" w:firstLineChars="200"/>
        <w:rPr>
          <w:rFonts w:hint="eastAsia" w:ascii="宋体" w:hAnsi="宋体" w:eastAsia="宋体" w:cs="宋体"/>
          <w:snapToGrid w:val="0"/>
          <w:color w:val="auto"/>
          <w:kern w:val="0"/>
          <w:sz w:val="21"/>
          <w:szCs w:val="21"/>
          <w:highlight w:val="none"/>
          <w:u w:val="none"/>
        </w:rPr>
      </w:pPr>
      <w:r>
        <w:rPr>
          <w:rFonts w:hint="eastAsia" w:ascii="宋体" w:hAnsi="宋体" w:eastAsia="宋体" w:cs="宋体"/>
          <w:color w:val="auto"/>
          <w:highlight w:val="none"/>
        </w:rPr>
        <w:t>★</w:t>
      </w:r>
      <w:r>
        <w:rPr>
          <w:rFonts w:hint="eastAsia" w:ascii="宋体" w:hAnsi="宋体" w:eastAsia="宋体" w:cs="宋体"/>
          <w:snapToGrid w:val="0"/>
          <w:color w:val="auto"/>
          <w:kern w:val="0"/>
          <w:sz w:val="21"/>
          <w:szCs w:val="21"/>
          <w:highlight w:val="none"/>
          <w:u w:val="none"/>
        </w:rPr>
        <w:t>2、项目地点：和田市。</w:t>
      </w:r>
    </w:p>
    <w:p w14:paraId="7DBEE8F6">
      <w:pPr>
        <w:topLinePunct/>
        <w:adjustRightInd w:val="0"/>
        <w:snapToGrid w:val="0"/>
        <w:spacing w:line="396" w:lineRule="auto"/>
        <w:ind w:firstLine="420" w:firstLineChars="200"/>
        <w:rPr>
          <w:rFonts w:hint="eastAsia" w:ascii="宋体" w:hAnsi="宋体" w:eastAsia="宋体" w:cs="宋体"/>
          <w:snapToGrid w:val="0"/>
          <w:color w:val="auto"/>
          <w:kern w:val="0"/>
          <w:sz w:val="21"/>
          <w:szCs w:val="21"/>
          <w:highlight w:val="none"/>
          <w:u w:val="none"/>
        </w:rPr>
      </w:pPr>
      <w:r>
        <w:rPr>
          <w:rFonts w:hint="eastAsia" w:ascii="宋体" w:hAnsi="宋体" w:eastAsia="宋体" w:cs="宋体"/>
          <w:snapToGrid w:val="0"/>
          <w:color w:val="auto"/>
          <w:kern w:val="0"/>
          <w:sz w:val="21"/>
          <w:szCs w:val="21"/>
          <w:highlight w:val="none"/>
          <w:u w:val="none"/>
        </w:rPr>
        <w:t>3、验收方式：成交供应商按照合同约定完成项目后，由和田市城管局组织验收，按照招标文件和政府采购合同规定的采购需求及内容以及验收标准，邀请参加本项目的审计单位等第三方专业机构、专家参与验收，相关验收意见作为验收的参考资料。</w:t>
      </w:r>
    </w:p>
    <w:p w14:paraId="76677D28">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rPr>
      </w:pPr>
      <w:r>
        <w:rPr>
          <w:rFonts w:hint="eastAsia" w:ascii="宋体" w:hAnsi="宋体" w:eastAsia="宋体" w:cs="宋体"/>
          <w:color w:val="auto"/>
          <w:highlight w:val="none"/>
        </w:rPr>
        <w:t>★</w:t>
      </w:r>
      <w:r>
        <w:rPr>
          <w:rFonts w:hint="eastAsia" w:ascii="宋体" w:hAnsi="宋体" w:eastAsia="宋体" w:cs="宋体"/>
          <w:snapToGrid w:val="0"/>
          <w:color w:val="auto"/>
          <w:sz w:val="21"/>
          <w:szCs w:val="21"/>
          <w:highlight w:val="none"/>
          <w:u w:val="none"/>
        </w:rPr>
        <w:t>4、质量要求</w:t>
      </w:r>
      <w:r>
        <w:rPr>
          <w:rFonts w:hint="eastAsia" w:ascii="宋体" w:hAnsi="宋体" w:eastAsia="宋体" w:cs="宋体"/>
          <w:snapToGrid w:val="0"/>
          <w:color w:val="auto"/>
          <w:sz w:val="21"/>
          <w:szCs w:val="21"/>
          <w:highlight w:val="none"/>
          <w:u w:val="none"/>
          <w:lang w:eastAsia="zh-CN"/>
        </w:rPr>
        <w:t>：</w:t>
      </w:r>
      <w:r>
        <w:rPr>
          <w:rFonts w:hint="eastAsia" w:ascii="宋体" w:hAnsi="宋体" w:eastAsia="宋体" w:cs="宋体"/>
          <w:snapToGrid w:val="0"/>
          <w:color w:val="auto"/>
          <w:sz w:val="21"/>
          <w:szCs w:val="21"/>
          <w:highlight w:val="none"/>
          <w:u w:val="none"/>
          <w:lang w:val="en-US" w:eastAsia="zh-CN"/>
        </w:rPr>
        <w:t>合格</w:t>
      </w:r>
    </w:p>
    <w:p w14:paraId="28CE6055">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rPr>
      </w:pPr>
      <w:r>
        <w:rPr>
          <w:rFonts w:hint="eastAsia" w:ascii="宋体" w:hAnsi="宋体" w:eastAsia="宋体" w:cs="宋体"/>
          <w:color w:val="auto"/>
          <w:highlight w:val="none"/>
        </w:rPr>
        <w:t>★</w:t>
      </w:r>
      <w:r>
        <w:rPr>
          <w:rFonts w:hint="eastAsia" w:ascii="宋体" w:hAnsi="宋体" w:eastAsia="宋体" w:cs="宋体"/>
          <w:snapToGrid w:val="0"/>
          <w:color w:val="auto"/>
          <w:sz w:val="21"/>
          <w:szCs w:val="21"/>
          <w:highlight w:val="none"/>
          <w:u w:val="none"/>
        </w:rPr>
        <w:t>5、履约保证金：履约保证金的数额不得超过政府采购合同金额的10%。具体以与甲方约定为准，中标人与招标人签订合同前提交履约保证金，如中标人未按规定的时间履行服务项目，则扣除履约保证金。</w:t>
      </w:r>
    </w:p>
    <w:p w14:paraId="1DC9ABB4">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rPr>
      </w:pPr>
      <w:r>
        <w:rPr>
          <w:rFonts w:hint="eastAsia" w:ascii="宋体" w:hAnsi="宋体" w:eastAsia="宋体" w:cs="宋体"/>
          <w:snapToGrid w:val="0"/>
          <w:color w:val="auto"/>
          <w:sz w:val="21"/>
          <w:szCs w:val="21"/>
          <w:highlight w:val="none"/>
          <w:u w:val="none"/>
        </w:rPr>
        <w:t>履约保证金形式：支票、汇票、本票、或者金融机构、担保机构出具的保函、等非现金形式提交（履约赔付地点为项目所在地）</w:t>
      </w:r>
    </w:p>
    <w:p w14:paraId="094FEF7A">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rPr>
      </w:pPr>
      <w:r>
        <w:rPr>
          <w:rFonts w:hint="eastAsia" w:ascii="宋体" w:hAnsi="宋体" w:eastAsia="宋体" w:cs="宋体"/>
          <w:snapToGrid w:val="0"/>
          <w:color w:val="auto"/>
          <w:sz w:val="21"/>
          <w:szCs w:val="21"/>
          <w:highlight w:val="none"/>
          <w:u w:val="none"/>
        </w:rPr>
        <w:t>6、合同价格形式：固定单价合同，以成交单位投标报价为计价单价，实际完成工程量进行结算；合同以外的清单项按和田地区造价部门发布的当期信息价计算，不在信息价范围内的清单项按市场询价计算；信息价和市场询价的，都按中标单位投标报价的折扣率结算。</w:t>
      </w:r>
    </w:p>
    <w:p w14:paraId="4E78BA46">
      <w:pPr>
        <w:wordWrap w:val="0"/>
        <w:topLinePunct/>
        <w:adjustRightInd w:val="0"/>
        <w:snapToGrid w:val="0"/>
        <w:spacing w:line="420" w:lineRule="auto"/>
        <w:ind w:firstLine="420" w:firstLineChars="200"/>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color w:val="auto"/>
          <w:highlight w:val="none"/>
        </w:rPr>
        <w:t>★</w:t>
      </w:r>
      <w:r>
        <w:rPr>
          <w:rFonts w:hint="eastAsia" w:ascii="宋体" w:hAnsi="宋体" w:eastAsia="宋体" w:cs="宋体"/>
          <w:snapToGrid w:val="0"/>
          <w:color w:val="auto"/>
          <w:sz w:val="21"/>
          <w:szCs w:val="21"/>
          <w:highlight w:val="none"/>
          <w:u w:val="none"/>
          <w:lang w:val="en-US" w:eastAsia="zh-CN"/>
        </w:rPr>
        <w:t>7、报价要求：根据本项目清单综合单价，以最高限价为基础，按折扣率进行报价。</w:t>
      </w:r>
      <w:r>
        <w:rPr>
          <w:rFonts w:hint="eastAsia" w:ascii="宋体" w:hAnsi="宋体" w:eastAsia="宋体" w:cs="宋体"/>
          <w:color w:val="auto"/>
          <w:w w:val="100"/>
          <w:kern w:val="0"/>
          <w:sz w:val="21"/>
          <w:szCs w:val="21"/>
          <w:highlight w:val="none"/>
          <w:u w:val="none"/>
        </w:rPr>
        <w:t>合同所确定的固定单价为完成合同清单项目所需的全部费用，包括人工费、材料费、机械费、脚手架搭拆费、工资性津贴、其他直接费、现场经费、间接费、利润、税金、材料代用、人工调差、材料价差、机械价差、政策性调整、施工措施费用及合同包含的所有风险责任等。清单综合单价在合同有效期内固定不变。</w:t>
      </w:r>
    </w:p>
    <w:p w14:paraId="1150F53B">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rPr>
      </w:pPr>
      <w:r>
        <w:rPr>
          <w:rFonts w:hint="eastAsia" w:ascii="宋体" w:hAnsi="宋体" w:eastAsia="宋体" w:cs="宋体"/>
          <w:snapToGrid w:val="0"/>
          <w:color w:val="auto"/>
          <w:sz w:val="21"/>
          <w:szCs w:val="21"/>
          <w:highlight w:val="none"/>
          <w:u w:val="none"/>
          <w:lang w:val="en-US" w:eastAsia="zh-CN"/>
        </w:rPr>
        <w:t>8</w:t>
      </w:r>
      <w:r>
        <w:rPr>
          <w:rFonts w:hint="eastAsia" w:ascii="宋体" w:hAnsi="宋体" w:eastAsia="宋体" w:cs="宋体"/>
          <w:snapToGrid w:val="0"/>
          <w:color w:val="auto"/>
          <w:sz w:val="21"/>
          <w:szCs w:val="21"/>
          <w:highlight w:val="none"/>
          <w:u w:val="none"/>
        </w:rPr>
        <w:t>、付款方式和进度：</w:t>
      </w:r>
    </w:p>
    <w:p w14:paraId="0EEFE27B">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lang w:eastAsia="zh-CN"/>
        </w:rPr>
      </w:pPr>
      <w:r>
        <w:rPr>
          <w:rFonts w:hint="eastAsia" w:ascii="宋体" w:hAnsi="宋体" w:eastAsia="宋体" w:cs="宋体"/>
          <w:snapToGrid w:val="0"/>
          <w:color w:val="auto"/>
          <w:sz w:val="21"/>
          <w:szCs w:val="21"/>
          <w:highlight w:val="none"/>
          <w:u w:val="none"/>
        </w:rPr>
        <w:t>（1）付款方式</w:t>
      </w:r>
      <w:r>
        <w:rPr>
          <w:rFonts w:hint="eastAsia" w:ascii="宋体" w:hAnsi="宋体" w:eastAsia="宋体" w:cs="宋体"/>
          <w:snapToGrid w:val="0"/>
          <w:color w:val="auto"/>
          <w:sz w:val="21"/>
          <w:szCs w:val="21"/>
          <w:highlight w:val="none"/>
          <w:u w:val="none"/>
          <w:lang w:eastAsia="zh-CN"/>
        </w:rPr>
        <w:t>、</w:t>
      </w:r>
      <w:r>
        <w:rPr>
          <w:rFonts w:hint="eastAsia" w:ascii="宋体" w:hAnsi="宋体" w:eastAsia="宋体" w:cs="宋体"/>
          <w:snapToGrid w:val="0"/>
          <w:color w:val="auto"/>
          <w:sz w:val="21"/>
          <w:szCs w:val="21"/>
          <w:highlight w:val="none"/>
          <w:u w:val="none"/>
          <w:lang w:val="en-US" w:eastAsia="zh-CN"/>
        </w:rPr>
        <w:t>进度</w:t>
      </w:r>
      <w:r>
        <w:rPr>
          <w:rFonts w:hint="eastAsia" w:ascii="宋体" w:hAnsi="宋体" w:eastAsia="宋体" w:cs="宋体"/>
          <w:snapToGrid w:val="0"/>
          <w:color w:val="auto"/>
          <w:sz w:val="21"/>
          <w:szCs w:val="21"/>
          <w:highlight w:val="none"/>
          <w:u w:val="none"/>
        </w:rPr>
        <w:t>及条件：本项目进度款按进度支付，每半年支付一次进度款</w:t>
      </w:r>
      <w:r>
        <w:rPr>
          <w:rFonts w:hint="eastAsia" w:ascii="宋体" w:hAnsi="宋体" w:eastAsia="宋体" w:cs="宋体"/>
          <w:snapToGrid w:val="0"/>
          <w:color w:val="auto"/>
          <w:sz w:val="21"/>
          <w:szCs w:val="21"/>
          <w:highlight w:val="none"/>
          <w:u w:val="none"/>
          <w:lang w:eastAsia="zh-CN"/>
        </w:rPr>
        <w:t>。</w:t>
      </w:r>
      <w:r>
        <w:rPr>
          <w:rFonts w:hint="eastAsia" w:ascii="宋体" w:hAnsi="宋体" w:eastAsia="宋体" w:cs="宋体"/>
          <w:snapToGrid w:val="0"/>
          <w:color w:val="auto"/>
          <w:sz w:val="21"/>
          <w:szCs w:val="21"/>
          <w:highlight w:val="none"/>
          <w:u w:val="none"/>
        </w:rPr>
        <w:t>向发包人报送该支付周期内完成的工程量报告，并附进度付款申请单、已完成工程量报表和对比照片等相关资料；发包人在收到承包人提交的工程量报告后14天内，完成对承包人提交的工程量报告的审核，按照审计确定的金额支付进度款。</w:t>
      </w:r>
      <w:r>
        <w:rPr>
          <w:rFonts w:hint="eastAsia" w:ascii="宋体" w:hAnsi="宋体" w:eastAsia="宋体" w:cs="宋体"/>
          <w:snapToGrid w:val="0"/>
          <w:color w:val="auto"/>
          <w:sz w:val="21"/>
          <w:szCs w:val="21"/>
          <w:highlight w:val="none"/>
          <w:u w:val="none"/>
          <w:lang w:eastAsia="zh-CN"/>
        </w:rPr>
        <w:t>（</w:t>
      </w:r>
      <w:r>
        <w:rPr>
          <w:rFonts w:hint="eastAsia" w:ascii="宋体" w:hAnsi="宋体" w:eastAsia="宋体" w:cs="宋体"/>
          <w:snapToGrid w:val="0"/>
          <w:color w:val="auto"/>
          <w:sz w:val="21"/>
          <w:szCs w:val="21"/>
          <w:highlight w:val="none"/>
          <w:u w:val="none"/>
          <w:lang w:val="en-US" w:eastAsia="zh-CN"/>
        </w:rPr>
        <w:t>具体以签订合同为准</w:t>
      </w:r>
      <w:r>
        <w:rPr>
          <w:rFonts w:hint="eastAsia" w:ascii="宋体" w:hAnsi="宋体" w:eastAsia="宋体" w:cs="宋体"/>
          <w:snapToGrid w:val="0"/>
          <w:color w:val="auto"/>
          <w:sz w:val="21"/>
          <w:szCs w:val="21"/>
          <w:highlight w:val="none"/>
          <w:u w:val="none"/>
          <w:lang w:eastAsia="zh-CN"/>
        </w:rPr>
        <w:t>）</w:t>
      </w:r>
    </w:p>
    <w:p w14:paraId="00A84E58">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sz w:val="21"/>
          <w:szCs w:val="21"/>
          <w:highlight w:val="none"/>
          <w:u w:val="none"/>
          <w:lang w:val="en-US" w:eastAsia="zh-CN"/>
        </w:rPr>
        <w:t>9、其他服务要求</w:t>
      </w:r>
    </w:p>
    <w:p w14:paraId="4E3D7446">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rPr>
      </w:pPr>
      <w:r>
        <w:rPr>
          <w:rFonts w:hint="eastAsia" w:ascii="宋体" w:hAnsi="宋体" w:eastAsia="宋体" w:cs="宋体"/>
          <w:snapToGrid w:val="0"/>
          <w:color w:val="auto"/>
          <w:sz w:val="21"/>
          <w:szCs w:val="21"/>
          <w:highlight w:val="none"/>
          <w:u w:val="none"/>
          <w:lang w:eastAsia="zh-CN"/>
        </w:rPr>
        <w:t>（</w:t>
      </w:r>
      <w:r>
        <w:rPr>
          <w:rFonts w:hint="eastAsia" w:ascii="宋体" w:hAnsi="宋体" w:eastAsia="宋体" w:cs="宋体"/>
          <w:snapToGrid w:val="0"/>
          <w:color w:val="auto"/>
          <w:sz w:val="21"/>
          <w:szCs w:val="21"/>
          <w:highlight w:val="none"/>
          <w:u w:val="none"/>
          <w:lang w:val="en-US" w:eastAsia="zh-CN"/>
        </w:rPr>
        <w:t>1</w:t>
      </w:r>
      <w:r>
        <w:rPr>
          <w:rFonts w:hint="eastAsia" w:ascii="宋体" w:hAnsi="宋体" w:eastAsia="宋体" w:cs="宋体"/>
          <w:snapToGrid w:val="0"/>
          <w:color w:val="auto"/>
          <w:sz w:val="21"/>
          <w:szCs w:val="21"/>
          <w:highlight w:val="none"/>
          <w:u w:val="none"/>
          <w:lang w:eastAsia="zh-CN"/>
        </w:rPr>
        <w:t>）</w:t>
      </w:r>
      <w:r>
        <w:rPr>
          <w:rFonts w:hint="eastAsia" w:ascii="宋体" w:hAnsi="宋体" w:eastAsia="宋体" w:cs="宋体"/>
          <w:snapToGrid w:val="0"/>
          <w:color w:val="auto"/>
          <w:sz w:val="21"/>
          <w:szCs w:val="21"/>
          <w:highlight w:val="none"/>
          <w:u w:val="none"/>
        </w:rPr>
        <w:t>承包人承诺</w:t>
      </w:r>
      <w:r>
        <w:rPr>
          <w:rFonts w:hint="eastAsia" w:ascii="宋体" w:hAnsi="宋体" w:eastAsia="宋体" w:cs="宋体"/>
          <w:snapToGrid w:val="0"/>
          <w:color w:val="auto"/>
          <w:sz w:val="21"/>
          <w:szCs w:val="21"/>
          <w:highlight w:val="none"/>
          <w:u w:val="none"/>
          <w:lang w:eastAsia="zh-CN"/>
        </w:rPr>
        <w:t>，</w:t>
      </w:r>
      <w:r>
        <w:rPr>
          <w:rFonts w:hint="eastAsia" w:ascii="宋体" w:hAnsi="宋体" w:eastAsia="宋体" w:cs="宋体"/>
          <w:snapToGrid w:val="0"/>
          <w:color w:val="auto"/>
          <w:sz w:val="21"/>
          <w:szCs w:val="21"/>
          <w:highlight w:val="none"/>
          <w:u w:val="none"/>
        </w:rPr>
        <w:t>按照法律规定及合同约定组织完成工程施工，确保工程进度、质量和安全，包括依法维护施工周边环境和秩序，禁止转包及分包，并在缺陷责任期及保修期内承担相应的工程维修责任。</w:t>
      </w:r>
    </w:p>
    <w:p w14:paraId="4DFB870C">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rPr>
      </w:pPr>
      <w:r>
        <w:rPr>
          <w:rFonts w:hint="eastAsia" w:ascii="宋体" w:hAnsi="宋体" w:eastAsia="宋体" w:cs="宋体"/>
          <w:snapToGrid w:val="0"/>
          <w:color w:val="auto"/>
          <w:sz w:val="21"/>
          <w:szCs w:val="21"/>
          <w:highlight w:val="none"/>
          <w:u w:val="none"/>
        </w:rPr>
        <w:t>（2）承包人</w:t>
      </w:r>
      <w:r>
        <w:rPr>
          <w:rFonts w:hint="eastAsia" w:ascii="宋体" w:hAnsi="宋体" w:eastAsia="宋体" w:cs="宋体"/>
          <w:snapToGrid w:val="0"/>
          <w:color w:val="auto"/>
          <w:sz w:val="21"/>
          <w:szCs w:val="21"/>
          <w:highlight w:val="none"/>
          <w:u w:val="none"/>
          <w:lang w:val="en-US" w:eastAsia="zh-CN"/>
        </w:rPr>
        <w:t>应</w:t>
      </w:r>
      <w:r>
        <w:rPr>
          <w:rFonts w:hint="eastAsia" w:ascii="宋体" w:hAnsi="宋体" w:eastAsia="宋体" w:cs="宋体"/>
          <w:snapToGrid w:val="0"/>
          <w:color w:val="auto"/>
          <w:sz w:val="21"/>
          <w:szCs w:val="21"/>
          <w:highlight w:val="none"/>
          <w:u w:val="none"/>
        </w:rPr>
        <w:t>按照法律规定及合同约定在接到发包人通知一般事件后2小时内响应，紧急（特殊）事件1小时内响应，完成时间根据采购人规定时间内完成。</w:t>
      </w:r>
    </w:p>
    <w:p w14:paraId="18C8E9D2">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rPr>
      </w:pPr>
      <w:r>
        <w:rPr>
          <w:rFonts w:hint="eastAsia" w:ascii="宋体" w:hAnsi="宋体" w:eastAsia="宋体" w:cs="宋体"/>
          <w:snapToGrid w:val="0"/>
          <w:color w:val="auto"/>
          <w:sz w:val="21"/>
          <w:szCs w:val="21"/>
          <w:highlight w:val="none"/>
          <w:u w:val="none"/>
        </w:rPr>
        <w:t>（3）在发包人指令发出1小时内，发生无法联系到承包人、承包人无法组织施工、1小时内未到达施工现场准备等行为，及其他行为影响城市管理正常秩序的，一次警告，两次发包人将降低其指令频率，三次发包人有权解除本协议并要求承包人赔偿相应损失。</w:t>
      </w:r>
    </w:p>
    <w:p w14:paraId="6BA088DF">
      <w:pPr>
        <w:pStyle w:val="38"/>
        <w:widowControl w:val="0"/>
        <w:topLinePunct/>
        <w:snapToGrid w:val="0"/>
        <w:spacing w:after="0" w:line="396" w:lineRule="auto"/>
        <w:ind w:left="0" w:leftChars="0" w:right="0" w:rightChars="0" w:firstLine="560"/>
        <w:jc w:val="both"/>
        <w:rPr>
          <w:rFonts w:hint="eastAsia" w:ascii="宋体" w:hAnsi="宋体" w:eastAsia="宋体" w:cs="宋体"/>
          <w:snapToGrid w:val="0"/>
          <w:color w:val="auto"/>
          <w:sz w:val="21"/>
          <w:szCs w:val="21"/>
          <w:highlight w:val="none"/>
          <w:u w:val="none"/>
          <w:lang w:eastAsia="zh-CN"/>
        </w:rPr>
      </w:pPr>
      <w:r>
        <w:rPr>
          <w:rFonts w:hint="eastAsia" w:ascii="宋体" w:hAnsi="宋体" w:eastAsia="宋体" w:cs="宋体"/>
          <w:snapToGrid w:val="0"/>
          <w:color w:val="auto"/>
          <w:sz w:val="21"/>
          <w:szCs w:val="21"/>
          <w:highlight w:val="none"/>
          <w:u w:val="none"/>
        </w:rPr>
        <w:t>（4）承包人在合同签订前须将项目常驻人员（含身份证号、联系方式、购买社保等信息）、施工设备承诺书向发包人报备并经发包人同意，且在履约过程中更换项目常驻人员须经发包人同意，承包人不能按照约定提供适合的常驻人，发包人按违约处理。</w:t>
      </w:r>
    </w:p>
    <w:p w14:paraId="0754A9C7">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2FD5668A">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06E2A688">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09E89A3A">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18DA8000">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p>
    <w:p w14:paraId="0F954F0C">
      <w:pPr>
        <w:widowControl w:val="0"/>
        <w:kinsoku/>
        <w:topLinePunct/>
        <w:autoSpaceDE/>
        <w:autoSpaceDN/>
        <w:spacing w:line="480" w:lineRule="auto"/>
        <w:jc w:val="center"/>
        <w:outlineLvl w:val="0"/>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bookmarkStart w:id="98" w:name="_Toc29819"/>
      <w:bookmarkStart w:id="99" w:name="_Toc956"/>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第四部分</w:t>
      </w:r>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 xml:space="preserve">  </w:t>
      </w:r>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评审方法</w:t>
      </w:r>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w:t>
      </w:r>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综合评分法</w:t>
      </w:r>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w:t>
      </w:r>
      <w:bookmarkEnd w:id="97"/>
      <w:bookmarkEnd w:id="98"/>
      <w:bookmarkEnd w:id="99"/>
    </w:p>
    <w:p w14:paraId="6902D4A9">
      <w:pPr>
        <w:widowControl w:val="0"/>
        <w:kinsoku/>
        <w:topLinePunct/>
        <w:autoSpaceDE/>
        <w:autoSpaceDN/>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本项目评审方法见招标文件第二部分“投标人须知前附表”中第21项的规定。如果采用综合评分法，评分细则如下：</w:t>
      </w:r>
    </w:p>
    <w:p w14:paraId="1C042457">
      <w:pPr>
        <w:pStyle w:val="27"/>
        <w:jc w:val="center"/>
        <w:rPr>
          <w:color w:val="auto"/>
          <w:highlight w:val="none"/>
        </w:rPr>
      </w:pPr>
      <w:r>
        <w:rPr>
          <w:rFonts w:hint="eastAsia" w:ascii="宋体" w:hAnsi="宋体" w:eastAsia="宋体" w:cs="宋体"/>
          <w:snapToGrid w:val="0"/>
          <w:color w:val="auto"/>
          <w:sz w:val="24"/>
          <w:szCs w:val="24"/>
          <w:highlight w:val="none"/>
          <w:lang w:val="en-US" w:eastAsia="zh-CN" w:bidi="ar-SA"/>
          <w14:textOutline w14:w="3797" w14:cap="sq" w14:cmpd="sng" w14:algn="ctr">
            <w14:solidFill>
              <w14:srgbClr w14:val="000000"/>
            </w14:solidFill>
            <w14:prstDash w14:val="solid"/>
            <w14:bevel/>
          </w14:textOutline>
        </w:rPr>
        <w:t>资格审查评审标准</w:t>
      </w:r>
    </w:p>
    <w:tbl>
      <w:tblPr>
        <w:tblStyle w:val="29"/>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57" w:type="dxa"/>
          <w:bottom w:w="0" w:type="dxa"/>
          <w:right w:w="57" w:type="dxa"/>
        </w:tblCellMar>
      </w:tblPr>
      <w:tblGrid>
        <w:gridCol w:w="952"/>
        <w:gridCol w:w="6437"/>
        <w:gridCol w:w="753"/>
        <w:gridCol w:w="754"/>
      </w:tblGrid>
      <w:tr w14:paraId="304DD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78" w:hRule="atLeast"/>
        </w:trPr>
        <w:tc>
          <w:tcPr>
            <w:tcW w:w="535" w:type="pct"/>
            <w:vMerge w:val="restart"/>
            <w:tcBorders>
              <w:tl2br w:val="nil"/>
              <w:tr2bl w:val="nil"/>
            </w:tcBorders>
            <w:vAlign w:val="center"/>
          </w:tcPr>
          <w:p w14:paraId="3675C092">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3618" w:type="pct"/>
            <w:vMerge w:val="restart"/>
            <w:tcBorders>
              <w:tl2br w:val="nil"/>
              <w:tr2bl w:val="nil"/>
            </w:tcBorders>
            <w:vAlign w:val="center"/>
          </w:tcPr>
          <w:p w14:paraId="127B604C">
            <w:pPr>
              <w:widowControl w:val="0"/>
              <w:kinsoku/>
              <w:topLinePunct/>
              <w:autoSpaceDE/>
              <w:autoSpaceDN/>
              <w:jc w:val="center"/>
              <w:rPr>
                <w:rFonts w:ascii="宋体" w:hAnsi="宋体" w:eastAsia="宋体" w:cs="宋体"/>
                <w:color w:val="auto"/>
                <w:sz w:val="21"/>
                <w:szCs w:val="21"/>
                <w:highlight w:val="none"/>
              </w:rPr>
            </w:pPr>
            <w:r>
              <w:rPr>
                <w:rFonts w:hint="eastAsia" w:ascii="宋体" w:hAnsi="宋体" w:eastAsia="宋体" w:cs="宋体"/>
                <w:b/>
                <w:bCs/>
                <w:snapToGrid/>
                <w:color w:val="auto"/>
                <w:kern w:val="2"/>
                <w:sz w:val="21"/>
                <w:szCs w:val="21"/>
                <w:highlight w:val="none"/>
                <w:lang w:eastAsia="zh-CN"/>
              </w:rPr>
              <w:t>项目</w:t>
            </w:r>
            <w:r>
              <w:rPr>
                <w:rFonts w:hint="eastAsia" w:ascii="宋体" w:hAnsi="宋体" w:eastAsia="宋体" w:cs="宋体"/>
                <w:b/>
                <w:bCs/>
                <w:snapToGrid/>
                <w:color w:val="auto"/>
                <w:kern w:val="2"/>
                <w:sz w:val="21"/>
                <w:szCs w:val="21"/>
                <w:highlight w:val="none"/>
              </w:rPr>
              <w:t>（评审结果为合格/不合格）</w:t>
            </w:r>
          </w:p>
        </w:tc>
        <w:tc>
          <w:tcPr>
            <w:tcW w:w="846" w:type="pct"/>
            <w:gridSpan w:val="2"/>
            <w:tcBorders>
              <w:tl2br w:val="nil"/>
              <w:tr2bl w:val="nil"/>
            </w:tcBorders>
            <w:vAlign w:val="center"/>
          </w:tcPr>
          <w:p w14:paraId="16128115">
            <w:pPr>
              <w:widowControl w:val="0"/>
              <w:kinsoku/>
              <w:topLinePunct/>
              <w:autoSpaceDE/>
              <w:autoSpaceDN/>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3797" w14:cap="sq" w14:cmpd="sng" w14:algn="ctr">
                  <w14:solidFill>
                    <w14:srgbClr w14:val="000000"/>
                  </w14:solidFill>
                  <w14:prstDash w14:val="solid"/>
                  <w14:bevel/>
                </w14:textOutline>
              </w:rPr>
              <w:t>评审意见</w:t>
            </w:r>
          </w:p>
        </w:tc>
      </w:tr>
      <w:tr w14:paraId="184CC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88" w:hRule="atLeast"/>
        </w:trPr>
        <w:tc>
          <w:tcPr>
            <w:tcW w:w="535" w:type="pct"/>
            <w:vMerge w:val="continue"/>
            <w:tcBorders>
              <w:tl2br w:val="nil"/>
              <w:tr2bl w:val="nil"/>
            </w:tcBorders>
            <w:vAlign w:val="center"/>
          </w:tcPr>
          <w:p w14:paraId="566FF37D">
            <w:pPr>
              <w:widowControl w:val="0"/>
              <w:kinsoku/>
              <w:topLinePunct/>
              <w:autoSpaceDE/>
              <w:autoSpaceDN/>
              <w:jc w:val="center"/>
              <w:rPr>
                <w:rFonts w:ascii="宋体" w:hAnsi="宋体" w:eastAsia="宋体" w:cs="宋体"/>
                <w:color w:val="auto"/>
                <w:sz w:val="21"/>
                <w:szCs w:val="21"/>
                <w:highlight w:val="none"/>
              </w:rPr>
            </w:pPr>
          </w:p>
        </w:tc>
        <w:tc>
          <w:tcPr>
            <w:tcW w:w="3618" w:type="pct"/>
            <w:vMerge w:val="continue"/>
            <w:tcBorders>
              <w:tl2br w:val="nil"/>
              <w:tr2bl w:val="nil"/>
            </w:tcBorders>
            <w:vAlign w:val="center"/>
          </w:tcPr>
          <w:p w14:paraId="603B5C67">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0CD5B6F3">
            <w:pPr>
              <w:widowControl w:val="0"/>
              <w:kinsoku/>
              <w:topLinePunct/>
              <w:autoSpaceDE/>
              <w:autoSpaceDN/>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3797" w14:cap="sq" w14:cmpd="sng" w14:algn="ctr">
                  <w14:solidFill>
                    <w14:srgbClr w14:val="000000"/>
                  </w14:solidFill>
                  <w14:prstDash w14:val="solid"/>
                  <w14:bevel/>
                </w14:textOutline>
              </w:rPr>
              <w:t>是</w:t>
            </w:r>
          </w:p>
        </w:tc>
        <w:tc>
          <w:tcPr>
            <w:tcW w:w="423" w:type="pct"/>
            <w:tcBorders>
              <w:tl2br w:val="nil"/>
              <w:tr2bl w:val="nil"/>
            </w:tcBorders>
            <w:vAlign w:val="center"/>
          </w:tcPr>
          <w:p w14:paraId="13380FE0">
            <w:pPr>
              <w:widowControl w:val="0"/>
              <w:kinsoku/>
              <w:topLinePunct/>
              <w:autoSpaceDE/>
              <w:autoSpaceDN/>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3797" w14:cap="sq" w14:cmpd="sng" w14:algn="ctr">
                  <w14:solidFill>
                    <w14:srgbClr w14:val="000000"/>
                  </w14:solidFill>
                  <w14:prstDash w14:val="solid"/>
                  <w14:bevel/>
                </w14:textOutline>
              </w:rPr>
              <w:t>否</w:t>
            </w:r>
          </w:p>
        </w:tc>
      </w:tr>
      <w:tr w14:paraId="217A3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04E1DCBE">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618" w:type="pct"/>
            <w:tcBorders>
              <w:tl2br w:val="nil"/>
              <w:tr2bl w:val="nil"/>
            </w:tcBorders>
            <w:vAlign w:val="center"/>
          </w:tcPr>
          <w:p w14:paraId="2B8927E4">
            <w:pPr>
              <w:widowControl w:val="0"/>
              <w:kinsoku/>
              <w:topLinePunct/>
              <w:autoSpaceDE/>
              <w:autoSpaceDN/>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投标人具有独立法人资格，具备有效的企业法人营业执照（副本）。</w:t>
            </w:r>
          </w:p>
        </w:tc>
        <w:tc>
          <w:tcPr>
            <w:tcW w:w="423" w:type="pct"/>
            <w:tcBorders>
              <w:tl2br w:val="nil"/>
              <w:tr2bl w:val="nil"/>
            </w:tcBorders>
            <w:vAlign w:val="center"/>
          </w:tcPr>
          <w:p w14:paraId="5C4A0931">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20A0FA0A">
            <w:pPr>
              <w:widowControl w:val="0"/>
              <w:kinsoku/>
              <w:topLinePunct/>
              <w:autoSpaceDE/>
              <w:autoSpaceDN/>
              <w:jc w:val="center"/>
              <w:rPr>
                <w:rFonts w:ascii="宋体" w:hAnsi="宋体" w:eastAsia="宋体" w:cs="宋体"/>
                <w:color w:val="auto"/>
                <w:sz w:val="21"/>
                <w:szCs w:val="21"/>
                <w:highlight w:val="none"/>
              </w:rPr>
            </w:pPr>
          </w:p>
        </w:tc>
      </w:tr>
      <w:tr w14:paraId="7245F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1AAED53B">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618" w:type="pct"/>
            <w:tcBorders>
              <w:tl2br w:val="nil"/>
              <w:tr2bl w:val="nil"/>
            </w:tcBorders>
            <w:vAlign w:val="center"/>
          </w:tcPr>
          <w:p w14:paraId="734F0038">
            <w:pPr>
              <w:widowControl w:val="0"/>
              <w:kinsoku/>
              <w:topLinePunct/>
              <w:autoSpaceDE/>
              <w:autoSpaceDN/>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法定代表人投标需携带法定代表人证明书及法定代表人身份证，委托代理人投标需携带法定代表人证明书、法定代表人授权委托书及委托代理人身份证。</w:t>
            </w:r>
          </w:p>
        </w:tc>
        <w:tc>
          <w:tcPr>
            <w:tcW w:w="423" w:type="pct"/>
            <w:tcBorders>
              <w:tl2br w:val="nil"/>
              <w:tr2bl w:val="nil"/>
            </w:tcBorders>
            <w:vAlign w:val="center"/>
          </w:tcPr>
          <w:p w14:paraId="316423F4">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572D3079">
            <w:pPr>
              <w:widowControl w:val="0"/>
              <w:kinsoku/>
              <w:topLinePunct/>
              <w:autoSpaceDE/>
              <w:autoSpaceDN/>
              <w:jc w:val="center"/>
              <w:rPr>
                <w:rFonts w:ascii="宋体" w:hAnsi="宋体" w:eastAsia="宋体" w:cs="宋体"/>
                <w:color w:val="auto"/>
                <w:sz w:val="21"/>
                <w:szCs w:val="21"/>
                <w:highlight w:val="none"/>
              </w:rPr>
            </w:pPr>
          </w:p>
        </w:tc>
      </w:tr>
      <w:tr w14:paraId="0C7A1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37CDB7F6">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618" w:type="pct"/>
            <w:tcBorders>
              <w:tl2br w:val="nil"/>
              <w:tr2bl w:val="nil"/>
            </w:tcBorders>
            <w:vAlign w:val="center"/>
          </w:tcPr>
          <w:p w14:paraId="0086C8CA">
            <w:pPr>
              <w:widowControl w:val="0"/>
              <w:kinsoku/>
              <w:topLinePunct/>
              <w:autoSpaceDE/>
              <w:autoSpaceDN/>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投标人具有良好的商业信誉和健全的财务会计制度，须提供2023年度经第三方审计机构出具的财务审计报告（新成立的公司可不提供但需提供银行出具的近3个月的资信证明），和健全的财务会计制度。</w:t>
            </w:r>
          </w:p>
        </w:tc>
        <w:tc>
          <w:tcPr>
            <w:tcW w:w="423" w:type="pct"/>
            <w:tcBorders>
              <w:tl2br w:val="nil"/>
              <w:tr2bl w:val="nil"/>
            </w:tcBorders>
            <w:vAlign w:val="center"/>
          </w:tcPr>
          <w:p w14:paraId="7C7798A5">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2F61D49F">
            <w:pPr>
              <w:widowControl w:val="0"/>
              <w:kinsoku/>
              <w:topLinePunct/>
              <w:autoSpaceDE/>
              <w:autoSpaceDN/>
              <w:jc w:val="center"/>
              <w:rPr>
                <w:rFonts w:ascii="宋体" w:hAnsi="宋体" w:eastAsia="宋体" w:cs="宋体"/>
                <w:color w:val="auto"/>
                <w:sz w:val="21"/>
                <w:szCs w:val="21"/>
                <w:highlight w:val="none"/>
              </w:rPr>
            </w:pPr>
          </w:p>
        </w:tc>
      </w:tr>
      <w:tr w14:paraId="59061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34346268">
            <w:pPr>
              <w:widowControl w:val="0"/>
              <w:kinsoku/>
              <w:topLinePunct/>
              <w:autoSpaceDE/>
              <w:autoSpaceDN/>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618" w:type="pct"/>
            <w:tcBorders>
              <w:tl2br w:val="nil"/>
              <w:tr2bl w:val="nil"/>
            </w:tcBorders>
            <w:vAlign w:val="center"/>
          </w:tcPr>
          <w:p w14:paraId="5C18AE22">
            <w:pPr>
              <w:widowControl w:val="0"/>
              <w:kinsoku/>
              <w:topLinePunct/>
              <w:autoSpaceDE/>
              <w:autoSpaceDN/>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具有税务局开具依法缴纳近三个月的完税证明（完税证明或税务部门出具的其他证明，需含增值税、印花税等税种；非社会保险类。若为零申报企业，需提供无欠税证明或国家税务总局电子税务局“申报结果查询截图”）；  新成立公司按实际发生提供税务机关出具的无欠税证明。</w:t>
            </w:r>
          </w:p>
        </w:tc>
        <w:tc>
          <w:tcPr>
            <w:tcW w:w="423" w:type="pct"/>
            <w:tcBorders>
              <w:tl2br w:val="nil"/>
              <w:tr2bl w:val="nil"/>
            </w:tcBorders>
            <w:vAlign w:val="center"/>
          </w:tcPr>
          <w:p w14:paraId="106EC140">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359724F5">
            <w:pPr>
              <w:widowControl w:val="0"/>
              <w:kinsoku/>
              <w:topLinePunct/>
              <w:autoSpaceDE/>
              <w:autoSpaceDN/>
              <w:jc w:val="center"/>
              <w:rPr>
                <w:rFonts w:ascii="宋体" w:hAnsi="宋体" w:eastAsia="宋体" w:cs="宋体"/>
                <w:color w:val="auto"/>
                <w:sz w:val="21"/>
                <w:szCs w:val="21"/>
                <w:highlight w:val="none"/>
              </w:rPr>
            </w:pPr>
          </w:p>
        </w:tc>
      </w:tr>
      <w:tr w14:paraId="6F2F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310B0AEB">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618" w:type="pct"/>
            <w:tcBorders>
              <w:tl2br w:val="nil"/>
              <w:tr2bl w:val="nil"/>
            </w:tcBorders>
            <w:vAlign w:val="center"/>
          </w:tcPr>
          <w:p w14:paraId="210B26AB">
            <w:pPr>
              <w:widowControl w:val="0"/>
              <w:kinsoku/>
              <w:topLinePunct/>
              <w:autoSpaceDE/>
              <w:autoSpaceDN/>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提供社保局出具的本单位缴纳的近三个月的单位社保缴纳证明（新成立的公司按实际发生提供）；</w:t>
            </w:r>
          </w:p>
        </w:tc>
        <w:tc>
          <w:tcPr>
            <w:tcW w:w="423" w:type="pct"/>
            <w:tcBorders>
              <w:tl2br w:val="nil"/>
              <w:tr2bl w:val="nil"/>
            </w:tcBorders>
            <w:vAlign w:val="center"/>
          </w:tcPr>
          <w:p w14:paraId="1C171089">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0278EAC2">
            <w:pPr>
              <w:widowControl w:val="0"/>
              <w:kinsoku/>
              <w:topLinePunct/>
              <w:autoSpaceDE/>
              <w:autoSpaceDN/>
              <w:jc w:val="center"/>
              <w:rPr>
                <w:rFonts w:ascii="宋体" w:hAnsi="宋体" w:eastAsia="宋体" w:cs="宋体"/>
                <w:color w:val="auto"/>
                <w:sz w:val="21"/>
                <w:szCs w:val="21"/>
                <w:highlight w:val="none"/>
              </w:rPr>
            </w:pPr>
          </w:p>
        </w:tc>
      </w:tr>
      <w:tr w14:paraId="7FFCD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5DD47F33">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618" w:type="pct"/>
            <w:tcBorders>
              <w:tl2br w:val="nil"/>
              <w:tr2bl w:val="nil"/>
            </w:tcBorders>
            <w:vAlign w:val="center"/>
          </w:tcPr>
          <w:p w14:paraId="2319BC7E">
            <w:pPr>
              <w:widowControl w:val="0"/>
              <w:kinsoku/>
              <w:topLinePunct/>
              <w:autoSpaceDE/>
              <w:autoSpaceDN/>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凡拟参加本次招标项目的供应商，如在“信用中国”网站（www.creditchina.gov.cn）被列入失信被执行人、严重失信主体名单、重大税收违法失信主体；国家企业信用信息公示系统（http://www.gsxt.gov.cn）被列入严重违法失信名单（黑名单）；中国政府采购网（http://www.ccgp.gov.cn/search/cr/）被列入政府采购严重违法失信行为记录名单（尚在处罚期内的），将拒绝其参加本次采购活动（以开标现场代理机构或采购人查询为准）。</w:t>
            </w:r>
          </w:p>
        </w:tc>
        <w:tc>
          <w:tcPr>
            <w:tcW w:w="423" w:type="pct"/>
            <w:tcBorders>
              <w:tl2br w:val="nil"/>
              <w:tr2bl w:val="nil"/>
            </w:tcBorders>
            <w:vAlign w:val="center"/>
          </w:tcPr>
          <w:p w14:paraId="61205EB1">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304D2AB1">
            <w:pPr>
              <w:widowControl w:val="0"/>
              <w:kinsoku/>
              <w:topLinePunct/>
              <w:autoSpaceDE/>
              <w:autoSpaceDN/>
              <w:jc w:val="center"/>
              <w:rPr>
                <w:rFonts w:ascii="宋体" w:hAnsi="宋体" w:eastAsia="宋体" w:cs="宋体"/>
                <w:color w:val="auto"/>
                <w:sz w:val="21"/>
                <w:szCs w:val="21"/>
                <w:highlight w:val="none"/>
              </w:rPr>
            </w:pPr>
          </w:p>
        </w:tc>
      </w:tr>
      <w:tr w14:paraId="1CFD3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601DD746">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618" w:type="pct"/>
            <w:tcBorders>
              <w:tl2br w:val="nil"/>
              <w:tr2bl w:val="nil"/>
            </w:tcBorders>
            <w:vAlign w:val="center"/>
          </w:tcPr>
          <w:p w14:paraId="2F5FA6C3">
            <w:pPr>
              <w:widowControl w:val="0"/>
              <w:kinsoku/>
              <w:topLinePunct/>
              <w:autoSpaceDE/>
              <w:autoSpaceDN/>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单位负责人为同一人或者存在直接控股、管理关系的不同供应商，不得参加同一合同项下的政府采购活动。（提供声明函）；</w:t>
            </w:r>
          </w:p>
        </w:tc>
        <w:tc>
          <w:tcPr>
            <w:tcW w:w="423" w:type="pct"/>
            <w:tcBorders>
              <w:tl2br w:val="nil"/>
              <w:tr2bl w:val="nil"/>
            </w:tcBorders>
            <w:vAlign w:val="center"/>
          </w:tcPr>
          <w:p w14:paraId="3E1546D0">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1E7A880E">
            <w:pPr>
              <w:widowControl w:val="0"/>
              <w:kinsoku/>
              <w:topLinePunct/>
              <w:autoSpaceDE/>
              <w:autoSpaceDN/>
              <w:jc w:val="center"/>
              <w:rPr>
                <w:rFonts w:ascii="宋体" w:hAnsi="宋体" w:eastAsia="宋体" w:cs="宋体"/>
                <w:color w:val="auto"/>
                <w:sz w:val="21"/>
                <w:szCs w:val="21"/>
                <w:highlight w:val="none"/>
              </w:rPr>
            </w:pPr>
          </w:p>
        </w:tc>
      </w:tr>
      <w:tr w14:paraId="39598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2467BBCB">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618" w:type="pct"/>
            <w:tcBorders>
              <w:tl2br w:val="nil"/>
              <w:tr2bl w:val="nil"/>
            </w:tcBorders>
            <w:vAlign w:val="center"/>
          </w:tcPr>
          <w:p w14:paraId="0CCED91D">
            <w:pPr>
              <w:widowControl w:val="0"/>
              <w:kinsoku/>
              <w:topLinePunct/>
              <w:autoSpaceDE/>
              <w:autoSpaceDN/>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参加政府采购活动前3年内在经营活动中没有重大违法记录的书面声明；</w:t>
            </w:r>
          </w:p>
        </w:tc>
        <w:tc>
          <w:tcPr>
            <w:tcW w:w="423" w:type="pct"/>
            <w:tcBorders>
              <w:tl2br w:val="nil"/>
              <w:tr2bl w:val="nil"/>
            </w:tcBorders>
            <w:vAlign w:val="center"/>
          </w:tcPr>
          <w:p w14:paraId="4B27C199">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4AF0861B">
            <w:pPr>
              <w:widowControl w:val="0"/>
              <w:kinsoku/>
              <w:topLinePunct/>
              <w:autoSpaceDE/>
              <w:autoSpaceDN/>
              <w:jc w:val="center"/>
              <w:rPr>
                <w:rFonts w:ascii="宋体" w:hAnsi="宋体" w:eastAsia="宋体" w:cs="宋体"/>
                <w:color w:val="auto"/>
                <w:sz w:val="21"/>
                <w:szCs w:val="21"/>
                <w:highlight w:val="none"/>
              </w:rPr>
            </w:pPr>
          </w:p>
        </w:tc>
      </w:tr>
      <w:tr w14:paraId="4DA01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17D44BE4">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618" w:type="pct"/>
            <w:tcBorders>
              <w:tl2br w:val="nil"/>
              <w:tr2bl w:val="nil"/>
            </w:tcBorders>
            <w:vAlign w:val="center"/>
          </w:tcPr>
          <w:p w14:paraId="7FF87760">
            <w:pPr>
              <w:widowControl w:val="0"/>
              <w:kinsoku/>
              <w:topLinePunct/>
              <w:autoSpaceDE/>
              <w:autoSpaceDN/>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提供投标保证转账凭证或保函/保单及基本户开户许可证或基本账户存款信息；</w:t>
            </w:r>
          </w:p>
        </w:tc>
        <w:tc>
          <w:tcPr>
            <w:tcW w:w="423" w:type="pct"/>
            <w:tcBorders>
              <w:tl2br w:val="nil"/>
              <w:tr2bl w:val="nil"/>
            </w:tcBorders>
            <w:vAlign w:val="center"/>
          </w:tcPr>
          <w:p w14:paraId="57731A15">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1DDC7EB3">
            <w:pPr>
              <w:widowControl w:val="0"/>
              <w:kinsoku/>
              <w:topLinePunct/>
              <w:autoSpaceDE/>
              <w:autoSpaceDN/>
              <w:jc w:val="center"/>
              <w:rPr>
                <w:rFonts w:ascii="宋体" w:hAnsi="宋体" w:eastAsia="宋体" w:cs="宋体"/>
                <w:color w:val="auto"/>
                <w:sz w:val="21"/>
                <w:szCs w:val="21"/>
                <w:highlight w:val="none"/>
              </w:rPr>
            </w:pPr>
          </w:p>
        </w:tc>
      </w:tr>
      <w:tr w14:paraId="2AF98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48307AFE">
            <w:pPr>
              <w:widowControl w:val="0"/>
              <w:kinsoku/>
              <w:topLinePunct/>
              <w:autoSpaceDE/>
              <w:autoSpaceDN/>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618" w:type="pct"/>
            <w:tcBorders>
              <w:tl2br w:val="nil"/>
              <w:tr2bl w:val="nil"/>
            </w:tcBorders>
            <w:vAlign w:val="center"/>
          </w:tcPr>
          <w:p w14:paraId="13BAF265">
            <w:pPr>
              <w:widowControl w:val="0"/>
              <w:kinsoku/>
              <w:topLinePunct/>
              <w:autoSpaceDE/>
              <w:autoSpaceDN/>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提供中小企业声明函，供应商应为中小企业或供应商以合同分包形式参与采购活动，获得采购合同的供应商需将采购项目预算总额的30%份额分包给一家或者多家中小企业，其中预留给小微企业的比例不低于60%。</w:t>
            </w:r>
          </w:p>
        </w:tc>
        <w:tc>
          <w:tcPr>
            <w:tcW w:w="423" w:type="pct"/>
            <w:tcBorders>
              <w:tl2br w:val="nil"/>
              <w:tr2bl w:val="nil"/>
            </w:tcBorders>
            <w:vAlign w:val="center"/>
          </w:tcPr>
          <w:p w14:paraId="0FD47736">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7F35D86B">
            <w:pPr>
              <w:widowControl w:val="0"/>
              <w:kinsoku/>
              <w:topLinePunct/>
              <w:autoSpaceDE/>
              <w:autoSpaceDN/>
              <w:jc w:val="center"/>
              <w:rPr>
                <w:rFonts w:ascii="宋体" w:hAnsi="宋体" w:eastAsia="宋体" w:cs="宋体"/>
                <w:color w:val="auto"/>
                <w:sz w:val="21"/>
                <w:szCs w:val="21"/>
                <w:highlight w:val="none"/>
              </w:rPr>
            </w:pPr>
          </w:p>
        </w:tc>
      </w:tr>
      <w:tr w14:paraId="03ED1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35" w:type="pct"/>
            <w:tcBorders>
              <w:tl2br w:val="nil"/>
              <w:tr2bl w:val="nil"/>
            </w:tcBorders>
            <w:vAlign w:val="center"/>
          </w:tcPr>
          <w:p w14:paraId="73982BF9">
            <w:pPr>
              <w:widowControl w:val="0"/>
              <w:kinsoku/>
              <w:topLinePunct/>
              <w:autoSpaceDE/>
              <w:autoSpaceDN/>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618" w:type="pct"/>
            <w:tcBorders>
              <w:tl2br w:val="nil"/>
              <w:tr2bl w:val="nil"/>
            </w:tcBorders>
            <w:vAlign w:val="center"/>
          </w:tcPr>
          <w:p w14:paraId="4AE25B36">
            <w:pPr>
              <w:widowControl w:val="0"/>
              <w:kinsoku/>
              <w:topLinePunct/>
              <w:autoSpaceDE/>
              <w:autoSpaceDN/>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特定资格条件：具备行政主管部门颁发的市政公用工程施工总承包叁级及以上资质，具有有效的安全生产许可证。外省企业进疆从事建筑活动，应登录新疆工程建设云（http//jsy.xjjs.gov.cn/dataservice/index）注册报送企业基本信息和人员信息，其项目人员为信息报送册注册人员）；项目负责人须具备市政公用工程专业二级（含以上级）注册建造师执业资格、并具备有效的安全生产考核合格证书（B证），且不得担任其他在建工程项目的项目负责人（提供无在建承诺书）。</w:t>
            </w:r>
          </w:p>
        </w:tc>
        <w:tc>
          <w:tcPr>
            <w:tcW w:w="423" w:type="pct"/>
            <w:tcBorders>
              <w:tl2br w:val="nil"/>
              <w:tr2bl w:val="nil"/>
            </w:tcBorders>
            <w:vAlign w:val="center"/>
          </w:tcPr>
          <w:p w14:paraId="41C0B977">
            <w:pPr>
              <w:widowControl w:val="0"/>
              <w:kinsoku/>
              <w:topLinePunct/>
              <w:autoSpaceDE/>
              <w:autoSpaceDN/>
              <w:jc w:val="center"/>
              <w:rPr>
                <w:rFonts w:ascii="宋体" w:hAnsi="宋体" w:eastAsia="宋体" w:cs="宋体"/>
                <w:color w:val="auto"/>
                <w:sz w:val="21"/>
                <w:szCs w:val="21"/>
                <w:highlight w:val="none"/>
              </w:rPr>
            </w:pPr>
          </w:p>
        </w:tc>
        <w:tc>
          <w:tcPr>
            <w:tcW w:w="423" w:type="pct"/>
            <w:tcBorders>
              <w:tl2br w:val="nil"/>
              <w:tr2bl w:val="nil"/>
            </w:tcBorders>
            <w:vAlign w:val="center"/>
          </w:tcPr>
          <w:p w14:paraId="21823097">
            <w:pPr>
              <w:widowControl w:val="0"/>
              <w:kinsoku/>
              <w:topLinePunct/>
              <w:autoSpaceDE/>
              <w:autoSpaceDN/>
              <w:jc w:val="center"/>
              <w:rPr>
                <w:rFonts w:ascii="宋体" w:hAnsi="宋体" w:eastAsia="宋体" w:cs="宋体"/>
                <w:color w:val="auto"/>
                <w:sz w:val="21"/>
                <w:szCs w:val="21"/>
                <w:highlight w:val="none"/>
              </w:rPr>
            </w:pPr>
          </w:p>
        </w:tc>
      </w:tr>
      <w:tr w14:paraId="022C2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000" w:type="pct"/>
            <w:gridSpan w:val="4"/>
            <w:tcBorders>
              <w:tl2br w:val="nil"/>
              <w:tr2bl w:val="nil"/>
            </w:tcBorders>
            <w:vAlign w:val="center"/>
          </w:tcPr>
          <w:p w14:paraId="74DA06C1">
            <w:pPr>
              <w:widowControl w:val="0"/>
              <w:kinsoku/>
              <w:topLinePunct/>
              <w:autoSpaceDE/>
              <w:autoSpaceDN/>
              <w:jc w:val="center"/>
              <w:rPr>
                <w:rFonts w:ascii="宋体" w:hAnsi="宋体" w:eastAsia="宋体" w:cs="宋体"/>
                <w:color w:val="auto"/>
                <w:sz w:val="21"/>
                <w:szCs w:val="21"/>
                <w:highlight w:val="none"/>
              </w:rPr>
            </w:pPr>
            <w:r>
              <w:rPr>
                <w:rFonts w:hint="eastAsia" w:ascii="宋体" w:hAnsi="宋体" w:eastAsia="宋体" w:cs="宋体"/>
                <w:snapToGrid/>
                <w:color w:val="auto"/>
                <w:kern w:val="2"/>
                <w:sz w:val="21"/>
                <w:szCs w:val="21"/>
                <w:highlight w:val="none"/>
                <w:lang w:val="en-US" w:eastAsia="zh-CN"/>
              </w:rPr>
              <w:t>“√”表示合格；“×”表示不合格，一项不合格结果为不合格，如不合格，请在结果中写明原因。</w:t>
            </w:r>
          </w:p>
        </w:tc>
      </w:tr>
    </w:tbl>
    <w:p w14:paraId="4C943366">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3F434A41">
      <w:pPr>
        <w:widowControl w:val="0"/>
        <w:kinsoku/>
        <w:topLinePunct/>
        <w:autoSpaceDE/>
        <w:autoSpaceDN/>
        <w:spacing w:line="420" w:lineRule="auto"/>
        <w:ind w:firstLine="480" w:firstLineChars="200"/>
        <w:jc w:val="center"/>
        <w:rPr>
          <w:rFonts w:hint="eastAsia" w:ascii="宋体" w:hAnsi="宋体" w:eastAsia="宋体" w:cs="宋体"/>
          <w:snapToGrid w:val="0"/>
          <w:color w:val="auto"/>
          <w:sz w:val="24"/>
          <w:szCs w:val="24"/>
          <w:highlight w:val="none"/>
          <w:lang w:val="en-US" w:eastAsia="zh-CN" w:bidi="ar-SA"/>
          <w14:textOutline w14:w="3797" w14:cap="sq" w14:cmpd="sng" w14:algn="ctr">
            <w14:solidFill>
              <w14:srgbClr w14:val="000000"/>
            </w14:solidFill>
            <w14:prstDash w14:val="solid"/>
            <w14:bevel/>
          </w14:textOutline>
        </w:rPr>
      </w:pPr>
      <w:r>
        <w:rPr>
          <w:rFonts w:hint="eastAsia" w:ascii="宋体" w:hAnsi="宋体" w:eastAsia="宋体" w:cs="宋体"/>
          <w:snapToGrid w:val="0"/>
          <w:color w:val="auto"/>
          <w:sz w:val="24"/>
          <w:szCs w:val="24"/>
          <w:highlight w:val="none"/>
          <w:lang w:val="en-US" w:eastAsia="zh-CN" w:bidi="ar-SA"/>
          <w14:textOutline w14:w="3797" w14:cap="sq" w14:cmpd="sng" w14:algn="ctr">
            <w14:solidFill>
              <w14:srgbClr w14:val="000000"/>
            </w14:solidFill>
            <w14:prstDash w14:val="solid"/>
            <w14:bevel/>
          </w14:textOutline>
        </w:rPr>
        <w:t>符合性评审标准</w:t>
      </w:r>
    </w:p>
    <w:tbl>
      <w:tblPr>
        <w:tblStyle w:val="20"/>
        <w:tblW w:w="499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
      <w:tblGrid>
        <w:gridCol w:w="728"/>
        <w:gridCol w:w="5083"/>
        <w:gridCol w:w="1023"/>
        <w:gridCol w:w="1023"/>
        <w:gridCol w:w="1025"/>
      </w:tblGrid>
      <w:tr w14:paraId="7CCF5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567" w:hRule="atLeast"/>
        </w:trPr>
        <w:tc>
          <w:tcPr>
            <w:tcW w:w="409" w:type="pct"/>
            <w:tcBorders>
              <w:tl2br w:val="nil"/>
              <w:tr2bl w:val="nil"/>
            </w:tcBorders>
            <w:noWrap w:val="0"/>
            <w:vAlign w:val="center"/>
          </w:tcPr>
          <w:p w14:paraId="4C124D1F">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rPr>
              <w:t>序号</w:t>
            </w:r>
          </w:p>
        </w:tc>
        <w:tc>
          <w:tcPr>
            <w:tcW w:w="2860" w:type="pct"/>
            <w:tcBorders>
              <w:tl2br w:val="nil"/>
              <w:tr2bl w:val="nil"/>
            </w:tcBorders>
            <w:noWrap w:val="0"/>
            <w:vAlign w:val="center"/>
          </w:tcPr>
          <w:p w14:paraId="0974EF92">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lang w:eastAsia="zh-CN"/>
              </w:rPr>
              <w:t>项目</w:t>
            </w:r>
            <w:r>
              <w:rPr>
                <w:rFonts w:hint="eastAsia" w:ascii="宋体" w:hAnsi="宋体" w:eastAsia="宋体" w:cs="宋体"/>
                <w:b/>
                <w:bCs/>
                <w:snapToGrid/>
                <w:color w:val="auto"/>
                <w:kern w:val="2"/>
                <w:sz w:val="21"/>
                <w:szCs w:val="21"/>
                <w:highlight w:val="none"/>
              </w:rPr>
              <w:t>（评审结果为合格/不合格）</w:t>
            </w:r>
          </w:p>
        </w:tc>
        <w:tc>
          <w:tcPr>
            <w:tcW w:w="576" w:type="pct"/>
            <w:tcBorders>
              <w:tl2br w:val="nil"/>
              <w:tr2bl w:val="nil"/>
            </w:tcBorders>
            <w:noWrap w:val="0"/>
            <w:vAlign w:val="center"/>
          </w:tcPr>
          <w:p w14:paraId="30065B50">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lang w:val="en-US" w:eastAsia="zh-CN"/>
              </w:rPr>
              <w:t>供应商</w:t>
            </w:r>
            <w:r>
              <w:rPr>
                <w:rFonts w:hint="eastAsia" w:ascii="宋体" w:hAnsi="宋体" w:eastAsia="宋体" w:cs="宋体"/>
                <w:b/>
                <w:bCs/>
                <w:snapToGrid/>
                <w:color w:val="auto"/>
                <w:kern w:val="2"/>
                <w:sz w:val="21"/>
                <w:szCs w:val="21"/>
                <w:highlight w:val="none"/>
              </w:rPr>
              <w:t>1</w:t>
            </w:r>
          </w:p>
        </w:tc>
        <w:tc>
          <w:tcPr>
            <w:tcW w:w="576" w:type="pct"/>
            <w:tcBorders>
              <w:tl2br w:val="nil"/>
              <w:tr2bl w:val="nil"/>
            </w:tcBorders>
            <w:noWrap w:val="0"/>
            <w:vAlign w:val="center"/>
          </w:tcPr>
          <w:p w14:paraId="1E4C1047">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lang w:val="en-US" w:eastAsia="zh-CN"/>
              </w:rPr>
              <w:t>供应商</w:t>
            </w:r>
            <w:r>
              <w:rPr>
                <w:rFonts w:hint="eastAsia" w:ascii="宋体" w:hAnsi="宋体" w:eastAsia="宋体" w:cs="宋体"/>
                <w:b/>
                <w:bCs/>
                <w:snapToGrid/>
                <w:color w:val="auto"/>
                <w:kern w:val="2"/>
                <w:sz w:val="21"/>
                <w:szCs w:val="21"/>
                <w:highlight w:val="none"/>
              </w:rPr>
              <w:t>2</w:t>
            </w:r>
          </w:p>
        </w:tc>
        <w:tc>
          <w:tcPr>
            <w:tcW w:w="577" w:type="pct"/>
            <w:tcBorders>
              <w:tl2br w:val="nil"/>
              <w:tr2bl w:val="nil"/>
            </w:tcBorders>
            <w:noWrap w:val="0"/>
            <w:vAlign w:val="center"/>
          </w:tcPr>
          <w:p w14:paraId="549A3325">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lang w:val="en-US" w:eastAsia="zh-CN"/>
              </w:rPr>
              <w:t>供应商</w:t>
            </w:r>
            <w:r>
              <w:rPr>
                <w:rFonts w:hint="eastAsia" w:ascii="宋体" w:hAnsi="宋体" w:eastAsia="宋体" w:cs="宋体"/>
                <w:b/>
                <w:bCs/>
                <w:snapToGrid/>
                <w:color w:val="auto"/>
                <w:kern w:val="2"/>
                <w:sz w:val="21"/>
                <w:szCs w:val="21"/>
                <w:highlight w:val="none"/>
              </w:rPr>
              <w:t>3</w:t>
            </w:r>
          </w:p>
        </w:tc>
      </w:tr>
      <w:tr w14:paraId="2D3AB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567" w:hRule="atLeast"/>
        </w:trPr>
        <w:tc>
          <w:tcPr>
            <w:tcW w:w="409" w:type="pct"/>
            <w:tcBorders>
              <w:tl2br w:val="nil"/>
              <w:tr2bl w:val="nil"/>
            </w:tcBorders>
            <w:noWrap w:val="0"/>
            <w:vAlign w:val="center"/>
          </w:tcPr>
          <w:p w14:paraId="06496BE3">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rPr>
              <w:t>1</w:t>
            </w:r>
          </w:p>
        </w:tc>
        <w:tc>
          <w:tcPr>
            <w:tcW w:w="2860" w:type="pct"/>
            <w:tcBorders>
              <w:tl2br w:val="nil"/>
              <w:tr2bl w:val="nil"/>
            </w:tcBorders>
            <w:noWrap w:val="0"/>
            <w:vAlign w:val="center"/>
          </w:tcPr>
          <w:p w14:paraId="4D8C0661">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rPr>
              <w:t>投标文件是否按照招标文件要求签署、盖章；</w:t>
            </w:r>
          </w:p>
        </w:tc>
        <w:tc>
          <w:tcPr>
            <w:tcW w:w="576" w:type="pct"/>
            <w:tcBorders>
              <w:tl2br w:val="nil"/>
              <w:tr2bl w:val="nil"/>
            </w:tcBorders>
            <w:noWrap w:val="0"/>
            <w:vAlign w:val="center"/>
          </w:tcPr>
          <w:p w14:paraId="09864CED">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snapToGrid/>
                <w:color w:val="auto"/>
                <w:kern w:val="2"/>
                <w:sz w:val="21"/>
                <w:szCs w:val="21"/>
                <w:highlight w:val="none"/>
              </w:rPr>
            </w:pPr>
          </w:p>
        </w:tc>
        <w:tc>
          <w:tcPr>
            <w:tcW w:w="576" w:type="pct"/>
            <w:tcBorders>
              <w:tl2br w:val="nil"/>
              <w:tr2bl w:val="nil"/>
            </w:tcBorders>
            <w:noWrap w:val="0"/>
            <w:vAlign w:val="center"/>
          </w:tcPr>
          <w:p w14:paraId="043F0849">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snapToGrid/>
                <w:color w:val="auto"/>
                <w:kern w:val="2"/>
                <w:sz w:val="21"/>
                <w:szCs w:val="21"/>
                <w:highlight w:val="none"/>
              </w:rPr>
            </w:pPr>
          </w:p>
        </w:tc>
        <w:tc>
          <w:tcPr>
            <w:tcW w:w="577" w:type="pct"/>
            <w:tcBorders>
              <w:tl2br w:val="nil"/>
              <w:tr2bl w:val="nil"/>
            </w:tcBorders>
            <w:noWrap w:val="0"/>
            <w:vAlign w:val="center"/>
          </w:tcPr>
          <w:p w14:paraId="53E0BEC4">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snapToGrid/>
                <w:color w:val="auto"/>
                <w:kern w:val="2"/>
                <w:sz w:val="21"/>
                <w:szCs w:val="21"/>
                <w:highlight w:val="none"/>
              </w:rPr>
            </w:pPr>
          </w:p>
        </w:tc>
      </w:tr>
      <w:tr w14:paraId="61C7B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805" w:hRule="atLeast"/>
        </w:trPr>
        <w:tc>
          <w:tcPr>
            <w:tcW w:w="409" w:type="pct"/>
            <w:tcBorders>
              <w:tl2br w:val="nil"/>
              <w:tr2bl w:val="nil"/>
            </w:tcBorders>
            <w:noWrap w:val="0"/>
            <w:vAlign w:val="center"/>
          </w:tcPr>
          <w:p w14:paraId="6BEAD524">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rPr>
              <w:t>2</w:t>
            </w:r>
          </w:p>
        </w:tc>
        <w:tc>
          <w:tcPr>
            <w:tcW w:w="2860" w:type="pct"/>
            <w:tcBorders>
              <w:tl2br w:val="nil"/>
              <w:tr2bl w:val="nil"/>
            </w:tcBorders>
            <w:noWrap w:val="0"/>
            <w:vAlign w:val="center"/>
          </w:tcPr>
          <w:p w14:paraId="0845E10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投标文件是否按招标文件要求编制，内容是否全面或字迹是否模糊、辨认不清的；</w:t>
            </w:r>
          </w:p>
        </w:tc>
        <w:tc>
          <w:tcPr>
            <w:tcW w:w="576" w:type="pct"/>
            <w:tcBorders>
              <w:tl2br w:val="nil"/>
              <w:tr2bl w:val="nil"/>
            </w:tcBorders>
            <w:noWrap w:val="0"/>
            <w:vAlign w:val="center"/>
          </w:tcPr>
          <w:p w14:paraId="3227461F">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6" w:type="pct"/>
            <w:tcBorders>
              <w:tl2br w:val="nil"/>
              <w:tr2bl w:val="nil"/>
            </w:tcBorders>
            <w:noWrap w:val="0"/>
            <w:vAlign w:val="center"/>
          </w:tcPr>
          <w:p w14:paraId="5647EB6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7" w:type="pct"/>
            <w:tcBorders>
              <w:tl2br w:val="nil"/>
              <w:tr2bl w:val="nil"/>
            </w:tcBorders>
            <w:noWrap w:val="0"/>
            <w:vAlign w:val="center"/>
          </w:tcPr>
          <w:p w14:paraId="72D85DD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r>
      <w:tr w14:paraId="43C912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567" w:hRule="atLeast"/>
        </w:trPr>
        <w:tc>
          <w:tcPr>
            <w:tcW w:w="409" w:type="pct"/>
            <w:tcBorders>
              <w:tl2br w:val="nil"/>
              <w:tr2bl w:val="nil"/>
            </w:tcBorders>
            <w:noWrap w:val="0"/>
            <w:vAlign w:val="center"/>
          </w:tcPr>
          <w:p w14:paraId="437DDCE8">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rPr>
              <w:t>3</w:t>
            </w:r>
          </w:p>
        </w:tc>
        <w:tc>
          <w:tcPr>
            <w:tcW w:w="2860" w:type="pct"/>
            <w:tcBorders>
              <w:tl2br w:val="nil"/>
              <w:tr2bl w:val="nil"/>
            </w:tcBorders>
            <w:noWrap w:val="0"/>
            <w:vAlign w:val="center"/>
          </w:tcPr>
          <w:p w14:paraId="3EC59C7C">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投标文件是否不齐全或者内容虚假的；</w:t>
            </w:r>
          </w:p>
        </w:tc>
        <w:tc>
          <w:tcPr>
            <w:tcW w:w="576" w:type="pct"/>
            <w:tcBorders>
              <w:tl2br w:val="nil"/>
              <w:tr2bl w:val="nil"/>
            </w:tcBorders>
            <w:noWrap w:val="0"/>
            <w:vAlign w:val="center"/>
          </w:tcPr>
          <w:p w14:paraId="624A1EA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6" w:type="pct"/>
            <w:tcBorders>
              <w:tl2br w:val="nil"/>
              <w:tr2bl w:val="nil"/>
            </w:tcBorders>
            <w:noWrap w:val="0"/>
            <w:vAlign w:val="center"/>
          </w:tcPr>
          <w:p w14:paraId="2D533D7C">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7" w:type="pct"/>
            <w:tcBorders>
              <w:tl2br w:val="nil"/>
              <w:tr2bl w:val="nil"/>
            </w:tcBorders>
            <w:noWrap w:val="0"/>
            <w:vAlign w:val="center"/>
          </w:tcPr>
          <w:p w14:paraId="69B8E80C">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r>
      <w:tr w14:paraId="12778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567" w:hRule="atLeast"/>
        </w:trPr>
        <w:tc>
          <w:tcPr>
            <w:tcW w:w="409" w:type="pct"/>
            <w:tcBorders>
              <w:tl2br w:val="nil"/>
              <w:tr2bl w:val="nil"/>
            </w:tcBorders>
            <w:noWrap w:val="0"/>
            <w:vAlign w:val="center"/>
          </w:tcPr>
          <w:p w14:paraId="535F53EE">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rPr>
              <w:t>4</w:t>
            </w:r>
          </w:p>
        </w:tc>
        <w:tc>
          <w:tcPr>
            <w:tcW w:w="2860" w:type="pct"/>
            <w:tcBorders>
              <w:tl2br w:val="nil"/>
              <w:tr2bl w:val="nil"/>
            </w:tcBorders>
            <w:noWrap w:val="0"/>
            <w:vAlign w:val="center"/>
          </w:tcPr>
          <w:p w14:paraId="23718C06">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投标报价没有高于最高限价；</w:t>
            </w:r>
          </w:p>
        </w:tc>
        <w:tc>
          <w:tcPr>
            <w:tcW w:w="576" w:type="pct"/>
            <w:tcBorders>
              <w:tl2br w:val="nil"/>
              <w:tr2bl w:val="nil"/>
            </w:tcBorders>
            <w:noWrap w:val="0"/>
            <w:vAlign w:val="center"/>
          </w:tcPr>
          <w:p w14:paraId="55F9071A">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6" w:type="pct"/>
            <w:tcBorders>
              <w:tl2br w:val="nil"/>
              <w:tr2bl w:val="nil"/>
            </w:tcBorders>
            <w:noWrap w:val="0"/>
            <w:vAlign w:val="center"/>
          </w:tcPr>
          <w:p w14:paraId="537FD40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7" w:type="pct"/>
            <w:tcBorders>
              <w:tl2br w:val="nil"/>
              <w:tr2bl w:val="nil"/>
            </w:tcBorders>
            <w:noWrap w:val="0"/>
            <w:vAlign w:val="center"/>
          </w:tcPr>
          <w:p w14:paraId="6EC54C98">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r>
      <w:tr w14:paraId="1DE7F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822" w:hRule="atLeast"/>
        </w:trPr>
        <w:tc>
          <w:tcPr>
            <w:tcW w:w="409" w:type="pct"/>
            <w:tcBorders>
              <w:tl2br w:val="nil"/>
              <w:tr2bl w:val="nil"/>
            </w:tcBorders>
            <w:noWrap w:val="0"/>
            <w:vAlign w:val="center"/>
          </w:tcPr>
          <w:p w14:paraId="70FD19D7">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rPr>
              <w:t>5</w:t>
            </w:r>
          </w:p>
        </w:tc>
        <w:tc>
          <w:tcPr>
            <w:tcW w:w="2860" w:type="pct"/>
            <w:tcBorders>
              <w:tl2br w:val="nil"/>
              <w:tr2bl w:val="nil"/>
            </w:tcBorders>
            <w:noWrap w:val="0"/>
            <w:vAlign w:val="center"/>
          </w:tcPr>
          <w:p w14:paraId="13D9BFF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供应商是否对同一招标项目做出两个以上报价而未明确效力；</w:t>
            </w:r>
          </w:p>
        </w:tc>
        <w:tc>
          <w:tcPr>
            <w:tcW w:w="576" w:type="pct"/>
            <w:tcBorders>
              <w:tl2br w:val="nil"/>
              <w:tr2bl w:val="nil"/>
            </w:tcBorders>
            <w:noWrap w:val="0"/>
            <w:vAlign w:val="center"/>
          </w:tcPr>
          <w:p w14:paraId="205FB4E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6" w:type="pct"/>
            <w:tcBorders>
              <w:tl2br w:val="nil"/>
              <w:tr2bl w:val="nil"/>
            </w:tcBorders>
            <w:noWrap w:val="0"/>
            <w:vAlign w:val="center"/>
          </w:tcPr>
          <w:p w14:paraId="24E3AA0F">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7" w:type="pct"/>
            <w:tcBorders>
              <w:tl2br w:val="nil"/>
              <w:tr2bl w:val="nil"/>
            </w:tcBorders>
            <w:noWrap w:val="0"/>
            <w:vAlign w:val="center"/>
          </w:tcPr>
          <w:p w14:paraId="67623CA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r>
      <w:tr w14:paraId="43C09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567" w:hRule="atLeast"/>
        </w:trPr>
        <w:tc>
          <w:tcPr>
            <w:tcW w:w="409" w:type="pct"/>
            <w:tcBorders>
              <w:tl2br w:val="nil"/>
              <w:tr2bl w:val="nil"/>
            </w:tcBorders>
            <w:noWrap w:val="0"/>
            <w:vAlign w:val="center"/>
          </w:tcPr>
          <w:p w14:paraId="0E9DFB32">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rPr>
              <w:t>6</w:t>
            </w:r>
          </w:p>
        </w:tc>
        <w:tc>
          <w:tcPr>
            <w:tcW w:w="2860" w:type="pct"/>
            <w:tcBorders>
              <w:tl2br w:val="nil"/>
              <w:tr2bl w:val="nil"/>
            </w:tcBorders>
            <w:noWrap w:val="0"/>
            <w:vAlign w:val="center"/>
          </w:tcPr>
          <w:p w14:paraId="0498888D">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投标文件是否附有招标人不能接受的条件；</w:t>
            </w:r>
          </w:p>
        </w:tc>
        <w:tc>
          <w:tcPr>
            <w:tcW w:w="576" w:type="pct"/>
            <w:tcBorders>
              <w:tl2br w:val="nil"/>
              <w:tr2bl w:val="nil"/>
            </w:tcBorders>
            <w:noWrap w:val="0"/>
            <w:vAlign w:val="center"/>
          </w:tcPr>
          <w:p w14:paraId="1F7F644A">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6" w:type="pct"/>
            <w:tcBorders>
              <w:tl2br w:val="nil"/>
              <w:tr2bl w:val="nil"/>
            </w:tcBorders>
            <w:noWrap w:val="0"/>
            <w:vAlign w:val="center"/>
          </w:tcPr>
          <w:p w14:paraId="324C2D57">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7" w:type="pct"/>
            <w:tcBorders>
              <w:tl2br w:val="nil"/>
              <w:tr2bl w:val="nil"/>
            </w:tcBorders>
            <w:noWrap w:val="0"/>
            <w:vAlign w:val="center"/>
          </w:tcPr>
          <w:p w14:paraId="7F4335E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r>
      <w:tr w14:paraId="743A81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567" w:hRule="atLeast"/>
        </w:trPr>
        <w:tc>
          <w:tcPr>
            <w:tcW w:w="409" w:type="pct"/>
            <w:tcBorders>
              <w:tl2br w:val="nil"/>
              <w:tr2bl w:val="nil"/>
            </w:tcBorders>
            <w:noWrap w:val="0"/>
            <w:vAlign w:val="center"/>
          </w:tcPr>
          <w:p w14:paraId="7DBEDA70">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rPr>
              <w:t>7</w:t>
            </w:r>
          </w:p>
        </w:tc>
        <w:tc>
          <w:tcPr>
            <w:tcW w:w="2860" w:type="pct"/>
            <w:tcBorders>
              <w:tl2br w:val="nil"/>
              <w:tr2bl w:val="nil"/>
            </w:tcBorders>
            <w:noWrap w:val="0"/>
            <w:vAlign w:val="center"/>
          </w:tcPr>
          <w:p w14:paraId="63319B6D">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是否满足招标文件实质性要求的其他情形；</w:t>
            </w:r>
          </w:p>
        </w:tc>
        <w:tc>
          <w:tcPr>
            <w:tcW w:w="576" w:type="pct"/>
            <w:tcBorders>
              <w:tl2br w:val="nil"/>
              <w:tr2bl w:val="nil"/>
            </w:tcBorders>
            <w:noWrap w:val="0"/>
            <w:vAlign w:val="center"/>
          </w:tcPr>
          <w:p w14:paraId="7C766004">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6" w:type="pct"/>
            <w:tcBorders>
              <w:tl2br w:val="nil"/>
              <w:tr2bl w:val="nil"/>
            </w:tcBorders>
            <w:noWrap w:val="0"/>
            <w:vAlign w:val="center"/>
          </w:tcPr>
          <w:p w14:paraId="66A8AC76">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7" w:type="pct"/>
            <w:tcBorders>
              <w:tl2br w:val="nil"/>
              <w:tr2bl w:val="nil"/>
            </w:tcBorders>
            <w:noWrap w:val="0"/>
            <w:vAlign w:val="center"/>
          </w:tcPr>
          <w:p w14:paraId="047B4CDE">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r>
      <w:tr w14:paraId="422245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874" w:hRule="atLeast"/>
        </w:trPr>
        <w:tc>
          <w:tcPr>
            <w:tcW w:w="409" w:type="pct"/>
            <w:tcBorders>
              <w:tl2br w:val="nil"/>
              <w:tr2bl w:val="nil"/>
            </w:tcBorders>
            <w:noWrap w:val="0"/>
            <w:vAlign w:val="center"/>
          </w:tcPr>
          <w:p w14:paraId="2BB50553">
            <w:pPr>
              <w:keepNext w:val="0"/>
              <w:keepLines w:val="0"/>
              <w:pageBreakBefore w:val="0"/>
              <w:widowControl w:val="0"/>
              <w:suppressLineNumbers w:val="0"/>
              <w:kinsoku/>
              <w:wordWrap w:val="0"/>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snapToGrid/>
                <w:color w:val="auto"/>
                <w:kern w:val="2"/>
                <w:sz w:val="21"/>
                <w:szCs w:val="21"/>
                <w:highlight w:val="none"/>
                <w:lang w:val="en-US" w:eastAsia="zh-CN"/>
              </w:rPr>
            </w:pPr>
            <w:r>
              <w:rPr>
                <w:rFonts w:hint="eastAsia" w:ascii="宋体" w:hAnsi="宋体" w:eastAsia="宋体" w:cs="宋体"/>
                <w:b/>
                <w:bCs/>
                <w:snapToGrid/>
                <w:color w:val="auto"/>
                <w:kern w:val="2"/>
                <w:sz w:val="21"/>
                <w:szCs w:val="21"/>
                <w:highlight w:val="none"/>
                <w:lang w:val="en-US" w:eastAsia="zh-CN"/>
              </w:rPr>
              <w:t>8</w:t>
            </w:r>
          </w:p>
        </w:tc>
        <w:tc>
          <w:tcPr>
            <w:tcW w:w="2860" w:type="pct"/>
            <w:tcBorders>
              <w:tl2br w:val="nil"/>
              <w:tr2bl w:val="nil"/>
            </w:tcBorders>
            <w:noWrap w:val="0"/>
            <w:vAlign w:val="center"/>
          </w:tcPr>
          <w:p w14:paraId="0A05EFD6">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是否存在法律、法规和招标文件规定的其他无效情形；</w:t>
            </w:r>
          </w:p>
        </w:tc>
        <w:tc>
          <w:tcPr>
            <w:tcW w:w="576" w:type="pct"/>
            <w:tcBorders>
              <w:tl2br w:val="nil"/>
              <w:tr2bl w:val="nil"/>
            </w:tcBorders>
            <w:noWrap w:val="0"/>
            <w:vAlign w:val="center"/>
          </w:tcPr>
          <w:p w14:paraId="655C451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6" w:type="pct"/>
            <w:tcBorders>
              <w:tl2br w:val="nil"/>
              <w:tr2bl w:val="nil"/>
            </w:tcBorders>
            <w:noWrap w:val="0"/>
            <w:vAlign w:val="center"/>
          </w:tcPr>
          <w:p w14:paraId="55BC2AE4">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c>
          <w:tcPr>
            <w:tcW w:w="577" w:type="pct"/>
            <w:tcBorders>
              <w:tl2br w:val="nil"/>
              <w:tr2bl w:val="nil"/>
            </w:tcBorders>
            <w:noWrap w:val="0"/>
            <w:vAlign w:val="center"/>
          </w:tcPr>
          <w:p w14:paraId="1E6B3862">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p>
        </w:tc>
      </w:tr>
      <w:tr w14:paraId="49388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567" w:hRule="atLeast"/>
        </w:trPr>
        <w:tc>
          <w:tcPr>
            <w:tcW w:w="5000" w:type="pct"/>
            <w:gridSpan w:val="5"/>
            <w:tcBorders>
              <w:tl2br w:val="nil"/>
              <w:tr2bl w:val="nil"/>
            </w:tcBorders>
            <w:noWrap w:val="0"/>
            <w:vAlign w:val="center"/>
          </w:tcPr>
          <w:p w14:paraId="7160DB99">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“√”表示合格；“×”表示不合格，一项不合格结果为不合格，如不合格，请在结果中写明原因。</w:t>
            </w:r>
          </w:p>
        </w:tc>
      </w:tr>
    </w:tbl>
    <w:p w14:paraId="64CD6C50">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60E1B9F9">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5D353C98">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1C607A9B">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6416A13E">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0EE670FD">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75E96922">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4880977A">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736D446C">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7A29A201">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12A375FB">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5ABEC95C">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0F91BC67">
      <w:pPr>
        <w:widowControl w:val="0"/>
        <w:kinsoku/>
        <w:topLinePunct/>
        <w:autoSpaceDE/>
        <w:autoSpaceDN/>
        <w:spacing w:line="420" w:lineRule="auto"/>
        <w:ind w:firstLine="420" w:firstLineChars="200"/>
        <w:jc w:val="both"/>
        <w:rPr>
          <w:rFonts w:ascii="宋体" w:hAnsi="宋体" w:eastAsia="宋体" w:cs="宋体"/>
          <w:color w:val="auto"/>
          <w:highlight w:val="none"/>
        </w:rPr>
      </w:pPr>
    </w:p>
    <w:tbl>
      <w:tblPr>
        <w:tblStyle w:val="29"/>
        <w:tblpPr w:leftFromText="180" w:rightFromText="180" w:vertAnchor="text" w:horzAnchor="page" w:tblpX="1555" w:tblpY="563"/>
        <w:tblOverlap w:val="never"/>
        <w:tblW w:w="496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428"/>
        <w:gridCol w:w="7409"/>
      </w:tblGrid>
      <w:tr w14:paraId="57E6F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tl2br w:val="nil"/>
              <w:tr2bl w:val="nil"/>
            </w:tcBorders>
            <w:vAlign w:val="center"/>
          </w:tcPr>
          <w:p w14:paraId="58B88818">
            <w:pPr>
              <w:widowControl w:val="0"/>
              <w:kinsoku/>
              <w:topLinePunct/>
              <w:autoSpaceDE/>
              <w:autoSpaceDN/>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w:t>
            </w:r>
            <w:r>
              <w:rPr>
                <w:rFonts w:hint="eastAsia" w:ascii="宋体" w:hAnsi="宋体" w:eastAsia="宋体" w:cs="宋体"/>
                <w:color w:val="auto"/>
                <w:sz w:val="21"/>
                <w:szCs w:val="21"/>
                <w:highlight w:val="none"/>
                <w:lang w:eastAsia="zh-CN"/>
              </w:rPr>
              <w:t>）</w:t>
            </w:r>
          </w:p>
        </w:tc>
        <w:tc>
          <w:tcPr>
            <w:tcW w:w="4192" w:type="pct"/>
            <w:tcBorders>
              <w:tl2br w:val="nil"/>
              <w:tr2bl w:val="nil"/>
            </w:tcBorders>
            <w:vAlign w:val="center"/>
          </w:tcPr>
          <w:p w14:paraId="232360FA">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评标基准价=有效投标报价的最低值，有效投标报价等于基准值的得满分，投标报价得分=（评标基准价/投标报价）×价格权重×</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。有效投标报价为通过初步审查的供应商报价</w:t>
            </w:r>
          </w:p>
        </w:tc>
      </w:tr>
      <w:tr w14:paraId="17751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tl2br w:val="nil"/>
              <w:tr2bl w:val="nil"/>
            </w:tcBorders>
            <w:vAlign w:val="center"/>
          </w:tcPr>
          <w:p w14:paraId="06759838">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16分</w:t>
            </w:r>
            <w:r>
              <w:rPr>
                <w:rFonts w:hint="eastAsia" w:ascii="宋体" w:hAnsi="宋体" w:eastAsia="宋体" w:cs="宋体"/>
                <w:color w:val="auto"/>
                <w:sz w:val="21"/>
                <w:szCs w:val="21"/>
                <w:highlight w:val="none"/>
                <w:lang w:eastAsia="zh-CN"/>
              </w:rPr>
              <w:t>）</w:t>
            </w:r>
          </w:p>
        </w:tc>
        <w:tc>
          <w:tcPr>
            <w:tcW w:w="4192" w:type="pct"/>
            <w:tcBorders>
              <w:tl2br w:val="nil"/>
              <w:tr2bl w:val="nil"/>
            </w:tcBorders>
            <w:vAlign w:val="center"/>
          </w:tcPr>
          <w:p w14:paraId="4297B32D">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年至项目投标截止日期止，投标单位完成类似业绩（指新建或维修类市政工程相关业绩），提供中标通知书或施工合同、竣工验收报告等证明材料。每提供一个类似业绩得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16分</w:t>
            </w:r>
            <w:r>
              <w:rPr>
                <w:rFonts w:hint="eastAsia" w:ascii="宋体" w:hAnsi="宋体" w:eastAsia="宋体" w:cs="宋体"/>
                <w:color w:val="auto"/>
                <w:sz w:val="21"/>
                <w:szCs w:val="21"/>
                <w:highlight w:val="none"/>
              </w:rPr>
              <w:t>。</w:t>
            </w:r>
          </w:p>
        </w:tc>
      </w:tr>
      <w:tr w14:paraId="02480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tl2br w:val="nil"/>
              <w:tr2bl w:val="nil"/>
            </w:tcBorders>
            <w:vAlign w:val="center"/>
          </w:tcPr>
          <w:p w14:paraId="2AF05699">
            <w:pPr>
              <w:widowControl w:val="0"/>
              <w:kinsoku/>
              <w:topLinePunct/>
              <w:autoSpaceDE/>
              <w:autoSpaceDN/>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4192" w:type="pct"/>
            <w:tcBorders>
              <w:tl2br w:val="nil"/>
              <w:tr2bl w:val="nil"/>
            </w:tcBorders>
            <w:vAlign w:val="center"/>
          </w:tcPr>
          <w:p w14:paraId="1ECFE5AA">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项目负责人近三年（202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年至今）相关业绩1个，得基本分</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分；每增加1个加2分；该项满分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分。证明材料须齐全（需提供合同原件的扫描件、中标通知书原件的扫描件、验收单原件的扫描件）同时业绩证明材料须反映出项目负责人。</w:t>
            </w:r>
          </w:p>
        </w:tc>
      </w:tr>
      <w:tr w14:paraId="2A3E0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tl2br w:val="nil"/>
              <w:tr2bl w:val="nil"/>
            </w:tcBorders>
            <w:vAlign w:val="center"/>
          </w:tcPr>
          <w:p w14:paraId="42AA7398">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主要管理人员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192" w:type="pct"/>
            <w:tcBorders>
              <w:tl2br w:val="nil"/>
              <w:tr2bl w:val="nil"/>
            </w:tcBorders>
            <w:vAlign w:val="center"/>
          </w:tcPr>
          <w:p w14:paraId="1818AE5D">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主要管理人员：包括项目负责人、技术负责人、施工员、</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员、安全员、资料员、材料员、预算员（造价员）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机械员、标准员、劳务员</w:t>
            </w:r>
            <w:r>
              <w:rPr>
                <w:rFonts w:hint="eastAsia" w:ascii="宋体" w:hAnsi="宋体" w:eastAsia="宋体" w:cs="宋体"/>
                <w:color w:val="auto"/>
                <w:sz w:val="21"/>
                <w:szCs w:val="21"/>
                <w:highlight w:val="none"/>
              </w:rPr>
              <w:t>。提供岗位证、技术负责人</w:t>
            </w:r>
            <w:r>
              <w:rPr>
                <w:rFonts w:hint="eastAsia" w:ascii="宋体" w:hAnsi="宋体" w:eastAsia="宋体" w:cs="宋体"/>
                <w:color w:val="auto"/>
                <w:sz w:val="21"/>
                <w:szCs w:val="21"/>
                <w:highlight w:val="none"/>
                <w:lang w:val="en-US" w:eastAsia="zh-CN"/>
              </w:rPr>
              <w:t>需提供</w:t>
            </w:r>
            <w:r>
              <w:rPr>
                <w:rFonts w:hint="eastAsia" w:ascii="宋体" w:hAnsi="宋体" w:eastAsia="宋体" w:cs="宋体"/>
                <w:color w:val="auto"/>
                <w:sz w:val="21"/>
                <w:szCs w:val="21"/>
                <w:highlight w:val="none"/>
              </w:rPr>
              <w:t>职称证、安全员具有有效的安全生产考核合格证书（C证）、</w:t>
            </w:r>
            <w:r>
              <w:rPr>
                <w:rFonts w:hint="eastAsia" w:ascii="宋体" w:hAnsi="宋体" w:eastAsia="宋体" w:cs="宋体"/>
                <w:color w:val="auto"/>
                <w:sz w:val="21"/>
                <w:szCs w:val="21"/>
                <w:highlight w:val="none"/>
                <w:lang w:val="en-US" w:eastAsia="zh-CN"/>
              </w:rPr>
              <w:t>以上人员均需提供本单位</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个月社保证明</w:t>
            </w:r>
            <w:r>
              <w:rPr>
                <w:rFonts w:hint="eastAsia" w:ascii="宋体" w:hAnsi="宋体" w:eastAsia="宋体" w:cs="宋体"/>
                <w:color w:val="auto"/>
                <w:sz w:val="21"/>
                <w:szCs w:val="21"/>
                <w:highlight w:val="none"/>
                <w:lang w:val="en-US" w:eastAsia="zh-CN"/>
              </w:rPr>
              <w:t>和劳动合同</w:t>
            </w:r>
            <w:r>
              <w:rPr>
                <w:rFonts w:hint="eastAsia" w:ascii="宋体" w:hAnsi="宋体" w:eastAsia="宋体" w:cs="宋体"/>
                <w:color w:val="auto"/>
                <w:sz w:val="21"/>
                <w:szCs w:val="21"/>
                <w:highlight w:val="none"/>
              </w:rPr>
              <w:t>。人员配置齐全得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除项目负责人外，每</w:t>
            </w:r>
            <w:r>
              <w:rPr>
                <w:rFonts w:hint="eastAsia" w:ascii="宋体" w:hAnsi="宋体" w:eastAsia="宋体" w:cs="宋体"/>
                <w:color w:val="auto"/>
                <w:sz w:val="21"/>
                <w:szCs w:val="21"/>
                <w:highlight w:val="none"/>
              </w:rPr>
              <w:t>少一个人员扣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50AE2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bottom w:val="single" w:color="auto" w:sz="4" w:space="0"/>
              <w:tl2br w:val="nil"/>
              <w:tr2bl w:val="nil"/>
            </w:tcBorders>
            <w:vAlign w:val="center"/>
          </w:tcPr>
          <w:p w14:paraId="77A1BE70">
            <w:pPr>
              <w:widowControl w:val="0"/>
              <w:kinsoku/>
              <w:topLinePunct/>
              <w:autoSpaceDE/>
              <w:autoSpaceDN/>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4192" w:type="pct"/>
            <w:tcBorders>
              <w:tl2br w:val="nil"/>
              <w:tr2bl w:val="nil"/>
            </w:tcBorders>
            <w:vAlign w:val="center"/>
          </w:tcPr>
          <w:p w14:paraId="37588A53">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接到发包人通知一般事件2小时内响应，紧急（特殊）事件1小时内响应。完全响应得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分，每一项延迟0.5小时扣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2小时内到达施工现场准备。完全响应得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分，每延迟0.5小时扣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p>
        </w:tc>
      </w:tr>
      <w:tr w14:paraId="44524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top w:val="single" w:color="auto" w:sz="4" w:space="0"/>
              <w:tl2br w:val="nil"/>
              <w:tr2bl w:val="nil"/>
            </w:tcBorders>
            <w:vAlign w:val="center"/>
          </w:tcPr>
          <w:p w14:paraId="18529728">
            <w:pPr>
              <w:widowControl w:val="0"/>
              <w:kinsoku/>
              <w:topLinePunct/>
              <w:autoSpaceDE/>
              <w:autoSpaceDN/>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人员配备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w:t>
            </w:r>
          </w:p>
        </w:tc>
        <w:tc>
          <w:tcPr>
            <w:tcW w:w="4192" w:type="pct"/>
            <w:tcBorders>
              <w:tl2br w:val="nil"/>
              <w:tr2bl w:val="nil"/>
            </w:tcBorders>
            <w:vAlign w:val="center"/>
          </w:tcPr>
          <w:p w14:paraId="3231AE84">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投标人拟投入到本项目的人员配备达到10-15人得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分，达到16人</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93612ED">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注：人员需提供岗位证或资格证书、</w:t>
            </w:r>
            <w:r>
              <w:rPr>
                <w:rFonts w:hint="eastAsia" w:ascii="宋体" w:hAnsi="宋体" w:eastAsia="宋体" w:cs="宋体"/>
                <w:color w:val="auto"/>
                <w:sz w:val="21"/>
                <w:szCs w:val="21"/>
                <w:highlight w:val="none"/>
                <w:lang w:val="en-US" w:eastAsia="zh-CN"/>
              </w:rPr>
              <w:t>及本单位</w:t>
            </w:r>
            <w:r>
              <w:rPr>
                <w:rFonts w:hint="eastAsia" w:ascii="宋体" w:hAnsi="宋体" w:eastAsia="宋体" w:cs="宋体"/>
                <w:color w:val="auto"/>
                <w:sz w:val="21"/>
                <w:szCs w:val="21"/>
                <w:highlight w:val="none"/>
              </w:rPr>
              <w:t>近三个月社保证明</w:t>
            </w:r>
            <w:r>
              <w:rPr>
                <w:rFonts w:hint="eastAsia" w:ascii="宋体" w:hAnsi="宋体" w:eastAsia="宋体" w:cs="宋体"/>
                <w:color w:val="auto"/>
                <w:sz w:val="21"/>
                <w:szCs w:val="21"/>
                <w:highlight w:val="none"/>
                <w:lang w:val="en-US" w:eastAsia="zh-CN"/>
              </w:rPr>
              <w:t>和劳动合同</w:t>
            </w:r>
            <w:r>
              <w:rPr>
                <w:rFonts w:hint="eastAsia" w:ascii="宋体" w:hAnsi="宋体" w:eastAsia="宋体" w:cs="宋体"/>
                <w:color w:val="auto"/>
                <w:sz w:val="21"/>
                <w:szCs w:val="21"/>
                <w:highlight w:val="none"/>
              </w:rPr>
              <w:t>。</w:t>
            </w:r>
          </w:p>
        </w:tc>
      </w:tr>
      <w:tr w14:paraId="031E6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tl2br w:val="nil"/>
              <w:tr2bl w:val="nil"/>
            </w:tcBorders>
            <w:vAlign w:val="center"/>
          </w:tcPr>
          <w:p w14:paraId="615883EC">
            <w:pPr>
              <w:widowControl w:val="0"/>
              <w:kinsoku/>
              <w:topLinePunct/>
              <w:autoSpaceDE/>
              <w:autoSpaceDN/>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机械设备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eastAsia="zh-CN"/>
              </w:rPr>
              <w:t>）</w:t>
            </w:r>
          </w:p>
        </w:tc>
        <w:tc>
          <w:tcPr>
            <w:tcW w:w="4192" w:type="pct"/>
            <w:tcBorders>
              <w:tl2br w:val="nil"/>
              <w:tr2bl w:val="nil"/>
            </w:tcBorders>
            <w:vAlign w:val="center"/>
          </w:tcPr>
          <w:p w14:paraId="6E9DD036">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需配备搅拌机</w:t>
            </w:r>
            <w:r>
              <w:rPr>
                <w:rFonts w:hint="eastAsia" w:ascii="宋体" w:hAnsi="宋体" w:eastAsia="宋体" w:cs="宋体"/>
                <w:color w:val="auto"/>
                <w:sz w:val="21"/>
                <w:szCs w:val="21"/>
                <w:highlight w:val="none"/>
                <w:lang w:val="en-US" w:eastAsia="zh-CN"/>
              </w:rPr>
              <w:t>2台</w:t>
            </w:r>
            <w:r>
              <w:rPr>
                <w:rFonts w:hint="eastAsia" w:ascii="宋体" w:hAnsi="宋体" w:eastAsia="宋体" w:cs="宋体"/>
                <w:color w:val="auto"/>
                <w:sz w:val="21"/>
                <w:szCs w:val="21"/>
                <w:highlight w:val="none"/>
              </w:rPr>
              <w:t>、装载机</w:t>
            </w:r>
            <w:r>
              <w:rPr>
                <w:rFonts w:hint="eastAsia" w:ascii="宋体" w:hAnsi="宋体" w:eastAsia="宋体" w:cs="宋体"/>
                <w:color w:val="auto"/>
                <w:sz w:val="21"/>
                <w:szCs w:val="21"/>
                <w:highlight w:val="none"/>
                <w:lang w:val="en-US" w:eastAsia="zh-CN"/>
              </w:rPr>
              <w:t>2辆</w:t>
            </w:r>
            <w:r>
              <w:rPr>
                <w:rFonts w:hint="eastAsia" w:ascii="宋体" w:hAnsi="宋体" w:eastAsia="宋体" w:cs="宋体"/>
                <w:color w:val="auto"/>
                <w:sz w:val="21"/>
                <w:szCs w:val="21"/>
                <w:highlight w:val="none"/>
              </w:rPr>
              <w:t>、洒水车、压路机、平板振动夯、机动翻斗车</w:t>
            </w:r>
            <w:r>
              <w:rPr>
                <w:rFonts w:hint="eastAsia" w:ascii="宋体" w:hAnsi="宋体" w:eastAsia="宋体" w:cs="宋体"/>
                <w:color w:val="auto"/>
                <w:sz w:val="21"/>
                <w:szCs w:val="21"/>
                <w:highlight w:val="none"/>
                <w:lang w:val="en-US" w:eastAsia="zh-CN"/>
              </w:rPr>
              <w:t>2辆</w:t>
            </w:r>
            <w:r>
              <w:rPr>
                <w:rFonts w:hint="eastAsia" w:ascii="宋体" w:hAnsi="宋体" w:eastAsia="宋体" w:cs="宋体"/>
                <w:color w:val="auto"/>
                <w:sz w:val="21"/>
                <w:szCs w:val="21"/>
                <w:highlight w:val="none"/>
              </w:rPr>
              <w:t>、钢筋调直机、钢筋弯曲机、电焊机、经纬仪、水准仪、全站仪等设备，满分</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分，每缺少1台机械设备扣</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分扣完为止。</w:t>
            </w:r>
          </w:p>
          <w:p w14:paraId="5916252A">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注：需提供机械设备购买发票或有效期内的租赁合同。</w:t>
            </w:r>
          </w:p>
        </w:tc>
      </w:tr>
      <w:tr w14:paraId="51C99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tl2br w:val="nil"/>
              <w:tr2bl w:val="nil"/>
            </w:tcBorders>
            <w:vAlign w:val="center"/>
          </w:tcPr>
          <w:p w14:paraId="30707C46">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工作方案、工作任务目标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4192" w:type="pct"/>
            <w:tcBorders>
              <w:tl2br w:val="nil"/>
              <w:tr2bl w:val="nil"/>
            </w:tcBorders>
            <w:vAlign w:val="center"/>
          </w:tcPr>
          <w:p w14:paraId="39DD228E">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投标人结合本项目特点编制工作方案、工作任务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目标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及重点和难点分析，保质保量完成本项目服务工作，对工作方案、工作任务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目标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重点和难点分析所拟定采取的措施进行评分。完全符合《城市道路工程技术规范》（GB55011-2021）、《市政工程施工安全检查标准》（CJJ/T275-2018）、《混凝土结构工程施工质量验收规范》（GB50204-2015）、《沥青路面施工及验收规范》（GB50092-96）、《砌体结构通用规范》（GB55007-2021）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分，否则每项扣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3A4E4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tl2br w:val="nil"/>
              <w:tr2bl w:val="nil"/>
            </w:tcBorders>
            <w:vAlign w:val="center"/>
          </w:tcPr>
          <w:p w14:paraId="594FBBD6">
            <w:pPr>
              <w:widowControl w:val="0"/>
              <w:kinsoku/>
              <w:topLinePunct/>
              <w:autoSpaceDE/>
              <w:autoSpaceDN/>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售后服务方案及服务承诺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4192" w:type="pct"/>
            <w:tcBorders>
              <w:tl2br w:val="nil"/>
              <w:tr2bl w:val="nil"/>
            </w:tcBorders>
            <w:vAlign w:val="center"/>
          </w:tcPr>
          <w:p w14:paraId="7FAA27E5">
            <w:pPr>
              <w:widowControl w:val="0"/>
              <w:kinsoku/>
              <w:topLinePunct/>
              <w:autoSpaceDE/>
              <w:autoSpaceDN/>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根据各投标人的</w:t>
            </w:r>
            <w:r>
              <w:rPr>
                <w:rFonts w:hint="eastAsia" w:ascii="宋体" w:hAnsi="宋体" w:eastAsia="宋体" w:cs="宋体"/>
                <w:color w:val="auto"/>
                <w:sz w:val="21"/>
                <w:szCs w:val="21"/>
                <w:highlight w:val="none"/>
                <w:lang w:val="en-US" w:eastAsia="zh-CN"/>
              </w:rPr>
              <w:t>售后</w:t>
            </w:r>
            <w:r>
              <w:rPr>
                <w:rFonts w:hint="eastAsia" w:ascii="宋体" w:hAnsi="宋体" w:eastAsia="宋体" w:cs="宋体"/>
                <w:color w:val="auto"/>
                <w:sz w:val="21"/>
                <w:szCs w:val="21"/>
                <w:highlight w:val="none"/>
              </w:rPr>
              <w:t>服务方案（包括售后服务承诺和售后服务体系等方面）进行综合评审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1.保修有完整详细承诺、有违约处罚且措施得2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分，不提供不得分。2.承诺售后服务的保障体制，维修期限的长短、期限合理得2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分，不提供不得分。</w:t>
            </w:r>
          </w:p>
        </w:tc>
      </w:tr>
      <w:tr w14:paraId="44796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807" w:type="pct"/>
            <w:tcBorders>
              <w:tl2br w:val="nil"/>
              <w:tr2bl w:val="nil"/>
            </w:tcBorders>
            <w:vAlign w:val="center"/>
          </w:tcPr>
          <w:p w14:paraId="26FECE29">
            <w:pPr>
              <w:widowControl w:val="0"/>
              <w:kinsoku/>
              <w:topLinePunct/>
              <w:autoSpaceDE/>
              <w:autoSpaceDN/>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4192" w:type="pct"/>
            <w:tcBorders>
              <w:tl2br w:val="nil"/>
              <w:tr2bl w:val="nil"/>
            </w:tcBorders>
            <w:vAlign w:val="center"/>
          </w:tcPr>
          <w:p w14:paraId="617CBA3F">
            <w:pPr>
              <w:widowControl w:val="0"/>
              <w:kinsoku/>
              <w:topLinePunct/>
              <w:autoSpaceDE/>
              <w:autoSpaceDN/>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100分</w:t>
            </w:r>
          </w:p>
        </w:tc>
      </w:tr>
      <w:tr w14:paraId="04D58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0" w:hRule="atLeast"/>
        </w:trPr>
        <w:tc>
          <w:tcPr>
            <w:tcW w:w="5000" w:type="pct"/>
            <w:gridSpan w:val="2"/>
            <w:tcBorders>
              <w:tl2br w:val="nil"/>
              <w:tr2bl w:val="nil"/>
            </w:tcBorders>
            <w:vAlign w:val="center"/>
          </w:tcPr>
          <w:p w14:paraId="7E442871">
            <w:pPr>
              <w:widowControl w:val="0"/>
              <w:kinsoku/>
              <w:topLinePunct/>
              <w:autoSpaceDE/>
              <w:autoSpaceDN/>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注：评分分值计算保留小数点后两位，小数点后第三位“四舍五入”</w:t>
            </w:r>
          </w:p>
        </w:tc>
      </w:tr>
    </w:tbl>
    <w:p w14:paraId="2BD785CB">
      <w:pPr>
        <w:jc w:val="center"/>
        <w:rPr>
          <w:rFonts w:hint="eastAsia"/>
          <w:color w:val="auto"/>
          <w:highlight w:val="none"/>
        </w:rPr>
      </w:pPr>
      <w:r>
        <w:rPr>
          <w:rFonts w:hint="eastAsia" w:ascii="宋体" w:hAnsi="宋体" w:eastAsia="宋体" w:cs="宋体"/>
          <w:snapToGrid w:val="0"/>
          <w:color w:val="auto"/>
          <w:sz w:val="24"/>
          <w:szCs w:val="24"/>
          <w:highlight w:val="none"/>
          <w:lang w:val="en-US" w:eastAsia="zh-CN" w:bidi="ar-SA"/>
          <w14:textOutline w14:w="3797" w14:cap="sq" w14:cmpd="sng" w14:algn="ctr">
            <w14:solidFill>
              <w14:srgbClr w14:val="000000"/>
            </w14:solidFill>
            <w14:prstDash w14:val="solid"/>
            <w14:bevel/>
          </w14:textOutline>
        </w:rPr>
        <w:t>详细评审</w:t>
      </w:r>
    </w:p>
    <w:p w14:paraId="7CB212EA">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69519AD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ascii="宋体" w:hAnsi="宋体" w:eastAsia="宋体" w:cs="宋体"/>
          <w:color w:val="auto"/>
          <w:highlight w:val="none"/>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0A7480B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、除非发生下列情况之一，评标委员会成员不得在评标中途更换：</w:t>
      </w: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w:t>
      </w:r>
      <w:r>
        <w:rPr>
          <w:rFonts w:ascii="宋体" w:hAnsi="宋体" w:eastAsia="宋体" w:cs="宋体"/>
          <w:color w:val="auto"/>
          <w:highlight w:val="none"/>
        </w:rPr>
        <w:t>因不可抗拒的客观原因，不能到场或需在评标中途退出评标活动；</w:t>
      </w: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w:t>
      </w:r>
      <w:r>
        <w:rPr>
          <w:rFonts w:ascii="宋体" w:hAnsi="宋体" w:eastAsia="宋体" w:cs="宋体"/>
          <w:color w:val="auto"/>
          <w:highlight w:val="none"/>
        </w:rPr>
        <w:t>根据法律法规规定，某个或某几个评标委员会成员需要回避。退出评标的评标委员会成员，其已完成的评标行为无效。根据本招标文件规定的评标委员会成员产生方式另行确定替代者进行评标。</w:t>
      </w:r>
    </w:p>
    <w:p w14:paraId="476C836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ascii="宋体" w:hAnsi="宋体" w:eastAsia="宋体" w:cs="宋体"/>
          <w:color w:val="auto"/>
          <w:highlight w:val="none"/>
        </w:rPr>
        <w:t>、在任何评标环节中，需评标委员会就某项评审结论做出表决的，由评标委员会全体成员按照少数服从多数的原则，以记名投票方式表决。</w:t>
      </w:r>
    </w:p>
    <w:p w14:paraId="3A8D2BEB">
      <w:pPr>
        <w:pStyle w:val="3"/>
        <w:keepNext w:val="0"/>
        <w:keepLines w:val="0"/>
        <w:widowControl w:val="0"/>
        <w:kinsoku/>
        <w:topLinePunct/>
        <w:autoSpaceDE/>
        <w:autoSpaceDN/>
        <w:outlineLvl w:val="9"/>
        <w:rPr>
          <w:rFonts w:eastAsiaTheme="minorEastAsia"/>
          <w:color w:val="auto"/>
          <w:highlight w:val="none"/>
        </w:rPr>
        <w:sectPr>
          <w:footerReference r:id="rId8" w:type="default"/>
          <w:pgSz w:w="11906" w:h="16839"/>
          <w:pgMar w:top="1247" w:right="1588" w:bottom="1247" w:left="1531" w:header="851" w:footer="851" w:gutter="0"/>
          <w:cols w:space="0" w:num="1"/>
        </w:sectPr>
      </w:pPr>
    </w:p>
    <w:p w14:paraId="595F2ED8">
      <w:pPr>
        <w:widowControl w:val="0"/>
        <w:numPr>
          <w:ilvl w:val="0"/>
          <w:numId w:val="6"/>
        </w:numPr>
        <w:kinsoku/>
        <w:topLinePunct/>
        <w:autoSpaceDE/>
        <w:autoSpaceDN/>
        <w:spacing w:line="480" w:lineRule="auto"/>
        <w:jc w:val="center"/>
        <w:outlineLvl w:val="0"/>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bookmarkStart w:id="100" w:name="_bookmark24"/>
      <w:bookmarkEnd w:id="100"/>
      <w:bookmarkStart w:id="101" w:name="_bookmark25"/>
      <w:bookmarkEnd w:id="101"/>
      <w:bookmarkStart w:id="102" w:name="_bookmark23"/>
      <w:bookmarkEnd w:id="102"/>
      <w:bookmarkStart w:id="103" w:name="_bookmark26"/>
      <w:bookmarkEnd w:id="103"/>
      <w:bookmarkStart w:id="104" w:name="_Toc132755246"/>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 xml:space="preserve"> </w:t>
      </w:r>
      <w:bookmarkStart w:id="105" w:name="_Toc13742"/>
      <w:bookmarkStart w:id="106" w:name="_Toc27766"/>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政府采购合同</w:t>
      </w:r>
      <w:bookmarkEnd w:id="104"/>
      <w:bookmarkEnd w:id="105"/>
      <w:bookmarkEnd w:id="106"/>
    </w:p>
    <w:p w14:paraId="66163BFE">
      <w:pPr>
        <w:pStyle w:val="27"/>
        <w:numPr>
          <w:ilvl w:val="0"/>
          <w:numId w:val="0"/>
        </w:numPr>
        <w:jc w:val="center"/>
        <w:rPr>
          <w:rFonts w:hint="eastAsia" w:eastAsia="仿宋"/>
          <w:color w:val="auto"/>
          <w:highlight w:val="none"/>
          <w:lang w:val="en-US" w:eastAsia="zh-CN"/>
        </w:rPr>
      </w:pPr>
      <w:r>
        <w:rPr>
          <w:rFonts w:hint="eastAsia"/>
          <w:color w:val="auto"/>
          <w:highlight w:val="none"/>
          <w:lang w:val="en-US" w:eastAsia="zh-CN"/>
        </w:rPr>
        <w:t>仅供参考</w:t>
      </w:r>
    </w:p>
    <w:p w14:paraId="62EB6524">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根据《中华人民共和国民法典》等相关法律法规的规定，合同双方就</w:t>
      </w:r>
      <w:r>
        <w:rPr>
          <w:rFonts w:hint="eastAsia" w:asciiTheme="minorEastAsia" w:hAnsiTheme="minorEastAsia" w:eastAsiaTheme="minorEastAsia"/>
          <w:color w:val="auto"/>
          <w:highlight w:val="none"/>
          <w:u w:val="single"/>
          <w:lang w:eastAsia="zh-CN"/>
        </w:rPr>
        <w:t>2024年和田市城市道路及人行道和公园等公共基础设施零星修补项目</w:t>
      </w:r>
      <w:r>
        <w:rPr>
          <w:rFonts w:hint="eastAsia" w:asciiTheme="minorEastAsia" w:hAnsiTheme="minorEastAsia" w:eastAsiaTheme="minorEastAsia"/>
          <w:color w:val="auto"/>
          <w:highlight w:val="none"/>
        </w:rPr>
        <w:t>事宜协商达成一致，订立本合同。</w:t>
      </w:r>
    </w:p>
    <w:p w14:paraId="6874D661">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07" w:name="_Toc132755458"/>
      <w:bookmarkStart w:id="108" w:name="_Toc20788"/>
      <w:bookmarkStart w:id="109" w:name="_Toc1394"/>
      <w:bookmarkStart w:id="110" w:name="_Toc132754799"/>
      <w:bookmarkStart w:id="111" w:name="_Toc132755247"/>
      <w:r>
        <w:rPr>
          <w:rFonts w:hint="eastAsia" w:cs="仿宋" w:asciiTheme="minorEastAsia" w:hAnsiTheme="minorEastAsia" w:eastAsiaTheme="minorEastAsia"/>
          <w:b/>
          <w:color w:val="auto"/>
          <w:highlight w:val="none"/>
        </w:rPr>
        <w:t>一、工程概况</w:t>
      </w:r>
      <w:bookmarkEnd w:id="107"/>
      <w:bookmarkEnd w:id="108"/>
      <w:bookmarkEnd w:id="109"/>
      <w:bookmarkEnd w:id="110"/>
      <w:bookmarkEnd w:id="111"/>
    </w:p>
    <w:p w14:paraId="6BC9EAC7">
      <w:pPr>
        <w:widowControl w:val="0"/>
        <w:kinsoku/>
        <w:topLinePunct/>
        <w:autoSpaceDE/>
        <w:autoSpaceDN/>
        <w:spacing w:line="420" w:lineRule="auto"/>
        <w:ind w:firstLine="420" w:firstLineChars="200"/>
        <w:rPr>
          <w:rFonts w:hint="eastAsia" w:cs="仿宋" w:asciiTheme="minorEastAsia" w:hAnsiTheme="minorEastAsia" w:eastAsiaTheme="minorEastAsia"/>
          <w:color w:val="auto"/>
          <w:highlight w:val="none"/>
          <w:u w:val="single"/>
          <w:lang w:eastAsia="zh-CN"/>
        </w:rPr>
      </w:pPr>
      <w:r>
        <w:rPr>
          <w:rFonts w:hint="eastAsia" w:cs="仿宋" w:asciiTheme="minorEastAsia" w:hAnsiTheme="minorEastAsia" w:eastAsiaTheme="minorEastAsia"/>
          <w:color w:val="auto"/>
          <w:highlight w:val="none"/>
        </w:rPr>
        <w:t>1.项目名称：</w:t>
      </w:r>
      <w:r>
        <w:rPr>
          <w:rFonts w:hint="eastAsia" w:asciiTheme="minorEastAsia" w:hAnsiTheme="minorEastAsia" w:eastAsiaTheme="minorEastAsia"/>
          <w:color w:val="auto"/>
          <w:highlight w:val="none"/>
          <w:u w:val="single"/>
          <w:lang w:eastAsia="zh-CN"/>
        </w:rPr>
        <w:t>2024年和田市城市道路及人行道和公园等公共基础设施零星修补项目</w:t>
      </w:r>
    </w:p>
    <w:p w14:paraId="44FFFABE">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2.项目地点：</w:t>
      </w:r>
      <w:r>
        <w:rPr>
          <w:rFonts w:hint="eastAsia" w:cs="仿宋" w:asciiTheme="minorEastAsia" w:hAnsiTheme="minorEastAsia" w:eastAsiaTheme="minorEastAsia"/>
          <w:color w:val="auto"/>
          <w:highlight w:val="none"/>
          <w:u w:val="single"/>
        </w:rPr>
        <w:t>和田市</w:t>
      </w:r>
    </w:p>
    <w:p w14:paraId="2B155E75">
      <w:pPr>
        <w:widowControl w:val="0"/>
        <w:kinsoku/>
        <w:topLinePunct/>
        <w:autoSpaceDE/>
        <w:autoSpaceDN/>
        <w:spacing w:line="420" w:lineRule="auto"/>
        <w:ind w:firstLine="420" w:firstLineChars="200"/>
        <w:rPr>
          <w:rFonts w:hint="eastAsia"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3.资金来源：</w:t>
      </w:r>
    </w:p>
    <w:p w14:paraId="4C917BF4">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4.项目内容：</w:t>
      </w:r>
    </w:p>
    <w:p w14:paraId="01A858E0">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12" w:name="_Toc132754800"/>
      <w:bookmarkStart w:id="113" w:name="_Toc132755459"/>
      <w:bookmarkStart w:id="114" w:name="_Toc132755248"/>
      <w:bookmarkStart w:id="115" w:name="_Toc766"/>
      <w:bookmarkStart w:id="116" w:name="_Toc30249"/>
      <w:r>
        <w:rPr>
          <w:rFonts w:hint="eastAsia" w:cs="仿宋" w:asciiTheme="minorEastAsia" w:hAnsiTheme="minorEastAsia" w:eastAsiaTheme="minorEastAsia"/>
          <w:b/>
          <w:color w:val="auto"/>
          <w:highlight w:val="none"/>
        </w:rPr>
        <w:t>二、合同工期</w:t>
      </w:r>
      <w:bookmarkEnd w:id="112"/>
      <w:bookmarkEnd w:id="113"/>
      <w:bookmarkEnd w:id="114"/>
      <w:bookmarkEnd w:id="115"/>
      <w:bookmarkEnd w:id="116"/>
    </w:p>
    <w:p w14:paraId="6A70D801">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17" w:name="_Toc15853"/>
      <w:bookmarkStart w:id="118" w:name="_Toc3839"/>
      <w:bookmarkStart w:id="119" w:name="_Toc132755460"/>
      <w:bookmarkStart w:id="120" w:name="_Toc132755249"/>
      <w:bookmarkStart w:id="121" w:name="_Toc132754801"/>
      <w:r>
        <w:rPr>
          <w:rFonts w:hint="eastAsia" w:cs="仿宋" w:asciiTheme="minorEastAsia" w:hAnsiTheme="minorEastAsia" w:eastAsiaTheme="minorEastAsia"/>
          <w:b/>
          <w:color w:val="auto"/>
          <w:highlight w:val="none"/>
        </w:rPr>
        <w:t>三、质量标准</w:t>
      </w:r>
      <w:bookmarkEnd w:id="117"/>
      <w:bookmarkEnd w:id="118"/>
      <w:bookmarkEnd w:id="119"/>
      <w:bookmarkEnd w:id="120"/>
      <w:bookmarkEnd w:id="121"/>
    </w:p>
    <w:p w14:paraId="269007FE">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工程质量符合</w:t>
      </w:r>
      <w:r>
        <w:rPr>
          <w:rFonts w:hint="eastAsia" w:cs="仿宋" w:asciiTheme="minorEastAsia" w:hAnsiTheme="minorEastAsia" w:eastAsiaTheme="minorEastAsia"/>
          <w:b/>
          <w:color w:val="auto"/>
          <w:highlight w:val="none"/>
          <w:u w:val="single"/>
        </w:rPr>
        <w:t>国家现行有关规范和标准的要求并验收合格</w:t>
      </w:r>
      <w:r>
        <w:rPr>
          <w:rFonts w:hint="eastAsia" w:cs="仿宋" w:asciiTheme="minorEastAsia" w:hAnsiTheme="minorEastAsia" w:eastAsiaTheme="minorEastAsia"/>
          <w:color w:val="auto"/>
          <w:highlight w:val="none"/>
        </w:rPr>
        <w:t>。</w:t>
      </w:r>
    </w:p>
    <w:p w14:paraId="5BEDB2EA">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22" w:name="_Toc132755250"/>
      <w:bookmarkStart w:id="123" w:name="_Toc29219"/>
      <w:bookmarkStart w:id="124" w:name="_Toc132755461"/>
      <w:bookmarkStart w:id="125" w:name="_Toc15228"/>
      <w:bookmarkStart w:id="126" w:name="_Toc132754802"/>
      <w:r>
        <w:rPr>
          <w:rFonts w:hint="eastAsia" w:cs="仿宋" w:asciiTheme="minorEastAsia" w:hAnsiTheme="minorEastAsia" w:eastAsiaTheme="minorEastAsia"/>
          <w:b/>
          <w:color w:val="auto"/>
          <w:highlight w:val="none"/>
        </w:rPr>
        <w:t>四、合同价格</w:t>
      </w:r>
      <w:bookmarkEnd w:id="122"/>
      <w:bookmarkEnd w:id="123"/>
      <w:bookmarkEnd w:id="124"/>
      <w:bookmarkEnd w:id="125"/>
      <w:bookmarkEnd w:id="126"/>
    </w:p>
    <w:p w14:paraId="288CBCD8">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1.签约合同价（含税）为：人民币（大写）</w:t>
      </w:r>
      <w:r>
        <w:rPr>
          <w:rFonts w:hint="eastAsia" w:cs="仿宋" w:asciiTheme="minorEastAsia" w:hAnsiTheme="minorEastAsia" w:eastAsiaTheme="minorEastAsia"/>
          <w:color w:val="auto"/>
          <w:highlight w:val="none"/>
          <w:u w:val="single"/>
        </w:rPr>
        <w:t xml:space="preserve">    （￥    元）</w:t>
      </w:r>
      <w:r>
        <w:rPr>
          <w:rFonts w:hint="eastAsia" w:cs="仿宋" w:asciiTheme="minorEastAsia" w:hAnsiTheme="minorEastAsia" w:eastAsiaTheme="minorEastAsia"/>
          <w:color w:val="auto"/>
          <w:highlight w:val="none"/>
        </w:rPr>
        <w:t>。</w:t>
      </w:r>
    </w:p>
    <w:p w14:paraId="1173C5FC">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u w:val="single"/>
        </w:rPr>
      </w:pPr>
      <w:r>
        <w:rPr>
          <w:rFonts w:hint="eastAsia" w:cs="仿宋" w:asciiTheme="minorEastAsia" w:hAnsiTheme="minorEastAsia" w:eastAsiaTheme="minorEastAsia"/>
          <w:color w:val="auto"/>
          <w:highlight w:val="none"/>
        </w:rPr>
        <w:t>2.合同价格形式：</w:t>
      </w:r>
    </w:p>
    <w:p w14:paraId="60CF8854">
      <w:pPr>
        <w:pStyle w:val="18"/>
        <w:widowControl w:val="0"/>
        <w:kinsoku/>
        <w:topLinePunct/>
        <w:autoSpaceDE/>
        <w:autoSpaceDN/>
        <w:spacing w:before="0" w:beforeAutospacing="0" w:after="0" w:afterAutospacing="0" w:line="396" w:lineRule="auto"/>
        <w:ind w:firstLine="420" w:firstLineChars="200"/>
        <w:jc w:val="both"/>
        <w:rPr>
          <w:rFonts w:hint="eastAsia" w:cs="Times New Roman" w:asciiTheme="minorEastAsia" w:hAnsiTheme="minorEastAsia" w:eastAsiaTheme="minorEastAsia"/>
          <w:color w:val="auto"/>
          <w:sz w:val="21"/>
          <w:szCs w:val="21"/>
          <w:highlight w:val="none"/>
          <w:u w:val="single"/>
          <w:lang w:eastAsia="zh-CN"/>
        </w:rPr>
      </w:pPr>
      <w:r>
        <w:rPr>
          <w:rFonts w:cs="仿宋" w:asciiTheme="minorEastAsia" w:hAnsiTheme="minorEastAsia" w:eastAsiaTheme="minorEastAsia"/>
          <w:color w:val="auto"/>
          <w:sz w:val="21"/>
          <w:szCs w:val="21"/>
          <w:highlight w:val="none"/>
        </w:rPr>
        <w:t>3.付款方式及条件：</w:t>
      </w:r>
    </w:p>
    <w:p w14:paraId="51264A77">
      <w:pPr>
        <w:widowControl w:val="0"/>
        <w:kinsoku/>
        <w:topLinePunct/>
        <w:autoSpaceDE/>
        <w:autoSpaceDN/>
        <w:spacing w:line="420" w:lineRule="auto"/>
        <w:ind w:firstLine="422" w:firstLineChars="200"/>
        <w:rPr>
          <w:rFonts w:cs="仿宋" w:asciiTheme="minorEastAsia" w:hAnsiTheme="minorEastAsia" w:eastAsiaTheme="minorEastAsia"/>
          <w:b/>
          <w:color w:val="auto"/>
          <w:highlight w:val="none"/>
        </w:rPr>
      </w:pPr>
      <w:r>
        <w:rPr>
          <w:rFonts w:hint="eastAsia" w:cs="仿宋" w:asciiTheme="minorEastAsia" w:hAnsiTheme="minorEastAsia" w:eastAsiaTheme="minorEastAsia"/>
          <w:b/>
          <w:color w:val="auto"/>
          <w:highlight w:val="none"/>
        </w:rPr>
        <w:t>五、项目部</w:t>
      </w:r>
    </w:p>
    <w:p w14:paraId="0807E269">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cs="仿宋" w:asciiTheme="minorEastAsia" w:hAnsiTheme="minorEastAsia" w:eastAsiaTheme="minorEastAsia"/>
          <w:color w:val="auto"/>
          <w:highlight w:val="none"/>
        </w:rPr>
        <w:t>……</w:t>
      </w:r>
    </w:p>
    <w:p w14:paraId="17225729">
      <w:pPr>
        <w:widowControl w:val="0"/>
        <w:kinsoku/>
        <w:topLinePunct/>
        <w:autoSpaceDE/>
        <w:autoSpaceDN/>
        <w:spacing w:line="420" w:lineRule="auto"/>
        <w:ind w:firstLine="422" w:firstLineChars="200"/>
        <w:rPr>
          <w:rFonts w:cs="仿宋" w:asciiTheme="minorEastAsia" w:hAnsiTheme="minorEastAsia" w:eastAsiaTheme="minorEastAsia"/>
          <w:b/>
          <w:color w:val="auto"/>
          <w:highlight w:val="none"/>
        </w:rPr>
      </w:pPr>
      <w:r>
        <w:rPr>
          <w:rFonts w:hint="eastAsia" w:cs="仿宋" w:asciiTheme="minorEastAsia" w:hAnsiTheme="minorEastAsia" w:eastAsiaTheme="minorEastAsia"/>
          <w:b/>
          <w:color w:val="auto"/>
          <w:highlight w:val="none"/>
        </w:rPr>
        <w:t>六、合同文件构成</w:t>
      </w:r>
    </w:p>
    <w:p w14:paraId="11D0914F">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本协议书与下列文件一起构成合同文件：</w:t>
      </w:r>
    </w:p>
    <w:p w14:paraId="19FB386E">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（1）中标通知书（如果有）；</w:t>
      </w:r>
    </w:p>
    <w:p w14:paraId="2001689F">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（2）投标函及其附录（如果有）；</w:t>
      </w:r>
    </w:p>
    <w:p w14:paraId="0AFE7AE5">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（3）专用合同条款及其附件；</w:t>
      </w:r>
    </w:p>
    <w:p w14:paraId="094BB619">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（4）通用合同条款；</w:t>
      </w:r>
    </w:p>
    <w:p w14:paraId="41FB8C01">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（5）技术标准和要求；</w:t>
      </w:r>
    </w:p>
    <w:p w14:paraId="48673C90">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（6）图纸（如果有）；</w:t>
      </w:r>
    </w:p>
    <w:p w14:paraId="4BEFE1EC">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（7）已标价工程量清单或预算书；</w:t>
      </w:r>
    </w:p>
    <w:p w14:paraId="6D8EB990">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（8）其他合同文件。</w:t>
      </w:r>
    </w:p>
    <w:p w14:paraId="6026A1B6">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在合同订立及履行过程中形成的与合同有关的文件均构成合同文件组成部分。</w:t>
      </w:r>
    </w:p>
    <w:p w14:paraId="38CB1721">
      <w:pPr>
        <w:widowControl w:val="0"/>
        <w:kinsoku/>
        <w:topLinePunct/>
        <w:autoSpaceDE/>
        <w:autoSpaceDN/>
        <w:spacing w:line="420" w:lineRule="auto"/>
        <w:ind w:firstLine="420" w:firstLineChars="200"/>
        <w:rPr>
          <w:rFonts w:cs="Times New Roman"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上述各项合同文件包括合同当事人就该项合同文件所做出的补充和修改，属于同一类内容的文件，应以最新签署的为准。</w:t>
      </w:r>
    </w:p>
    <w:p w14:paraId="5E01FA10">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27" w:name="_Toc132755462"/>
      <w:bookmarkStart w:id="128" w:name="_Toc26929"/>
      <w:bookmarkStart w:id="129" w:name="_Toc132754803"/>
      <w:bookmarkStart w:id="130" w:name="_Toc132755251"/>
      <w:bookmarkStart w:id="131" w:name="_Toc25776"/>
      <w:r>
        <w:rPr>
          <w:rFonts w:hint="eastAsia" w:cs="仿宋" w:asciiTheme="minorEastAsia" w:hAnsiTheme="minorEastAsia" w:eastAsiaTheme="minorEastAsia"/>
          <w:b/>
          <w:color w:val="auto"/>
          <w:highlight w:val="none"/>
        </w:rPr>
        <w:t>七、承诺</w:t>
      </w:r>
      <w:bookmarkEnd w:id="127"/>
      <w:bookmarkEnd w:id="128"/>
      <w:bookmarkEnd w:id="129"/>
      <w:bookmarkEnd w:id="130"/>
      <w:bookmarkEnd w:id="131"/>
    </w:p>
    <w:p w14:paraId="2063C757">
      <w:pPr>
        <w:widowControl w:val="0"/>
        <w:kinsoku/>
        <w:topLinePunct/>
        <w:autoSpaceDE/>
        <w:autoSpaceDN/>
        <w:spacing w:line="420" w:lineRule="auto"/>
        <w:ind w:firstLine="420" w:firstLineChars="200"/>
        <w:rPr>
          <w:rFonts w:cs="Times New Roman" w:asciiTheme="minorEastAsia" w:hAnsiTheme="minorEastAsia" w:eastAsiaTheme="minorEastAsia"/>
          <w:color w:val="auto"/>
          <w:highlight w:val="none"/>
        </w:rPr>
      </w:pPr>
      <w:r>
        <w:rPr>
          <w:rFonts w:hint="eastAsia" w:asciiTheme="minorEastAsia" w:hAnsiTheme="minorEastAsia" w:eastAsiaTheme="minorEastAsia"/>
          <w:color w:val="auto"/>
          <w:highlight w:val="none"/>
        </w:rPr>
        <w:t>1、发包人承诺按照法律规定履行项目审批手续、筹集工程建设资金并按照合同约定的期限和方式支付合同价款。</w:t>
      </w:r>
    </w:p>
    <w:p w14:paraId="1B9B594F">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2、承包人承诺按照法律规定及合同约定组织完成工程施工，确保工程进度、质量和安全，包括依法维护施工周边环境和秩序，</w:t>
      </w:r>
      <w:r>
        <w:rPr>
          <w:rFonts w:hint="eastAsia" w:cs="仿宋" w:asciiTheme="minorEastAsia" w:hAnsiTheme="minorEastAsia" w:eastAsiaTheme="minorEastAsia"/>
          <w:color w:val="auto"/>
          <w:highlight w:val="none"/>
        </w:rPr>
        <w:t>禁止转包及分包</w:t>
      </w:r>
      <w:r>
        <w:rPr>
          <w:rFonts w:hint="eastAsia" w:asciiTheme="minorEastAsia" w:hAnsiTheme="minorEastAsia" w:eastAsiaTheme="minorEastAsia"/>
          <w:color w:val="auto"/>
          <w:highlight w:val="none"/>
        </w:rPr>
        <w:t>，并在缺陷责任期及保修期内承担相应的工程维修责任。</w:t>
      </w:r>
    </w:p>
    <w:p w14:paraId="1299EE88">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3、承包人承诺，按照法律规定及合同约定在接到发包人通知一般事件后</w:t>
      </w:r>
      <w:r>
        <w:rPr>
          <w:rFonts w:hint="eastAsia" w:cs="仿宋" w:asciiTheme="minorEastAsia" w:hAnsiTheme="minorEastAsia" w:eastAsiaTheme="minorEastAsia"/>
          <w:color w:val="auto"/>
          <w:highlight w:val="none"/>
          <w:u w:val="single"/>
        </w:rPr>
        <w:t xml:space="preserve"> 2 </w:t>
      </w:r>
      <w:r>
        <w:rPr>
          <w:rFonts w:hint="eastAsia" w:cs="仿宋" w:asciiTheme="minorEastAsia" w:hAnsiTheme="minorEastAsia" w:eastAsiaTheme="minorEastAsia"/>
          <w:color w:val="auto"/>
          <w:highlight w:val="none"/>
        </w:rPr>
        <w:t>小时内响应，紧急（特殊）事件</w:t>
      </w:r>
      <w:r>
        <w:rPr>
          <w:rFonts w:hint="eastAsia" w:cs="仿宋" w:asciiTheme="minorEastAsia" w:hAnsiTheme="minorEastAsia" w:eastAsiaTheme="minorEastAsia"/>
          <w:color w:val="auto"/>
          <w:highlight w:val="none"/>
          <w:u w:val="single"/>
        </w:rPr>
        <w:t xml:space="preserve"> 1 </w:t>
      </w:r>
      <w:r>
        <w:rPr>
          <w:rFonts w:hint="eastAsia" w:cs="仿宋" w:asciiTheme="minorEastAsia" w:hAnsiTheme="minorEastAsia" w:eastAsiaTheme="minorEastAsia"/>
          <w:color w:val="auto"/>
          <w:highlight w:val="none"/>
        </w:rPr>
        <w:t>小时内响应，完成时间根据采购人规定时间内完成。</w:t>
      </w:r>
    </w:p>
    <w:p w14:paraId="6EA2C932">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4、在发包人指令发出</w:t>
      </w:r>
      <w:r>
        <w:rPr>
          <w:rFonts w:hint="eastAsia" w:cs="仿宋" w:asciiTheme="minorEastAsia" w:hAnsiTheme="minorEastAsia" w:eastAsiaTheme="minorEastAsia"/>
          <w:color w:val="auto"/>
          <w:highlight w:val="none"/>
          <w:u w:val="single"/>
        </w:rPr>
        <w:t xml:space="preserve"> 1 </w:t>
      </w:r>
      <w:r>
        <w:rPr>
          <w:rFonts w:hint="eastAsia" w:cs="仿宋" w:asciiTheme="minorEastAsia" w:hAnsiTheme="minorEastAsia" w:eastAsiaTheme="minorEastAsia"/>
          <w:color w:val="auto"/>
          <w:highlight w:val="none"/>
        </w:rPr>
        <w:t>小时内，发生无法联系到承包人、承包人无法组织施工、</w:t>
      </w:r>
      <w:r>
        <w:rPr>
          <w:rFonts w:hint="eastAsia" w:cs="仿宋" w:asciiTheme="minorEastAsia" w:hAnsiTheme="minorEastAsia" w:eastAsiaTheme="minorEastAsia"/>
          <w:color w:val="auto"/>
          <w:highlight w:val="none"/>
          <w:u w:val="single"/>
        </w:rPr>
        <w:t xml:space="preserve"> 1 </w:t>
      </w:r>
      <w:r>
        <w:rPr>
          <w:rFonts w:hint="eastAsia" w:cs="仿宋" w:asciiTheme="minorEastAsia" w:hAnsiTheme="minorEastAsia" w:eastAsiaTheme="minorEastAsia"/>
          <w:color w:val="auto"/>
          <w:highlight w:val="none"/>
        </w:rPr>
        <w:t>小时内未到达施工现场准备等行为，及其他行为影响城市管理正常秩序的，一次警告，两次发包人将降低其指令频率，三次发包人有权解除本协议并要求承包人赔偿相应损失。</w:t>
      </w:r>
    </w:p>
    <w:p w14:paraId="66F7BC1E">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5、承包人在合同签订前须将项目常驻人员（含身份证号、联系方式、购买社保等信息）、施工设备承诺书向发包人报备并经发包人同意，且在履约过程中更换项目常驻人员须经发包人同意，承包人不能按照约定提供适合的常驻人，发包人按违约处理。</w:t>
      </w:r>
    </w:p>
    <w:p w14:paraId="1C67A197">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32" w:name="_Toc2671"/>
      <w:bookmarkStart w:id="133" w:name="_Toc132755252"/>
      <w:bookmarkStart w:id="134" w:name="_Toc132755463"/>
      <w:bookmarkStart w:id="135" w:name="_Toc132754804"/>
      <w:bookmarkStart w:id="136" w:name="_Toc6272"/>
      <w:r>
        <w:rPr>
          <w:rFonts w:hint="eastAsia" w:cs="仿宋" w:asciiTheme="minorEastAsia" w:hAnsiTheme="minorEastAsia" w:eastAsiaTheme="minorEastAsia"/>
          <w:b/>
          <w:color w:val="auto"/>
          <w:highlight w:val="none"/>
        </w:rPr>
        <w:t>八、双方的一般义务</w:t>
      </w:r>
      <w:bookmarkEnd w:id="132"/>
      <w:bookmarkEnd w:id="133"/>
      <w:bookmarkEnd w:id="134"/>
      <w:bookmarkEnd w:id="135"/>
      <w:bookmarkEnd w:id="136"/>
    </w:p>
    <w:p w14:paraId="091154F5">
      <w:pPr>
        <w:widowControl w:val="0"/>
        <w:kinsoku/>
        <w:topLinePunct/>
        <w:autoSpaceDE/>
        <w:autoSpaceDN/>
        <w:spacing w:line="420" w:lineRule="auto"/>
        <w:ind w:firstLine="422" w:firstLineChars="200"/>
        <w:outlineLvl w:val="1"/>
        <w:rPr>
          <w:rFonts w:cs="仿宋" w:asciiTheme="minorEastAsia" w:hAnsiTheme="minorEastAsia" w:eastAsiaTheme="minorEastAsia"/>
          <w:b/>
          <w:color w:val="auto"/>
          <w:highlight w:val="none"/>
        </w:rPr>
      </w:pPr>
      <w:bookmarkStart w:id="137" w:name="_Toc132754805"/>
      <w:bookmarkStart w:id="138" w:name="_Toc132755253"/>
      <w:bookmarkStart w:id="139" w:name="_Toc11134"/>
      <w:bookmarkStart w:id="140" w:name="_Toc132755464"/>
      <w:r>
        <w:rPr>
          <w:rFonts w:hint="eastAsia" w:cs="仿宋" w:asciiTheme="minorEastAsia" w:hAnsiTheme="minorEastAsia" w:eastAsiaTheme="minorEastAsia"/>
          <w:b/>
          <w:color w:val="auto"/>
          <w:highlight w:val="none"/>
        </w:rPr>
        <w:t>1、发包人的一般义务</w:t>
      </w:r>
      <w:bookmarkEnd w:id="137"/>
      <w:bookmarkEnd w:id="138"/>
      <w:bookmarkEnd w:id="139"/>
      <w:bookmarkEnd w:id="140"/>
    </w:p>
    <w:p w14:paraId="3FCEE696">
      <w:pPr>
        <w:widowControl w:val="0"/>
        <w:kinsoku/>
        <w:topLinePunct/>
        <w:autoSpaceDE/>
        <w:autoSpaceDN/>
        <w:spacing w:line="420" w:lineRule="auto"/>
        <w:ind w:firstLine="420" w:firstLineChars="200"/>
        <w:rPr>
          <w:rFonts w:cs="Times New Roman" w:asciiTheme="minorEastAsia" w:hAnsiTheme="minorEastAsia" w:eastAsiaTheme="minorEastAsia"/>
          <w:color w:val="auto"/>
          <w:highlight w:val="none"/>
        </w:rPr>
      </w:pPr>
      <w:r>
        <w:rPr>
          <w:rFonts w:hint="eastAsia" w:asciiTheme="minorEastAsia" w:hAnsiTheme="minorEastAsia" w:eastAsiaTheme="minorEastAsia"/>
          <w:color w:val="auto"/>
          <w:highlight w:val="none"/>
        </w:rPr>
        <w:t>1.1发包人应负责提供施工所需要的条件，包括：</w:t>
      </w:r>
    </w:p>
    <w:p w14:paraId="44801D77">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（1）保证向承包人提供正常施工所需要的进入施工现场的交通条件；</w:t>
      </w:r>
    </w:p>
    <w:p w14:paraId="089649A7">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（2）协调处理施工现场周围地下管线和邻近建筑物、构筑物、古树名木的保护工作，并承担相关费用；</w:t>
      </w:r>
    </w:p>
    <w:p w14:paraId="3AFCB5F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（3）按照合同条款约定应提供的其他设施和条件。</w:t>
      </w:r>
    </w:p>
    <w:p w14:paraId="50DD7C6D">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3CCF720">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按照法律规定确需在开工后方能提供的基础资料，发包人应尽其努力及时地在相应工程施工前的合理期限内提供，合理期限应以不影响承包人的正常施工为限。</w:t>
      </w:r>
    </w:p>
    <w:p w14:paraId="19E58A3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1.3发包人应按合同约定及时组织工程验收。</w:t>
      </w:r>
    </w:p>
    <w:p w14:paraId="57DC71F4">
      <w:pPr>
        <w:widowControl w:val="0"/>
        <w:kinsoku/>
        <w:topLinePunct/>
        <w:autoSpaceDE/>
        <w:autoSpaceDN/>
        <w:spacing w:line="420" w:lineRule="auto"/>
        <w:ind w:firstLine="422" w:firstLineChars="200"/>
        <w:outlineLvl w:val="1"/>
        <w:rPr>
          <w:rFonts w:cs="仿宋" w:asciiTheme="minorEastAsia" w:hAnsiTheme="minorEastAsia" w:eastAsiaTheme="minorEastAsia"/>
          <w:b/>
          <w:color w:val="auto"/>
          <w:highlight w:val="none"/>
        </w:rPr>
      </w:pPr>
      <w:bookmarkStart w:id="141" w:name="_Toc28983"/>
      <w:bookmarkStart w:id="142" w:name="_Toc132755465"/>
      <w:bookmarkStart w:id="143" w:name="_Toc132755254"/>
      <w:bookmarkStart w:id="144" w:name="_Toc132754806"/>
      <w:r>
        <w:rPr>
          <w:rFonts w:hint="eastAsia" w:cs="仿宋" w:asciiTheme="minorEastAsia" w:hAnsiTheme="minorEastAsia" w:eastAsiaTheme="minorEastAsia"/>
          <w:b/>
          <w:color w:val="auto"/>
          <w:highlight w:val="none"/>
        </w:rPr>
        <w:t>2、承包人的一般义务</w:t>
      </w:r>
      <w:bookmarkEnd w:id="141"/>
      <w:bookmarkEnd w:id="142"/>
      <w:bookmarkEnd w:id="143"/>
      <w:bookmarkEnd w:id="144"/>
    </w:p>
    <w:p w14:paraId="5EF24F7D">
      <w:pPr>
        <w:widowControl w:val="0"/>
        <w:kinsoku/>
        <w:topLinePunct/>
        <w:autoSpaceDE/>
        <w:autoSpaceDN/>
        <w:spacing w:line="420" w:lineRule="auto"/>
        <w:ind w:firstLine="420" w:firstLineChars="200"/>
        <w:rPr>
          <w:rFonts w:cs="Times New Roman" w:asciiTheme="minorEastAsia" w:hAnsiTheme="minorEastAsia" w:eastAsiaTheme="minorEastAsia"/>
          <w:color w:val="auto"/>
          <w:highlight w:val="none"/>
        </w:rPr>
      </w:pPr>
      <w:r>
        <w:rPr>
          <w:rFonts w:hint="eastAsia" w:asciiTheme="minorEastAsia" w:hAnsiTheme="minorEastAsia" w:eastAsiaTheme="minorEastAsia"/>
          <w:color w:val="auto"/>
          <w:highlight w:val="none"/>
        </w:rPr>
        <w:t>承包人在履行合同过程中应遵守法律和工程建设标准规范，并履行以下义务：</w:t>
      </w:r>
    </w:p>
    <w:p w14:paraId="4A8EAA9F">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2.1办理法律规定应由承包人办理的许可和批准，并将办理结果书面报送发包人留存；</w:t>
      </w:r>
    </w:p>
    <w:p w14:paraId="44CF077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2.2按法律规定和合同约定完成工程，并在保修期内承担保修义务；</w:t>
      </w:r>
    </w:p>
    <w:p w14:paraId="61CF87B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2.3按法律规定和合同约定采取施工安全和环境保护措施，办理工伤保险，确保工程及人员、材料、设备和设施的安全；</w:t>
      </w:r>
    </w:p>
    <w:p w14:paraId="77EDA189">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2.4定期对城市道路进行巡检，发现道路损坏及时向发包人报告，经发包人书面同意后进行维修；</w:t>
      </w:r>
    </w:p>
    <w:p w14:paraId="3D5FD6C2">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进行合同约定的各项工作时，不得侵害发包人与他人使用公用道路、水源、市政管网等公共设施的权利，避免对邻近的公共设施产生干扰。承包人占用或使用他人的施工场地，影响他人作业或生活的，应承担相应责任。临街交通要道附近施工时，做好安全防护措施；</w:t>
      </w:r>
    </w:p>
    <w:p w14:paraId="65C50AAD">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2.6采取有效的防止粉尘、降低噪声、控制有害气体和保障高温、高寒、高空作业安全等做好施工场地及其周边环境与生态的保护工作；</w:t>
      </w:r>
    </w:p>
    <w:p w14:paraId="766E820F">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2.7采取施工安全措施，确保工程及其人员、材料、设备和设施的安全，防止因工程施工造成的人身伤害和财产损失；</w:t>
      </w:r>
    </w:p>
    <w:p w14:paraId="513BFBB9">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2.8将发包人按合同约定支付的各项价款专用于合同工程，且应及时支付其雇用人员工资；</w:t>
      </w:r>
    </w:p>
    <w:p w14:paraId="61D9201C">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2.9工程过程资料立卷及归档，并按要求移交发包人；</w:t>
      </w:r>
    </w:p>
    <w:p w14:paraId="74B5BC54">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2.10在承包人负责照管期间，因承包人原因造成工程、材料、工程设备损坏的，由承包人负责修复或更换，并承担由此增加的费用和（或）延误的工期。</w:t>
      </w:r>
    </w:p>
    <w:p w14:paraId="5C67AC0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2.11对合同内分期完成的成品和半成品，在工程验收前，由承包人承担保护责任。因承包人原因造成成品或半成品损坏的，由承包人负责修复或更换，并承担由此增加的费用和（或）延误的工期。</w:t>
      </w:r>
    </w:p>
    <w:p w14:paraId="4E9443AC">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2.12应履行的其他义务。</w:t>
      </w:r>
    </w:p>
    <w:p w14:paraId="561AFF8F">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45" w:name="_Toc132755466"/>
      <w:bookmarkStart w:id="146" w:name="_Toc16289"/>
      <w:bookmarkStart w:id="147" w:name="_Toc132754807"/>
      <w:bookmarkStart w:id="148" w:name="_Toc132755255"/>
      <w:bookmarkStart w:id="149" w:name="_Toc24625"/>
      <w:r>
        <w:rPr>
          <w:rFonts w:hint="eastAsia" w:cs="仿宋" w:asciiTheme="minorEastAsia" w:hAnsiTheme="minorEastAsia" w:eastAsiaTheme="minorEastAsia"/>
          <w:b/>
          <w:color w:val="auto"/>
          <w:highlight w:val="none"/>
        </w:rPr>
        <w:t>九、履约保证</w:t>
      </w:r>
      <w:bookmarkEnd w:id="145"/>
      <w:bookmarkEnd w:id="146"/>
      <w:bookmarkEnd w:id="147"/>
      <w:bookmarkEnd w:id="148"/>
      <w:bookmarkEnd w:id="149"/>
    </w:p>
    <w:p w14:paraId="4F51018F">
      <w:pPr>
        <w:widowControl w:val="0"/>
        <w:kinsoku/>
        <w:topLinePunct/>
        <w:autoSpaceDE/>
        <w:autoSpaceDN/>
        <w:spacing w:line="420" w:lineRule="auto"/>
        <w:ind w:firstLine="420" w:firstLineChars="200"/>
        <w:rPr>
          <w:rFonts w:cs="Times New Roman" w:asciiTheme="minorEastAsia" w:hAnsiTheme="minorEastAsia" w:eastAsiaTheme="minorEastAsia"/>
          <w:color w:val="auto"/>
          <w:highlight w:val="none"/>
        </w:rPr>
      </w:pPr>
      <w:r>
        <w:rPr>
          <w:rFonts w:hint="eastAsia" w:asciiTheme="minorEastAsia" w:hAnsiTheme="minorEastAsia" w:eastAsiaTheme="minorEastAsia"/>
          <w:color w:val="auto"/>
          <w:highlight w:val="none"/>
        </w:rPr>
        <w:t>1、鉴于发包人与承包人签署了</w:t>
      </w:r>
      <w:r>
        <w:rPr>
          <w:rFonts w:hint="eastAsia" w:asciiTheme="minorEastAsia" w:hAnsiTheme="minorEastAsia" w:eastAsiaTheme="minorEastAsia"/>
          <w:color w:val="auto"/>
          <w:highlight w:val="none"/>
          <w:u w:val="single"/>
          <w:lang w:eastAsia="zh-CN"/>
        </w:rPr>
        <w:t>2024年和田市城市道路及人行道和公园等公共基础设施零星修补项目</w:t>
      </w:r>
      <w:r>
        <w:rPr>
          <w:rFonts w:hint="eastAsia" w:asciiTheme="minorEastAsia" w:hAnsiTheme="minorEastAsia" w:eastAsiaTheme="minorEastAsia"/>
          <w:color w:val="auto"/>
          <w:highlight w:val="none"/>
          <w:u w:val="single"/>
        </w:rPr>
        <w:t>承包合同</w:t>
      </w:r>
      <w:r>
        <w:rPr>
          <w:rFonts w:hint="eastAsia" w:asciiTheme="minorEastAsia" w:hAnsiTheme="minorEastAsia" w:eastAsiaTheme="minorEastAsia"/>
          <w:color w:val="auto"/>
          <w:highlight w:val="none"/>
        </w:rPr>
        <w:t>（简称“合同”），承包人在对合同条款已做明确了解的情况下，为保证其在合同及其附件中承诺的履约义务得到切实履行，愿意按本协议约定向发包人提供履约保证金。</w:t>
      </w:r>
    </w:p>
    <w:p w14:paraId="119D62E3">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2、保证金额</w:t>
      </w:r>
    </w:p>
    <w:p w14:paraId="16789A3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2.1履约保证金金额：人民币</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整（¥</w:t>
      </w:r>
      <w:r>
        <w:rPr>
          <w:rFonts w:hint="eastAsia" w:cs="Calibri"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），承包人应在合同签订之日起5个工作日内向发包人缴纳履约保证金。</w:t>
      </w:r>
    </w:p>
    <w:p w14:paraId="46E564B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2.2履约保证金支付方式：□现金、□转账、□电汇、□银行汇票、□银行保函、□其他。</w:t>
      </w:r>
    </w:p>
    <w:p w14:paraId="6AEA1ED3">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转账、电汇方式支付至发包人如下账户：</w:t>
      </w:r>
    </w:p>
    <w:p w14:paraId="575F0456">
      <w:pPr>
        <w:widowControl w:val="0"/>
        <w:kinsoku/>
        <w:topLinePunct/>
        <w:autoSpaceDE/>
        <w:autoSpaceDN/>
        <w:spacing w:line="420" w:lineRule="auto"/>
        <w:ind w:firstLine="420" w:firstLineChars="200"/>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户    名：</w:t>
      </w:r>
      <w:r>
        <w:rPr>
          <w:rFonts w:hint="eastAsia" w:asciiTheme="minorEastAsia" w:hAnsiTheme="minorEastAsia" w:eastAsiaTheme="minorEastAsia"/>
          <w:color w:val="auto"/>
          <w:highlight w:val="none"/>
          <w:u w:val="single"/>
        </w:rPr>
        <w:t>和田市城市管理局</w:t>
      </w:r>
    </w:p>
    <w:p w14:paraId="33904D96">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开户银行：</w:t>
      </w:r>
      <w:r>
        <w:rPr>
          <w:rFonts w:hint="eastAsia" w:asciiTheme="minorEastAsia" w:hAnsiTheme="minorEastAsia" w:eastAsiaTheme="minorEastAsia"/>
          <w:color w:val="auto"/>
          <w:highlight w:val="none"/>
          <w:u w:val="single"/>
        </w:rPr>
        <w:t>工商银行东方红支行</w:t>
      </w:r>
    </w:p>
    <w:p w14:paraId="60A36DF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账    号：</w:t>
      </w:r>
      <w:r>
        <w:rPr>
          <w:rFonts w:hint="eastAsia" w:asciiTheme="minorEastAsia" w:hAnsiTheme="minorEastAsia" w:eastAsiaTheme="minorEastAsia"/>
          <w:color w:val="auto"/>
          <w:highlight w:val="none"/>
          <w:u w:val="single"/>
        </w:rPr>
        <w:t>3015381209200013046</w:t>
      </w:r>
    </w:p>
    <w:p w14:paraId="0A80B291">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3、保证范围</w:t>
      </w:r>
    </w:p>
    <w:p w14:paraId="249E7E01">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3.1履约保证金的保证范围为承包人按合同及其附件的约定应履行的全部义务。</w:t>
      </w:r>
    </w:p>
    <w:p w14:paraId="30BEDEBD">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3.2承包人将积极履行合同项下的全部义务，若承包人的履约保证金被扣除，承包人应在扣除之日起30日内予以补足。</w:t>
      </w:r>
    </w:p>
    <w:p w14:paraId="74D20B0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4、保证时间</w:t>
      </w:r>
    </w:p>
    <w:p w14:paraId="5CD50AA6">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保证期自本协议生效之日起至履约保证金退回之日止。</w:t>
      </w:r>
    </w:p>
    <w:p w14:paraId="57CF4F0C">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5、履约保证金的退回</w:t>
      </w:r>
    </w:p>
    <w:p w14:paraId="46F70A40">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5.1承包人如约履行合同的，发包人在支付最后一笔款项时无息退回履约保证金。</w:t>
      </w:r>
    </w:p>
    <w:p w14:paraId="3085046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5.2如承包人违反主合同及其附件约定的任何义务，发包人有权在履约保证金中直接扣除承包人应向发包人支付的违约金或损失赔偿额，如有不足的，由承包人另行承担赔偿责任。</w:t>
      </w:r>
    </w:p>
    <w:p w14:paraId="2993A2A0">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50" w:name="_Toc3169"/>
      <w:bookmarkStart w:id="151" w:name="_Toc132755467"/>
      <w:bookmarkStart w:id="152" w:name="_Toc132755256"/>
      <w:bookmarkStart w:id="153" w:name="_Toc132754808"/>
      <w:bookmarkStart w:id="154" w:name="_Toc25232"/>
      <w:r>
        <w:rPr>
          <w:rFonts w:hint="eastAsia" w:cs="仿宋" w:asciiTheme="minorEastAsia" w:hAnsiTheme="minorEastAsia" w:eastAsiaTheme="minorEastAsia"/>
          <w:b/>
          <w:color w:val="auto"/>
          <w:highlight w:val="none"/>
        </w:rPr>
        <w:t>十、质量要求</w:t>
      </w:r>
      <w:bookmarkEnd w:id="150"/>
      <w:bookmarkEnd w:id="151"/>
      <w:bookmarkEnd w:id="152"/>
      <w:bookmarkEnd w:id="153"/>
      <w:bookmarkEnd w:id="154"/>
    </w:p>
    <w:p w14:paraId="2EFFB0F2">
      <w:pPr>
        <w:widowControl w:val="0"/>
        <w:kinsoku/>
        <w:topLinePunct/>
        <w:autoSpaceDE/>
        <w:autoSpaceDN/>
        <w:spacing w:line="420" w:lineRule="auto"/>
        <w:ind w:firstLine="420" w:firstLineChars="200"/>
        <w:rPr>
          <w:rFonts w:cs="Times New Roman" w:asciiTheme="minorEastAsia" w:hAnsiTheme="minorEastAsia" w:eastAsiaTheme="minorEastAsia"/>
          <w:color w:val="auto"/>
          <w:highlight w:val="none"/>
        </w:rPr>
      </w:pPr>
      <w:r>
        <w:rPr>
          <w:rFonts w:hint="eastAsia" w:asciiTheme="minorEastAsia" w:hAnsiTheme="minorEastAsia" w:eastAsiaTheme="minorEastAsia"/>
          <w:color w:val="auto"/>
          <w:highlight w:val="none"/>
        </w:rPr>
        <w:t>（1）工程质量标准必须符合现行国家有关工程施工质量验收规范和标准的要求。</w:t>
      </w:r>
    </w:p>
    <w:p w14:paraId="32322FC4">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（2）因发包人原因造成工程质量未达到合同约定标准的，由发包人承担由此增加的费用和（或）延误的工期。</w:t>
      </w:r>
    </w:p>
    <w:p w14:paraId="76BFB5CF">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（3）因承包人原因造成工程质量未达到合同约定标准的，发包人有权要求承包人返工直至工程质量达到合同约定的标准为止，并由承包人承担由此增加的费用和（或）延误的工期。</w:t>
      </w:r>
    </w:p>
    <w:p w14:paraId="5269E5BB">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55" w:name="_Toc132754809"/>
      <w:bookmarkStart w:id="156" w:name="_Toc132755468"/>
      <w:bookmarkStart w:id="157" w:name="_Toc18540"/>
      <w:bookmarkStart w:id="158" w:name="_Toc132755257"/>
      <w:bookmarkStart w:id="159" w:name="_Toc14366"/>
      <w:r>
        <w:rPr>
          <w:rFonts w:hint="eastAsia" w:cs="仿宋" w:asciiTheme="minorEastAsia" w:hAnsiTheme="minorEastAsia" w:eastAsiaTheme="minorEastAsia"/>
          <w:b/>
          <w:color w:val="auto"/>
          <w:highlight w:val="none"/>
        </w:rPr>
        <w:t>十一、缺陷责任与保修</w:t>
      </w:r>
      <w:bookmarkEnd w:id="155"/>
      <w:bookmarkEnd w:id="156"/>
      <w:bookmarkEnd w:id="157"/>
      <w:bookmarkEnd w:id="158"/>
      <w:bookmarkEnd w:id="159"/>
    </w:p>
    <w:p w14:paraId="408F59B6">
      <w:pPr>
        <w:widowControl w:val="0"/>
        <w:kinsoku/>
        <w:topLinePunct/>
        <w:autoSpaceDE/>
        <w:autoSpaceDN/>
        <w:spacing w:line="420" w:lineRule="auto"/>
        <w:ind w:firstLine="422" w:firstLineChars="200"/>
        <w:outlineLvl w:val="1"/>
        <w:rPr>
          <w:rFonts w:cs="Times New Roman" w:asciiTheme="minorEastAsia" w:hAnsiTheme="minorEastAsia" w:eastAsiaTheme="minorEastAsia"/>
          <w:b/>
          <w:color w:val="auto"/>
          <w:highlight w:val="none"/>
        </w:rPr>
      </w:pPr>
      <w:bookmarkStart w:id="160" w:name="_Toc132754810"/>
      <w:bookmarkStart w:id="161" w:name="_Toc132755258"/>
      <w:bookmarkStart w:id="162" w:name="_Toc132755469"/>
      <w:bookmarkStart w:id="163" w:name="_Toc32586"/>
      <w:r>
        <w:rPr>
          <w:rFonts w:hint="eastAsia" w:asciiTheme="minorEastAsia" w:hAnsiTheme="minorEastAsia" w:eastAsiaTheme="minorEastAsia"/>
          <w:b/>
          <w:color w:val="auto"/>
          <w:highlight w:val="none"/>
        </w:rPr>
        <w:t>1、工程保修的原则</w:t>
      </w:r>
      <w:bookmarkEnd w:id="160"/>
      <w:bookmarkEnd w:id="161"/>
      <w:bookmarkEnd w:id="162"/>
      <w:bookmarkEnd w:id="163"/>
    </w:p>
    <w:p w14:paraId="57D0AB11">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在工程移交发包人后，因承包人原因产生的质量缺陷，承包人应承担质量缺陷责任和保修义务。缺陷责任期届满，承包人仍应按合同约定的工程各部位保修年限承担保修义务。</w:t>
      </w:r>
    </w:p>
    <w:p w14:paraId="4872ECF1">
      <w:pPr>
        <w:widowControl w:val="0"/>
        <w:kinsoku/>
        <w:topLinePunct/>
        <w:autoSpaceDE/>
        <w:autoSpaceDN/>
        <w:spacing w:line="420" w:lineRule="auto"/>
        <w:ind w:firstLine="422" w:firstLineChars="200"/>
        <w:outlineLvl w:val="1"/>
        <w:rPr>
          <w:rFonts w:asciiTheme="minorEastAsia" w:hAnsiTheme="minorEastAsia" w:eastAsiaTheme="minorEastAsia"/>
          <w:b/>
          <w:color w:val="auto"/>
          <w:highlight w:val="none"/>
        </w:rPr>
      </w:pPr>
      <w:bookmarkStart w:id="164" w:name="_Toc132754811"/>
      <w:bookmarkStart w:id="165" w:name="_Toc132755259"/>
      <w:bookmarkStart w:id="166" w:name="_Toc132755470"/>
      <w:bookmarkStart w:id="167" w:name="_Toc25614"/>
      <w:r>
        <w:rPr>
          <w:rFonts w:hint="eastAsia" w:asciiTheme="minorEastAsia" w:hAnsiTheme="minorEastAsia" w:eastAsiaTheme="minorEastAsia"/>
          <w:b/>
          <w:color w:val="auto"/>
          <w:highlight w:val="none"/>
        </w:rPr>
        <w:t>2、缺陷责任期</w:t>
      </w:r>
      <w:bookmarkEnd w:id="164"/>
      <w:bookmarkEnd w:id="165"/>
      <w:bookmarkEnd w:id="166"/>
      <w:bookmarkEnd w:id="167"/>
    </w:p>
    <w:p w14:paraId="1CC95EE0">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缺陷责任期自实际竣工日期起计算。</w:t>
      </w:r>
    </w:p>
    <w:p w14:paraId="56A0A048">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工程先于全部工程进行验收，经验收合格并交付使用的，该单位工程缺陷责任期自单位工程验收合格之日起算。因发包人原因导致工程无法按合同约定期限进行验收的，缺陷责任期自承包人提交验收申请报告之日起开始计算；发包人未经验收擅自使用工程的，缺陷责任期自工程转移占有之日起开始计算。</w:t>
      </w:r>
    </w:p>
    <w:p w14:paraId="0A3E41A0">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程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14:paraId="0B4E032B">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任何一项缺陷或损坏修复后，经检查证明其影响了工程或工程设备的使用性能，承包人应重新进行合同约定的试验和试运行，试验和试运行的全部费用应由责任方承担。</w:t>
      </w:r>
    </w:p>
    <w:p w14:paraId="615E1A73">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607AA3A">
      <w:pPr>
        <w:widowControl w:val="0"/>
        <w:kinsoku/>
        <w:topLinePunct/>
        <w:autoSpaceDE/>
        <w:autoSpaceDN/>
        <w:spacing w:line="420" w:lineRule="auto"/>
        <w:ind w:firstLine="422" w:firstLineChars="200"/>
        <w:outlineLvl w:val="1"/>
        <w:rPr>
          <w:rFonts w:asciiTheme="minorEastAsia" w:hAnsiTheme="minorEastAsia" w:eastAsiaTheme="minorEastAsia"/>
          <w:b/>
          <w:color w:val="auto"/>
          <w:highlight w:val="none"/>
        </w:rPr>
      </w:pPr>
      <w:bookmarkStart w:id="168" w:name="_Toc132755472"/>
      <w:bookmarkStart w:id="169" w:name="_Toc132754813"/>
      <w:bookmarkStart w:id="170" w:name="_Toc4507"/>
      <w:bookmarkStart w:id="171" w:name="_Toc132755261"/>
      <w:r>
        <w:rPr>
          <w:rFonts w:hint="eastAsia" w:asciiTheme="minorEastAsia" w:hAnsiTheme="minorEastAsia" w:eastAsiaTheme="minorEastAsia"/>
          <w:b/>
          <w:color w:val="auto"/>
          <w:highlight w:val="none"/>
          <w:lang w:val="en-US" w:eastAsia="zh-CN"/>
        </w:rPr>
        <w:t>3</w:t>
      </w:r>
      <w:r>
        <w:rPr>
          <w:rFonts w:hint="eastAsia" w:asciiTheme="minorEastAsia" w:hAnsiTheme="minorEastAsia" w:eastAsiaTheme="minorEastAsia"/>
          <w:b/>
          <w:color w:val="auto"/>
          <w:highlight w:val="none"/>
        </w:rPr>
        <w:t>、保修</w:t>
      </w:r>
      <w:bookmarkEnd w:id="168"/>
      <w:bookmarkEnd w:id="169"/>
      <w:bookmarkEnd w:id="170"/>
      <w:bookmarkEnd w:id="171"/>
    </w:p>
    <w:p w14:paraId="42D121DB">
      <w:pPr>
        <w:widowControl w:val="0"/>
        <w:kinsoku/>
        <w:topLinePunct/>
        <w:autoSpaceDE/>
        <w:autoSpaceDN/>
        <w:spacing w:line="420" w:lineRule="auto"/>
        <w:ind w:firstLine="420" w:firstLineChars="200"/>
        <w:outlineLvl w:val="2"/>
        <w:rPr>
          <w:rFonts w:asciiTheme="minorEastAsia" w:hAnsiTheme="minorEastAsia" w:eastAsiaTheme="minorEastAsia"/>
          <w:color w:val="auto"/>
          <w:highlight w:val="none"/>
        </w:rPr>
      </w:pPr>
      <w:bookmarkStart w:id="172" w:name="_Toc132755262"/>
      <w:bookmarkStart w:id="173" w:name="_Toc132754814"/>
      <w:bookmarkStart w:id="174" w:name="_Toc132755473"/>
      <w:bookmarkStart w:id="175" w:name="_Toc19866"/>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.1保修责任</w:t>
      </w:r>
      <w:bookmarkEnd w:id="172"/>
      <w:bookmarkEnd w:id="173"/>
      <w:bookmarkEnd w:id="174"/>
      <w:bookmarkEnd w:id="175"/>
    </w:p>
    <w:p w14:paraId="70BC1969">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本项目路面结构的保修期限为</w:t>
      </w:r>
      <w:r>
        <w:rPr>
          <w:rFonts w:hint="eastAsia" w:asciiTheme="minorEastAsia" w:hAnsiTheme="minorEastAsia" w:eastAsiaTheme="minorEastAsia"/>
          <w:color w:val="auto"/>
          <w:highlight w:val="none"/>
          <w:u w:val="single"/>
        </w:rPr>
        <w:t>设计文件的合理使用年限</w:t>
      </w:r>
      <w:r>
        <w:rPr>
          <w:rFonts w:hint="eastAsia" w:asciiTheme="minorEastAsia" w:hAnsiTheme="minorEastAsia" w:eastAsiaTheme="minorEastAsia"/>
          <w:color w:val="auto"/>
          <w:highlight w:val="none"/>
        </w:rPr>
        <w:t>，其他项目保修期从工程验收合格之日起算</w:t>
      </w:r>
      <w:r>
        <w:rPr>
          <w:rFonts w:hint="eastAsia" w:asciiTheme="minorEastAsia" w:hAnsiTheme="minorEastAsia" w:eastAsiaTheme="minorEastAsia"/>
          <w:color w:val="auto"/>
          <w:highlight w:val="none"/>
          <w:u w:val="single"/>
        </w:rPr>
        <w:t>12</w:t>
      </w:r>
      <w:r>
        <w:rPr>
          <w:rFonts w:hint="eastAsia" w:asciiTheme="minorEastAsia" w:hAnsiTheme="minorEastAsia" w:eastAsiaTheme="minorEastAsia"/>
          <w:color w:val="auto"/>
          <w:highlight w:val="none"/>
        </w:rPr>
        <w:t>个月。在工程保修期内，承包人应当根据有关法律规定以及合同约定承担保修责任。</w:t>
      </w:r>
    </w:p>
    <w:p w14:paraId="5328ED11">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发包人未经验收擅自使用工程的，保修期自转移占有之日起算。</w:t>
      </w:r>
    </w:p>
    <w:p w14:paraId="410A6C5A">
      <w:pPr>
        <w:widowControl w:val="0"/>
        <w:kinsoku/>
        <w:topLinePunct/>
        <w:autoSpaceDE/>
        <w:autoSpaceDN/>
        <w:spacing w:line="420" w:lineRule="auto"/>
        <w:ind w:firstLine="420" w:firstLineChars="200"/>
        <w:outlineLvl w:val="2"/>
        <w:rPr>
          <w:rFonts w:asciiTheme="minorEastAsia" w:hAnsiTheme="minorEastAsia" w:eastAsiaTheme="minorEastAsia"/>
          <w:color w:val="auto"/>
          <w:highlight w:val="none"/>
        </w:rPr>
      </w:pPr>
      <w:bookmarkStart w:id="176" w:name="_Toc132755474"/>
      <w:bookmarkStart w:id="177" w:name="_Toc132755263"/>
      <w:bookmarkStart w:id="178" w:name="_Toc132754815"/>
      <w:bookmarkStart w:id="179" w:name="_Toc792"/>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.2修复费用</w:t>
      </w:r>
      <w:bookmarkEnd w:id="176"/>
      <w:bookmarkEnd w:id="177"/>
      <w:bookmarkEnd w:id="178"/>
      <w:bookmarkEnd w:id="179"/>
    </w:p>
    <w:p w14:paraId="446624D9">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保修期内，修复的费用按照以下约定处理：</w:t>
      </w:r>
    </w:p>
    <w:p w14:paraId="62CA8831">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（1）保修期内，因承包人原因造成工程的缺陷、损坏，承包人应负责修复，并承担修复的费用以及因工程的缺陷、损坏造成的人身伤害和财产损失；</w:t>
      </w:r>
    </w:p>
    <w:p w14:paraId="3E4648F0">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（2）保修期内，因发包人使用不当造成工程的缺陷、损坏，可以委托承包人修复，但发包人应承担修复的费用；</w:t>
      </w:r>
    </w:p>
    <w:p w14:paraId="2EB13E4D">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（3）因其他原因造成工程的缺陷、损坏，可以委托承包人修复，发包人应承担修复的费用；因工程的缺陷、损坏造成的人身伤害和财产损失由责任方承担。</w:t>
      </w:r>
    </w:p>
    <w:p w14:paraId="4A69F9FB">
      <w:pPr>
        <w:widowControl w:val="0"/>
        <w:kinsoku/>
        <w:topLinePunct/>
        <w:autoSpaceDE/>
        <w:autoSpaceDN/>
        <w:spacing w:line="420" w:lineRule="auto"/>
        <w:ind w:firstLine="420" w:firstLineChars="200"/>
        <w:outlineLvl w:val="2"/>
        <w:rPr>
          <w:rFonts w:asciiTheme="minorEastAsia" w:hAnsiTheme="minorEastAsia" w:eastAsiaTheme="minorEastAsia"/>
          <w:color w:val="auto"/>
          <w:highlight w:val="none"/>
        </w:rPr>
      </w:pPr>
      <w:bookmarkStart w:id="180" w:name="_Toc132755475"/>
      <w:bookmarkStart w:id="181" w:name="_Toc16350"/>
      <w:bookmarkStart w:id="182" w:name="_Toc132754816"/>
      <w:bookmarkStart w:id="183" w:name="_Toc132755264"/>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.3修复通知</w:t>
      </w:r>
      <w:bookmarkEnd w:id="180"/>
      <w:bookmarkEnd w:id="181"/>
      <w:bookmarkEnd w:id="182"/>
      <w:bookmarkEnd w:id="183"/>
    </w:p>
    <w:p w14:paraId="7A602CD5">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保修期内，发包人在使用过程中，发现已接收的工程存在缺陷或损坏的，应书面通知承包人予以修复，但情况紧急必须立即修复缺陷或损坏的，承包人应在接到发包人通知24小时内到达工程现场并修复缺陷或损坏。</w:t>
      </w:r>
    </w:p>
    <w:p w14:paraId="68463DE8">
      <w:pPr>
        <w:widowControl w:val="0"/>
        <w:kinsoku/>
        <w:topLinePunct/>
        <w:autoSpaceDE/>
        <w:autoSpaceDN/>
        <w:spacing w:line="420" w:lineRule="auto"/>
        <w:ind w:firstLine="420" w:firstLineChars="200"/>
        <w:outlineLvl w:val="2"/>
        <w:rPr>
          <w:rFonts w:asciiTheme="minorEastAsia" w:hAnsiTheme="minorEastAsia" w:eastAsiaTheme="minorEastAsia"/>
          <w:color w:val="auto"/>
          <w:highlight w:val="none"/>
        </w:rPr>
      </w:pPr>
      <w:bookmarkStart w:id="184" w:name="_Toc25788"/>
      <w:bookmarkStart w:id="185" w:name="_Toc132755265"/>
      <w:bookmarkStart w:id="186" w:name="_Toc132754817"/>
      <w:bookmarkStart w:id="187" w:name="_Toc132755476"/>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.4未能修复</w:t>
      </w:r>
      <w:bookmarkEnd w:id="184"/>
      <w:bookmarkEnd w:id="185"/>
      <w:bookmarkEnd w:id="186"/>
      <w:bookmarkEnd w:id="187"/>
    </w:p>
    <w:p w14:paraId="14CB5C9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4C247C8">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188" w:name="_Toc19394"/>
      <w:bookmarkStart w:id="189" w:name="_Toc132755266"/>
      <w:bookmarkStart w:id="190" w:name="_Toc132754818"/>
      <w:bookmarkStart w:id="191" w:name="_Toc14832"/>
      <w:bookmarkStart w:id="192" w:name="_Toc132755477"/>
      <w:r>
        <w:rPr>
          <w:rFonts w:hint="eastAsia" w:cs="仿宋" w:asciiTheme="minorEastAsia" w:hAnsiTheme="minorEastAsia" w:eastAsiaTheme="minorEastAsia"/>
          <w:b/>
          <w:color w:val="auto"/>
          <w:highlight w:val="none"/>
        </w:rPr>
        <w:t>十二、违约</w:t>
      </w:r>
      <w:bookmarkEnd w:id="188"/>
      <w:bookmarkEnd w:id="189"/>
      <w:bookmarkEnd w:id="190"/>
      <w:bookmarkEnd w:id="191"/>
      <w:bookmarkEnd w:id="192"/>
    </w:p>
    <w:p w14:paraId="34F63D89">
      <w:pPr>
        <w:widowControl w:val="0"/>
        <w:kinsoku/>
        <w:topLinePunct/>
        <w:autoSpaceDE/>
        <w:autoSpaceDN/>
        <w:spacing w:line="420" w:lineRule="auto"/>
        <w:ind w:firstLine="422" w:firstLineChars="200"/>
        <w:outlineLvl w:val="1"/>
        <w:rPr>
          <w:rFonts w:cs="Times New Roman" w:asciiTheme="minorEastAsia" w:hAnsiTheme="minorEastAsia" w:eastAsiaTheme="minorEastAsia"/>
          <w:b/>
          <w:color w:val="auto"/>
          <w:highlight w:val="none"/>
        </w:rPr>
      </w:pPr>
      <w:bookmarkStart w:id="193" w:name="_Toc132754819"/>
      <w:bookmarkStart w:id="194" w:name="_Toc132755478"/>
      <w:bookmarkStart w:id="195" w:name="_Toc8255"/>
      <w:bookmarkStart w:id="196" w:name="_Toc132755267"/>
      <w:r>
        <w:rPr>
          <w:rFonts w:hint="eastAsia" w:asciiTheme="minorEastAsia" w:hAnsiTheme="minorEastAsia" w:eastAsiaTheme="minorEastAsia"/>
          <w:b/>
          <w:color w:val="auto"/>
          <w:highlight w:val="none"/>
        </w:rPr>
        <w:t>1、发包人违约</w:t>
      </w:r>
      <w:bookmarkEnd w:id="193"/>
      <w:bookmarkEnd w:id="194"/>
      <w:bookmarkEnd w:id="195"/>
      <w:bookmarkEnd w:id="196"/>
    </w:p>
    <w:p w14:paraId="7CD1CDA2">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1.1发包人违约的情形</w:t>
      </w:r>
    </w:p>
    <w:p w14:paraId="27E5ECB6">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在合同履行过程中发生的下列情形，属于发包人违约：</w:t>
      </w:r>
    </w:p>
    <w:p w14:paraId="6430C7BF">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（1）因发包人原因未能按合同约定支付合同价款的；</w:t>
      </w:r>
    </w:p>
    <w:p w14:paraId="376EF73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（2）因发包人违反合同约定造成暂停施工的；</w:t>
      </w:r>
    </w:p>
    <w:p w14:paraId="285FD2A9">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（3）发包人无正当理由没有在约定期限内发出复工指示，导致承包人无法复工的；</w:t>
      </w:r>
    </w:p>
    <w:p w14:paraId="37FA2EE1">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（4）发包人明确表示或者以其行为表明不履行合同主要义务的；</w:t>
      </w:r>
    </w:p>
    <w:p w14:paraId="27910506">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1.2发包人违约的责任</w:t>
      </w:r>
    </w:p>
    <w:p w14:paraId="39C894E7">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发包人应承担因其违约给承包人增加的费用和（或）延误的工期。</w:t>
      </w:r>
    </w:p>
    <w:p w14:paraId="1DA585CA">
      <w:pPr>
        <w:widowControl w:val="0"/>
        <w:kinsoku/>
        <w:topLinePunct/>
        <w:autoSpaceDE/>
        <w:autoSpaceDN/>
        <w:spacing w:line="420" w:lineRule="auto"/>
        <w:ind w:firstLine="422" w:firstLineChars="200"/>
        <w:outlineLvl w:val="1"/>
        <w:rPr>
          <w:rFonts w:asciiTheme="minorEastAsia" w:hAnsiTheme="minorEastAsia" w:eastAsiaTheme="minorEastAsia"/>
          <w:b/>
          <w:color w:val="auto"/>
          <w:highlight w:val="none"/>
        </w:rPr>
      </w:pPr>
      <w:bookmarkStart w:id="197" w:name="_Toc9927"/>
      <w:bookmarkStart w:id="198" w:name="_Toc132754820"/>
      <w:bookmarkStart w:id="199" w:name="_Toc132755479"/>
      <w:bookmarkStart w:id="200" w:name="_Toc132755268"/>
      <w:r>
        <w:rPr>
          <w:rFonts w:hint="eastAsia" w:asciiTheme="minorEastAsia" w:hAnsiTheme="minorEastAsia" w:eastAsiaTheme="minorEastAsia"/>
          <w:b/>
          <w:color w:val="auto"/>
          <w:highlight w:val="none"/>
        </w:rPr>
        <w:t>2、承包人违约</w:t>
      </w:r>
      <w:bookmarkEnd w:id="197"/>
      <w:bookmarkEnd w:id="198"/>
      <w:bookmarkEnd w:id="199"/>
      <w:bookmarkEnd w:id="200"/>
    </w:p>
    <w:p w14:paraId="1EECFC92">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2.1承包人违约的情形</w:t>
      </w:r>
    </w:p>
    <w:p w14:paraId="29AA213B">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在合同履行过程中发生的下列情形，属于承包人违约：</w:t>
      </w:r>
    </w:p>
    <w:p w14:paraId="244C8665">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（1）承包人违反合同约定进行转包或违法分包的；</w:t>
      </w:r>
    </w:p>
    <w:p w14:paraId="6A20E9DB">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（2）承包人未按本合同约定，给城市管理秩序造成影响，或造成第三方损害的，除承担违约责任外，还应当承担给第三方造成的损失。</w:t>
      </w:r>
    </w:p>
    <w:p w14:paraId="1D8C809F">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（3）承包人违反合同约定采购和使用不合格的材料和工程设备的；</w:t>
      </w:r>
    </w:p>
    <w:p w14:paraId="41CE3F2D">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（4）因承包人原因导致工程质量不符合合同要求的；</w:t>
      </w:r>
    </w:p>
    <w:p w14:paraId="4D1130B1">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（5）承包人未能按施工进度计划及时完成合同约定的工作，造成工期延误的；</w:t>
      </w:r>
    </w:p>
    <w:p w14:paraId="564D48B4">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（6）承包人在缺陷责任期及保修期内，未能在合理期限对工程缺陷进行修复，或拒绝按发包人要求进行修复的；</w:t>
      </w:r>
    </w:p>
    <w:p w14:paraId="2760334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（7）承包人明确表示或者以其行为表明不履行合同主要义务的；</w:t>
      </w:r>
    </w:p>
    <w:p w14:paraId="559BF523">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（8）承包人未能按照合同约定履行其他义务的。</w:t>
      </w:r>
    </w:p>
    <w:p w14:paraId="1B855E8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2.2承包人违约的责任</w:t>
      </w:r>
    </w:p>
    <w:p w14:paraId="48A10653">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（1）承包人应承担因其违约行为而增加的费用和（或）延误的工期。</w:t>
      </w:r>
    </w:p>
    <w:p w14:paraId="2F509914">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u w:val="single"/>
        </w:rPr>
        <w:t>承包人违约累计三次，发包人有权解除本合同，且有权上报主管部门依法处理（包括但不限于扣除履约保证金、禁止参加招投标活动、列入失信名单等）</w:t>
      </w:r>
      <w:r>
        <w:rPr>
          <w:rFonts w:hint="eastAsia" w:asciiTheme="minorEastAsia" w:hAnsiTheme="minorEastAsia" w:eastAsiaTheme="minorEastAsia"/>
          <w:color w:val="auto"/>
          <w:highlight w:val="none"/>
        </w:rPr>
        <w:t>。</w:t>
      </w:r>
    </w:p>
    <w:p w14:paraId="18F2A489">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（3）因承包人原因导致工期延误，每延误1日的误期赔偿金额为承包人全年已完成合同金额的</w:t>
      </w:r>
      <w:r>
        <w:rPr>
          <w:rFonts w:hint="eastAsia" w:asciiTheme="minorEastAsia" w:hAnsiTheme="minorEastAsia" w:eastAsiaTheme="minorEastAsia"/>
          <w:color w:val="auto"/>
          <w:highlight w:val="none"/>
          <w:u w:val="single"/>
        </w:rPr>
        <w:t>3</w:t>
      </w:r>
      <w:r>
        <w:rPr>
          <w:rFonts w:hint="eastAsia" w:asciiTheme="minorEastAsia" w:hAnsiTheme="minorEastAsia" w:eastAsiaTheme="minorEastAsia"/>
          <w:color w:val="auto"/>
          <w:highlight w:val="none"/>
        </w:rPr>
        <w:t>‰或</w:t>
      </w:r>
      <w:r>
        <w:rPr>
          <w:rFonts w:hint="eastAsia" w:asciiTheme="minorEastAsia" w:hAnsiTheme="minorEastAsia" w:eastAsiaTheme="minorEastAsia"/>
          <w:color w:val="auto"/>
          <w:highlight w:val="none"/>
          <w:u w:val="single"/>
        </w:rPr>
        <w:t>30000</w:t>
      </w:r>
      <w:r>
        <w:rPr>
          <w:rFonts w:hint="eastAsia" w:asciiTheme="minorEastAsia" w:hAnsiTheme="minorEastAsia" w:eastAsiaTheme="minorEastAsia"/>
          <w:color w:val="auto"/>
          <w:highlight w:val="none"/>
        </w:rPr>
        <w:t>元/日，按两者价高的执行，在履约保证金中扣除。</w:t>
      </w:r>
    </w:p>
    <w:p w14:paraId="658499B4">
      <w:pPr>
        <w:widowControl w:val="0"/>
        <w:kinsoku/>
        <w:topLinePunct/>
        <w:autoSpaceDE/>
        <w:autoSpaceDN/>
        <w:spacing w:line="420" w:lineRule="auto"/>
        <w:ind w:firstLine="422" w:firstLineChars="200"/>
        <w:outlineLvl w:val="0"/>
        <w:rPr>
          <w:rFonts w:cs="仿宋_GB2312" w:asciiTheme="minorEastAsia" w:hAnsiTheme="minorEastAsia" w:eastAsiaTheme="minorEastAsia"/>
          <w:b/>
          <w:color w:val="auto"/>
          <w:highlight w:val="none"/>
        </w:rPr>
      </w:pPr>
      <w:bookmarkStart w:id="201" w:name="_Toc9100"/>
      <w:bookmarkStart w:id="202" w:name="_Toc132755269"/>
      <w:bookmarkStart w:id="203" w:name="_Toc25892"/>
      <w:bookmarkStart w:id="204" w:name="_Toc132754821"/>
      <w:bookmarkStart w:id="205" w:name="_Toc132755480"/>
      <w:r>
        <w:rPr>
          <w:rFonts w:hint="eastAsia" w:cs="仿宋_GB2312" w:asciiTheme="minorEastAsia" w:hAnsiTheme="minorEastAsia" w:eastAsiaTheme="minorEastAsia"/>
          <w:b/>
          <w:color w:val="auto"/>
          <w:highlight w:val="none"/>
        </w:rPr>
        <w:t>十三、</w:t>
      </w:r>
      <w:r>
        <w:rPr>
          <w:rFonts w:hint="eastAsia" w:cs="仿宋" w:asciiTheme="minorEastAsia" w:hAnsiTheme="minorEastAsia" w:eastAsiaTheme="minorEastAsia"/>
          <w:b/>
          <w:color w:val="auto"/>
          <w:highlight w:val="none"/>
        </w:rPr>
        <w:t>不可抗力</w:t>
      </w:r>
      <w:bookmarkEnd w:id="201"/>
      <w:bookmarkEnd w:id="202"/>
      <w:bookmarkEnd w:id="203"/>
      <w:bookmarkEnd w:id="204"/>
      <w:bookmarkEnd w:id="205"/>
    </w:p>
    <w:p w14:paraId="5BB039AB">
      <w:pPr>
        <w:widowControl w:val="0"/>
        <w:kinsoku/>
        <w:topLinePunct/>
        <w:autoSpaceDE/>
        <w:autoSpaceDN/>
        <w:spacing w:line="420" w:lineRule="auto"/>
        <w:ind w:firstLine="422" w:firstLineChars="200"/>
        <w:outlineLvl w:val="1"/>
        <w:rPr>
          <w:rFonts w:cs="Times New Roman" w:asciiTheme="minorEastAsia" w:hAnsiTheme="minorEastAsia" w:eastAsiaTheme="minorEastAsia"/>
          <w:b/>
          <w:color w:val="auto"/>
          <w:highlight w:val="none"/>
        </w:rPr>
      </w:pPr>
      <w:bookmarkStart w:id="206" w:name="_Toc23137"/>
      <w:bookmarkStart w:id="207" w:name="_Toc132755270"/>
      <w:bookmarkStart w:id="208" w:name="_Toc132754822"/>
      <w:bookmarkStart w:id="209" w:name="_Toc132755481"/>
      <w:r>
        <w:rPr>
          <w:rFonts w:hint="eastAsia" w:asciiTheme="minorEastAsia" w:hAnsiTheme="minorEastAsia" w:eastAsiaTheme="minorEastAsia"/>
          <w:b/>
          <w:color w:val="auto"/>
          <w:highlight w:val="none"/>
        </w:rPr>
        <w:t>1、不可抗力的确认</w:t>
      </w:r>
      <w:bookmarkEnd w:id="206"/>
      <w:bookmarkEnd w:id="207"/>
      <w:bookmarkEnd w:id="208"/>
      <w:bookmarkEnd w:id="209"/>
    </w:p>
    <w:p w14:paraId="515488C5">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不可抗力是指合同当事人在签订合同时不可预见，在合同履行过程中不可避免且不能克服的自然灾害和社会性突发事件，如地震、海啸、瘟疫、骚乱、戒严、暴动、战争和合同条款中约定的其他情形。</w:t>
      </w:r>
    </w:p>
    <w:p w14:paraId="18C52966">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不可抗力发生后，发包人和承包人应收集证明不可抗力发生及不可抗力造成损失的证据，并及时认真统计所造成的损失。</w:t>
      </w:r>
    </w:p>
    <w:p w14:paraId="6F4AEA04">
      <w:pPr>
        <w:widowControl w:val="0"/>
        <w:kinsoku/>
        <w:topLinePunct/>
        <w:autoSpaceDE/>
        <w:autoSpaceDN/>
        <w:spacing w:line="420" w:lineRule="auto"/>
        <w:ind w:firstLine="422" w:firstLineChars="200"/>
        <w:outlineLvl w:val="1"/>
        <w:rPr>
          <w:rFonts w:asciiTheme="minorEastAsia" w:hAnsiTheme="minorEastAsia" w:eastAsiaTheme="minorEastAsia"/>
          <w:b/>
          <w:color w:val="auto"/>
          <w:highlight w:val="none"/>
        </w:rPr>
      </w:pPr>
      <w:bookmarkStart w:id="210" w:name="_Toc132755482"/>
      <w:bookmarkStart w:id="211" w:name="_Toc132754823"/>
      <w:bookmarkStart w:id="212" w:name="_Toc14110"/>
      <w:bookmarkStart w:id="213" w:name="_Toc132755271"/>
      <w:r>
        <w:rPr>
          <w:rFonts w:hint="eastAsia" w:asciiTheme="minorEastAsia" w:hAnsiTheme="minorEastAsia" w:eastAsiaTheme="minorEastAsia"/>
          <w:b/>
          <w:color w:val="auto"/>
          <w:highlight w:val="none"/>
        </w:rPr>
        <w:t>2、不可抗力的通知</w:t>
      </w:r>
      <w:bookmarkEnd w:id="210"/>
      <w:bookmarkEnd w:id="211"/>
      <w:bookmarkEnd w:id="212"/>
      <w:bookmarkEnd w:id="213"/>
    </w:p>
    <w:p w14:paraId="2977D034">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合同一方当事人遇到不可抗力事件，使其履行合同义务受到阻碍时，应立即通知合同另一方当事人，书面说明不可抗力和受阻碍的详细情况，并提供必要的证明。</w:t>
      </w:r>
    </w:p>
    <w:p w14:paraId="09B9F9AF">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不可抗力持续发生的，合同一方当事人应及时向合同另一方当事人提交中间报告，说明不可抗力和履行合同受阻的情况，并于不可抗力事件结束后28天内提交最终报告及有关资料。</w:t>
      </w:r>
    </w:p>
    <w:p w14:paraId="730B6493">
      <w:pPr>
        <w:widowControl w:val="0"/>
        <w:kinsoku/>
        <w:topLinePunct/>
        <w:autoSpaceDE/>
        <w:autoSpaceDN/>
        <w:spacing w:line="420" w:lineRule="auto"/>
        <w:ind w:firstLine="422" w:firstLineChars="200"/>
        <w:outlineLvl w:val="1"/>
        <w:rPr>
          <w:rFonts w:asciiTheme="minorEastAsia" w:hAnsiTheme="minorEastAsia" w:eastAsiaTheme="minorEastAsia"/>
          <w:b/>
          <w:color w:val="auto"/>
          <w:highlight w:val="none"/>
        </w:rPr>
      </w:pPr>
      <w:bookmarkStart w:id="214" w:name="_Toc132755272"/>
      <w:bookmarkStart w:id="215" w:name="_Toc17215"/>
      <w:bookmarkStart w:id="216" w:name="_Toc132755483"/>
      <w:bookmarkStart w:id="217" w:name="_Toc132754824"/>
      <w:r>
        <w:rPr>
          <w:rFonts w:hint="eastAsia" w:asciiTheme="minorEastAsia" w:hAnsiTheme="minorEastAsia" w:eastAsiaTheme="minorEastAsia"/>
          <w:b/>
          <w:color w:val="auto"/>
          <w:highlight w:val="none"/>
        </w:rPr>
        <w:t>3、不可抗力后果的承担</w:t>
      </w:r>
      <w:bookmarkEnd w:id="214"/>
      <w:bookmarkEnd w:id="215"/>
      <w:bookmarkEnd w:id="216"/>
      <w:bookmarkEnd w:id="217"/>
    </w:p>
    <w:p w14:paraId="0B8FE793">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3.1不可抗力引起的后果及造成的损失由合同当事人按照法律规定及合同约定各自承担。不可抗力发生前已完成的工程应当按照合同约定进行计量支付。</w:t>
      </w:r>
    </w:p>
    <w:p w14:paraId="1638F2C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3.2不可抗力导致的人员伤亡、财产损失、费用增加和（或）工期延误等后果，由合同当事人按以下原则承担：</w:t>
      </w:r>
    </w:p>
    <w:p w14:paraId="0A107988">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（1）永久工程、已运至施工现场的材料和工程设备的损坏，以及因工程损坏造成的第三人人员伤亡和财产损失由发包人承担；</w:t>
      </w:r>
    </w:p>
    <w:p w14:paraId="4BBE19EC">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（2）承包人施工设备的损坏由承包人承担；</w:t>
      </w:r>
    </w:p>
    <w:p w14:paraId="66EEF027">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（3）发包人和承包人承担各自人员伤亡和财产的损失；</w:t>
      </w:r>
    </w:p>
    <w:p w14:paraId="3FEBDCA5">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AC2F62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（5）因不可抗力引起或将引起工期延误，发包人要求赶工的，由此增加的赶工费用由发包人承担；</w:t>
      </w:r>
    </w:p>
    <w:p w14:paraId="07B3DBFD">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（6）承包人在停工期间按照发包人要求照管、清理和修复工程的费用由发包人承担。</w:t>
      </w:r>
    </w:p>
    <w:p w14:paraId="00CB5AE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不可抗力发生后，合同当事人均应采取措施尽量避免和减少损失的扩大，任何一方当事人没有采取有效措施导致损失扩大的，应对扩大的损失承担责任。</w:t>
      </w:r>
    </w:p>
    <w:p w14:paraId="49D769E7">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因合同一方迟延履行合同义务，在迟延履行期间遭遇不可抗力的，不免除其违约责任。</w:t>
      </w:r>
    </w:p>
    <w:p w14:paraId="5951C7FF">
      <w:pPr>
        <w:widowControl w:val="0"/>
        <w:kinsoku/>
        <w:topLinePunct/>
        <w:autoSpaceDE/>
        <w:autoSpaceDN/>
        <w:spacing w:line="420" w:lineRule="auto"/>
        <w:ind w:firstLine="422" w:firstLineChars="200"/>
        <w:outlineLvl w:val="1"/>
        <w:rPr>
          <w:rFonts w:asciiTheme="minorEastAsia" w:hAnsiTheme="minorEastAsia" w:eastAsiaTheme="minorEastAsia"/>
          <w:b/>
          <w:color w:val="auto"/>
          <w:highlight w:val="none"/>
        </w:rPr>
      </w:pPr>
      <w:bookmarkStart w:id="218" w:name="_Toc132754825"/>
      <w:bookmarkStart w:id="219" w:name="_Toc28863"/>
      <w:bookmarkStart w:id="220" w:name="_Toc132755484"/>
      <w:bookmarkStart w:id="221" w:name="_Toc132755273"/>
      <w:r>
        <w:rPr>
          <w:rFonts w:hint="eastAsia" w:asciiTheme="minorEastAsia" w:hAnsiTheme="minorEastAsia" w:eastAsiaTheme="minorEastAsia"/>
          <w:b/>
          <w:color w:val="auto"/>
          <w:highlight w:val="none"/>
        </w:rPr>
        <w:t>4、因不可抗力解除合同</w:t>
      </w:r>
      <w:bookmarkEnd w:id="218"/>
      <w:bookmarkEnd w:id="219"/>
      <w:bookmarkEnd w:id="220"/>
      <w:bookmarkEnd w:id="221"/>
    </w:p>
    <w:p w14:paraId="545962CD">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因不可抗力导致合同无法履行连续超过30天或累计超过60天的，发包人和承包人均有权解除合同。合同解除后，由双方当事人按照商定或确定发包人应支付的款项，该款项包括：</w:t>
      </w:r>
    </w:p>
    <w:p w14:paraId="780A167B">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（1）合同解除前承包人已完成工作的价款；</w:t>
      </w:r>
    </w:p>
    <w:p w14:paraId="03BC0D6B">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（2）承包人为工程订购的并已交付给承包人，或承包人有责任接受交付的材料、工程设备和其他物品的价款；</w:t>
      </w:r>
    </w:p>
    <w:p w14:paraId="6276BB62">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（3）发包人要求承包人退货或解除订货合同而产生的费用，或因不能退货或解除合同而产生的损失；</w:t>
      </w:r>
    </w:p>
    <w:p w14:paraId="6291659C">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（4）承包人撤离施工现场以及遣散承包人人员的费用；</w:t>
      </w:r>
    </w:p>
    <w:p w14:paraId="6C4E2430">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（5）按照合同约定在合同解除前应支付给承包人的其他款项；</w:t>
      </w:r>
    </w:p>
    <w:p w14:paraId="427141E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（6）扣减承包人按照合同约定应向发包人支付的款项；</w:t>
      </w:r>
    </w:p>
    <w:p w14:paraId="5535E754">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（7）双方商定或确定的其他款项。</w:t>
      </w:r>
    </w:p>
    <w:p w14:paraId="3A17FA56">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除合同条款另有约定外，合同解除后，发包人应在商定或确定上述款项后28天内完成上述款项的支付。</w:t>
      </w:r>
    </w:p>
    <w:p w14:paraId="13FF66BC">
      <w:pPr>
        <w:widowControl w:val="0"/>
        <w:kinsoku/>
        <w:topLinePunct/>
        <w:autoSpaceDE/>
        <w:autoSpaceDN/>
        <w:spacing w:line="420" w:lineRule="auto"/>
        <w:ind w:firstLine="422" w:firstLineChars="200"/>
        <w:outlineLvl w:val="0"/>
        <w:rPr>
          <w:rFonts w:cs="仿宋_GB2312" w:asciiTheme="minorEastAsia" w:hAnsiTheme="minorEastAsia" w:eastAsiaTheme="minorEastAsia"/>
          <w:b/>
          <w:color w:val="auto"/>
          <w:highlight w:val="none"/>
        </w:rPr>
      </w:pPr>
      <w:bookmarkStart w:id="222" w:name="_Toc132755485"/>
      <w:bookmarkStart w:id="223" w:name="_Toc132755274"/>
      <w:bookmarkStart w:id="224" w:name="_Toc1988"/>
      <w:bookmarkStart w:id="225" w:name="_Toc132754826"/>
      <w:bookmarkStart w:id="226" w:name="_Toc24303"/>
      <w:r>
        <w:rPr>
          <w:rFonts w:hint="eastAsia" w:cs="仿宋_GB2312" w:asciiTheme="minorEastAsia" w:hAnsiTheme="minorEastAsia" w:eastAsiaTheme="minorEastAsia"/>
          <w:b/>
          <w:color w:val="auto"/>
          <w:highlight w:val="none"/>
        </w:rPr>
        <w:t>十四、保险</w:t>
      </w:r>
      <w:bookmarkEnd w:id="222"/>
      <w:bookmarkEnd w:id="223"/>
      <w:bookmarkEnd w:id="224"/>
      <w:bookmarkEnd w:id="225"/>
      <w:bookmarkEnd w:id="226"/>
    </w:p>
    <w:p w14:paraId="74B2607B">
      <w:pPr>
        <w:widowControl w:val="0"/>
        <w:kinsoku/>
        <w:topLinePunct/>
        <w:autoSpaceDE/>
        <w:autoSpaceDN/>
        <w:spacing w:line="420" w:lineRule="auto"/>
        <w:ind w:firstLine="422" w:firstLineChars="200"/>
        <w:outlineLvl w:val="1"/>
        <w:rPr>
          <w:rFonts w:cs="Times New Roman" w:asciiTheme="minorEastAsia" w:hAnsiTheme="minorEastAsia" w:eastAsiaTheme="minorEastAsia"/>
          <w:b/>
          <w:color w:val="auto"/>
          <w:highlight w:val="none"/>
        </w:rPr>
      </w:pPr>
      <w:bookmarkStart w:id="227" w:name="_Toc132755275"/>
      <w:bookmarkStart w:id="228" w:name="_Toc25749"/>
      <w:bookmarkStart w:id="229" w:name="_Toc132755486"/>
      <w:bookmarkStart w:id="230" w:name="_Toc132754827"/>
      <w:r>
        <w:rPr>
          <w:rFonts w:hint="eastAsia" w:asciiTheme="minorEastAsia" w:hAnsiTheme="minorEastAsia" w:eastAsiaTheme="minorEastAsia"/>
          <w:b/>
          <w:color w:val="auto"/>
          <w:highlight w:val="none"/>
        </w:rPr>
        <w:t>1、工程保险</w:t>
      </w:r>
      <w:bookmarkEnd w:id="227"/>
      <w:bookmarkEnd w:id="228"/>
      <w:bookmarkEnd w:id="229"/>
      <w:bookmarkEnd w:id="230"/>
    </w:p>
    <w:p w14:paraId="0787192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发包人应投保建筑工程一切险或安装工程一切险；发包人委托承包人投保的，因投保产生的保险费和其他相关费用由发包人承担。</w:t>
      </w:r>
    </w:p>
    <w:p w14:paraId="165BEB2B">
      <w:pPr>
        <w:widowControl w:val="0"/>
        <w:kinsoku/>
        <w:topLinePunct/>
        <w:autoSpaceDE/>
        <w:autoSpaceDN/>
        <w:spacing w:line="420" w:lineRule="auto"/>
        <w:ind w:firstLine="422" w:firstLineChars="200"/>
        <w:outlineLvl w:val="1"/>
        <w:rPr>
          <w:rFonts w:asciiTheme="minorEastAsia" w:hAnsiTheme="minorEastAsia" w:eastAsiaTheme="minorEastAsia"/>
          <w:b/>
          <w:color w:val="auto"/>
          <w:highlight w:val="none"/>
        </w:rPr>
      </w:pPr>
      <w:bookmarkStart w:id="231" w:name="_Toc132755487"/>
      <w:bookmarkStart w:id="232" w:name="_Toc132755276"/>
      <w:bookmarkStart w:id="233" w:name="_Toc132754828"/>
      <w:bookmarkStart w:id="234" w:name="_Toc10036"/>
      <w:r>
        <w:rPr>
          <w:rFonts w:hint="eastAsia" w:asciiTheme="minorEastAsia" w:hAnsiTheme="minorEastAsia" w:eastAsiaTheme="minorEastAsia"/>
          <w:b/>
          <w:color w:val="auto"/>
          <w:highlight w:val="none"/>
        </w:rPr>
        <w:t>2、工伤保险</w:t>
      </w:r>
      <w:bookmarkEnd w:id="231"/>
      <w:bookmarkEnd w:id="232"/>
      <w:bookmarkEnd w:id="233"/>
      <w:bookmarkEnd w:id="234"/>
    </w:p>
    <w:p w14:paraId="6CD2465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2.1发包人应依照法律规定参加工伤保险，并为在施工现场的全部员工办理工伤保险，缴纳工伤保险费，并要求发包人为履行合同聘请的第三方依法参加工伤保险。</w:t>
      </w:r>
    </w:p>
    <w:p w14:paraId="34FE9FDB">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2.2承包人应依照法律规定参加工伤保险，并为其履行合同的全部员工办理工伤保险，缴纳工伤保险费，并要求分包人及由承包人为履行合同聘请的第三方依法参加工伤保险。</w:t>
      </w:r>
    </w:p>
    <w:p w14:paraId="04D6A7FA">
      <w:pPr>
        <w:widowControl w:val="0"/>
        <w:kinsoku/>
        <w:topLinePunct/>
        <w:autoSpaceDE/>
        <w:autoSpaceDN/>
        <w:spacing w:line="420" w:lineRule="auto"/>
        <w:ind w:firstLine="422" w:firstLineChars="200"/>
        <w:outlineLvl w:val="0"/>
        <w:rPr>
          <w:rFonts w:asciiTheme="minorEastAsia" w:hAnsiTheme="minorEastAsia" w:eastAsiaTheme="minorEastAsia"/>
          <w:b/>
          <w:color w:val="auto"/>
          <w:highlight w:val="none"/>
        </w:rPr>
      </w:pPr>
      <w:bookmarkStart w:id="235" w:name="_Toc22549"/>
      <w:bookmarkStart w:id="236" w:name="_Toc132755277"/>
      <w:bookmarkStart w:id="237" w:name="_Toc132754829"/>
      <w:bookmarkStart w:id="238" w:name="_Toc13262"/>
      <w:bookmarkStart w:id="239" w:name="_Toc132755488"/>
      <w:r>
        <w:rPr>
          <w:rFonts w:hint="eastAsia" w:asciiTheme="minorEastAsia" w:hAnsiTheme="minorEastAsia" w:eastAsiaTheme="minorEastAsia"/>
          <w:b/>
          <w:color w:val="auto"/>
          <w:highlight w:val="none"/>
        </w:rPr>
        <w:t>十五、仲裁或诉讼</w:t>
      </w:r>
      <w:bookmarkEnd w:id="235"/>
      <w:bookmarkEnd w:id="236"/>
      <w:bookmarkEnd w:id="237"/>
      <w:bookmarkEnd w:id="238"/>
      <w:bookmarkEnd w:id="239"/>
    </w:p>
    <w:p w14:paraId="1F1FD4C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因合同及合同有关事项发生的争议，按下列第</w:t>
      </w:r>
      <w:r>
        <w:rPr>
          <w:rFonts w:hint="eastAsia" w:asciiTheme="minorEastAsia" w:hAnsiTheme="minorEastAsia" w:eastAsiaTheme="minorEastAsia"/>
          <w:color w:val="auto"/>
          <w:highlight w:val="none"/>
          <w:u w:val="single"/>
        </w:rPr>
        <w:t>（2）</w:t>
      </w:r>
      <w:r>
        <w:rPr>
          <w:rFonts w:hint="eastAsia" w:asciiTheme="minorEastAsia" w:hAnsiTheme="minorEastAsia" w:eastAsiaTheme="minorEastAsia"/>
          <w:color w:val="auto"/>
          <w:highlight w:val="none"/>
        </w:rPr>
        <w:t>种方式解决：</w:t>
      </w:r>
    </w:p>
    <w:p w14:paraId="5B40F09B">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（1）向</w:t>
      </w:r>
      <w:r>
        <w:rPr>
          <w:rFonts w:hint="eastAsia" w:asciiTheme="minorEastAsia" w:hAnsiTheme="minorEastAsia" w:eastAsiaTheme="minorEastAsia"/>
          <w:color w:val="auto"/>
          <w:highlight w:val="none"/>
          <w:u w:val="single"/>
        </w:rPr>
        <w:t xml:space="preserve">  /  </w:t>
      </w:r>
      <w:r>
        <w:rPr>
          <w:rFonts w:hint="eastAsia" w:asciiTheme="minorEastAsia" w:hAnsiTheme="minorEastAsia" w:eastAsiaTheme="minorEastAsia"/>
          <w:color w:val="auto"/>
          <w:highlight w:val="none"/>
        </w:rPr>
        <w:t>仲裁委员会申请仲裁；</w:t>
      </w:r>
    </w:p>
    <w:p w14:paraId="2DE8D751">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（2）向</w:t>
      </w:r>
      <w:r>
        <w:rPr>
          <w:rFonts w:hint="eastAsia" w:asciiTheme="minorEastAsia" w:hAnsiTheme="minorEastAsia" w:eastAsiaTheme="minorEastAsia"/>
          <w:color w:val="auto"/>
          <w:highlight w:val="none"/>
          <w:u w:val="single"/>
        </w:rPr>
        <w:t xml:space="preserve">  项目所在地  </w:t>
      </w:r>
      <w:r>
        <w:rPr>
          <w:rFonts w:hint="eastAsia" w:asciiTheme="minorEastAsia" w:hAnsiTheme="minorEastAsia" w:eastAsiaTheme="minorEastAsia"/>
          <w:color w:val="auto"/>
          <w:highlight w:val="none"/>
        </w:rPr>
        <w:t>人民法院起诉。</w:t>
      </w:r>
    </w:p>
    <w:p w14:paraId="2BCB6876">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240" w:name="_Toc132754830"/>
      <w:bookmarkStart w:id="241" w:name="_Toc132755489"/>
      <w:bookmarkStart w:id="242" w:name="_Toc4362"/>
      <w:bookmarkStart w:id="243" w:name="_Toc132755278"/>
      <w:bookmarkStart w:id="244" w:name="_Toc3942"/>
      <w:r>
        <w:rPr>
          <w:rFonts w:hint="eastAsia" w:cs="仿宋" w:asciiTheme="minorEastAsia" w:hAnsiTheme="minorEastAsia" w:eastAsiaTheme="minorEastAsia"/>
          <w:b/>
          <w:color w:val="auto"/>
          <w:highlight w:val="none"/>
        </w:rPr>
        <w:t>十六、</w:t>
      </w:r>
      <w:r>
        <w:rPr>
          <w:rFonts w:hint="eastAsia" w:asciiTheme="minorEastAsia" w:hAnsiTheme="minorEastAsia" w:eastAsiaTheme="minorEastAsia"/>
          <w:b/>
          <w:color w:val="auto"/>
          <w:highlight w:val="none"/>
        </w:rPr>
        <w:t>签订</w:t>
      </w:r>
      <w:r>
        <w:rPr>
          <w:rFonts w:hint="eastAsia" w:cs="仿宋" w:asciiTheme="minorEastAsia" w:hAnsiTheme="minorEastAsia" w:eastAsiaTheme="minorEastAsia"/>
          <w:b/>
          <w:color w:val="auto"/>
          <w:highlight w:val="none"/>
        </w:rPr>
        <w:t>时间</w:t>
      </w:r>
      <w:bookmarkEnd w:id="240"/>
      <w:bookmarkEnd w:id="241"/>
      <w:bookmarkEnd w:id="242"/>
      <w:bookmarkEnd w:id="243"/>
      <w:bookmarkEnd w:id="244"/>
    </w:p>
    <w:p w14:paraId="19BBD39B">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本合同于</w:t>
      </w:r>
      <w:r>
        <w:rPr>
          <w:rFonts w:hint="eastAsia" w:cs="仿宋" w:asciiTheme="minorEastAsia" w:hAnsiTheme="minorEastAsia" w:eastAsiaTheme="minorEastAsia"/>
          <w:color w:val="auto"/>
          <w:highlight w:val="none"/>
          <w:u w:val="single"/>
        </w:rPr>
        <w:t>202</w:t>
      </w:r>
      <w:r>
        <w:rPr>
          <w:rFonts w:hint="eastAsia" w:cs="仿宋" w:asciiTheme="minorEastAsia" w:hAnsiTheme="minorEastAsia" w:eastAsiaTheme="minorEastAsia"/>
          <w:color w:val="auto"/>
          <w:highlight w:val="none"/>
          <w:u w:val="single"/>
          <w:lang w:val="en-US" w:eastAsia="zh-CN"/>
        </w:rPr>
        <w:t>4</w:t>
      </w:r>
      <w:r>
        <w:rPr>
          <w:rFonts w:hint="eastAsia" w:cs="仿宋" w:asciiTheme="minorEastAsia" w:hAnsiTheme="minorEastAsia" w:eastAsiaTheme="minorEastAsia"/>
          <w:color w:val="auto"/>
          <w:highlight w:val="none"/>
        </w:rPr>
        <w:t>年</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月</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日签订。</w:t>
      </w:r>
    </w:p>
    <w:p w14:paraId="0DD6E383">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245" w:name="_Toc132755279"/>
      <w:bookmarkStart w:id="246" w:name="_Toc132755490"/>
      <w:bookmarkStart w:id="247" w:name="_Toc132754831"/>
      <w:bookmarkStart w:id="248" w:name="_Toc12043"/>
      <w:bookmarkStart w:id="249" w:name="_Toc21242"/>
      <w:r>
        <w:rPr>
          <w:rFonts w:hint="eastAsia" w:cs="仿宋" w:asciiTheme="minorEastAsia" w:hAnsiTheme="minorEastAsia" w:eastAsiaTheme="minorEastAsia"/>
          <w:b/>
          <w:color w:val="auto"/>
          <w:highlight w:val="none"/>
        </w:rPr>
        <w:t>十七、</w:t>
      </w:r>
      <w:r>
        <w:rPr>
          <w:rFonts w:hint="eastAsia" w:asciiTheme="minorEastAsia" w:hAnsiTheme="minorEastAsia" w:eastAsiaTheme="minorEastAsia"/>
          <w:b/>
          <w:color w:val="auto"/>
          <w:highlight w:val="none"/>
        </w:rPr>
        <w:t>签订</w:t>
      </w:r>
      <w:r>
        <w:rPr>
          <w:rFonts w:hint="eastAsia" w:cs="仿宋" w:asciiTheme="minorEastAsia" w:hAnsiTheme="minorEastAsia" w:eastAsiaTheme="minorEastAsia"/>
          <w:b/>
          <w:color w:val="auto"/>
          <w:highlight w:val="none"/>
        </w:rPr>
        <w:t>地点</w:t>
      </w:r>
      <w:bookmarkEnd w:id="245"/>
      <w:bookmarkEnd w:id="246"/>
      <w:bookmarkEnd w:id="247"/>
      <w:bookmarkEnd w:id="248"/>
      <w:bookmarkEnd w:id="249"/>
    </w:p>
    <w:p w14:paraId="208019A2">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本合同在</w:t>
      </w:r>
      <w:r>
        <w:rPr>
          <w:rFonts w:hint="eastAsia" w:cs="仿宋" w:asciiTheme="minorEastAsia" w:hAnsiTheme="minorEastAsia" w:eastAsiaTheme="minorEastAsia"/>
          <w:color w:val="auto"/>
          <w:highlight w:val="none"/>
          <w:u w:val="single"/>
        </w:rPr>
        <w:t xml:space="preserve"> 和田市城市管理局 </w:t>
      </w:r>
      <w:r>
        <w:rPr>
          <w:rFonts w:hint="eastAsia" w:cs="仿宋" w:asciiTheme="minorEastAsia" w:hAnsiTheme="minorEastAsia" w:eastAsiaTheme="minorEastAsia"/>
          <w:color w:val="auto"/>
          <w:highlight w:val="none"/>
        </w:rPr>
        <w:t>签订。</w:t>
      </w:r>
    </w:p>
    <w:p w14:paraId="14CC8E88">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250" w:name="_Toc21758"/>
      <w:bookmarkStart w:id="251" w:name="_Toc30897"/>
      <w:bookmarkStart w:id="252" w:name="_Toc132755491"/>
      <w:bookmarkStart w:id="253" w:name="_Toc132754832"/>
      <w:bookmarkStart w:id="254" w:name="_Toc132755280"/>
      <w:r>
        <w:rPr>
          <w:rFonts w:hint="eastAsia" w:cs="仿宋" w:asciiTheme="minorEastAsia" w:hAnsiTheme="minorEastAsia" w:eastAsiaTheme="minorEastAsia"/>
          <w:b/>
          <w:color w:val="auto"/>
          <w:highlight w:val="none"/>
        </w:rPr>
        <w:t>十八、补充协议</w:t>
      </w:r>
      <w:bookmarkEnd w:id="250"/>
      <w:bookmarkEnd w:id="251"/>
      <w:bookmarkEnd w:id="252"/>
      <w:bookmarkEnd w:id="253"/>
      <w:bookmarkEnd w:id="254"/>
    </w:p>
    <w:p w14:paraId="50FCC4AF">
      <w:pPr>
        <w:widowControl w:val="0"/>
        <w:kinsoku/>
        <w:topLinePunct/>
        <w:autoSpaceDE/>
        <w:autoSpaceDN/>
        <w:spacing w:line="420" w:lineRule="auto"/>
        <w:ind w:firstLine="420" w:firstLineChars="200"/>
        <w:rPr>
          <w:rFonts w:cs="仿宋" w:asciiTheme="minorEastAsia" w:hAnsiTheme="minorEastAsia" w:eastAsiaTheme="minorEastAsia"/>
          <w:b/>
          <w:bCs/>
          <w:color w:val="auto"/>
          <w:highlight w:val="none"/>
        </w:rPr>
      </w:pPr>
      <w:r>
        <w:rPr>
          <w:rFonts w:hint="eastAsia" w:cs="仿宋" w:asciiTheme="minorEastAsia" w:hAnsiTheme="minorEastAsia" w:eastAsiaTheme="minorEastAsia"/>
          <w:color w:val="auto"/>
          <w:highlight w:val="none"/>
        </w:rPr>
        <w:t>合同未尽事宜，合同当事人另行签订补充协议，补充协议是合同的组成部分。</w:t>
      </w:r>
    </w:p>
    <w:p w14:paraId="1FB9BAB6">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255" w:name="_Toc4974"/>
      <w:bookmarkStart w:id="256" w:name="_Toc7081"/>
      <w:bookmarkStart w:id="257" w:name="_Toc132755281"/>
      <w:bookmarkStart w:id="258" w:name="_Toc132755492"/>
      <w:bookmarkStart w:id="259" w:name="_Toc132754833"/>
      <w:r>
        <w:rPr>
          <w:rFonts w:hint="eastAsia" w:cs="仿宋" w:asciiTheme="minorEastAsia" w:hAnsiTheme="minorEastAsia" w:eastAsiaTheme="minorEastAsia"/>
          <w:b/>
          <w:color w:val="auto"/>
          <w:highlight w:val="none"/>
        </w:rPr>
        <w:t>十九、合同生效</w:t>
      </w:r>
      <w:bookmarkEnd w:id="255"/>
      <w:bookmarkEnd w:id="256"/>
      <w:bookmarkEnd w:id="257"/>
      <w:bookmarkEnd w:id="258"/>
      <w:bookmarkEnd w:id="259"/>
    </w:p>
    <w:p w14:paraId="225E97A6">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本合同自</w:t>
      </w:r>
      <w:r>
        <w:rPr>
          <w:rFonts w:hint="eastAsia" w:cs="仿宋" w:asciiTheme="minorEastAsia" w:hAnsiTheme="minorEastAsia" w:eastAsiaTheme="minorEastAsia"/>
          <w:color w:val="auto"/>
          <w:highlight w:val="none"/>
          <w:u w:val="single"/>
        </w:rPr>
        <w:t xml:space="preserve"> 双方法定代表人签字或盖章之日起 </w:t>
      </w:r>
      <w:r>
        <w:rPr>
          <w:rFonts w:hint="eastAsia" w:cs="仿宋" w:asciiTheme="minorEastAsia" w:hAnsiTheme="minorEastAsia" w:eastAsiaTheme="minorEastAsia"/>
          <w:color w:val="auto"/>
          <w:highlight w:val="none"/>
        </w:rPr>
        <w:t>生效。</w:t>
      </w:r>
    </w:p>
    <w:p w14:paraId="6DA0ED2B">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260" w:name="_Toc132755493"/>
      <w:bookmarkStart w:id="261" w:name="_Toc12888"/>
      <w:bookmarkStart w:id="262" w:name="_Toc19065"/>
      <w:bookmarkStart w:id="263" w:name="_Toc132754834"/>
      <w:bookmarkStart w:id="264" w:name="_Toc132755282"/>
      <w:r>
        <w:rPr>
          <w:rFonts w:hint="eastAsia" w:cs="仿宋" w:asciiTheme="minorEastAsia" w:hAnsiTheme="minorEastAsia" w:eastAsiaTheme="minorEastAsia"/>
          <w:b/>
          <w:color w:val="auto"/>
          <w:highlight w:val="none"/>
        </w:rPr>
        <w:t>二十、合同份数</w:t>
      </w:r>
      <w:bookmarkEnd w:id="260"/>
      <w:bookmarkEnd w:id="261"/>
      <w:bookmarkEnd w:id="262"/>
      <w:bookmarkEnd w:id="263"/>
      <w:bookmarkEnd w:id="264"/>
    </w:p>
    <w:p w14:paraId="26AD4182">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本合同一式</w:t>
      </w:r>
      <w:r>
        <w:rPr>
          <w:rFonts w:hint="eastAsia" w:cs="仿宋" w:asciiTheme="minorEastAsia" w:hAnsiTheme="minorEastAsia" w:eastAsiaTheme="minorEastAsia"/>
          <w:color w:val="auto"/>
          <w:highlight w:val="none"/>
          <w:u w:val="single"/>
        </w:rPr>
        <w:t xml:space="preserve"> 捌 </w:t>
      </w:r>
      <w:r>
        <w:rPr>
          <w:rFonts w:hint="eastAsia" w:cs="仿宋" w:asciiTheme="minorEastAsia" w:hAnsiTheme="minorEastAsia" w:eastAsiaTheme="minorEastAsia"/>
          <w:color w:val="auto"/>
          <w:highlight w:val="none"/>
        </w:rPr>
        <w:t>份，均具有同等法律效力，发包人执</w:t>
      </w:r>
      <w:r>
        <w:rPr>
          <w:rFonts w:hint="eastAsia" w:cs="仿宋" w:asciiTheme="minorEastAsia" w:hAnsiTheme="minorEastAsia" w:eastAsiaTheme="minorEastAsia"/>
          <w:color w:val="auto"/>
          <w:highlight w:val="none"/>
          <w:u w:val="single"/>
        </w:rPr>
        <w:t xml:space="preserve"> 肆 </w:t>
      </w:r>
      <w:r>
        <w:rPr>
          <w:rFonts w:hint="eastAsia" w:cs="仿宋" w:asciiTheme="minorEastAsia" w:hAnsiTheme="minorEastAsia" w:eastAsiaTheme="minorEastAsia"/>
          <w:color w:val="auto"/>
          <w:highlight w:val="none"/>
        </w:rPr>
        <w:t>份，承包人执</w:t>
      </w:r>
      <w:r>
        <w:rPr>
          <w:rFonts w:hint="eastAsia" w:cs="仿宋" w:asciiTheme="minorEastAsia" w:hAnsiTheme="minorEastAsia" w:eastAsiaTheme="minorEastAsia"/>
          <w:color w:val="auto"/>
          <w:highlight w:val="none"/>
          <w:u w:val="single"/>
        </w:rPr>
        <w:t xml:space="preserve"> 肆 </w:t>
      </w:r>
      <w:r>
        <w:rPr>
          <w:rFonts w:hint="eastAsia" w:cs="仿宋" w:asciiTheme="minorEastAsia" w:hAnsiTheme="minorEastAsia" w:eastAsiaTheme="minorEastAsia"/>
          <w:color w:val="auto"/>
          <w:highlight w:val="none"/>
        </w:rPr>
        <w:t>份。</w:t>
      </w:r>
    </w:p>
    <w:p w14:paraId="6650644C">
      <w:pPr>
        <w:widowControl w:val="0"/>
        <w:kinsoku/>
        <w:topLinePunct/>
        <w:autoSpaceDE/>
        <w:autoSpaceDN/>
        <w:spacing w:line="420" w:lineRule="auto"/>
        <w:ind w:firstLine="422" w:firstLineChars="200"/>
        <w:outlineLvl w:val="0"/>
        <w:rPr>
          <w:rFonts w:cs="仿宋" w:asciiTheme="minorEastAsia" w:hAnsiTheme="minorEastAsia" w:eastAsiaTheme="minorEastAsia"/>
          <w:b/>
          <w:color w:val="auto"/>
          <w:highlight w:val="none"/>
        </w:rPr>
      </w:pPr>
      <w:bookmarkStart w:id="265" w:name="_Toc132755283"/>
      <w:bookmarkStart w:id="266" w:name="_Toc1206"/>
      <w:bookmarkStart w:id="267" w:name="_Toc132754835"/>
      <w:bookmarkStart w:id="268" w:name="_Toc132755494"/>
      <w:bookmarkStart w:id="269" w:name="_Toc31675"/>
      <w:r>
        <w:rPr>
          <w:rFonts w:hint="eastAsia" w:cs="仿宋" w:asciiTheme="minorEastAsia" w:hAnsiTheme="minorEastAsia" w:eastAsiaTheme="minorEastAsia"/>
          <w:b/>
          <w:color w:val="auto"/>
          <w:highlight w:val="none"/>
        </w:rPr>
        <w:t>二十一、合同附件</w:t>
      </w:r>
      <w:bookmarkEnd w:id="265"/>
      <w:bookmarkEnd w:id="266"/>
      <w:bookmarkEnd w:id="267"/>
      <w:bookmarkEnd w:id="268"/>
      <w:bookmarkEnd w:id="269"/>
    </w:p>
    <w:p w14:paraId="38ABCE77">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1、计价清单；</w:t>
      </w:r>
    </w:p>
    <w:p w14:paraId="036364FA">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asciiTheme="minorEastAsia" w:hAnsiTheme="minorEastAsia" w:eastAsiaTheme="minorEastAsia"/>
          <w:color w:val="auto"/>
          <w:highlight w:val="none"/>
        </w:rPr>
        <w:t>2、工程质量保修书。</w:t>
      </w:r>
    </w:p>
    <w:p w14:paraId="54A1872E">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p>
    <w:p w14:paraId="70A94FE2">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p>
    <w:p w14:paraId="55009315">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发包人：（公章）                承包人：（公章）</w:t>
      </w:r>
    </w:p>
    <w:p w14:paraId="3D45CDED">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法定代表人                      法定代表人</w:t>
      </w:r>
    </w:p>
    <w:p w14:paraId="65177757">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或其委托代理人（签字）：        或其委托代理人（签字）：</w:t>
      </w:r>
    </w:p>
    <w:p w14:paraId="0E3F397B">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u w:val="single"/>
        </w:rPr>
      </w:pPr>
      <w:r>
        <w:rPr>
          <w:rFonts w:hint="eastAsia" w:cs="仿宋" w:asciiTheme="minorEastAsia" w:hAnsiTheme="minorEastAsia" w:eastAsiaTheme="minorEastAsia"/>
          <w:color w:val="auto"/>
          <w:highlight w:val="none"/>
        </w:rPr>
        <w:t>统一社会编码：</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统一社会编码：</w:t>
      </w:r>
      <w:r>
        <w:rPr>
          <w:rFonts w:hint="eastAsia" w:cs="仿宋" w:asciiTheme="minorEastAsia" w:hAnsiTheme="minorEastAsia" w:eastAsiaTheme="minorEastAsia"/>
          <w:color w:val="auto"/>
          <w:highlight w:val="none"/>
          <w:u w:val="single"/>
        </w:rPr>
        <w:t xml:space="preserve">               </w:t>
      </w:r>
    </w:p>
    <w:p w14:paraId="3F1FA5E8">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u w:val="single"/>
        </w:rPr>
      </w:pPr>
      <w:r>
        <w:rPr>
          <w:rFonts w:hint="eastAsia" w:cs="仿宋" w:asciiTheme="minorEastAsia" w:hAnsiTheme="minorEastAsia" w:eastAsiaTheme="minorEastAsia"/>
          <w:color w:val="auto"/>
          <w:highlight w:val="none"/>
        </w:rPr>
        <w:t>地    址：</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地    址：</w:t>
      </w:r>
      <w:r>
        <w:rPr>
          <w:rFonts w:hint="eastAsia" w:cs="仿宋" w:asciiTheme="minorEastAsia" w:hAnsiTheme="minorEastAsia" w:eastAsiaTheme="minorEastAsia"/>
          <w:color w:val="auto"/>
          <w:highlight w:val="none"/>
          <w:u w:val="single"/>
        </w:rPr>
        <w:t xml:space="preserve">                   </w:t>
      </w:r>
    </w:p>
    <w:p w14:paraId="773FC946">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法定代表人：</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法定代表人：</w:t>
      </w:r>
      <w:r>
        <w:rPr>
          <w:rFonts w:hint="eastAsia" w:cs="仿宋" w:asciiTheme="minorEastAsia" w:hAnsiTheme="minorEastAsia" w:eastAsiaTheme="minorEastAsia"/>
          <w:color w:val="auto"/>
          <w:highlight w:val="none"/>
          <w:u w:val="single"/>
        </w:rPr>
        <w:t xml:space="preserve">                 </w:t>
      </w:r>
    </w:p>
    <w:p w14:paraId="3120D9E2">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委托代理人：</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委托代理人：</w:t>
      </w:r>
      <w:r>
        <w:rPr>
          <w:rFonts w:hint="eastAsia" w:cs="仿宋" w:asciiTheme="minorEastAsia" w:hAnsiTheme="minorEastAsia" w:eastAsiaTheme="minorEastAsia"/>
          <w:color w:val="auto"/>
          <w:highlight w:val="none"/>
          <w:u w:val="single"/>
        </w:rPr>
        <w:t xml:space="preserve">                 </w:t>
      </w:r>
    </w:p>
    <w:p w14:paraId="4A791DF8">
      <w:pPr>
        <w:pStyle w:val="9"/>
        <w:widowControl w:val="0"/>
        <w:kinsoku/>
        <w:topLinePunct/>
        <w:autoSpaceDE/>
        <w:autoSpaceDN/>
        <w:spacing w:line="420" w:lineRule="auto"/>
        <w:ind w:firstLine="420" w:firstLineChars="200"/>
        <w:rPr>
          <w:rFonts w:cs="仿宋"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电</w:t>
      </w:r>
      <w:r>
        <w:rPr>
          <w:rFonts w:hint="eastAsia" w:cs="仿宋"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话：</w:t>
      </w:r>
      <w:r>
        <w:rPr>
          <w:rFonts w:hint="eastAsia" w:cs="仿宋" w:asciiTheme="minorEastAsia" w:hAnsiTheme="minorEastAsia" w:eastAsiaTheme="minorEastAsia"/>
          <w:color w:val="auto"/>
          <w:sz w:val="21"/>
          <w:szCs w:val="21"/>
          <w:highlight w:val="none"/>
          <w:u w:val="single"/>
        </w:rPr>
        <w:t xml:space="preserve">                    </w:t>
      </w:r>
      <w:r>
        <w:rPr>
          <w:rFonts w:hint="eastAsia" w:cs="仿宋"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电</w:t>
      </w:r>
      <w:r>
        <w:rPr>
          <w:rFonts w:hint="eastAsia" w:cs="仿宋"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话：</w:t>
      </w:r>
      <w:r>
        <w:rPr>
          <w:rFonts w:hint="eastAsia" w:cs="仿宋" w:asciiTheme="minorEastAsia" w:hAnsiTheme="minorEastAsia" w:eastAsiaTheme="minorEastAsia"/>
          <w:color w:val="auto"/>
          <w:sz w:val="21"/>
          <w:szCs w:val="21"/>
          <w:highlight w:val="none"/>
          <w:u w:val="single"/>
        </w:rPr>
        <w:t xml:space="preserve">                   </w:t>
      </w:r>
    </w:p>
    <w:p w14:paraId="3622B160">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电子信箱：</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电子信箱：</w:t>
      </w:r>
      <w:r>
        <w:rPr>
          <w:rFonts w:hint="eastAsia" w:cs="仿宋" w:asciiTheme="minorEastAsia" w:hAnsiTheme="minorEastAsia" w:eastAsiaTheme="minorEastAsia"/>
          <w:color w:val="auto"/>
          <w:highlight w:val="none"/>
          <w:u w:val="single"/>
        </w:rPr>
        <w:t xml:space="preserve">                   </w:t>
      </w:r>
    </w:p>
    <w:p w14:paraId="11C4952D">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u w:val="single"/>
        </w:rPr>
      </w:pPr>
      <w:r>
        <w:rPr>
          <w:rFonts w:hint="eastAsia" w:cs="仿宋" w:asciiTheme="minorEastAsia" w:hAnsiTheme="minorEastAsia" w:eastAsiaTheme="minorEastAsia"/>
          <w:color w:val="auto"/>
          <w:highlight w:val="none"/>
        </w:rPr>
        <w:t>开户银行：</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开户银行：</w:t>
      </w:r>
      <w:r>
        <w:rPr>
          <w:rFonts w:hint="eastAsia" w:cs="仿宋" w:asciiTheme="minorEastAsia" w:hAnsiTheme="minorEastAsia" w:eastAsiaTheme="minorEastAsia"/>
          <w:color w:val="auto"/>
          <w:highlight w:val="none"/>
          <w:u w:val="single"/>
        </w:rPr>
        <w:t xml:space="preserve">                   </w:t>
      </w:r>
    </w:p>
    <w:p w14:paraId="39A16C68">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u w:val="single"/>
        </w:rPr>
      </w:pPr>
      <w:r>
        <w:rPr>
          <w:rFonts w:hint="eastAsia" w:cs="仿宋" w:asciiTheme="minorEastAsia" w:hAnsiTheme="minorEastAsia" w:eastAsiaTheme="minorEastAsia"/>
          <w:color w:val="auto"/>
          <w:highlight w:val="none"/>
        </w:rPr>
        <w:t>账    号：</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账    号：</w:t>
      </w:r>
      <w:r>
        <w:rPr>
          <w:rFonts w:hint="eastAsia" w:cs="仿宋" w:asciiTheme="minorEastAsia" w:hAnsiTheme="minorEastAsia" w:eastAsiaTheme="minorEastAsia"/>
          <w:color w:val="auto"/>
          <w:highlight w:val="none"/>
          <w:u w:val="single"/>
        </w:rPr>
        <w:t xml:space="preserve">                   </w:t>
      </w:r>
    </w:p>
    <w:p w14:paraId="233F526B">
      <w:pPr>
        <w:widowControl w:val="0"/>
        <w:kinsoku/>
        <w:topLinePunct/>
        <w:autoSpaceDE/>
        <w:autoSpaceDN/>
        <w:spacing w:line="420" w:lineRule="auto"/>
        <w:rPr>
          <w:rFonts w:cs="仿宋" w:asciiTheme="minorEastAsia" w:hAnsiTheme="minorEastAsia" w:eastAsiaTheme="minorEastAsia"/>
          <w:color w:val="auto"/>
          <w:highlight w:val="none"/>
          <w:u w:val="single"/>
        </w:rPr>
        <w:sectPr>
          <w:pgSz w:w="11906" w:h="16838"/>
          <w:pgMar w:top="1247" w:right="1418" w:bottom="1247" w:left="1418" w:header="851" w:footer="851" w:gutter="0"/>
          <w:cols w:space="720" w:num="1"/>
          <w:docGrid w:type="lines" w:linePitch="312" w:charSpace="0"/>
        </w:sectPr>
      </w:pPr>
    </w:p>
    <w:p w14:paraId="35EB593A">
      <w:pPr>
        <w:widowControl w:val="0"/>
        <w:kinsoku/>
        <w:topLinePunct/>
        <w:autoSpaceDE/>
        <w:autoSpaceDN/>
        <w:spacing w:line="420" w:lineRule="auto"/>
        <w:outlineLvl w:val="1"/>
        <w:rPr>
          <w:rFonts w:cs="Times New Roman" w:asciiTheme="minorEastAsia" w:hAnsiTheme="minorEastAsia" w:eastAsiaTheme="minorEastAsia"/>
          <w:color w:val="auto"/>
          <w:highlight w:val="none"/>
        </w:rPr>
      </w:pPr>
      <w:bookmarkStart w:id="270" w:name="_Toc132754836"/>
      <w:bookmarkStart w:id="271" w:name="_Toc132755284"/>
      <w:bookmarkStart w:id="272" w:name="_Toc132755495"/>
      <w:bookmarkStart w:id="273" w:name="_Toc21650"/>
      <w:r>
        <w:rPr>
          <w:rFonts w:hint="eastAsia" w:asciiTheme="minorEastAsia" w:hAnsiTheme="minorEastAsia" w:eastAsiaTheme="minorEastAsia"/>
          <w:color w:val="auto"/>
          <w:highlight w:val="none"/>
        </w:rPr>
        <w:t>附件1：计价清单</w:t>
      </w:r>
      <w:bookmarkEnd w:id="270"/>
      <w:bookmarkEnd w:id="271"/>
      <w:bookmarkEnd w:id="272"/>
      <w:bookmarkEnd w:id="273"/>
    </w:p>
    <w:p w14:paraId="1C58F264">
      <w:pPr>
        <w:widowControl w:val="0"/>
        <w:kinsoku/>
        <w:topLinePunct/>
        <w:autoSpaceDE/>
        <w:autoSpaceDN/>
        <w:spacing w:line="420" w:lineRule="auto"/>
        <w:outlineLvl w:val="1"/>
        <w:rPr>
          <w:rFonts w:asciiTheme="minorEastAsia" w:hAnsiTheme="minorEastAsia" w:eastAsiaTheme="minorEastAsia"/>
          <w:color w:val="auto"/>
          <w:highlight w:val="none"/>
        </w:rPr>
      </w:pPr>
      <w:bookmarkStart w:id="274" w:name="_Toc21305"/>
      <w:bookmarkStart w:id="275" w:name="_Toc132755496"/>
      <w:bookmarkStart w:id="276" w:name="_Toc132755285"/>
      <w:bookmarkStart w:id="277" w:name="_Toc132754837"/>
      <w:r>
        <w:rPr>
          <w:rFonts w:hint="eastAsia" w:asciiTheme="minorEastAsia" w:hAnsiTheme="minorEastAsia" w:eastAsiaTheme="minorEastAsia"/>
          <w:color w:val="auto"/>
          <w:highlight w:val="none"/>
        </w:rPr>
        <w:t>附件2：工程质量保修书</w:t>
      </w:r>
      <w:bookmarkEnd w:id="274"/>
      <w:bookmarkEnd w:id="275"/>
      <w:bookmarkEnd w:id="276"/>
      <w:bookmarkEnd w:id="277"/>
    </w:p>
    <w:p w14:paraId="4E03193C">
      <w:pPr>
        <w:widowControl w:val="0"/>
        <w:kinsoku/>
        <w:topLinePunct/>
        <w:autoSpaceDE/>
        <w:autoSpaceDN/>
        <w:spacing w:line="420" w:lineRule="auto"/>
        <w:ind w:firstLine="420" w:firstLineChars="200"/>
        <w:jc w:val="center"/>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工程质量保修书</w:t>
      </w:r>
    </w:p>
    <w:p w14:paraId="12D9C783">
      <w:pPr>
        <w:widowControl w:val="0"/>
        <w:kinsoku/>
        <w:topLinePunct/>
        <w:autoSpaceDE/>
        <w:autoSpaceDN/>
        <w:spacing w:line="420" w:lineRule="auto"/>
        <w:ind w:firstLine="420" w:firstLineChars="200"/>
        <w:rPr>
          <w:rFonts w:cs="Times New Roman" w:asciiTheme="minorEastAsia" w:hAnsiTheme="minorEastAsia" w:eastAsiaTheme="minorEastAsia"/>
          <w:color w:val="auto"/>
          <w:highlight w:val="none"/>
        </w:rPr>
      </w:pPr>
      <w:r>
        <w:rPr>
          <w:rFonts w:hint="eastAsia" w:asciiTheme="minorEastAsia" w:hAnsiTheme="minorEastAsia" w:eastAsiaTheme="minorEastAsia"/>
          <w:color w:val="auto"/>
          <w:highlight w:val="none"/>
        </w:rPr>
        <w:t>发包人（全称）：</w:t>
      </w:r>
      <w:r>
        <w:rPr>
          <w:rFonts w:hint="eastAsia" w:asciiTheme="minorEastAsia" w:hAnsiTheme="minorEastAsia" w:eastAsiaTheme="minorEastAsia"/>
          <w:color w:val="auto"/>
          <w:highlight w:val="none"/>
          <w:u w:val="single"/>
        </w:rPr>
        <w:t xml:space="preserve">                    </w:t>
      </w:r>
    </w:p>
    <w:p w14:paraId="34AB3EE8">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承包人（全称）：</w:t>
      </w:r>
      <w:r>
        <w:rPr>
          <w:rFonts w:hint="eastAsia" w:asciiTheme="minorEastAsia" w:hAnsiTheme="minorEastAsia" w:eastAsiaTheme="minorEastAsia"/>
          <w:color w:val="auto"/>
          <w:highlight w:val="none"/>
          <w:u w:val="single"/>
        </w:rPr>
        <w:t xml:space="preserve">                    </w:t>
      </w:r>
    </w:p>
    <w:p w14:paraId="0FBBFECD">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发包人和承包人根据《中华人民共和国建筑法》和《建设工程质量管理条例》，经协商一致，对</w:t>
      </w:r>
      <w:r>
        <w:rPr>
          <w:rFonts w:hint="eastAsia" w:asciiTheme="minorEastAsia" w:hAnsiTheme="minorEastAsia" w:eastAsiaTheme="minorEastAsia"/>
          <w:color w:val="auto"/>
          <w:highlight w:val="none"/>
          <w:u w:val="single"/>
          <w:lang w:eastAsia="zh-CN"/>
        </w:rPr>
        <w:t>2024年和田市城市道路及人行道和公园等公共基础设施零星修补项目</w:t>
      </w:r>
      <w:r>
        <w:rPr>
          <w:rFonts w:hint="eastAsia" w:asciiTheme="minorEastAsia" w:hAnsiTheme="minorEastAsia" w:eastAsiaTheme="minorEastAsia"/>
          <w:color w:val="auto"/>
          <w:highlight w:val="none"/>
        </w:rPr>
        <w:t>（工程全称）签订工程质量保修书。</w:t>
      </w:r>
    </w:p>
    <w:p w14:paraId="797FB962">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承包人在质量保修期内，按照有关法律、法规、章程的管理规定和双方约定承担本工程质量保修责任。质量保修范围包括路面工程以及双方约定的其他项目。具体有关保修事项如下：</w:t>
      </w:r>
    </w:p>
    <w:p w14:paraId="1555D7F5">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一、按照设计文件规定的合理使用年限，本项目路面结构的保修期限为</w:t>
      </w:r>
      <w:r>
        <w:rPr>
          <w:rFonts w:hint="eastAsia" w:asciiTheme="minorEastAsia" w:hAnsiTheme="minorEastAsia" w:eastAsiaTheme="minorEastAsia"/>
          <w:color w:val="auto"/>
          <w:highlight w:val="none"/>
          <w:u w:val="single"/>
        </w:rPr>
        <w:t>设计文件的合理使用年限</w:t>
      </w:r>
      <w:r>
        <w:rPr>
          <w:rFonts w:hint="eastAsia" w:asciiTheme="minorEastAsia" w:hAnsiTheme="minorEastAsia" w:eastAsiaTheme="minorEastAsia"/>
          <w:color w:val="auto"/>
          <w:highlight w:val="none"/>
        </w:rPr>
        <w:t>。</w:t>
      </w:r>
    </w:p>
    <w:p w14:paraId="0DEC92AA">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二、根据《建设工程质量管理条例》的规定，本工程自办理验收手续后，在约定的保修范围和规定的保修期限内质量缺陷的，应由施工单位履行保修义务，并对造成的损失承担赔偿责任。</w:t>
      </w:r>
    </w:p>
    <w:p w14:paraId="7CEBDD56">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三、本保修书所称的质量缺陷是指工程不符合国家或行业现行的有关强制性标准、施工验收规范、设计文件及合同中对工程质量的要求。</w:t>
      </w:r>
    </w:p>
    <w:p w14:paraId="0C3DB7E0">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四、本工程的保修期，自验收通过之日算起。</w:t>
      </w:r>
    </w:p>
    <w:p w14:paraId="702DB7E5">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五、其他项目的保修期限：</w:t>
      </w:r>
      <w:r>
        <w:rPr>
          <w:rFonts w:hint="eastAsia" w:asciiTheme="minorEastAsia" w:hAnsiTheme="minorEastAsia" w:eastAsiaTheme="minorEastAsia"/>
          <w:color w:val="auto"/>
          <w:highlight w:val="none"/>
          <w:u w:val="single"/>
        </w:rPr>
        <w:t>12个月</w:t>
      </w:r>
      <w:r>
        <w:rPr>
          <w:rFonts w:hint="eastAsia" w:asciiTheme="minorEastAsia" w:hAnsiTheme="minorEastAsia" w:eastAsiaTheme="minorEastAsia"/>
          <w:color w:val="auto"/>
          <w:highlight w:val="none"/>
        </w:rPr>
        <w:t>。</w:t>
      </w:r>
    </w:p>
    <w:p w14:paraId="480D8AFF">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六、本工程在保修期限内出现质量缺陷，建设单位或管理单位应向施工单位发出保修通知。施工单位接到保修通知后，应当到现场核查情况，并在规定的时间内予以保修。承包人不在约定期限内派人保修的，发包人可以委托他人修理。</w:t>
      </w:r>
    </w:p>
    <w:p w14:paraId="3AEBE86B">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七、下列情况不属于本工程规定的保修范围：</w:t>
      </w:r>
    </w:p>
    <w:p w14:paraId="44BD6699">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1、因使用不当或者第三方造成的质量缺陷；</w:t>
      </w:r>
    </w:p>
    <w:p w14:paraId="3D938B5E">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2、不可抗力造成的质量缺陷。</w:t>
      </w:r>
    </w:p>
    <w:p w14:paraId="51B65999">
      <w:pPr>
        <w:widowControl w:val="0"/>
        <w:kinsoku/>
        <w:topLinePunct/>
        <w:autoSpaceDE/>
        <w:autoSpaceDN/>
        <w:spacing w:line="420" w:lineRule="auto"/>
        <w:ind w:firstLine="420" w:firstLineChars="200"/>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双方约定的其他工程质量保修事项：</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w:t>
      </w:r>
    </w:p>
    <w:p w14:paraId="4D789DD1">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本工程质量保修书，由施工合同发包人、承包人双方在验收前共同签署，作为施工合同附件;其有效期限至保修期满。</w:t>
      </w:r>
    </w:p>
    <w:p w14:paraId="25FD4F65">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 xml:space="preserve"> </w:t>
      </w:r>
    </w:p>
    <w:p w14:paraId="6EB4CA86">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 xml:space="preserve"> </w:t>
      </w:r>
    </w:p>
    <w:p w14:paraId="6174EFCC">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 xml:space="preserve"> </w:t>
      </w:r>
    </w:p>
    <w:p w14:paraId="394626CC">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发包人：（公章）                承包人：（公章）</w:t>
      </w:r>
    </w:p>
    <w:p w14:paraId="0E186E2B">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法定代表人                      法定代表人</w:t>
      </w:r>
    </w:p>
    <w:p w14:paraId="196BA069">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或其委托代理人（签字）：        或其委托代理人（签字）：</w:t>
      </w:r>
    </w:p>
    <w:p w14:paraId="7B3FD2FC">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u w:val="single"/>
        </w:rPr>
      </w:pPr>
      <w:r>
        <w:rPr>
          <w:rFonts w:hint="eastAsia" w:cs="仿宋" w:asciiTheme="minorEastAsia" w:hAnsiTheme="minorEastAsia" w:eastAsiaTheme="minorEastAsia"/>
          <w:color w:val="auto"/>
          <w:highlight w:val="none"/>
        </w:rPr>
        <w:t>统一社会编码：</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统一社会编码：</w:t>
      </w:r>
      <w:r>
        <w:rPr>
          <w:rFonts w:hint="eastAsia" w:cs="仿宋" w:asciiTheme="minorEastAsia" w:hAnsiTheme="minorEastAsia" w:eastAsiaTheme="minorEastAsia"/>
          <w:color w:val="auto"/>
          <w:highlight w:val="none"/>
          <w:u w:val="single"/>
        </w:rPr>
        <w:t xml:space="preserve">               </w:t>
      </w:r>
    </w:p>
    <w:p w14:paraId="3226E419">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u w:val="single"/>
        </w:rPr>
      </w:pPr>
      <w:r>
        <w:rPr>
          <w:rFonts w:hint="eastAsia" w:cs="仿宋" w:asciiTheme="minorEastAsia" w:hAnsiTheme="minorEastAsia" w:eastAsiaTheme="minorEastAsia"/>
          <w:color w:val="auto"/>
          <w:highlight w:val="none"/>
        </w:rPr>
        <w:t>地  址：</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地  址：</w:t>
      </w:r>
      <w:r>
        <w:rPr>
          <w:rFonts w:hint="eastAsia" w:cs="仿宋" w:asciiTheme="minorEastAsia" w:hAnsiTheme="minorEastAsia" w:eastAsiaTheme="minorEastAsia"/>
          <w:color w:val="auto"/>
          <w:highlight w:val="none"/>
          <w:u w:val="single"/>
        </w:rPr>
        <w:t xml:space="preserve">                     </w:t>
      </w:r>
    </w:p>
    <w:p w14:paraId="11B60DD8">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法定代表人：</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法定代表人：</w:t>
      </w:r>
      <w:r>
        <w:rPr>
          <w:rFonts w:hint="eastAsia" w:cs="仿宋" w:asciiTheme="minorEastAsia" w:hAnsiTheme="minorEastAsia" w:eastAsiaTheme="minorEastAsia"/>
          <w:color w:val="auto"/>
          <w:highlight w:val="none"/>
          <w:u w:val="single"/>
        </w:rPr>
        <w:t xml:space="preserve">                 </w:t>
      </w:r>
    </w:p>
    <w:p w14:paraId="6E500BB3">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委托代理人：</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委托代理人：</w:t>
      </w:r>
      <w:r>
        <w:rPr>
          <w:rFonts w:hint="eastAsia" w:cs="仿宋" w:asciiTheme="minorEastAsia" w:hAnsiTheme="minorEastAsia" w:eastAsiaTheme="minorEastAsia"/>
          <w:color w:val="auto"/>
          <w:highlight w:val="none"/>
          <w:u w:val="single"/>
        </w:rPr>
        <w:t xml:space="preserve">                 </w:t>
      </w:r>
    </w:p>
    <w:p w14:paraId="05FE5A62">
      <w:pPr>
        <w:pStyle w:val="9"/>
        <w:widowControl w:val="0"/>
        <w:kinsoku/>
        <w:topLinePunct/>
        <w:autoSpaceDE/>
        <w:autoSpaceDN/>
        <w:spacing w:after="0" w:line="420" w:lineRule="auto"/>
        <w:ind w:firstLine="420" w:firstLineChars="200"/>
        <w:rPr>
          <w:rFonts w:cs="仿宋"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电</w:t>
      </w:r>
      <w:r>
        <w:rPr>
          <w:rFonts w:hint="eastAsia" w:cs="仿宋"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话：</w:t>
      </w:r>
      <w:r>
        <w:rPr>
          <w:rFonts w:hint="eastAsia" w:cs="仿宋" w:asciiTheme="minorEastAsia" w:hAnsiTheme="minorEastAsia" w:eastAsiaTheme="minorEastAsia"/>
          <w:color w:val="auto"/>
          <w:sz w:val="21"/>
          <w:szCs w:val="21"/>
          <w:highlight w:val="none"/>
          <w:u w:val="single"/>
        </w:rPr>
        <w:t xml:space="preserve">                    </w:t>
      </w:r>
      <w:r>
        <w:rPr>
          <w:rFonts w:hint="eastAsia" w:cs="仿宋"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电</w:t>
      </w:r>
      <w:r>
        <w:rPr>
          <w:rFonts w:hint="eastAsia" w:cs="仿宋"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话：</w:t>
      </w:r>
      <w:r>
        <w:rPr>
          <w:rFonts w:hint="eastAsia" w:cs="仿宋" w:asciiTheme="minorEastAsia" w:hAnsiTheme="minorEastAsia" w:eastAsiaTheme="minorEastAsia"/>
          <w:color w:val="auto"/>
          <w:sz w:val="21"/>
          <w:szCs w:val="21"/>
          <w:highlight w:val="none"/>
          <w:u w:val="single"/>
        </w:rPr>
        <w:t xml:space="preserve">                   </w:t>
      </w:r>
    </w:p>
    <w:p w14:paraId="7DF38957">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电子信箱：</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电子信箱：</w:t>
      </w:r>
      <w:r>
        <w:rPr>
          <w:rFonts w:hint="eastAsia" w:cs="仿宋" w:asciiTheme="minorEastAsia" w:hAnsiTheme="minorEastAsia" w:eastAsiaTheme="minorEastAsia"/>
          <w:color w:val="auto"/>
          <w:highlight w:val="none"/>
          <w:u w:val="single"/>
        </w:rPr>
        <w:t xml:space="preserve">                   </w:t>
      </w:r>
    </w:p>
    <w:p w14:paraId="0A5A3759">
      <w:pPr>
        <w:widowControl w:val="0"/>
        <w:kinsoku/>
        <w:topLinePunct/>
        <w:autoSpaceDE/>
        <w:autoSpaceDN/>
        <w:spacing w:line="420" w:lineRule="auto"/>
        <w:ind w:firstLine="420" w:firstLineChars="200"/>
        <w:rPr>
          <w:rFonts w:cs="仿宋" w:asciiTheme="minorEastAsia" w:hAnsiTheme="minorEastAsia" w:eastAsiaTheme="minorEastAsia"/>
          <w:color w:val="auto"/>
          <w:highlight w:val="none"/>
          <w:u w:val="single"/>
        </w:rPr>
      </w:pPr>
      <w:r>
        <w:rPr>
          <w:rFonts w:hint="eastAsia" w:cs="仿宋" w:asciiTheme="minorEastAsia" w:hAnsiTheme="minorEastAsia" w:eastAsiaTheme="minorEastAsia"/>
          <w:color w:val="auto"/>
          <w:highlight w:val="none"/>
        </w:rPr>
        <w:t>开户银行：</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开户银行：</w:t>
      </w:r>
      <w:r>
        <w:rPr>
          <w:rFonts w:hint="eastAsia" w:cs="仿宋" w:asciiTheme="minorEastAsia" w:hAnsiTheme="minorEastAsia" w:eastAsiaTheme="minorEastAsia"/>
          <w:color w:val="auto"/>
          <w:highlight w:val="none"/>
          <w:u w:val="single"/>
        </w:rPr>
        <w:t xml:space="preserve">                   </w:t>
      </w:r>
    </w:p>
    <w:p w14:paraId="3DCAD468">
      <w:pPr>
        <w:widowControl w:val="0"/>
        <w:kinsoku/>
        <w:topLinePunct/>
        <w:autoSpaceDE/>
        <w:autoSpaceDN/>
        <w:spacing w:line="420" w:lineRule="auto"/>
        <w:ind w:firstLine="420" w:firstLineChars="200"/>
        <w:rPr>
          <w:rFonts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账    号：</w:t>
      </w:r>
      <w:r>
        <w:rPr>
          <w:rFonts w:hint="eastAsia" w:cs="仿宋" w:asciiTheme="minorEastAsia" w:hAnsiTheme="minorEastAsia" w:eastAsiaTheme="minorEastAsia"/>
          <w:color w:val="auto"/>
          <w:highlight w:val="none"/>
          <w:u w:val="single"/>
        </w:rPr>
        <w:t xml:space="preserve">                    </w:t>
      </w:r>
      <w:r>
        <w:rPr>
          <w:rFonts w:hint="eastAsia" w:cs="仿宋" w:asciiTheme="minorEastAsia" w:hAnsiTheme="minorEastAsia" w:eastAsiaTheme="minorEastAsia"/>
          <w:color w:val="auto"/>
          <w:highlight w:val="none"/>
        </w:rPr>
        <w:t xml:space="preserve">  账    号：</w:t>
      </w:r>
      <w:r>
        <w:rPr>
          <w:rFonts w:hint="eastAsia" w:cs="仿宋" w:asciiTheme="minorEastAsia" w:hAnsiTheme="minorEastAsia" w:eastAsiaTheme="minorEastAsia"/>
          <w:color w:val="auto"/>
          <w:highlight w:val="none"/>
          <w:u w:val="single"/>
        </w:rPr>
        <w:t xml:space="preserve">                   </w:t>
      </w:r>
    </w:p>
    <w:p w14:paraId="4446ED4B">
      <w:pPr>
        <w:widowControl w:val="0"/>
        <w:kinsoku/>
        <w:topLinePunct/>
        <w:autoSpaceDE/>
        <w:autoSpaceDN/>
        <w:spacing w:line="420" w:lineRule="auto"/>
        <w:rPr>
          <w:rFonts w:asciiTheme="minorEastAsia" w:hAnsiTheme="minorEastAsia" w:eastAsiaTheme="minorEastAsia"/>
          <w:color w:val="auto"/>
          <w:highlight w:val="none"/>
        </w:rPr>
        <w:sectPr>
          <w:headerReference r:id="rId9" w:type="default"/>
          <w:footerReference r:id="rId10" w:type="default"/>
          <w:pgSz w:w="11906" w:h="16839"/>
          <w:pgMar w:top="1247" w:right="1588" w:bottom="1247" w:left="1531" w:header="851" w:footer="851" w:gutter="0"/>
          <w:cols w:space="0" w:num="1"/>
        </w:sectPr>
      </w:pPr>
    </w:p>
    <w:p w14:paraId="10E8FA1A">
      <w:pPr>
        <w:widowControl w:val="0"/>
        <w:kinsoku/>
        <w:topLinePunct/>
        <w:autoSpaceDE/>
        <w:autoSpaceDN/>
        <w:spacing w:line="480" w:lineRule="auto"/>
        <w:jc w:val="center"/>
        <w:outlineLvl w:val="0"/>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pPr>
      <w:bookmarkStart w:id="278" w:name="_Toc132755286"/>
      <w:bookmarkStart w:id="279" w:name="_Toc4785"/>
      <w:bookmarkStart w:id="280" w:name="_Toc3779"/>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第六部分</w:t>
      </w:r>
      <w:r>
        <w:rPr>
          <w:rFonts w:hint="eastAsia" w:ascii="宋体" w:hAnsi="宋体" w:eastAsia="宋体" w:cs="宋体"/>
          <w:color w:val="auto"/>
          <w:sz w:val="28"/>
          <w:szCs w:val="28"/>
          <w:highlight w:val="none"/>
          <w14:textOutline w14:w="6540" w14:cap="sq" w14:cmpd="sng" w14:algn="ctr">
            <w14:solidFill>
              <w14:srgbClr w14:val="000000"/>
            </w14:solidFill>
            <w14:prstDash w14:val="solid"/>
            <w14:bevel/>
          </w14:textOutline>
        </w:rPr>
        <w:t xml:space="preserve">  </w:t>
      </w:r>
      <w:r>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t>投标文件格式</w:t>
      </w:r>
      <w:bookmarkEnd w:id="278"/>
      <w:bookmarkEnd w:id="279"/>
      <w:bookmarkEnd w:id="280"/>
    </w:p>
    <w:p w14:paraId="15D2098F">
      <w:pPr>
        <w:widowControl w:val="0"/>
        <w:kinsoku/>
        <w:topLinePunct/>
        <w:autoSpaceDE/>
        <w:autoSpaceDN/>
        <w:spacing w:line="480" w:lineRule="auto"/>
        <w:jc w:val="center"/>
        <w:outlineLvl w:val="9"/>
        <w:rPr>
          <w:rFonts w:ascii="宋体" w:hAnsi="宋体" w:eastAsia="宋体" w:cs="宋体"/>
          <w:color w:val="auto"/>
          <w:sz w:val="28"/>
          <w:szCs w:val="28"/>
          <w:highlight w:val="none"/>
          <w14:textOutline w14:w="6540" w14:cap="sq" w14:cmpd="sng" w14:algn="ctr">
            <w14:solidFill>
              <w14:srgbClr w14:val="000000"/>
            </w14:solidFill>
            <w14:prstDash w14:val="solid"/>
            <w14:bevel/>
          </w14:textOutline>
        </w:rPr>
        <w:sectPr>
          <w:pgSz w:w="11906" w:h="16839"/>
          <w:pgMar w:top="1247" w:right="1588" w:bottom="1247" w:left="1531" w:header="851" w:footer="851" w:gutter="0"/>
          <w:cols w:space="0" w:num="1"/>
        </w:sectPr>
      </w:pPr>
    </w:p>
    <w:p w14:paraId="6FFF4F9E">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76C68384">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5AD5D05C">
      <w:pPr>
        <w:widowControl w:val="0"/>
        <w:tabs>
          <w:tab w:val="left" w:pos="5769"/>
        </w:tabs>
        <w:kinsoku/>
        <w:topLinePunct/>
        <w:autoSpaceDE/>
        <w:autoSpaceDN/>
        <w:spacing w:line="360" w:lineRule="auto"/>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u w:val="single"/>
          <w:lang w:eastAsia="zh-CN"/>
          <w14:textOutline w14:w="5448" w14:cap="sq" w14:cmpd="sng" w14:algn="ctr">
            <w14:solidFill>
              <w14:srgbClr w14:val="000000"/>
            </w14:solidFill>
            <w14:prstDash w14:val="solid"/>
            <w14:bevel/>
          </w14:textOutline>
        </w:rPr>
        <w:t>2024年和田市城市道路及人行道和公园等公共基础设施零星修补项目</w:t>
      </w:r>
    </w:p>
    <w:p w14:paraId="3E03FDFC">
      <w:pPr>
        <w:widowControl w:val="0"/>
        <w:tabs>
          <w:tab w:val="left" w:pos="5769"/>
        </w:tabs>
        <w:kinsoku/>
        <w:topLinePunct/>
        <w:autoSpaceDE/>
        <w:autoSpaceDN/>
        <w:spacing w:line="360" w:lineRule="auto"/>
        <w:jc w:val="center"/>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r>
        <w:rPr>
          <w:rFonts w:hint="eastAsia"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t xml:space="preserve">（项目编号： </w:t>
      </w:r>
      <w:r>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t xml:space="preserve">  </w:t>
      </w:r>
      <w:r>
        <w:rPr>
          <w:rFonts w:hint="eastAsia"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t>）</w:t>
      </w:r>
    </w:p>
    <w:p w14:paraId="19AE38DE">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0430BBBC">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53D26D02">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751F6FB0">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0A7784C2">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68E59972">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2ED3301A">
      <w:pPr>
        <w:widowControl w:val="0"/>
        <w:kinsoku/>
        <w:topLinePunct/>
        <w:autoSpaceDE/>
        <w:autoSpaceDN/>
        <w:spacing w:line="249"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投标文件</w:t>
      </w:r>
    </w:p>
    <w:p w14:paraId="29BB7E92">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2F0E8575">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0909B382">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61A4278D">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39823F70">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5CA9B47E">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25666354">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69B04F51">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2FE8E1F7">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784F1361">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383E266B">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3568C21E">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6C1C5B52">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31175AC9">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500BF926">
      <w:pPr>
        <w:widowControl w:val="0"/>
        <w:tabs>
          <w:tab w:val="left" w:pos="5769"/>
        </w:tabs>
        <w:kinsoku/>
        <w:topLinePunct/>
        <w:autoSpaceDE/>
        <w:autoSpaceDN/>
        <w:spacing w:line="360" w:lineRule="auto"/>
        <w:rPr>
          <w:rFonts w:ascii="楷体" w:hAnsi="楷体" w:eastAsia="楷体" w:cs="楷体"/>
          <w:color w:val="auto"/>
          <w:sz w:val="24"/>
          <w:szCs w:val="24"/>
          <w:highlight w:val="none"/>
          <w:u w:val="single"/>
          <w14:textOutline w14:w="5448" w14:cap="sq" w14:cmpd="sng" w14:algn="ctr">
            <w14:solidFill>
              <w14:srgbClr w14:val="000000"/>
            </w14:solidFill>
            <w14:prstDash w14:val="solid"/>
            <w14:bevel/>
          </w14:textOutline>
        </w:rPr>
      </w:pPr>
    </w:p>
    <w:p w14:paraId="4B3F3FA5">
      <w:pPr>
        <w:widowControl w:val="0"/>
        <w:kinsoku/>
        <w:topLinePunct/>
        <w:autoSpaceDE/>
        <w:autoSpaceDN/>
        <w:spacing w:before="91" w:line="411" w:lineRule="auto"/>
        <w:ind w:left="1422" w:right="1455" w:firstLine="2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全称</w:t>
      </w:r>
      <w:r>
        <w:rPr>
          <w:rFonts w:hint="eastAsia" w:ascii="宋体" w:hAnsi="宋体" w:eastAsia="宋体" w:cs="宋体"/>
          <w:color w:val="auto"/>
          <w:sz w:val="24"/>
          <w:szCs w:val="24"/>
          <w:highlight w:val="none"/>
        </w:rPr>
        <w:t>（电子签章）：</w:t>
      </w:r>
    </w:p>
    <w:p w14:paraId="20C8C594">
      <w:pPr>
        <w:widowControl w:val="0"/>
        <w:kinsoku/>
        <w:topLinePunct/>
        <w:autoSpaceDE/>
        <w:autoSpaceDN/>
        <w:spacing w:before="91" w:line="411" w:lineRule="auto"/>
        <w:ind w:left="1422" w:right="1455" w:firstLine="2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签名或签章</w:t>
      </w:r>
      <w:r>
        <w:rPr>
          <w:rFonts w:hint="eastAsia" w:ascii="宋体" w:hAnsi="宋体" w:eastAsia="宋体" w:cs="宋体"/>
          <w:color w:val="auto"/>
          <w:sz w:val="24"/>
          <w:szCs w:val="24"/>
          <w:highlight w:val="none"/>
        </w:rPr>
        <w:t>）：</w:t>
      </w:r>
    </w:p>
    <w:p w14:paraId="3A7A034A">
      <w:pPr>
        <w:widowControl w:val="0"/>
        <w:kinsoku/>
        <w:topLinePunct/>
        <w:autoSpaceDE/>
        <w:autoSpaceDN/>
        <w:spacing w:before="91" w:line="411" w:lineRule="auto"/>
        <w:ind w:left="1422" w:right="1455" w:firstLine="2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329262D">
      <w:pPr>
        <w:widowControl w:val="0"/>
        <w:kinsoku/>
        <w:topLinePunct/>
        <w:autoSpaceDE/>
        <w:autoSpaceDN/>
        <w:spacing w:before="91" w:line="411" w:lineRule="auto"/>
        <w:ind w:left="1422" w:right="1455" w:firstLine="28"/>
        <w:rPr>
          <w:rFonts w:ascii="宋体" w:hAnsi="宋体" w:eastAsia="宋体" w:cs="宋体"/>
          <w:color w:val="auto"/>
          <w:sz w:val="24"/>
          <w:szCs w:val="24"/>
          <w:highlight w:val="none"/>
        </w:rPr>
        <w:sectPr>
          <w:footerReference r:id="rId11" w:type="default"/>
          <w:pgSz w:w="11906" w:h="16839"/>
          <w:pgMar w:top="1247" w:right="1588" w:bottom="1247" w:left="1531" w:header="851" w:footer="851" w:gutter="0"/>
          <w:cols w:space="0" w:num="1"/>
        </w:sectPr>
      </w:pPr>
    </w:p>
    <w:p w14:paraId="4BF4150E">
      <w:pPr>
        <w:widowControl w:val="0"/>
        <w:kinsoku/>
        <w:topLinePunct/>
        <w:autoSpaceDE/>
        <w:autoSpaceDN/>
        <w:spacing w:line="360" w:lineRule="auto"/>
        <w:outlineLvl w:val="1"/>
        <w:rPr>
          <w:rFonts w:asciiTheme="minorEastAsia" w:hAnsiTheme="minorEastAsia" w:eastAsiaTheme="minorEastAsia" w:cstheme="minorEastAsia"/>
          <w:color w:val="auto"/>
          <w:highlight w:val="none"/>
        </w:rPr>
      </w:pPr>
      <w:bookmarkStart w:id="281" w:name="_bookmark60"/>
      <w:bookmarkEnd w:id="281"/>
      <w:bookmarkStart w:id="282" w:name="_Toc28438"/>
      <w:bookmarkStart w:id="283" w:name="_Toc132754839"/>
      <w:bookmarkStart w:id="284" w:name="_Toc132755498"/>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一、营业执照</w:t>
      </w:r>
      <w:bookmarkEnd w:id="282"/>
      <w:bookmarkEnd w:id="283"/>
      <w:bookmarkEnd w:id="284"/>
    </w:p>
    <w:p w14:paraId="5EDABC11">
      <w:pPr>
        <w:widowControl w:val="0"/>
        <w:kinsoku/>
        <w:topLinePunct/>
        <w:autoSpaceDE/>
        <w:autoSpaceDN/>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☆营业执照副本</w:t>
      </w:r>
    </w:p>
    <w:p w14:paraId="4CDFAD0A">
      <w:pPr>
        <w:widowControl w:val="0"/>
        <w:kinsoku/>
        <w:topLinePunct/>
        <w:autoSpaceDE/>
        <w:autoSpaceDN/>
        <w:spacing w:line="360" w:lineRule="auto"/>
        <w:rPr>
          <w:rFonts w:asciiTheme="minorEastAsia" w:hAnsiTheme="minorEastAsia" w:eastAsiaTheme="minorEastAsia" w:cstheme="minorEastAsia"/>
          <w:color w:val="auto"/>
          <w:highlight w:val="none"/>
        </w:rPr>
        <w:sectPr>
          <w:footerReference r:id="rId12" w:type="default"/>
          <w:pgSz w:w="11906" w:h="16839"/>
          <w:pgMar w:top="1247" w:right="1588" w:bottom="1247" w:left="1531" w:header="851" w:footer="851" w:gutter="0"/>
          <w:cols w:space="0" w:num="1"/>
        </w:sectPr>
      </w:pPr>
    </w:p>
    <w:p w14:paraId="087B2689">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285" w:name="_Toc132754840"/>
      <w:bookmarkStart w:id="286" w:name="_Toc132755499"/>
      <w:bookmarkStart w:id="287" w:name="_Toc10488"/>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二、法定代表人身份证明及授权委托书</w:t>
      </w:r>
      <w:bookmarkEnd w:id="285"/>
      <w:bookmarkEnd w:id="286"/>
      <w:bookmarkEnd w:id="287"/>
    </w:p>
    <w:p w14:paraId="43E2AAEA">
      <w:pPr>
        <w:widowControl w:val="0"/>
        <w:kinsoku/>
        <w:topLinePunct/>
        <w:autoSpaceDE/>
        <w:autoSpaceDN/>
        <w:spacing w:line="420" w:lineRule="auto"/>
        <w:rPr>
          <w:rFonts w:ascii="宋体" w:hAnsi="宋体" w:eastAsia="宋体" w:cs="宋体"/>
          <w:color w:val="auto"/>
          <w:highlight w:val="none"/>
        </w:rPr>
      </w:pPr>
      <w:r>
        <w:rPr>
          <w:rFonts w:hint="eastAsia" w:ascii="宋体" w:hAnsi="宋体" w:eastAsia="宋体" w:cs="宋体"/>
          <w:color w:val="auto"/>
          <w:highlight w:val="none"/>
        </w:rPr>
        <w:t>☆法定代表人身份证明及授权委托书</w:t>
      </w:r>
    </w:p>
    <w:p w14:paraId="7DA6D891">
      <w:pPr>
        <w:widowControl w:val="0"/>
        <w:kinsoku/>
        <w:topLinePunct/>
        <w:autoSpaceDE/>
        <w:autoSpaceDN/>
        <w:spacing w:line="420" w:lineRule="auto"/>
        <w:jc w:val="center"/>
        <w:rPr>
          <w:rFonts w:ascii="楷体" w:hAnsi="楷体" w:eastAsia="楷体" w:cs="楷体"/>
          <w:b/>
          <w:bCs/>
          <w:color w:val="auto"/>
          <w:highlight w:val="none"/>
        </w:rPr>
      </w:pPr>
      <w:r>
        <w:rPr>
          <w:rFonts w:hint="eastAsia" w:ascii="楷体" w:hAnsi="楷体" w:eastAsia="楷体" w:cs="楷体"/>
          <w:b/>
          <w:bCs/>
          <w:color w:val="auto"/>
          <w:highlight w:val="none"/>
        </w:rPr>
        <w:t>法定代表人资格证明文件</w:t>
      </w:r>
    </w:p>
    <w:p w14:paraId="08A33803">
      <w:pPr>
        <w:widowControl w:val="0"/>
        <w:tabs>
          <w:tab w:val="left" w:pos="146"/>
        </w:tabs>
        <w:kinsoku/>
        <w:topLinePunct/>
        <w:autoSpaceDE/>
        <w:autoSpaceDN/>
        <w:spacing w:line="420" w:lineRule="auto"/>
        <w:rPr>
          <w:rFonts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（代理机构名称）</w:t>
      </w:r>
      <w:r>
        <w:rPr>
          <w:rFonts w:hint="eastAsia" w:ascii="宋体" w:hAnsi="宋体" w:eastAsia="宋体" w:cs="宋体"/>
          <w:color w:val="auto"/>
          <w:highlight w:val="none"/>
        </w:rPr>
        <w:t>：</w:t>
      </w:r>
    </w:p>
    <w:p w14:paraId="3A7ED8A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兹有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同志为公司法定代表人，代表我公司办理一切社会公务事宜，具有法律效力。</w:t>
      </w:r>
    </w:p>
    <w:p w14:paraId="15A159F0">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附法定代表人基本情况：</w:t>
      </w:r>
    </w:p>
    <w:p w14:paraId="44A6141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身份证号码：</w:t>
      </w:r>
      <w:r>
        <w:rPr>
          <w:rFonts w:hint="eastAsia" w:ascii="宋体" w:hAnsi="宋体" w:eastAsia="宋体" w:cs="宋体"/>
          <w:color w:val="auto"/>
          <w:highlight w:val="none"/>
          <w:u w:val="single"/>
        </w:rPr>
        <w:t xml:space="preserve">      </w:t>
      </w:r>
    </w:p>
    <w:p w14:paraId="62F9024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color w:val="auto"/>
          <w:highlight w:val="none"/>
          <w:u w:val="single"/>
        </w:rPr>
        <w:t xml:space="preserve">      </w:t>
      </w:r>
    </w:p>
    <w:p w14:paraId="2E2EC8FA">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电话号码：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p>
    <w:p w14:paraId="5F34F399">
      <w:pPr>
        <w:widowControl w:val="0"/>
        <w:kinsoku/>
        <w:topLinePunct/>
        <w:autoSpaceDE/>
        <w:autoSpaceDN/>
        <w:spacing w:line="420" w:lineRule="auto"/>
        <w:rPr>
          <w:rFonts w:ascii="宋体" w:hAnsi="宋体" w:eastAsia="宋体" w:cs="宋体"/>
          <w:color w:val="auto"/>
          <w:highlight w:val="none"/>
        </w:rPr>
      </w:pPr>
    </w:p>
    <w:tbl>
      <w:tblPr>
        <w:tblStyle w:val="29"/>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793"/>
      </w:tblGrid>
      <w:tr w14:paraId="74D714C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5000" w:type="pct"/>
          </w:tcPr>
          <w:p w14:paraId="7A018599">
            <w:pPr>
              <w:widowControl w:val="0"/>
              <w:kinsoku/>
              <w:topLinePunct/>
              <w:autoSpaceDE/>
              <w:autoSpaceDN/>
              <w:spacing w:line="420" w:lineRule="auto"/>
              <w:rPr>
                <w:rFonts w:ascii="宋体" w:hAnsi="宋体" w:eastAsia="宋体" w:cs="宋体"/>
                <w:color w:val="auto"/>
                <w:highlight w:val="none"/>
              </w:rPr>
            </w:pPr>
          </w:p>
          <w:p w14:paraId="045D6A57">
            <w:pPr>
              <w:widowControl w:val="0"/>
              <w:kinsoku/>
              <w:topLinePunct/>
              <w:autoSpaceDE/>
              <w:autoSpaceDN/>
              <w:spacing w:line="420" w:lineRule="auto"/>
              <w:rPr>
                <w:rFonts w:ascii="宋体" w:hAnsi="宋体" w:eastAsia="宋体" w:cs="宋体"/>
                <w:color w:val="auto"/>
                <w:highlight w:val="none"/>
              </w:rPr>
            </w:pPr>
          </w:p>
          <w:p w14:paraId="00DD5584">
            <w:pPr>
              <w:widowControl w:val="0"/>
              <w:kinsoku/>
              <w:topLinePunct/>
              <w:autoSpaceDE/>
              <w:autoSpaceDN/>
              <w:spacing w:line="420" w:lineRule="auto"/>
              <w:rPr>
                <w:rFonts w:ascii="宋体" w:hAnsi="宋体" w:eastAsia="宋体" w:cs="宋体"/>
                <w:color w:val="auto"/>
                <w:highlight w:val="none"/>
              </w:rPr>
            </w:pPr>
          </w:p>
          <w:p w14:paraId="53813128">
            <w:pPr>
              <w:widowControl w:val="0"/>
              <w:kinsoku/>
              <w:topLinePunct/>
              <w:autoSpaceDE/>
              <w:autoSpaceDN/>
              <w:spacing w:line="420" w:lineRule="auto"/>
              <w:rPr>
                <w:rFonts w:ascii="宋体" w:hAnsi="宋体" w:eastAsia="宋体" w:cs="宋体"/>
                <w:color w:val="auto"/>
                <w:highlight w:val="none"/>
              </w:rPr>
            </w:pPr>
          </w:p>
          <w:p w14:paraId="446AEBFB">
            <w:pPr>
              <w:widowControl w:val="0"/>
              <w:kinsoku/>
              <w:topLinePunct/>
              <w:autoSpaceDE/>
              <w:autoSpaceDN/>
              <w:spacing w:line="420" w:lineRule="auto"/>
              <w:rPr>
                <w:rFonts w:ascii="宋体" w:hAnsi="宋体" w:eastAsia="宋体" w:cs="宋体"/>
                <w:color w:val="auto"/>
                <w:highlight w:val="none"/>
              </w:rPr>
            </w:pPr>
            <w:r>
              <w:rPr>
                <w:rFonts w:hint="eastAsia" w:ascii="宋体" w:hAnsi="宋体" w:eastAsia="宋体" w:cs="宋体"/>
                <w:color w:val="auto"/>
                <w:highlight w:val="none"/>
              </w:rPr>
              <w:t>法定代表人《居民身份证》</w:t>
            </w:r>
            <w:r>
              <w:rPr>
                <w:rFonts w:hint="eastAsia" w:ascii="宋体" w:hAnsi="宋体" w:eastAsia="宋体" w:cs="宋体"/>
                <w:color w:val="auto"/>
                <w:highlight w:val="none"/>
                <w:lang w:val="en-US" w:eastAsia="zh-CN"/>
              </w:rPr>
              <w:t>正反面</w:t>
            </w:r>
            <w:r>
              <w:rPr>
                <w:rFonts w:hint="eastAsia" w:ascii="宋体" w:hAnsi="宋体" w:eastAsia="宋体" w:cs="宋体"/>
                <w:color w:val="auto"/>
                <w:highlight w:val="none"/>
              </w:rPr>
              <w:t>扫描件</w:t>
            </w:r>
          </w:p>
        </w:tc>
      </w:tr>
    </w:tbl>
    <w:p w14:paraId="5D757E87">
      <w:pPr>
        <w:widowControl w:val="0"/>
        <w:kinsoku/>
        <w:topLinePunct/>
        <w:autoSpaceDE/>
        <w:autoSpaceDN/>
        <w:spacing w:line="420" w:lineRule="auto"/>
        <w:rPr>
          <w:rFonts w:ascii="宋体" w:hAnsi="宋体" w:eastAsia="宋体" w:cs="宋体"/>
          <w:color w:val="auto"/>
          <w:highlight w:val="none"/>
        </w:rPr>
      </w:pPr>
    </w:p>
    <w:p w14:paraId="7A8FC13A">
      <w:pPr>
        <w:widowControl w:val="0"/>
        <w:kinsoku/>
        <w:topLinePunct/>
        <w:autoSpaceDE/>
        <w:autoSpaceDN/>
        <w:spacing w:line="420" w:lineRule="auto"/>
        <w:rPr>
          <w:rFonts w:ascii="宋体" w:hAnsi="宋体" w:eastAsia="宋体" w:cs="宋体"/>
          <w:color w:val="auto"/>
          <w:highlight w:val="none"/>
        </w:rPr>
      </w:pPr>
    </w:p>
    <w:p w14:paraId="0917B6D1">
      <w:pPr>
        <w:widowControl w:val="0"/>
        <w:kinsoku/>
        <w:topLinePunct/>
        <w:autoSpaceDE/>
        <w:autoSpaceDN/>
        <w:spacing w:line="420" w:lineRule="auto"/>
        <w:rPr>
          <w:rFonts w:ascii="宋体" w:hAnsi="宋体" w:eastAsia="宋体" w:cs="宋体"/>
          <w:color w:val="auto"/>
          <w:highlight w:val="none"/>
        </w:rPr>
      </w:pPr>
      <w:r>
        <w:rPr>
          <w:rFonts w:hint="eastAsia" w:ascii="宋体" w:hAnsi="宋体" w:eastAsia="宋体" w:cs="宋体"/>
          <w:color w:val="auto"/>
          <w:highlight w:val="none"/>
        </w:rPr>
        <w:t>投标人名称（电子签章）：</w:t>
      </w:r>
    </w:p>
    <w:p w14:paraId="62100173">
      <w:pPr>
        <w:widowControl w:val="0"/>
        <w:kinsoku/>
        <w:topLinePunct/>
        <w:autoSpaceDE/>
        <w:autoSpaceDN/>
        <w:spacing w:line="420" w:lineRule="auto"/>
        <w:rPr>
          <w:rFonts w:ascii="宋体" w:hAnsi="宋体" w:eastAsia="宋体" w:cs="宋体"/>
          <w:color w:val="auto"/>
          <w:highlight w:val="none"/>
        </w:rPr>
      </w:pPr>
    </w:p>
    <w:p w14:paraId="1E60F4E9">
      <w:pPr>
        <w:widowControl w:val="0"/>
        <w:kinsoku/>
        <w:topLinePunct/>
        <w:autoSpaceDE/>
        <w:autoSpaceDN/>
        <w:spacing w:line="420" w:lineRule="auto"/>
        <w:rPr>
          <w:rFonts w:ascii="宋体" w:hAnsi="宋体" w:eastAsia="宋体" w:cs="宋体"/>
          <w:color w:val="auto"/>
          <w:highlight w:val="none"/>
        </w:rPr>
      </w:pPr>
    </w:p>
    <w:p w14:paraId="4AEB02FB">
      <w:pPr>
        <w:widowControl w:val="0"/>
        <w:kinsoku/>
        <w:topLinePunct/>
        <w:autoSpaceDE/>
        <w:autoSpaceDN/>
        <w:spacing w:line="420" w:lineRule="auto"/>
        <w:rPr>
          <w:rFonts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签名或签章</w:t>
      </w:r>
      <w:r>
        <w:rPr>
          <w:rFonts w:hint="eastAsia" w:ascii="宋体" w:hAnsi="宋体" w:eastAsia="宋体" w:cs="宋体"/>
          <w:color w:val="auto"/>
          <w:highlight w:val="none"/>
        </w:rPr>
        <w:t>）：</w:t>
      </w:r>
    </w:p>
    <w:p w14:paraId="58579099">
      <w:pPr>
        <w:widowControl w:val="0"/>
        <w:kinsoku/>
        <w:topLinePunct/>
        <w:autoSpaceDE/>
        <w:autoSpaceDN/>
        <w:spacing w:line="420" w:lineRule="auto"/>
        <w:rPr>
          <w:rFonts w:ascii="宋体" w:hAnsi="宋体" w:eastAsia="宋体" w:cs="宋体"/>
          <w:color w:val="auto"/>
          <w:highlight w:val="none"/>
        </w:rPr>
      </w:pPr>
    </w:p>
    <w:p w14:paraId="223C4B08">
      <w:pPr>
        <w:widowControl w:val="0"/>
        <w:kinsoku/>
        <w:topLinePunct/>
        <w:autoSpaceDE/>
        <w:autoSpaceDN/>
        <w:spacing w:line="420" w:lineRule="auto"/>
        <w:rPr>
          <w:rFonts w:ascii="宋体" w:hAnsi="宋体" w:eastAsia="宋体" w:cs="宋体"/>
          <w:color w:val="auto"/>
          <w:highlight w:val="none"/>
        </w:rPr>
      </w:pPr>
    </w:p>
    <w:p w14:paraId="2D75D8E6">
      <w:pPr>
        <w:widowControl w:val="0"/>
        <w:kinsoku/>
        <w:topLinePunct/>
        <w:autoSpaceDE/>
        <w:autoSpaceDN/>
        <w:spacing w:line="420" w:lineRule="auto"/>
        <w:rPr>
          <w:rFonts w:ascii="宋体" w:hAnsi="宋体" w:eastAsia="宋体" w:cs="宋体"/>
          <w:color w:val="auto"/>
          <w:highlight w:val="none"/>
        </w:rPr>
      </w:pPr>
      <w:r>
        <w:rPr>
          <w:rFonts w:hint="eastAsia" w:ascii="宋体" w:hAnsi="宋体" w:eastAsia="宋体" w:cs="宋体"/>
          <w:color w:val="auto"/>
          <w:highlight w:val="none"/>
        </w:rPr>
        <w:t>日期：      年    月    日</w:t>
      </w:r>
    </w:p>
    <w:p w14:paraId="024333C4">
      <w:pPr>
        <w:widowControl w:val="0"/>
        <w:kinsoku/>
        <w:topLinePunct/>
        <w:autoSpaceDE/>
        <w:autoSpaceDN/>
        <w:spacing w:line="420" w:lineRule="auto"/>
        <w:rPr>
          <w:rFonts w:ascii="宋体" w:hAnsi="宋体" w:eastAsia="宋体" w:cs="宋体"/>
          <w:color w:val="auto"/>
          <w:highlight w:val="none"/>
        </w:rPr>
        <w:sectPr>
          <w:footerReference r:id="rId13" w:type="default"/>
          <w:pgSz w:w="11906" w:h="16839"/>
          <w:pgMar w:top="1247" w:right="1588" w:bottom="1247" w:left="1531" w:header="851" w:footer="851" w:gutter="0"/>
          <w:cols w:space="0" w:num="1"/>
        </w:sectPr>
      </w:pPr>
    </w:p>
    <w:p w14:paraId="1D5A32FF">
      <w:pPr>
        <w:widowControl w:val="0"/>
        <w:kinsoku/>
        <w:topLinePunct/>
        <w:autoSpaceDE/>
        <w:autoSpaceDN/>
        <w:spacing w:line="420" w:lineRule="auto"/>
        <w:jc w:val="center"/>
        <w:rPr>
          <w:rFonts w:ascii="楷体" w:hAnsi="楷体" w:eastAsia="楷体" w:cs="楷体"/>
          <w:b/>
          <w:bCs/>
          <w:color w:val="auto"/>
          <w:highlight w:val="none"/>
        </w:rPr>
      </w:pPr>
      <w:bookmarkStart w:id="288" w:name="_bookmark61"/>
      <w:bookmarkEnd w:id="288"/>
      <w:r>
        <w:rPr>
          <w:rFonts w:hint="eastAsia" w:ascii="楷体" w:hAnsi="楷体" w:eastAsia="楷体" w:cs="楷体"/>
          <w:b/>
          <w:bCs/>
          <w:color w:val="auto"/>
          <w:highlight w:val="none"/>
        </w:rPr>
        <w:t>法定代表人授权书</w:t>
      </w:r>
    </w:p>
    <w:p w14:paraId="52603FF3">
      <w:pPr>
        <w:widowControl w:val="0"/>
        <w:tabs>
          <w:tab w:val="left" w:pos="146"/>
        </w:tabs>
        <w:kinsoku/>
        <w:topLinePunct/>
        <w:autoSpaceDE/>
        <w:autoSpaceDN/>
        <w:spacing w:line="420" w:lineRule="auto"/>
        <w:rPr>
          <w:rFonts w:ascii="宋体" w:hAnsi="宋体" w:eastAsia="宋体" w:cs="宋体"/>
          <w:color w:val="auto"/>
          <w:highlight w:val="none"/>
        </w:rPr>
      </w:pPr>
      <w:r>
        <w:rPr>
          <w:rFonts w:ascii="宋体" w:hAnsi="宋体" w:eastAsia="宋体" w:cs="宋体"/>
          <w:color w:val="auto"/>
          <w:highlight w:val="none"/>
          <w:u w:val="single"/>
        </w:rPr>
        <w:tab/>
      </w:r>
      <w:r>
        <w:rPr>
          <w:rFonts w:hint="eastAsia" w:ascii="宋体" w:hAnsi="宋体" w:eastAsia="宋体" w:cs="宋体"/>
          <w:color w:val="auto"/>
          <w:highlight w:val="none"/>
          <w:u w:val="single"/>
        </w:rPr>
        <w:t>（</w:t>
      </w:r>
      <w:r>
        <w:rPr>
          <w:rFonts w:ascii="宋体" w:hAnsi="宋体" w:eastAsia="宋体" w:cs="宋体"/>
          <w:color w:val="auto"/>
          <w:highlight w:val="none"/>
          <w:u w:val="single"/>
        </w:rPr>
        <w:t>代理机构名称</w:t>
      </w:r>
      <w:r>
        <w:rPr>
          <w:rFonts w:hint="eastAsia" w:ascii="宋体" w:hAnsi="宋体" w:eastAsia="宋体" w:cs="宋体"/>
          <w:color w:val="auto"/>
          <w:highlight w:val="none"/>
          <w:u w:val="single"/>
        </w:rPr>
        <w:t>）</w:t>
      </w:r>
      <w:r>
        <w:rPr>
          <w:rFonts w:ascii="宋体" w:hAnsi="宋体" w:eastAsia="宋体" w:cs="宋体"/>
          <w:color w:val="auto"/>
          <w:highlight w:val="none"/>
        </w:rPr>
        <w:t>：</w:t>
      </w:r>
    </w:p>
    <w:p w14:paraId="5B404A54">
      <w:pPr>
        <w:widowControl w:val="0"/>
        <w:tabs>
          <w:tab w:val="left" w:pos="146"/>
        </w:tabs>
        <w:kinsoku/>
        <w:topLinePunct/>
        <w:autoSpaceDE/>
        <w:autoSpaceDN/>
        <w:spacing w:line="420" w:lineRule="auto"/>
        <w:ind w:firstLine="420" w:firstLineChars="200"/>
        <w:jc w:val="both"/>
        <w:rPr>
          <w:rFonts w:ascii="宋体" w:hAnsi="宋体" w:eastAsia="宋体" w:cs="宋体"/>
          <w:color w:val="auto"/>
          <w:highlight w:val="none"/>
        </w:rPr>
      </w:pPr>
      <w:r>
        <w:rPr>
          <w:rFonts w:ascii="宋体" w:hAnsi="宋体" w:eastAsia="宋体" w:cs="宋体"/>
          <w:color w:val="auto"/>
          <w:highlight w:val="none"/>
        </w:rPr>
        <w:t>兹授权</w:t>
      </w:r>
      <w:r>
        <w:rPr>
          <w:rFonts w:hint="eastAsia" w:ascii="宋体" w:hAnsi="宋体" w:eastAsia="宋体" w:cs="宋体"/>
          <w:color w:val="auto"/>
          <w:highlight w:val="none"/>
          <w:u w:val="single"/>
        </w:rPr>
        <w:t xml:space="preserve">      </w:t>
      </w:r>
      <w:r>
        <w:rPr>
          <w:rFonts w:ascii="宋体" w:hAnsi="宋体" w:eastAsia="宋体" w:cs="宋体"/>
          <w:color w:val="auto"/>
          <w:highlight w:val="none"/>
        </w:rPr>
        <w:t>同志为我公司参加贵单位组织的编号为</w:t>
      </w:r>
      <w:r>
        <w:rPr>
          <w:rFonts w:hint="eastAsia" w:ascii="宋体" w:hAnsi="宋体" w:eastAsia="宋体" w:cs="宋体"/>
          <w:color w:val="auto"/>
          <w:highlight w:val="none"/>
          <w:u w:val="single"/>
        </w:rPr>
        <w:t>（</w:t>
      </w:r>
      <w:r>
        <w:rPr>
          <w:rFonts w:ascii="宋体" w:hAnsi="宋体" w:eastAsia="宋体" w:cs="宋体"/>
          <w:color w:val="auto"/>
          <w:highlight w:val="none"/>
          <w:u w:val="single"/>
        </w:rPr>
        <w:t>项目编号</w:t>
      </w:r>
      <w:r>
        <w:rPr>
          <w:rFonts w:hint="eastAsia" w:ascii="宋体" w:hAnsi="宋体" w:eastAsia="宋体" w:cs="宋体"/>
          <w:color w:val="auto"/>
          <w:highlight w:val="none"/>
          <w:u w:val="single"/>
        </w:rPr>
        <w:t>）</w:t>
      </w:r>
      <w:r>
        <w:rPr>
          <w:rFonts w:ascii="宋体" w:hAnsi="宋体" w:eastAsia="宋体" w:cs="宋体"/>
          <w:color w:val="auto"/>
          <w:highlight w:val="none"/>
        </w:rPr>
        <w:t>的</w:t>
      </w:r>
      <w:r>
        <w:rPr>
          <w:rFonts w:ascii="宋体" w:hAnsi="宋体" w:eastAsia="宋体" w:cs="宋体"/>
          <w:color w:val="auto"/>
          <w:highlight w:val="none"/>
          <w:u w:val="single"/>
        </w:rPr>
        <w:tab/>
      </w:r>
      <w:r>
        <w:rPr>
          <w:rFonts w:hint="eastAsia" w:ascii="宋体" w:hAnsi="宋体" w:eastAsia="宋体" w:cs="宋体"/>
          <w:color w:val="auto"/>
          <w:highlight w:val="none"/>
          <w:u w:val="single"/>
        </w:rPr>
        <w:t>（</w:t>
      </w:r>
      <w:r>
        <w:rPr>
          <w:rFonts w:ascii="宋体" w:hAnsi="宋体" w:eastAsia="宋体" w:cs="宋体"/>
          <w:color w:val="auto"/>
          <w:highlight w:val="none"/>
          <w:u w:val="single"/>
        </w:rPr>
        <w:t>项目名称</w:t>
      </w:r>
      <w:r>
        <w:rPr>
          <w:rFonts w:hint="eastAsia" w:ascii="宋体" w:hAnsi="宋体" w:eastAsia="宋体" w:cs="宋体"/>
          <w:color w:val="auto"/>
          <w:highlight w:val="none"/>
          <w:u w:val="single"/>
        </w:rPr>
        <w:t>）</w:t>
      </w:r>
      <w:r>
        <w:rPr>
          <w:rFonts w:ascii="宋体" w:hAnsi="宋体" w:eastAsia="宋体" w:cs="宋体"/>
          <w:color w:val="auto"/>
          <w:highlight w:val="none"/>
        </w:rPr>
        <w:t>采购活动的投标代表人，全权代表我公司处理在该项目采购活动中的一切事宜。代理期限从年月日起至年月日止。</w:t>
      </w:r>
    </w:p>
    <w:p w14:paraId="2AF53674">
      <w:pPr>
        <w:widowControl w:val="0"/>
        <w:kinsoku/>
        <w:topLinePunct/>
        <w:autoSpaceDE/>
        <w:autoSpaceDN/>
        <w:spacing w:line="420" w:lineRule="auto"/>
        <w:ind w:firstLine="420" w:firstLineChars="200"/>
        <w:rPr>
          <w:color w:val="auto"/>
          <w:highlight w:val="none"/>
        </w:rPr>
      </w:pPr>
    </w:p>
    <w:p w14:paraId="3FE5F4E8">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投标人</w:t>
      </w:r>
      <w:r>
        <w:rPr>
          <w:rFonts w:hint="eastAsia" w:ascii="宋体" w:hAnsi="宋体" w:eastAsia="宋体" w:cs="宋体"/>
          <w:color w:val="auto"/>
          <w:highlight w:val="none"/>
        </w:rPr>
        <w:t>（</w:t>
      </w:r>
      <w:r>
        <w:rPr>
          <w:rFonts w:ascii="宋体" w:hAnsi="宋体" w:eastAsia="宋体" w:cs="宋体"/>
          <w:color w:val="auto"/>
          <w:highlight w:val="none"/>
        </w:rPr>
        <w:t>电子签章</w:t>
      </w:r>
      <w:r>
        <w:rPr>
          <w:rFonts w:hint="eastAsia" w:ascii="宋体" w:hAnsi="宋体" w:eastAsia="宋体" w:cs="宋体"/>
          <w:color w:val="auto"/>
          <w:highlight w:val="none"/>
        </w:rPr>
        <w:t>）</w:t>
      </w:r>
      <w:r>
        <w:rPr>
          <w:rFonts w:ascii="宋体" w:hAnsi="宋体" w:eastAsia="宋体" w:cs="宋体"/>
          <w:color w:val="auto"/>
          <w:highlight w:val="none"/>
        </w:rPr>
        <w:t>：</w:t>
      </w:r>
    </w:p>
    <w:p w14:paraId="3A429279">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法定代表人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签名或签章</w:t>
      </w:r>
      <w:r>
        <w:rPr>
          <w:rFonts w:hint="eastAsia" w:ascii="宋体" w:hAnsi="宋体" w:eastAsia="宋体" w:cs="宋体"/>
          <w:color w:val="auto"/>
          <w:highlight w:val="none"/>
        </w:rPr>
        <w:t>）</w:t>
      </w:r>
      <w:r>
        <w:rPr>
          <w:rFonts w:ascii="宋体" w:hAnsi="宋体" w:eastAsia="宋体" w:cs="宋体"/>
          <w:color w:val="auto"/>
          <w:highlight w:val="none"/>
        </w:rPr>
        <w:t>：</w:t>
      </w:r>
    </w:p>
    <w:p w14:paraId="51DBA2B5">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签发日期：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0023E4">
      <w:pPr>
        <w:widowControl w:val="0"/>
        <w:kinsoku/>
        <w:topLinePunct/>
        <w:autoSpaceDE/>
        <w:autoSpaceDN/>
        <w:spacing w:line="420" w:lineRule="auto"/>
        <w:ind w:firstLine="420" w:firstLineChars="200"/>
        <w:rPr>
          <w:color w:val="auto"/>
          <w:highlight w:val="none"/>
        </w:rPr>
      </w:pPr>
    </w:p>
    <w:p w14:paraId="304ACA3C">
      <w:pPr>
        <w:widowControl w:val="0"/>
        <w:kinsoku/>
        <w:topLinePunct/>
        <w:autoSpaceDE/>
        <w:autoSpaceDN/>
        <w:spacing w:line="420" w:lineRule="auto"/>
        <w:ind w:firstLine="420" w:firstLineChars="200"/>
        <w:rPr>
          <w:color w:val="auto"/>
          <w:highlight w:val="none"/>
        </w:rPr>
      </w:pPr>
    </w:p>
    <w:p w14:paraId="289A10B0">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附：</w:t>
      </w:r>
    </w:p>
    <w:p w14:paraId="1946E000">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代理人工作单位：</w:t>
      </w:r>
      <w:r>
        <w:rPr>
          <w:rFonts w:hint="eastAsia" w:ascii="宋体" w:hAnsi="宋体" w:eastAsia="宋体" w:cs="宋体"/>
          <w:color w:val="auto"/>
          <w:highlight w:val="none"/>
          <w:u w:val="single"/>
        </w:rPr>
        <w:t xml:space="preserve">    </w:t>
      </w:r>
    </w:p>
    <w:p w14:paraId="65B35669">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ascii="宋体" w:hAnsi="宋体" w:eastAsia="宋体" w:cs="宋体"/>
          <w:color w:val="auto"/>
          <w:highlight w:val="none"/>
        </w:rPr>
        <w:t>性别：</w:t>
      </w:r>
      <w:r>
        <w:rPr>
          <w:rFonts w:hint="eastAsia" w:ascii="宋体" w:hAnsi="宋体" w:eastAsia="宋体" w:cs="宋体"/>
          <w:color w:val="auto"/>
          <w:highlight w:val="none"/>
          <w:u w:val="single"/>
        </w:rPr>
        <w:t xml:space="preserve">    </w:t>
      </w:r>
    </w:p>
    <w:p w14:paraId="19A7FAC9">
      <w:pPr>
        <w:widowControl w:val="0"/>
        <w:kinsoku/>
        <w:topLinePunct/>
        <w:autoSpaceDE/>
        <w:autoSpaceDN/>
        <w:spacing w:line="420" w:lineRule="auto"/>
        <w:ind w:firstLine="420" w:firstLineChars="200"/>
        <w:rPr>
          <w:rFonts w:ascii="宋体" w:hAnsi="宋体" w:eastAsia="宋体" w:cs="宋体"/>
          <w:color w:val="auto"/>
          <w:highlight w:val="none"/>
        </w:rPr>
      </w:pPr>
      <w:r>
        <w:rPr>
          <w:rFonts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7A620310">
      <w:pPr>
        <w:widowControl w:val="0"/>
        <w:kinsoku/>
        <w:topLinePunct/>
        <w:autoSpaceDE/>
        <w:autoSpaceDN/>
        <w:spacing w:line="420" w:lineRule="auto"/>
        <w:ind w:firstLine="420" w:firstLineChars="200"/>
        <w:rPr>
          <w:color w:val="auto"/>
          <w:highlight w:val="none"/>
        </w:rPr>
      </w:pPr>
    </w:p>
    <w:p w14:paraId="3AE19737">
      <w:pPr>
        <w:widowControl w:val="0"/>
        <w:kinsoku/>
        <w:topLinePunct/>
        <w:autoSpaceDE/>
        <w:autoSpaceDN/>
        <w:spacing w:line="420" w:lineRule="auto"/>
        <w:ind w:firstLine="420" w:firstLineChars="200"/>
        <w:rPr>
          <w:color w:val="auto"/>
          <w:highlight w:val="none"/>
        </w:rPr>
      </w:pPr>
    </w:p>
    <w:p w14:paraId="54EC9CFD">
      <w:pPr>
        <w:widowControl w:val="0"/>
        <w:kinsoku/>
        <w:topLinePunct/>
        <w:autoSpaceDE/>
        <w:autoSpaceDN/>
        <w:spacing w:line="420" w:lineRule="auto"/>
        <w:ind w:firstLine="420" w:firstLineChars="200"/>
        <w:rPr>
          <w:color w:val="auto"/>
          <w:highlight w:val="none"/>
        </w:rPr>
      </w:pPr>
    </w:p>
    <w:tbl>
      <w:tblPr>
        <w:tblStyle w:val="29"/>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793"/>
      </w:tblGrid>
      <w:tr w14:paraId="757DF2F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3" w:hRule="atLeast"/>
        </w:trPr>
        <w:tc>
          <w:tcPr>
            <w:tcW w:w="5000" w:type="pct"/>
          </w:tcPr>
          <w:p w14:paraId="6328247F">
            <w:pPr>
              <w:widowControl w:val="0"/>
              <w:kinsoku/>
              <w:topLinePunct/>
              <w:autoSpaceDE/>
              <w:autoSpaceDN/>
              <w:spacing w:line="420" w:lineRule="auto"/>
              <w:ind w:firstLine="420" w:firstLineChars="200"/>
              <w:outlineLvl w:val="1"/>
              <w:rPr>
                <w:rFonts w:ascii="宋体" w:hAnsi="宋体" w:eastAsia="宋体" w:cs="宋体"/>
                <w:color w:val="auto"/>
                <w:highlight w:val="none"/>
              </w:rPr>
            </w:pPr>
            <w:bookmarkStart w:id="289" w:name="_Toc132755500"/>
            <w:bookmarkStart w:id="290" w:name="_Toc132754841"/>
            <w:bookmarkStart w:id="291" w:name="_Toc28590"/>
            <w:bookmarkStart w:id="292" w:name="_Toc132755289"/>
            <w:r>
              <w:rPr>
                <w:rFonts w:ascii="宋体" w:hAnsi="宋体" w:eastAsia="宋体" w:cs="宋体"/>
                <w:color w:val="auto"/>
                <w:highlight w:val="none"/>
              </w:rPr>
              <w:t>粘贴被授权人身份证</w:t>
            </w:r>
            <w:r>
              <w:rPr>
                <w:rFonts w:hint="eastAsia" w:ascii="宋体" w:hAnsi="宋体" w:eastAsia="宋体" w:cs="宋体"/>
                <w:color w:val="auto"/>
                <w:highlight w:val="none"/>
                <w:lang w:val="en-US" w:eastAsia="zh-CN"/>
              </w:rPr>
              <w:t>正反面</w:t>
            </w:r>
            <w:r>
              <w:rPr>
                <w:rFonts w:hint="eastAsia" w:ascii="宋体" w:hAnsi="宋体" w:eastAsia="宋体" w:cs="宋体"/>
                <w:color w:val="auto"/>
                <w:highlight w:val="none"/>
              </w:rPr>
              <w:t>（</w:t>
            </w:r>
            <w:r>
              <w:rPr>
                <w:rFonts w:ascii="宋体" w:hAnsi="宋体" w:eastAsia="宋体" w:cs="宋体"/>
                <w:color w:val="auto"/>
                <w:highlight w:val="none"/>
              </w:rPr>
              <w:t>扫描件</w:t>
            </w:r>
            <w:r>
              <w:rPr>
                <w:rFonts w:hint="eastAsia" w:ascii="宋体" w:hAnsi="宋体" w:eastAsia="宋体" w:cs="宋体"/>
                <w:color w:val="auto"/>
                <w:highlight w:val="none"/>
              </w:rPr>
              <w:t>）</w:t>
            </w:r>
            <w:bookmarkEnd w:id="289"/>
            <w:bookmarkEnd w:id="290"/>
            <w:bookmarkEnd w:id="291"/>
            <w:bookmarkEnd w:id="292"/>
          </w:p>
        </w:tc>
      </w:tr>
    </w:tbl>
    <w:p w14:paraId="5EDF337A">
      <w:pPr>
        <w:widowControl w:val="0"/>
        <w:kinsoku/>
        <w:topLinePunct/>
        <w:autoSpaceDE/>
        <w:autoSpaceDN/>
        <w:spacing w:line="420" w:lineRule="auto"/>
        <w:ind w:firstLine="420" w:firstLineChars="200"/>
        <w:rPr>
          <w:color w:val="auto"/>
          <w:highlight w:val="none"/>
        </w:rPr>
      </w:pPr>
    </w:p>
    <w:p w14:paraId="7CA744DD">
      <w:pPr>
        <w:widowControl w:val="0"/>
        <w:kinsoku/>
        <w:topLinePunct/>
        <w:autoSpaceDE/>
        <w:autoSpaceDN/>
        <w:spacing w:line="420" w:lineRule="auto"/>
        <w:ind w:firstLine="420" w:firstLineChars="200"/>
        <w:rPr>
          <w:color w:val="auto"/>
          <w:highlight w:val="none"/>
        </w:rPr>
        <w:sectPr>
          <w:footerReference r:id="rId14" w:type="default"/>
          <w:pgSz w:w="11906" w:h="16839"/>
          <w:pgMar w:top="1247" w:right="1588" w:bottom="1247" w:left="1531" w:header="851" w:footer="851" w:gutter="0"/>
          <w:cols w:space="0" w:num="1"/>
        </w:sectPr>
      </w:pPr>
    </w:p>
    <w:p w14:paraId="0A5E2D90">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293" w:name="_bookmark62"/>
      <w:bookmarkEnd w:id="293"/>
      <w:bookmarkStart w:id="294" w:name="_Toc132754842"/>
      <w:bookmarkStart w:id="295" w:name="_Toc132755501"/>
      <w:bookmarkStart w:id="296" w:name="_Toc28587"/>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三、投标保证金</w:t>
      </w:r>
      <w:bookmarkEnd w:id="294"/>
      <w:bookmarkEnd w:id="295"/>
      <w:bookmarkEnd w:id="296"/>
    </w:p>
    <w:p w14:paraId="7B7A18AA">
      <w:pPr>
        <w:widowControl w:val="0"/>
        <w:kinsoku/>
        <w:topLinePunct/>
        <w:autoSpaceDE/>
        <w:autoSpaceDN/>
        <w:spacing w:line="42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w:t>
      </w:r>
    </w:p>
    <w:p w14:paraId="3B98A5AA">
      <w:pPr>
        <w:pStyle w:val="9"/>
        <w:rPr>
          <w:rFonts w:hint="eastAsia" w:asciiTheme="minorEastAsia" w:hAnsiTheme="minorEastAsia" w:eastAsiaTheme="minorEastAsia" w:cstheme="minorEastAsia"/>
          <w:snapToGrid w:val="0"/>
          <w:color w:val="auto"/>
          <w:sz w:val="21"/>
          <w:szCs w:val="21"/>
          <w:highlight w:val="none"/>
          <w:lang w:val="en-US" w:eastAsia="zh-CN" w:bidi="ar-SA"/>
        </w:rPr>
      </w:pPr>
      <w:r>
        <w:rPr>
          <w:rFonts w:hint="eastAsia" w:asciiTheme="minorEastAsia" w:hAnsiTheme="minorEastAsia" w:eastAsiaTheme="minorEastAsia" w:cstheme="minorEastAsia"/>
          <w:snapToGrid w:val="0"/>
          <w:color w:val="auto"/>
          <w:sz w:val="21"/>
          <w:szCs w:val="21"/>
          <w:highlight w:val="none"/>
          <w:lang w:val="en-US" w:eastAsia="zh-CN" w:bidi="ar-SA"/>
        </w:rPr>
        <w:t>提供投标保证转账凭证或保函/保单及基本户开户许可证或基本账户存款信息</w:t>
      </w:r>
    </w:p>
    <w:p w14:paraId="298A8BB2">
      <w:pPr>
        <w:widowControl w:val="0"/>
        <w:kinsoku/>
        <w:topLinePunct/>
        <w:autoSpaceDE/>
        <w:autoSpaceDN/>
        <w:spacing w:line="420" w:lineRule="auto"/>
        <w:rPr>
          <w:rFonts w:hint="eastAsia" w:asciiTheme="minorEastAsia" w:hAnsiTheme="minorEastAsia" w:eastAsiaTheme="minorEastAsia" w:cstheme="minorEastAsia"/>
          <w:snapToGrid w:val="0"/>
          <w:color w:val="auto"/>
          <w:sz w:val="21"/>
          <w:szCs w:val="21"/>
          <w:highlight w:val="none"/>
          <w:lang w:val="en-US" w:eastAsia="zh-CN" w:bidi="ar-SA"/>
        </w:rPr>
        <w:sectPr>
          <w:footerReference r:id="rId15" w:type="default"/>
          <w:pgSz w:w="11906" w:h="16839"/>
          <w:pgMar w:top="1247" w:right="1588" w:bottom="1247" w:left="1531" w:header="851" w:footer="851" w:gutter="0"/>
          <w:cols w:space="0" w:num="1"/>
        </w:sectPr>
      </w:pPr>
    </w:p>
    <w:p w14:paraId="4C2F8C30">
      <w:pPr>
        <w:widowControl w:val="0"/>
        <w:kinsoku/>
        <w:topLinePunct/>
        <w:autoSpaceDE/>
        <w:autoSpaceDN/>
        <w:spacing w:line="420" w:lineRule="auto"/>
        <w:rPr>
          <w:rFonts w:asciiTheme="minorEastAsia" w:hAnsiTheme="minorEastAsia" w:eastAsiaTheme="minorEastAsia" w:cstheme="minorEastAsia"/>
          <w:color w:val="auto"/>
          <w:highlight w:val="none"/>
        </w:rPr>
      </w:pPr>
      <w:bookmarkStart w:id="297" w:name="_bookmark64"/>
      <w:bookmarkEnd w:id="297"/>
      <w:bookmarkStart w:id="298" w:name="_Toc132755502"/>
      <w:bookmarkStart w:id="299" w:name="_Toc132754843"/>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四、中小企业声明函</w:t>
      </w:r>
      <w:bookmarkEnd w:id="298"/>
      <w:bookmarkEnd w:id="299"/>
    </w:p>
    <w:p w14:paraId="0B4D0EAA">
      <w:pPr>
        <w:spacing w:before="116" w:line="225" w:lineRule="auto"/>
        <w:ind w:left="1686"/>
        <w:jc w:val="left"/>
        <w:rPr>
          <w:rFonts w:ascii="宋体" w:hAnsi="宋体" w:eastAsia="宋体" w:cs="宋体"/>
          <w:color w:val="auto"/>
          <w:kern w:val="0"/>
          <w:sz w:val="35"/>
          <w:szCs w:val="35"/>
          <w:highlight w:val="none"/>
          <w:lang w:eastAsia="en-US"/>
        </w:rPr>
      </w:pPr>
      <w:bookmarkStart w:id="300" w:name="_bookmark65"/>
      <w:bookmarkEnd w:id="300"/>
      <w:bookmarkStart w:id="301" w:name="OLE_LINK2"/>
      <w:bookmarkStart w:id="302" w:name="_Toc132755503"/>
      <w:bookmarkStart w:id="303" w:name="_Toc132754844"/>
      <w:r>
        <w:rPr>
          <w:color w:val="auto"/>
          <w:kern w:val="0"/>
          <w:highlight w:val="none"/>
          <w:lang w:eastAsia="en-US"/>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9552305</wp:posOffset>
                </wp:positionV>
                <wp:extent cx="1828800" cy="0"/>
                <wp:effectExtent l="4445" t="4445" r="5080" b="5080"/>
                <wp:wrapNone/>
                <wp:docPr id="15" name="任意多边形 15"/>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90pt;margin-top:752.15pt;height:0pt;width:144pt;mso-position-horizontal-relative:page;mso-position-vertical-relative:page;z-index:251659264;mso-width-relative:page;mso-height-relative:page;" filled="f" stroked="t" coordsize="2880,1" o:allowincell="f" o:gfxdata="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Igk+9UAAAANAQAADwAAAAAAAAABACAAAAAiAAAAZHJzL2Rvd25yZXYueG1sUEsBAhQAFAAAAAgA&#10;h07iQFX4N6woAgAAiQQAAA4AAAAAAAAAAQAgAAAAJAEAAGRycy9lMm9Eb2MueG1sUEsFBgAAAAAG&#10;AAYAWQEAAL4FAAAAAA==&#10;" path="m0,0l2880,0e">
                <v:fill on="f" focussize="0,0"/>
                <v:stroke weight="0pt" color="#000000" joinstyle="bevel" endcap="square"/>
                <v:imagedata o:title=""/>
                <o:lock v:ext="edit" aspectratio="f"/>
              </v:shape>
            </w:pict>
          </mc:Fallback>
        </mc:AlternateContent>
      </w:r>
      <w:r>
        <w:rPr>
          <w:rFonts w:ascii="宋体" w:hAnsi="宋体" w:eastAsia="宋体" w:cs="宋体"/>
          <w:color w:val="auto"/>
          <w:spacing w:val="7"/>
          <w:kern w:val="0"/>
          <w:sz w:val="35"/>
          <w:szCs w:val="35"/>
          <w:highlight w:val="none"/>
          <w:lang w:eastAsia="en-US"/>
        </w:rPr>
        <w:t>中小企业声明函（工程、服务）</w:t>
      </w:r>
    </w:p>
    <w:p w14:paraId="273F028E">
      <w:pPr>
        <w:spacing w:line="274" w:lineRule="auto"/>
        <w:jc w:val="left"/>
        <w:rPr>
          <w:rFonts w:ascii="Arial"/>
          <w:color w:val="auto"/>
          <w:kern w:val="0"/>
          <w:sz w:val="21"/>
          <w:highlight w:val="none"/>
          <w:lang w:eastAsia="en-US"/>
        </w:rPr>
      </w:pPr>
    </w:p>
    <w:p w14:paraId="2ACCF28B">
      <w:pPr>
        <w:spacing w:line="275" w:lineRule="auto"/>
        <w:jc w:val="left"/>
        <w:rPr>
          <w:rFonts w:ascii="Arial"/>
          <w:color w:val="auto"/>
          <w:kern w:val="0"/>
          <w:sz w:val="21"/>
          <w:highlight w:val="none"/>
          <w:lang w:eastAsia="en-US"/>
        </w:rPr>
      </w:pPr>
    </w:p>
    <w:p w14:paraId="472A4C1E">
      <w:pPr>
        <w:kinsoku w:val="0"/>
        <w:autoSpaceDE w:val="0"/>
        <w:autoSpaceDN w:val="0"/>
        <w:adjustRightInd w:val="0"/>
        <w:snapToGrid w:val="0"/>
        <w:spacing w:before="101" w:line="306" w:lineRule="auto"/>
        <w:ind w:left="36" w:right="84" w:firstLine="640"/>
        <w:jc w:val="left"/>
        <w:textAlignment w:val="baseline"/>
        <w:rPr>
          <w:rFonts w:ascii="仿宋" w:hAnsi="仿宋" w:eastAsia="仿宋" w:cs="仿宋"/>
          <w:snapToGrid w:val="0"/>
          <w:color w:val="auto"/>
          <w:kern w:val="0"/>
          <w:sz w:val="28"/>
          <w:szCs w:val="28"/>
          <w:highlight w:val="none"/>
          <w:lang w:val="en-US" w:eastAsia="en-US" w:bidi="ar-SA"/>
        </w:rPr>
      </w:pPr>
      <w:r>
        <w:rPr>
          <w:rFonts w:ascii="仿宋" w:hAnsi="仿宋" w:eastAsia="仿宋" w:cs="仿宋"/>
          <w:snapToGrid w:val="0"/>
          <w:color w:val="auto"/>
          <w:spacing w:val="8"/>
          <w:kern w:val="0"/>
          <w:sz w:val="28"/>
          <w:szCs w:val="28"/>
          <w:highlight w:val="none"/>
          <w:lang w:val="en-US" w:eastAsia="en-US" w:bidi="ar-SA"/>
        </w:rPr>
        <w:t>本公司（联合体）郑重声明，根据《政府采购促进中小</w:t>
      </w:r>
      <w:r>
        <w:rPr>
          <w:rFonts w:ascii="仿宋" w:hAnsi="仿宋" w:eastAsia="仿宋" w:cs="仿宋"/>
          <w:snapToGrid w:val="0"/>
          <w:color w:val="auto"/>
          <w:spacing w:val="4"/>
          <w:kern w:val="0"/>
          <w:sz w:val="28"/>
          <w:szCs w:val="28"/>
          <w:highlight w:val="none"/>
          <w:lang w:val="en-US" w:eastAsia="en-US" w:bidi="ar-SA"/>
        </w:rPr>
        <w:t>企业发展管理办法》（财库</w:t>
      </w:r>
      <w:r>
        <w:rPr>
          <w:rFonts w:ascii="宋体" w:hAnsi="宋体" w:eastAsia="宋体" w:cs="宋体"/>
          <w:snapToGrid w:val="0"/>
          <w:color w:val="auto"/>
          <w:spacing w:val="4"/>
          <w:kern w:val="0"/>
          <w:sz w:val="28"/>
          <w:szCs w:val="28"/>
          <w:highlight w:val="none"/>
          <w:lang w:val="en-US" w:eastAsia="en-US" w:bidi="ar-SA"/>
        </w:rPr>
        <w:t>﹝</w:t>
      </w:r>
      <w:r>
        <w:rPr>
          <w:rFonts w:ascii="仿宋" w:hAnsi="仿宋" w:eastAsia="仿宋" w:cs="仿宋"/>
          <w:snapToGrid w:val="0"/>
          <w:color w:val="auto"/>
          <w:spacing w:val="4"/>
          <w:kern w:val="0"/>
          <w:sz w:val="28"/>
          <w:szCs w:val="28"/>
          <w:highlight w:val="none"/>
          <w:lang w:val="en-US" w:eastAsia="en-US" w:bidi="ar-SA"/>
        </w:rPr>
        <w:t>2020</w:t>
      </w:r>
      <w:r>
        <w:rPr>
          <w:rFonts w:ascii="宋体" w:hAnsi="宋体" w:eastAsia="宋体" w:cs="宋体"/>
          <w:snapToGrid w:val="0"/>
          <w:color w:val="auto"/>
          <w:spacing w:val="4"/>
          <w:kern w:val="0"/>
          <w:sz w:val="28"/>
          <w:szCs w:val="28"/>
          <w:highlight w:val="none"/>
          <w:lang w:val="en-US" w:eastAsia="en-US" w:bidi="ar-SA"/>
        </w:rPr>
        <w:t>﹞</w:t>
      </w:r>
      <w:r>
        <w:rPr>
          <w:rFonts w:ascii="仿宋" w:hAnsi="仿宋" w:eastAsia="仿宋" w:cs="仿宋"/>
          <w:snapToGrid w:val="0"/>
          <w:color w:val="auto"/>
          <w:spacing w:val="4"/>
          <w:kern w:val="0"/>
          <w:sz w:val="28"/>
          <w:szCs w:val="28"/>
          <w:highlight w:val="none"/>
          <w:lang w:val="en-US" w:eastAsia="en-US" w:bidi="ar-SA"/>
        </w:rPr>
        <w:t>46</w:t>
      </w:r>
      <w:r>
        <w:rPr>
          <w:rFonts w:ascii="仿宋" w:hAnsi="仿宋" w:eastAsia="仿宋" w:cs="仿宋"/>
          <w:snapToGrid w:val="0"/>
          <w:color w:val="auto"/>
          <w:spacing w:val="-44"/>
          <w:kern w:val="0"/>
          <w:sz w:val="28"/>
          <w:szCs w:val="28"/>
          <w:highlight w:val="none"/>
          <w:lang w:val="en-US" w:eastAsia="en-US" w:bidi="ar-SA"/>
        </w:rPr>
        <w:t xml:space="preserve"> </w:t>
      </w:r>
      <w:r>
        <w:rPr>
          <w:rFonts w:ascii="仿宋" w:hAnsi="仿宋" w:eastAsia="仿宋" w:cs="仿宋"/>
          <w:snapToGrid w:val="0"/>
          <w:color w:val="auto"/>
          <w:spacing w:val="4"/>
          <w:kern w:val="0"/>
          <w:sz w:val="28"/>
          <w:szCs w:val="28"/>
          <w:highlight w:val="none"/>
          <w:lang w:val="en-US" w:eastAsia="en-US" w:bidi="ar-SA"/>
        </w:rPr>
        <w:t>号）的规</w:t>
      </w:r>
      <w:r>
        <w:rPr>
          <w:rFonts w:ascii="仿宋" w:hAnsi="仿宋" w:eastAsia="仿宋" w:cs="仿宋"/>
          <w:snapToGrid w:val="0"/>
          <w:color w:val="auto"/>
          <w:spacing w:val="3"/>
          <w:kern w:val="0"/>
          <w:sz w:val="28"/>
          <w:szCs w:val="28"/>
          <w:highlight w:val="none"/>
          <w:lang w:val="en-US" w:eastAsia="en-US" w:bidi="ar-SA"/>
        </w:rPr>
        <w:t>定，本公司</w:t>
      </w:r>
      <w:r>
        <w:rPr>
          <w:rFonts w:ascii="仿宋" w:hAnsi="仿宋" w:eastAsia="仿宋" w:cs="仿宋"/>
          <w:snapToGrid w:val="0"/>
          <w:color w:val="auto"/>
          <w:spacing w:val="-1"/>
          <w:kern w:val="0"/>
          <w:sz w:val="28"/>
          <w:szCs w:val="28"/>
          <w:highlight w:val="none"/>
          <w:lang w:val="en-US" w:eastAsia="en-US" w:bidi="ar-SA"/>
        </w:rPr>
        <w:t>（联合体）参加</w:t>
      </w:r>
      <w:r>
        <w:rPr>
          <w:rFonts w:ascii="仿宋" w:hAnsi="仿宋" w:eastAsia="仿宋" w:cs="仿宋"/>
          <w:i/>
          <w:iCs/>
          <w:snapToGrid w:val="0"/>
          <w:color w:val="auto"/>
          <w:spacing w:val="-1"/>
          <w:kern w:val="0"/>
          <w:sz w:val="28"/>
          <w:szCs w:val="28"/>
          <w:highlight w:val="none"/>
          <w:u w:val="single" w:color="auto"/>
          <w:lang w:val="en-US" w:eastAsia="en-US" w:bidi="ar-SA"/>
        </w:rPr>
        <w:t>（单位名称）</w:t>
      </w:r>
      <w:r>
        <w:rPr>
          <w:rFonts w:ascii="仿宋" w:hAnsi="仿宋" w:eastAsia="仿宋" w:cs="仿宋"/>
          <w:snapToGrid w:val="0"/>
          <w:color w:val="auto"/>
          <w:spacing w:val="-1"/>
          <w:kern w:val="0"/>
          <w:sz w:val="28"/>
          <w:szCs w:val="28"/>
          <w:highlight w:val="none"/>
          <w:lang w:val="en-US" w:eastAsia="en-US" w:bidi="ar-SA"/>
        </w:rPr>
        <w:t>的</w:t>
      </w:r>
      <w:r>
        <w:rPr>
          <w:rFonts w:ascii="仿宋" w:hAnsi="仿宋" w:eastAsia="仿宋" w:cs="仿宋"/>
          <w:i/>
          <w:iCs/>
          <w:snapToGrid w:val="0"/>
          <w:color w:val="auto"/>
          <w:spacing w:val="-1"/>
          <w:kern w:val="0"/>
          <w:sz w:val="28"/>
          <w:szCs w:val="28"/>
          <w:highlight w:val="none"/>
          <w:u w:val="single" w:color="auto"/>
          <w:lang w:val="en-US" w:eastAsia="en-US" w:bidi="ar-SA"/>
        </w:rPr>
        <w:t>（项目名称）</w:t>
      </w:r>
      <w:r>
        <w:rPr>
          <w:rFonts w:ascii="仿宋" w:hAnsi="仿宋" w:eastAsia="仿宋" w:cs="仿宋"/>
          <w:snapToGrid w:val="0"/>
          <w:color w:val="auto"/>
          <w:spacing w:val="-1"/>
          <w:kern w:val="0"/>
          <w:sz w:val="28"/>
          <w:szCs w:val="28"/>
          <w:highlight w:val="none"/>
          <w:lang w:val="en-US" w:eastAsia="en-US" w:bidi="ar-SA"/>
        </w:rPr>
        <w:t>采购活动，工</w:t>
      </w:r>
      <w:r>
        <w:rPr>
          <w:rFonts w:ascii="仿宋" w:hAnsi="仿宋" w:eastAsia="仿宋" w:cs="仿宋"/>
          <w:snapToGrid w:val="0"/>
          <w:color w:val="auto"/>
          <w:spacing w:val="8"/>
          <w:kern w:val="0"/>
          <w:sz w:val="28"/>
          <w:szCs w:val="28"/>
          <w:highlight w:val="none"/>
          <w:lang w:val="en-US" w:eastAsia="en-US" w:bidi="ar-SA"/>
        </w:rPr>
        <w:t>程的施工单位全部为符合政策要求的中小企业（或者：服务全部由符合政策要求的中小企业承接）。相关企业（含联合体中的中小企业、签订分包意向协议的中小企业）的具体情</w:t>
      </w:r>
      <w:r>
        <w:rPr>
          <w:rFonts w:ascii="仿宋" w:hAnsi="仿宋" w:eastAsia="仿宋" w:cs="仿宋"/>
          <w:snapToGrid w:val="0"/>
          <w:color w:val="auto"/>
          <w:spacing w:val="1"/>
          <w:kern w:val="0"/>
          <w:sz w:val="28"/>
          <w:szCs w:val="28"/>
          <w:highlight w:val="none"/>
          <w:lang w:val="en-US" w:eastAsia="en-US" w:bidi="ar-SA"/>
        </w:rPr>
        <w:t>况如下：</w:t>
      </w:r>
    </w:p>
    <w:p w14:paraId="74CC7FE6">
      <w:pPr>
        <w:kinsoku w:val="0"/>
        <w:autoSpaceDE w:val="0"/>
        <w:autoSpaceDN w:val="0"/>
        <w:adjustRightInd w:val="0"/>
        <w:snapToGrid w:val="0"/>
        <w:spacing w:before="139" w:line="272" w:lineRule="auto"/>
        <w:ind w:left="18" w:firstLine="671"/>
        <w:jc w:val="left"/>
        <w:textAlignment w:val="baseline"/>
        <w:rPr>
          <w:rFonts w:ascii="仿宋" w:hAnsi="仿宋" w:eastAsia="仿宋" w:cs="仿宋"/>
          <w:snapToGrid w:val="0"/>
          <w:color w:val="auto"/>
          <w:kern w:val="0"/>
          <w:sz w:val="28"/>
          <w:szCs w:val="28"/>
          <w:highlight w:val="none"/>
          <w:lang w:val="en-US" w:eastAsia="en-US" w:bidi="ar-SA"/>
        </w:rPr>
      </w:pPr>
      <w:r>
        <w:rPr>
          <w:rFonts w:ascii="仿宋" w:hAnsi="仿宋" w:eastAsia="仿宋" w:cs="仿宋"/>
          <w:snapToGrid w:val="0"/>
          <w:color w:val="auto"/>
          <w:spacing w:val="-7"/>
          <w:kern w:val="0"/>
          <w:sz w:val="28"/>
          <w:szCs w:val="28"/>
          <w:highlight w:val="none"/>
          <w:lang w:val="en-US" w:eastAsia="en-US" w:bidi="ar-SA"/>
        </w:rPr>
        <w:t>1.</w:t>
      </w:r>
      <w:r>
        <w:rPr>
          <w:rFonts w:ascii="仿宋" w:hAnsi="仿宋" w:eastAsia="仿宋" w:cs="仿宋"/>
          <w:snapToGrid w:val="0"/>
          <w:color w:val="auto"/>
          <w:spacing w:val="-59"/>
          <w:kern w:val="0"/>
          <w:sz w:val="28"/>
          <w:szCs w:val="28"/>
          <w:highlight w:val="none"/>
          <w:u w:val="single" w:color="auto"/>
          <w:lang w:val="en-US" w:eastAsia="en-US" w:bidi="ar-SA"/>
        </w:rPr>
        <w:t xml:space="preserve"> </w:t>
      </w:r>
      <w:r>
        <w:rPr>
          <w:rFonts w:ascii="仿宋" w:hAnsi="仿宋" w:eastAsia="仿宋" w:cs="仿宋"/>
          <w:i/>
          <w:iCs/>
          <w:snapToGrid w:val="0"/>
          <w:color w:val="auto"/>
          <w:spacing w:val="-7"/>
          <w:kern w:val="0"/>
          <w:sz w:val="28"/>
          <w:szCs w:val="28"/>
          <w:highlight w:val="none"/>
          <w:u w:val="single" w:color="auto"/>
          <w:lang w:val="en-US" w:eastAsia="en-US" w:bidi="ar-SA"/>
        </w:rPr>
        <w:t>（标的名称</w:t>
      </w:r>
      <w:r>
        <w:rPr>
          <w:rFonts w:ascii="仿宋" w:hAnsi="仿宋" w:eastAsia="仿宋" w:cs="仿宋"/>
          <w:i/>
          <w:iCs/>
          <w:snapToGrid w:val="0"/>
          <w:color w:val="auto"/>
          <w:spacing w:val="-87"/>
          <w:w w:val="97"/>
          <w:kern w:val="0"/>
          <w:sz w:val="28"/>
          <w:szCs w:val="28"/>
          <w:highlight w:val="none"/>
          <w:u w:val="single" w:color="auto"/>
          <w:lang w:val="en-US" w:eastAsia="en-US" w:bidi="ar-SA"/>
        </w:rPr>
        <w:t>）</w:t>
      </w:r>
      <w:r>
        <w:rPr>
          <w:rFonts w:ascii="仿宋" w:hAnsi="仿宋" w:eastAsia="仿宋" w:cs="仿宋"/>
          <w:snapToGrid w:val="0"/>
          <w:color w:val="auto"/>
          <w:spacing w:val="-87"/>
          <w:w w:val="97"/>
          <w:kern w:val="0"/>
          <w:sz w:val="28"/>
          <w:szCs w:val="28"/>
          <w:highlight w:val="none"/>
          <w:lang w:val="en-US" w:eastAsia="en-US" w:bidi="ar-SA"/>
        </w:rPr>
        <w:t>，</w:t>
      </w:r>
      <w:r>
        <w:rPr>
          <w:rFonts w:ascii="仿宋" w:hAnsi="仿宋" w:eastAsia="仿宋" w:cs="仿宋"/>
          <w:snapToGrid w:val="0"/>
          <w:color w:val="auto"/>
          <w:spacing w:val="-7"/>
          <w:kern w:val="0"/>
          <w:sz w:val="28"/>
          <w:szCs w:val="28"/>
          <w:highlight w:val="none"/>
          <w:lang w:val="en-US" w:eastAsia="en-US" w:bidi="ar-SA"/>
        </w:rPr>
        <w:t>属于</w:t>
      </w:r>
      <w:r>
        <w:rPr>
          <w:rFonts w:ascii="仿宋" w:hAnsi="仿宋" w:eastAsia="仿宋" w:cs="仿宋"/>
          <w:i/>
          <w:iCs/>
          <w:snapToGrid w:val="0"/>
          <w:color w:val="auto"/>
          <w:spacing w:val="-7"/>
          <w:kern w:val="0"/>
          <w:sz w:val="28"/>
          <w:szCs w:val="28"/>
          <w:highlight w:val="none"/>
          <w:u w:val="single" w:color="auto"/>
          <w:lang w:val="en-US" w:eastAsia="en-US" w:bidi="ar-SA"/>
        </w:rPr>
        <w:t>（采购文件中明确的所属行业</w:t>
      </w:r>
      <w:r>
        <w:rPr>
          <w:rFonts w:ascii="仿宋" w:hAnsi="仿宋" w:eastAsia="仿宋" w:cs="仿宋"/>
          <w:i/>
          <w:iCs/>
          <w:snapToGrid w:val="0"/>
          <w:color w:val="auto"/>
          <w:spacing w:val="-87"/>
          <w:w w:val="97"/>
          <w:kern w:val="0"/>
          <w:sz w:val="28"/>
          <w:szCs w:val="28"/>
          <w:highlight w:val="none"/>
          <w:lang w:val="en-US" w:eastAsia="en-US" w:bidi="ar-SA"/>
        </w:rPr>
        <w:t>）</w:t>
      </w:r>
      <w:r>
        <w:rPr>
          <w:rFonts w:ascii="仿宋" w:hAnsi="仿宋" w:eastAsia="仿宋" w:cs="仿宋"/>
          <w:snapToGrid w:val="0"/>
          <w:color w:val="auto"/>
          <w:spacing w:val="-87"/>
          <w:w w:val="97"/>
          <w:kern w:val="0"/>
          <w:sz w:val="28"/>
          <w:szCs w:val="28"/>
          <w:highlight w:val="none"/>
          <w:lang w:val="en-US" w:eastAsia="en-US" w:bidi="ar-SA"/>
        </w:rPr>
        <w:t>；</w:t>
      </w:r>
      <w:r>
        <w:rPr>
          <w:rFonts w:ascii="仿宋" w:hAnsi="仿宋" w:eastAsia="仿宋" w:cs="仿宋"/>
          <w:snapToGrid w:val="0"/>
          <w:color w:val="auto"/>
          <w:kern w:val="0"/>
          <w:sz w:val="28"/>
          <w:szCs w:val="28"/>
          <w:highlight w:val="none"/>
          <w:lang w:val="en-US" w:eastAsia="en-US" w:bidi="ar-SA"/>
        </w:rPr>
        <w:t xml:space="preserve"> </w:t>
      </w:r>
      <w:r>
        <w:rPr>
          <w:rFonts w:ascii="仿宋" w:hAnsi="仿宋" w:eastAsia="仿宋" w:cs="仿宋"/>
          <w:snapToGrid w:val="0"/>
          <w:color w:val="auto"/>
          <w:spacing w:val="11"/>
          <w:kern w:val="0"/>
          <w:sz w:val="28"/>
          <w:szCs w:val="28"/>
          <w:highlight w:val="none"/>
          <w:lang w:val="en-US" w:eastAsia="en-US" w:bidi="ar-SA"/>
        </w:rPr>
        <w:t>承建（承接）企业为</w:t>
      </w:r>
      <w:r>
        <w:rPr>
          <w:rFonts w:ascii="仿宋" w:hAnsi="仿宋" w:eastAsia="仿宋" w:cs="仿宋"/>
          <w:i/>
          <w:iCs/>
          <w:snapToGrid w:val="0"/>
          <w:color w:val="auto"/>
          <w:spacing w:val="11"/>
          <w:kern w:val="0"/>
          <w:sz w:val="28"/>
          <w:szCs w:val="28"/>
          <w:highlight w:val="none"/>
          <w:u w:val="single" w:color="auto"/>
          <w:lang w:val="en-US" w:eastAsia="en-US" w:bidi="ar-SA"/>
        </w:rPr>
        <w:t>（企业名称</w:t>
      </w:r>
      <w:r>
        <w:rPr>
          <w:rFonts w:ascii="仿宋" w:hAnsi="仿宋" w:eastAsia="仿宋" w:cs="仿宋"/>
          <w:i/>
          <w:iCs/>
          <w:snapToGrid w:val="0"/>
          <w:color w:val="auto"/>
          <w:spacing w:val="-86"/>
          <w:w w:val="96"/>
          <w:kern w:val="0"/>
          <w:sz w:val="28"/>
          <w:szCs w:val="28"/>
          <w:highlight w:val="none"/>
          <w:lang w:val="en-US" w:eastAsia="en-US" w:bidi="ar-SA"/>
        </w:rPr>
        <w:t>）</w:t>
      </w:r>
      <w:r>
        <w:rPr>
          <w:rFonts w:ascii="仿宋" w:hAnsi="仿宋" w:eastAsia="仿宋" w:cs="仿宋"/>
          <w:snapToGrid w:val="0"/>
          <w:color w:val="auto"/>
          <w:spacing w:val="-86"/>
          <w:w w:val="96"/>
          <w:kern w:val="0"/>
          <w:sz w:val="28"/>
          <w:szCs w:val="28"/>
          <w:highlight w:val="none"/>
          <w:lang w:val="en-US" w:eastAsia="en-US" w:bidi="ar-SA"/>
        </w:rPr>
        <w:t>，</w:t>
      </w:r>
      <w:r>
        <w:rPr>
          <w:rFonts w:ascii="仿宋" w:hAnsi="仿宋" w:eastAsia="仿宋" w:cs="仿宋"/>
          <w:snapToGrid w:val="0"/>
          <w:color w:val="auto"/>
          <w:spacing w:val="11"/>
          <w:kern w:val="0"/>
          <w:sz w:val="28"/>
          <w:szCs w:val="28"/>
          <w:highlight w:val="none"/>
          <w:lang w:val="en-US" w:eastAsia="en-US" w:bidi="ar-SA"/>
        </w:rPr>
        <w:t>从业人员</w:t>
      </w:r>
      <w:r>
        <w:rPr>
          <w:rFonts w:ascii="仿宋" w:hAnsi="仿宋" w:eastAsia="仿宋" w:cs="仿宋"/>
          <w:snapToGrid w:val="0"/>
          <w:color w:val="auto"/>
          <w:spacing w:val="-148"/>
          <w:kern w:val="0"/>
          <w:sz w:val="28"/>
          <w:szCs w:val="28"/>
          <w:highlight w:val="none"/>
          <w:lang w:val="en-US" w:eastAsia="en-US" w:bidi="ar-SA"/>
        </w:rPr>
        <w:t xml:space="preserve"> </w:t>
      </w:r>
      <w:r>
        <w:rPr>
          <w:rFonts w:ascii="仿宋" w:hAnsi="仿宋" w:eastAsia="仿宋" w:cs="仿宋"/>
          <w:snapToGrid w:val="0"/>
          <w:color w:val="auto"/>
          <w:spacing w:val="10"/>
          <w:kern w:val="0"/>
          <w:sz w:val="28"/>
          <w:szCs w:val="28"/>
          <w:highlight w:val="none"/>
          <w:u w:val="single" w:color="auto"/>
          <w:lang w:val="en-US" w:eastAsia="en-US" w:bidi="ar-SA"/>
        </w:rPr>
        <w:t xml:space="preserve">    </w:t>
      </w:r>
      <w:r>
        <w:rPr>
          <w:rFonts w:ascii="仿宋" w:hAnsi="仿宋" w:eastAsia="仿宋" w:cs="仿宋"/>
          <w:snapToGrid w:val="0"/>
          <w:color w:val="auto"/>
          <w:spacing w:val="-128"/>
          <w:kern w:val="0"/>
          <w:sz w:val="28"/>
          <w:szCs w:val="28"/>
          <w:highlight w:val="none"/>
          <w:lang w:val="en-US" w:eastAsia="en-US" w:bidi="ar-SA"/>
        </w:rPr>
        <w:t xml:space="preserve"> </w:t>
      </w:r>
      <w:r>
        <w:rPr>
          <w:rFonts w:ascii="仿宋" w:hAnsi="仿宋" w:eastAsia="仿宋" w:cs="仿宋"/>
          <w:snapToGrid w:val="0"/>
          <w:color w:val="auto"/>
          <w:spacing w:val="11"/>
          <w:kern w:val="0"/>
          <w:sz w:val="28"/>
          <w:szCs w:val="28"/>
          <w:highlight w:val="none"/>
          <w:lang w:val="en-US" w:eastAsia="en-US" w:bidi="ar-SA"/>
        </w:rPr>
        <w:t>人，营业</w:t>
      </w:r>
      <w:r>
        <w:rPr>
          <w:rFonts w:ascii="仿宋" w:hAnsi="仿宋" w:eastAsia="仿宋" w:cs="仿宋"/>
          <w:snapToGrid w:val="0"/>
          <w:color w:val="auto"/>
          <w:spacing w:val="-1"/>
          <w:kern w:val="0"/>
          <w:sz w:val="28"/>
          <w:szCs w:val="28"/>
          <w:highlight w:val="none"/>
          <w:lang w:val="en-US" w:eastAsia="en-US" w:bidi="ar-SA"/>
        </w:rPr>
        <w:t>收入为</w:t>
      </w:r>
      <w:r>
        <w:rPr>
          <w:rFonts w:ascii="仿宋" w:hAnsi="仿宋" w:eastAsia="仿宋" w:cs="仿宋"/>
          <w:snapToGrid w:val="0"/>
          <w:color w:val="auto"/>
          <w:spacing w:val="-137"/>
          <w:kern w:val="0"/>
          <w:sz w:val="28"/>
          <w:szCs w:val="28"/>
          <w:highlight w:val="none"/>
          <w:lang w:val="en-US" w:eastAsia="en-US" w:bidi="ar-SA"/>
        </w:rPr>
        <w:t xml:space="preserve"> </w:t>
      </w:r>
      <w:r>
        <w:rPr>
          <w:rFonts w:ascii="仿宋" w:hAnsi="仿宋" w:eastAsia="仿宋" w:cs="仿宋"/>
          <w:snapToGrid w:val="0"/>
          <w:color w:val="auto"/>
          <w:spacing w:val="5"/>
          <w:kern w:val="0"/>
          <w:sz w:val="28"/>
          <w:szCs w:val="28"/>
          <w:highlight w:val="none"/>
          <w:u w:val="single" w:color="auto"/>
          <w:lang w:val="en-US" w:eastAsia="en-US" w:bidi="ar-SA"/>
        </w:rPr>
        <w:t xml:space="preserve">    </w:t>
      </w:r>
      <w:r>
        <w:rPr>
          <w:rFonts w:ascii="仿宋" w:hAnsi="仿宋" w:eastAsia="仿宋" w:cs="仿宋"/>
          <w:snapToGrid w:val="0"/>
          <w:color w:val="auto"/>
          <w:spacing w:val="-130"/>
          <w:kern w:val="0"/>
          <w:sz w:val="28"/>
          <w:szCs w:val="28"/>
          <w:highlight w:val="none"/>
          <w:lang w:val="en-US" w:eastAsia="en-US" w:bidi="ar-SA"/>
        </w:rPr>
        <w:t xml:space="preserve"> </w:t>
      </w:r>
      <w:r>
        <w:rPr>
          <w:rFonts w:ascii="仿宋" w:hAnsi="仿宋" w:eastAsia="仿宋" w:cs="仿宋"/>
          <w:snapToGrid w:val="0"/>
          <w:color w:val="auto"/>
          <w:spacing w:val="-1"/>
          <w:kern w:val="0"/>
          <w:sz w:val="28"/>
          <w:szCs w:val="28"/>
          <w:highlight w:val="none"/>
          <w:lang w:val="en-US" w:eastAsia="en-US" w:bidi="ar-SA"/>
        </w:rPr>
        <w:t>万元，资产总额为</w:t>
      </w:r>
      <w:r>
        <w:rPr>
          <w:rFonts w:ascii="仿宋" w:hAnsi="仿宋" w:eastAsia="仿宋" w:cs="仿宋"/>
          <w:snapToGrid w:val="0"/>
          <w:color w:val="auto"/>
          <w:spacing w:val="-155"/>
          <w:kern w:val="0"/>
          <w:sz w:val="28"/>
          <w:szCs w:val="28"/>
          <w:highlight w:val="none"/>
          <w:lang w:val="en-US" w:eastAsia="en-US" w:bidi="ar-SA"/>
        </w:rPr>
        <w:t xml:space="preserve"> </w:t>
      </w:r>
      <w:r>
        <w:rPr>
          <w:rFonts w:ascii="仿宋" w:hAnsi="仿宋" w:eastAsia="仿宋" w:cs="仿宋"/>
          <w:snapToGrid w:val="0"/>
          <w:color w:val="auto"/>
          <w:spacing w:val="5"/>
          <w:kern w:val="0"/>
          <w:sz w:val="28"/>
          <w:szCs w:val="28"/>
          <w:highlight w:val="none"/>
          <w:u w:val="single" w:color="auto"/>
          <w:lang w:val="en-US" w:eastAsia="en-US" w:bidi="ar-SA"/>
        </w:rPr>
        <w:t xml:space="preserve">    </w:t>
      </w:r>
      <w:r>
        <w:rPr>
          <w:rFonts w:ascii="仿宋" w:hAnsi="仿宋" w:eastAsia="仿宋" w:cs="仿宋"/>
          <w:snapToGrid w:val="0"/>
          <w:color w:val="auto"/>
          <w:spacing w:val="-131"/>
          <w:kern w:val="0"/>
          <w:sz w:val="28"/>
          <w:szCs w:val="28"/>
          <w:highlight w:val="none"/>
          <w:lang w:val="en-US" w:eastAsia="en-US" w:bidi="ar-SA"/>
        </w:rPr>
        <w:t xml:space="preserve"> </w:t>
      </w:r>
      <w:r>
        <w:rPr>
          <w:rFonts w:ascii="仿宋" w:hAnsi="仿宋" w:eastAsia="仿宋" w:cs="仿宋"/>
          <w:snapToGrid w:val="0"/>
          <w:color w:val="auto"/>
          <w:spacing w:val="-1"/>
          <w:kern w:val="0"/>
          <w:sz w:val="28"/>
          <w:szCs w:val="28"/>
          <w:highlight w:val="none"/>
          <w:lang w:val="en-US" w:eastAsia="en-US" w:bidi="ar-SA"/>
        </w:rPr>
        <w:t>万元</w:t>
      </w:r>
      <w:r>
        <w:rPr>
          <w:rFonts w:ascii="仿宋" w:hAnsi="仿宋" w:eastAsia="仿宋" w:cs="仿宋"/>
          <w:snapToGrid w:val="0"/>
          <w:color w:val="auto"/>
          <w:kern w:val="0"/>
          <w:sz w:val="28"/>
          <w:szCs w:val="28"/>
          <w:highlight w:val="none"/>
          <w:lang w:val="en-US" w:eastAsia="en-US" w:bidi="ar-SA"/>
        </w:rPr>
        <w:fldChar w:fldCharType="begin"/>
      </w:r>
      <w:r>
        <w:rPr>
          <w:rFonts w:ascii="仿宋" w:hAnsi="仿宋" w:eastAsia="仿宋" w:cs="仿宋"/>
          <w:snapToGrid w:val="0"/>
          <w:color w:val="auto"/>
          <w:kern w:val="0"/>
          <w:sz w:val="28"/>
          <w:szCs w:val="28"/>
          <w:highlight w:val="none"/>
          <w:lang w:val="en-US" w:eastAsia="en-US" w:bidi="ar-SA"/>
        </w:rPr>
        <w:instrText xml:space="preserve"> HYPERLINK \l "bookmark1" </w:instrText>
      </w:r>
      <w:r>
        <w:rPr>
          <w:rFonts w:ascii="仿宋" w:hAnsi="仿宋" w:eastAsia="仿宋" w:cs="仿宋"/>
          <w:snapToGrid w:val="0"/>
          <w:color w:val="auto"/>
          <w:kern w:val="0"/>
          <w:sz w:val="28"/>
          <w:szCs w:val="28"/>
          <w:highlight w:val="none"/>
          <w:lang w:val="en-US" w:eastAsia="en-US" w:bidi="ar-SA"/>
        </w:rPr>
        <w:fldChar w:fldCharType="separate"/>
      </w:r>
      <w:r>
        <w:rPr>
          <w:rFonts w:ascii="仿宋" w:hAnsi="仿宋" w:eastAsia="仿宋" w:cs="仿宋"/>
          <w:snapToGrid w:val="0"/>
          <w:color w:val="auto"/>
          <w:spacing w:val="-1"/>
          <w:kern w:val="0"/>
          <w:position w:val="16"/>
          <w:sz w:val="28"/>
          <w:szCs w:val="28"/>
          <w:highlight w:val="none"/>
          <w:lang w:val="en-US" w:eastAsia="en-US" w:bidi="ar-SA"/>
        </w:rPr>
        <w:t>1</w:t>
      </w:r>
      <w:r>
        <w:rPr>
          <w:rFonts w:ascii="仿宋" w:hAnsi="仿宋" w:eastAsia="仿宋" w:cs="仿宋"/>
          <w:snapToGrid w:val="0"/>
          <w:color w:val="auto"/>
          <w:spacing w:val="-1"/>
          <w:kern w:val="0"/>
          <w:position w:val="16"/>
          <w:sz w:val="28"/>
          <w:szCs w:val="28"/>
          <w:highlight w:val="none"/>
          <w:lang w:val="en-US" w:eastAsia="en-US" w:bidi="ar-SA"/>
        </w:rPr>
        <w:fldChar w:fldCharType="end"/>
      </w:r>
      <w:r>
        <w:rPr>
          <w:rFonts w:ascii="仿宋" w:hAnsi="仿宋" w:eastAsia="仿宋" w:cs="仿宋"/>
          <w:snapToGrid w:val="0"/>
          <w:color w:val="auto"/>
          <w:spacing w:val="-37"/>
          <w:kern w:val="0"/>
          <w:position w:val="16"/>
          <w:sz w:val="28"/>
          <w:szCs w:val="28"/>
          <w:highlight w:val="none"/>
          <w:lang w:val="en-US" w:eastAsia="en-US" w:bidi="ar-SA"/>
        </w:rPr>
        <w:t xml:space="preserve"> </w:t>
      </w:r>
      <w:r>
        <w:rPr>
          <w:rFonts w:ascii="仿宋" w:hAnsi="仿宋" w:eastAsia="仿宋" w:cs="仿宋"/>
          <w:snapToGrid w:val="0"/>
          <w:color w:val="auto"/>
          <w:spacing w:val="-1"/>
          <w:kern w:val="0"/>
          <w:sz w:val="28"/>
          <w:szCs w:val="28"/>
          <w:highlight w:val="none"/>
          <w:lang w:val="en-US" w:eastAsia="en-US" w:bidi="ar-SA"/>
        </w:rPr>
        <w:t>，属于</w:t>
      </w:r>
      <w:r>
        <w:rPr>
          <w:rFonts w:ascii="仿宋" w:hAnsi="仿宋" w:eastAsia="仿宋" w:cs="仿宋"/>
          <w:i/>
          <w:iCs/>
          <w:snapToGrid w:val="0"/>
          <w:color w:val="auto"/>
          <w:spacing w:val="-1"/>
          <w:kern w:val="0"/>
          <w:sz w:val="28"/>
          <w:szCs w:val="28"/>
          <w:highlight w:val="none"/>
          <w:u w:val="single" w:color="auto"/>
          <w:lang w:val="en-US" w:eastAsia="en-US" w:bidi="ar-SA"/>
        </w:rPr>
        <w:t>（中型企业、小型企业、微型企业</w:t>
      </w:r>
      <w:r>
        <w:rPr>
          <w:rFonts w:ascii="仿宋" w:hAnsi="仿宋" w:eastAsia="仿宋" w:cs="仿宋"/>
          <w:i/>
          <w:iCs/>
          <w:snapToGrid w:val="0"/>
          <w:color w:val="auto"/>
          <w:spacing w:val="-88"/>
          <w:w w:val="97"/>
          <w:kern w:val="0"/>
          <w:sz w:val="28"/>
          <w:szCs w:val="28"/>
          <w:highlight w:val="none"/>
          <w:lang w:val="en-US" w:eastAsia="en-US" w:bidi="ar-SA"/>
        </w:rPr>
        <w:t>）</w:t>
      </w:r>
      <w:r>
        <w:rPr>
          <w:rFonts w:ascii="仿宋" w:hAnsi="仿宋" w:eastAsia="仿宋" w:cs="仿宋"/>
          <w:snapToGrid w:val="0"/>
          <w:color w:val="auto"/>
          <w:spacing w:val="-88"/>
          <w:w w:val="97"/>
          <w:kern w:val="0"/>
          <w:sz w:val="28"/>
          <w:szCs w:val="28"/>
          <w:highlight w:val="none"/>
          <w:lang w:val="en-US" w:eastAsia="en-US" w:bidi="ar-SA"/>
        </w:rPr>
        <w:t>；</w:t>
      </w:r>
    </w:p>
    <w:p w14:paraId="5425AFF5">
      <w:pPr>
        <w:kinsoku w:val="0"/>
        <w:autoSpaceDE w:val="0"/>
        <w:autoSpaceDN w:val="0"/>
        <w:adjustRightInd w:val="0"/>
        <w:snapToGrid w:val="0"/>
        <w:spacing w:before="131" w:line="291" w:lineRule="auto"/>
        <w:ind w:left="35" w:firstLine="634"/>
        <w:jc w:val="left"/>
        <w:textAlignment w:val="baseline"/>
        <w:rPr>
          <w:rFonts w:ascii="仿宋" w:hAnsi="仿宋" w:eastAsia="仿宋" w:cs="仿宋"/>
          <w:snapToGrid w:val="0"/>
          <w:color w:val="auto"/>
          <w:kern w:val="0"/>
          <w:sz w:val="28"/>
          <w:szCs w:val="28"/>
          <w:highlight w:val="none"/>
          <w:lang w:val="en-US" w:eastAsia="en-US" w:bidi="ar-SA"/>
        </w:rPr>
      </w:pPr>
      <w:r>
        <w:rPr>
          <w:rFonts w:ascii="仿宋" w:hAnsi="仿宋" w:eastAsia="仿宋" w:cs="仿宋"/>
          <w:snapToGrid w:val="0"/>
          <w:color w:val="auto"/>
          <w:spacing w:val="-6"/>
          <w:kern w:val="0"/>
          <w:sz w:val="28"/>
          <w:szCs w:val="28"/>
          <w:highlight w:val="none"/>
          <w:lang w:val="en-US" w:eastAsia="en-US" w:bidi="ar-SA"/>
        </w:rPr>
        <w:t>2.</w:t>
      </w:r>
      <w:r>
        <w:rPr>
          <w:rFonts w:ascii="仿宋" w:hAnsi="仿宋" w:eastAsia="仿宋" w:cs="仿宋"/>
          <w:snapToGrid w:val="0"/>
          <w:color w:val="auto"/>
          <w:spacing w:val="-48"/>
          <w:kern w:val="0"/>
          <w:sz w:val="28"/>
          <w:szCs w:val="28"/>
          <w:highlight w:val="none"/>
          <w:u w:val="single" w:color="auto"/>
          <w:lang w:val="en-US" w:eastAsia="en-US" w:bidi="ar-SA"/>
        </w:rPr>
        <w:t xml:space="preserve"> </w:t>
      </w:r>
      <w:r>
        <w:rPr>
          <w:rFonts w:ascii="仿宋" w:hAnsi="仿宋" w:eastAsia="仿宋" w:cs="仿宋"/>
          <w:i/>
          <w:iCs/>
          <w:snapToGrid w:val="0"/>
          <w:color w:val="auto"/>
          <w:spacing w:val="-6"/>
          <w:kern w:val="0"/>
          <w:sz w:val="28"/>
          <w:szCs w:val="28"/>
          <w:highlight w:val="none"/>
          <w:u w:val="single" w:color="auto"/>
          <w:lang w:val="en-US" w:eastAsia="en-US" w:bidi="ar-SA"/>
        </w:rPr>
        <w:t>（标的名称</w:t>
      </w:r>
      <w:r>
        <w:rPr>
          <w:rFonts w:ascii="仿宋" w:hAnsi="仿宋" w:eastAsia="仿宋" w:cs="仿宋"/>
          <w:i/>
          <w:iCs/>
          <w:snapToGrid w:val="0"/>
          <w:color w:val="auto"/>
          <w:spacing w:val="-87"/>
          <w:w w:val="96"/>
          <w:kern w:val="0"/>
          <w:sz w:val="28"/>
          <w:szCs w:val="28"/>
          <w:highlight w:val="none"/>
          <w:u w:val="single" w:color="auto"/>
          <w:lang w:val="en-US" w:eastAsia="en-US" w:bidi="ar-SA"/>
        </w:rPr>
        <w:t>）</w:t>
      </w:r>
      <w:r>
        <w:rPr>
          <w:rFonts w:ascii="仿宋" w:hAnsi="仿宋" w:eastAsia="仿宋" w:cs="仿宋"/>
          <w:snapToGrid w:val="0"/>
          <w:color w:val="auto"/>
          <w:spacing w:val="-87"/>
          <w:w w:val="96"/>
          <w:kern w:val="0"/>
          <w:sz w:val="28"/>
          <w:szCs w:val="28"/>
          <w:highlight w:val="none"/>
          <w:lang w:val="en-US" w:eastAsia="en-US" w:bidi="ar-SA"/>
        </w:rPr>
        <w:t>，</w:t>
      </w:r>
      <w:r>
        <w:rPr>
          <w:rFonts w:ascii="仿宋" w:hAnsi="仿宋" w:eastAsia="仿宋" w:cs="仿宋"/>
          <w:snapToGrid w:val="0"/>
          <w:color w:val="auto"/>
          <w:spacing w:val="-6"/>
          <w:kern w:val="0"/>
          <w:sz w:val="28"/>
          <w:szCs w:val="28"/>
          <w:highlight w:val="none"/>
          <w:lang w:val="en-US" w:eastAsia="en-US" w:bidi="ar-SA"/>
        </w:rPr>
        <w:t>属于</w:t>
      </w:r>
      <w:r>
        <w:rPr>
          <w:rFonts w:ascii="仿宋" w:hAnsi="仿宋" w:eastAsia="仿宋" w:cs="仿宋"/>
          <w:i/>
          <w:iCs/>
          <w:snapToGrid w:val="0"/>
          <w:color w:val="auto"/>
          <w:spacing w:val="-6"/>
          <w:kern w:val="0"/>
          <w:sz w:val="28"/>
          <w:szCs w:val="28"/>
          <w:highlight w:val="none"/>
          <w:u w:val="single" w:color="auto"/>
          <w:lang w:val="en-US" w:eastAsia="en-US" w:bidi="ar-SA"/>
        </w:rPr>
        <w:t>（采购文件中明确的所属行业</w:t>
      </w:r>
      <w:r>
        <w:rPr>
          <w:rFonts w:ascii="仿宋" w:hAnsi="仿宋" w:eastAsia="仿宋" w:cs="仿宋"/>
          <w:i/>
          <w:iCs/>
          <w:snapToGrid w:val="0"/>
          <w:color w:val="auto"/>
          <w:spacing w:val="-87"/>
          <w:w w:val="96"/>
          <w:kern w:val="0"/>
          <w:sz w:val="28"/>
          <w:szCs w:val="28"/>
          <w:highlight w:val="none"/>
          <w:lang w:val="en-US" w:eastAsia="en-US" w:bidi="ar-SA"/>
        </w:rPr>
        <w:t>）</w:t>
      </w:r>
      <w:r>
        <w:rPr>
          <w:rFonts w:ascii="仿宋" w:hAnsi="仿宋" w:eastAsia="仿宋" w:cs="仿宋"/>
          <w:snapToGrid w:val="0"/>
          <w:color w:val="auto"/>
          <w:spacing w:val="-87"/>
          <w:w w:val="96"/>
          <w:kern w:val="0"/>
          <w:sz w:val="28"/>
          <w:szCs w:val="28"/>
          <w:highlight w:val="none"/>
          <w:lang w:val="en-US" w:eastAsia="en-US" w:bidi="ar-SA"/>
        </w:rPr>
        <w:t>；</w:t>
      </w:r>
      <w:r>
        <w:rPr>
          <w:rFonts w:ascii="仿宋" w:hAnsi="仿宋" w:eastAsia="仿宋" w:cs="仿宋"/>
          <w:snapToGrid w:val="0"/>
          <w:color w:val="auto"/>
          <w:kern w:val="0"/>
          <w:sz w:val="28"/>
          <w:szCs w:val="28"/>
          <w:highlight w:val="none"/>
          <w:lang w:val="en-US" w:eastAsia="en-US" w:bidi="ar-SA"/>
        </w:rPr>
        <w:t xml:space="preserve"> </w:t>
      </w:r>
      <w:r>
        <w:rPr>
          <w:rFonts w:ascii="仿宋" w:hAnsi="仿宋" w:eastAsia="仿宋" w:cs="仿宋"/>
          <w:snapToGrid w:val="0"/>
          <w:color w:val="auto"/>
          <w:spacing w:val="10"/>
          <w:kern w:val="0"/>
          <w:sz w:val="28"/>
          <w:szCs w:val="28"/>
          <w:highlight w:val="none"/>
          <w:lang w:val="en-US" w:eastAsia="en-US" w:bidi="ar-SA"/>
        </w:rPr>
        <w:t>承建（承接）企业为</w:t>
      </w:r>
      <w:r>
        <w:rPr>
          <w:rFonts w:ascii="仿宋" w:hAnsi="仿宋" w:eastAsia="仿宋" w:cs="仿宋"/>
          <w:i/>
          <w:iCs/>
          <w:snapToGrid w:val="0"/>
          <w:color w:val="auto"/>
          <w:spacing w:val="10"/>
          <w:kern w:val="0"/>
          <w:sz w:val="28"/>
          <w:szCs w:val="28"/>
          <w:highlight w:val="none"/>
          <w:u w:val="single" w:color="auto"/>
          <w:lang w:val="en-US" w:eastAsia="en-US" w:bidi="ar-SA"/>
        </w:rPr>
        <w:t>（企业名称</w:t>
      </w:r>
      <w:r>
        <w:rPr>
          <w:rFonts w:ascii="仿宋" w:hAnsi="仿宋" w:eastAsia="仿宋" w:cs="仿宋"/>
          <w:i/>
          <w:iCs/>
          <w:snapToGrid w:val="0"/>
          <w:color w:val="auto"/>
          <w:spacing w:val="-87"/>
          <w:w w:val="97"/>
          <w:kern w:val="0"/>
          <w:sz w:val="28"/>
          <w:szCs w:val="28"/>
          <w:highlight w:val="none"/>
          <w:lang w:val="en-US" w:eastAsia="en-US" w:bidi="ar-SA"/>
        </w:rPr>
        <w:t>）</w:t>
      </w:r>
      <w:r>
        <w:rPr>
          <w:rFonts w:ascii="仿宋" w:hAnsi="仿宋" w:eastAsia="仿宋" w:cs="仿宋"/>
          <w:snapToGrid w:val="0"/>
          <w:color w:val="auto"/>
          <w:spacing w:val="-87"/>
          <w:w w:val="97"/>
          <w:kern w:val="0"/>
          <w:sz w:val="28"/>
          <w:szCs w:val="28"/>
          <w:highlight w:val="none"/>
          <w:lang w:val="en-US" w:eastAsia="en-US" w:bidi="ar-SA"/>
        </w:rPr>
        <w:t>，</w:t>
      </w:r>
      <w:r>
        <w:rPr>
          <w:rFonts w:ascii="仿宋" w:hAnsi="仿宋" w:eastAsia="仿宋" w:cs="仿宋"/>
          <w:snapToGrid w:val="0"/>
          <w:color w:val="auto"/>
          <w:spacing w:val="10"/>
          <w:kern w:val="0"/>
          <w:sz w:val="28"/>
          <w:szCs w:val="28"/>
          <w:highlight w:val="none"/>
          <w:lang w:val="en-US" w:eastAsia="en-US" w:bidi="ar-SA"/>
        </w:rPr>
        <w:t>从业人员</w:t>
      </w:r>
      <w:r>
        <w:rPr>
          <w:rFonts w:ascii="仿宋" w:hAnsi="仿宋" w:eastAsia="仿宋" w:cs="仿宋"/>
          <w:snapToGrid w:val="0"/>
          <w:color w:val="auto"/>
          <w:spacing w:val="-147"/>
          <w:kern w:val="0"/>
          <w:sz w:val="28"/>
          <w:szCs w:val="28"/>
          <w:highlight w:val="none"/>
          <w:lang w:val="en-US" w:eastAsia="en-US" w:bidi="ar-SA"/>
        </w:rPr>
        <w:t xml:space="preserve"> </w:t>
      </w:r>
      <w:r>
        <w:rPr>
          <w:rFonts w:ascii="仿宋" w:hAnsi="仿宋" w:eastAsia="仿宋" w:cs="仿宋"/>
          <w:snapToGrid w:val="0"/>
          <w:color w:val="auto"/>
          <w:spacing w:val="10"/>
          <w:kern w:val="0"/>
          <w:sz w:val="28"/>
          <w:szCs w:val="28"/>
          <w:highlight w:val="none"/>
          <w:u w:val="single" w:color="auto"/>
          <w:lang w:val="en-US" w:eastAsia="en-US" w:bidi="ar-SA"/>
        </w:rPr>
        <w:t xml:space="preserve">    </w:t>
      </w:r>
      <w:r>
        <w:rPr>
          <w:rFonts w:ascii="仿宋" w:hAnsi="仿宋" w:eastAsia="仿宋" w:cs="仿宋"/>
          <w:snapToGrid w:val="0"/>
          <w:color w:val="auto"/>
          <w:spacing w:val="-129"/>
          <w:kern w:val="0"/>
          <w:sz w:val="28"/>
          <w:szCs w:val="28"/>
          <w:highlight w:val="none"/>
          <w:lang w:val="en-US" w:eastAsia="en-US" w:bidi="ar-SA"/>
        </w:rPr>
        <w:t xml:space="preserve"> </w:t>
      </w:r>
      <w:r>
        <w:rPr>
          <w:rFonts w:ascii="仿宋" w:hAnsi="仿宋" w:eastAsia="仿宋" w:cs="仿宋"/>
          <w:snapToGrid w:val="0"/>
          <w:color w:val="auto"/>
          <w:spacing w:val="10"/>
          <w:kern w:val="0"/>
          <w:sz w:val="28"/>
          <w:szCs w:val="28"/>
          <w:highlight w:val="none"/>
          <w:lang w:val="en-US" w:eastAsia="en-US" w:bidi="ar-SA"/>
        </w:rPr>
        <w:t>人，营业</w:t>
      </w:r>
      <w:r>
        <w:rPr>
          <w:rFonts w:ascii="仿宋" w:hAnsi="仿宋" w:eastAsia="仿宋" w:cs="仿宋"/>
          <w:snapToGrid w:val="0"/>
          <w:color w:val="auto"/>
          <w:kern w:val="0"/>
          <w:sz w:val="28"/>
          <w:szCs w:val="28"/>
          <w:highlight w:val="none"/>
          <w:lang w:val="en-US" w:eastAsia="en-US" w:bidi="ar-SA"/>
        </w:rPr>
        <w:t xml:space="preserve"> 收入为</w:t>
      </w:r>
      <w:r>
        <w:rPr>
          <w:rFonts w:ascii="仿宋" w:hAnsi="仿宋" w:eastAsia="仿宋" w:cs="仿宋"/>
          <w:snapToGrid w:val="0"/>
          <w:color w:val="auto"/>
          <w:spacing w:val="-141"/>
          <w:kern w:val="0"/>
          <w:sz w:val="28"/>
          <w:szCs w:val="28"/>
          <w:highlight w:val="none"/>
          <w:lang w:val="en-US" w:eastAsia="en-US" w:bidi="ar-SA"/>
        </w:rPr>
        <w:t xml:space="preserve"> </w:t>
      </w:r>
      <w:r>
        <w:rPr>
          <w:rFonts w:ascii="仿宋" w:hAnsi="仿宋" w:eastAsia="仿宋" w:cs="仿宋"/>
          <w:snapToGrid w:val="0"/>
          <w:color w:val="auto"/>
          <w:spacing w:val="5"/>
          <w:kern w:val="0"/>
          <w:sz w:val="28"/>
          <w:szCs w:val="28"/>
          <w:highlight w:val="none"/>
          <w:u w:val="single" w:color="auto"/>
          <w:lang w:val="en-US" w:eastAsia="en-US" w:bidi="ar-SA"/>
        </w:rPr>
        <w:t xml:space="preserve">    </w:t>
      </w:r>
      <w:r>
        <w:rPr>
          <w:rFonts w:ascii="仿宋" w:hAnsi="仿宋" w:eastAsia="仿宋" w:cs="仿宋"/>
          <w:snapToGrid w:val="0"/>
          <w:color w:val="auto"/>
          <w:spacing w:val="-130"/>
          <w:kern w:val="0"/>
          <w:sz w:val="28"/>
          <w:szCs w:val="28"/>
          <w:highlight w:val="none"/>
          <w:lang w:val="en-US" w:eastAsia="en-US" w:bidi="ar-SA"/>
        </w:rPr>
        <w:t xml:space="preserve"> </w:t>
      </w:r>
      <w:r>
        <w:rPr>
          <w:rFonts w:ascii="仿宋" w:hAnsi="仿宋" w:eastAsia="仿宋" w:cs="仿宋"/>
          <w:snapToGrid w:val="0"/>
          <w:color w:val="auto"/>
          <w:kern w:val="0"/>
          <w:sz w:val="28"/>
          <w:szCs w:val="28"/>
          <w:highlight w:val="none"/>
          <w:lang w:val="en-US" w:eastAsia="en-US" w:bidi="ar-SA"/>
        </w:rPr>
        <w:t>万元，资产总额为</w:t>
      </w:r>
      <w:r>
        <w:rPr>
          <w:rFonts w:ascii="仿宋" w:hAnsi="仿宋" w:eastAsia="仿宋" w:cs="仿宋"/>
          <w:snapToGrid w:val="0"/>
          <w:color w:val="auto"/>
          <w:spacing w:val="-155"/>
          <w:kern w:val="0"/>
          <w:sz w:val="28"/>
          <w:szCs w:val="28"/>
          <w:highlight w:val="none"/>
          <w:lang w:val="en-US" w:eastAsia="en-US" w:bidi="ar-SA"/>
        </w:rPr>
        <w:t xml:space="preserve"> </w:t>
      </w:r>
      <w:r>
        <w:rPr>
          <w:rFonts w:ascii="仿宋" w:hAnsi="仿宋" w:eastAsia="仿宋" w:cs="仿宋"/>
          <w:snapToGrid w:val="0"/>
          <w:color w:val="auto"/>
          <w:spacing w:val="5"/>
          <w:kern w:val="0"/>
          <w:sz w:val="28"/>
          <w:szCs w:val="28"/>
          <w:highlight w:val="none"/>
          <w:u w:val="single" w:color="auto"/>
          <w:lang w:val="en-US" w:eastAsia="en-US" w:bidi="ar-SA"/>
        </w:rPr>
        <w:t xml:space="preserve">    </w:t>
      </w:r>
      <w:r>
        <w:rPr>
          <w:rFonts w:ascii="仿宋" w:hAnsi="仿宋" w:eastAsia="仿宋" w:cs="仿宋"/>
          <w:snapToGrid w:val="0"/>
          <w:color w:val="auto"/>
          <w:spacing w:val="-131"/>
          <w:kern w:val="0"/>
          <w:sz w:val="28"/>
          <w:szCs w:val="28"/>
          <w:highlight w:val="none"/>
          <w:lang w:val="en-US" w:eastAsia="en-US" w:bidi="ar-SA"/>
        </w:rPr>
        <w:t xml:space="preserve"> </w:t>
      </w:r>
      <w:r>
        <w:rPr>
          <w:rFonts w:ascii="仿宋" w:hAnsi="仿宋" w:eastAsia="仿宋" w:cs="仿宋"/>
          <w:snapToGrid w:val="0"/>
          <w:color w:val="auto"/>
          <w:kern w:val="0"/>
          <w:sz w:val="28"/>
          <w:szCs w:val="28"/>
          <w:highlight w:val="none"/>
          <w:lang w:val="en-US" w:eastAsia="en-US" w:bidi="ar-SA"/>
        </w:rPr>
        <w:t>万元</w:t>
      </w:r>
      <w:r>
        <w:rPr>
          <w:rFonts w:hint="eastAsia" w:ascii="仿宋" w:hAnsi="仿宋" w:eastAsia="仿宋" w:cs="仿宋"/>
          <w:snapToGrid w:val="0"/>
          <w:color w:val="auto"/>
          <w:kern w:val="0"/>
          <w:sz w:val="28"/>
          <w:szCs w:val="28"/>
          <w:highlight w:val="none"/>
          <w:lang w:val="en-US" w:eastAsia="zh-CN" w:bidi="ar-SA"/>
        </w:rPr>
        <w:t xml:space="preserve"> </w:t>
      </w:r>
      <w:r>
        <w:rPr>
          <w:rFonts w:ascii="仿宋" w:hAnsi="仿宋" w:eastAsia="仿宋" w:cs="仿宋"/>
          <w:snapToGrid w:val="0"/>
          <w:color w:val="auto"/>
          <w:kern w:val="0"/>
          <w:sz w:val="28"/>
          <w:szCs w:val="28"/>
          <w:highlight w:val="none"/>
          <w:lang w:val="en-US" w:eastAsia="en-US" w:bidi="ar-SA"/>
        </w:rPr>
        <w:t>，属于</w:t>
      </w:r>
      <w:r>
        <w:rPr>
          <w:rFonts w:ascii="仿宋" w:hAnsi="仿宋" w:eastAsia="仿宋" w:cs="仿宋"/>
          <w:i/>
          <w:iCs/>
          <w:snapToGrid w:val="0"/>
          <w:color w:val="auto"/>
          <w:kern w:val="0"/>
          <w:sz w:val="28"/>
          <w:szCs w:val="28"/>
          <w:highlight w:val="none"/>
          <w:u w:val="single" w:color="auto"/>
          <w:lang w:val="en-US" w:eastAsia="en-US" w:bidi="ar-SA"/>
        </w:rPr>
        <w:t>（中型企业、</w:t>
      </w:r>
      <w:r>
        <w:rPr>
          <w:rFonts w:ascii="仿宋" w:hAnsi="仿宋" w:eastAsia="仿宋" w:cs="仿宋"/>
          <w:i/>
          <w:iCs/>
          <w:snapToGrid w:val="0"/>
          <w:color w:val="auto"/>
          <w:spacing w:val="-1"/>
          <w:kern w:val="0"/>
          <w:sz w:val="28"/>
          <w:szCs w:val="28"/>
          <w:highlight w:val="none"/>
          <w:u w:val="single" w:color="auto"/>
          <w:lang w:val="en-US" w:eastAsia="en-US" w:bidi="ar-SA"/>
        </w:rPr>
        <w:t>小型企业、微型企业</w:t>
      </w:r>
      <w:r>
        <w:rPr>
          <w:rFonts w:ascii="仿宋" w:hAnsi="仿宋" w:eastAsia="仿宋" w:cs="仿宋"/>
          <w:i/>
          <w:iCs/>
          <w:snapToGrid w:val="0"/>
          <w:color w:val="auto"/>
          <w:spacing w:val="-88"/>
          <w:w w:val="97"/>
          <w:kern w:val="0"/>
          <w:sz w:val="28"/>
          <w:szCs w:val="28"/>
          <w:highlight w:val="none"/>
          <w:lang w:val="en-US" w:eastAsia="en-US" w:bidi="ar-SA"/>
        </w:rPr>
        <w:t>）</w:t>
      </w:r>
      <w:r>
        <w:rPr>
          <w:rFonts w:ascii="仿宋" w:hAnsi="仿宋" w:eastAsia="仿宋" w:cs="仿宋"/>
          <w:snapToGrid w:val="0"/>
          <w:color w:val="auto"/>
          <w:spacing w:val="-88"/>
          <w:w w:val="97"/>
          <w:kern w:val="0"/>
          <w:sz w:val="28"/>
          <w:szCs w:val="28"/>
          <w:highlight w:val="none"/>
          <w:lang w:val="en-US" w:eastAsia="en-US" w:bidi="ar-SA"/>
        </w:rPr>
        <w:t>；</w:t>
      </w:r>
    </w:p>
    <w:p w14:paraId="2AC7B95A">
      <w:pPr>
        <w:kinsoku w:val="0"/>
        <w:autoSpaceDE w:val="0"/>
        <w:autoSpaceDN w:val="0"/>
        <w:adjustRightInd w:val="0"/>
        <w:snapToGrid w:val="0"/>
        <w:spacing w:before="133" w:line="503" w:lineRule="exact"/>
        <w:ind w:left="688"/>
        <w:jc w:val="left"/>
        <w:textAlignment w:val="baseline"/>
        <w:rPr>
          <w:rFonts w:ascii="仿宋" w:hAnsi="仿宋" w:eastAsia="仿宋" w:cs="仿宋"/>
          <w:snapToGrid w:val="0"/>
          <w:color w:val="auto"/>
          <w:kern w:val="0"/>
          <w:sz w:val="28"/>
          <w:szCs w:val="28"/>
          <w:highlight w:val="none"/>
          <w:lang w:val="en-US" w:eastAsia="en-US" w:bidi="ar-SA"/>
        </w:rPr>
      </w:pPr>
      <w:r>
        <w:rPr>
          <w:rFonts w:ascii="仿宋" w:hAnsi="仿宋" w:eastAsia="仿宋" w:cs="仿宋"/>
          <w:snapToGrid w:val="0"/>
          <w:color w:val="auto"/>
          <w:spacing w:val="-8"/>
          <w:kern w:val="0"/>
          <w:position w:val="4"/>
          <w:sz w:val="28"/>
          <w:szCs w:val="28"/>
          <w:highlight w:val="none"/>
          <w:lang w:val="en-US" w:eastAsia="en-US" w:bidi="ar-SA"/>
        </w:rPr>
        <w:t>……</w:t>
      </w:r>
    </w:p>
    <w:p w14:paraId="33D6DE42">
      <w:pPr>
        <w:kinsoku w:val="0"/>
        <w:autoSpaceDE w:val="0"/>
        <w:autoSpaceDN w:val="0"/>
        <w:adjustRightInd w:val="0"/>
        <w:snapToGrid w:val="0"/>
        <w:spacing w:before="16" w:line="310" w:lineRule="auto"/>
        <w:ind w:left="46" w:right="86" w:firstLine="666"/>
        <w:jc w:val="left"/>
        <w:textAlignment w:val="baseline"/>
        <w:rPr>
          <w:rFonts w:ascii="仿宋" w:hAnsi="仿宋" w:eastAsia="仿宋" w:cs="仿宋"/>
          <w:snapToGrid w:val="0"/>
          <w:color w:val="auto"/>
          <w:kern w:val="0"/>
          <w:sz w:val="28"/>
          <w:szCs w:val="28"/>
          <w:highlight w:val="none"/>
          <w:lang w:val="en-US" w:eastAsia="en-US" w:bidi="ar-SA"/>
        </w:rPr>
      </w:pPr>
      <w:r>
        <w:rPr>
          <w:rFonts w:ascii="仿宋" w:hAnsi="仿宋" w:eastAsia="仿宋" w:cs="仿宋"/>
          <w:snapToGrid w:val="0"/>
          <w:color w:val="auto"/>
          <w:spacing w:val="7"/>
          <w:kern w:val="0"/>
          <w:sz w:val="28"/>
          <w:szCs w:val="28"/>
          <w:highlight w:val="none"/>
          <w:lang w:val="en-US" w:eastAsia="en-US" w:bidi="ar-SA"/>
        </w:rPr>
        <w:t>以上企业，不属于大企业的分支机构，不存</w:t>
      </w:r>
      <w:r>
        <w:rPr>
          <w:rFonts w:ascii="仿宋" w:hAnsi="仿宋" w:eastAsia="仿宋" w:cs="仿宋"/>
          <w:snapToGrid w:val="0"/>
          <w:color w:val="auto"/>
          <w:spacing w:val="6"/>
          <w:kern w:val="0"/>
          <w:sz w:val="28"/>
          <w:szCs w:val="28"/>
          <w:highlight w:val="none"/>
          <w:lang w:val="en-US" w:eastAsia="en-US" w:bidi="ar-SA"/>
        </w:rPr>
        <w:t>在控股股东</w:t>
      </w:r>
      <w:r>
        <w:rPr>
          <w:rFonts w:ascii="仿宋" w:hAnsi="仿宋" w:eastAsia="仿宋" w:cs="仿宋"/>
          <w:snapToGrid w:val="0"/>
          <w:color w:val="auto"/>
          <w:spacing w:val="8"/>
          <w:kern w:val="0"/>
          <w:sz w:val="28"/>
          <w:szCs w:val="28"/>
          <w:highlight w:val="none"/>
          <w:lang w:val="en-US" w:eastAsia="en-US" w:bidi="ar-SA"/>
        </w:rPr>
        <w:t>为大企业的情形，也不存在与大企业的负责人为同一人的情</w:t>
      </w:r>
      <w:r>
        <w:rPr>
          <w:rFonts w:ascii="仿宋" w:hAnsi="仿宋" w:eastAsia="仿宋" w:cs="仿宋"/>
          <w:snapToGrid w:val="0"/>
          <w:color w:val="auto"/>
          <w:spacing w:val="-7"/>
          <w:kern w:val="0"/>
          <w:sz w:val="28"/>
          <w:szCs w:val="28"/>
          <w:highlight w:val="none"/>
          <w:lang w:val="en-US" w:eastAsia="en-US" w:bidi="ar-SA"/>
        </w:rPr>
        <w:t>形。</w:t>
      </w:r>
    </w:p>
    <w:p w14:paraId="32664571">
      <w:pPr>
        <w:kinsoku w:val="0"/>
        <w:autoSpaceDE w:val="0"/>
        <w:autoSpaceDN w:val="0"/>
        <w:adjustRightInd w:val="0"/>
        <w:snapToGrid w:val="0"/>
        <w:spacing w:before="16" w:line="310" w:lineRule="auto"/>
        <w:ind w:left="46" w:right="86" w:firstLine="666"/>
        <w:jc w:val="left"/>
        <w:textAlignment w:val="baseline"/>
        <w:rPr>
          <w:rFonts w:ascii="仿宋" w:hAnsi="仿宋" w:eastAsia="仿宋" w:cs="仿宋"/>
          <w:snapToGrid w:val="0"/>
          <w:color w:val="auto"/>
          <w:spacing w:val="7"/>
          <w:kern w:val="0"/>
          <w:sz w:val="28"/>
          <w:szCs w:val="28"/>
          <w:highlight w:val="none"/>
          <w:lang w:val="en-US" w:eastAsia="en-US" w:bidi="ar-SA"/>
        </w:rPr>
      </w:pPr>
      <w:r>
        <w:rPr>
          <w:rFonts w:ascii="仿宋" w:hAnsi="仿宋" w:eastAsia="仿宋" w:cs="仿宋"/>
          <w:snapToGrid w:val="0"/>
          <w:color w:val="auto"/>
          <w:spacing w:val="7"/>
          <w:kern w:val="0"/>
          <w:sz w:val="28"/>
          <w:szCs w:val="28"/>
          <w:highlight w:val="none"/>
          <w:lang w:val="en-US" w:eastAsia="en-US" w:bidi="ar-SA"/>
        </w:rPr>
        <w:t>本企业对上述声明内容的真实性负责。如有虚假，将依法承担相应责任。</w:t>
      </w:r>
    </w:p>
    <w:p w14:paraId="39265A42">
      <w:pPr>
        <w:kinsoku w:val="0"/>
        <w:autoSpaceDE w:val="0"/>
        <w:autoSpaceDN w:val="0"/>
        <w:adjustRightInd w:val="0"/>
        <w:snapToGrid w:val="0"/>
        <w:spacing w:before="171" w:line="540" w:lineRule="exact"/>
        <w:ind w:left="3876"/>
        <w:jc w:val="left"/>
        <w:textAlignment w:val="baseline"/>
        <w:rPr>
          <w:rFonts w:ascii="仿宋" w:hAnsi="仿宋" w:eastAsia="仿宋" w:cs="仿宋"/>
          <w:snapToGrid w:val="0"/>
          <w:color w:val="auto"/>
          <w:kern w:val="0"/>
          <w:sz w:val="28"/>
          <w:szCs w:val="28"/>
          <w:highlight w:val="none"/>
          <w:lang w:val="en-US" w:eastAsia="en-US" w:bidi="ar-SA"/>
        </w:rPr>
      </w:pPr>
      <w:r>
        <w:rPr>
          <w:rFonts w:ascii="仿宋" w:hAnsi="仿宋" w:eastAsia="仿宋" w:cs="仿宋"/>
          <w:snapToGrid w:val="0"/>
          <w:color w:val="auto"/>
          <w:spacing w:val="6"/>
          <w:kern w:val="0"/>
          <w:position w:val="16"/>
          <w:sz w:val="28"/>
          <w:szCs w:val="28"/>
          <w:highlight w:val="none"/>
          <w:lang w:val="en-US" w:eastAsia="en-US" w:bidi="ar-SA"/>
        </w:rPr>
        <w:t>企业名称（盖章</w:t>
      </w:r>
      <w:r>
        <w:rPr>
          <w:rFonts w:ascii="仿宋" w:hAnsi="仿宋" w:eastAsia="仿宋" w:cs="仿宋"/>
          <w:snapToGrid w:val="0"/>
          <w:color w:val="auto"/>
          <w:spacing w:val="-84"/>
          <w:kern w:val="0"/>
          <w:position w:val="16"/>
          <w:sz w:val="28"/>
          <w:szCs w:val="28"/>
          <w:highlight w:val="none"/>
          <w:lang w:val="en-US" w:eastAsia="en-US" w:bidi="ar-SA"/>
        </w:rPr>
        <w:t>）：</w:t>
      </w:r>
    </w:p>
    <w:p w14:paraId="108E0FB4">
      <w:pPr>
        <w:kinsoku w:val="0"/>
        <w:autoSpaceDE w:val="0"/>
        <w:autoSpaceDN w:val="0"/>
        <w:adjustRightInd w:val="0"/>
        <w:snapToGrid w:val="0"/>
        <w:spacing w:before="1" w:line="228" w:lineRule="auto"/>
        <w:ind w:left="3942"/>
        <w:jc w:val="left"/>
        <w:textAlignment w:val="baseline"/>
        <w:rPr>
          <w:rFonts w:ascii="仿宋" w:hAnsi="仿宋" w:eastAsia="仿宋" w:cs="仿宋"/>
          <w:snapToGrid w:val="0"/>
          <w:color w:val="auto"/>
          <w:kern w:val="0"/>
          <w:sz w:val="28"/>
          <w:szCs w:val="28"/>
          <w:highlight w:val="none"/>
          <w:lang w:val="en-US" w:eastAsia="en-US" w:bidi="ar-SA"/>
        </w:rPr>
      </w:pPr>
      <w:bookmarkStart w:id="304" w:name="bookmark1"/>
      <w:bookmarkEnd w:id="304"/>
      <w:r>
        <w:rPr>
          <w:rFonts w:ascii="仿宋" w:hAnsi="仿宋" w:eastAsia="仿宋" w:cs="仿宋"/>
          <w:snapToGrid w:val="0"/>
          <w:color w:val="auto"/>
          <w:kern w:val="0"/>
          <w:sz w:val="28"/>
          <w:szCs w:val="28"/>
          <w:highlight w:val="none"/>
          <w:lang w:val="en-US" w:eastAsia="en-US" w:bidi="ar-SA"/>
        </w:rPr>
        <w:t>日期：</w:t>
      </w:r>
    </w:p>
    <w:p w14:paraId="74350DEC">
      <w:pPr>
        <w:spacing w:line="315" w:lineRule="auto"/>
        <w:jc w:val="left"/>
        <w:rPr>
          <w:rFonts w:ascii="Arial"/>
          <w:color w:val="auto"/>
          <w:kern w:val="0"/>
          <w:sz w:val="21"/>
          <w:highlight w:val="none"/>
          <w:lang w:eastAsia="en-US"/>
        </w:rPr>
      </w:pPr>
    </w:p>
    <w:p w14:paraId="291B0A14">
      <w:pPr>
        <w:spacing w:line="316" w:lineRule="auto"/>
        <w:jc w:val="left"/>
        <w:rPr>
          <w:rFonts w:ascii="Arial"/>
          <w:color w:val="auto"/>
          <w:kern w:val="0"/>
          <w:sz w:val="21"/>
          <w:highlight w:val="none"/>
          <w:lang w:eastAsia="en-US"/>
        </w:rPr>
      </w:pPr>
    </w:p>
    <w:p w14:paraId="0653D4B6">
      <w:pPr>
        <w:spacing w:before="58" w:line="229" w:lineRule="auto"/>
        <w:ind w:left="4089" w:right="894" w:hanging="4062"/>
        <w:jc w:val="left"/>
        <w:rPr>
          <w:rFonts w:ascii="Calibri" w:hAnsi="Calibri" w:eastAsia="Calibri" w:cs="Calibri"/>
          <w:color w:val="auto"/>
          <w:kern w:val="0"/>
          <w:sz w:val="18"/>
          <w:szCs w:val="18"/>
          <w:highlight w:val="none"/>
          <w:lang w:eastAsia="en-US"/>
        </w:rPr>
      </w:pPr>
    </w:p>
    <w:p w14:paraId="186A4815">
      <w:pPr>
        <w:bidi w:val="0"/>
        <w:spacing w:line="240" w:lineRule="auto"/>
        <w:jc w:val="left"/>
        <w:rPr>
          <w:rFonts w:ascii="Arial" w:hAnsi="Arial" w:eastAsia="Arial" w:cs="Arial"/>
          <w:snapToGrid w:val="0"/>
          <w:color w:val="auto"/>
          <w:kern w:val="0"/>
          <w:sz w:val="21"/>
          <w:szCs w:val="21"/>
          <w:highlight w:val="none"/>
          <w:lang w:val="en-US" w:eastAsia="en-US" w:bidi="ar-SA"/>
        </w:rPr>
      </w:pPr>
    </w:p>
    <w:p w14:paraId="76C4CF15">
      <w:pPr>
        <w:bidi w:val="0"/>
        <w:spacing w:line="240" w:lineRule="auto"/>
        <w:jc w:val="left"/>
        <w:rPr>
          <w:color w:val="auto"/>
          <w:kern w:val="0"/>
          <w:highlight w:val="none"/>
          <w:lang w:val="en-US" w:eastAsia="en-US"/>
        </w:rPr>
      </w:pPr>
    </w:p>
    <w:p w14:paraId="2F211496">
      <w:pPr>
        <w:bidi w:val="0"/>
        <w:spacing w:line="240" w:lineRule="auto"/>
        <w:jc w:val="left"/>
        <w:rPr>
          <w:color w:val="auto"/>
          <w:kern w:val="0"/>
          <w:highlight w:val="none"/>
          <w:lang w:val="en-US" w:eastAsia="en-US"/>
        </w:rPr>
      </w:pPr>
    </w:p>
    <w:p w14:paraId="53E227D6">
      <w:pPr>
        <w:bidi w:val="0"/>
        <w:spacing w:line="240" w:lineRule="auto"/>
        <w:jc w:val="left"/>
        <w:rPr>
          <w:color w:val="auto"/>
          <w:kern w:val="0"/>
          <w:highlight w:val="none"/>
          <w:lang w:val="en-US" w:eastAsia="en-US"/>
        </w:rPr>
      </w:pPr>
    </w:p>
    <w:p w14:paraId="095C83BC">
      <w:pPr>
        <w:bidi w:val="0"/>
        <w:spacing w:line="240" w:lineRule="auto"/>
        <w:jc w:val="left"/>
        <w:rPr>
          <w:rFonts w:ascii="Arial" w:hAnsi="Arial" w:eastAsia="Arial" w:cs="Arial"/>
          <w:snapToGrid w:val="0"/>
          <w:color w:val="auto"/>
          <w:kern w:val="0"/>
          <w:sz w:val="21"/>
          <w:szCs w:val="21"/>
          <w:highlight w:val="none"/>
          <w:lang w:val="en-US" w:eastAsia="en-US" w:bidi="ar-SA"/>
        </w:rPr>
      </w:pPr>
    </w:p>
    <w:p w14:paraId="199995B5">
      <w:pPr>
        <w:bidi w:val="0"/>
        <w:spacing w:line="240" w:lineRule="auto"/>
        <w:jc w:val="left"/>
        <w:rPr>
          <w:color w:val="auto"/>
          <w:kern w:val="0"/>
          <w:highlight w:val="none"/>
          <w:lang w:val="en-US" w:eastAsia="en-US"/>
        </w:rPr>
      </w:pPr>
    </w:p>
    <w:p w14:paraId="49FED055">
      <w:pPr>
        <w:spacing w:before="58" w:line="229" w:lineRule="auto"/>
        <w:ind w:left="4089" w:right="894" w:hanging="4062"/>
        <w:jc w:val="left"/>
        <w:rPr>
          <w:rFonts w:ascii="Times New Roman" w:hAnsi="Times New Roman" w:eastAsia="Times New Roman" w:cs="Times New Roman"/>
          <w:color w:val="auto"/>
          <w:spacing w:val="-1"/>
          <w:kern w:val="0"/>
          <w:position w:val="6"/>
          <w:sz w:val="11"/>
          <w:szCs w:val="11"/>
          <w:highlight w:val="none"/>
          <w:lang w:eastAsia="en-US"/>
        </w:rPr>
      </w:pPr>
    </w:p>
    <w:p w14:paraId="43845097">
      <w:pPr>
        <w:spacing w:before="58" w:line="229" w:lineRule="auto"/>
        <w:ind w:left="4089" w:right="894" w:hanging="4062"/>
        <w:jc w:val="left"/>
        <w:rPr>
          <w:rFonts w:ascii="Calibri" w:hAnsi="Calibri" w:eastAsia="Calibri" w:cs="Calibri"/>
          <w:color w:val="auto"/>
          <w:kern w:val="0"/>
          <w:sz w:val="18"/>
          <w:szCs w:val="18"/>
          <w:highlight w:val="none"/>
          <w:lang w:eastAsia="en-US"/>
        </w:rPr>
      </w:pPr>
      <w:r>
        <w:rPr>
          <w:rFonts w:ascii="Times New Roman" w:hAnsi="Times New Roman" w:eastAsia="Times New Roman" w:cs="Times New Roman"/>
          <w:color w:val="auto"/>
          <w:spacing w:val="-1"/>
          <w:kern w:val="0"/>
          <w:position w:val="6"/>
          <w:sz w:val="11"/>
          <w:szCs w:val="11"/>
          <w:highlight w:val="none"/>
          <w:lang w:eastAsia="en-US"/>
        </w:rPr>
        <w:t xml:space="preserve">1   </w:t>
      </w:r>
      <w:r>
        <w:rPr>
          <w:rFonts w:ascii="宋体" w:hAnsi="宋体" w:eastAsia="宋体" w:cs="宋体"/>
          <w:color w:val="auto"/>
          <w:spacing w:val="-1"/>
          <w:kern w:val="0"/>
          <w:sz w:val="18"/>
          <w:szCs w:val="18"/>
          <w:highlight w:val="none"/>
          <w:lang w:eastAsia="en-US"/>
        </w:rPr>
        <w:t>从业人员、营业收入、资产总额填报上一年度数据，无上一年度数据的新成立企业可不填报。</w:t>
      </w:r>
      <w:r>
        <w:rPr>
          <w:rFonts w:ascii="宋体" w:hAnsi="宋体" w:eastAsia="宋体" w:cs="宋体"/>
          <w:color w:val="auto"/>
          <w:spacing w:val="11"/>
          <w:kern w:val="0"/>
          <w:sz w:val="18"/>
          <w:szCs w:val="18"/>
          <w:highlight w:val="none"/>
          <w:lang w:eastAsia="en-US"/>
        </w:rPr>
        <w:t xml:space="preserve"> </w:t>
      </w:r>
    </w:p>
    <w:bookmarkEnd w:id="301"/>
    <w:p w14:paraId="261CE251">
      <w:pPr>
        <w:bidi w:val="0"/>
        <w:spacing w:line="240" w:lineRule="auto"/>
        <w:jc w:val="left"/>
        <w:rPr>
          <w:color w:val="auto"/>
          <w:kern w:val="0"/>
          <w:highlight w:val="none"/>
          <w:lang w:val="en-US" w:eastAsia="en-US"/>
        </w:rPr>
      </w:pPr>
    </w:p>
    <w:p w14:paraId="08C5E8D0">
      <w:pPr>
        <w:topLinePunct/>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分包意向协议书（如有）</w:t>
      </w:r>
    </w:p>
    <w:p w14:paraId="291EF7FA">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立约方：</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甲方</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xml:space="preserve">                      </w:t>
      </w:r>
    </w:p>
    <w:p w14:paraId="2384BD03">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乙  方</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xml:space="preserve">                               </w:t>
      </w:r>
    </w:p>
    <w:p w14:paraId="6B5C9224">
      <w:pPr>
        <w:topLinePunct/>
        <w:adjustRightInd w:val="0"/>
        <w:snapToGrid w:val="0"/>
        <w:spacing w:line="360" w:lineRule="auto"/>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甲、乙双方自愿达成分包意向，参加</w:t>
      </w:r>
      <w:r>
        <w:rPr>
          <w:rFonts w:hint="eastAsia" w:ascii="宋体" w:hAnsi="宋体" w:cs="宋体"/>
          <w:color w:val="auto"/>
          <w:kern w:val="0"/>
          <w:sz w:val="24"/>
          <w:szCs w:val="24"/>
          <w:highlight w:val="none"/>
          <w:u w:val="single"/>
        </w:rPr>
        <w:t>（</w:t>
      </w:r>
      <w:r>
        <w:rPr>
          <w:rFonts w:ascii="宋体" w:hAnsi="宋体" w:cs="宋体"/>
          <w:color w:val="auto"/>
          <w:kern w:val="0"/>
          <w:sz w:val="24"/>
          <w:szCs w:val="24"/>
          <w:highlight w:val="none"/>
          <w:u w:val="single"/>
        </w:rPr>
        <w:t>采购项目名称</w:t>
      </w:r>
      <w:r>
        <w:rPr>
          <w:rFonts w:hint="eastAsia" w:ascii="宋体" w:hAnsi="宋体" w:cs="宋体"/>
          <w:color w:val="auto"/>
          <w:kern w:val="0"/>
          <w:sz w:val="24"/>
          <w:szCs w:val="24"/>
          <w:highlight w:val="none"/>
          <w:u w:val="single"/>
        </w:rPr>
        <w:t>）（</w:t>
      </w:r>
      <w:r>
        <w:rPr>
          <w:rFonts w:ascii="宋体" w:hAnsi="宋体" w:cs="宋体"/>
          <w:color w:val="auto"/>
          <w:kern w:val="0"/>
          <w:sz w:val="24"/>
          <w:szCs w:val="24"/>
          <w:highlight w:val="none"/>
          <w:u w:val="single"/>
        </w:rPr>
        <w:t>采购项目编号</w:t>
      </w:r>
      <w:r>
        <w:rPr>
          <w:rFonts w:hint="eastAsia" w:ascii="宋体" w:hAnsi="宋体" w:cs="宋体"/>
          <w:color w:val="auto"/>
          <w:kern w:val="0"/>
          <w:sz w:val="24"/>
          <w:szCs w:val="24"/>
          <w:highlight w:val="none"/>
          <w:u w:val="single"/>
        </w:rPr>
        <w:t>）</w:t>
      </w:r>
      <w:r>
        <w:rPr>
          <w:rFonts w:ascii="宋体" w:hAnsi="宋体" w:cs="宋体"/>
          <w:color w:val="auto"/>
          <w:kern w:val="0"/>
          <w:sz w:val="24"/>
          <w:szCs w:val="24"/>
          <w:highlight w:val="none"/>
        </w:rPr>
        <w:t>的响应活动。经各方充分协商一致，就项目的响应和合同实施阶段的有关事务协商一致订立意向如下</w:t>
      </w:r>
      <w:r>
        <w:rPr>
          <w:rFonts w:hint="eastAsia" w:ascii="宋体" w:hAnsi="宋体" w:cs="宋体"/>
          <w:color w:val="auto"/>
          <w:kern w:val="0"/>
          <w:sz w:val="24"/>
          <w:szCs w:val="24"/>
          <w:highlight w:val="none"/>
        </w:rPr>
        <w:t>：</w:t>
      </w:r>
    </w:p>
    <w:p w14:paraId="6FE55045">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一、分包向方系</w:t>
      </w:r>
    </w:p>
    <w:p w14:paraId="3FFEB309">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甲方为投标方、乙方为分包意向供应商，甲方以投标供应商的身份参加本项目的响应。若中标，甲方与采购人签订政府采购合同。承接分包意向的各供应商与甲方签订分包合同。甲方就采购项目和分包项目向采购人负责，分包供应商就分包项目承担责任。</w:t>
      </w:r>
    </w:p>
    <w:p w14:paraId="78272381">
      <w:pPr>
        <w:topLinePunct/>
        <w:adjustRightInd w:val="0"/>
        <w:snapToGrid w:val="0"/>
        <w:spacing w:line="360" w:lineRule="auto"/>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二、有关事项约定如下</w:t>
      </w:r>
      <w:r>
        <w:rPr>
          <w:rFonts w:hint="eastAsia" w:ascii="宋体" w:hAnsi="宋体" w:cs="宋体"/>
          <w:color w:val="auto"/>
          <w:kern w:val="0"/>
          <w:sz w:val="24"/>
          <w:szCs w:val="24"/>
          <w:highlight w:val="none"/>
        </w:rPr>
        <w:t>：</w:t>
      </w:r>
    </w:p>
    <w:p w14:paraId="52442B99">
      <w:pPr>
        <w:topLinePunct/>
        <w:adjustRightInd w:val="0"/>
        <w:snapToGrid w:val="0"/>
        <w:spacing w:line="360" w:lineRule="auto"/>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1.如中标，分包供应商分别与甲方签订合同书，并就中标项目分包部分向采购人负责有连带的和各自的法律责任</w:t>
      </w:r>
      <w:r>
        <w:rPr>
          <w:rFonts w:hint="eastAsia" w:ascii="宋体" w:hAnsi="宋体" w:cs="宋体"/>
          <w:color w:val="auto"/>
          <w:kern w:val="0"/>
          <w:sz w:val="24"/>
          <w:szCs w:val="24"/>
          <w:highlight w:val="none"/>
        </w:rPr>
        <w:t>；</w:t>
      </w:r>
    </w:p>
    <w:p w14:paraId="43EECF87">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2.分包意向供应商1</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公司全称</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为</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请填写</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大型、中型、小型、微企业</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企业，将承担适宜分包部分</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具体分包内容</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合同总金额型</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%的工作内容。</w:t>
      </w:r>
    </w:p>
    <w:p w14:paraId="1B866976">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3.分包意向供应商2</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公司全称</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为</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请填写</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大型、中型、小型、微企业</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企业，将承担适宜分包部分</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具体分包内容</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合同总金额型</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%的工作内容。</w:t>
      </w:r>
    </w:p>
    <w:p w14:paraId="1BAE8ECC">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4.分包意向供应商3</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公司全称</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为</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请填写</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大型、中型、小型、微企业</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企业，将承担适宜分包部分</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具体分包内容</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合同总金额型</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%的工作内容。</w:t>
      </w:r>
    </w:p>
    <w:p w14:paraId="04F18766">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w:t>
      </w:r>
    </w:p>
    <w:p w14:paraId="7893AAC6">
      <w:pPr>
        <w:topLinePunct/>
        <w:adjustRightInd w:val="0"/>
        <w:snapToGrid w:val="0"/>
        <w:spacing w:line="360" w:lineRule="auto"/>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三、接受分包合同的中小企业与分包企业之间</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请填写</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是否存在</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直接控股、管理关系的情形。</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分包中有中小企业时适用</w:t>
      </w:r>
      <w:r>
        <w:rPr>
          <w:rFonts w:hint="eastAsia" w:ascii="宋体" w:hAnsi="宋体" w:cs="宋体"/>
          <w:color w:val="auto"/>
          <w:kern w:val="0"/>
          <w:sz w:val="24"/>
          <w:szCs w:val="24"/>
          <w:highlight w:val="none"/>
        </w:rPr>
        <w:t>）</w:t>
      </w:r>
    </w:p>
    <w:p w14:paraId="5E348439">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四、如因违约过失责任而导致采购人经济损失或被索赔时，甲方同意无条件优先清偿采购人的一切债务和经济赔偿。</w:t>
      </w:r>
    </w:p>
    <w:p w14:paraId="561463C7">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五、如中标，分包意向供应商不得以任何理由提出终止本意向协议。</w:t>
      </w:r>
    </w:p>
    <w:p w14:paraId="5FC1F303">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六、本意向书在自签署之日起生效，有效期内有效，如获中标资格，有效期延续至合同履行完毕之日。</w:t>
      </w:r>
    </w:p>
    <w:p w14:paraId="7E872326">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七、本意向书正本一式</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份 ，随投标文件装订</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份，甲方及各分包意向供应商各一份。</w:t>
      </w:r>
    </w:p>
    <w:p w14:paraId="179277A6">
      <w:pPr>
        <w:topLinePunct/>
        <w:adjustRightInd w:val="0"/>
        <w:snapToGrid w:val="0"/>
        <w:spacing w:line="360" w:lineRule="auto"/>
        <w:ind w:firstLine="480" w:firstLineChars="200"/>
        <w:rPr>
          <w:color w:val="auto"/>
          <w:kern w:val="0"/>
          <w:sz w:val="24"/>
          <w:szCs w:val="24"/>
          <w:highlight w:val="none"/>
        </w:rPr>
      </w:pPr>
    </w:p>
    <w:p w14:paraId="34842AB0">
      <w:pPr>
        <w:topLinePunct/>
        <w:adjustRightInd w:val="0"/>
        <w:snapToGrid w:val="0"/>
        <w:spacing w:line="360" w:lineRule="auto"/>
        <w:ind w:firstLine="480" w:firstLineChars="200"/>
        <w:rPr>
          <w:color w:val="auto"/>
          <w:kern w:val="0"/>
          <w:sz w:val="24"/>
          <w:szCs w:val="24"/>
          <w:highlight w:val="none"/>
        </w:rPr>
      </w:pPr>
    </w:p>
    <w:p w14:paraId="6170BF09">
      <w:pPr>
        <w:topLinePunct/>
        <w:adjustRightInd w:val="0"/>
        <w:snapToGrid w:val="0"/>
        <w:spacing w:line="360" w:lineRule="auto"/>
        <w:ind w:firstLine="480" w:firstLineChars="200"/>
        <w:rPr>
          <w:rFonts w:ascii="宋体" w:hAnsi="宋体" w:cs="宋体"/>
          <w:color w:val="auto"/>
          <w:kern w:val="0"/>
          <w:sz w:val="24"/>
          <w:szCs w:val="24"/>
          <w:highlight w:val="none"/>
        </w:rPr>
      </w:pPr>
    </w:p>
    <w:p w14:paraId="4779DD58">
      <w:pPr>
        <w:topLinePunct/>
        <w:adjustRightInd w:val="0"/>
        <w:snapToGrid w:val="0"/>
        <w:spacing w:line="360" w:lineRule="auto"/>
        <w:ind w:firstLine="480" w:firstLineChars="200"/>
        <w:rPr>
          <w:rFonts w:ascii="宋体" w:hAnsi="宋体" w:cs="宋体"/>
          <w:color w:val="auto"/>
          <w:kern w:val="0"/>
          <w:sz w:val="24"/>
          <w:szCs w:val="24"/>
          <w:highlight w:val="none"/>
        </w:rPr>
      </w:pPr>
    </w:p>
    <w:p w14:paraId="4A5BA56A">
      <w:pPr>
        <w:topLinePunct/>
        <w:adjustRightInd w:val="0"/>
        <w:snapToGrid w:val="0"/>
        <w:spacing w:line="360" w:lineRule="auto"/>
        <w:ind w:firstLine="480" w:firstLineChars="200"/>
        <w:rPr>
          <w:rFonts w:ascii="宋体" w:hAnsi="宋体" w:cs="宋体"/>
          <w:color w:val="auto"/>
          <w:kern w:val="0"/>
          <w:sz w:val="24"/>
          <w:szCs w:val="24"/>
          <w:highlight w:val="none"/>
        </w:rPr>
      </w:pPr>
    </w:p>
    <w:p w14:paraId="7C51C3D6">
      <w:pPr>
        <w:topLinePunct/>
        <w:adjustRightInd w:val="0"/>
        <w:snapToGrid w:val="0"/>
        <w:spacing w:line="360" w:lineRule="auto"/>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甲方</w:t>
      </w:r>
      <w:r>
        <w:rPr>
          <w:rFonts w:hint="eastAsia" w:ascii="宋体" w:hAnsi="宋体" w:cs="宋体"/>
          <w:color w:val="auto"/>
          <w:kern w:val="0"/>
          <w:sz w:val="24"/>
          <w:szCs w:val="24"/>
          <w:highlight w:val="none"/>
        </w:rPr>
        <w:t>：</w:t>
      </w:r>
    </w:p>
    <w:p w14:paraId="77558036">
      <w:pPr>
        <w:topLinePunct/>
        <w:adjustRightInd w:val="0"/>
        <w:snapToGrid w:val="0"/>
        <w:spacing w:line="360" w:lineRule="auto"/>
        <w:ind w:firstLine="480" w:firstLineChars="200"/>
        <w:rPr>
          <w:rFonts w:ascii="Arial"/>
          <w:color w:val="auto"/>
          <w:kern w:val="0"/>
          <w:sz w:val="24"/>
          <w:szCs w:val="24"/>
          <w:highlight w:val="none"/>
        </w:rPr>
      </w:pPr>
    </w:p>
    <w:p w14:paraId="578A8934">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日期</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年</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月</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日</w:t>
      </w:r>
    </w:p>
    <w:p w14:paraId="2CA2F56E">
      <w:pPr>
        <w:topLinePunct/>
        <w:adjustRightInd w:val="0"/>
        <w:snapToGrid w:val="0"/>
        <w:spacing w:line="360" w:lineRule="auto"/>
        <w:ind w:firstLine="480" w:firstLineChars="200"/>
        <w:rPr>
          <w:rFonts w:ascii="宋体" w:hAnsi="宋体" w:cs="宋体"/>
          <w:color w:val="auto"/>
          <w:kern w:val="0"/>
          <w:sz w:val="24"/>
          <w:szCs w:val="24"/>
          <w:highlight w:val="none"/>
        </w:rPr>
      </w:pPr>
    </w:p>
    <w:p w14:paraId="6F8D1227">
      <w:pPr>
        <w:topLinePunct/>
        <w:adjustRightInd w:val="0"/>
        <w:snapToGrid w:val="0"/>
        <w:spacing w:line="360" w:lineRule="auto"/>
        <w:ind w:firstLine="480" w:firstLineChars="200"/>
        <w:rPr>
          <w:rFonts w:ascii="宋体" w:hAnsi="宋体" w:cs="宋体"/>
          <w:color w:val="auto"/>
          <w:kern w:val="0"/>
          <w:sz w:val="24"/>
          <w:szCs w:val="24"/>
          <w:highlight w:val="none"/>
        </w:rPr>
      </w:pPr>
    </w:p>
    <w:p w14:paraId="54CEFDBC">
      <w:pPr>
        <w:topLinePunct/>
        <w:adjustRightInd w:val="0"/>
        <w:snapToGrid w:val="0"/>
        <w:spacing w:line="360" w:lineRule="auto"/>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乙方</w:t>
      </w:r>
      <w:r>
        <w:rPr>
          <w:rFonts w:hint="eastAsia" w:ascii="宋体" w:hAnsi="宋体" w:cs="宋体"/>
          <w:color w:val="auto"/>
          <w:kern w:val="0"/>
          <w:sz w:val="24"/>
          <w:szCs w:val="24"/>
          <w:highlight w:val="none"/>
        </w:rPr>
        <w:t>：</w:t>
      </w:r>
    </w:p>
    <w:p w14:paraId="6E682607">
      <w:pPr>
        <w:topLinePunct/>
        <w:adjustRightInd w:val="0"/>
        <w:snapToGrid w:val="0"/>
        <w:spacing w:line="360" w:lineRule="auto"/>
        <w:ind w:firstLine="480" w:firstLineChars="200"/>
        <w:rPr>
          <w:rFonts w:ascii="Arial"/>
          <w:color w:val="auto"/>
          <w:kern w:val="0"/>
          <w:sz w:val="24"/>
          <w:szCs w:val="24"/>
          <w:highlight w:val="none"/>
        </w:rPr>
      </w:pPr>
    </w:p>
    <w:p w14:paraId="19A704E2">
      <w:pPr>
        <w:topLinePunct/>
        <w:adjustRightInd w:val="0"/>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日期</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年</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月</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日</w:t>
      </w:r>
    </w:p>
    <w:p w14:paraId="51A3A936">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25465E16">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0B799899">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66408090">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28455688">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5F243472">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1749C941">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5ACCEA38">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3B0F5A3C">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3DB4EF87">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2EEC3FEA">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7FF80908">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6100FFB0">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0B12A1E5">
      <w:pPr>
        <w:widowControl w:val="0"/>
        <w:kinsoku/>
        <w:topLinePunct/>
        <w:autoSpaceDE/>
        <w:autoSpaceDN/>
        <w:spacing w:line="420" w:lineRule="auto"/>
        <w:outlineLvl w:val="9"/>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p>
    <w:p w14:paraId="0E3D04D6">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05" w:name="_Toc8131"/>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五、供应商认为有必要提供的声明及文件资料</w:t>
      </w:r>
      <w:bookmarkEnd w:id="302"/>
      <w:bookmarkEnd w:id="303"/>
      <w:bookmarkEnd w:id="305"/>
    </w:p>
    <w:p w14:paraId="1FC31C72">
      <w:pPr>
        <w:widowControl w:val="0"/>
        <w:kinsoku/>
        <w:topLinePunct/>
        <w:autoSpaceDE/>
        <w:autoSpaceDN/>
        <w:spacing w:line="420" w:lineRule="auto"/>
        <w:rPr>
          <w:rFonts w:asciiTheme="minorEastAsia" w:hAnsiTheme="minorEastAsia" w:eastAsiaTheme="minorEastAsia" w:cstheme="minorEastAsia"/>
          <w:color w:val="auto"/>
          <w:highlight w:val="none"/>
        </w:rPr>
      </w:pPr>
    </w:p>
    <w:p w14:paraId="100B6D1E">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①</w:t>
      </w:r>
      <w:r>
        <w:rPr>
          <w:rFonts w:hint="eastAsia" w:asciiTheme="minorEastAsia" w:hAnsiTheme="minorEastAsia" w:eastAsiaTheme="minorEastAsia" w:cstheme="minorEastAsia"/>
          <w:color w:val="auto"/>
          <w:highlight w:val="none"/>
        </w:rPr>
        <w:t>供应商认为有必要提供的声明及文件资料</w:t>
      </w:r>
      <w:r>
        <w:rPr>
          <w:rFonts w:hint="eastAsia" w:ascii="宋体" w:hAnsi="宋体" w:eastAsia="宋体" w:cs="宋体"/>
          <w:color w:val="auto"/>
          <w:highlight w:val="none"/>
        </w:rPr>
        <w:t>；</w:t>
      </w:r>
    </w:p>
    <w:p w14:paraId="72D17A0E">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②类似项目业绩表；</w:t>
      </w:r>
    </w:p>
    <w:p w14:paraId="3BDE084B">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附：类似项目业绩表</w:t>
      </w:r>
    </w:p>
    <w:p w14:paraId="2218623D">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采购项目编号：</w:t>
      </w:r>
    </w:p>
    <w:p w14:paraId="08C81ABC">
      <w:pPr>
        <w:widowControl w:val="0"/>
        <w:kinsoku/>
        <w:topLinePunct/>
        <w:autoSpaceDE/>
        <w:autoSpaceDN/>
        <w:spacing w:line="420" w:lineRule="auto"/>
        <w:ind w:firstLine="518"/>
        <w:jc w:val="both"/>
        <w:rPr>
          <w:color w:val="auto"/>
          <w:highlight w:val="none"/>
        </w:rPr>
      </w:pPr>
      <w:r>
        <w:rPr>
          <w:rFonts w:hint="eastAsia" w:ascii="宋体" w:hAnsi="宋体" w:eastAsia="宋体" w:cs="宋体"/>
          <w:color w:val="auto"/>
          <w:highlight w:val="none"/>
        </w:rPr>
        <w:t>采购项目名称：</w:t>
      </w:r>
    </w:p>
    <w:tbl>
      <w:tblPr>
        <w:tblStyle w:val="2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63"/>
        <w:gridCol w:w="6649"/>
      </w:tblGrid>
      <w:tr w14:paraId="54B3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48" w:type="pct"/>
            <w:vAlign w:val="center"/>
          </w:tcPr>
          <w:p w14:paraId="030A13D4">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项目名称</w:t>
            </w:r>
          </w:p>
        </w:tc>
        <w:tc>
          <w:tcPr>
            <w:tcW w:w="3951" w:type="pct"/>
            <w:vAlign w:val="center"/>
          </w:tcPr>
          <w:p w14:paraId="4142E16F">
            <w:pPr>
              <w:widowControl w:val="0"/>
              <w:kinsoku/>
              <w:topLinePunct/>
              <w:autoSpaceDE/>
              <w:autoSpaceDN/>
              <w:rPr>
                <w:color w:val="auto"/>
                <w:highlight w:val="none"/>
              </w:rPr>
            </w:pPr>
          </w:p>
        </w:tc>
      </w:tr>
      <w:tr w14:paraId="09188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48" w:type="pct"/>
            <w:vAlign w:val="center"/>
          </w:tcPr>
          <w:p w14:paraId="6DBA5B8F">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项目单位名称</w:t>
            </w:r>
          </w:p>
        </w:tc>
        <w:tc>
          <w:tcPr>
            <w:tcW w:w="3951" w:type="pct"/>
            <w:vAlign w:val="center"/>
          </w:tcPr>
          <w:p w14:paraId="1A802EE0">
            <w:pPr>
              <w:widowControl w:val="0"/>
              <w:kinsoku/>
              <w:topLinePunct/>
              <w:autoSpaceDE/>
              <w:autoSpaceDN/>
              <w:rPr>
                <w:color w:val="auto"/>
                <w:highlight w:val="none"/>
              </w:rPr>
            </w:pPr>
          </w:p>
        </w:tc>
      </w:tr>
      <w:tr w14:paraId="57779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48" w:type="pct"/>
            <w:vAlign w:val="center"/>
          </w:tcPr>
          <w:p w14:paraId="0CB557AB">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项目单位联系人姓名及联系方式</w:t>
            </w:r>
          </w:p>
        </w:tc>
        <w:tc>
          <w:tcPr>
            <w:tcW w:w="3951" w:type="pct"/>
            <w:vAlign w:val="center"/>
          </w:tcPr>
          <w:p w14:paraId="6D53B5A4">
            <w:pPr>
              <w:widowControl w:val="0"/>
              <w:kinsoku/>
              <w:topLinePunct/>
              <w:autoSpaceDE/>
              <w:autoSpaceDN/>
              <w:rPr>
                <w:color w:val="auto"/>
                <w:highlight w:val="none"/>
              </w:rPr>
            </w:pPr>
          </w:p>
        </w:tc>
      </w:tr>
      <w:tr w14:paraId="5C711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48" w:type="pct"/>
            <w:vAlign w:val="center"/>
          </w:tcPr>
          <w:p w14:paraId="2660C042">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合同金额</w:t>
            </w:r>
          </w:p>
        </w:tc>
        <w:tc>
          <w:tcPr>
            <w:tcW w:w="3951" w:type="pct"/>
            <w:vAlign w:val="center"/>
          </w:tcPr>
          <w:p w14:paraId="02644B40">
            <w:pPr>
              <w:widowControl w:val="0"/>
              <w:kinsoku/>
              <w:topLinePunct/>
              <w:autoSpaceDE/>
              <w:autoSpaceDN/>
              <w:rPr>
                <w:color w:val="auto"/>
                <w:highlight w:val="none"/>
              </w:rPr>
            </w:pPr>
          </w:p>
        </w:tc>
      </w:tr>
      <w:tr w14:paraId="68937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48" w:type="pct"/>
            <w:vAlign w:val="center"/>
          </w:tcPr>
          <w:p w14:paraId="08F94F34">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项目负责人姓名</w:t>
            </w:r>
          </w:p>
        </w:tc>
        <w:tc>
          <w:tcPr>
            <w:tcW w:w="3951" w:type="pct"/>
            <w:vAlign w:val="center"/>
          </w:tcPr>
          <w:p w14:paraId="47EBCECB">
            <w:pPr>
              <w:widowControl w:val="0"/>
              <w:kinsoku/>
              <w:topLinePunct/>
              <w:autoSpaceDE/>
              <w:autoSpaceDN/>
              <w:rPr>
                <w:color w:val="auto"/>
                <w:highlight w:val="none"/>
              </w:rPr>
            </w:pPr>
          </w:p>
        </w:tc>
      </w:tr>
      <w:tr w14:paraId="7326C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48" w:type="pct"/>
            <w:vAlign w:val="center"/>
          </w:tcPr>
          <w:p w14:paraId="2E175F87">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项目实施时间</w:t>
            </w:r>
          </w:p>
        </w:tc>
        <w:tc>
          <w:tcPr>
            <w:tcW w:w="3951" w:type="pct"/>
            <w:vAlign w:val="center"/>
          </w:tcPr>
          <w:p w14:paraId="5B660EE2">
            <w:pPr>
              <w:widowControl w:val="0"/>
              <w:kinsoku/>
              <w:topLinePunct/>
              <w:autoSpaceDE/>
              <w:autoSpaceDN/>
              <w:rPr>
                <w:color w:val="auto"/>
                <w:highlight w:val="none"/>
              </w:rPr>
            </w:pPr>
          </w:p>
        </w:tc>
      </w:tr>
      <w:tr w14:paraId="189F7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1048" w:type="pct"/>
            <w:vAlign w:val="center"/>
          </w:tcPr>
          <w:p w14:paraId="76B1A71F">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项目内容说明</w:t>
            </w:r>
          </w:p>
        </w:tc>
        <w:tc>
          <w:tcPr>
            <w:tcW w:w="3951" w:type="pct"/>
            <w:vAlign w:val="center"/>
          </w:tcPr>
          <w:p w14:paraId="5F22EA10">
            <w:pPr>
              <w:widowControl w:val="0"/>
              <w:kinsoku/>
              <w:topLinePunct/>
              <w:autoSpaceDE/>
              <w:autoSpaceDN/>
              <w:rPr>
                <w:color w:val="auto"/>
                <w:highlight w:val="none"/>
              </w:rPr>
            </w:pPr>
          </w:p>
        </w:tc>
      </w:tr>
    </w:tbl>
    <w:p w14:paraId="6C4C834E">
      <w:pPr>
        <w:widowControl w:val="0"/>
        <w:kinsoku/>
        <w:topLinePunct/>
        <w:autoSpaceDE/>
        <w:autoSpaceDN/>
        <w:spacing w:line="420" w:lineRule="auto"/>
        <w:ind w:firstLine="518"/>
        <w:jc w:val="both"/>
        <w:rPr>
          <w:rFonts w:ascii="宋体" w:hAnsi="宋体" w:eastAsia="宋体" w:cs="宋体"/>
          <w:color w:val="auto"/>
          <w:highlight w:val="none"/>
        </w:rPr>
      </w:pPr>
    </w:p>
    <w:p w14:paraId="71D94949">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说明：1．每个合同须单独附表，并随表附合同或中标通知书、验收文件等原件扫描件相关证明材料，否则专家在评审时将不予采信；</w:t>
      </w:r>
    </w:p>
    <w:p w14:paraId="39AB241C">
      <w:pPr>
        <w:widowControl w:val="0"/>
        <w:kinsoku/>
        <w:topLinePunct/>
        <w:autoSpaceDE/>
        <w:autoSpaceDN/>
        <w:spacing w:line="420" w:lineRule="auto"/>
        <w:ind w:firstLine="518"/>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2．项目内容请详细说明所承担的具体工作内容</w:t>
      </w:r>
      <w:r>
        <w:rPr>
          <w:rFonts w:hint="eastAsia" w:ascii="宋体" w:hAnsi="宋体" w:eastAsia="宋体" w:cs="宋体"/>
          <w:color w:val="auto"/>
          <w:highlight w:val="none"/>
          <w:lang w:eastAsia="zh-CN"/>
        </w:rPr>
        <w:t>。</w:t>
      </w:r>
    </w:p>
    <w:p w14:paraId="5753768B">
      <w:pPr>
        <w:widowControl w:val="0"/>
        <w:kinsoku/>
        <w:topLinePunct/>
        <w:autoSpaceDE/>
        <w:autoSpaceDN/>
        <w:spacing w:line="420" w:lineRule="auto"/>
        <w:ind w:firstLine="518"/>
        <w:jc w:val="both"/>
        <w:rPr>
          <w:rFonts w:ascii="宋体" w:hAnsi="宋体" w:eastAsia="宋体" w:cs="宋体"/>
          <w:color w:val="auto"/>
          <w:highlight w:val="none"/>
        </w:rPr>
      </w:pPr>
    </w:p>
    <w:p w14:paraId="7A545D74">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投标人法定代表人（</w:t>
      </w:r>
      <w:r>
        <w:rPr>
          <w:rFonts w:hint="eastAsia" w:ascii="宋体" w:hAnsi="宋体" w:eastAsia="宋体" w:cs="宋体"/>
          <w:color w:val="auto"/>
          <w:highlight w:val="none"/>
          <w:lang w:val="en-US" w:eastAsia="zh-CN"/>
        </w:rPr>
        <w:t>签名或签章</w:t>
      </w:r>
      <w:r>
        <w:rPr>
          <w:rFonts w:hint="eastAsia" w:ascii="宋体" w:hAnsi="宋体" w:eastAsia="宋体" w:cs="宋体"/>
          <w:color w:val="auto"/>
          <w:highlight w:val="none"/>
        </w:rPr>
        <w:t>）：</w:t>
      </w:r>
    </w:p>
    <w:p w14:paraId="3745331A">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投标人名称（电子签章）：</w:t>
      </w:r>
    </w:p>
    <w:p w14:paraId="697EB3BA">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 xml:space="preserve">日期： </w:t>
      </w:r>
      <w:r>
        <w:rPr>
          <w:rFonts w:ascii="宋体" w:hAnsi="宋体" w:eastAsia="宋体" w:cs="宋体"/>
          <w:color w:val="auto"/>
          <w:highlight w:val="none"/>
        </w:rPr>
        <w:t xml:space="preserve">   </w:t>
      </w:r>
      <w:r>
        <w:rPr>
          <w:rFonts w:hint="eastAsia" w:ascii="宋体" w:hAnsi="宋体" w:eastAsia="宋体" w:cs="宋体"/>
          <w:color w:val="auto"/>
          <w:highlight w:val="none"/>
        </w:rPr>
        <w:t xml:space="preserve">年 </w:t>
      </w:r>
      <w:r>
        <w:rPr>
          <w:rFonts w:ascii="宋体" w:hAnsi="宋体" w:eastAsia="宋体" w:cs="宋体"/>
          <w:color w:val="auto"/>
          <w:highlight w:val="none"/>
        </w:rPr>
        <w:t xml:space="preserve">   </w:t>
      </w:r>
      <w:r>
        <w:rPr>
          <w:rFonts w:hint="eastAsia" w:ascii="宋体" w:hAnsi="宋体" w:eastAsia="宋体" w:cs="宋体"/>
          <w:color w:val="auto"/>
          <w:highlight w:val="none"/>
        </w:rPr>
        <w:t xml:space="preserve">月 </w:t>
      </w:r>
      <w:r>
        <w:rPr>
          <w:rFonts w:ascii="宋体" w:hAnsi="宋体" w:eastAsia="宋体" w:cs="宋体"/>
          <w:color w:val="auto"/>
          <w:highlight w:val="none"/>
        </w:rPr>
        <w:t xml:space="preserve">   </w:t>
      </w:r>
      <w:r>
        <w:rPr>
          <w:rFonts w:hint="eastAsia" w:ascii="宋体" w:hAnsi="宋体" w:eastAsia="宋体" w:cs="宋体"/>
          <w:color w:val="auto"/>
          <w:highlight w:val="none"/>
        </w:rPr>
        <w:t>日</w:t>
      </w:r>
    </w:p>
    <w:p w14:paraId="6ACEA627">
      <w:pPr>
        <w:widowControl w:val="0"/>
        <w:kinsoku/>
        <w:topLinePunct/>
        <w:autoSpaceDE/>
        <w:autoSpaceDN/>
        <w:spacing w:line="420" w:lineRule="auto"/>
        <w:ind w:firstLine="518"/>
        <w:jc w:val="both"/>
        <w:rPr>
          <w:rFonts w:ascii="宋体" w:hAnsi="宋体" w:eastAsia="宋体" w:cs="宋体"/>
          <w:color w:val="auto"/>
          <w:highlight w:val="none"/>
        </w:rPr>
        <w:sectPr>
          <w:footerReference r:id="rId16" w:type="default"/>
          <w:pgSz w:w="11906" w:h="16839"/>
          <w:pgMar w:top="1429" w:right="1712" w:bottom="0" w:left="1786" w:header="851" w:footer="851" w:gutter="0"/>
          <w:cols w:space="0" w:num="1"/>
        </w:sectPr>
      </w:pPr>
    </w:p>
    <w:p w14:paraId="7BD9BB24">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06" w:name="_bookmark66"/>
      <w:bookmarkEnd w:id="306"/>
      <w:bookmarkStart w:id="307" w:name="_Toc132754845"/>
      <w:bookmarkStart w:id="308" w:name="_Toc14847"/>
      <w:bookmarkStart w:id="309" w:name="_Toc132755504"/>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六、《中华人民共和国政府采购法》第二十二条应当具备的条件</w:t>
      </w:r>
      <w:bookmarkEnd w:id="307"/>
      <w:bookmarkEnd w:id="308"/>
      <w:bookmarkEnd w:id="309"/>
    </w:p>
    <w:p w14:paraId="1852E717">
      <w:pPr>
        <w:widowControl w:val="0"/>
        <w:kinsoku/>
        <w:topLinePunct/>
        <w:autoSpaceDE/>
        <w:autoSpaceDN/>
        <w:spacing w:line="420" w:lineRule="auto"/>
        <w:ind w:firstLine="518"/>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1.满足《中华人民共和国政府采购法》第二十二条规定</w:t>
      </w:r>
      <w:r>
        <w:rPr>
          <w:rFonts w:hint="eastAsia" w:asciiTheme="minorEastAsia" w:hAnsiTheme="minorEastAsia" w:eastAsiaTheme="minorEastAsia" w:cstheme="minorEastAsia"/>
          <w:color w:val="auto"/>
          <w:highlight w:val="none"/>
          <w:lang w:val="en-US" w:eastAsia="zh-CN"/>
        </w:rPr>
        <w:t>需要提供的其他资料</w:t>
      </w:r>
      <w:r>
        <w:rPr>
          <w:rFonts w:hint="eastAsia" w:asciiTheme="minorEastAsia" w:hAnsiTheme="minorEastAsia" w:eastAsiaTheme="minorEastAsia" w:cstheme="minorEastAsia"/>
          <w:color w:val="auto"/>
          <w:highlight w:val="none"/>
          <w:lang w:eastAsia="zh-CN"/>
        </w:rPr>
        <w:t>：</w:t>
      </w:r>
    </w:p>
    <w:p w14:paraId="21EE3248">
      <w:pPr>
        <w:widowControl w:val="0"/>
        <w:kinsoku/>
        <w:topLinePunct/>
        <w:autoSpaceDE/>
        <w:autoSpaceDN/>
        <w:spacing w:line="420" w:lineRule="auto"/>
        <w:ind w:firstLine="518"/>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（3）提供2023年度经第三方审计机构出具的财务审计报告（新成立的公司可不提供但需提供银行出具的近3个月的资信证明），和健全的财务会计制度。</w:t>
      </w:r>
    </w:p>
    <w:p w14:paraId="6EAECFED">
      <w:pPr>
        <w:widowControl w:val="0"/>
        <w:kinsoku/>
        <w:topLinePunct/>
        <w:autoSpaceDE/>
        <w:autoSpaceDN/>
        <w:spacing w:line="420" w:lineRule="auto"/>
        <w:ind w:firstLine="518"/>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提供具有税务局开具依法缴纳近三个月的完税证明（完税证明或税务部门出具的其他证明，需含增值税、印花税等税种；非社会保险类。若为零申报企业，需提供无欠税证明或国家税务总局电子税务局“申报结果查询截图”）；  新成立公司按实际发生提供税务机关出具的无欠税证明。</w:t>
      </w:r>
    </w:p>
    <w:p w14:paraId="6E2A71F7">
      <w:pPr>
        <w:widowControl w:val="0"/>
        <w:kinsoku/>
        <w:topLinePunct/>
        <w:autoSpaceDE/>
        <w:autoSpaceDN/>
        <w:spacing w:line="420" w:lineRule="auto"/>
        <w:ind w:firstLine="518"/>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（5）提供社保局出具的本单位缴纳的近三个月的单位社保缴纳证明（新成立的公司按实际发生提供）；</w:t>
      </w:r>
    </w:p>
    <w:p w14:paraId="03B3E135">
      <w:pPr>
        <w:widowControl w:val="0"/>
        <w:kinsoku/>
        <w:topLinePunct/>
        <w:autoSpaceDE/>
        <w:autoSpaceDN/>
        <w:spacing w:line="420" w:lineRule="auto"/>
        <w:ind w:firstLine="518"/>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凡拟参加本次招标项目的供应商，如在“信用中国”网站（www.creditchina.gov.cn）被列入失信被执行人、严重失信主体名单、重大税收违法失信主体；国家企业信用信息公示系统（http://www.gsxt.gov.cn）被列入严重违法失信名单（黑名单）；中国政府采购网（http://www.ccgp.gov.cn/search/cr/）被列入政府采购严重违法失信行为记录名单（尚在处罚期内的），将拒绝其参加本次采购活动</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可提供网站截图</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w:t>
      </w:r>
    </w:p>
    <w:p w14:paraId="7E8E15A5">
      <w:pPr>
        <w:widowControl w:val="0"/>
        <w:kinsoku/>
        <w:topLinePunct/>
        <w:autoSpaceDE/>
        <w:autoSpaceDN/>
        <w:spacing w:line="420" w:lineRule="auto"/>
        <w:ind w:firstLine="518"/>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（7）单位负责人为同一人或者存在直接控股、管理关系的不同供应商，不得参加同一合同项下的政府采购活动。（提供声明函）；</w:t>
      </w:r>
    </w:p>
    <w:p w14:paraId="719AE360">
      <w:pPr>
        <w:widowControl w:val="0"/>
        <w:kinsoku/>
        <w:topLinePunct/>
        <w:autoSpaceDE/>
        <w:autoSpaceDN/>
        <w:spacing w:line="420" w:lineRule="auto"/>
        <w:ind w:firstLine="518"/>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lang w:val="en-US" w:eastAsia="zh-CN"/>
        </w:rPr>
        <w:t>提供</w:t>
      </w:r>
      <w:r>
        <w:rPr>
          <w:rFonts w:hint="eastAsia" w:asciiTheme="minorEastAsia" w:hAnsiTheme="minorEastAsia" w:eastAsiaTheme="minorEastAsia" w:cstheme="minorEastAsia"/>
          <w:color w:val="auto"/>
          <w:highlight w:val="none"/>
        </w:rPr>
        <w:t>参加政府采购活动前3年内在经营活动中没有重大违法记录的书面声明；</w:t>
      </w:r>
    </w:p>
    <w:p w14:paraId="73312F8F">
      <w:pPr>
        <w:widowControl w:val="0"/>
        <w:kinsoku/>
        <w:topLinePunct/>
        <w:autoSpaceDE/>
        <w:autoSpaceDN/>
        <w:spacing w:line="420" w:lineRule="auto"/>
        <w:jc w:val="center"/>
        <w:rPr>
          <w:rFonts w:ascii="楷体" w:hAnsi="楷体" w:eastAsia="楷体" w:cs="楷体"/>
          <w:b/>
          <w:bCs/>
          <w:color w:val="auto"/>
          <w:highlight w:val="none"/>
        </w:rPr>
      </w:pPr>
      <w:r>
        <w:rPr>
          <w:rFonts w:hint="eastAsia" w:ascii="楷体" w:hAnsi="楷体" w:eastAsia="楷体" w:cs="楷体"/>
          <w:b/>
          <w:bCs/>
          <w:color w:val="auto"/>
          <w:highlight w:val="none"/>
        </w:rPr>
        <w:t>参加本次采购活动前三年内在经营活动中</w:t>
      </w:r>
    </w:p>
    <w:p w14:paraId="180141DC">
      <w:pPr>
        <w:widowControl w:val="0"/>
        <w:kinsoku/>
        <w:topLinePunct/>
        <w:autoSpaceDE/>
        <w:autoSpaceDN/>
        <w:spacing w:line="420" w:lineRule="auto"/>
        <w:jc w:val="center"/>
        <w:rPr>
          <w:rFonts w:ascii="楷体" w:hAnsi="楷体" w:eastAsia="楷体" w:cs="楷体"/>
          <w:b/>
          <w:bCs/>
          <w:color w:val="auto"/>
          <w:highlight w:val="none"/>
        </w:rPr>
      </w:pPr>
      <w:r>
        <w:rPr>
          <w:rFonts w:hint="eastAsia" w:ascii="楷体" w:hAnsi="楷体" w:eastAsia="楷体" w:cs="楷体"/>
          <w:b/>
          <w:bCs/>
          <w:color w:val="auto"/>
          <w:highlight w:val="none"/>
        </w:rPr>
        <w:t>没有重大违法记录的书面声明</w:t>
      </w:r>
    </w:p>
    <w:p w14:paraId="1B6BE485">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采购人</w:t>
      </w:r>
      <w:r>
        <w:rPr>
          <w:rFonts w:asciiTheme="minorEastAsia" w:hAnsiTheme="minorEastAsia" w:eastAsiaTheme="minorEastAsia" w:cstheme="minorEastAsia"/>
          <w:color w:val="auto"/>
          <w:highlight w:val="none"/>
        </w:rPr>
        <w:t>名称）：</w:t>
      </w:r>
    </w:p>
    <w:p w14:paraId="21EC2BCA">
      <w:pPr>
        <w:widowControl w:val="0"/>
        <w:kinsoku/>
        <w:topLinePunct/>
        <w:autoSpaceDE/>
        <w:autoSpaceDN/>
        <w:spacing w:line="420" w:lineRule="auto"/>
        <w:ind w:firstLine="420" w:firstLineChars="20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我</w:t>
      </w:r>
      <w:r>
        <w:rPr>
          <w:rFonts w:hint="eastAsia" w:asciiTheme="minorEastAsia" w:hAnsiTheme="minorEastAsia" w:eastAsiaTheme="minorEastAsia" w:cstheme="minorEastAsia"/>
          <w:color w:val="auto"/>
          <w:highlight w:val="none"/>
        </w:rPr>
        <w:t>公司</w:t>
      </w:r>
      <w:r>
        <w:rPr>
          <w:rFonts w:asciiTheme="minorEastAsia" w:hAnsiTheme="minorEastAsia" w:eastAsiaTheme="minorEastAsia" w:cstheme="minorEastAsia"/>
          <w:color w:val="auto"/>
          <w:highlight w:val="none"/>
        </w:rPr>
        <w:t>参加本次采购活动前三年内，在经营活动中没有重大违法记录。</w:t>
      </w:r>
    </w:p>
    <w:p w14:paraId="737AD1E1">
      <w:pPr>
        <w:widowControl w:val="0"/>
        <w:kinsoku/>
        <w:topLinePunct/>
        <w:autoSpaceDE/>
        <w:autoSpaceDN/>
        <w:spacing w:line="42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41251768">
      <w:pPr>
        <w:widowControl w:val="0"/>
        <w:kinsoku/>
        <w:topLinePunct/>
        <w:autoSpaceDE/>
        <w:autoSpaceDN/>
        <w:spacing w:line="420" w:lineRule="auto"/>
        <w:ind w:firstLine="420" w:firstLineChars="200"/>
        <w:rPr>
          <w:rFonts w:asciiTheme="minorEastAsia" w:hAnsiTheme="minorEastAsia" w:eastAsiaTheme="minorEastAsia" w:cstheme="minorEastAsia"/>
          <w:color w:val="auto"/>
          <w:highlight w:val="none"/>
        </w:rPr>
      </w:pPr>
    </w:p>
    <w:p w14:paraId="12342270">
      <w:pPr>
        <w:widowControl w:val="0"/>
        <w:kinsoku/>
        <w:topLinePunct/>
        <w:autoSpaceDE/>
        <w:autoSpaceDN/>
        <w:spacing w:line="420" w:lineRule="auto"/>
        <w:ind w:firstLine="420" w:firstLineChars="200"/>
        <w:rPr>
          <w:rFonts w:asciiTheme="minorEastAsia" w:hAnsiTheme="minorEastAsia" w:eastAsiaTheme="minorEastAsia" w:cstheme="minorEastAsia"/>
          <w:color w:val="auto"/>
          <w:highlight w:val="none"/>
        </w:rPr>
      </w:pPr>
    </w:p>
    <w:p w14:paraId="174420BC">
      <w:pPr>
        <w:widowControl w:val="0"/>
        <w:kinsoku/>
        <w:topLinePunct/>
        <w:autoSpaceDE/>
        <w:autoSpaceDN/>
        <w:spacing w:line="420" w:lineRule="auto"/>
        <w:ind w:firstLine="420" w:firstLineChars="200"/>
        <w:rPr>
          <w:rFonts w:asciiTheme="minorEastAsia" w:hAnsiTheme="minorEastAsia" w:eastAsiaTheme="minorEastAsia" w:cstheme="minorEastAsia"/>
          <w:color w:val="auto"/>
          <w:highlight w:val="none"/>
        </w:rPr>
      </w:pPr>
    </w:p>
    <w:p w14:paraId="2B444599">
      <w:pPr>
        <w:widowControl w:val="0"/>
        <w:kinsoku/>
        <w:topLinePunct/>
        <w:autoSpaceDE/>
        <w:autoSpaceDN/>
        <w:spacing w:line="42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投标人法定代表人（</w:t>
      </w:r>
      <w:r>
        <w:rPr>
          <w:rFonts w:hint="eastAsia" w:ascii="宋体" w:hAnsi="宋体" w:eastAsia="宋体" w:cs="宋体"/>
          <w:color w:val="auto"/>
          <w:highlight w:val="none"/>
          <w:lang w:val="en-US" w:eastAsia="zh-CN"/>
        </w:rPr>
        <w:t>签名或签章</w:t>
      </w:r>
      <w:r>
        <w:rPr>
          <w:rFonts w:hint="eastAsia" w:asciiTheme="minorEastAsia" w:hAnsiTheme="minorEastAsia" w:eastAsiaTheme="minorEastAsia" w:cstheme="minorEastAsia"/>
          <w:color w:val="auto"/>
          <w:highlight w:val="none"/>
        </w:rPr>
        <w:t>）：</w:t>
      </w:r>
    </w:p>
    <w:p w14:paraId="79A9B0B4">
      <w:pPr>
        <w:widowControl w:val="0"/>
        <w:kinsoku/>
        <w:topLinePunct/>
        <w:autoSpaceDE/>
        <w:autoSpaceDN/>
        <w:spacing w:line="42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投标人名称（电子签章）：</w:t>
      </w:r>
    </w:p>
    <w:p w14:paraId="0C45A998">
      <w:pPr>
        <w:widowControl w:val="0"/>
        <w:kinsoku/>
        <w:topLinePunct/>
        <w:autoSpaceDE/>
        <w:autoSpaceDN/>
        <w:spacing w:line="42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日期： </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 xml:space="preserve">年 </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 xml:space="preserve">月 </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日</w:t>
      </w:r>
    </w:p>
    <w:p w14:paraId="2625CAEE">
      <w:pPr>
        <w:widowControl w:val="0"/>
        <w:kinsoku/>
        <w:topLinePunct/>
        <w:autoSpaceDE/>
        <w:autoSpaceDN/>
        <w:spacing w:line="420" w:lineRule="auto"/>
        <w:ind w:firstLine="420" w:firstLineChars="200"/>
        <w:rPr>
          <w:rFonts w:asciiTheme="minorEastAsia" w:hAnsiTheme="minorEastAsia" w:eastAsiaTheme="minorEastAsia" w:cstheme="minorEastAsia"/>
          <w:color w:val="auto"/>
          <w:highlight w:val="none"/>
        </w:rPr>
        <w:sectPr>
          <w:footerReference r:id="rId17" w:type="default"/>
          <w:pgSz w:w="11906" w:h="16839"/>
          <w:pgMar w:top="1247" w:right="1588" w:bottom="1247" w:left="1531" w:header="851" w:footer="851" w:gutter="0"/>
          <w:cols w:space="0" w:num="1"/>
        </w:sectPr>
      </w:pPr>
    </w:p>
    <w:p w14:paraId="3996B794">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10" w:name="_bookmark67"/>
      <w:bookmarkEnd w:id="310"/>
      <w:bookmarkStart w:id="311" w:name="_Toc132755505"/>
      <w:bookmarkStart w:id="312" w:name="_Toc31667"/>
      <w:bookmarkStart w:id="313" w:name="_Toc132754846"/>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七、资质证书</w:t>
      </w:r>
      <w:bookmarkEnd w:id="311"/>
      <w:bookmarkEnd w:id="312"/>
      <w:bookmarkEnd w:id="313"/>
    </w:p>
    <w:p w14:paraId="2D78054D">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☆资质证书</w:t>
      </w:r>
    </w:p>
    <w:p w14:paraId="0BF5CFE6">
      <w:pPr>
        <w:widowControl w:val="0"/>
        <w:kinsoku/>
        <w:topLinePunct/>
        <w:autoSpaceDE/>
        <w:autoSpaceDN/>
        <w:spacing w:line="420" w:lineRule="auto"/>
        <w:rPr>
          <w:rFonts w:asciiTheme="minorEastAsia" w:hAnsiTheme="minorEastAsia" w:eastAsiaTheme="minorEastAsia" w:cstheme="minorEastAsia"/>
          <w:color w:val="auto"/>
          <w:highlight w:val="none"/>
        </w:rPr>
        <w:sectPr>
          <w:footerReference r:id="rId18" w:type="default"/>
          <w:pgSz w:w="11906" w:h="16839"/>
          <w:pgMar w:top="1247" w:right="1588" w:bottom="1247" w:left="1531" w:header="851" w:footer="851" w:gutter="0"/>
          <w:cols w:space="0" w:num="1"/>
        </w:sectPr>
      </w:pPr>
    </w:p>
    <w:p w14:paraId="01ECC0AC">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14" w:name="_bookmark68"/>
      <w:bookmarkEnd w:id="314"/>
      <w:bookmarkStart w:id="315" w:name="_Toc132754847"/>
      <w:bookmarkStart w:id="316" w:name="_Toc132755506"/>
      <w:bookmarkStart w:id="317" w:name="_Toc5524"/>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八、安全生产许可证</w:t>
      </w:r>
      <w:bookmarkEnd w:id="315"/>
      <w:bookmarkEnd w:id="316"/>
      <w:bookmarkEnd w:id="317"/>
    </w:p>
    <w:p w14:paraId="2830F590">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☆安全生产许可证</w:t>
      </w:r>
    </w:p>
    <w:p w14:paraId="0E83DA4F">
      <w:pPr>
        <w:widowControl w:val="0"/>
        <w:kinsoku/>
        <w:topLinePunct/>
        <w:autoSpaceDE/>
        <w:autoSpaceDN/>
        <w:spacing w:line="420" w:lineRule="auto"/>
        <w:rPr>
          <w:rFonts w:asciiTheme="minorEastAsia" w:hAnsiTheme="minorEastAsia" w:eastAsiaTheme="minorEastAsia" w:cstheme="minorEastAsia"/>
          <w:color w:val="auto"/>
          <w:highlight w:val="none"/>
        </w:rPr>
        <w:sectPr>
          <w:footerReference r:id="rId19" w:type="default"/>
          <w:pgSz w:w="11906" w:h="16839"/>
          <w:pgMar w:top="1247" w:right="1588" w:bottom="1247" w:left="1531" w:header="851" w:footer="851" w:gutter="0"/>
          <w:cols w:space="0" w:num="1"/>
        </w:sectPr>
      </w:pPr>
    </w:p>
    <w:p w14:paraId="55CE4103">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18" w:name="_bookmark69"/>
      <w:bookmarkEnd w:id="318"/>
      <w:bookmarkStart w:id="319" w:name="_Toc132755507"/>
      <w:bookmarkStart w:id="320" w:name="_Toc14953"/>
      <w:bookmarkStart w:id="321" w:name="_Toc132754848"/>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九、项目负责人</w:t>
      </w:r>
      <w:bookmarkEnd w:id="319"/>
      <w:bookmarkEnd w:id="320"/>
      <w:bookmarkEnd w:id="321"/>
    </w:p>
    <w:p w14:paraId="17B3D92F">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☆项目负责人</w:t>
      </w:r>
    </w:p>
    <w:p w14:paraId="6BDEA972">
      <w:pPr>
        <w:widowControl w:val="0"/>
        <w:kinsoku/>
        <w:topLinePunct/>
        <w:autoSpaceDE/>
        <w:autoSpaceDN/>
        <w:spacing w:line="420" w:lineRule="auto"/>
        <w:jc w:val="center"/>
        <w:rPr>
          <w:color w:val="auto"/>
          <w:highlight w:val="none"/>
        </w:rPr>
      </w:pPr>
      <w:r>
        <w:rPr>
          <w:rFonts w:hint="eastAsia" w:ascii="楷体" w:hAnsi="楷体" w:eastAsia="楷体" w:cs="楷体"/>
          <w:b/>
          <w:bCs/>
          <w:color w:val="auto"/>
          <w:highlight w:val="none"/>
        </w:rPr>
        <w:t>项目负责人简历表</w:t>
      </w:r>
    </w:p>
    <w:tbl>
      <w:tblPr>
        <w:tblStyle w:val="2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32"/>
        <w:gridCol w:w="972"/>
        <w:gridCol w:w="1042"/>
        <w:gridCol w:w="1187"/>
        <w:gridCol w:w="1753"/>
        <w:gridCol w:w="325"/>
        <w:gridCol w:w="2278"/>
      </w:tblGrid>
      <w:tr w14:paraId="2A85E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1" w:type="pct"/>
            <w:vAlign w:val="center"/>
          </w:tcPr>
          <w:p w14:paraId="14207410">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姓名</w:t>
            </w:r>
          </w:p>
        </w:tc>
        <w:tc>
          <w:tcPr>
            <w:tcW w:w="553" w:type="pct"/>
            <w:vAlign w:val="center"/>
          </w:tcPr>
          <w:p w14:paraId="690FC512">
            <w:pPr>
              <w:widowControl w:val="0"/>
              <w:kinsoku/>
              <w:topLinePunct/>
              <w:autoSpaceDE/>
              <w:autoSpaceDN/>
              <w:jc w:val="center"/>
              <w:rPr>
                <w:color w:val="auto"/>
                <w:highlight w:val="none"/>
              </w:rPr>
            </w:pPr>
          </w:p>
        </w:tc>
        <w:tc>
          <w:tcPr>
            <w:tcW w:w="593" w:type="pct"/>
            <w:vAlign w:val="center"/>
          </w:tcPr>
          <w:p w14:paraId="69862908">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年龄</w:t>
            </w:r>
          </w:p>
        </w:tc>
        <w:tc>
          <w:tcPr>
            <w:tcW w:w="674" w:type="pct"/>
            <w:vAlign w:val="center"/>
          </w:tcPr>
          <w:p w14:paraId="61C3530A">
            <w:pPr>
              <w:widowControl w:val="0"/>
              <w:kinsoku/>
              <w:topLinePunct/>
              <w:autoSpaceDE/>
              <w:autoSpaceDN/>
              <w:jc w:val="center"/>
              <w:rPr>
                <w:color w:val="auto"/>
                <w:highlight w:val="none"/>
              </w:rPr>
            </w:pPr>
          </w:p>
        </w:tc>
        <w:tc>
          <w:tcPr>
            <w:tcW w:w="1182" w:type="pct"/>
            <w:gridSpan w:val="2"/>
            <w:vAlign w:val="center"/>
          </w:tcPr>
          <w:p w14:paraId="5BA9A48E">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学历</w:t>
            </w:r>
          </w:p>
        </w:tc>
        <w:tc>
          <w:tcPr>
            <w:tcW w:w="1294" w:type="pct"/>
            <w:vAlign w:val="center"/>
          </w:tcPr>
          <w:p w14:paraId="08471CE4">
            <w:pPr>
              <w:widowControl w:val="0"/>
              <w:kinsoku/>
              <w:topLinePunct/>
              <w:autoSpaceDE/>
              <w:autoSpaceDN/>
              <w:jc w:val="center"/>
              <w:rPr>
                <w:color w:val="auto"/>
                <w:highlight w:val="none"/>
              </w:rPr>
            </w:pPr>
          </w:p>
        </w:tc>
      </w:tr>
      <w:tr w14:paraId="166E6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1" w:type="pct"/>
            <w:vAlign w:val="center"/>
          </w:tcPr>
          <w:p w14:paraId="57A67281">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职称</w:t>
            </w:r>
          </w:p>
        </w:tc>
        <w:tc>
          <w:tcPr>
            <w:tcW w:w="553" w:type="pct"/>
            <w:vAlign w:val="center"/>
          </w:tcPr>
          <w:p w14:paraId="06023A4F">
            <w:pPr>
              <w:widowControl w:val="0"/>
              <w:kinsoku/>
              <w:topLinePunct/>
              <w:autoSpaceDE/>
              <w:autoSpaceDN/>
              <w:jc w:val="center"/>
              <w:rPr>
                <w:color w:val="auto"/>
                <w:highlight w:val="none"/>
              </w:rPr>
            </w:pPr>
          </w:p>
        </w:tc>
        <w:tc>
          <w:tcPr>
            <w:tcW w:w="593" w:type="pct"/>
            <w:vAlign w:val="center"/>
          </w:tcPr>
          <w:p w14:paraId="1550510A">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职务</w:t>
            </w:r>
          </w:p>
        </w:tc>
        <w:tc>
          <w:tcPr>
            <w:tcW w:w="674" w:type="pct"/>
            <w:vAlign w:val="center"/>
          </w:tcPr>
          <w:p w14:paraId="05398934">
            <w:pPr>
              <w:widowControl w:val="0"/>
              <w:kinsoku/>
              <w:topLinePunct/>
              <w:autoSpaceDE/>
              <w:autoSpaceDN/>
              <w:jc w:val="center"/>
              <w:rPr>
                <w:color w:val="auto"/>
                <w:highlight w:val="none"/>
              </w:rPr>
            </w:pPr>
          </w:p>
        </w:tc>
        <w:tc>
          <w:tcPr>
            <w:tcW w:w="1182" w:type="pct"/>
            <w:gridSpan w:val="2"/>
            <w:vAlign w:val="center"/>
          </w:tcPr>
          <w:p w14:paraId="564FFEAE">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拟在本工程任职</w:t>
            </w:r>
          </w:p>
        </w:tc>
        <w:tc>
          <w:tcPr>
            <w:tcW w:w="1294" w:type="pct"/>
            <w:vAlign w:val="center"/>
          </w:tcPr>
          <w:p w14:paraId="5A4949FE">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项目负责人</w:t>
            </w:r>
          </w:p>
        </w:tc>
      </w:tr>
      <w:tr w14:paraId="76897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1" w:type="pct"/>
            <w:vAlign w:val="center"/>
          </w:tcPr>
          <w:p w14:paraId="539F8A4D">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毕业学校</w:t>
            </w:r>
          </w:p>
        </w:tc>
        <w:tc>
          <w:tcPr>
            <w:tcW w:w="1146" w:type="pct"/>
            <w:gridSpan w:val="2"/>
            <w:tcBorders>
              <w:right w:val="nil"/>
            </w:tcBorders>
            <w:vAlign w:val="center"/>
          </w:tcPr>
          <w:p w14:paraId="74C7F026">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年毕业于</w:t>
            </w:r>
          </w:p>
        </w:tc>
        <w:tc>
          <w:tcPr>
            <w:tcW w:w="1672" w:type="pct"/>
            <w:gridSpan w:val="2"/>
            <w:tcBorders>
              <w:left w:val="nil"/>
              <w:right w:val="nil"/>
            </w:tcBorders>
            <w:vAlign w:val="center"/>
          </w:tcPr>
          <w:p w14:paraId="67F2D8E5">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学校</w:t>
            </w:r>
          </w:p>
        </w:tc>
        <w:tc>
          <w:tcPr>
            <w:tcW w:w="1478" w:type="pct"/>
            <w:gridSpan w:val="2"/>
            <w:tcBorders>
              <w:left w:val="nil"/>
            </w:tcBorders>
            <w:vAlign w:val="center"/>
          </w:tcPr>
          <w:p w14:paraId="50402A2B">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专业</w:t>
            </w:r>
          </w:p>
        </w:tc>
      </w:tr>
      <w:tr w14:paraId="19EDB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000" w:type="pct"/>
            <w:gridSpan w:val="7"/>
            <w:vAlign w:val="center"/>
          </w:tcPr>
          <w:p w14:paraId="3100917B">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主要工作经历</w:t>
            </w:r>
          </w:p>
        </w:tc>
      </w:tr>
      <w:tr w14:paraId="7B5F8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1" w:type="pct"/>
            <w:vAlign w:val="center"/>
          </w:tcPr>
          <w:p w14:paraId="54EA540C">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时间</w:t>
            </w:r>
          </w:p>
        </w:tc>
        <w:tc>
          <w:tcPr>
            <w:tcW w:w="1821" w:type="pct"/>
            <w:gridSpan w:val="3"/>
            <w:vAlign w:val="center"/>
          </w:tcPr>
          <w:p w14:paraId="0707EEFC">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参加过的类似项目名称</w:t>
            </w:r>
          </w:p>
        </w:tc>
        <w:tc>
          <w:tcPr>
            <w:tcW w:w="1182" w:type="pct"/>
            <w:gridSpan w:val="2"/>
            <w:vAlign w:val="center"/>
          </w:tcPr>
          <w:p w14:paraId="70365CC0">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项目概况</w:t>
            </w:r>
          </w:p>
        </w:tc>
        <w:tc>
          <w:tcPr>
            <w:tcW w:w="1294" w:type="pct"/>
            <w:vAlign w:val="center"/>
          </w:tcPr>
          <w:p w14:paraId="276F0058">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发包人及联系电话</w:t>
            </w:r>
          </w:p>
        </w:tc>
      </w:tr>
      <w:tr w14:paraId="2530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1" w:type="pct"/>
            <w:vAlign w:val="center"/>
          </w:tcPr>
          <w:p w14:paraId="06B0A4EA">
            <w:pPr>
              <w:widowControl w:val="0"/>
              <w:kinsoku/>
              <w:topLinePunct/>
              <w:autoSpaceDE/>
              <w:autoSpaceDN/>
              <w:rPr>
                <w:color w:val="auto"/>
                <w:highlight w:val="none"/>
              </w:rPr>
            </w:pPr>
          </w:p>
        </w:tc>
        <w:tc>
          <w:tcPr>
            <w:tcW w:w="1821" w:type="pct"/>
            <w:gridSpan w:val="3"/>
            <w:vAlign w:val="center"/>
          </w:tcPr>
          <w:p w14:paraId="04321365">
            <w:pPr>
              <w:widowControl w:val="0"/>
              <w:kinsoku/>
              <w:topLinePunct/>
              <w:autoSpaceDE/>
              <w:autoSpaceDN/>
              <w:rPr>
                <w:color w:val="auto"/>
                <w:highlight w:val="none"/>
              </w:rPr>
            </w:pPr>
          </w:p>
        </w:tc>
        <w:tc>
          <w:tcPr>
            <w:tcW w:w="1182" w:type="pct"/>
            <w:gridSpan w:val="2"/>
            <w:vAlign w:val="center"/>
          </w:tcPr>
          <w:p w14:paraId="7265FB80">
            <w:pPr>
              <w:widowControl w:val="0"/>
              <w:kinsoku/>
              <w:topLinePunct/>
              <w:autoSpaceDE/>
              <w:autoSpaceDN/>
              <w:rPr>
                <w:color w:val="auto"/>
                <w:highlight w:val="none"/>
              </w:rPr>
            </w:pPr>
          </w:p>
        </w:tc>
        <w:tc>
          <w:tcPr>
            <w:tcW w:w="1294" w:type="pct"/>
            <w:vAlign w:val="center"/>
          </w:tcPr>
          <w:p w14:paraId="07F3C903">
            <w:pPr>
              <w:widowControl w:val="0"/>
              <w:kinsoku/>
              <w:topLinePunct/>
              <w:autoSpaceDE/>
              <w:autoSpaceDN/>
              <w:rPr>
                <w:color w:val="auto"/>
                <w:highlight w:val="none"/>
              </w:rPr>
            </w:pPr>
          </w:p>
        </w:tc>
      </w:tr>
      <w:tr w14:paraId="0D396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1" w:type="pct"/>
            <w:vAlign w:val="center"/>
          </w:tcPr>
          <w:p w14:paraId="645EB1F9">
            <w:pPr>
              <w:widowControl w:val="0"/>
              <w:kinsoku/>
              <w:topLinePunct/>
              <w:autoSpaceDE/>
              <w:autoSpaceDN/>
              <w:rPr>
                <w:color w:val="auto"/>
                <w:highlight w:val="none"/>
              </w:rPr>
            </w:pPr>
          </w:p>
        </w:tc>
        <w:tc>
          <w:tcPr>
            <w:tcW w:w="1821" w:type="pct"/>
            <w:gridSpan w:val="3"/>
            <w:vAlign w:val="center"/>
          </w:tcPr>
          <w:p w14:paraId="27A80BAC">
            <w:pPr>
              <w:widowControl w:val="0"/>
              <w:kinsoku/>
              <w:topLinePunct/>
              <w:autoSpaceDE/>
              <w:autoSpaceDN/>
              <w:rPr>
                <w:color w:val="auto"/>
                <w:highlight w:val="none"/>
              </w:rPr>
            </w:pPr>
          </w:p>
        </w:tc>
        <w:tc>
          <w:tcPr>
            <w:tcW w:w="1182" w:type="pct"/>
            <w:gridSpan w:val="2"/>
            <w:vAlign w:val="center"/>
          </w:tcPr>
          <w:p w14:paraId="399ACCA3">
            <w:pPr>
              <w:widowControl w:val="0"/>
              <w:kinsoku/>
              <w:topLinePunct/>
              <w:autoSpaceDE/>
              <w:autoSpaceDN/>
              <w:rPr>
                <w:color w:val="auto"/>
                <w:highlight w:val="none"/>
              </w:rPr>
            </w:pPr>
          </w:p>
        </w:tc>
        <w:tc>
          <w:tcPr>
            <w:tcW w:w="1294" w:type="pct"/>
            <w:vAlign w:val="center"/>
          </w:tcPr>
          <w:p w14:paraId="790A4E3B">
            <w:pPr>
              <w:widowControl w:val="0"/>
              <w:kinsoku/>
              <w:topLinePunct/>
              <w:autoSpaceDE/>
              <w:autoSpaceDN/>
              <w:rPr>
                <w:color w:val="auto"/>
                <w:highlight w:val="none"/>
              </w:rPr>
            </w:pPr>
          </w:p>
        </w:tc>
      </w:tr>
      <w:tr w14:paraId="52562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1" w:type="pct"/>
            <w:vAlign w:val="center"/>
          </w:tcPr>
          <w:p w14:paraId="575C9150">
            <w:pPr>
              <w:widowControl w:val="0"/>
              <w:kinsoku/>
              <w:topLinePunct/>
              <w:autoSpaceDE/>
              <w:autoSpaceDN/>
              <w:rPr>
                <w:color w:val="auto"/>
                <w:highlight w:val="none"/>
              </w:rPr>
            </w:pPr>
          </w:p>
        </w:tc>
        <w:tc>
          <w:tcPr>
            <w:tcW w:w="1821" w:type="pct"/>
            <w:gridSpan w:val="3"/>
            <w:vAlign w:val="center"/>
          </w:tcPr>
          <w:p w14:paraId="748BE0A5">
            <w:pPr>
              <w:widowControl w:val="0"/>
              <w:kinsoku/>
              <w:topLinePunct/>
              <w:autoSpaceDE/>
              <w:autoSpaceDN/>
              <w:rPr>
                <w:color w:val="auto"/>
                <w:highlight w:val="none"/>
              </w:rPr>
            </w:pPr>
          </w:p>
        </w:tc>
        <w:tc>
          <w:tcPr>
            <w:tcW w:w="1182" w:type="pct"/>
            <w:gridSpan w:val="2"/>
            <w:vAlign w:val="center"/>
          </w:tcPr>
          <w:p w14:paraId="35BA6C93">
            <w:pPr>
              <w:widowControl w:val="0"/>
              <w:kinsoku/>
              <w:topLinePunct/>
              <w:autoSpaceDE/>
              <w:autoSpaceDN/>
              <w:rPr>
                <w:color w:val="auto"/>
                <w:highlight w:val="none"/>
              </w:rPr>
            </w:pPr>
          </w:p>
        </w:tc>
        <w:tc>
          <w:tcPr>
            <w:tcW w:w="1294" w:type="pct"/>
            <w:vAlign w:val="center"/>
          </w:tcPr>
          <w:p w14:paraId="48CE08E7">
            <w:pPr>
              <w:widowControl w:val="0"/>
              <w:kinsoku/>
              <w:topLinePunct/>
              <w:autoSpaceDE/>
              <w:autoSpaceDN/>
              <w:rPr>
                <w:color w:val="auto"/>
                <w:highlight w:val="none"/>
              </w:rPr>
            </w:pPr>
          </w:p>
        </w:tc>
      </w:tr>
      <w:tr w14:paraId="5F65E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701" w:type="pct"/>
            <w:vAlign w:val="center"/>
          </w:tcPr>
          <w:p w14:paraId="29A63D75">
            <w:pPr>
              <w:widowControl w:val="0"/>
              <w:kinsoku/>
              <w:topLinePunct/>
              <w:autoSpaceDE/>
              <w:autoSpaceDN/>
              <w:rPr>
                <w:color w:val="auto"/>
                <w:highlight w:val="none"/>
              </w:rPr>
            </w:pPr>
          </w:p>
        </w:tc>
        <w:tc>
          <w:tcPr>
            <w:tcW w:w="1821" w:type="pct"/>
            <w:gridSpan w:val="3"/>
            <w:vAlign w:val="center"/>
          </w:tcPr>
          <w:p w14:paraId="397D1A88">
            <w:pPr>
              <w:widowControl w:val="0"/>
              <w:kinsoku/>
              <w:topLinePunct/>
              <w:autoSpaceDE/>
              <w:autoSpaceDN/>
              <w:rPr>
                <w:color w:val="auto"/>
                <w:highlight w:val="none"/>
              </w:rPr>
            </w:pPr>
          </w:p>
        </w:tc>
        <w:tc>
          <w:tcPr>
            <w:tcW w:w="1182" w:type="pct"/>
            <w:gridSpan w:val="2"/>
            <w:vAlign w:val="center"/>
          </w:tcPr>
          <w:p w14:paraId="1BC73B27">
            <w:pPr>
              <w:widowControl w:val="0"/>
              <w:kinsoku/>
              <w:topLinePunct/>
              <w:autoSpaceDE/>
              <w:autoSpaceDN/>
              <w:rPr>
                <w:color w:val="auto"/>
                <w:highlight w:val="none"/>
              </w:rPr>
            </w:pPr>
          </w:p>
        </w:tc>
        <w:tc>
          <w:tcPr>
            <w:tcW w:w="1294" w:type="pct"/>
            <w:vAlign w:val="center"/>
          </w:tcPr>
          <w:p w14:paraId="2C7E9CD2">
            <w:pPr>
              <w:widowControl w:val="0"/>
              <w:kinsoku/>
              <w:topLinePunct/>
              <w:autoSpaceDE/>
              <w:autoSpaceDN/>
              <w:rPr>
                <w:color w:val="auto"/>
                <w:highlight w:val="none"/>
              </w:rPr>
            </w:pPr>
          </w:p>
        </w:tc>
      </w:tr>
      <w:tr w14:paraId="191FF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1" w:type="pct"/>
            <w:vAlign w:val="center"/>
          </w:tcPr>
          <w:p w14:paraId="3CF9BAB0">
            <w:pPr>
              <w:widowControl w:val="0"/>
              <w:kinsoku/>
              <w:topLinePunct/>
              <w:autoSpaceDE/>
              <w:autoSpaceDN/>
              <w:rPr>
                <w:color w:val="auto"/>
                <w:highlight w:val="none"/>
              </w:rPr>
            </w:pPr>
          </w:p>
        </w:tc>
        <w:tc>
          <w:tcPr>
            <w:tcW w:w="1821" w:type="pct"/>
            <w:gridSpan w:val="3"/>
            <w:vAlign w:val="center"/>
          </w:tcPr>
          <w:p w14:paraId="0A6AF9F0">
            <w:pPr>
              <w:widowControl w:val="0"/>
              <w:kinsoku/>
              <w:topLinePunct/>
              <w:autoSpaceDE/>
              <w:autoSpaceDN/>
              <w:rPr>
                <w:color w:val="auto"/>
                <w:highlight w:val="none"/>
              </w:rPr>
            </w:pPr>
          </w:p>
        </w:tc>
        <w:tc>
          <w:tcPr>
            <w:tcW w:w="1182" w:type="pct"/>
            <w:gridSpan w:val="2"/>
            <w:vAlign w:val="center"/>
          </w:tcPr>
          <w:p w14:paraId="2A72E1AB">
            <w:pPr>
              <w:widowControl w:val="0"/>
              <w:kinsoku/>
              <w:topLinePunct/>
              <w:autoSpaceDE/>
              <w:autoSpaceDN/>
              <w:rPr>
                <w:color w:val="auto"/>
                <w:highlight w:val="none"/>
              </w:rPr>
            </w:pPr>
          </w:p>
        </w:tc>
        <w:tc>
          <w:tcPr>
            <w:tcW w:w="1294" w:type="pct"/>
            <w:vAlign w:val="center"/>
          </w:tcPr>
          <w:p w14:paraId="2D79D383">
            <w:pPr>
              <w:widowControl w:val="0"/>
              <w:kinsoku/>
              <w:topLinePunct/>
              <w:autoSpaceDE/>
              <w:autoSpaceDN/>
              <w:rPr>
                <w:color w:val="auto"/>
                <w:highlight w:val="none"/>
              </w:rPr>
            </w:pPr>
          </w:p>
        </w:tc>
      </w:tr>
      <w:tr w14:paraId="12CA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701" w:type="pct"/>
            <w:vAlign w:val="center"/>
          </w:tcPr>
          <w:p w14:paraId="63BC5749">
            <w:pPr>
              <w:widowControl w:val="0"/>
              <w:kinsoku/>
              <w:topLinePunct/>
              <w:autoSpaceDE/>
              <w:autoSpaceDN/>
              <w:rPr>
                <w:color w:val="auto"/>
                <w:highlight w:val="none"/>
              </w:rPr>
            </w:pPr>
          </w:p>
        </w:tc>
        <w:tc>
          <w:tcPr>
            <w:tcW w:w="1821" w:type="pct"/>
            <w:gridSpan w:val="3"/>
            <w:vAlign w:val="center"/>
          </w:tcPr>
          <w:p w14:paraId="51686F01">
            <w:pPr>
              <w:widowControl w:val="0"/>
              <w:kinsoku/>
              <w:topLinePunct/>
              <w:autoSpaceDE/>
              <w:autoSpaceDN/>
              <w:rPr>
                <w:color w:val="auto"/>
                <w:highlight w:val="none"/>
              </w:rPr>
            </w:pPr>
          </w:p>
        </w:tc>
        <w:tc>
          <w:tcPr>
            <w:tcW w:w="1182" w:type="pct"/>
            <w:gridSpan w:val="2"/>
            <w:vAlign w:val="center"/>
          </w:tcPr>
          <w:p w14:paraId="73611FC6">
            <w:pPr>
              <w:widowControl w:val="0"/>
              <w:kinsoku/>
              <w:topLinePunct/>
              <w:autoSpaceDE/>
              <w:autoSpaceDN/>
              <w:rPr>
                <w:color w:val="auto"/>
                <w:highlight w:val="none"/>
              </w:rPr>
            </w:pPr>
          </w:p>
        </w:tc>
        <w:tc>
          <w:tcPr>
            <w:tcW w:w="1294" w:type="pct"/>
            <w:vAlign w:val="center"/>
          </w:tcPr>
          <w:p w14:paraId="792A64AC">
            <w:pPr>
              <w:widowControl w:val="0"/>
              <w:kinsoku/>
              <w:topLinePunct/>
              <w:autoSpaceDE/>
              <w:autoSpaceDN/>
              <w:rPr>
                <w:color w:val="auto"/>
                <w:highlight w:val="none"/>
              </w:rPr>
            </w:pPr>
          </w:p>
        </w:tc>
      </w:tr>
      <w:tr w14:paraId="14CD3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1" w:type="pct"/>
            <w:vAlign w:val="center"/>
          </w:tcPr>
          <w:p w14:paraId="57EA06FF">
            <w:pPr>
              <w:widowControl w:val="0"/>
              <w:kinsoku/>
              <w:topLinePunct/>
              <w:autoSpaceDE/>
              <w:autoSpaceDN/>
              <w:rPr>
                <w:color w:val="auto"/>
                <w:highlight w:val="none"/>
              </w:rPr>
            </w:pPr>
          </w:p>
        </w:tc>
        <w:tc>
          <w:tcPr>
            <w:tcW w:w="1821" w:type="pct"/>
            <w:gridSpan w:val="3"/>
            <w:vAlign w:val="center"/>
          </w:tcPr>
          <w:p w14:paraId="5C727F0A">
            <w:pPr>
              <w:widowControl w:val="0"/>
              <w:kinsoku/>
              <w:topLinePunct/>
              <w:autoSpaceDE/>
              <w:autoSpaceDN/>
              <w:rPr>
                <w:color w:val="auto"/>
                <w:highlight w:val="none"/>
              </w:rPr>
            </w:pPr>
          </w:p>
        </w:tc>
        <w:tc>
          <w:tcPr>
            <w:tcW w:w="1182" w:type="pct"/>
            <w:gridSpan w:val="2"/>
            <w:vAlign w:val="center"/>
          </w:tcPr>
          <w:p w14:paraId="5FB218BF">
            <w:pPr>
              <w:widowControl w:val="0"/>
              <w:kinsoku/>
              <w:topLinePunct/>
              <w:autoSpaceDE/>
              <w:autoSpaceDN/>
              <w:rPr>
                <w:color w:val="auto"/>
                <w:highlight w:val="none"/>
              </w:rPr>
            </w:pPr>
          </w:p>
        </w:tc>
        <w:tc>
          <w:tcPr>
            <w:tcW w:w="1294" w:type="pct"/>
            <w:vAlign w:val="center"/>
          </w:tcPr>
          <w:p w14:paraId="6A3DCB86">
            <w:pPr>
              <w:widowControl w:val="0"/>
              <w:kinsoku/>
              <w:topLinePunct/>
              <w:autoSpaceDE/>
              <w:autoSpaceDN/>
              <w:rPr>
                <w:color w:val="auto"/>
                <w:highlight w:val="none"/>
              </w:rPr>
            </w:pPr>
          </w:p>
        </w:tc>
      </w:tr>
    </w:tbl>
    <w:p w14:paraId="188D285E">
      <w:pPr>
        <w:widowControl w:val="0"/>
        <w:kinsoku/>
        <w:topLinePunct/>
        <w:autoSpaceDE/>
        <w:autoSpaceDN/>
        <w:spacing w:line="420" w:lineRule="auto"/>
        <w:rPr>
          <w:rFonts w:ascii="宋体" w:hAnsi="宋体" w:eastAsia="宋体" w:cs="宋体"/>
          <w:color w:val="auto"/>
          <w:highlight w:val="none"/>
        </w:rPr>
      </w:pPr>
    </w:p>
    <w:p w14:paraId="752DDCA1">
      <w:pPr>
        <w:widowControl w:val="0"/>
        <w:kinsoku/>
        <w:topLinePunct/>
        <w:autoSpaceDE/>
        <w:autoSpaceDN/>
        <w:spacing w:line="420" w:lineRule="auto"/>
        <w:rPr>
          <w:rFonts w:ascii="宋体" w:hAnsi="宋体" w:eastAsia="宋体" w:cs="宋体"/>
          <w:color w:val="auto"/>
          <w:highlight w:val="none"/>
        </w:rPr>
      </w:pPr>
      <w:r>
        <w:rPr>
          <w:rFonts w:ascii="宋体" w:hAnsi="宋体" w:eastAsia="宋体" w:cs="宋体"/>
          <w:color w:val="auto"/>
          <w:highlight w:val="none"/>
        </w:rPr>
        <w:t>注：1、此表后应附项目负责人注册建造师证、安全生产考核合格证书</w:t>
      </w:r>
      <w:r>
        <w:rPr>
          <w:rFonts w:hint="eastAsia" w:ascii="宋体" w:hAnsi="宋体" w:eastAsia="宋体" w:cs="宋体"/>
          <w:color w:val="auto"/>
          <w:highlight w:val="none"/>
        </w:rPr>
        <w:t>（</w:t>
      </w:r>
      <w:r>
        <w:rPr>
          <w:rFonts w:ascii="宋体" w:hAnsi="宋体" w:eastAsia="宋体" w:cs="宋体"/>
          <w:color w:val="auto"/>
          <w:highlight w:val="none"/>
        </w:rPr>
        <w:t>B证</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Theme="minorEastAsia" w:hAnsiTheme="minorEastAsia" w:eastAsiaTheme="minorEastAsia" w:cstheme="minorEastAsia"/>
          <w:color w:val="auto"/>
          <w:highlight w:val="none"/>
        </w:rPr>
        <w:t>无在建承诺书</w:t>
      </w:r>
      <w:r>
        <w:rPr>
          <w:rFonts w:ascii="宋体" w:hAnsi="宋体" w:eastAsia="宋体" w:cs="宋体"/>
          <w:color w:val="auto"/>
          <w:highlight w:val="none"/>
        </w:rPr>
        <w:t>。</w:t>
      </w:r>
    </w:p>
    <w:p w14:paraId="51532A3B">
      <w:pPr>
        <w:widowControl w:val="0"/>
        <w:kinsoku/>
        <w:topLinePunct/>
        <w:autoSpaceDE/>
        <w:autoSpaceDN/>
        <w:spacing w:line="420" w:lineRule="auto"/>
        <w:rPr>
          <w:color w:val="auto"/>
          <w:highlight w:val="none"/>
        </w:rPr>
        <w:sectPr>
          <w:footerReference r:id="rId20" w:type="default"/>
          <w:pgSz w:w="11906" w:h="16839"/>
          <w:pgMar w:top="1247" w:right="1588" w:bottom="1247" w:left="1531" w:header="851" w:footer="851" w:gutter="0"/>
          <w:cols w:space="0" w:num="1"/>
        </w:sectPr>
      </w:pPr>
    </w:p>
    <w:p w14:paraId="2144743E">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22" w:name="_bookmark70"/>
      <w:bookmarkEnd w:id="322"/>
      <w:bookmarkStart w:id="323" w:name="_Toc132755508"/>
      <w:bookmarkStart w:id="324" w:name="_Toc1583"/>
      <w:bookmarkStart w:id="325" w:name="_Toc132754849"/>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十、不参与围标串标承诺书</w:t>
      </w:r>
      <w:bookmarkEnd w:id="323"/>
      <w:bookmarkEnd w:id="324"/>
      <w:bookmarkEnd w:id="325"/>
    </w:p>
    <w:p w14:paraId="4BD1124B">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不参与围标串标承诺书</w:t>
      </w:r>
    </w:p>
    <w:p w14:paraId="25C8D9B5">
      <w:pPr>
        <w:widowControl w:val="0"/>
        <w:kinsoku/>
        <w:topLinePunct/>
        <w:autoSpaceDE/>
        <w:autoSpaceDN/>
        <w:spacing w:line="420" w:lineRule="auto"/>
        <w:rPr>
          <w:rFonts w:ascii="宋体" w:hAnsi="宋体" w:eastAsia="宋体" w:cs="宋体"/>
          <w:color w:val="auto"/>
          <w:highlight w:val="none"/>
        </w:rPr>
      </w:pPr>
    </w:p>
    <w:p w14:paraId="28B6F2AF">
      <w:pPr>
        <w:widowControl w:val="0"/>
        <w:kinsoku/>
        <w:topLinePunct/>
        <w:autoSpaceDE/>
        <w:autoSpaceDN/>
        <w:spacing w:line="420" w:lineRule="auto"/>
        <w:jc w:val="center"/>
        <w:rPr>
          <w:rFonts w:ascii="楷体" w:hAnsi="楷体" w:eastAsia="楷体" w:cs="楷体"/>
          <w:b/>
          <w:bCs/>
          <w:color w:val="auto"/>
          <w:highlight w:val="none"/>
        </w:rPr>
      </w:pPr>
      <w:r>
        <w:rPr>
          <w:rFonts w:hint="eastAsia" w:ascii="楷体" w:hAnsi="楷体" w:eastAsia="楷体" w:cs="楷体"/>
          <w:b/>
          <w:bCs/>
          <w:color w:val="auto"/>
          <w:highlight w:val="none"/>
        </w:rPr>
        <w:t>不参与围标串标承诺书</w:t>
      </w:r>
    </w:p>
    <w:p w14:paraId="3C3B3D58">
      <w:pPr>
        <w:widowControl w:val="0"/>
        <w:kinsoku/>
        <w:topLinePunct/>
        <w:autoSpaceDE/>
        <w:autoSpaceDN/>
        <w:spacing w:line="420" w:lineRule="auto"/>
        <w:ind w:firstLine="438"/>
        <w:jc w:val="both"/>
        <w:rPr>
          <w:rFonts w:ascii="宋体" w:hAnsi="宋体" w:eastAsia="宋体" w:cs="宋体"/>
          <w:color w:val="auto"/>
          <w:highlight w:val="none"/>
        </w:rPr>
      </w:pPr>
      <w:r>
        <w:rPr>
          <w:rFonts w:hint="eastAsia" w:ascii="宋体" w:hAnsi="宋体" w:eastAsia="宋体" w:cs="宋体"/>
          <w:color w:val="auto"/>
          <w:highlight w:val="none"/>
        </w:rPr>
        <w:t>本人作为</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的法人，清楚知晓我公司本项目投标活动，对以下事项作出承诺：</w:t>
      </w:r>
    </w:p>
    <w:p w14:paraId="6C2ED9B4">
      <w:pPr>
        <w:widowControl w:val="0"/>
        <w:kinsoku/>
        <w:topLinePunct/>
        <w:autoSpaceDE/>
        <w:autoSpaceDN/>
        <w:spacing w:line="420" w:lineRule="auto"/>
        <w:ind w:firstLine="477"/>
        <w:jc w:val="both"/>
        <w:rPr>
          <w:rFonts w:ascii="宋体" w:hAnsi="宋体" w:eastAsia="宋体" w:cs="宋体"/>
          <w:color w:val="auto"/>
          <w:highlight w:val="none"/>
        </w:rPr>
      </w:pPr>
      <w:r>
        <w:rPr>
          <w:rFonts w:hint="eastAsia" w:ascii="宋体" w:hAnsi="宋体" w:eastAsia="宋体" w:cs="宋体"/>
          <w:color w:val="auto"/>
          <w:highlight w:val="none"/>
        </w:rPr>
        <w:t>一、我单位遵循公开、公平、公正、诚实守信的原则，依法依规参与本项目竞标。</w:t>
      </w:r>
    </w:p>
    <w:p w14:paraId="0D8E43F3">
      <w:pPr>
        <w:widowControl w:val="0"/>
        <w:kinsoku/>
        <w:topLinePunct/>
        <w:autoSpaceDE/>
        <w:autoSpaceDN/>
        <w:spacing w:line="420" w:lineRule="auto"/>
        <w:ind w:firstLine="477"/>
        <w:jc w:val="both"/>
        <w:rPr>
          <w:rFonts w:ascii="宋体" w:hAnsi="宋体" w:eastAsia="宋体" w:cs="宋体"/>
          <w:color w:val="auto"/>
          <w:highlight w:val="none"/>
        </w:rPr>
      </w:pPr>
      <w:r>
        <w:rPr>
          <w:rFonts w:hint="eastAsia" w:ascii="宋体" w:hAnsi="宋体" w:eastAsia="宋体" w:cs="宋体"/>
          <w:color w:val="auto"/>
          <w:highlight w:val="none"/>
        </w:rPr>
        <w:t>二、我单位在本项目招标投标活动中，未参与围标串标。</w:t>
      </w:r>
    </w:p>
    <w:p w14:paraId="3B906DE2">
      <w:pPr>
        <w:widowControl w:val="0"/>
        <w:kinsoku/>
        <w:topLinePunct/>
        <w:autoSpaceDE/>
        <w:autoSpaceDN/>
        <w:spacing w:line="420" w:lineRule="auto"/>
        <w:ind w:firstLine="486"/>
        <w:jc w:val="both"/>
        <w:rPr>
          <w:rFonts w:ascii="宋体" w:hAnsi="宋体" w:eastAsia="宋体" w:cs="宋体"/>
          <w:color w:val="auto"/>
          <w:highlight w:val="none"/>
        </w:rPr>
      </w:pPr>
      <w:r>
        <w:rPr>
          <w:rFonts w:hint="eastAsia" w:ascii="宋体" w:hAnsi="宋体" w:eastAsia="宋体" w:cs="宋体"/>
          <w:color w:val="auto"/>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39C98B0B">
      <w:pPr>
        <w:widowControl w:val="0"/>
        <w:kinsoku/>
        <w:topLinePunct/>
        <w:autoSpaceDE/>
        <w:autoSpaceDN/>
        <w:spacing w:line="420" w:lineRule="auto"/>
        <w:ind w:firstLine="486"/>
        <w:jc w:val="both"/>
        <w:rPr>
          <w:rFonts w:ascii="宋体" w:hAnsi="宋体" w:eastAsia="宋体" w:cs="宋体"/>
          <w:color w:val="auto"/>
          <w:highlight w:val="none"/>
        </w:rPr>
      </w:pPr>
      <w:r>
        <w:rPr>
          <w:rFonts w:hint="eastAsia" w:ascii="宋体" w:hAnsi="宋体" w:eastAsia="宋体" w:cs="宋体"/>
          <w:color w:val="auto"/>
          <w:highlight w:val="none"/>
        </w:rPr>
        <w:t>项目编号：</w:t>
      </w:r>
    </w:p>
    <w:p w14:paraId="6BC69B1D">
      <w:pPr>
        <w:widowControl w:val="0"/>
        <w:kinsoku/>
        <w:topLinePunct/>
        <w:autoSpaceDE/>
        <w:autoSpaceDN/>
        <w:spacing w:line="420" w:lineRule="auto"/>
        <w:ind w:firstLine="486"/>
        <w:jc w:val="both"/>
        <w:rPr>
          <w:rFonts w:ascii="宋体" w:hAnsi="宋体" w:eastAsia="宋体" w:cs="宋体"/>
          <w:color w:val="auto"/>
          <w:highlight w:val="none"/>
        </w:rPr>
      </w:pPr>
      <w:r>
        <w:rPr>
          <w:rFonts w:hint="eastAsia" w:ascii="宋体" w:hAnsi="宋体" w:eastAsia="宋体" w:cs="宋体"/>
          <w:color w:val="auto"/>
          <w:highlight w:val="none"/>
        </w:rPr>
        <w:t>标段号：</w:t>
      </w:r>
    </w:p>
    <w:p w14:paraId="6B306FD0">
      <w:pPr>
        <w:widowControl w:val="0"/>
        <w:kinsoku/>
        <w:topLinePunct/>
        <w:autoSpaceDE/>
        <w:autoSpaceDN/>
        <w:spacing w:line="420" w:lineRule="auto"/>
        <w:ind w:firstLine="486"/>
        <w:jc w:val="both"/>
        <w:rPr>
          <w:rFonts w:ascii="宋体" w:hAnsi="宋体" w:eastAsia="宋体" w:cs="宋体"/>
          <w:color w:val="auto"/>
          <w:highlight w:val="none"/>
        </w:rPr>
      </w:pPr>
    </w:p>
    <w:p w14:paraId="340392B1">
      <w:pPr>
        <w:widowControl w:val="0"/>
        <w:kinsoku/>
        <w:topLinePunct/>
        <w:autoSpaceDE/>
        <w:autoSpaceDN/>
        <w:spacing w:line="420" w:lineRule="auto"/>
        <w:ind w:firstLine="486"/>
        <w:jc w:val="both"/>
        <w:rPr>
          <w:rFonts w:ascii="宋体" w:hAnsi="宋体" w:eastAsia="宋体" w:cs="宋体"/>
          <w:color w:val="auto"/>
          <w:highlight w:val="none"/>
        </w:rPr>
      </w:pPr>
    </w:p>
    <w:p w14:paraId="06C19208">
      <w:pPr>
        <w:widowControl w:val="0"/>
        <w:kinsoku/>
        <w:topLinePunct/>
        <w:autoSpaceDE/>
        <w:autoSpaceDN/>
        <w:spacing w:line="420" w:lineRule="auto"/>
        <w:ind w:firstLine="486"/>
        <w:jc w:val="both"/>
        <w:rPr>
          <w:rFonts w:ascii="宋体" w:hAnsi="宋体" w:eastAsia="宋体" w:cs="宋体"/>
          <w:color w:val="auto"/>
          <w:highlight w:val="none"/>
        </w:rPr>
      </w:pPr>
    </w:p>
    <w:p w14:paraId="506F8D35">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投标人名称（电子签章）：</w:t>
      </w:r>
    </w:p>
    <w:p w14:paraId="4DE23F04">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签名或签章</w:t>
      </w:r>
      <w:r>
        <w:rPr>
          <w:rFonts w:hint="eastAsia" w:ascii="宋体" w:hAnsi="宋体" w:eastAsia="宋体" w:cs="宋体"/>
          <w:color w:val="auto"/>
          <w:highlight w:val="none"/>
        </w:rPr>
        <w:t>）：</w:t>
      </w:r>
    </w:p>
    <w:p w14:paraId="294277C4">
      <w:pPr>
        <w:widowControl w:val="0"/>
        <w:kinsoku/>
        <w:topLinePunct/>
        <w:autoSpaceDE/>
        <w:autoSpaceDN/>
        <w:spacing w:line="420" w:lineRule="auto"/>
        <w:ind w:firstLine="518"/>
        <w:jc w:val="both"/>
        <w:rPr>
          <w:rFonts w:ascii="宋体" w:hAnsi="宋体" w:eastAsia="宋体" w:cs="宋体"/>
          <w:color w:val="auto"/>
          <w:highlight w:val="none"/>
        </w:rPr>
      </w:pPr>
      <w:r>
        <w:rPr>
          <w:rFonts w:hint="eastAsia" w:ascii="宋体" w:hAnsi="宋体" w:eastAsia="宋体" w:cs="宋体"/>
          <w:color w:val="auto"/>
          <w:highlight w:val="none"/>
        </w:rPr>
        <w:t>日期：      年    月    日</w:t>
      </w:r>
    </w:p>
    <w:p w14:paraId="5A01D471">
      <w:pPr>
        <w:widowControl w:val="0"/>
        <w:kinsoku/>
        <w:topLinePunct/>
        <w:autoSpaceDE/>
        <w:autoSpaceDN/>
        <w:spacing w:line="420" w:lineRule="auto"/>
        <w:ind w:firstLine="518"/>
        <w:jc w:val="both"/>
        <w:rPr>
          <w:rFonts w:ascii="宋体" w:hAnsi="宋体" w:eastAsia="宋体" w:cs="宋体"/>
          <w:color w:val="auto"/>
          <w:highlight w:val="none"/>
        </w:rPr>
        <w:sectPr>
          <w:footerReference r:id="rId21" w:type="default"/>
          <w:pgSz w:w="11906" w:h="16839"/>
          <w:pgMar w:top="1247" w:right="1588" w:bottom="1247" w:left="1531" w:header="851" w:footer="851" w:gutter="0"/>
          <w:cols w:space="0" w:num="1"/>
        </w:sectPr>
      </w:pPr>
    </w:p>
    <w:p w14:paraId="79C52433">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26" w:name="_Toc32508"/>
      <w:bookmarkStart w:id="327" w:name="_Toc132754850"/>
      <w:bookmarkStart w:id="328" w:name="_Toc132755509"/>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十一、投标函</w:t>
      </w:r>
      <w:bookmarkEnd w:id="326"/>
      <w:bookmarkEnd w:id="327"/>
      <w:bookmarkEnd w:id="328"/>
    </w:p>
    <w:p w14:paraId="2B0B8F02">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☆投标函</w:t>
      </w:r>
    </w:p>
    <w:p w14:paraId="5AECF7C9">
      <w:pPr>
        <w:widowControl w:val="0"/>
        <w:kinsoku/>
        <w:topLinePunct/>
        <w:autoSpaceDE/>
        <w:autoSpaceDN/>
        <w:spacing w:line="420" w:lineRule="auto"/>
        <w:ind w:firstLine="422" w:firstLineChars="200"/>
        <w:jc w:val="center"/>
        <w:rPr>
          <w:rFonts w:ascii="宋体" w:hAnsi="宋体" w:eastAsia="宋体" w:cs="宋体"/>
          <w:b/>
          <w:bCs/>
          <w:color w:val="auto"/>
          <w:highlight w:val="none"/>
        </w:rPr>
      </w:pPr>
      <w:r>
        <w:rPr>
          <w:rFonts w:hint="eastAsia" w:ascii="宋体" w:hAnsi="宋体" w:eastAsia="宋体" w:cs="宋体"/>
          <w:b/>
          <w:bCs/>
          <w:color w:val="auto"/>
          <w:highlight w:val="none"/>
        </w:rPr>
        <w:t>☆投标函</w:t>
      </w:r>
    </w:p>
    <w:p w14:paraId="7DD23181">
      <w:pPr>
        <w:widowControl w:val="0"/>
        <w:tabs>
          <w:tab w:val="left" w:pos="2561"/>
        </w:tabs>
        <w:kinsoku/>
        <w:topLinePunct/>
        <w:autoSpaceDE/>
        <w:autoSpaceDN/>
        <w:spacing w:line="420" w:lineRule="auto"/>
        <w:jc w:val="both"/>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AC0BFB">
      <w:pPr>
        <w:widowControl w:val="0"/>
        <w:tabs>
          <w:tab w:val="left" w:pos="3182"/>
        </w:tabs>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（投标人授权代理人姓名）（职务、职称）为我方代表，参加贵方组织的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（项目名称、项目编号、包号）招标的有关活动，并对此项目进行投标。为此：</w:t>
      </w:r>
    </w:p>
    <w:p w14:paraId="5B403EB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1、我方同意在本项目招标文件中规定的投标有效期内遵守本投标文件中的承诺且在此期限期满之前均具有约束力。</w:t>
      </w:r>
    </w:p>
    <w:p w14:paraId="78EC9A5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2、我方承诺已经具备《中华人民共和国政府采购法》中规定的参加政府采购活动的供应商应当具备的条件：</w:t>
      </w:r>
    </w:p>
    <w:p w14:paraId="6E6BB2E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15125EB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AEC744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56D27BA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37037AF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5）参加此项采购活动前三年内，在经营活动中没有重大违法记录；</w:t>
      </w:r>
    </w:p>
    <w:p w14:paraId="5405C70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6）法律、行政法规规定的其他条件。</w:t>
      </w:r>
    </w:p>
    <w:p w14:paraId="44C9D1A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3、提供投标人须知规定的全部投标文件。</w:t>
      </w:r>
    </w:p>
    <w:p w14:paraId="5925D8B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4、按招标文件要求提供和交付的货物及相关服务的投标报价详见开标一览表。</w:t>
      </w:r>
    </w:p>
    <w:p w14:paraId="0410D56C">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5、保证忠实地执行双方所签订的合同，并承担合同规定的责任和义务。</w:t>
      </w:r>
    </w:p>
    <w:p w14:paraId="4347C4E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6、我方承诺完全满足和响应招标文件中的各项技术和服务要求，若有偏差，已在投标文件偏离表中予以明确特别说明。</w:t>
      </w:r>
    </w:p>
    <w:p w14:paraId="6262DBFD">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7、我方承诺：完全理解投标报价若超过项目预算时，投标将被拒绝。</w:t>
      </w:r>
    </w:p>
    <w:p w14:paraId="4086573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8、我方承诺：与在本项目中设计编制技术规格的机构及其附属机构无任何直接隶属关系和利益关联。</w:t>
      </w:r>
    </w:p>
    <w:p w14:paraId="0C92D61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9、如果在开标后规定的投标有效期内撤回投标，我方的投标保证金可被贵方没收。</w:t>
      </w:r>
    </w:p>
    <w:p w14:paraId="70D7297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10、我方完全理解贵方不一定接受最低价的投标或收到的任何投标。</w:t>
      </w:r>
    </w:p>
    <w:p w14:paraId="0C307D5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54464A0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12、我方已详细审核全部投标文件，包括投标文件修改书（如有的话）、参考资料及有关附件，确认无误。</w:t>
      </w:r>
    </w:p>
    <w:p w14:paraId="426ED5E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13、我方承诺：采购人若需追加本项目招标文件所列清单及相关服务的，在不改变合同其他实质性条款的前提下，按相同或更优惠的折扣率保证执行。</w:t>
      </w:r>
    </w:p>
    <w:p w14:paraId="4B8DE1C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14、我方承诺：接受招标文件中的全部条款且无任何异议，保证遵守招标文件的规定。</w:t>
      </w:r>
    </w:p>
    <w:p w14:paraId="4B27B64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3F9F897">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1）提供虚假材料谋取中标、成交的；</w:t>
      </w:r>
    </w:p>
    <w:p w14:paraId="0FAD99F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2）采取不正当手段诋毁、排挤其他供应商的；</w:t>
      </w:r>
    </w:p>
    <w:p w14:paraId="363B3DA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3）与采购人、其他供应商或者采购代理机构工作人员恶意串通的；</w:t>
      </w:r>
    </w:p>
    <w:p w14:paraId="095BD37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4）向采购人、采购代理机构工作人员行贿或者提供其他不正当利益的；</w:t>
      </w:r>
    </w:p>
    <w:p w14:paraId="23CF68B8">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5）在采购过程中与采购人进行协商谈判的；</w:t>
      </w:r>
    </w:p>
    <w:p w14:paraId="2EFC222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6）拒绝有关部门监督检查或提供虚假情况的。</w:t>
      </w:r>
    </w:p>
    <w:p w14:paraId="24A63EA4">
      <w:pPr>
        <w:widowControl w:val="0"/>
        <w:kinsoku/>
        <w:topLinePunct/>
        <w:autoSpaceDE/>
        <w:autoSpaceDN/>
        <w:spacing w:line="420" w:lineRule="auto"/>
        <w:ind w:firstLine="420" w:firstLineChars="200"/>
        <w:jc w:val="both"/>
        <w:rPr>
          <w:rFonts w:ascii="宋体" w:hAnsi="宋体" w:eastAsia="宋体" w:cs="宋体"/>
          <w:color w:val="auto"/>
          <w:highlight w:val="none"/>
          <w:u w:val="single"/>
        </w:rPr>
      </w:pPr>
      <w:r>
        <w:rPr>
          <w:rFonts w:hint="eastAsia" w:ascii="宋体" w:hAnsi="宋体" w:eastAsia="宋体" w:cs="宋体"/>
          <w:color w:val="auto"/>
          <w:highlight w:val="none"/>
        </w:rPr>
        <w:t>16、其他：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A0B7945">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3DBA148D">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70BF9A7C">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2017B919">
      <w:pPr>
        <w:widowControl w:val="0"/>
        <w:kinsoku/>
        <w:topLinePunct/>
        <w:autoSpaceDE/>
        <w:autoSpaceDN/>
        <w:spacing w:line="420" w:lineRule="auto"/>
        <w:ind w:firstLine="420" w:firstLineChars="200"/>
        <w:jc w:val="both"/>
        <w:rPr>
          <w:rFonts w:ascii="宋体" w:hAnsi="宋体" w:eastAsia="宋体" w:cs="宋体"/>
          <w:color w:val="auto"/>
          <w:highlight w:val="none"/>
        </w:rPr>
      </w:pPr>
      <w:bookmarkStart w:id="329" w:name="_bookmark71"/>
      <w:bookmarkEnd w:id="329"/>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rPr>
        <w:t>电子签章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p>
    <w:p w14:paraId="79769CE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签名或签章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5D5A09F4">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日期：</w:t>
      </w:r>
    </w:p>
    <w:p w14:paraId="61F050C6">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75D2A597">
      <w:pPr>
        <w:widowControl w:val="0"/>
        <w:kinsoku/>
        <w:topLinePunct/>
        <w:autoSpaceDE/>
        <w:autoSpaceDN/>
        <w:spacing w:line="420" w:lineRule="auto"/>
        <w:ind w:firstLine="420" w:firstLineChars="200"/>
        <w:jc w:val="both"/>
        <w:rPr>
          <w:rFonts w:ascii="宋体" w:hAnsi="宋体" w:eastAsia="宋体" w:cs="宋体"/>
          <w:i/>
          <w:iCs/>
          <w:color w:val="auto"/>
          <w:highlight w:val="none"/>
        </w:rPr>
      </w:pPr>
      <w:r>
        <w:rPr>
          <w:rFonts w:hint="eastAsia" w:ascii="宋体" w:hAnsi="宋体" w:eastAsia="宋体" w:cs="宋体"/>
          <w:i/>
          <w:iCs/>
          <w:color w:val="auto"/>
          <w:highlight w:val="none"/>
        </w:rPr>
        <w:t>说明：除可填报项目外，对本投标函的任何修改将被视为非实质性响应投标，从而导致该投标被拒绝。</w:t>
      </w:r>
    </w:p>
    <w:p w14:paraId="4CB39EF0">
      <w:pPr>
        <w:widowControl w:val="0"/>
        <w:kinsoku/>
        <w:topLinePunct/>
        <w:autoSpaceDE/>
        <w:autoSpaceDN/>
        <w:spacing w:line="420" w:lineRule="auto"/>
        <w:ind w:firstLine="420" w:firstLineChars="200"/>
        <w:jc w:val="both"/>
        <w:rPr>
          <w:rFonts w:ascii="宋体" w:hAnsi="宋体" w:eastAsia="宋体" w:cs="宋体"/>
          <w:i/>
          <w:iCs/>
          <w:color w:val="auto"/>
          <w:highlight w:val="none"/>
        </w:rPr>
        <w:sectPr>
          <w:footerReference r:id="rId22" w:type="default"/>
          <w:pgSz w:w="11906" w:h="16839"/>
          <w:pgMar w:top="1247" w:right="1588" w:bottom="1247" w:left="1531" w:header="851" w:footer="851" w:gutter="0"/>
          <w:cols w:space="0" w:num="1"/>
        </w:sectPr>
      </w:pPr>
    </w:p>
    <w:p w14:paraId="18294BD4">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30" w:name="_bookmark72"/>
      <w:bookmarkEnd w:id="330"/>
      <w:bookmarkStart w:id="331" w:name="_Toc8041"/>
      <w:bookmarkStart w:id="332" w:name="_Toc132754851"/>
      <w:bookmarkStart w:id="333" w:name="_Toc132755510"/>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十二、开标一览表</w:t>
      </w:r>
      <w:bookmarkEnd w:id="331"/>
      <w:bookmarkEnd w:id="332"/>
      <w:bookmarkEnd w:id="333"/>
    </w:p>
    <w:p w14:paraId="3F586A69">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☆开标一览表</w:t>
      </w:r>
    </w:p>
    <w:tbl>
      <w:tblPr>
        <w:tblStyle w:val="2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09"/>
        <w:gridCol w:w="6482"/>
      </w:tblGrid>
      <w:tr w14:paraId="59655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13" w:type="pct"/>
            <w:vAlign w:val="center"/>
          </w:tcPr>
          <w:p w14:paraId="3872CBEF">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项目名称</w:t>
            </w:r>
          </w:p>
        </w:tc>
        <w:tc>
          <w:tcPr>
            <w:tcW w:w="3686" w:type="pct"/>
            <w:vAlign w:val="center"/>
          </w:tcPr>
          <w:p w14:paraId="771B41E5">
            <w:pPr>
              <w:widowControl w:val="0"/>
              <w:kinsoku/>
              <w:topLinePunct/>
              <w:autoSpaceDE/>
              <w:autoSpaceDN/>
              <w:rPr>
                <w:color w:val="auto"/>
                <w:highlight w:val="none"/>
              </w:rPr>
            </w:pPr>
          </w:p>
        </w:tc>
      </w:tr>
      <w:tr w14:paraId="49DB8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13" w:type="pct"/>
            <w:vAlign w:val="center"/>
          </w:tcPr>
          <w:p w14:paraId="258BD37B">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投标报价</w:t>
            </w:r>
          </w:p>
        </w:tc>
        <w:tc>
          <w:tcPr>
            <w:tcW w:w="3686" w:type="pct"/>
            <w:vAlign w:val="center"/>
          </w:tcPr>
          <w:p w14:paraId="7BFA183F">
            <w:pPr>
              <w:widowControl w:val="0"/>
              <w:kinsoku/>
              <w:topLinePunct/>
              <w:autoSpaceDE/>
              <w:autoSpaceDN/>
              <w:rPr>
                <w:rFonts w:ascii="黑体" w:hAnsi="黑体" w:eastAsia="黑体" w:cs="黑体"/>
                <w:color w:val="auto"/>
                <w:highlight w:val="none"/>
              </w:rPr>
            </w:pPr>
            <w:r>
              <w:rPr>
                <w:rFonts w:ascii="宋体" w:hAnsi="宋体" w:eastAsia="宋体" w:cs="宋体"/>
                <w:color w:val="auto"/>
                <w:highlight w:val="none"/>
              </w:rPr>
              <w:t>折扣：</w:t>
            </w:r>
            <w:r>
              <w:rPr>
                <w:rFonts w:hint="eastAsia" w:ascii="宋体" w:hAnsi="宋体" w:eastAsia="宋体" w:cs="宋体"/>
                <w:color w:val="auto"/>
                <w:highlight w:val="none"/>
                <w:u w:val="single"/>
              </w:rPr>
              <w:t xml:space="preserve">    </w:t>
            </w:r>
            <w:r>
              <w:rPr>
                <w:rFonts w:ascii="黑体" w:hAnsi="黑体" w:eastAsia="黑体" w:cs="黑体"/>
                <w:color w:val="auto"/>
                <w:highlight w:val="none"/>
                <w:u w:val="single"/>
              </w:rPr>
              <w:t>%</w:t>
            </w:r>
          </w:p>
        </w:tc>
      </w:tr>
      <w:tr w14:paraId="0AD3F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13" w:type="pct"/>
            <w:vAlign w:val="center"/>
          </w:tcPr>
          <w:p w14:paraId="24325EC9">
            <w:pPr>
              <w:widowControl w:val="0"/>
              <w:kinsoku/>
              <w:topLinePunct/>
              <w:autoSpaceDE/>
              <w:autoSpaceDN/>
              <w:jc w:val="center"/>
              <w:rPr>
                <w:rFonts w:ascii="宋体" w:hAnsi="宋体" w:eastAsia="宋体" w:cs="宋体"/>
                <w:color w:val="auto"/>
                <w:highlight w:val="none"/>
              </w:rPr>
            </w:pPr>
            <w:r>
              <w:rPr>
                <w:rFonts w:ascii="宋体" w:hAnsi="宋体" w:eastAsia="宋体" w:cs="宋体"/>
                <w:color w:val="auto"/>
                <w:highlight w:val="none"/>
              </w:rPr>
              <w:t>合同履行期限</w:t>
            </w:r>
          </w:p>
        </w:tc>
        <w:tc>
          <w:tcPr>
            <w:tcW w:w="3686" w:type="pct"/>
            <w:vAlign w:val="center"/>
          </w:tcPr>
          <w:p w14:paraId="14F53AD0">
            <w:pPr>
              <w:widowControl w:val="0"/>
              <w:kinsoku/>
              <w:topLinePunct/>
              <w:autoSpaceDE/>
              <w:autoSpaceDN/>
              <w:rPr>
                <w:color w:val="auto"/>
                <w:highlight w:val="none"/>
              </w:rPr>
            </w:pPr>
          </w:p>
        </w:tc>
      </w:tr>
      <w:tr w14:paraId="7A352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000" w:type="pct"/>
            <w:gridSpan w:val="2"/>
            <w:vAlign w:val="center"/>
          </w:tcPr>
          <w:p w14:paraId="36FB2219">
            <w:pPr>
              <w:widowControl w:val="0"/>
              <w:kinsoku/>
              <w:topLinePunct/>
              <w:autoSpaceDE/>
              <w:autoSpaceDN/>
              <w:rPr>
                <w:rFonts w:ascii="宋体" w:hAnsi="宋体" w:eastAsia="宋体" w:cs="宋体"/>
                <w:color w:val="auto"/>
                <w:highlight w:val="none"/>
              </w:rPr>
            </w:pPr>
            <w:r>
              <w:rPr>
                <w:rFonts w:ascii="宋体" w:hAnsi="宋体" w:eastAsia="宋体" w:cs="宋体"/>
                <w:color w:val="auto"/>
                <w:highlight w:val="none"/>
              </w:rPr>
              <w:t>备注：</w:t>
            </w:r>
          </w:p>
        </w:tc>
      </w:tr>
    </w:tbl>
    <w:p w14:paraId="5870A7CB">
      <w:pPr>
        <w:widowControl w:val="0"/>
        <w:kinsoku/>
        <w:topLinePunct/>
        <w:autoSpaceDE/>
        <w:autoSpaceDN/>
        <w:spacing w:line="420" w:lineRule="auto"/>
        <w:ind w:hanging="9"/>
        <w:rPr>
          <w:rFonts w:ascii="宋体" w:hAnsi="宋体" w:eastAsia="宋体" w:cs="宋体"/>
          <w:color w:val="auto"/>
          <w:highlight w:val="none"/>
        </w:rPr>
      </w:pPr>
    </w:p>
    <w:p w14:paraId="7C9394B1">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说明：1、投标人严格按照规定的格式填写。投标报价为优惠后报价，并作为评审及定标的依据。</w:t>
      </w:r>
    </w:p>
    <w:p w14:paraId="2EDDB4B6">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2、投标报价以采购需求中本项目工程清单及限价中的限价为基准，以折扣方式报价。</w:t>
      </w:r>
    </w:p>
    <w:p w14:paraId="2F89B2F3">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3、任何有选择或有条件的投标总价或表中某一包填写多个报价，均将导致投标被拒绝。</w:t>
      </w:r>
    </w:p>
    <w:p w14:paraId="147D963B">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4、投标报价包括完成清单项目所需的人工费、材料和工程设备费、施工机具使用费和企业管理费、规费、利润，</w:t>
      </w:r>
      <w:r>
        <w:rPr>
          <w:rFonts w:hint="eastAsia" w:ascii="宋体" w:hAnsi="宋体" w:eastAsia="宋体" w:cs="宋体"/>
          <w:color w:val="auto"/>
          <w:highlight w:val="none"/>
          <w:lang w:val="en-US" w:eastAsia="zh-CN"/>
        </w:rPr>
        <w:t>风险及</w:t>
      </w:r>
      <w:r>
        <w:rPr>
          <w:rFonts w:hint="eastAsia" w:ascii="宋体" w:hAnsi="宋体" w:eastAsia="宋体" w:cs="宋体"/>
          <w:color w:val="auto"/>
          <w:highlight w:val="none"/>
        </w:rPr>
        <w:t>税金</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w:t>
      </w:r>
    </w:p>
    <w:p w14:paraId="59664CAD">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5A44AE67">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501E0D77">
      <w:pPr>
        <w:widowControl w:val="0"/>
        <w:kinsoku/>
        <w:topLinePunct/>
        <w:autoSpaceDE/>
        <w:autoSpaceDN/>
        <w:spacing w:line="420" w:lineRule="auto"/>
        <w:ind w:firstLine="420" w:firstLineChars="200"/>
        <w:jc w:val="both"/>
        <w:rPr>
          <w:rFonts w:ascii="宋体" w:hAnsi="宋体" w:eastAsia="宋体" w:cs="宋体"/>
          <w:color w:val="auto"/>
          <w:highlight w:val="none"/>
        </w:rPr>
      </w:pPr>
    </w:p>
    <w:p w14:paraId="1162CB15">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投标人法定代表人（</w:t>
      </w:r>
      <w:r>
        <w:rPr>
          <w:rFonts w:hint="eastAsia" w:ascii="宋体" w:hAnsi="宋体" w:eastAsia="宋体" w:cs="宋体"/>
          <w:color w:val="auto"/>
          <w:highlight w:val="none"/>
          <w:lang w:val="en-US" w:eastAsia="zh-CN"/>
        </w:rPr>
        <w:t>签名或签章</w:t>
      </w:r>
      <w:r>
        <w:rPr>
          <w:rFonts w:hint="eastAsia" w:ascii="宋体" w:hAnsi="宋体" w:eastAsia="宋体" w:cs="宋体"/>
          <w:color w:val="auto"/>
          <w:highlight w:val="none"/>
        </w:rPr>
        <w:t>）：</w:t>
      </w:r>
    </w:p>
    <w:p w14:paraId="450AD65F">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投标人名称（电子签章）：</w:t>
      </w:r>
    </w:p>
    <w:p w14:paraId="2FD657AE">
      <w:pPr>
        <w:widowControl w:val="0"/>
        <w:kinsoku/>
        <w:topLinePunct/>
        <w:autoSpaceDE/>
        <w:autoSpaceDN/>
        <w:spacing w:line="420"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70E65401">
      <w:pPr>
        <w:widowControl w:val="0"/>
        <w:kinsoku/>
        <w:topLinePunct/>
        <w:autoSpaceDE/>
        <w:autoSpaceDN/>
        <w:spacing w:line="420" w:lineRule="auto"/>
        <w:ind w:firstLine="420" w:firstLineChars="200"/>
        <w:jc w:val="both"/>
        <w:rPr>
          <w:rFonts w:ascii="宋体" w:hAnsi="宋体" w:eastAsia="宋体" w:cs="宋体"/>
          <w:color w:val="auto"/>
          <w:highlight w:val="none"/>
        </w:rPr>
        <w:sectPr>
          <w:footerReference r:id="rId23" w:type="default"/>
          <w:pgSz w:w="11906" w:h="16839"/>
          <w:pgMar w:top="1247" w:right="1588" w:bottom="1247" w:left="1531" w:header="851" w:footer="851" w:gutter="0"/>
          <w:cols w:space="0" w:num="1"/>
        </w:sectPr>
      </w:pPr>
    </w:p>
    <w:p w14:paraId="38A2D20E">
      <w:pPr>
        <w:widowControl w:val="0"/>
        <w:kinsoku/>
        <w:topLinePunct/>
        <w:autoSpaceDE/>
        <w:autoSpaceDN/>
        <w:spacing w:line="42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34" w:name="_Toc132755511"/>
      <w:bookmarkStart w:id="335" w:name="_Toc132754852"/>
      <w:bookmarkStart w:id="336" w:name="_Toc17"/>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十三、投标报价明细表</w:t>
      </w:r>
      <w:bookmarkEnd w:id="334"/>
      <w:bookmarkEnd w:id="335"/>
      <w:bookmarkEnd w:id="336"/>
    </w:p>
    <w:p w14:paraId="222E72E1">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☆投标报价明细表</w:t>
      </w:r>
    </w:p>
    <w:p w14:paraId="307930D8">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35A5CE6E">
      <w:pPr>
        <w:widowControl w:val="0"/>
        <w:kinsoku/>
        <w:topLinePunct/>
        <w:autoSpaceDE/>
        <w:autoSpaceDN/>
        <w:spacing w:line="42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tbl>
      <w:tblPr>
        <w:tblStyle w:val="2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53"/>
        <w:gridCol w:w="1778"/>
        <w:gridCol w:w="958"/>
        <w:gridCol w:w="958"/>
        <w:gridCol w:w="4549"/>
      </w:tblGrid>
      <w:tr w14:paraId="18732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blHeader/>
        </w:trPr>
        <w:tc>
          <w:tcPr>
            <w:tcW w:w="367" w:type="pct"/>
            <w:tcBorders>
              <w:tl2br w:val="nil"/>
              <w:tr2bl w:val="nil"/>
            </w:tcBorders>
            <w:shd w:val="clear" w:color="auto" w:fill="F1F1F1"/>
            <w:noWrap w:val="0"/>
            <w:vAlign w:val="center"/>
          </w:tcPr>
          <w:p w14:paraId="084DB7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_GB2312" w:hAnsi="宋体" w:eastAsia="仿宋_GB2312" w:cs="仿宋_GB2312"/>
                <w:b/>
                <w:bCs/>
                <w:i w:val="0"/>
                <w:iCs w:val="0"/>
                <w:color w:val="auto"/>
                <w:sz w:val="21"/>
                <w:szCs w:val="21"/>
                <w:highlight w:val="none"/>
                <w:u w:val="none"/>
              </w:rPr>
            </w:pPr>
            <w:r>
              <w:rPr>
                <w:rFonts w:hint="eastAsia" w:ascii="仿宋_GB2312" w:hAnsi="宋体" w:eastAsia="仿宋_GB2312" w:cs="仿宋_GB2312"/>
                <w:b/>
                <w:bCs/>
                <w:i w:val="0"/>
                <w:iCs w:val="0"/>
                <w:color w:val="auto"/>
                <w:kern w:val="0"/>
                <w:sz w:val="21"/>
                <w:szCs w:val="21"/>
                <w:highlight w:val="none"/>
                <w:u w:val="none"/>
                <w:lang w:val="en-US" w:eastAsia="zh-CN" w:bidi="ar"/>
              </w:rPr>
              <w:t>序号</w:t>
            </w:r>
          </w:p>
        </w:tc>
        <w:tc>
          <w:tcPr>
            <w:tcW w:w="999" w:type="pct"/>
            <w:tcBorders>
              <w:tl2br w:val="nil"/>
              <w:tr2bl w:val="nil"/>
            </w:tcBorders>
            <w:shd w:val="clear" w:color="auto" w:fill="F1F1F1"/>
            <w:noWrap w:val="0"/>
            <w:vAlign w:val="center"/>
          </w:tcPr>
          <w:p w14:paraId="2B61DF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auto"/>
                <w:sz w:val="21"/>
                <w:szCs w:val="21"/>
                <w:highlight w:val="none"/>
                <w:u w:val="none"/>
              </w:rPr>
            </w:pPr>
            <w:r>
              <w:rPr>
                <w:rFonts w:hint="eastAsia" w:ascii="仿宋_GB2312" w:hAnsi="宋体" w:eastAsia="仿宋_GB2312" w:cs="仿宋_GB2312"/>
                <w:b/>
                <w:bCs/>
                <w:i w:val="0"/>
                <w:iCs w:val="0"/>
                <w:color w:val="auto"/>
                <w:kern w:val="0"/>
                <w:sz w:val="21"/>
                <w:szCs w:val="21"/>
                <w:highlight w:val="none"/>
                <w:u w:val="none"/>
                <w:lang w:val="en-US" w:eastAsia="zh-CN" w:bidi="ar"/>
              </w:rPr>
              <w:t>单位工程名称</w:t>
            </w:r>
          </w:p>
        </w:tc>
        <w:tc>
          <w:tcPr>
            <w:tcW w:w="538" w:type="pct"/>
            <w:tcBorders>
              <w:tl2br w:val="nil"/>
              <w:tr2bl w:val="nil"/>
            </w:tcBorders>
            <w:shd w:val="clear" w:color="auto" w:fill="F1F1F1"/>
            <w:noWrap w:val="0"/>
            <w:vAlign w:val="center"/>
          </w:tcPr>
          <w:p w14:paraId="0A81C5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b/>
                <w:bCs/>
                <w:i w:val="0"/>
                <w:iCs w:val="0"/>
                <w:color w:val="auto"/>
                <w:kern w:val="0"/>
                <w:sz w:val="21"/>
                <w:szCs w:val="21"/>
                <w:highlight w:val="none"/>
                <w:u w:val="none"/>
                <w:lang w:val="en-US" w:eastAsia="zh-CN" w:bidi="ar"/>
              </w:rPr>
            </w:pPr>
            <w:r>
              <w:rPr>
                <w:rFonts w:hint="eastAsia" w:ascii="仿宋_GB2312" w:hAnsi="宋体" w:eastAsia="仿宋_GB2312" w:cs="仿宋_GB2312"/>
                <w:b/>
                <w:bCs/>
                <w:i w:val="0"/>
                <w:iCs w:val="0"/>
                <w:color w:val="auto"/>
                <w:kern w:val="0"/>
                <w:sz w:val="21"/>
                <w:szCs w:val="21"/>
                <w:highlight w:val="none"/>
                <w:u w:val="none"/>
                <w:lang w:val="en-US" w:eastAsia="zh-CN" w:bidi="ar"/>
              </w:rPr>
              <w:t>金额</w:t>
            </w:r>
          </w:p>
        </w:tc>
        <w:tc>
          <w:tcPr>
            <w:tcW w:w="538" w:type="pct"/>
            <w:tcBorders>
              <w:tl2br w:val="nil"/>
              <w:tr2bl w:val="nil"/>
            </w:tcBorders>
            <w:shd w:val="clear" w:color="auto" w:fill="F1F1F1"/>
            <w:noWrap w:val="0"/>
            <w:vAlign w:val="center"/>
          </w:tcPr>
          <w:p w14:paraId="4AED2D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auto"/>
                <w:sz w:val="21"/>
                <w:szCs w:val="21"/>
                <w:highlight w:val="none"/>
                <w:u w:val="none"/>
              </w:rPr>
            </w:pPr>
            <w:r>
              <w:rPr>
                <w:rFonts w:hint="eastAsia" w:ascii="仿宋_GB2312" w:hAnsi="宋体" w:eastAsia="仿宋_GB2312" w:cs="仿宋_GB2312"/>
                <w:b/>
                <w:bCs/>
                <w:i w:val="0"/>
                <w:iCs w:val="0"/>
                <w:color w:val="auto"/>
                <w:kern w:val="0"/>
                <w:sz w:val="21"/>
                <w:szCs w:val="21"/>
                <w:highlight w:val="none"/>
                <w:u w:val="none"/>
                <w:lang w:val="en-US" w:eastAsia="zh-CN" w:bidi="ar"/>
              </w:rPr>
              <w:t>单位</w:t>
            </w:r>
          </w:p>
        </w:tc>
        <w:tc>
          <w:tcPr>
            <w:tcW w:w="2556" w:type="pct"/>
            <w:tcBorders>
              <w:tl2br w:val="nil"/>
              <w:tr2bl w:val="nil"/>
            </w:tcBorders>
            <w:shd w:val="clear" w:color="auto" w:fill="F1F1F1"/>
            <w:noWrap w:val="0"/>
            <w:vAlign w:val="center"/>
          </w:tcPr>
          <w:p w14:paraId="4B12DF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bCs/>
                <w:i w:val="0"/>
                <w:iCs w:val="0"/>
                <w:color w:val="auto"/>
                <w:sz w:val="21"/>
                <w:szCs w:val="21"/>
                <w:highlight w:val="none"/>
                <w:u w:val="none"/>
              </w:rPr>
            </w:pPr>
            <w:r>
              <w:rPr>
                <w:rFonts w:hint="eastAsia" w:ascii="仿宋_GB2312" w:hAnsi="宋体" w:eastAsia="仿宋_GB2312" w:cs="仿宋_GB2312"/>
                <w:b/>
                <w:bCs/>
                <w:i w:val="0"/>
                <w:iCs w:val="0"/>
                <w:color w:val="auto"/>
                <w:kern w:val="0"/>
                <w:sz w:val="21"/>
                <w:szCs w:val="21"/>
                <w:highlight w:val="none"/>
                <w:u w:val="none"/>
                <w:lang w:val="en-US" w:eastAsia="zh-CN" w:bidi="ar"/>
              </w:rPr>
              <w:t>备注</w:t>
            </w:r>
          </w:p>
        </w:tc>
      </w:tr>
      <w:tr w14:paraId="2E723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0D9D32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999" w:type="pct"/>
            <w:tcBorders>
              <w:tl2br w:val="nil"/>
              <w:tr2bl w:val="nil"/>
            </w:tcBorders>
            <w:noWrap w:val="0"/>
            <w:vAlign w:val="center"/>
          </w:tcPr>
          <w:p w14:paraId="7D8B60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S砖拆除重新铺设（旧砖利用）</w:t>
            </w:r>
          </w:p>
        </w:tc>
        <w:tc>
          <w:tcPr>
            <w:tcW w:w="538" w:type="pct"/>
            <w:tcBorders>
              <w:tl2br w:val="nil"/>
              <w:tr2bl w:val="nil"/>
            </w:tcBorders>
            <w:noWrap w:val="0"/>
            <w:vAlign w:val="center"/>
          </w:tcPr>
          <w:p w14:paraId="4DD7C6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7CFF3F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1C07D43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拆除老旧塌陷S砖，清运原垫层垃圾150mm厚，回填150mm厚戈壁料压实，利用旧砖重新铺设</w:t>
            </w:r>
          </w:p>
        </w:tc>
      </w:tr>
      <w:tr w14:paraId="13F8F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7DFA52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w:t>
            </w:r>
          </w:p>
        </w:tc>
        <w:tc>
          <w:tcPr>
            <w:tcW w:w="999" w:type="pct"/>
            <w:tcBorders>
              <w:tl2br w:val="nil"/>
              <w:tr2bl w:val="nil"/>
            </w:tcBorders>
            <w:noWrap w:val="0"/>
            <w:vAlign w:val="center"/>
          </w:tcPr>
          <w:p w14:paraId="4406CA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S砖拆除重新铺设（新砖新铺）</w:t>
            </w:r>
          </w:p>
        </w:tc>
        <w:tc>
          <w:tcPr>
            <w:tcW w:w="538" w:type="pct"/>
            <w:tcBorders>
              <w:tl2br w:val="nil"/>
              <w:tr2bl w:val="nil"/>
            </w:tcBorders>
            <w:noWrap w:val="0"/>
            <w:vAlign w:val="center"/>
          </w:tcPr>
          <w:p w14:paraId="1A7B06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1895F2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4BFA288A">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拆除老旧塌陷S砖，清运原垫层垃圾150mm厚，回填150mm厚戈壁料压实，重新铺设新砖</w:t>
            </w:r>
          </w:p>
        </w:tc>
      </w:tr>
      <w:tr w14:paraId="1A8F3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68D36F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w:t>
            </w:r>
          </w:p>
        </w:tc>
        <w:tc>
          <w:tcPr>
            <w:tcW w:w="999" w:type="pct"/>
            <w:tcBorders>
              <w:tl2br w:val="nil"/>
              <w:tr2bl w:val="nil"/>
            </w:tcBorders>
            <w:noWrap w:val="0"/>
            <w:vAlign w:val="center"/>
          </w:tcPr>
          <w:p w14:paraId="3ED795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条纹砖、面包砖、仿石砖拆除重新铺设（旧砖利用）</w:t>
            </w:r>
          </w:p>
        </w:tc>
        <w:tc>
          <w:tcPr>
            <w:tcW w:w="538" w:type="pct"/>
            <w:tcBorders>
              <w:tl2br w:val="nil"/>
              <w:tr2bl w:val="nil"/>
            </w:tcBorders>
            <w:noWrap w:val="0"/>
            <w:vAlign w:val="center"/>
          </w:tcPr>
          <w:p w14:paraId="4CAAB8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F67ED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017F41CA">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拆除老旧塌陷条纹砖、面包砖、仿石砖，清运原垫层垃圾150mm厚，回填150mm厚戈壁料压实，利用旧砖重新铺设</w:t>
            </w:r>
          </w:p>
        </w:tc>
      </w:tr>
      <w:tr w14:paraId="604BF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0F553F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w:t>
            </w:r>
          </w:p>
        </w:tc>
        <w:tc>
          <w:tcPr>
            <w:tcW w:w="999" w:type="pct"/>
            <w:tcBorders>
              <w:tl2br w:val="nil"/>
              <w:tr2bl w:val="nil"/>
            </w:tcBorders>
            <w:noWrap w:val="0"/>
            <w:vAlign w:val="center"/>
          </w:tcPr>
          <w:p w14:paraId="25FD2A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条纹砖拆除重新铺设（新砖新铺）</w:t>
            </w:r>
          </w:p>
        </w:tc>
        <w:tc>
          <w:tcPr>
            <w:tcW w:w="538" w:type="pct"/>
            <w:tcBorders>
              <w:tl2br w:val="nil"/>
              <w:tr2bl w:val="nil"/>
            </w:tcBorders>
            <w:noWrap w:val="0"/>
            <w:vAlign w:val="center"/>
          </w:tcPr>
          <w:p w14:paraId="0B20BF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15B6FB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7BD72E6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拆除老旧塌陷条纹砖，清运原垫层垃圾150mm厚，回填150mm厚戈壁料压实，重新铺设新砖</w:t>
            </w:r>
          </w:p>
        </w:tc>
      </w:tr>
      <w:tr w14:paraId="71C2F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790342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5</w:t>
            </w:r>
          </w:p>
        </w:tc>
        <w:tc>
          <w:tcPr>
            <w:tcW w:w="999" w:type="pct"/>
            <w:tcBorders>
              <w:tl2br w:val="nil"/>
              <w:tr2bl w:val="nil"/>
            </w:tcBorders>
            <w:noWrap w:val="0"/>
            <w:vAlign w:val="center"/>
          </w:tcPr>
          <w:p w14:paraId="1FF030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面包砖拆除重新铺设（新砖新铺）</w:t>
            </w:r>
          </w:p>
        </w:tc>
        <w:tc>
          <w:tcPr>
            <w:tcW w:w="538" w:type="pct"/>
            <w:tcBorders>
              <w:tl2br w:val="nil"/>
              <w:tr2bl w:val="nil"/>
            </w:tcBorders>
            <w:noWrap w:val="0"/>
            <w:vAlign w:val="center"/>
          </w:tcPr>
          <w:p w14:paraId="39CF64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221C61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25E32E75">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拆除老旧塌陷面包砖，清运原垫层垃圾150mm厚，回填150mm厚戈壁料压实，重新铺设新砖</w:t>
            </w:r>
          </w:p>
        </w:tc>
      </w:tr>
      <w:tr w14:paraId="4A163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2B9DE1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6</w:t>
            </w:r>
          </w:p>
        </w:tc>
        <w:tc>
          <w:tcPr>
            <w:tcW w:w="999" w:type="pct"/>
            <w:tcBorders>
              <w:tl2br w:val="nil"/>
              <w:tr2bl w:val="nil"/>
            </w:tcBorders>
            <w:noWrap w:val="0"/>
            <w:vAlign w:val="center"/>
          </w:tcPr>
          <w:p w14:paraId="1F0EB9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仿石砖拆除重新铺设（新砖新铺）</w:t>
            </w:r>
          </w:p>
        </w:tc>
        <w:tc>
          <w:tcPr>
            <w:tcW w:w="538" w:type="pct"/>
            <w:tcBorders>
              <w:tl2br w:val="nil"/>
              <w:tr2bl w:val="nil"/>
            </w:tcBorders>
            <w:noWrap w:val="0"/>
            <w:vAlign w:val="center"/>
          </w:tcPr>
          <w:p w14:paraId="66DE45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32FA1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47C0499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拆除老旧塌陷仿石砖，清运原垫层垃圾150mm厚，回填150mm厚戈壁料压实，重新铺设新砖</w:t>
            </w:r>
          </w:p>
        </w:tc>
      </w:tr>
      <w:tr w14:paraId="3DECB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393324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7</w:t>
            </w:r>
          </w:p>
        </w:tc>
        <w:tc>
          <w:tcPr>
            <w:tcW w:w="999" w:type="pct"/>
            <w:tcBorders>
              <w:tl2br w:val="nil"/>
              <w:tr2bl w:val="nil"/>
            </w:tcBorders>
            <w:noWrap w:val="0"/>
            <w:vAlign w:val="center"/>
          </w:tcPr>
          <w:p w14:paraId="03FFB7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条纹砖铺设（新砖新铺）</w:t>
            </w:r>
          </w:p>
        </w:tc>
        <w:tc>
          <w:tcPr>
            <w:tcW w:w="538" w:type="pct"/>
            <w:tcBorders>
              <w:tl2br w:val="nil"/>
              <w:tr2bl w:val="nil"/>
            </w:tcBorders>
            <w:noWrap w:val="0"/>
            <w:vAlign w:val="center"/>
          </w:tcPr>
          <w:p w14:paraId="78EFE8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4D77C1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27952B9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场地平整，浇筑C15混凝土垫层，铺设条纹砖</w:t>
            </w:r>
          </w:p>
        </w:tc>
      </w:tr>
      <w:tr w14:paraId="210B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2225E8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8</w:t>
            </w:r>
          </w:p>
        </w:tc>
        <w:tc>
          <w:tcPr>
            <w:tcW w:w="999" w:type="pct"/>
            <w:tcBorders>
              <w:tl2br w:val="nil"/>
              <w:tr2bl w:val="nil"/>
            </w:tcBorders>
            <w:noWrap w:val="0"/>
            <w:vAlign w:val="center"/>
          </w:tcPr>
          <w:p w14:paraId="3B0EBF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面包砖铺设（新砖新铺）</w:t>
            </w:r>
          </w:p>
        </w:tc>
        <w:tc>
          <w:tcPr>
            <w:tcW w:w="538" w:type="pct"/>
            <w:tcBorders>
              <w:tl2br w:val="nil"/>
              <w:tr2bl w:val="nil"/>
            </w:tcBorders>
            <w:noWrap w:val="0"/>
            <w:vAlign w:val="center"/>
          </w:tcPr>
          <w:p w14:paraId="5269CA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F4E36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2D492842">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场地平整，浇筑C15混凝土垫层，铺设面包砖</w:t>
            </w:r>
          </w:p>
        </w:tc>
      </w:tr>
      <w:tr w14:paraId="3ED0D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14E8C5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9</w:t>
            </w:r>
          </w:p>
        </w:tc>
        <w:tc>
          <w:tcPr>
            <w:tcW w:w="999" w:type="pct"/>
            <w:tcBorders>
              <w:tl2br w:val="nil"/>
              <w:tr2bl w:val="nil"/>
            </w:tcBorders>
            <w:noWrap w:val="0"/>
            <w:vAlign w:val="center"/>
          </w:tcPr>
          <w:p w14:paraId="0DC7FA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仿石砖铺设（新砖新铺）</w:t>
            </w:r>
          </w:p>
        </w:tc>
        <w:tc>
          <w:tcPr>
            <w:tcW w:w="538" w:type="pct"/>
            <w:tcBorders>
              <w:tl2br w:val="nil"/>
              <w:tr2bl w:val="nil"/>
            </w:tcBorders>
            <w:noWrap w:val="0"/>
            <w:vAlign w:val="center"/>
          </w:tcPr>
          <w:p w14:paraId="1924DE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43BDA1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373976C5">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场地平整，浇筑C15混凝土垫层，铺设仿石砖</w:t>
            </w:r>
          </w:p>
        </w:tc>
      </w:tr>
      <w:tr w14:paraId="3A9D4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3BCEE5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10</w:t>
            </w:r>
          </w:p>
        </w:tc>
        <w:tc>
          <w:tcPr>
            <w:tcW w:w="999" w:type="pct"/>
            <w:tcBorders>
              <w:tl2br w:val="nil"/>
              <w:tr2bl w:val="nil"/>
            </w:tcBorders>
            <w:noWrap w:val="0"/>
            <w:vAlign w:val="center"/>
          </w:tcPr>
          <w:p w14:paraId="516973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路沿石拆除重新安装新路沿石</w:t>
            </w:r>
          </w:p>
        </w:tc>
        <w:tc>
          <w:tcPr>
            <w:tcW w:w="538" w:type="pct"/>
            <w:tcBorders>
              <w:tl2br w:val="nil"/>
              <w:tr2bl w:val="nil"/>
            </w:tcBorders>
            <w:noWrap w:val="0"/>
            <w:vAlign w:val="center"/>
          </w:tcPr>
          <w:p w14:paraId="45CA5B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08F12E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米</w:t>
            </w:r>
          </w:p>
        </w:tc>
        <w:tc>
          <w:tcPr>
            <w:tcW w:w="2556" w:type="pct"/>
            <w:tcBorders>
              <w:tl2br w:val="nil"/>
              <w:tr2bl w:val="nil"/>
            </w:tcBorders>
            <w:noWrap w:val="0"/>
            <w:vAlign w:val="center"/>
          </w:tcPr>
          <w:p w14:paraId="6B21121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拆除破旧塌陷路沿石，清运垃圾，重新安装新路沿石</w:t>
            </w:r>
          </w:p>
        </w:tc>
      </w:tr>
      <w:tr w14:paraId="1894B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3E5061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11</w:t>
            </w:r>
          </w:p>
        </w:tc>
        <w:tc>
          <w:tcPr>
            <w:tcW w:w="999" w:type="pct"/>
            <w:tcBorders>
              <w:tl2br w:val="nil"/>
              <w:tr2bl w:val="nil"/>
            </w:tcBorders>
            <w:noWrap w:val="0"/>
            <w:vAlign w:val="center"/>
          </w:tcPr>
          <w:p w14:paraId="4B8C03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路沿石拆除重新安装旧路沿石</w:t>
            </w:r>
          </w:p>
        </w:tc>
        <w:tc>
          <w:tcPr>
            <w:tcW w:w="538" w:type="pct"/>
            <w:tcBorders>
              <w:tl2br w:val="nil"/>
              <w:tr2bl w:val="nil"/>
            </w:tcBorders>
            <w:noWrap w:val="0"/>
            <w:vAlign w:val="center"/>
          </w:tcPr>
          <w:p w14:paraId="25837D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B7688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米</w:t>
            </w:r>
          </w:p>
        </w:tc>
        <w:tc>
          <w:tcPr>
            <w:tcW w:w="2556" w:type="pct"/>
            <w:tcBorders>
              <w:tl2br w:val="nil"/>
              <w:tr2bl w:val="nil"/>
            </w:tcBorders>
            <w:noWrap w:val="0"/>
            <w:vAlign w:val="center"/>
          </w:tcPr>
          <w:p w14:paraId="5A8859B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拆除破旧塌陷路沿石，清运垃圾，利用旧路沿石重新安装</w:t>
            </w:r>
          </w:p>
        </w:tc>
      </w:tr>
      <w:tr w14:paraId="22D40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542491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12</w:t>
            </w:r>
          </w:p>
        </w:tc>
        <w:tc>
          <w:tcPr>
            <w:tcW w:w="999" w:type="pct"/>
            <w:tcBorders>
              <w:tl2br w:val="nil"/>
              <w:tr2bl w:val="nil"/>
            </w:tcBorders>
            <w:noWrap w:val="0"/>
            <w:vAlign w:val="center"/>
          </w:tcPr>
          <w:p w14:paraId="5CAE03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路沿石安装（新安装）</w:t>
            </w:r>
          </w:p>
        </w:tc>
        <w:tc>
          <w:tcPr>
            <w:tcW w:w="538" w:type="pct"/>
            <w:tcBorders>
              <w:tl2br w:val="nil"/>
              <w:tr2bl w:val="nil"/>
            </w:tcBorders>
            <w:noWrap w:val="0"/>
            <w:vAlign w:val="center"/>
          </w:tcPr>
          <w:p w14:paraId="3C2110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676F3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米</w:t>
            </w:r>
          </w:p>
        </w:tc>
        <w:tc>
          <w:tcPr>
            <w:tcW w:w="2556" w:type="pct"/>
            <w:tcBorders>
              <w:tl2br w:val="nil"/>
              <w:tr2bl w:val="nil"/>
            </w:tcBorders>
            <w:noWrap w:val="0"/>
            <w:vAlign w:val="center"/>
          </w:tcPr>
          <w:p w14:paraId="71F304D0">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安装路沿石（新作），C15混凝土靠背，50mm厚干拌砂浆垫层</w:t>
            </w:r>
          </w:p>
        </w:tc>
      </w:tr>
      <w:tr w14:paraId="25F16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4B5352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13</w:t>
            </w:r>
          </w:p>
        </w:tc>
        <w:tc>
          <w:tcPr>
            <w:tcW w:w="999" w:type="pct"/>
            <w:tcBorders>
              <w:tl2br w:val="nil"/>
              <w:tr2bl w:val="nil"/>
            </w:tcBorders>
            <w:noWrap w:val="0"/>
            <w:vAlign w:val="center"/>
          </w:tcPr>
          <w:p w14:paraId="5F1483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地坪浇筑-15cm</w:t>
            </w:r>
          </w:p>
        </w:tc>
        <w:tc>
          <w:tcPr>
            <w:tcW w:w="538" w:type="pct"/>
            <w:tcBorders>
              <w:tl2br w:val="nil"/>
              <w:tr2bl w:val="nil"/>
            </w:tcBorders>
            <w:noWrap w:val="0"/>
            <w:vAlign w:val="center"/>
          </w:tcPr>
          <w:p w14:paraId="51F3AA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0E7245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0B9E23B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场地碾压平整，铺设20cm厚戈壁料垫层，浇筑15cm厚C25商品混凝土地坪，切割伸缩缝</w:t>
            </w:r>
          </w:p>
        </w:tc>
      </w:tr>
      <w:tr w14:paraId="1D6DF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6E0EAE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14</w:t>
            </w:r>
          </w:p>
        </w:tc>
        <w:tc>
          <w:tcPr>
            <w:tcW w:w="999" w:type="pct"/>
            <w:tcBorders>
              <w:tl2br w:val="nil"/>
              <w:tr2bl w:val="nil"/>
            </w:tcBorders>
            <w:noWrap w:val="0"/>
            <w:vAlign w:val="center"/>
          </w:tcPr>
          <w:p w14:paraId="167F97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地坪浇筑-12cm</w:t>
            </w:r>
          </w:p>
        </w:tc>
        <w:tc>
          <w:tcPr>
            <w:tcW w:w="538" w:type="pct"/>
            <w:tcBorders>
              <w:tl2br w:val="nil"/>
              <w:tr2bl w:val="nil"/>
            </w:tcBorders>
            <w:noWrap w:val="0"/>
            <w:vAlign w:val="center"/>
          </w:tcPr>
          <w:p w14:paraId="46E479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7E83E7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4C7A83F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场地碾压平整，铺设20cm厚戈壁料垫层，浇筑12cm厚C25商品混凝土地坪，切割伸缩缝</w:t>
            </w:r>
          </w:p>
        </w:tc>
      </w:tr>
      <w:tr w14:paraId="0CD3F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39B8E7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15</w:t>
            </w:r>
          </w:p>
        </w:tc>
        <w:tc>
          <w:tcPr>
            <w:tcW w:w="999" w:type="pct"/>
            <w:tcBorders>
              <w:tl2br w:val="nil"/>
              <w:tr2bl w:val="nil"/>
            </w:tcBorders>
            <w:noWrap w:val="0"/>
            <w:vAlign w:val="center"/>
          </w:tcPr>
          <w:p w14:paraId="68E167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沥青路面拆除恢复-8cm（含基层）</w:t>
            </w:r>
          </w:p>
        </w:tc>
        <w:tc>
          <w:tcPr>
            <w:tcW w:w="538" w:type="pct"/>
            <w:tcBorders>
              <w:tl2br w:val="nil"/>
              <w:tr2bl w:val="nil"/>
            </w:tcBorders>
            <w:noWrap w:val="0"/>
            <w:vAlign w:val="center"/>
          </w:tcPr>
          <w:p w14:paraId="67F2EB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0EC8CB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6966FD4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拆除塌陷破旧沥青路面，垃圾清运，铺设150mm厚戈壁料基层，碾压密实，铺设8cm厚AC-13细粒式沥青混凝土</w:t>
            </w:r>
          </w:p>
        </w:tc>
      </w:tr>
      <w:tr w14:paraId="104A3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3FC12D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16</w:t>
            </w:r>
          </w:p>
        </w:tc>
        <w:tc>
          <w:tcPr>
            <w:tcW w:w="999" w:type="pct"/>
            <w:tcBorders>
              <w:tl2br w:val="nil"/>
              <w:tr2bl w:val="nil"/>
            </w:tcBorders>
            <w:noWrap w:val="0"/>
            <w:vAlign w:val="center"/>
          </w:tcPr>
          <w:p w14:paraId="71205C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沥青路面拆除恢复-8cm（不含基层）</w:t>
            </w:r>
          </w:p>
        </w:tc>
        <w:tc>
          <w:tcPr>
            <w:tcW w:w="538" w:type="pct"/>
            <w:tcBorders>
              <w:tl2br w:val="nil"/>
              <w:tr2bl w:val="nil"/>
            </w:tcBorders>
            <w:noWrap w:val="0"/>
            <w:vAlign w:val="center"/>
          </w:tcPr>
          <w:p w14:paraId="6D3A51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198B3F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487F315F">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拆除塌陷破旧沥青路面，垃圾清运，基层碾压密实，铺设8cm厚AC-13细粒式沥青混凝土</w:t>
            </w:r>
          </w:p>
        </w:tc>
      </w:tr>
      <w:tr w14:paraId="475B8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7753CE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17</w:t>
            </w:r>
          </w:p>
        </w:tc>
        <w:tc>
          <w:tcPr>
            <w:tcW w:w="999" w:type="pct"/>
            <w:tcBorders>
              <w:tl2br w:val="nil"/>
              <w:tr2bl w:val="nil"/>
            </w:tcBorders>
            <w:noWrap w:val="0"/>
            <w:vAlign w:val="center"/>
          </w:tcPr>
          <w:p w14:paraId="055C14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沥青路面拆除恢复-6cm（不含基层）</w:t>
            </w:r>
          </w:p>
        </w:tc>
        <w:tc>
          <w:tcPr>
            <w:tcW w:w="538" w:type="pct"/>
            <w:tcBorders>
              <w:tl2br w:val="nil"/>
              <w:tr2bl w:val="nil"/>
            </w:tcBorders>
            <w:noWrap w:val="0"/>
            <w:vAlign w:val="center"/>
          </w:tcPr>
          <w:p w14:paraId="4999E0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669F6D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3DED1E3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拆除塌陷破旧沥青路面，垃圾清运，基层碾压密实，铺设6cm厚AC-13细粒式沥青混凝土</w:t>
            </w:r>
          </w:p>
        </w:tc>
      </w:tr>
      <w:tr w14:paraId="6731F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2B1B6F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18</w:t>
            </w:r>
          </w:p>
        </w:tc>
        <w:tc>
          <w:tcPr>
            <w:tcW w:w="999" w:type="pct"/>
            <w:tcBorders>
              <w:tl2br w:val="nil"/>
              <w:tr2bl w:val="nil"/>
            </w:tcBorders>
            <w:noWrap w:val="0"/>
            <w:vAlign w:val="center"/>
          </w:tcPr>
          <w:p w14:paraId="7A28E1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沥青路面拆除恢复-6cm（含基层）</w:t>
            </w:r>
          </w:p>
        </w:tc>
        <w:tc>
          <w:tcPr>
            <w:tcW w:w="538" w:type="pct"/>
            <w:tcBorders>
              <w:tl2br w:val="nil"/>
              <w:tr2bl w:val="nil"/>
            </w:tcBorders>
            <w:noWrap w:val="0"/>
            <w:vAlign w:val="center"/>
          </w:tcPr>
          <w:p w14:paraId="74FB8B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2E64C2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11F86EB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拆除塌陷破旧沥青路面，垃圾清运，铺设150mm厚戈壁料基层，碾压密实，铺设6cm厚AC-13细粒式沥青混凝土</w:t>
            </w:r>
          </w:p>
        </w:tc>
      </w:tr>
      <w:tr w14:paraId="5292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26D04E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19</w:t>
            </w:r>
          </w:p>
        </w:tc>
        <w:tc>
          <w:tcPr>
            <w:tcW w:w="999" w:type="pct"/>
            <w:tcBorders>
              <w:tl2br w:val="nil"/>
              <w:tr2bl w:val="nil"/>
            </w:tcBorders>
            <w:noWrap w:val="0"/>
            <w:vAlign w:val="center"/>
          </w:tcPr>
          <w:p w14:paraId="2B7FBC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垃圾外运</w:t>
            </w:r>
          </w:p>
        </w:tc>
        <w:tc>
          <w:tcPr>
            <w:tcW w:w="538" w:type="pct"/>
            <w:tcBorders>
              <w:tl2br w:val="nil"/>
              <w:tr2bl w:val="nil"/>
            </w:tcBorders>
            <w:noWrap w:val="0"/>
            <w:vAlign w:val="center"/>
          </w:tcPr>
          <w:p w14:paraId="46D9EC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AD866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立方米</w:t>
            </w:r>
          </w:p>
        </w:tc>
        <w:tc>
          <w:tcPr>
            <w:tcW w:w="2556" w:type="pct"/>
            <w:tcBorders>
              <w:tl2br w:val="nil"/>
              <w:tr2bl w:val="nil"/>
            </w:tcBorders>
            <w:noWrap w:val="0"/>
            <w:vAlign w:val="center"/>
          </w:tcPr>
          <w:p w14:paraId="0B7CA9F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垃圾清运至倾倒点</w:t>
            </w:r>
          </w:p>
        </w:tc>
      </w:tr>
      <w:tr w14:paraId="26D9D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53F518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20</w:t>
            </w:r>
          </w:p>
        </w:tc>
        <w:tc>
          <w:tcPr>
            <w:tcW w:w="999" w:type="pct"/>
            <w:tcBorders>
              <w:tl2br w:val="nil"/>
              <w:tr2bl w:val="nil"/>
            </w:tcBorders>
            <w:noWrap w:val="0"/>
            <w:vAlign w:val="center"/>
          </w:tcPr>
          <w:p w14:paraId="7B5B27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种植土回填</w:t>
            </w:r>
          </w:p>
        </w:tc>
        <w:tc>
          <w:tcPr>
            <w:tcW w:w="538" w:type="pct"/>
            <w:tcBorders>
              <w:tl2br w:val="nil"/>
              <w:tr2bl w:val="nil"/>
            </w:tcBorders>
            <w:noWrap w:val="0"/>
            <w:vAlign w:val="center"/>
          </w:tcPr>
          <w:p w14:paraId="0D7EA4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7B7659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立方米</w:t>
            </w:r>
          </w:p>
        </w:tc>
        <w:tc>
          <w:tcPr>
            <w:tcW w:w="2556" w:type="pct"/>
            <w:tcBorders>
              <w:tl2br w:val="nil"/>
              <w:tr2bl w:val="nil"/>
            </w:tcBorders>
            <w:noWrap w:val="0"/>
            <w:vAlign w:val="center"/>
          </w:tcPr>
          <w:p w14:paraId="5326655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种植土回填，回填厚度50cm</w:t>
            </w:r>
          </w:p>
        </w:tc>
      </w:tr>
      <w:tr w14:paraId="7FC49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048575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21</w:t>
            </w:r>
          </w:p>
        </w:tc>
        <w:tc>
          <w:tcPr>
            <w:tcW w:w="999" w:type="pct"/>
            <w:tcBorders>
              <w:tl2br w:val="nil"/>
              <w:tr2bl w:val="nil"/>
            </w:tcBorders>
            <w:noWrap w:val="0"/>
            <w:vAlign w:val="center"/>
          </w:tcPr>
          <w:p w14:paraId="762A8A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水泥砖砌筑</w:t>
            </w:r>
          </w:p>
        </w:tc>
        <w:tc>
          <w:tcPr>
            <w:tcW w:w="538" w:type="pct"/>
            <w:tcBorders>
              <w:tl2br w:val="nil"/>
              <w:tr2bl w:val="nil"/>
            </w:tcBorders>
            <w:noWrap w:val="0"/>
            <w:vAlign w:val="center"/>
          </w:tcPr>
          <w:p w14:paraId="4D3373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352BA4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立方米</w:t>
            </w:r>
          </w:p>
        </w:tc>
        <w:tc>
          <w:tcPr>
            <w:tcW w:w="2556" w:type="pct"/>
            <w:tcBorders>
              <w:tl2br w:val="nil"/>
              <w:tr2bl w:val="nil"/>
            </w:tcBorders>
            <w:noWrap w:val="0"/>
            <w:vAlign w:val="center"/>
          </w:tcPr>
          <w:p w14:paraId="6338BA1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M5.0砌筑砂浆预制水泥砖</w:t>
            </w:r>
          </w:p>
        </w:tc>
      </w:tr>
      <w:tr w14:paraId="28DF1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10E47F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22</w:t>
            </w:r>
          </w:p>
        </w:tc>
        <w:tc>
          <w:tcPr>
            <w:tcW w:w="999" w:type="pct"/>
            <w:tcBorders>
              <w:tl2br w:val="nil"/>
              <w:tr2bl w:val="nil"/>
            </w:tcBorders>
            <w:noWrap w:val="0"/>
            <w:vAlign w:val="center"/>
          </w:tcPr>
          <w:p w14:paraId="7FE110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水泥砖零星砌筑</w:t>
            </w:r>
          </w:p>
        </w:tc>
        <w:tc>
          <w:tcPr>
            <w:tcW w:w="538" w:type="pct"/>
            <w:tcBorders>
              <w:tl2br w:val="nil"/>
              <w:tr2bl w:val="nil"/>
            </w:tcBorders>
            <w:noWrap w:val="0"/>
            <w:vAlign w:val="center"/>
          </w:tcPr>
          <w:p w14:paraId="6372E2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3CB67F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立方米</w:t>
            </w:r>
          </w:p>
        </w:tc>
        <w:tc>
          <w:tcPr>
            <w:tcW w:w="2556" w:type="pct"/>
            <w:tcBorders>
              <w:tl2br w:val="nil"/>
              <w:tr2bl w:val="nil"/>
            </w:tcBorders>
            <w:noWrap w:val="0"/>
            <w:vAlign w:val="center"/>
          </w:tcPr>
          <w:p w14:paraId="2FCDB22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M5.0砌筑砂浆预制水泥砖零星砌体</w:t>
            </w:r>
          </w:p>
        </w:tc>
      </w:tr>
      <w:tr w14:paraId="47FDD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5F3225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23</w:t>
            </w:r>
          </w:p>
        </w:tc>
        <w:tc>
          <w:tcPr>
            <w:tcW w:w="999" w:type="pct"/>
            <w:tcBorders>
              <w:tl2br w:val="nil"/>
              <w:tr2bl w:val="nil"/>
            </w:tcBorders>
            <w:noWrap w:val="0"/>
            <w:vAlign w:val="center"/>
          </w:tcPr>
          <w:p w14:paraId="4551AA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多孔砖砌筑</w:t>
            </w:r>
          </w:p>
        </w:tc>
        <w:tc>
          <w:tcPr>
            <w:tcW w:w="538" w:type="pct"/>
            <w:tcBorders>
              <w:tl2br w:val="nil"/>
              <w:tr2bl w:val="nil"/>
            </w:tcBorders>
            <w:noWrap w:val="0"/>
            <w:vAlign w:val="center"/>
          </w:tcPr>
          <w:p w14:paraId="744859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6F7866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立方米</w:t>
            </w:r>
          </w:p>
        </w:tc>
        <w:tc>
          <w:tcPr>
            <w:tcW w:w="2556" w:type="pct"/>
            <w:tcBorders>
              <w:tl2br w:val="nil"/>
              <w:tr2bl w:val="nil"/>
            </w:tcBorders>
            <w:noWrap w:val="0"/>
            <w:vAlign w:val="center"/>
          </w:tcPr>
          <w:p w14:paraId="4760E99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M5.0砌筑砂浆多孔砖砌体</w:t>
            </w:r>
          </w:p>
        </w:tc>
      </w:tr>
      <w:tr w14:paraId="2BE42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67C34D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24</w:t>
            </w:r>
          </w:p>
        </w:tc>
        <w:tc>
          <w:tcPr>
            <w:tcW w:w="999" w:type="pct"/>
            <w:tcBorders>
              <w:tl2br w:val="nil"/>
              <w:tr2bl w:val="nil"/>
            </w:tcBorders>
            <w:noWrap w:val="0"/>
            <w:vAlign w:val="center"/>
          </w:tcPr>
          <w:p w14:paraId="5E5589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多孔砖零星砌筑</w:t>
            </w:r>
          </w:p>
        </w:tc>
        <w:tc>
          <w:tcPr>
            <w:tcW w:w="538" w:type="pct"/>
            <w:tcBorders>
              <w:tl2br w:val="nil"/>
              <w:tr2bl w:val="nil"/>
            </w:tcBorders>
            <w:noWrap w:val="0"/>
            <w:vAlign w:val="center"/>
          </w:tcPr>
          <w:p w14:paraId="219D71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D6CCB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立方米</w:t>
            </w:r>
          </w:p>
        </w:tc>
        <w:tc>
          <w:tcPr>
            <w:tcW w:w="2556" w:type="pct"/>
            <w:tcBorders>
              <w:tl2br w:val="nil"/>
              <w:tr2bl w:val="nil"/>
            </w:tcBorders>
            <w:noWrap w:val="0"/>
            <w:vAlign w:val="center"/>
          </w:tcPr>
          <w:p w14:paraId="5F7F6578">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M5.0砌筑砂浆多孔砖零星砌体</w:t>
            </w:r>
          </w:p>
        </w:tc>
      </w:tr>
      <w:tr w14:paraId="4EA0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6B9ED8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25</w:t>
            </w:r>
          </w:p>
        </w:tc>
        <w:tc>
          <w:tcPr>
            <w:tcW w:w="999" w:type="pct"/>
            <w:tcBorders>
              <w:tl2br w:val="nil"/>
              <w:tr2bl w:val="nil"/>
            </w:tcBorders>
            <w:noWrap w:val="0"/>
            <w:vAlign w:val="center"/>
          </w:tcPr>
          <w:p w14:paraId="489873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水泥砂浆抹灰</w:t>
            </w:r>
          </w:p>
        </w:tc>
        <w:tc>
          <w:tcPr>
            <w:tcW w:w="538" w:type="pct"/>
            <w:tcBorders>
              <w:tl2br w:val="nil"/>
              <w:tr2bl w:val="nil"/>
            </w:tcBorders>
            <w:noWrap w:val="0"/>
            <w:vAlign w:val="center"/>
          </w:tcPr>
          <w:p w14:paraId="42027A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3825A7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635F9E7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13mm厚1:3水泥砂浆打底，7mm厚1:2.5水泥砂浆面层抹灰</w:t>
            </w:r>
          </w:p>
        </w:tc>
      </w:tr>
      <w:tr w14:paraId="668DB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08A930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sz w:val="21"/>
                <w:szCs w:val="21"/>
                <w:highlight w:val="none"/>
                <w:u w:val="none"/>
                <w:lang w:val="en-US" w:eastAsia="zh-CN"/>
              </w:rPr>
            </w:pPr>
            <w:r>
              <w:rPr>
                <w:rFonts w:hint="eastAsia" w:ascii="仿宋_GB2312" w:hAnsi="宋体" w:eastAsia="仿宋_GB2312" w:cs="仿宋_GB2312"/>
                <w:i w:val="0"/>
                <w:iCs w:val="0"/>
                <w:color w:val="auto"/>
                <w:sz w:val="21"/>
                <w:szCs w:val="21"/>
                <w:highlight w:val="none"/>
                <w:u w:val="none"/>
                <w:lang w:val="en-US" w:eastAsia="zh-CN"/>
              </w:rPr>
              <w:t>26</w:t>
            </w:r>
          </w:p>
        </w:tc>
        <w:tc>
          <w:tcPr>
            <w:tcW w:w="999" w:type="pct"/>
            <w:tcBorders>
              <w:tl2br w:val="nil"/>
              <w:tr2bl w:val="nil"/>
            </w:tcBorders>
            <w:noWrap w:val="0"/>
            <w:vAlign w:val="center"/>
          </w:tcPr>
          <w:p w14:paraId="70DEE4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挂网抹灰</w:t>
            </w:r>
          </w:p>
        </w:tc>
        <w:tc>
          <w:tcPr>
            <w:tcW w:w="538" w:type="pct"/>
            <w:tcBorders>
              <w:tl2br w:val="nil"/>
              <w:tr2bl w:val="nil"/>
            </w:tcBorders>
            <w:noWrap w:val="0"/>
            <w:vAlign w:val="center"/>
          </w:tcPr>
          <w:p w14:paraId="1791AC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3FA646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2A8599E2">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墙面挂玻纤网格布，抹4mm厚粘接砂浆</w:t>
            </w:r>
          </w:p>
        </w:tc>
      </w:tr>
      <w:tr w14:paraId="3CAAC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673236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sz w:val="21"/>
                <w:szCs w:val="21"/>
                <w:highlight w:val="none"/>
                <w:u w:val="none"/>
                <w:lang w:val="en-US" w:eastAsia="zh-CN"/>
              </w:rPr>
            </w:pPr>
            <w:r>
              <w:rPr>
                <w:rFonts w:hint="eastAsia" w:ascii="仿宋_GB2312" w:hAnsi="宋体" w:eastAsia="仿宋_GB2312" w:cs="仿宋_GB2312"/>
                <w:i w:val="0"/>
                <w:iCs w:val="0"/>
                <w:color w:val="auto"/>
                <w:sz w:val="21"/>
                <w:szCs w:val="21"/>
                <w:highlight w:val="none"/>
                <w:u w:val="none"/>
                <w:lang w:val="en-US" w:eastAsia="zh-CN"/>
              </w:rPr>
              <w:t>27</w:t>
            </w:r>
          </w:p>
        </w:tc>
        <w:tc>
          <w:tcPr>
            <w:tcW w:w="999" w:type="pct"/>
            <w:tcBorders>
              <w:tl2br w:val="nil"/>
              <w:tr2bl w:val="nil"/>
            </w:tcBorders>
            <w:noWrap w:val="0"/>
            <w:vAlign w:val="center"/>
          </w:tcPr>
          <w:p w14:paraId="6BC2C5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粉刷涂料</w:t>
            </w:r>
          </w:p>
        </w:tc>
        <w:tc>
          <w:tcPr>
            <w:tcW w:w="538" w:type="pct"/>
            <w:tcBorders>
              <w:tl2br w:val="nil"/>
              <w:tr2bl w:val="nil"/>
            </w:tcBorders>
            <w:noWrap w:val="0"/>
            <w:vAlign w:val="center"/>
          </w:tcPr>
          <w:p w14:paraId="007A8A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0213D4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363D1F2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墙面刮腻子一道，粉刷白色乳胶漆两道</w:t>
            </w:r>
          </w:p>
        </w:tc>
      </w:tr>
      <w:tr w14:paraId="3EC8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4D24D6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28</w:t>
            </w:r>
          </w:p>
        </w:tc>
        <w:tc>
          <w:tcPr>
            <w:tcW w:w="999" w:type="pct"/>
            <w:tcBorders>
              <w:tl2br w:val="nil"/>
              <w:tr2bl w:val="nil"/>
            </w:tcBorders>
            <w:noWrap w:val="0"/>
            <w:vAlign w:val="center"/>
          </w:tcPr>
          <w:p w14:paraId="71AA11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喷涂真石漆</w:t>
            </w:r>
          </w:p>
        </w:tc>
        <w:tc>
          <w:tcPr>
            <w:tcW w:w="538" w:type="pct"/>
            <w:tcBorders>
              <w:tl2br w:val="nil"/>
              <w:tr2bl w:val="nil"/>
            </w:tcBorders>
            <w:noWrap w:val="0"/>
            <w:vAlign w:val="center"/>
          </w:tcPr>
          <w:p w14:paraId="4B9F2D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32D01D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7EDF06F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抹灰面墙面喷真石漆</w:t>
            </w:r>
          </w:p>
        </w:tc>
      </w:tr>
      <w:tr w14:paraId="14BE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7" w:type="pct"/>
            <w:tcBorders>
              <w:tl2br w:val="nil"/>
              <w:tr2bl w:val="nil"/>
            </w:tcBorders>
            <w:noWrap w:val="0"/>
            <w:vAlign w:val="center"/>
          </w:tcPr>
          <w:p w14:paraId="331917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29</w:t>
            </w:r>
          </w:p>
        </w:tc>
        <w:tc>
          <w:tcPr>
            <w:tcW w:w="999" w:type="pct"/>
            <w:tcBorders>
              <w:tl2br w:val="nil"/>
              <w:tr2bl w:val="nil"/>
            </w:tcBorders>
            <w:noWrap w:val="0"/>
            <w:vAlign w:val="center"/>
          </w:tcPr>
          <w:p w14:paraId="1112E2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大理石零星铺设</w:t>
            </w:r>
          </w:p>
        </w:tc>
        <w:tc>
          <w:tcPr>
            <w:tcW w:w="538" w:type="pct"/>
            <w:tcBorders>
              <w:tl2br w:val="nil"/>
              <w:tr2bl w:val="nil"/>
            </w:tcBorders>
            <w:noWrap w:val="0"/>
            <w:vAlign w:val="center"/>
          </w:tcPr>
          <w:p w14:paraId="771628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35A4E6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5E4D372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拆除原有损坏大理石块料面层，80mm厚C15混凝土垫层，重新铺设大理石块料面层</w:t>
            </w:r>
          </w:p>
        </w:tc>
      </w:tr>
      <w:tr w14:paraId="6EBDC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2FB600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30</w:t>
            </w:r>
          </w:p>
        </w:tc>
        <w:tc>
          <w:tcPr>
            <w:tcW w:w="999" w:type="pct"/>
            <w:tcBorders>
              <w:tl2br w:val="nil"/>
              <w:tr2bl w:val="nil"/>
            </w:tcBorders>
            <w:noWrap w:val="0"/>
            <w:vAlign w:val="center"/>
          </w:tcPr>
          <w:p w14:paraId="6EC608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大理石铺设</w:t>
            </w:r>
          </w:p>
        </w:tc>
        <w:tc>
          <w:tcPr>
            <w:tcW w:w="538" w:type="pct"/>
            <w:tcBorders>
              <w:tl2br w:val="nil"/>
              <w:tr2bl w:val="nil"/>
            </w:tcBorders>
            <w:noWrap w:val="0"/>
            <w:vAlign w:val="center"/>
          </w:tcPr>
          <w:p w14:paraId="705074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6EA4DA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42AFCAE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80mm厚C15混凝土垫层，大理石块料面层</w:t>
            </w:r>
          </w:p>
        </w:tc>
      </w:tr>
      <w:tr w14:paraId="2087A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12B8F0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31</w:t>
            </w:r>
          </w:p>
        </w:tc>
        <w:tc>
          <w:tcPr>
            <w:tcW w:w="999" w:type="pct"/>
            <w:tcBorders>
              <w:tl2br w:val="nil"/>
              <w:tr2bl w:val="nil"/>
            </w:tcBorders>
            <w:noWrap w:val="0"/>
            <w:vAlign w:val="center"/>
          </w:tcPr>
          <w:p w14:paraId="0A4BFD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干挂零星大理石</w:t>
            </w:r>
          </w:p>
        </w:tc>
        <w:tc>
          <w:tcPr>
            <w:tcW w:w="538" w:type="pct"/>
            <w:tcBorders>
              <w:tl2br w:val="nil"/>
              <w:tr2bl w:val="nil"/>
            </w:tcBorders>
            <w:noWrap w:val="0"/>
            <w:vAlign w:val="center"/>
          </w:tcPr>
          <w:p w14:paraId="6A4E39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086305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4CAFB66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轻钢龙骨，零星干挂大理石，宽缝</w:t>
            </w:r>
          </w:p>
        </w:tc>
      </w:tr>
      <w:tr w14:paraId="05B0B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547377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32</w:t>
            </w:r>
          </w:p>
        </w:tc>
        <w:tc>
          <w:tcPr>
            <w:tcW w:w="999" w:type="pct"/>
            <w:tcBorders>
              <w:tl2br w:val="nil"/>
              <w:tr2bl w:val="nil"/>
            </w:tcBorders>
            <w:noWrap w:val="0"/>
            <w:vAlign w:val="center"/>
          </w:tcPr>
          <w:p w14:paraId="3DEE53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铁艺围档拆除</w:t>
            </w:r>
          </w:p>
        </w:tc>
        <w:tc>
          <w:tcPr>
            <w:tcW w:w="538" w:type="pct"/>
            <w:tcBorders>
              <w:tl2br w:val="nil"/>
              <w:tr2bl w:val="nil"/>
            </w:tcBorders>
            <w:noWrap w:val="0"/>
            <w:vAlign w:val="center"/>
          </w:tcPr>
          <w:p w14:paraId="744E73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6D688F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米</w:t>
            </w:r>
          </w:p>
        </w:tc>
        <w:tc>
          <w:tcPr>
            <w:tcW w:w="2556" w:type="pct"/>
            <w:tcBorders>
              <w:tl2br w:val="nil"/>
              <w:tr2bl w:val="nil"/>
            </w:tcBorders>
            <w:noWrap w:val="0"/>
            <w:vAlign w:val="center"/>
          </w:tcPr>
          <w:p w14:paraId="67F5930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拆除原老旧损坏的铁艺围挡</w:t>
            </w:r>
          </w:p>
        </w:tc>
      </w:tr>
      <w:tr w14:paraId="1405C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259C26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33</w:t>
            </w:r>
          </w:p>
        </w:tc>
        <w:tc>
          <w:tcPr>
            <w:tcW w:w="999" w:type="pct"/>
            <w:tcBorders>
              <w:tl2br w:val="nil"/>
              <w:tr2bl w:val="nil"/>
            </w:tcBorders>
            <w:noWrap w:val="0"/>
            <w:vAlign w:val="center"/>
          </w:tcPr>
          <w:p w14:paraId="363619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新建铁艺围挡</w:t>
            </w:r>
          </w:p>
        </w:tc>
        <w:tc>
          <w:tcPr>
            <w:tcW w:w="538" w:type="pct"/>
            <w:tcBorders>
              <w:tl2br w:val="nil"/>
              <w:tr2bl w:val="nil"/>
            </w:tcBorders>
            <w:noWrap w:val="0"/>
            <w:vAlign w:val="center"/>
          </w:tcPr>
          <w:p w14:paraId="323CB7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6E7930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60E8FAF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安装1.5m高铁艺围挡，外挂绿色草皮</w:t>
            </w:r>
          </w:p>
        </w:tc>
      </w:tr>
      <w:tr w14:paraId="0E55A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5B8630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34</w:t>
            </w:r>
          </w:p>
        </w:tc>
        <w:tc>
          <w:tcPr>
            <w:tcW w:w="999" w:type="pct"/>
            <w:tcBorders>
              <w:tl2br w:val="nil"/>
              <w:tr2bl w:val="nil"/>
            </w:tcBorders>
            <w:noWrap w:val="0"/>
            <w:vAlign w:val="center"/>
          </w:tcPr>
          <w:p w14:paraId="14EC6D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垫层浇筑</w:t>
            </w:r>
          </w:p>
        </w:tc>
        <w:tc>
          <w:tcPr>
            <w:tcW w:w="538" w:type="pct"/>
            <w:tcBorders>
              <w:tl2br w:val="nil"/>
              <w:tr2bl w:val="nil"/>
            </w:tcBorders>
            <w:noWrap w:val="0"/>
            <w:vAlign w:val="center"/>
          </w:tcPr>
          <w:p w14:paraId="1180E9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2437C4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立方米</w:t>
            </w:r>
          </w:p>
        </w:tc>
        <w:tc>
          <w:tcPr>
            <w:tcW w:w="2556" w:type="pct"/>
            <w:tcBorders>
              <w:tl2br w:val="nil"/>
              <w:tr2bl w:val="nil"/>
            </w:tcBorders>
            <w:noWrap w:val="0"/>
            <w:vAlign w:val="center"/>
          </w:tcPr>
          <w:p w14:paraId="74AFCDD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垫层浇筑C20商品混凝土</w:t>
            </w:r>
          </w:p>
        </w:tc>
      </w:tr>
      <w:tr w14:paraId="1342E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609B31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35</w:t>
            </w:r>
          </w:p>
        </w:tc>
        <w:tc>
          <w:tcPr>
            <w:tcW w:w="999" w:type="pct"/>
            <w:tcBorders>
              <w:tl2br w:val="nil"/>
              <w:tr2bl w:val="nil"/>
            </w:tcBorders>
            <w:noWrap w:val="0"/>
            <w:vAlign w:val="center"/>
          </w:tcPr>
          <w:p w14:paraId="32439D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贴面砖</w:t>
            </w:r>
          </w:p>
        </w:tc>
        <w:tc>
          <w:tcPr>
            <w:tcW w:w="538" w:type="pct"/>
            <w:tcBorders>
              <w:tl2br w:val="nil"/>
              <w:tr2bl w:val="nil"/>
            </w:tcBorders>
            <w:noWrap w:val="0"/>
            <w:vAlign w:val="center"/>
          </w:tcPr>
          <w:p w14:paraId="0A3781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7490C4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07100D4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1：2水泥砂浆外墙贴面砖</w:t>
            </w:r>
          </w:p>
        </w:tc>
      </w:tr>
      <w:tr w14:paraId="630A7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7" w:type="pct"/>
            <w:tcBorders>
              <w:tl2br w:val="nil"/>
              <w:tr2bl w:val="nil"/>
            </w:tcBorders>
            <w:noWrap w:val="0"/>
            <w:vAlign w:val="center"/>
          </w:tcPr>
          <w:p w14:paraId="3BA312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36</w:t>
            </w:r>
          </w:p>
        </w:tc>
        <w:tc>
          <w:tcPr>
            <w:tcW w:w="999" w:type="pct"/>
            <w:tcBorders>
              <w:tl2br w:val="nil"/>
              <w:tr2bl w:val="nil"/>
            </w:tcBorders>
            <w:noWrap w:val="0"/>
            <w:vAlign w:val="center"/>
          </w:tcPr>
          <w:p w14:paraId="5E9E66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贴地砖</w:t>
            </w:r>
          </w:p>
        </w:tc>
        <w:tc>
          <w:tcPr>
            <w:tcW w:w="538" w:type="pct"/>
            <w:tcBorders>
              <w:tl2br w:val="nil"/>
              <w:tr2bl w:val="nil"/>
            </w:tcBorders>
            <w:noWrap w:val="0"/>
            <w:vAlign w:val="center"/>
          </w:tcPr>
          <w:p w14:paraId="48B0AE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174C78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3126B74F">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原土打夯，100mm厚戈壁料垫层，80mm厚C15混凝土垫层，800mm×800mm陶瓷地砖</w:t>
            </w:r>
          </w:p>
        </w:tc>
      </w:tr>
      <w:tr w14:paraId="4BE1F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2724BE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37</w:t>
            </w:r>
          </w:p>
        </w:tc>
        <w:tc>
          <w:tcPr>
            <w:tcW w:w="999" w:type="pct"/>
            <w:tcBorders>
              <w:tl2br w:val="nil"/>
              <w:tr2bl w:val="nil"/>
            </w:tcBorders>
            <w:noWrap w:val="0"/>
            <w:vAlign w:val="center"/>
          </w:tcPr>
          <w:p w14:paraId="14A2C4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井道提升40cm</w:t>
            </w:r>
          </w:p>
        </w:tc>
        <w:tc>
          <w:tcPr>
            <w:tcW w:w="538" w:type="pct"/>
            <w:tcBorders>
              <w:tl2br w:val="nil"/>
              <w:tr2bl w:val="nil"/>
            </w:tcBorders>
            <w:noWrap w:val="0"/>
            <w:vAlign w:val="center"/>
          </w:tcPr>
          <w:p w14:paraId="68B233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35D0ED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座</w:t>
            </w:r>
          </w:p>
        </w:tc>
        <w:tc>
          <w:tcPr>
            <w:tcW w:w="2556" w:type="pct"/>
            <w:tcBorders>
              <w:tl2br w:val="nil"/>
              <w:tr2bl w:val="nil"/>
            </w:tcBorders>
            <w:noWrap w:val="0"/>
            <w:vAlign w:val="center"/>
          </w:tcPr>
          <w:p w14:paraId="074131D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井口砌筑多孔砖提升40cm，砂浆等级M5.0</w:t>
            </w:r>
          </w:p>
        </w:tc>
      </w:tr>
      <w:tr w14:paraId="280FE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54ECB8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38</w:t>
            </w:r>
          </w:p>
        </w:tc>
        <w:tc>
          <w:tcPr>
            <w:tcW w:w="999" w:type="pct"/>
            <w:tcBorders>
              <w:tl2br w:val="nil"/>
              <w:tr2bl w:val="nil"/>
            </w:tcBorders>
            <w:noWrap w:val="0"/>
            <w:vAlign w:val="center"/>
          </w:tcPr>
          <w:p w14:paraId="0E4607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井道提升20cm</w:t>
            </w:r>
          </w:p>
        </w:tc>
        <w:tc>
          <w:tcPr>
            <w:tcW w:w="538" w:type="pct"/>
            <w:tcBorders>
              <w:tl2br w:val="nil"/>
              <w:tr2bl w:val="nil"/>
            </w:tcBorders>
            <w:noWrap w:val="0"/>
            <w:vAlign w:val="center"/>
          </w:tcPr>
          <w:p w14:paraId="60987F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070929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座</w:t>
            </w:r>
          </w:p>
        </w:tc>
        <w:tc>
          <w:tcPr>
            <w:tcW w:w="2556" w:type="pct"/>
            <w:tcBorders>
              <w:tl2br w:val="nil"/>
              <w:tr2bl w:val="nil"/>
            </w:tcBorders>
            <w:noWrap w:val="0"/>
            <w:vAlign w:val="center"/>
          </w:tcPr>
          <w:p w14:paraId="09A7B62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井口砌筑多孔砖提升20cm，砂浆等级M5.0</w:t>
            </w:r>
          </w:p>
        </w:tc>
      </w:tr>
      <w:tr w14:paraId="686C1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76D803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39</w:t>
            </w:r>
          </w:p>
        </w:tc>
        <w:tc>
          <w:tcPr>
            <w:tcW w:w="999" w:type="pct"/>
            <w:tcBorders>
              <w:tl2br w:val="nil"/>
              <w:tr2bl w:val="nil"/>
            </w:tcBorders>
            <w:noWrap w:val="0"/>
            <w:vAlign w:val="center"/>
          </w:tcPr>
          <w:p w14:paraId="54EA9A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井盖更换</w:t>
            </w:r>
          </w:p>
        </w:tc>
        <w:tc>
          <w:tcPr>
            <w:tcW w:w="538" w:type="pct"/>
            <w:tcBorders>
              <w:tl2br w:val="nil"/>
              <w:tr2bl w:val="nil"/>
            </w:tcBorders>
            <w:noWrap w:val="0"/>
            <w:vAlign w:val="center"/>
          </w:tcPr>
          <w:p w14:paraId="43FC5D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737E21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套</w:t>
            </w:r>
          </w:p>
        </w:tc>
        <w:tc>
          <w:tcPr>
            <w:tcW w:w="2556" w:type="pct"/>
            <w:tcBorders>
              <w:tl2br w:val="nil"/>
              <w:tr2bl w:val="nil"/>
            </w:tcBorders>
            <w:noWrap w:val="0"/>
            <w:vAlign w:val="center"/>
          </w:tcPr>
          <w:p w14:paraId="5D7F03E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更换φ700重型井盖、井座</w:t>
            </w:r>
          </w:p>
        </w:tc>
      </w:tr>
      <w:tr w14:paraId="6E326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58A9D8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40</w:t>
            </w:r>
          </w:p>
        </w:tc>
        <w:tc>
          <w:tcPr>
            <w:tcW w:w="999" w:type="pct"/>
            <w:tcBorders>
              <w:tl2br w:val="nil"/>
              <w:tr2bl w:val="nil"/>
            </w:tcBorders>
            <w:noWrap w:val="0"/>
            <w:vAlign w:val="center"/>
          </w:tcPr>
          <w:p w14:paraId="79A27E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道路标线(热熔)</w:t>
            </w:r>
          </w:p>
        </w:tc>
        <w:tc>
          <w:tcPr>
            <w:tcW w:w="538" w:type="pct"/>
            <w:tcBorders>
              <w:tl2br w:val="nil"/>
              <w:tr2bl w:val="nil"/>
            </w:tcBorders>
            <w:noWrap w:val="0"/>
            <w:vAlign w:val="center"/>
          </w:tcPr>
          <w:p w14:paraId="03766D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14F9F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1E51B66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道路划线，100mm宽热熔式道路标志标线</w:t>
            </w:r>
          </w:p>
        </w:tc>
      </w:tr>
      <w:tr w14:paraId="1F62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4AE512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41</w:t>
            </w:r>
          </w:p>
        </w:tc>
        <w:tc>
          <w:tcPr>
            <w:tcW w:w="999" w:type="pct"/>
            <w:tcBorders>
              <w:tl2br w:val="nil"/>
              <w:tr2bl w:val="nil"/>
            </w:tcBorders>
            <w:noWrap w:val="0"/>
            <w:vAlign w:val="center"/>
          </w:tcPr>
          <w:p w14:paraId="53F4EE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清除标线</w:t>
            </w:r>
          </w:p>
        </w:tc>
        <w:tc>
          <w:tcPr>
            <w:tcW w:w="538" w:type="pct"/>
            <w:tcBorders>
              <w:tl2br w:val="nil"/>
              <w:tr2bl w:val="nil"/>
            </w:tcBorders>
            <w:noWrap w:val="0"/>
            <w:vAlign w:val="center"/>
          </w:tcPr>
          <w:p w14:paraId="034E4D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600E2E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m2</w:t>
            </w:r>
          </w:p>
        </w:tc>
        <w:tc>
          <w:tcPr>
            <w:tcW w:w="2556" w:type="pct"/>
            <w:tcBorders>
              <w:tl2br w:val="nil"/>
              <w:tr2bl w:val="nil"/>
            </w:tcBorders>
            <w:noWrap w:val="0"/>
            <w:vAlign w:val="center"/>
          </w:tcPr>
          <w:p w14:paraId="07CD62D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道路标线清除</w:t>
            </w:r>
          </w:p>
        </w:tc>
      </w:tr>
      <w:tr w14:paraId="2A31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649772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42</w:t>
            </w:r>
          </w:p>
        </w:tc>
        <w:tc>
          <w:tcPr>
            <w:tcW w:w="999" w:type="pct"/>
            <w:tcBorders>
              <w:tl2br w:val="nil"/>
              <w:tr2bl w:val="nil"/>
            </w:tcBorders>
            <w:noWrap w:val="0"/>
            <w:vAlign w:val="center"/>
          </w:tcPr>
          <w:p w14:paraId="57E760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道路标线（油漆）</w:t>
            </w:r>
          </w:p>
        </w:tc>
        <w:tc>
          <w:tcPr>
            <w:tcW w:w="538" w:type="pct"/>
            <w:tcBorders>
              <w:tl2br w:val="nil"/>
              <w:tr2bl w:val="nil"/>
            </w:tcBorders>
            <w:noWrap w:val="0"/>
            <w:vAlign w:val="center"/>
          </w:tcPr>
          <w:p w14:paraId="0113E9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DCD8A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m2</w:t>
            </w:r>
          </w:p>
        </w:tc>
        <w:tc>
          <w:tcPr>
            <w:tcW w:w="2556" w:type="pct"/>
            <w:tcBorders>
              <w:tl2br w:val="nil"/>
              <w:tr2bl w:val="nil"/>
            </w:tcBorders>
            <w:noWrap w:val="0"/>
            <w:vAlign w:val="center"/>
          </w:tcPr>
          <w:p w14:paraId="55B2E5FE">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道路划线，100mm宽油漆道路标志标线</w:t>
            </w:r>
          </w:p>
        </w:tc>
      </w:tr>
      <w:tr w14:paraId="6E5BD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1A3FB9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43</w:t>
            </w:r>
          </w:p>
        </w:tc>
        <w:tc>
          <w:tcPr>
            <w:tcW w:w="999" w:type="pct"/>
            <w:tcBorders>
              <w:tl2br w:val="nil"/>
              <w:tr2bl w:val="nil"/>
            </w:tcBorders>
            <w:noWrap w:val="0"/>
            <w:vAlign w:val="center"/>
          </w:tcPr>
          <w:p w14:paraId="345DB7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地坪拆除</w:t>
            </w:r>
          </w:p>
        </w:tc>
        <w:tc>
          <w:tcPr>
            <w:tcW w:w="538" w:type="pct"/>
            <w:tcBorders>
              <w:tl2br w:val="nil"/>
              <w:tr2bl w:val="nil"/>
            </w:tcBorders>
            <w:noWrap w:val="0"/>
            <w:vAlign w:val="center"/>
          </w:tcPr>
          <w:p w14:paraId="1E1C2B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6C0B5B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5704F8FE">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拆除100mm厚地坪</w:t>
            </w:r>
          </w:p>
        </w:tc>
      </w:tr>
      <w:tr w14:paraId="43AD9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09C309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44</w:t>
            </w:r>
          </w:p>
        </w:tc>
        <w:tc>
          <w:tcPr>
            <w:tcW w:w="999" w:type="pct"/>
            <w:tcBorders>
              <w:tl2br w:val="nil"/>
              <w:tr2bl w:val="nil"/>
            </w:tcBorders>
            <w:noWrap w:val="0"/>
            <w:vAlign w:val="center"/>
          </w:tcPr>
          <w:p w14:paraId="5B103C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彩钢房-骨架</w:t>
            </w:r>
          </w:p>
        </w:tc>
        <w:tc>
          <w:tcPr>
            <w:tcW w:w="538" w:type="pct"/>
            <w:tcBorders>
              <w:tl2br w:val="nil"/>
              <w:tr2bl w:val="nil"/>
            </w:tcBorders>
            <w:noWrap w:val="0"/>
            <w:vAlign w:val="center"/>
          </w:tcPr>
          <w:p w14:paraId="10F0F8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30B3C8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吨</w:t>
            </w:r>
          </w:p>
        </w:tc>
        <w:tc>
          <w:tcPr>
            <w:tcW w:w="2556" w:type="pct"/>
            <w:tcBorders>
              <w:tl2br w:val="nil"/>
              <w:tr2bl w:val="nil"/>
            </w:tcBorders>
            <w:noWrap w:val="0"/>
            <w:vAlign w:val="center"/>
          </w:tcPr>
          <w:p w14:paraId="564FD36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彩钢房搭设-骨架（包含钢柱，钢梁，檩条）</w:t>
            </w:r>
          </w:p>
        </w:tc>
      </w:tr>
      <w:tr w14:paraId="1415C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7" w:type="pct"/>
            <w:tcBorders>
              <w:tl2br w:val="nil"/>
              <w:tr2bl w:val="nil"/>
            </w:tcBorders>
            <w:noWrap w:val="0"/>
            <w:vAlign w:val="center"/>
          </w:tcPr>
          <w:p w14:paraId="2ED937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45</w:t>
            </w:r>
          </w:p>
        </w:tc>
        <w:tc>
          <w:tcPr>
            <w:tcW w:w="999" w:type="pct"/>
            <w:tcBorders>
              <w:tl2br w:val="nil"/>
              <w:tr2bl w:val="nil"/>
            </w:tcBorders>
            <w:noWrap w:val="0"/>
            <w:vAlign w:val="center"/>
          </w:tcPr>
          <w:p w14:paraId="43AE24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彩钢房-墙板及屋面板</w:t>
            </w:r>
          </w:p>
        </w:tc>
        <w:tc>
          <w:tcPr>
            <w:tcW w:w="538" w:type="pct"/>
            <w:tcBorders>
              <w:tl2br w:val="nil"/>
              <w:tr2bl w:val="nil"/>
            </w:tcBorders>
            <w:noWrap w:val="0"/>
            <w:vAlign w:val="center"/>
          </w:tcPr>
          <w:p w14:paraId="183137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48D2D9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平方米</w:t>
            </w:r>
          </w:p>
        </w:tc>
        <w:tc>
          <w:tcPr>
            <w:tcW w:w="2556" w:type="pct"/>
            <w:tcBorders>
              <w:tl2br w:val="nil"/>
              <w:tr2bl w:val="nil"/>
            </w:tcBorders>
            <w:noWrap w:val="0"/>
            <w:vAlign w:val="center"/>
          </w:tcPr>
          <w:p w14:paraId="6A2640E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彩钢房搭设-100mm厚彩钢岩棉夹芯板屋面及墙面</w:t>
            </w:r>
          </w:p>
        </w:tc>
      </w:tr>
      <w:tr w14:paraId="2081E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7" w:type="pct"/>
            <w:tcBorders>
              <w:tl2br w:val="nil"/>
              <w:tr2bl w:val="nil"/>
            </w:tcBorders>
            <w:noWrap w:val="0"/>
            <w:vAlign w:val="center"/>
          </w:tcPr>
          <w:p w14:paraId="61A132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46</w:t>
            </w:r>
          </w:p>
        </w:tc>
        <w:tc>
          <w:tcPr>
            <w:tcW w:w="999" w:type="pct"/>
            <w:tcBorders>
              <w:tl2br w:val="nil"/>
              <w:tr2bl w:val="nil"/>
            </w:tcBorders>
            <w:noWrap w:val="0"/>
            <w:vAlign w:val="center"/>
          </w:tcPr>
          <w:p w14:paraId="6753C5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钢筋混凝土构件人工拆除</w:t>
            </w:r>
          </w:p>
        </w:tc>
        <w:tc>
          <w:tcPr>
            <w:tcW w:w="538" w:type="pct"/>
            <w:tcBorders>
              <w:tl2br w:val="nil"/>
              <w:tr2bl w:val="nil"/>
            </w:tcBorders>
            <w:noWrap w:val="0"/>
            <w:vAlign w:val="center"/>
          </w:tcPr>
          <w:p w14:paraId="226BA5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66DBCC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立方米</w:t>
            </w:r>
          </w:p>
        </w:tc>
        <w:tc>
          <w:tcPr>
            <w:tcW w:w="2556" w:type="pct"/>
            <w:tcBorders>
              <w:tl2br w:val="nil"/>
              <w:tr2bl w:val="nil"/>
            </w:tcBorders>
            <w:noWrap w:val="0"/>
            <w:vAlign w:val="center"/>
          </w:tcPr>
          <w:p w14:paraId="05E34A4E">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钢筋混凝土构件人工拆除</w:t>
            </w:r>
          </w:p>
        </w:tc>
      </w:tr>
      <w:tr w14:paraId="0F56D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7DB4B8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47</w:t>
            </w:r>
          </w:p>
        </w:tc>
        <w:tc>
          <w:tcPr>
            <w:tcW w:w="999" w:type="pct"/>
            <w:tcBorders>
              <w:tl2br w:val="nil"/>
              <w:tr2bl w:val="nil"/>
            </w:tcBorders>
            <w:noWrap w:val="0"/>
            <w:vAlign w:val="center"/>
          </w:tcPr>
          <w:p w14:paraId="4E8EBF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混凝土构件浇筑</w:t>
            </w:r>
          </w:p>
        </w:tc>
        <w:tc>
          <w:tcPr>
            <w:tcW w:w="538" w:type="pct"/>
            <w:tcBorders>
              <w:tl2br w:val="nil"/>
              <w:tr2bl w:val="nil"/>
            </w:tcBorders>
            <w:noWrap w:val="0"/>
            <w:vAlign w:val="center"/>
          </w:tcPr>
          <w:p w14:paraId="6B1182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0B15D6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立方米</w:t>
            </w:r>
          </w:p>
        </w:tc>
        <w:tc>
          <w:tcPr>
            <w:tcW w:w="2556" w:type="pct"/>
            <w:tcBorders>
              <w:tl2br w:val="nil"/>
              <w:tr2bl w:val="nil"/>
            </w:tcBorders>
            <w:noWrap w:val="0"/>
            <w:vAlign w:val="center"/>
          </w:tcPr>
          <w:p w14:paraId="166286A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钢筋混凝土构件-C25混凝土浇筑</w:t>
            </w:r>
          </w:p>
        </w:tc>
      </w:tr>
      <w:tr w14:paraId="3D244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80" w:hRule="atLeast"/>
        </w:trPr>
        <w:tc>
          <w:tcPr>
            <w:tcW w:w="367" w:type="pct"/>
            <w:tcBorders>
              <w:tl2br w:val="nil"/>
              <w:tr2bl w:val="nil"/>
            </w:tcBorders>
            <w:noWrap w:val="0"/>
            <w:vAlign w:val="center"/>
          </w:tcPr>
          <w:p w14:paraId="4EED91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48</w:t>
            </w:r>
          </w:p>
        </w:tc>
        <w:tc>
          <w:tcPr>
            <w:tcW w:w="999" w:type="pct"/>
            <w:tcBorders>
              <w:tl2br w:val="nil"/>
              <w:tr2bl w:val="nil"/>
            </w:tcBorders>
            <w:noWrap w:val="0"/>
            <w:vAlign w:val="center"/>
          </w:tcPr>
          <w:p w14:paraId="3A4913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钢筋混凝土构件-钢筋绑扎</w:t>
            </w:r>
          </w:p>
        </w:tc>
        <w:tc>
          <w:tcPr>
            <w:tcW w:w="538" w:type="pct"/>
            <w:tcBorders>
              <w:tl2br w:val="nil"/>
              <w:tr2bl w:val="nil"/>
            </w:tcBorders>
            <w:noWrap w:val="0"/>
            <w:vAlign w:val="center"/>
          </w:tcPr>
          <w:p w14:paraId="1B7906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3E1848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吨</w:t>
            </w:r>
          </w:p>
        </w:tc>
        <w:tc>
          <w:tcPr>
            <w:tcW w:w="2556" w:type="pct"/>
            <w:tcBorders>
              <w:tl2br w:val="nil"/>
              <w:tr2bl w:val="nil"/>
            </w:tcBorders>
            <w:noWrap w:val="0"/>
            <w:vAlign w:val="center"/>
          </w:tcPr>
          <w:p w14:paraId="5ED55C95">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钢筋混凝土构件-钢筋绑扎（φ10以内）</w:t>
            </w:r>
          </w:p>
        </w:tc>
      </w:tr>
      <w:tr w14:paraId="1DEE4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4D3FF7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sz w:val="21"/>
                <w:szCs w:val="21"/>
                <w:highlight w:val="none"/>
                <w:u w:val="none"/>
                <w:lang w:val="en-US"/>
              </w:rPr>
            </w:pPr>
            <w:r>
              <w:rPr>
                <w:rFonts w:hint="eastAsia" w:ascii="仿宋_GB2312" w:hAnsi="宋体" w:eastAsia="仿宋_GB2312" w:cs="仿宋_GB2312"/>
                <w:i w:val="0"/>
                <w:iCs w:val="0"/>
                <w:color w:val="auto"/>
                <w:kern w:val="0"/>
                <w:sz w:val="21"/>
                <w:szCs w:val="21"/>
                <w:highlight w:val="none"/>
                <w:u w:val="none"/>
                <w:lang w:val="en-US" w:eastAsia="zh-CN" w:bidi="ar"/>
              </w:rPr>
              <w:t>49</w:t>
            </w:r>
          </w:p>
        </w:tc>
        <w:tc>
          <w:tcPr>
            <w:tcW w:w="999" w:type="pct"/>
            <w:tcBorders>
              <w:tl2br w:val="nil"/>
              <w:tr2bl w:val="nil"/>
            </w:tcBorders>
            <w:noWrap w:val="0"/>
            <w:vAlign w:val="center"/>
          </w:tcPr>
          <w:p w14:paraId="590A7F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U型钢管挡车器</w:t>
            </w:r>
          </w:p>
        </w:tc>
        <w:tc>
          <w:tcPr>
            <w:tcW w:w="538" w:type="pct"/>
            <w:tcBorders>
              <w:tl2br w:val="nil"/>
              <w:tr2bl w:val="nil"/>
            </w:tcBorders>
            <w:noWrap w:val="0"/>
            <w:vAlign w:val="center"/>
          </w:tcPr>
          <w:p w14:paraId="03585D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618F9D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米</w:t>
            </w:r>
          </w:p>
        </w:tc>
        <w:tc>
          <w:tcPr>
            <w:tcW w:w="2556" w:type="pct"/>
            <w:tcBorders>
              <w:tl2br w:val="nil"/>
              <w:tr2bl w:val="nil"/>
            </w:tcBorders>
            <w:noWrap w:val="0"/>
            <w:vAlign w:val="center"/>
          </w:tcPr>
          <w:p w14:paraId="04BE2842">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壁厚3mm</w:t>
            </w:r>
          </w:p>
        </w:tc>
      </w:tr>
      <w:tr w14:paraId="2EF83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0DC4DB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50</w:t>
            </w:r>
          </w:p>
        </w:tc>
        <w:tc>
          <w:tcPr>
            <w:tcW w:w="999" w:type="pct"/>
            <w:tcBorders>
              <w:tl2br w:val="nil"/>
              <w:tr2bl w:val="nil"/>
            </w:tcBorders>
            <w:noWrap w:val="0"/>
            <w:vAlign w:val="center"/>
          </w:tcPr>
          <w:p w14:paraId="1E18A0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沥青路面灌缝</w:t>
            </w:r>
          </w:p>
        </w:tc>
        <w:tc>
          <w:tcPr>
            <w:tcW w:w="538" w:type="pct"/>
            <w:tcBorders>
              <w:tl2br w:val="nil"/>
              <w:tr2bl w:val="nil"/>
            </w:tcBorders>
            <w:noWrap w:val="0"/>
            <w:vAlign w:val="center"/>
          </w:tcPr>
          <w:p w14:paraId="6CAE45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407BF0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米</w:t>
            </w:r>
          </w:p>
        </w:tc>
        <w:tc>
          <w:tcPr>
            <w:tcW w:w="2556" w:type="pct"/>
            <w:tcBorders>
              <w:tl2br w:val="nil"/>
              <w:tr2bl w:val="nil"/>
            </w:tcBorders>
            <w:noWrap w:val="0"/>
            <w:vAlign w:val="center"/>
          </w:tcPr>
          <w:p w14:paraId="716F5FE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开槽机开槽，吹扫槽缝，灌入道路修复沥青胶(混合剂)</w:t>
            </w:r>
          </w:p>
        </w:tc>
      </w:tr>
      <w:tr w14:paraId="71275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5" w:hRule="atLeast"/>
        </w:trPr>
        <w:tc>
          <w:tcPr>
            <w:tcW w:w="367" w:type="pct"/>
            <w:tcBorders>
              <w:tl2br w:val="nil"/>
              <w:tr2bl w:val="nil"/>
            </w:tcBorders>
            <w:noWrap w:val="0"/>
            <w:vAlign w:val="center"/>
          </w:tcPr>
          <w:p w14:paraId="15E914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999" w:type="pct"/>
            <w:tcBorders>
              <w:tl2br w:val="nil"/>
              <w:tr2bl w:val="nil"/>
            </w:tcBorders>
            <w:noWrap w:val="0"/>
            <w:vAlign w:val="center"/>
          </w:tcPr>
          <w:p w14:paraId="3F6D4A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合计（元）</w:t>
            </w:r>
          </w:p>
        </w:tc>
        <w:tc>
          <w:tcPr>
            <w:tcW w:w="538" w:type="pct"/>
            <w:tcBorders>
              <w:tl2br w:val="nil"/>
              <w:tr2bl w:val="nil"/>
            </w:tcBorders>
            <w:noWrap w:val="0"/>
            <w:vAlign w:val="center"/>
          </w:tcPr>
          <w:p w14:paraId="3375B7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538" w:type="pct"/>
            <w:tcBorders>
              <w:tl2br w:val="nil"/>
              <w:tr2bl w:val="nil"/>
            </w:tcBorders>
            <w:noWrap w:val="0"/>
            <w:vAlign w:val="center"/>
          </w:tcPr>
          <w:p w14:paraId="511EE4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c>
          <w:tcPr>
            <w:tcW w:w="2556" w:type="pct"/>
            <w:tcBorders>
              <w:tl2br w:val="nil"/>
              <w:tr2bl w:val="nil"/>
            </w:tcBorders>
            <w:noWrap w:val="0"/>
            <w:vAlign w:val="center"/>
          </w:tcPr>
          <w:p w14:paraId="73A3B13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宋体" w:eastAsia="仿宋_GB2312" w:cs="仿宋_GB2312"/>
                <w:i w:val="0"/>
                <w:iCs w:val="0"/>
                <w:color w:val="auto"/>
                <w:kern w:val="0"/>
                <w:sz w:val="21"/>
                <w:szCs w:val="21"/>
                <w:highlight w:val="none"/>
                <w:u w:val="none"/>
                <w:lang w:val="en-US" w:eastAsia="zh-CN" w:bidi="ar"/>
              </w:rPr>
            </w:pPr>
          </w:p>
        </w:tc>
      </w:tr>
    </w:tbl>
    <w:p w14:paraId="00379D69">
      <w:pPr>
        <w:widowControl w:val="0"/>
        <w:kinsoku/>
        <w:topLinePunct/>
        <w:autoSpaceDE/>
        <w:autoSpaceDN/>
        <w:spacing w:before="75" w:line="401" w:lineRule="auto"/>
        <w:rPr>
          <w:rFonts w:ascii="宋体" w:hAnsi="宋体" w:eastAsia="宋体" w:cs="宋体"/>
          <w:color w:val="auto"/>
          <w:sz w:val="23"/>
          <w:szCs w:val="23"/>
          <w:highlight w:val="none"/>
        </w:rPr>
      </w:pPr>
    </w:p>
    <w:p w14:paraId="4F741E84">
      <w:pPr>
        <w:widowControl w:val="0"/>
        <w:kinsoku/>
        <w:topLinePunct/>
        <w:autoSpaceDE/>
        <w:autoSpaceDN/>
        <w:spacing w:before="75" w:line="401" w:lineRule="auto"/>
        <w:rPr>
          <w:rFonts w:ascii="宋体" w:hAnsi="宋体" w:eastAsia="宋体" w:cs="宋体"/>
          <w:color w:val="auto"/>
          <w:sz w:val="23"/>
          <w:szCs w:val="23"/>
          <w:highlight w:val="none"/>
        </w:rPr>
      </w:pPr>
    </w:p>
    <w:p w14:paraId="47BBCD81">
      <w:pPr>
        <w:widowControl w:val="0"/>
        <w:kinsoku/>
        <w:topLinePunct/>
        <w:autoSpaceDE/>
        <w:autoSpaceDN/>
        <w:spacing w:before="75" w:line="401" w:lineRule="auto"/>
        <w:rPr>
          <w:rFonts w:ascii="宋体" w:hAnsi="宋体" w:eastAsia="宋体" w:cs="宋体"/>
          <w:color w:val="auto"/>
          <w:sz w:val="23"/>
          <w:szCs w:val="23"/>
          <w:highlight w:val="none"/>
        </w:rPr>
      </w:pPr>
    </w:p>
    <w:p w14:paraId="249224DF">
      <w:pPr>
        <w:widowControl w:val="0"/>
        <w:kinsoku/>
        <w:topLinePunct/>
        <w:autoSpaceDE/>
        <w:autoSpaceDN/>
        <w:spacing w:before="75" w:line="401" w:lineRule="auto"/>
        <w:rPr>
          <w:rFonts w:ascii="宋体" w:hAnsi="宋体" w:eastAsia="宋体" w:cs="宋体"/>
          <w:color w:val="auto"/>
          <w:sz w:val="23"/>
          <w:szCs w:val="23"/>
          <w:highlight w:val="none"/>
        </w:rPr>
      </w:pPr>
      <w:r>
        <w:rPr>
          <w:rFonts w:ascii="宋体" w:hAnsi="宋体" w:eastAsia="宋体" w:cs="宋体"/>
          <w:color w:val="auto"/>
          <w:sz w:val="23"/>
          <w:szCs w:val="23"/>
          <w:highlight w:val="none"/>
        </w:rPr>
        <w:t>投标人法定代表人</w:t>
      </w:r>
      <w:r>
        <w:rPr>
          <w:rFonts w:hint="eastAsia" w:ascii="宋体" w:hAnsi="宋体" w:eastAsia="宋体" w:cs="宋体"/>
          <w:color w:val="auto"/>
          <w:sz w:val="23"/>
          <w:szCs w:val="23"/>
          <w:highlight w:val="none"/>
        </w:rPr>
        <w:t>（</w:t>
      </w:r>
      <w:r>
        <w:rPr>
          <w:rFonts w:hint="eastAsia" w:ascii="宋体" w:hAnsi="宋体" w:eastAsia="宋体" w:cs="宋体"/>
          <w:color w:val="auto"/>
          <w:highlight w:val="none"/>
          <w:lang w:val="en-US" w:eastAsia="zh-CN"/>
        </w:rPr>
        <w:t>签名或签章</w:t>
      </w:r>
      <w:r>
        <w:rPr>
          <w:rFonts w:hint="eastAsia" w:ascii="宋体" w:hAnsi="宋体" w:eastAsia="宋体" w:cs="宋体"/>
          <w:color w:val="auto"/>
          <w:sz w:val="23"/>
          <w:szCs w:val="23"/>
          <w:highlight w:val="none"/>
        </w:rPr>
        <w:t>）</w:t>
      </w:r>
      <w:r>
        <w:rPr>
          <w:rFonts w:ascii="宋体" w:hAnsi="宋体" w:eastAsia="宋体" w:cs="宋体"/>
          <w:color w:val="auto"/>
          <w:sz w:val="23"/>
          <w:szCs w:val="23"/>
          <w:highlight w:val="none"/>
        </w:rPr>
        <w:t>：</w:t>
      </w:r>
    </w:p>
    <w:p w14:paraId="0BDD17C4">
      <w:pPr>
        <w:widowControl w:val="0"/>
        <w:kinsoku/>
        <w:topLinePunct/>
        <w:autoSpaceDE/>
        <w:autoSpaceDN/>
        <w:spacing w:before="75" w:line="401" w:lineRule="auto"/>
        <w:rPr>
          <w:rFonts w:ascii="宋体" w:hAnsi="宋体" w:eastAsia="宋体" w:cs="宋体"/>
          <w:color w:val="auto"/>
          <w:sz w:val="23"/>
          <w:szCs w:val="23"/>
          <w:highlight w:val="none"/>
        </w:rPr>
      </w:pPr>
      <w:r>
        <w:rPr>
          <w:rFonts w:ascii="宋体" w:hAnsi="宋体" w:eastAsia="宋体" w:cs="宋体"/>
          <w:color w:val="auto"/>
          <w:sz w:val="23"/>
          <w:szCs w:val="23"/>
          <w:highlight w:val="none"/>
        </w:rPr>
        <w:t>投标人名称</w:t>
      </w:r>
      <w:r>
        <w:rPr>
          <w:rFonts w:hint="eastAsia" w:ascii="宋体" w:hAnsi="宋体" w:eastAsia="宋体" w:cs="宋体"/>
          <w:color w:val="auto"/>
          <w:sz w:val="23"/>
          <w:szCs w:val="23"/>
          <w:highlight w:val="none"/>
        </w:rPr>
        <w:t>（</w:t>
      </w:r>
      <w:r>
        <w:rPr>
          <w:rFonts w:ascii="宋体" w:hAnsi="宋体" w:eastAsia="宋体" w:cs="宋体"/>
          <w:color w:val="auto"/>
          <w:sz w:val="23"/>
          <w:szCs w:val="23"/>
          <w:highlight w:val="none"/>
        </w:rPr>
        <w:t>电子签章</w:t>
      </w:r>
      <w:r>
        <w:rPr>
          <w:rFonts w:hint="eastAsia" w:ascii="宋体" w:hAnsi="宋体" w:eastAsia="宋体" w:cs="宋体"/>
          <w:color w:val="auto"/>
          <w:sz w:val="23"/>
          <w:szCs w:val="23"/>
          <w:highlight w:val="none"/>
        </w:rPr>
        <w:t>）</w:t>
      </w:r>
      <w:r>
        <w:rPr>
          <w:rFonts w:ascii="宋体" w:hAnsi="宋体" w:eastAsia="宋体" w:cs="宋体"/>
          <w:color w:val="auto"/>
          <w:sz w:val="23"/>
          <w:szCs w:val="23"/>
          <w:highlight w:val="none"/>
        </w:rPr>
        <w:t>：</w:t>
      </w:r>
    </w:p>
    <w:p w14:paraId="6F795DA8">
      <w:pPr>
        <w:widowControl w:val="0"/>
        <w:kinsoku/>
        <w:topLinePunct/>
        <w:autoSpaceDE/>
        <w:autoSpaceDN/>
        <w:spacing w:before="75" w:line="401" w:lineRule="auto"/>
        <w:rPr>
          <w:rFonts w:ascii="宋体" w:hAnsi="宋体" w:eastAsia="宋体" w:cs="宋体"/>
          <w:color w:val="auto"/>
          <w:sz w:val="23"/>
          <w:szCs w:val="23"/>
          <w:highlight w:val="none"/>
        </w:rPr>
      </w:pPr>
      <w:r>
        <w:rPr>
          <w:rFonts w:ascii="宋体" w:hAnsi="宋体" w:eastAsia="宋体" w:cs="宋体"/>
          <w:color w:val="auto"/>
          <w:sz w:val="23"/>
          <w:szCs w:val="23"/>
          <w:highlight w:val="none"/>
        </w:rPr>
        <w:t>日期：</w:t>
      </w:r>
      <w:r>
        <w:rPr>
          <w:rFonts w:hint="eastAsia" w:ascii="宋体" w:hAnsi="宋体" w:eastAsia="宋体" w:cs="宋体"/>
          <w:color w:val="auto"/>
          <w:sz w:val="23"/>
          <w:szCs w:val="23"/>
          <w:highlight w:val="none"/>
          <w:lang w:val="en-US" w:eastAsia="zh-CN"/>
        </w:rPr>
        <w:t xml:space="preserve">    </w:t>
      </w:r>
      <w:r>
        <w:rPr>
          <w:rFonts w:ascii="宋体" w:hAnsi="宋体" w:eastAsia="宋体" w:cs="宋体"/>
          <w:color w:val="auto"/>
          <w:sz w:val="23"/>
          <w:szCs w:val="23"/>
          <w:highlight w:val="none"/>
        </w:rPr>
        <w:t>年</w:t>
      </w:r>
      <w:r>
        <w:rPr>
          <w:rFonts w:hint="eastAsia" w:ascii="宋体" w:hAnsi="宋体" w:eastAsia="宋体" w:cs="宋体"/>
          <w:color w:val="auto"/>
          <w:sz w:val="23"/>
          <w:szCs w:val="23"/>
          <w:highlight w:val="none"/>
          <w:lang w:val="en-US" w:eastAsia="zh-CN"/>
        </w:rPr>
        <w:t xml:space="preserve">  </w:t>
      </w:r>
      <w:r>
        <w:rPr>
          <w:rFonts w:ascii="宋体" w:hAnsi="宋体" w:eastAsia="宋体" w:cs="宋体"/>
          <w:color w:val="auto"/>
          <w:sz w:val="23"/>
          <w:szCs w:val="23"/>
          <w:highlight w:val="none"/>
        </w:rPr>
        <w:t>月</w:t>
      </w:r>
      <w:r>
        <w:rPr>
          <w:rFonts w:hint="eastAsia" w:ascii="宋体" w:hAnsi="宋体" w:eastAsia="宋体" w:cs="宋体"/>
          <w:color w:val="auto"/>
          <w:sz w:val="23"/>
          <w:szCs w:val="23"/>
          <w:highlight w:val="none"/>
          <w:lang w:val="en-US" w:eastAsia="zh-CN"/>
        </w:rPr>
        <w:t xml:space="preserve">  </w:t>
      </w:r>
      <w:r>
        <w:rPr>
          <w:rFonts w:ascii="宋体" w:hAnsi="宋体" w:eastAsia="宋体" w:cs="宋体"/>
          <w:color w:val="auto"/>
          <w:sz w:val="23"/>
          <w:szCs w:val="23"/>
          <w:highlight w:val="none"/>
        </w:rPr>
        <w:t>日</w:t>
      </w:r>
    </w:p>
    <w:p w14:paraId="411D6D92">
      <w:pPr>
        <w:widowControl w:val="0"/>
        <w:kinsoku/>
        <w:topLinePunct/>
        <w:autoSpaceDE/>
        <w:autoSpaceDN/>
        <w:spacing w:before="75" w:line="401" w:lineRule="auto"/>
        <w:rPr>
          <w:rFonts w:ascii="宋体" w:hAnsi="宋体" w:eastAsia="宋体" w:cs="宋体"/>
          <w:color w:val="auto"/>
          <w:sz w:val="23"/>
          <w:szCs w:val="23"/>
          <w:highlight w:val="none"/>
        </w:rPr>
        <w:sectPr>
          <w:footerReference r:id="rId24" w:type="default"/>
          <w:pgSz w:w="11906" w:h="16839"/>
          <w:pgMar w:top="1247" w:right="1588" w:bottom="1247" w:left="1531" w:header="851" w:footer="851" w:gutter="0"/>
          <w:cols w:space="0" w:num="1"/>
        </w:sectPr>
      </w:pPr>
    </w:p>
    <w:p w14:paraId="349A81C7">
      <w:pPr>
        <w:widowControl w:val="0"/>
        <w:kinsoku/>
        <w:topLinePunct/>
        <w:autoSpaceDE/>
        <w:autoSpaceDN/>
        <w:spacing w:line="36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37" w:name="_bookmark73"/>
      <w:bookmarkEnd w:id="337"/>
      <w:bookmarkStart w:id="338" w:name="_bookmark74"/>
      <w:bookmarkEnd w:id="338"/>
      <w:bookmarkStart w:id="339" w:name="_Toc132754853"/>
      <w:bookmarkStart w:id="340" w:name="_Toc132755512"/>
      <w:bookmarkStart w:id="341" w:name="_Toc12543"/>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十四、售后服务承诺书</w:t>
      </w:r>
      <w:bookmarkEnd w:id="339"/>
      <w:bookmarkEnd w:id="340"/>
      <w:bookmarkEnd w:id="341"/>
    </w:p>
    <w:p w14:paraId="292A92E6">
      <w:pPr>
        <w:widowControl w:val="0"/>
        <w:kinsoku/>
        <w:topLinePunct/>
        <w:autoSpaceDE/>
        <w:autoSpaceDN/>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☆售后服务承诺书</w:t>
      </w:r>
    </w:p>
    <w:p w14:paraId="4239ED22">
      <w:pPr>
        <w:widowControl w:val="0"/>
        <w:kinsoku/>
        <w:topLinePunct/>
        <w:autoSpaceDE/>
        <w:autoSpaceDN/>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格式自拟。</w:t>
      </w:r>
    </w:p>
    <w:p w14:paraId="12D688ED">
      <w:pPr>
        <w:widowControl w:val="0"/>
        <w:kinsoku/>
        <w:topLinePunct/>
        <w:autoSpaceDE/>
        <w:autoSpaceDN/>
        <w:spacing w:line="360" w:lineRule="auto"/>
        <w:rPr>
          <w:rFonts w:asciiTheme="minorEastAsia" w:hAnsiTheme="minorEastAsia" w:eastAsiaTheme="minorEastAsia" w:cstheme="minorEastAsia"/>
          <w:color w:val="auto"/>
          <w:highlight w:val="none"/>
        </w:rPr>
        <w:sectPr>
          <w:footerReference r:id="rId25" w:type="default"/>
          <w:pgSz w:w="11906" w:h="16839"/>
          <w:pgMar w:top="1247" w:right="1588" w:bottom="1247" w:left="1531" w:header="851" w:footer="851" w:gutter="0"/>
          <w:cols w:space="0" w:num="1"/>
        </w:sectPr>
      </w:pPr>
    </w:p>
    <w:p w14:paraId="3142F52F">
      <w:pPr>
        <w:widowControl w:val="0"/>
        <w:kinsoku/>
        <w:topLinePunct/>
        <w:autoSpaceDE/>
        <w:autoSpaceDN/>
        <w:spacing w:line="36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42" w:name="_bookmark75"/>
      <w:bookmarkEnd w:id="342"/>
      <w:bookmarkStart w:id="343" w:name="_Toc132754854"/>
      <w:bookmarkStart w:id="344" w:name="_Toc7031"/>
      <w:bookmarkStart w:id="345" w:name="_Toc132755513"/>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十五、商务条款偏离说明表</w:t>
      </w:r>
      <w:bookmarkEnd w:id="343"/>
      <w:bookmarkEnd w:id="344"/>
      <w:bookmarkEnd w:id="345"/>
    </w:p>
    <w:p w14:paraId="10195EBB">
      <w:pPr>
        <w:widowControl w:val="0"/>
        <w:kinsoku/>
        <w:topLinePunct/>
        <w:autoSpaceDE/>
        <w:autoSpaceDN/>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商务条款偏离说明表</w:t>
      </w:r>
    </w:p>
    <w:p w14:paraId="24CDB6B1">
      <w:pPr>
        <w:widowControl w:val="0"/>
        <w:kinsoku/>
        <w:topLinePunct/>
        <w:autoSpaceDE/>
        <w:autoSpaceDN/>
        <w:spacing w:line="480" w:lineRule="auto"/>
        <w:jc w:val="center"/>
        <w:rPr>
          <w:rFonts w:ascii="楷体" w:hAnsi="楷体" w:eastAsia="楷体" w:cs="楷体"/>
          <w:b/>
          <w:bCs/>
          <w:color w:val="auto"/>
          <w:highlight w:val="none"/>
        </w:rPr>
      </w:pPr>
      <w:r>
        <w:rPr>
          <w:rFonts w:ascii="楷体" w:hAnsi="楷体" w:eastAsia="楷体" w:cs="楷体"/>
          <w:b/>
          <w:bCs/>
          <w:color w:val="auto"/>
          <w:highlight w:val="none"/>
        </w:rPr>
        <w:t>商务条款偏离表</w:t>
      </w:r>
    </w:p>
    <w:p w14:paraId="5D915C6C">
      <w:pPr>
        <w:widowControl w:val="0"/>
        <w:tabs>
          <w:tab w:val="left" w:pos="5100"/>
        </w:tabs>
        <w:kinsoku/>
        <w:topLinePunct/>
        <w:autoSpaceDE/>
        <w:autoSpaceDN/>
        <w:spacing w:line="360" w:lineRule="auto"/>
        <w:rPr>
          <w:rFonts w:ascii="仿宋_GB2312" w:hAnsi="宋体" w:eastAsia="仿宋_GB2312" w:cs="宋体"/>
          <w:bCs/>
          <w:color w:val="auto"/>
          <w:highlight w:val="none"/>
        </w:rPr>
      </w:pPr>
      <w:r>
        <w:rPr>
          <w:rFonts w:hint="eastAsia" w:ascii="仿宋_GB2312" w:hAnsi="宋体" w:eastAsia="仿宋_GB2312" w:cs="宋体"/>
          <w:bCs/>
          <w:color w:val="auto"/>
          <w:highlight w:val="none"/>
        </w:rPr>
        <w:t>项目名称：</w:t>
      </w:r>
    </w:p>
    <w:p w14:paraId="41A2659D">
      <w:pPr>
        <w:widowControl w:val="0"/>
        <w:tabs>
          <w:tab w:val="left" w:pos="5100"/>
        </w:tabs>
        <w:kinsoku/>
        <w:topLinePunct/>
        <w:autoSpaceDE/>
        <w:autoSpaceDN/>
        <w:spacing w:line="360" w:lineRule="auto"/>
        <w:rPr>
          <w:rFonts w:ascii="仿宋_GB2312" w:hAnsi="宋体" w:eastAsia="仿宋_GB2312" w:cs="宋体"/>
          <w:bCs/>
          <w:color w:val="auto"/>
          <w:highlight w:val="none"/>
        </w:rPr>
      </w:pPr>
      <w:r>
        <w:rPr>
          <w:rFonts w:hint="eastAsia" w:ascii="仿宋_GB2312" w:hAnsi="宋体" w:eastAsia="仿宋_GB2312" w:cs="宋体"/>
          <w:bCs/>
          <w:color w:val="auto"/>
          <w:highlight w:val="none"/>
        </w:rPr>
        <w:t>招标编号：</w:t>
      </w:r>
    </w:p>
    <w:tbl>
      <w:tblPr>
        <w:tblStyle w:val="20"/>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602"/>
        <w:gridCol w:w="2458"/>
        <w:gridCol w:w="2885"/>
        <w:gridCol w:w="2018"/>
      </w:tblGrid>
      <w:tr w14:paraId="4D706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0EA99F10">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rPr>
              <w:t>序号</w:t>
            </w:r>
          </w:p>
        </w:tc>
        <w:tc>
          <w:tcPr>
            <w:tcW w:w="1602" w:type="dxa"/>
            <w:tcBorders>
              <w:top w:val="single" w:color="000000" w:sz="4" w:space="0"/>
              <w:left w:val="single" w:color="000000" w:sz="4" w:space="0"/>
              <w:bottom w:val="single" w:color="000000" w:sz="4" w:space="0"/>
              <w:right w:val="single" w:color="000000" w:sz="4" w:space="0"/>
            </w:tcBorders>
            <w:vAlign w:val="center"/>
          </w:tcPr>
          <w:p w14:paraId="4253D53A">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rPr>
              <w:t>招标文件</w:t>
            </w:r>
          </w:p>
          <w:p w14:paraId="48B8B011">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rPr>
              <w:t>条目号</w:t>
            </w:r>
          </w:p>
        </w:tc>
        <w:tc>
          <w:tcPr>
            <w:tcW w:w="2458" w:type="dxa"/>
            <w:tcBorders>
              <w:top w:val="single" w:color="000000" w:sz="4" w:space="0"/>
              <w:left w:val="single" w:color="000000" w:sz="4" w:space="0"/>
              <w:bottom w:val="single" w:color="000000" w:sz="4" w:space="0"/>
              <w:right w:val="single" w:color="000000" w:sz="4" w:space="0"/>
            </w:tcBorders>
            <w:vAlign w:val="center"/>
          </w:tcPr>
          <w:p w14:paraId="565CD0D5">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rPr>
              <w:t>招标文件的商务条款</w:t>
            </w:r>
          </w:p>
        </w:tc>
        <w:tc>
          <w:tcPr>
            <w:tcW w:w="2885" w:type="dxa"/>
            <w:tcBorders>
              <w:top w:val="single" w:color="000000" w:sz="4" w:space="0"/>
              <w:left w:val="single" w:color="000000" w:sz="4" w:space="0"/>
              <w:bottom w:val="single" w:color="000000" w:sz="4" w:space="0"/>
              <w:right w:val="single" w:color="000000" w:sz="4" w:space="0"/>
            </w:tcBorders>
            <w:vAlign w:val="center"/>
          </w:tcPr>
          <w:p w14:paraId="4577D060">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rPr>
              <w:t>投标文件的商务条款</w:t>
            </w:r>
          </w:p>
        </w:tc>
        <w:tc>
          <w:tcPr>
            <w:tcW w:w="2018" w:type="dxa"/>
            <w:tcBorders>
              <w:top w:val="single" w:color="000000" w:sz="4" w:space="0"/>
              <w:left w:val="single" w:color="000000" w:sz="4" w:space="0"/>
              <w:bottom w:val="single" w:color="000000" w:sz="4" w:space="0"/>
              <w:right w:val="single" w:color="000000" w:sz="4" w:space="0"/>
            </w:tcBorders>
            <w:vAlign w:val="center"/>
          </w:tcPr>
          <w:p w14:paraId="17BD7C94">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lang w:val="en-US" w:eastAsia="zh-CN"/>
              </w:rPr>
              <w:t>偏离情况</w:t>
            </w:r>
            <w:r>
              <w:rPr>
                <w:rFonts w:hint="eastAsia" w:ascii="仿宋_GB2312" w:hAnsi="宋体" w:eastAsia="仿宋_GB2312"/>
                <w:color w:val="auto"/>
                <w:highlight w:val="none"/>
              </w:rPr>
              <w:t>说明</w:t>
            </w:r>
          </w:p>
        </w:tc>
      </w:tr>
      <w:tr w14:paraId="41E33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7071D3C3">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rPr>
              <w:t>1</w:t>
            </w:r>
          </w:p>
        </w:tc>
        <w:tc>
          <w:tcPr>
            <w:tcW w:w="1602" w:type="dxa"/>
            <w:tcBorders>
              <w:top w:val="single" w:color="000000" w:sz="4" w:space="0"/>
              <w:left w:val="single" w:color="000000" w:sz="4" w:space="0"/>
              <w:bottom w:val="single" w:color="000000" w:sz="4" w:space="0"/>
              <w:right w:val="single" w:color="000000" w:sz="4" w:space="0"/>
            </w:tcBorders>
            <w:vAlign w:val="center"/>
          </w:tcPr>
          <w:p w14:paraId="6526B51D">
            <w:pPr>
              <w:widowControl w:val="0"/>
              <w:kinsoku/>
              <w:topLinePunct/>
              <w:autoSpaceDE/>
              <w:autoSpaceDN/>
              <w:jc w:val="center"/>
              <w:rPr>
                <w:rFonts w:ascii="仿宋_GB2312" w:hAnsi="宋体" w:eastAsia="仿宋_GB2312"/>
                <w:color w:val="auto"/>
                <w:highlight w:val="none"/>
              </w:rPr>
            </w:pPr>
          </w:p>
        </w:tc>
        <w:tc>
          <w:tcPr>
            <w:tcW w:w="2458" w:type="dxa"/>
            <w:tcBorders>
              <w:top w:val="single" w:color="000000" w:sz="4" w:space="0"/>
              <w:left w:val="single" w:color="000000" w:sz="4" w:space="0"/>
              <w:bottom w:val="single" w:color="000000" w:sz="4" w:space="0"/>
              <w:right w:val="single" w:color="000000" w:sz="4" w:space="0"/>
            </w:tcBorders>
            <w:vAlign w:val="center"/>
          </w:tcPr>
          <w:p w14:paraId="0ECB89D9">
            <w:pPr>
              <w:widowControl w:val="0"/>
              <w:kinsoku/>
              <w:topLinePunct/>
              <w:autoSpaceDE/>
              <w:autoSpaceDN/>
              <w:jc w:val="center"/>
              <w:rPr>
                <w:rFonts w:hint="default" w:ascii="仿宋_GB2312" w:hAnsi="宋体" w:eastAsia="仿宋_GB2312"/>
                <w:color w:val="auto"/>
                <w:highlight w:val="none"/>
                <w:lang w:val="en-US" w:eastAsia="zh-CN"/>
              </w:rPr>
            </w:pPr>
          </w:p>
        </w:tc>
        <w:tc>
          <w:tcPr>
            <w:tcW w:w="2885" w:type="dxa"/>
            <w:tcBorders>
              <w:top w:val="single" w:color="000000" w:sz="4" w:space="0"/>
              <w:left w:val="single" w:color="000000" w:sz="4" w:space="0"/>
              <w:bottom w:val="single" w:color="000000" w:sz="4" w:space="0"/>
              <w:right w:val="single" w:color="000000" w:sz="4" w:space="0"/>
            </w:tcBorders>
            <w:vAlign w:val="center"/>
          </w:tcPr>
          <w:p w14:paraId="512CFAEF">
            <w:pPr>
              <w:widowControl w:val="0"/>
              <w:kinsoku/>
              <w:topLinePunct/>
              <w:autoSpaceDE/>
              <w:autoSpaceDN/>
              <w:jc w:val="center"/>
              <w:rPr>
                <w:rFonts w:ascii="仿宋_GB2312" w:hAnsi="宋体" w:eastAsia="仿宋_GB2312"/>
                <w:color w:val="auto"/>
                <w:highlight w:val="none"/>
              </w:rPr>
            </w:pPr>
          </w:p>
        </w:tc>
        <w:tc>
          <w:tcPr>
            <w:tcW w:w="2018" w:type="dxa"/>
            <w:tcBorders>
              <w:top w:val="single" w:color="000000" w:sz="4" w:space="0"/>
              <w:left w:val="single" w:color="000000" w:sz="4" w:space="0"/>
              <w:bottom w:val="single" w:color="000000" w:sz="4" w:space="0"/>
              <w:right w:val="single" w:color="000000" w:sz="4" w:space="0"/>
            </w:tcBorders>
            <w:vAlign w:val="center"/>
          </w:tcPr>
          <w:p w14:paraId="2D97CC75">
            <w:pPr>
              <w:widowControl w:val="0"/>
              <w:kinsoku/>
              <w:topLinePunct/>
              <w:autoSpaceDE/>
              <w:autoSpaceDN/>
              <w:jc w:val="center"/>
              <w:rPr>
                <w:rFonts w:ascii="仿宋_GB2312" w:hAnsi="宋体" w:eastAsia="仿宋_GB2312"/>
                <w:color w:val="auto"/>
                <w:highlight w:val="none"/>
              </w:rPr>
            </w:pPr>
          </w:p>
        </w:tc>
      </w:tr>
      <w:tr w14:paraId="2C51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7CADC380">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rPr>
              <w:t>2</w:t>
            </w:r>
          </w:p>
        </w:tc>
        <w:tc>
          <w:tcPr>
            <w:tcW w:w="1602" w:type="dxa"/>
            <w:tcBorders>
              <w:top w:val="single" w:color="000000" w:sz="4" w:space="0"/>
              <w:left w:val="single" w:color="000000" w:sz="4" w:space="0"/>
              <w:bottom w:val="single" w:color="000000" w:sz="4" w:space="0"/>
              <w:right w:val="single" w:color="000000" w:sz="4" w:space="0"/>
            </w:tcBorders>
            <w:vAlign w:val="center"/>
          </w:tcPr>
          <w:p w14:paraId="154F114F">
            <w:pPr>
              <w:widowControl w:val="0"/>
              <w:kinsoku/>
              <w:topLinePunct/>
              <w:autoSpaceDE/>
              <w:autoSpaceDN/>
              <w:jc w:val="center"/>
              <w:rPr>
                <w:rFonts w:ascii="仿宋_GB2312" w:hAnsi="宋体" w:eastAsia="仿宋_GB2312"/>
                <w:color w:val="auto"/>
                <w:highlight w:val="none"/>
              </w:rPr>
            </w:pPr>
          </w:p>
        </w:tc>
        <w:tc>
          <w:tcPr>
            <w:tcW w:w="2458" w:type="dxa"/>
            <w:tcBorders>
              <w:top w:val="single" w:color="000000" w:sz="4" w:space="0"/>
              <w:left w:val="single" w:color="000000" w:sz="4" w:space="0"/>
              <w:bottom w:val="single" w:color="000000" w:sz="4" w:space="0"/>
              <w:right w:val="single" w:color="000000" w:sz="4" w:space="0"/>
            </w:tcBorders>
            <w:vAlign w:val="center"/>
          </w:tcPr>
          <w:p w14:paraId="179F4DC3">
            <w:pPr>
              <w:widowControl w:val="0"/>
              <w:kinsoku/>
              <w:topLinePunct/>
              <w:autoSpaceDE/>
              <w:autoSpaceDN/>
              <w:jc w:val="center"/>
              <w:rPr>
                <w:rFonts w:ascii="仿宋_GB2312" w:hAnsi="宋体" w:eastAsia="仿宋_GB2312"/>
                <w:color w:val="auto"/>
                <w:highlight w:val="none"/>
              </w:rPr>
            </w:pPr>
          </w:p>
        </w:tc>
        <w:tc>
          <w:tcPr>
            <w:tcW w:w="2885" w:type="dxa"/>
            <w:tcBorders>
              <w:top w:val="single" w:color="000000" w:sz="4" w:space="0"/>
              <w:left w:val="single" w:color="000000" w:sz="4" w:space="0"/>
              <w:bottom w:val="single" w:color="000000" w:sz="4" w:space="0"/>
              <w:right w:val="single" w:color="000000" w:sz="4" w:space="0"/>
            </w:tcBorders>
            <w:vAlign w:val="center"/>
          </w:tcPr>
          <w:p w14:paraId="61B331D8">
            <w:pPr>
              <w:widowControl w:val="0"/>
              <w:kinsoku/>
              <w:topLinePunct/>
              <w:autoSpaceDE/>
              <w:autoSpaceDN/>
              <w:jc w:val="center"/>
              <w:rPr>
                <w:rFonts w:ascii="仿宋_GB2312" w:hAnsi="宋体" w:eastAsia="仿宋_GB2312"/>
                <w:color w:val="auto"/>
                <w:highlight w:val="none"/>
              </w:rPr>
            </w:pPr>
          </w:p>
        </w:tc>
        <w:tc>
          <w:tcPr>
            <w:tcW w:w="2018" w:type="dxa"/>
            <w:tcBorders>
              <w:top w:val="single" w:color="000000" w:sz="4" w:space="0"/>
              <w:left w:val="single" w:color="000000" w:sz="4" w:space="0"/>
              <w:bottom w:val="single" w:color="000000" w:sz="4" w:space="0"/>
              <w:right w:val="single" w:color="000000" w:sz="4" w:space="0"/>
            </w:tcBorders>
            <w:vAlign w:val="center"/>
          </w:tcPr>
          <w:p w14:paraId="0ADF9763">
            <w:pPr>
              <w:widowControl w:val="0"/>
              <w:kinsoku/>
              <w:topLinePunct/>
              <w:autoSpaceDE/>
              <w:autoSpaceDN/>
              <w:jc w:val="center"/>
              <w:rPr>
                <w:rFonts w:ascii="仿宋_GB2312" w:hAnsi="宋体" w:eastAsia="仿宋_GB2312"/>
                <w:color w:val="auto"/>
                <w:highlight w:val="none"/>
              </w:rPr>
            </w:pPr>
          </w:p>
        </w:tc>
      </w:tr>
      <w:tr w14:paraId="46FB7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246FED56">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rPr>
              <w:t>3</w:t>
            </w:r>
          </w:p>
        </w:tc>
        <w:tc>
          <w:tcPr>
            <w:tcW w:w="1602" w:type="dxa"/>
            <w:tcBorders>
              <w:top w:val="single" w:color="000000" w:sz="4" w:space="0"/>
              <w:left w:val="single" w:color="000000" w:sz="4" w:space="0"/>
              <w:bottom w:val="single" w:color="000000" w:sz="4" w:space="0"/>
              <w:right w:val="single" w:color="000000" w:sz="4" w:space="0"/>
            </w:tcBorders>
            <w:vAlign w:val="center"/>
          </w:tcPr>
          <w:p w14:paraId="35B0171D">
            <w:pPr>
              <w:widowControl w:val="0"/>
              <w:kinsoku/>
              <w:topLinePunct/>
              <w:autoSpaceDE/>
              <w:autoSpaceDN/>
              <w:jc w:val="center"/>
              <w:rPr>
                <w:rFonts w:ascii="仿宋_GB2312" w:hAnsi="宋体" w:eastAsia="仿宋_GB2312"/>
                <w:color w:val="auto"/>
                <w:highlight w:val="none"/>
              </w:rPr>
            </w:pPr>
          </w:p>
        </w:tc>
        <w:tc>
          <w:tcPr>
            <w:tcW w:w="2458" w:type="dxa"/>
            <w:tcBorders>
              <w:top w:val="single" w:color="000000" w:sz="4" w:space="0"/>
              <w:left w:val="single" w:color="000000" w:sz="4" w:space="0"/>
              <w:bottom w:val="single" w:color="000000" w:sz="4" w:space="0"/>
              <w:right w:val="single" w:color="000000" w:sz="4" w:space="0"/>
            </w:tcBorders>
            <w:vAlign w:val="center"/>
          </w:tcPr>
          <w:p w14:paraId="6DBD5581">
            <w:pPr>
              <w:widowControl w:val="0"/>
              <w:kinsoku/>
              <w:topLinePunct/>
              <w:autoSpaceDE/>
              <w:autoSpaceDN/>
              <w:jc w:val="center"/>
              <w:rPr>
                <w:rFonts w:ascii="仿宋_GB2312" w:hAnsi="宋体" w:eastAsia="仿宋_GB2312"/>
                <w:color w:val="auto"/>
                <w:highlight w:val="none"/>
              </w:rPr>
            </w:pPr>
          </w:p>
        </w:tc>
        <w:tc>
          <w:tcPr>
            <w:tcW w:w="2885" w:type="dxa"/>
            <w:tcBorders>
              <w:top w:val="single" w:color="000000" w:sz="4" w:space="0"/>
              <w:left w:val="single" w:color="000000" w:sz="4" w:space="0"/>
              <w:bottom w:val="single" w:color="000000" w:sz="4" w:space="0"/>
              <w:right w:val="single" w:color="000000" w:sz="4" w:space="0"/>
            </w:tcBorders>
            <w:vAlign w:val="center"/>
          </w:tcPr>
          <w:p w14:paraId="16486C1A">
            <w:pPr>
              <w:widowControl w:val="0"/>
              <w:kinsoku/>
              <w:topLinePunct/>
              <w:autoSpaceDE/>
              <w:autoSpaceDN/>
              <w:jc w:val="center"/>
              <w:rPr>
                <w:rFonts w:ascii="仿宋_GB2312" w:hAnsi="宋体" w:eastAsia="仿宋_GB2312"/>
                <w:color w:val="auto"/>
                <w:highlight w:val="none"/>
              </w:rPr>
            </w:pPr>
          </w:p>
        </w:tc>
        <w:tc>
          <w:tcPr>
            <w:tcW w:w="2018" w:type="dxa"/>
            <w:tcBorders>
              <w:top w:val="single" w:color="000000" w:sz="4" w:space="0"/>
              <w:left w:val="single" w:color="000000" w:sz="4" w:space="0"/>
              <w:bottom w:val="single" w:color="000000" w:sz="4" w:space="0"/>
              <w:right w:val="single" w:color="000000" w:sz="4" w:space="0"/>
            </w:tcBorders>
            <w:vAlign w:val="center"/>
          </w:tcPr>
          <w:p w14:paraId="60B2BBF4">
            <w:pPr>
              <w:widowControl w:val="0"/>
              <w:kinsoku/>
              <w:topLinePunct/>
              <w:autoSpaceDE/>
              <w:autoSpaceDN/>
              <w:jc w:val="center"/>
              <w:rPr>
                <w:rFonts w:ascii="仿宋_GB2312" w:hAnsi="宋体" w:eastAsia="仿宋_GB2312"/>
                <w:color w:val="auto"/>
                <w:highlight w:val="none"/>
              </w:rPr>
            </w:pPr>
          </w:p>
        </w:tc>
      </w:tr>
      <w:tr w14:paraId="5697D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66B0F78E">
            <w:pPr>
              <w:widowControl w:val="0"/>
              <w:kinsoku/>
              <w:topLinePunct/>
              <w:autoSpaceDE/>
              <w:autoSpaceDN/>
              <w:jc w:val="center"/>
              <w:rPr>
                <w:rFonts w:ascii="仿宋_GB2312" w:hAnsi="宋体" w:eastAsia="仿宋_GB2312"/>
                <w:color w:val="auto"/>
                <w:highlight w:val="none"/>
              </w:rPr>
            </w:pPr>
            <w:r>
              <w:rPr>
                <w:rFonts w:hint="eastAsia" w:ascii="仿宋_GB2312" w:hAnsi="宋体" w:eastAsia="仿宋_GB2312"/>
                <w:color w:val="auto"/>
                <w:highlight w:val="none"/>
              </w:rPr>
              <w:t>…</w:t>
            </w:r>
          </w:p>
        </w:tc>
        <w:tc>
          <w:tcPr>
            <w:tcW w:w="1602" w:type="dxa"/>
            <w:tcBorders>
              <w:top w:val="single" w:color="000000" w:sz="4" w:space="0"/>
              <w:left w:val="single" w:color="000000" w:sz="4" w:space="0"/>
              <w:bottom w:val="single" w:color="000000" w:sz="4" w:space="0"/>
              <w:right w:val="single" w:color="000000" w:sz="4" w:space="0"/>
            </w:tcBorders>
            <w:vAlign w:val="center"/>
          </w:tcPr>
          <w:p w14:paraId="1C45043C">
            <w:pPr>
              <w:widowControl w:val="0"/>
              <w:kinsoku/>
              <w:topLinePunct/>
              <w:autoSpaceDE/>
              <w:autoSpaceDN/>
              <w:jc w:val="center"/>
              <w:rPr>
                <w:rFonts w:ascii="仿宋_GB2312" w:hAnsi="宋体" w:eastAsia="仿宋_GB2312"/>
                <w:color w:val="auto"/>
                <w:highlight w:val="none"/>
              </w:rPr>
            </w:pPr>
          </w:p>
        </w:tc>
        <w:tc>
          <w:tcPr>
            <w:tcW w:w="2458" w:type="dxa"/>
            <w:tcBorders>
              <w:top w:val="single" w:color="000000" w:sz="4" w:space="0"/>
              <w:left w:val="single" w:color="000000" w:sz="4" w:space="0"/>
              <w:bottom w:val="single" w:color="000000" w:sz="4" w:space="0"/>
              <w:right w:val="single" w:color="000000" w:sz="4" w:space="0"/>
            </w:tcBorders>
            <w:vAlign w:val="center"/>
          </w:tcPr>
          <w:p w14:paraId="77A199EF">
            <w:pPr>
              <w:widowControl w:val="0"/>
              <w:kinsoku/>
              <w:topLinePunct/>
              <w:autoSpaceDE/>
              <w:autoSpaceDN/>
              <w:jc w:val="center"/>
              <w:rPr>
                <w:rFonts w:ascii="仿宋_GB2312" w:hAnsi="宋体" w:eastAsia="仿宋_GB2312"/>
                <w:color w:val="auto"/>
                <w:highlight w:val="none"/>
              </w:rPr>
            </w:pPr>
          </w:p>
        </w:tc>
        <w:tc>
          <w:tcPr>
            <w:tcW w:w="2885" w:type="dxa"/>
            <w:tcBorders>
              <w:top w:val="single" w:color="000000" w:sz="4" w:space="0"/>
              <w:left w:val="single" w:color="000000" w:sz="4" w:space="0"/>
              <w:bottom w:val="single" w:color="000000" w:sz="4" w:space="0"/>
              <w:right w:val="single" w:color="000000" w:sz="4" w:space="0"/>
            </w:tcBorders>
            <w:vAlign w:val="center"/>
          </w:tcPr>
          <w:p w14:paraId="53FBB71E">
            <w:pPr>
              <w:widowControl w:val="0"/>
              <w:kinsoku/>
              <w:topLinePunct/>
              <w:autoSpaceDE/>
              <w:autoSpaceDN/>
              <w:jc w:val="center"/>
              <w:rPr>
                <w:rFonts w:ascii="仿宋_GB2312" w:hAnsi="宋体" w:eastAsia="仿宋_GB2312"/>
                <w:color w:val="auto"/>
                <w:highlight w:val="none"/>
              </w:rPr>
            </w:pPr>
          </w:p>
        </w:tc>
        <w:tc>
          <w:tcPr>
            <w:tcW w:w="2018" w:type="dxa"/>
            <w:tcBorders>
              <w:top w:val="single" w:color="000000" w:sz="4" w:space="0"/>
              <w:left w:val="single" w:color="000000" w:sz="4" w:space="0"/>
              <w:bottom w:val="single" w:color="000000" w:sz="4" w:space="0"/>
              <w:right w:val="single" w:color="000000" w:sz="4" w:space="0"/>
            </w:tcBorders>
            <w:vAlign w:val="center"/>
          </w:tcPr>
          <w:p w14:paraId="786A2263">
            <w:pPr>
              <w:widowControl w:val="0"/>
              <w:kinsoku/>
              <w:topLinePunct/>
              <w:autoSpaceDE/>
              <w:autoSpaceDN/>
              <w:jc w:val="center"/>
              <w:rPr>
                <w:rFonts w:ascii="仿宋_GB2312" w:hAnsi="宋体" w:eastAsia="仿宋_GB2312"/>
                <w:color w:val="auto"/>
                <w:highlight w:val="none"/>
              </w:rPr>
            </w:pPr>
          </w:p>
        </w:tc>
      </w:tr>
    </w:tbl>
    <w:p w14:paraId="4BA083D8">
      <w:pPr>
        <w:widowControl w:val="0"/>
        <w:tabs>
          <w:tab w:val="left" w:pos="750"/>
        </w:tabs>
        <w:kinsoku/>
        <w:topLinePunct/>
        <w:autoSpaceDE/>
        <w:autoSpaceDN/>
        <w:spacing w:line="500" w:lineRule="exact"/>
        <w:rPr>
          <w:rFonts w:hint="default" w:ascii="仿宋_GB2312" w:hAnsi="宋体" w:eastAsia="仿宋_GB2312"/>
          <w:color w:val="auto"/>
          <w:highlight w:val="none"/>
          <w:lang w:val="en-US" w:eastAsia="zh-CN"/>
        </w:rPr>
      </w:pPr>
      <w:r>
        <w:rPr>
          <w:rFonts w:hint="eastAsia" w:ascii="仿宋_GB2312" w:hAnsi="宋体" w:eastAsia="仿宋_GB2312"/>
          <w:color w:val="auto"/>
          <w:highlight w:val="none"/>
          <w:lang w:val="en-US" w:eastAsia="zh-CN"/>
        </w:rPr>
        <w:t>如无偏离请写“无偏离”，如有偏离请写明正负偏离及偏离情况说明。</w:t>
      </w:r>
    </w:p>
    <w:p w14:paraId="754E80D3">
      <w:pPr>
        <w:widowControl w:val="0"/>
        <w:tabs>
          <w:tab w:val="left" w:pos="750"/>
        </w:tabs>
        <w:kinsoku/>
        <w:topLinePunct/>
        <w:autoSpaceDE/>
        <w:autoSpaceDN/>
        <w:spacing w:line="500" w:lineRule="exact"/>
        <w:rPr>
          <w:rFonts w:hint="default" w:ascii="仿宋_GB2312" w:hAnsi="宋体" w:eastAsia="仿宋_GB2312"/>
          <w:color w:val="auto"/>
          <w:highlight w:val="none"/>
          <w:lang w:val="en-US"/>
        </w:rPr>
      </w:pPr>
      <w:r>
        <w:rPr>
          <w:rFonts w:hint="eastAsia" w:ascii="仿宋_GB2312" w:hAnsi="宋体" w:eastAsia="仿宋_GB2312"/>
          <w:color w:val="auto"/>
          <w:highlight w:val="none"/>
          <w:lang w:val="en-US" w:eastAsia="zh-CN"/>
        </w:rPr>
        <w:t>如：投标有效期、投标保证金、履约保证金等。</w:t>
      </w:r>
    </w:p>
    <w:p w14:paraId="14D6F4F9">
      <w:pPr>
        <w:widowControl w:val="0"/>
        <w:tabs>
          <w:tab w:val="left" w:pos="750"/>
        </w:tabs>
        <w:kinsoku/>
        <w:topLinePunct/>
        <w:autoSpaceDE/>
        <w:autoSpaceDN/>
        <w:spacing w:line="500" w:lineRule="exact"/>
        <w:rPr>
          <w:rFonts w:ascii="仿宋_GB2312" w:hAnsi="宋体" w:eastAsia="仿宋_GB2312"/>
          <w:color w:val="auto"/>
          <w:highlight w:val="none"/>
        </w:rPr>
      </w:pPr>
    </w:p>
    <w:p w14:paraId="736B122C">
      <w:pPr>
        <w:widowControl w:val="0"/>
        <w:tabs>
          <w:tab w:val="left" w:pos="750"/>
        </w:tabs>
        <w:kinsoku/>
        <w:topLinePunct/>
        <w:autoSpaceDE/>
        <w:autoSpaceDN/>
        <w:spacing w:line="420" w:lineRule="auto"/>
        <w:ind w:firstLine="1260" w:firstLineChars="600"/>
        <w:rPr>
          <w:rFonts w:ascii="仿宋_GB2312" w:hAnsi="宋体" w:eastAsia="仿宋_GB2312"/>
          <w:color w:val="auto"/>
          <w:highlight w:val="none"/>
        </w:rPr>
      </w:pPr>
      <w:r>
        <w:rPr>
          <w:rFonts w:hint="eastAsia" w:ascii="仿宋_GB2312" w:hAnsi="宋体" w:eastAsia="仿宋_GB2312"/>
          <w:color w:val="auto"/>
          <w:highlight w:val="none"/>
        </w:rPr>
        <w:t>投标人名称（电子签章）：</w:t>
      </w:r>
      <w:r>
        <w:rPr>
          <w:rFonts w:hint="eastAsia" w:ascii="仿宋_GB2312" w:hAnsi="宋体" w:eastAsia="仿宋_GB2312"/>
          <w:color w:val="auto"/>
          <w:highlight w:val="none"/>
          <w:u w:val="single"/>
        </w:rPr>
        <w:t xml:space="preserve">           </w:t>
      </w:r>
    </w:p>
    <w:p w14:paraId="7CA2077F">
      <w:pPr>
        <w:widowControl w:val="0"/>
        <w:tabs>
          <w:tab w:val="left" w:pos="750"/>
        </w:tabs>
        <w:kinsoku/>
        <w:topLinePunct/>
        <w:autoSpaceDE/>
        <w:autoSpaceDN/>
        <w:spacing w:line="420" w:lineRule="auto"/>
        <w:ind w:firstLine="1260" w:firstLineChars="600"/>
        <w:rPr>
          <w:rFonts w:ascii="仿宋_GB2312" w:hAnsi="宋体" w:eastAsia="仿宋_GB2312"/>
          <w:color w:val="auto"/>
          <w:highlight w:val="none"/>
        </w:rPr>
      </w:pPr>
      <w:r>
        <w:rPr>
          <w:rFonts w:hint="eastAsia" w:ascii="仿宋_GB2312" w:hAnsi="宋体" w:eastAsia="仿宋_GB2312"/>
          <w:color w:val="auto"/>
          <w:highlight w:val="none"/>
        </w:rPr>
        <w:t>法定代表人（</w:t>
      </w:r>
      <w:r>
        <w:rPr>
          <w:rFonts w:hint="eastAsia" w:ascii="仿宋_GB2312" w:hAnsi="宋体" w:eastAsia="仿宋_GB2312"/>
          <w:color w:val="auto"/>
          <w:highlight w:val="none"/>
          <w:lang w:val="en-US" w:eastAsia="zh-CN"/>
        </w:rPr>
        <w:t>签名或签章</w:t>
      </w:r>
      <w:r>
        <w:rPr>
          <w:rFonts w:hint="eastAsia" w:ascii="仿宋_GB2312" w:hAnsi="宋体" w:eastAsia="仿宋_GB2312"/>
          <w:color w:val="auto"/>
          <w:highlight w:val="none"/>
        </w:rPr>
        <w:t>）：</w:t>
      </w:r>
      <w:r>
        <w:rPr>
          <w:rFonts w:hint="eastAsia" w:ascii="仿宋_GB2312" w:hAnsi="宋体" w:eastAsia="仿宋_GB2312"/>
          <w:color w:val="auto"/>
          <w:highlight w:val="none"/>
          <w:u w:val="single"/>
        </w:rPr>
        <w:t xml:space="preserve">           </w:t>
      </w:r>
    </w:p>
    <w:p w14:paraId="21061D75">
      <w:pPr>
        <w:widowControl w:val="0"/>
        <w:kinsoku/>
        <w:topLinePunct/>
        <w:autoSpaceDE/>
        <w:autoSpaceDN/>
        <w:spacing w:line="420" w:lineRule="auto"/>
        <w:ind w:firstLine="1260" w:firstLineChars="600"/>
        <w:rPr>
          <w:rFonts w:ascii="仿宋_GB2312" w:eastAsia="仿宋_GB2312" w:hAnsiTheme="minorEastAsia" w:cstheme="minorEastAsia"/>
          <w:color w:val="auto"/>
          <w:highlight w:val="none"/>
        </w:rPr>
      </w:pPr>
      <w:r>
        <w:rPr>
          <w:rFonts w:hint="eastAsia" w:ascii="仿宋_GB2312" w:hAnsi="宋体" w:eastAsia="仿宋_GB2312"/>
          <w:color w:val="auto"/>
          <w:highlight w:val="none"/>
        </w:rPr>
        <w:t>日期：</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年</w:t>
      </w:r>
      <w:r>
        <w:rPr>
          <w:rFonts w:hint="eastAsia" w:ascii="仿宋_GB2312" w:hAnsi="宋体" w:eastAsia="仿宋_GB2312"/>
          <w:color w:val="auto"/>
          <w:highlight w:val="none"/>
          <w:u w:val="single"/>
        </w:rPr>
        <w:t xml:space="preserve"> </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月</w:t>
      </w:r>
      <w:r>
        <w:rPr>
          <w:rFonts w:hint="eastAsia" w:ascii="仿宋_GB2312" w:hAnsi="宋体" w:eastAsia="仿宋_GB2312"/>
          <w:color w:val="auto"/>
          <w:highlight w:val="none"/>
          <w:u w:val="single"/>
        </w:rPr>
        <w:t xml:space="preserve"> </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日</w:t>
      </w:r>
    </w:p>
    <w:p w14:paraId="092A64FE">
      <w:pPr>
        <w:widowControl w:val="0"/>
        <w:kinsoku/>
        <w:topLinePunct/>
        <w:autoSpaceDE/>
        <w:autoSpaceDN/>
        <w:spacing w:line="420" w:lineRule="auto"/>
        <w:ind w:firstLine="1260" w:firstLineChars="600"/>
        <w:rPr>
          <w:rFonts w:ascii="仿宋_GB2312" w:eastAsia="仿宋_GB2312" w:hAnsiTheme="minorEastAsia" w:cstheme="minorEastAsia"/>
          <w:color w:val="auto"/>
          <w:highlight w:val="none"/>
        </w:rPr>
        <w:sectPr>
          <w:footerReference r:id="rId26" w:type="default"/>
          <w:pgSz w:w="11906" w:h="16839"/>
          <w:pgMar w:top="1247" w:right="1588" w:bottom="1247" w:left="1531" w:header="851" w:footer="851" w:gutter="0"/>
          <w:cols w:space="0" w:num="1"/>
        </w:sectPr>
      </w:pPr>
    </w:p>
    <w:p w14:paraId="384BB2AC">
      <w:pPr>
        <w:widowControl w:val="0"/>
        <w:kinsoku/>
        <w:topLinePunct/>
        <w:autoSpaceDE/>
        <w:autoSpaceDN/>
        <w:spacing w:line="36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46" w:name="_bookmark76"/>
      <w:bookmarkEnd w:id="346"/>
      <w:bookmarkStart w:id="347" w:name="_Toc17017"/>
      <w:bookmarkStart w:id="348" w:name="_Toc132754855"/>
      <w:bookmarkStart w:id="349" w:name="_Toc132755514"/>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十六、供应商认为有必要提供的其他资料</w:t>
      </w:r>
      <w:bookmarkEnd w:id="347"/>
      <w:bookmarkEnd w:id="348"/>
      <w:bookmarkEnd w:id="349"/>
    </w:p>
    <w:p w14:paraId="06CDBD97">
      <w:pPr>
        <w:widowControl w:val="0"/>
        <w:kinsoku/>
        <w:topLinePunct/>
        <w:autoSpaceDE/>
        <w:autoSpaceDN/>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供应商认为有必要提供的其他资料</w:t>
      </w:r>
    </w:p>
    <w:p w14:paraId="00AC44EF">
      <w:pPr>
        <w:widowControl w:val="0"/>
        <w:kinsoku/>
        <w:topLinePunct/>
        <w:autoSpaceDE/>
        <w:autoSpaceDN/>
        <w:spacing w:line="360" w:lineRule="auto"/>
        <w:rPr>
          <w:rFonts w:asciiTheme="minorEastAsia" w:hAnsiTheme="minorEastAsia" w:eastAsiaTheme="minorEastAsia" w:cstheme="minorEastAsia"/>
          <w:color w:val="auto"/>
          <w:highlight w:val="none"/>
        </w:rPr>
        <w:sectPr>
          <w:footerReference r:id="rId27" w:type="default"/>
          <w:pgSz w:w="11906" w:h="16839"/>
          <w:pgMar w:top="1247" w:right="1588" w:bottom="1247" w:left="1531" w:header="851" w:footer="851" w:gutter="0"/>
          <w:cols w:space="0" w:num="1"/>
        </w:sectPr>
      </w:pPr>
    </w:p>
    <w:p w14:paraId="62C91F3C">
      <w:pPr>
        <w:widowControl w:val="0"/>
        <w:kinsoku/>
        <w:topLinePunct/>
        <w:autoSpaceDE/>
        <w:autoSpaceDN/>
        <w:spacing w:line="36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50" w:name="_bookmark77"/>
      <w:bookmarkEnd w:id="350"/>
      <w:bookmarkStart w:id="351" w:name="_Toc132754856"/>
      <w:bookmarkStart w:id="352" w:name="_Toc132755515"/>
      <w:bookmarkStart w:id="353" w:name="_Toc16290"/>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十七、投标人自行编写的技术文件</w:t>
      </w:r>
      <w:bookmarkEnd w:id="351"/>
      <w:bookmarkEnd w:id="352"/>
      <w:bookmarkEnd w:id="353"/>
    </w:p>
    <w:p w14:paraId="25A66875">
      <w:pPr>
        <w:widowControl w:val="0"/>
        <w:kinsoku/>
        <w:topLinePunct/>
        <w:autoSpaceDE/>
        <w:autoSpaceDN/>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投标人自行编写的技术文件</w:t>
      </w:r>
    </w:p>
    <w:p w14:paraId="1FE25ECC">
      <w:pPr>
        <w:widowControl w:val="0"/>
        <w:kinsoku/>
        <w:topLinePunct/>
        <w:autoSpaceDE/>
        <w:autoSpaceDN/>
        <w:spacing w:line="360" w:lineRule="auto"/>
        <w:rPr>
          <w:rFonts w:asciiTheme="minorEastAsia" w:hAnsiTheme="minorEastAsia" w:eastAsiaTheme="minorEastAsia" w:cstheme="minorEastAsia"/>
          <w:color w:val="auto"/>
          <w:highlight w:val="none"/>
        </w:rPr>
        <w:sectPr>
          <w:footerReference r:id="rId28" w:type="default"/>
          <w:pgSz w:w="11906" w:h="16839"/>
          <w:pgMar w:top="1247" w:right="1588" w:bottom="1247" w:left="1531" w:header="851" w:footer="851" w:gutter="0"/>
          <w:cols w:space="0" w:num="1"/>
        </w:sectPr>
      </w:pPr>
    </w:p>
    <w:p w14:paraId="4FA98A0B">
      <w:pPr>
        <w:widowControl w:val="0"/>
        <w:kinsoku/>
        <w:topLinePunct/>
        <w:autoSpaceDE/>
        <w:autoSpaceDN/>
        <w:spacing w:line="360" w:lineRule="auto"/>
        <w:outlineLvl w:val="1"/>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pPr>
      <w:bookmarkStart w:id="354" w:name="_Toc132754857"/>
      <w:bookmarkStart w:id="355" w:name="_Toc16712"/>
      <w:bookmarkStart w:id="356" w:name="_Toc132755516"/>
      <w:r>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十</w:t>
      </w:r>
      <w:r>
        <w:rPr>
          <w:rFonts w:hint="eastAsia"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八</w:t>
      </w:r>
      <w:r>
        <w:rPr>
          <w:rFonts w:asciiTheme="minorEastAsia" w:hAnsiTheme="minorEastAsia" w:eastAsiaTheme="minorEastAsia" w:cstheme="minorEastAsia"/>
          <w:color w:val="auto"/>
          <w:highlight w:val="none"/>
          <w14:textOutline w14:w="5791" w14:cap="sq" w14:cmpd="sng" w14:algn="ctr">
            <w14:solidFill>
              <w14:srgbClr w14:val="000000"/>
            </w14:solidFill>
            <w14:prstDash w14:val="solid"/>
            <w14:bevel/>
          </w14:textOutline>
        </w:rPr>
        <w:t>、投标人自行编写的服务文件</w:t>
      </w:r>
      <w:bookmarkEnd w:id="354"/>
      <w:bookmarkEnd w:id="355"/>
      <w:bookmarkEnd w:id="356"/>
    </w:p>
    <w:p w14:paraId="457E4052">
      <w:pPr>
        <w:widowControl w:val="0"/>
        <w:kinsoku/>
        <w:topLinePunct/>
        <w:autoSpaceDE/>
        <w:autoSpaceDN/>
        <w:spacing w:before="240" w:line="226" w:lineRule="auto"/>
        <w:ind w:left="21"/>
        <w:outlineLvl w:val="0"/>
        <w:rPr>
          <w:rFonts w:cs="黑体" w:asciiTheme="minorEastAsia" w:hAnsiTheme="minorEastAsia" w:eastAsiaTheme="minorEastAsia"/>
          <w:color w:val="auto"/>
          <w:highlight w:val="none"/>
        </w:rPr>
      </w:pPr>
      <w:bookmarkStart w:id="357" w:name="_Toc25119"/>
      <w:r>
        <w:rPr>
          <w:rFonts w:cs="黑体" w:asciiTheme="minorEastAsia" w:hAnsiTheme="minorEastAsia" w:eastAsiaTheme="minorEastAsia"/>
          <w:color w:val="auto"/>
          <w:highlight w:val="none"/>
        </w:rPr>
        <w:t>投标人自行编写的服务文件</w:t>
      </w:r>
      <w:bookmarkEnd w:id="357"/>
    </w:p>
    <w:sectPr>
      <w:footerReference r:id="rId29" w:type="default"/>
      <w:pgSz w:w="11906" w:h="16839"/>
      <w:pgMar w:top="1247" w:right="1588" w:bottom="1247" w:left="1531" w:header="851" w:footer="851"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9FCFC4-1722-4696-9850-30B86CF0D947}"/>
  </w:font>
  <w:font w:name="黑体">
    <w:panose1 w:val="02010609060101010101"/>
    <w:charset w:val="86"/>
    <w:family w:val="auto"/>
    <w:pitch w:val="default"/>
    <w:sig w:usb0="800002BF" w:usb1="38CF7CFA" w:usb2="00000016" w:usb3="00000000" w:csb0="00040001" w:csb1="00000000"/>
    <w:embedRegular r:id="rId2" w:fontKey="{1C8C436E-AB54-47F7-9428-E453B0222D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8E5B6DE-E9BF-400D-9E67-DEE01AC596AF}"/>
  </w:font>
  <w:font w:name="仿宋">
    <w:panose1 w:val="02010609060101010101"/>
    <w:charset w:val="86"/>
    <w:family w:val="modern"/>
    <w:pitch w:val="default"/>
    <w:sig w:usb0="800002BF" w:usb1="38CF7CFA" w:usb2="00000016" w:usb3="00000000" w:csb0="00040001" w:csb1="00000000"/>
    <w:embedRegular r:id="rId4" w:fontKey="{6296D3D4-4D41-419A-8974-2D26B780740A}"/>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5" w:fontKey="{404E9881-3023-4BCC-BB14-BB78C08151EE}"/>
  </w:font>
  <w:font w:name="华文新魏">
    <w:altName w:val="宋体"/>
    <w:panose1 w:val="02010800040101010101"/>
    <w:charset w:val="86"/>
    <w:family w:val="auto"/>
    <w:pitch w:val="default"/>
    <w:sig w:usb0="00000000" w:usb1="00000000" w:usb2="00000010" w:usb3="00000000" w:csb0="00040000" w:csb1="00000000"/>
    <w:embedRegular r:id="rId6" w:fontKey="{07393984-2EC0-49B1-A6F3-8315253A9340}"/>
  </w:font>
  <w:font w:name="仿宋_GB2312">
    <w:panose1 w:val="02010609030101010101"/>
    <w:charset w:val="86"/>
    <w:family w:val="modern"/>
    <w:pitch w:val="default"/>
    <w:sig w:usb0="00000001" w:usb1="080E0000" w:usb2="00000000" w:usb3="00000000" w:csb0="00040000" w:csb1="00000000"/>
    <w:embedRegular r:id="rId7" w:fontKey="{67D1160C-F201-4795-BAE0-B8D7D7D60ACE}"/>
  </w:font>
  <w:font w:name="方正小标宋简体">
    <w:panose1 w:val="02000000000000000000"/>
    <w:charset w:val="86"/>
    <w:family w:val="script"/>
    <w:pitch w:val="default"/>
    <w:sig w:usb0="00000001" w:usb1="08000000" w:usb2="00000000" w:usb3="00000000" w:csb0="00040000" w:csb1="00000000"/>
    <w:embedRegular r:id="rId8" w:fontKey="{C8462A32-F5B3-407A-BF21-902A1B8C91D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rPr>
      <w:id w:val="595607553"/>
    </w:sdtPr>
    <w:sdtEndPr>
      <w:rPr>
        <w:rFonts w:hint="eastAsia" w:ascii="宋体" w:hAnsi="宋体" w:eastAsia="宋体" w:cs="宋体"/>
      </w:rPr>
    </w:sdtEndPr>
    <w:sdtContent>
      <w:p w14:paraId="49DE7399">
        <w:pPr>
          <w:pStyle w:val="13"/>
          <w:jc w:val="center"/>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w:t>
        </w:r>
        <w:r>
          <w:rPr>
            <w:rFonts w:hint="eastAsia" w:ascii="宋体" w:hAnsi="宋体" w:eastAsia="宋体" w:cs="宋体"/>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249118561"/>
    </w:sdtPr>
    <w:sdtEndPr>
      <w:rPr>
        <w:rFonts w:asciiTheme="minorEastAsia" w:hAnsiTheme="minorEastAsia" w:eastAsiaTheme="minorEastAsia"/>
      </w:rPr>
    </w:sdtEndPr>
    <w:sdtContent>
      <w:p w14:paraId="7B042BB8">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297030780"/>
    </w:sdtPr>
    <w:sdtEndPr>
      <w:rPr>
        <w:rFonts w:asciiTheme="minorEastAsia" w:hAnsiTheme="minorEastAsia" w:eastAsiaTheme="minorEastAsia"/>
      </w:rPr>
    </w:sdtEndPr>
    <w:sdtContent>
      <w:p w14:paraId="0155AAA0">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235288033"/>
    </w:sdtPr>
    <w:sdtEndPr>
      <w:rPr>
        <w:rFonts w:asciiTheme="minorEastAsia" w:hAnsiTheme="minorEastAsia" w:eastAsiaTheme="minorEastAsia"/>
      </w:rPr>
    </w:sdtEndPr>
    <w:sdtContent>
      <w:p w14:paraId="1E09B73E">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47475581"/>
    </w:sdtPr>
    <w:sdtEndPr>
      <w:rPr>
        <w:rFonts w:asciiTheme="minorEastAsia" w:hAnsiTheme="minorEastAsia" w:eastAsiaTheme="minorEastAsia"/>
      </w:rPr>
    </w:sdtEndPr>
    <w:sdtContent>
      <w:p w14:paraId="047DBA01">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2104913081"/>
    </w:sdtPr>
    <w:sdtEndPr>
      <w:rPr>
        <w:rFonts w:asciiTheme="minorEastAsia" w:hAnsiTheme="minorEastAsia" w:eastAsiaTheme="minorEastAsia"/>
      </w:rPr>
    </w:sdtEndPr>
    <w:sdtContent>
      <w:p w14:paraId="539FF3A7">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318075701"/>
    </w:sdtPr>
    <w:sdtEndPr>
      <w:rPr>
        <w:rFonts w:asciiTheme="minorEastAsia" w:hAnsiTheme="minorEastAsia" w:eastAsiaTheme="minorEastAsia"/>
      </w:rPr>
    </w:sdtEndPr>
    <w:sdtContent>
      <w:p w14:paraId="08D9864A">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47996237"/>
    </w:sdtPr>
    <w:sdtEndPr>
      <w:rPr>
        <w:rFonts w:asciiTheme="minorEastAsia" w:hAnsiTheme="minorEastAsia" w:eastAsiaTheme="minorEastAsia"/>
      </w:rPr>
    </w:sdtEndPr>
    <w:sdtContent>
      <w:p w14:paraId="03922203">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986971197"/>
    </w:sdtPr>
    <w:sdtEndPr>
      <w:rPr>
        <w:rFonts w:asciiTheme="minorEastAsia" w:hAnsiTheme="minorEastAsia" w:eastAsiaTheme="minorEastAsia"/>
      </w:rPr>
    </w:sdtEndPr>
    <w:sdtContent>
      <w:p w14:paraId="4074E1A4">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905800189"/>
    </w:sdtPr>
    <w:sdtEndPr>
      <w:rPr>
        <w:rFonts w:asciiTheme="minorEastAsia" w:hAnsiTheme="minorEastAsia" w:eastAsiaTheme="minorEastAsia"/>
      </w:rPr>
    </w:sdtEndPr>
    <w:sdtContent>
      <w:p w14:paraId="7172649C">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681251626"/>
    </w:sdtPr>
    <w:sdtEndPr>
      <w:rPr>
        <w:rFonts w:asciiTheme="minorEastAsia" w:hAnsiTheme="minorEastAsia" w:eastAsiaTheme="minorEastAsia"/>
      </w:rPr>
    </w:sdtEndPr>
    <w:sdtContent>
      <w:p w14:paraId="45221D1C">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437920333"/>
    </w:sdtPr>
    <w:sdtEndPr>
      <w:rPr>
        <w:rFonts w:asciiTheme="minorEastAsia" w:hAnsiTheme="minorEastAsia" w:eastAsiaTheme="minorEastAsia"/>
      </w:rPr>
    </w:sdtEndPr>
    <w:sdtContent>
      <w:p w14:paraId="026966A9">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26928111"/>
    </w:sdtPr>
    <w:sdtEndPr>
      <w:rPr>
        <w:rFonts w:asciiTheme="minorEastAsia" w:hAnsiTheme="minorEastAsia" w:eastAsiaTheme="minorEastAsia"/>
      </w:rPr>
    </w:sdtEndPr>
    <w:sdtContent>
      <w:p w14:paraId="2555C9A1">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74849019"/>
    </w:sdtPr>
    <w:sdtEndPr>
      <w:rPr>
        <w:rFonts w:asciiTheme="minorEastAsia" w:hAnsiTheme="minorEastAsia" w:eastAsiaTheme="minorEastAsia"/>
      </w:rPr>
    </w:sdtEndPr>
    <w:sdtContent>
      <w:p w14:paraId="4B4A772E">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637103636"/>
    </w:sdtPr>
    <w:sdtEndPr>
      <w:rPr>
        <w:rFonts w:asciiTheme="minorEastAsia" w:hAnsiTheme="minorEastAsia" w:eastAsiaTheme="minorEastAsia"/>
      </w:rPr>
    </w:sdtEndPr>
    <w:sdtContent>
      <w:p w14:paraId="68EEAE84">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297303556"/>
    </w:sdtPr>
    <w:sdtEndPr>
      <w:rPr>
        <w:rFonts w:asciiTheme="minorEastAsia" w:hAnsiTheme="minorEastAsia" w:eastAsiaTheme="minorEastAsia"/>
      </w:rPr>
    </w:sdtEndPr>
    <w:sdtContent>
      <w:p w14:paraId="0774ECC2">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401149636"/>
    </w:sdtPr>
    <w:sdtEndPr>
      <w:rPr>
        <w:rFonts w:asciiTheme="minorEastAsia" w:hAnsiTheme="minorEastAsia" w:eastAsiaTheme="minorEastAsia"/>
      </w:rPr>
    </w:sdtEndPr>
    <w:sdtContent>
      <w:p w14:paraId="24F73B25">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913813752"/>
    </w:sdtPr>
    <w:sdtEndPr>
      <w:rPr>
        <w:rFonts w:asciiTheme="minorEastAsia" w:hAnsiTheme="minorEastAsia" w:eastAsiaTheme="minorEastAsia"/>
      </w:rPr>
    </w:sdtEndPr>
    <w:sdtContent>
      <w:p w14:paraId="57761D68">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217600152"/>
    </w:sdtPr>
    <w:sdtEndPr>
      <w:rPr>
        <w:rFonts w:asciiTheme="minorEastAsia" w:hAnsiTheme="minorEastAsia" w:eastAsiaTheme="minorEastAsia"/>
      </w:rPr>
    </w:sdtEndPr>
    <w:sdtContent>
      <w:p w14:paraId="0C0B169F">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738945682"/>
    </w:sdtPr>
    <w:sdtEndPr>
      <w:rPr>
        <w:rFonts w:asciiTheme="minorEastAsia" w:hAnsiTheme="minorEastAsia" w:eastAsiaTheme="minorEastAsia"/>
      </w:rPr>
    </w:sdtEndPr>
    <w:sdtContent>
      <w:p w14:paraId="0D717E94">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725221619"/>
    </w:sdtPr>
    <w:sdtEndPr>
      <w:rPr>
        <w:rFonts w:asciiTheme="minorEastAsia" w:hAnsiTheme="minorEastAsia" w:eastAsiaTheme="minorEastAsia"/>
      </w:rPr>
    </w:sdtEndPr>
    <w:sdtContent>
      <w:p w14:paraId="36B76386">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p w14:paraId="68FF50D8">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882046134"/>
    </w:sdtPr>
    <w:sdtEndPr>
      <w:rPr>
        <w:rFonts w:asciiTheme="minorEastAsia" w:hAnsiTheme="minorEastAsia" w:eastAsiaTheme="minorEastAsia"/>
      </w:rPr>
    </w:sdtEndPr>
    <w:sdtContent>
      <w:p w14:paraId="7B39ECAE">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73310785"/>
    </w:sdtPr>
    <w:sdtEndPr>
      <w:rPr>
        <w:rFonts w:asciiTheme="minorEastAsia" w:hAnsiTheme="minorEastAsia" w:eastAsiaTheme="minorEastAsia"/>
      </w:rPr>
    </w:sdtEndPr>
    <w:sdtContent>
      <w:p w14:paraId="3006A156">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326798640"/>
    </w:sdtPr>
    <w:sdtEndPr>
      <w:rPr>
        <w:rFonts w:asciiTheme="minorEastAsia" w:hAnsiTheme="minorEastAsia" w:eastAsiaTheme="minorEastAsia"/>
      </w:rPr>
    </w:sdtEndPr>
    <w:sdtContent>
      <w:p w14:paraId="765CC959">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720320493"/>
    </w:sdtPr>
    <w:sdtEndPr>
      <w:rPr>
        <w:rFonts w:asciiTheme="minorEastAsia" w:hAnsiTheme="minorEastAsia" w:eastAsiaTheme="minorEastAsia"/>
      </w:rPr>
    </w:sdtEndPr>
    <w:sdtContent>
      <w:p w14:paraId="37C3E0F0">
        <w:pPr>
          <w:pStyle w:val="13"/>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6088">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A42CE">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AF5B8"/>
    <w:multiLevelType w:val="singleLevel"/>
    <w:tmpl w:val="824AF5B8"/>
    <w:lvl w:ilvl="0" w:tentative="0">
      <w:start w:val="5"/>
      <w:numFmt w:val="chineseCounting"/>
      <w:suff w:val="space"/>
      <w:lvlText w:val="第%1部分"/>
      <w:lvlJc w:val="left"/>
      <w:rPr>
        <w:rFonts w:hint="eastAsia"/>
      </w:rPr>
    </w:lvl>
  </w:abstractNum>
  <w:abstractNum w:abstractNumId="1">
    <w:nsid w:val="8E00B6BF"/>
    <w:multiLevelType w:val="singleLevel"/>
    <w:tmpl w:val="8E00B6BF"/>
    <w:lvl w:ilvl="0" w:tentative="0">
      <w:start w:val="1"/>
      <w:numFmt w:val="decimal"/>
      <w:suff w:val="nothing"/>
      <w:lvlText w:val="%1、"/>
      <w:lvlJc w:val="left"/>
      <w:pPr>
        <w:ind w:left="189" w:firstLine="0"/>
      </w:pPr>
    </w:lvl>
  </w:abstractNum>
  <w:abstractNum w:abstractNumId="2">
    <w:nsid w:val="B761BF30"/>
    <w:multiLevelType w:val="multilevel"/>
    <w:tmpl w:val="B761BF3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4F16C75"/>
    <w:multiLevelType w:val="singleLevel"/>
    <w:tmpl w:val="C4F16C75"/>
    <w:lvl w:ilvl="0" w:tentative="0">
      <w:start w:val="1"/>
      <w:numFmt w:val="decimal"/>
      <w:suff w:val="nothing"/>
      <w:lvlText w:val="%1、"/>
      <w:lvlJc w:val="left"/>
    </w:lvl>
  </w:abstractNum>
  <w:abstractNum w:abstractNumId="4">
    <w:nsid w:val="2148F78C"/>
    <w:multiLevelType w:val="multilevel"/>
    <w:tmpl w:val="2148F78C"/>
    <w:lvl w:ilvl="0" w:tentative="0">
      <w:start w:val="1"/>
      <w:numFmt w:val="chineseCountingThousand"/>
      <w:suff w:val="nothing"/>
      <w:lvlText w:val="第%1部分"/>
      <w:lvlJc w:val="center"/>
      <w:pPr>
        <w:ind w:left="0" w:firstLine="288"/>
      </w:pPr>
      <w:rPr>
        <w:sz w:val="28"/>
        <w:szCs w:val="28"/>
      </w:rPr>
    </w:lvl>
    <w:lvl w:ilvl="1" w:tentative="0">
      <w:start w:val="1"/>
      <w:numFmt w:val="chineseCountingThousand"/>
      <w:suff w:val="nothing"/>
      <w:lvlText w:val="%2、"/>
      <w:lvlJc w:val="left"/>
      <w:pPr>
        <w:ind w:left="240" w:firstLine="0"/>
      </w:pPr>
      <w:rPr>
        <w:rFonts w:hint="eastAsia" w:ascii="宋体" w:hAnsi="宋体" w:eastAsia="宋体" w:cs="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5C3A6A29"/>
    <w:multiLevelType w:val="multilevel"/>
    <w:tmpl w:val="5C3A6A29"/>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zg1MTlhZmJlMWQxMjA0N2YxNzc4ZDE0NjY2ZDA4MGMifQ=="/>
  </w:docVars>
  <w:rsids>
    <w:rsidRoot w:val="00172A27"/>
    <w:rsid w:val="00022CEF"/>
    <w:rsid w:val="0004321C"/>
    <w:rsid w:val="000B6281"/>
    <w:rsid w:val="000C5145"/>
    <w:rsid w:val="000D1AD2"/>
    <w:rsid w:val="001048EC"/>
    <w:rsid w:val="00293C8B"/>
    <w:rsid w:val="002A1D0C"/>
    <w:rsid w:val="00306B45"/>
    <w:rsid w:val="003F7752"/>
    <w:rsid w:val="00491501"/>
    <w:rsid w:val="00494B65"/>
    <w:rsid w:val="004C2B74"/>
    <w:rsid w:val="004E0886"/>
    <w:rsid w:val="00540D8E"/>
    <w:rsid w:val="005745F7"/>
    <w:rsid w:val="005A629C"/>
    <w:rsid w:val="00690D41"/>
    <w:rsid w:val="006A4D8A"/>
    <w:rsid w:val="006B072B"/>
    <w:rsid w:val="006E20C9"/>
    <w:rsid w:val="00745E53"/>
    <w:rsid w:val="007572EF"/>
    <w:rsid w:val="008660A2"/>
    <w:rsid w:val="008A1725"/>
    <w:rsid w:val="0090451D"/>
    <w:rsid w:val="009F534A"/>
    <w:rsid w:val="00A66D7C"/>
    <w:rsid w:val="00AC3B85"/>
    <w:rsid w:val="00BB6F5F"/>
    <w:rsid w:val="00BC78A1"/>
    <w:rsid w:val="00C2054F"/>
    <w:rsid w:val="00C33FF8"/>
    <w:rsid w:val="00C87CB9"/>
    <w:rsid w:val="00C974C9"/>
    <w:rsid w:val="00CD0D3A"/>
    <w:rsid w:val="00D91181"/>
    <w:rsid w:val="00DA1231"/>
    <w:rsid w:val="00DB3502"/>
    <w:rsid w:val="00E23F61"/>
    <w:rsid w:val="00E27880"/>
    <w:rsid w:val="00E706C6"/>
    <w:rsid w:val="00E8074B"/>
    <w:rsid w:val="00EB0FB7"/>
    <w:rsid w:val="00ED46CA"/>
    <w:rsid w:val="00EF7950"/>
    <w:rsid w:val="00F17F30"/>
    <w:rsid w:val="00FB4F0D"/>
    <w:rsid w:val="00FD1F69"/>
    <w:rsid w:val="019447EE"/>
    <w:rsid w:val="01EC3E90"/>
    <w:rsid w:val="02EE3C38"/>
    <w:rsid w:val="03962305"/>
    <w:rsid w:val="041731CE"/>
    <w:rsid w:val="04360721"/>
    <w:rsid w:val="04B35139"/>
    <w:rsid w:val="05210CA0"/>
    <w:rsid w:val="0551465B"/>
    <w:rsid w:val="05BC2F2E"/>
    <w:rsid w:val="069D39AB"/>
    <w:rsid w:val="06F23CF7"/>
    <w:rsid w:val="07294C03"/>
    <w:rsid w:val="07874E53"/>
    <w:rsid w:val="07DC0503"/>
    <w:rsid w:val="0878647D"/>
    <w:rsid w:val="08DB7CA3"/>
    <w:rsid w:val="08E458C1"/>
    <w:rsid w:val="093D3655"/>
    <w:rsid w:val="0A1E56D8"/>
    <w:rsid w:val="0A681384"/>
    <w:rsid w:val="0A933A64"/>
    <w:rsid w:val="0B7C44D7"/>
    <w:rsid w:val="0BEA75B2"/>
    <w:rsid w:val="0C105DFF"/>
    <w:rsid w:val="0CEF014A"/>
    <w:rsid w:val="0E4136CA"/>
    <w:rsid w:val="0EF5692E"/>
    <w:rsid w:val="0FFC5BE6"/>
    <w:rsid w:val="108005C5"/>
    <w:rsid w:val="11EB0051"/>
    <w:rsid w:val="131274CE"/>
    <w:rsid w:val="143A0A8B"/>
    <w:rsid w:val="1461426A"/>
    <w:rsid w:val="149D6BDB"/>
    <w:rsid w:val="167A5AB7"/>
    <w:rsid w:val="16A843D2"/>
    <w:rsid w:val="16DC5418"/>
    <w:rsid w:val="1723744E"/>
    <w:rsid w:val="17DC3F56"/>
    <w:rsid w:val="190A7BC2"/>
    <w:rsid w:val="190E4C5C"/>
    <w:rsid w:val="19EE0795"/>
    <w:rsid w:val="1AB87A9D"/>
    <w:rsid w:val="1AFF47DC"/>
    <w:rsid w:val="1B8B42C2"/>
    <w:rsid w:val="1BFA097B"/>
    <w:rsid w:val="1C5F592F"/>
    <w:rsid w:val="1D3C1D18"/>
    <w:rsid w:val="1D70376F"/>
    <w:rsid w:val="1D7C0366"/>
    <w:rsid w:val="1D9062BE"/>
    <w:rsid w:val="1E57048B"/>
    <w:rsid w:val="1F915478"/>
    <w:rsid w:val="20210B1F"/>
    <w:rsid w:val="20893ED4"/>
    <w:rsid w:val="20BA367F"/>
    <w:rsid w:val="21472A39"/>
    <w:rsid w:val="215A6C10"/>
    <w:rsid w:val="21786B7D"/>
    <w:rsid w:val="22034619"/>
    <w:rsid w:val="2217334B"/>
    <w:rsid w:val="22B1460E"/>
    <w:rsid w:val="234257F1"/>
    <w:rsid w:val="23727C7D"/>
    <w:rsid w:val="245142FB"/>
    <w:rsid w:val="246B6A3F"/>
    <w:rsid w:val="24BE74B6"/>
    <w:rsid w:val="24EE1B49"/>
    <w:rsid w:val="2570142C"/>
    <w:rsid w:val="25783B09"/>
    <w:rsid w:val="267A740D"/>
    <w:rsid w:val="267E514F"/>
    <w:rsid w:val="279A4894"/>
    <w:rsid w:val="28800981"/>
    <w:rsid w:val="28E03E9F"/>
    <w:rsid w:val="2A1831C5"/>
    <w:rsid w:val="2ABA24CE"/>
    <w:rsid w:val="2B0D4CF3"/>
    <w:rsid w:val="2BCB2B72"/>
    <w:rsid w:val="2C9543EF"/>
    <w:rsid w:val="2EED10C4"/>
    <w:rsid w:val="2F635B17"/>
    <w:rsid w:val="2FAF7EB1"/>
    <w:rsid w:val="2FDB63C8"/>
    <w:rsid w:val="30456BAC"/>
    <w:rsid w:val="309D4424"/>
    <w:rsid w:val="3190758B"/>
    <w:rsid w:val="31CF69DC"/>
    <w:rsid w:val="336C2A18"/>
    <w:rsid w:val="33AD15D5"/>
    <w:rsid w:val="358A023A"/>
    <w:rsid w:val="36121F30"/>
    <w:rsid w:val="372E5DD5"/>
    <w:rsid w:val="3741188C"/>
    <w:rsid w:val="3750367B"/>
    <w:rsid w:val="3757357E"/>
    <w:rsid w:val="37F05781"/>
    <w:rsid w:val="383A3324"/>
    <w:rsid w:val="38877E93"/>
    <w:rsid w:val="39FC4E74"/>
    <w:rsid w:val="3B2C087E"/>
    <w:rsid w:val="3B4A51A8"/>
    <w:rsid w:val="3BAA7333"/>
    <w:rsid w:val="3BAC1B8C"/>
    <w:rsid w:val="3BCB7C58"/>
    <w:rsid w:val="3C236F28"/>
    <w:rsid w:val="3C564EF0"/>
    <w:rsid w:val="3DAC5CA6"/>
    <w:rsid w:val="4056454A"/>
    <w:rsid w:val="41045C10"/>
    <w:rsid w:val="41C17B42"/>
    <w:rsid w:val="423420B9"/>
    <w:rsid w:val="426E0029"/>
    <w:rsid w:val="42723962"/>
    <w:rsid w:val="434E5C94"/>
    <w:rsid w:val="4352109E"/>
    <w:rsid w:val="43853221"/>
    <w:rsid w:val="438B2FDF"/>
    <w:rsid w:val="449F0313"/>
    <w:rsid w:val="453919EF"/>
    <w:rsid w:val="45D505B6"/>
    <w:rsid w:val="46C87FF5"/>
    <w:rsid w:val="473C7E7D"/>
    <w:rsid w:val="47B453C7"/>
    <w:rsid w:val="49560779"/>
    <w:rsid w:val="495733F2"/>
    <w:rsid w:val="49C600F0"/>
    <w:rsid w:val="4B3B24B9"/>
    <w:rsid w:val="4BF929FE"/>
    <w:rsid w:val="4C320168"/>
    <w:rsid w:val="4CA14198"/>
    <w:rsid w:val="4D071ECD"/>
    <w:rsid w:val="4D16313C"/>
    <w:rsid w:val="4D1E0815"/>
    <w:rsid w:val="4D764D39"/>
    <w:rsid w:val="4D974FB8"/>
    <w:rsid w:val="4DDC25D7"/>
    <w:rsid w:val="4F0C2A48"/>
    <w:rsid w:val="4F31192B"/>
    <w:rsid w:val="50CE26AB"/>
    <w:rsid w:val="517471D1"/>
    <w:rsid w:val="51BA2EFF"/>
    <w:rsid w:val="51BC69A8"/>
    <w:rsid w:val="525564B4"/>
    <w:rsid w:val="52606EA3"/>
    <w:rsid w:val="5283444E"/>
    <w:rsid w:val="52B62F4E"/>
    <w:rsid w:val="54D20290"/>
    <w:rsid w:val="54E529AC"/>
    <w:rsid w:val="553A21A3"/>
    <w:rsid w:val="5606789C"/>
    <w:rsid w:val="568C2993"/>
    <w:rsid w:val="56E049EF"/>
    <w:rsid w:val="56EC6942"/>
    <w:rsid w:val="58396502"/>
    <w:rsid w:val="587D2E0B"/>
    <w:rsid w:val="58854CBE"/>
    <w:rsid w:val="58C3061C"/>
    <w:rsid w:val="58F75FAB"/>
    <w:rsid w:val="5AD20FEA"/>
    <w:rsid w:val="5B0E1B86"/>
    <w:rsid w:val="5BDC2B30"/>
    <w:rsid w:val="5C355045"/>
    <w:rsid w:val="5D485594"/>
    <w:rsid w:val="5D706898"/>
    <w:rsid w:val="5DD23127"/>
    <w:rsid w:val="5DE352BC"/>
    <w:rsid w:val="5EA54320"/>
    <w:rsid w:val="5F922CB7"/>
    <w:rsid w:val="6005776C"/>
    <w:rsid w:val="60AE0C64"/>
    <w:rsid w:val="61094AA0"/>
    <w:rsid w:val="61646714"/>
    <w:rsid w:val="64C16FEA"/>
    <w:rsid w:val="650D2572"/>
    <w:rsid w:val="65220A04"/>
    <w:rsid w:val="65F91B21"/>
    <w:rsid w:val="661F3314"/>
    <w:rsid w:val="66364B55"/>
    <w:rsid w:val="67B9375B"/>
    <w:rsid w:val="67FA56DC"/>
    <w:rsid w:val="6820400B"/>
    <w:rsid w:val="699E02E9"/>
    <w:rsid w:val="6A771266"/>
    <w:rsid w:val="6B3D425E"/>
    <w:rsid w:val="6B9378E9"/>
    <w:rsid w:val="6D4C4232"/>
    <w:rsid w:val="6D6D3AED"/>
    <w:rsid w:val="6E9501B8"/>
    <w:rsid w:val="6EF71718"/>
    <w:rsid w:val="6FFE09D3"/>
    <w:rsid w:val="701B08E6"/>
    <w:rsid w:val="709F4389"/>
    <w:rsid w:val="71C11019"/>
    <w:rsid w:val="728B1D53"/>
    <w:rsid w:val="72B13D23"/>
    <w:rsid w:val="73AF381F"/>
    <w:rsid w:val="74884070"/>
    <w:rsid w:val="75046F6E"/>
    <w:rsid w:val="754016A7"/>
    <w:rsid w:val="75642B9A"/>
    <w:rsid w:val="75790588"/>
    <w:rsid w:val="75C60EEF"/>
    <w:rsid w:val="76054663"/>
    <w:rsid w:val="771229D4"/>
    <w:rsid w:val="782A7918"/>
    <w:rsid w:val="782E622A"/>
    <w:rsid w:val="786E279C"/>
    <w:rsid w:val="78F11F9C"/>
    <w:rsid w:val="79887594"/>
    <w:rsid w:val="7B407F1D"/>
    <w:rsid w:val="7B9A1258"/>
    <w:rsid w:val="7BAF7E41"/>
    <w:rsid w:val="7C647170"/>
    <w:rsid w:val="7CEC7168"/>
    <w:rsid w:val="7D7A54B0"/>
    <w:rsid w:val="7D7D04EA"/>
    <w:rsid w:val="7E1C41A7"/>
    <w:rsid w:val="7EA878BA"/>
    <w:rsid w:val="7EB4454A"/>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0"/>
    <w:qFormat/>
    <w:uiPriority w:val="0"/>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0"/>
    <w:pPr>
      <w:keepNext/>
      <w:keepLines/>
      <w:spacing w:before="260" w:after="260" w:line="800" w:lineRule="exact"/>
      <w:jc w:val="center"/>
      <w:outlineLvl w:val="1"/>
    </w:pPr>
    <w:rPr>
      <w:b/>
      <w:bCs/>
      <w:sz w:val="30"/>
      <w:szCs w:val="32"/>
    </w:rPr>
  </w:style>
  <w:style w:type="paragraph" w:styleId="4">
    <w:name w:val="heading 3"/>
    <w:basedOn w:val="1"/>
    <w:next w:val="1"/>
    <w:link w:val="32"/>
    <w:semiHidden/>
    <w:unhideWhenUsed/>
    <w:qFormat/>
    <w:uiPriority w:val="0"/>
    <w:pPr>
      <w:keepNext/>
      <w:keepLines/>
      <w:widowControl w:val="0"/>
      <w:numPr>
        <w:ilvl w:val="2"/>
        <w:numId w:val="1"/>
      </w:numPr>
      <w:spacing w:before="260" w:after="260" w:line="416" w:lineRule="atLeast"/>
      <w:outlineLvl w:val="2"/>
    </w:pPr>
    <w:rPr>
      <w:rFonts w:ascii="Calibri" w:hAnsi="Calibri" w:eastAsia="宋体" w:cs="Times New Roman"/>
      <w:b/>
      <w:bCs/>
      <w:sz w:val="32"/>
      <w:szCs w:val="32"/>
    </w:rPr>
  </w:style>
  <w:style w:type="paragraph" w:styleId="5">
    <w:name w:val="heading 4"/>
    <w:basedOn w:val="1"/>
    <w:next w:val="1"/>
    <w:qFormat/>
    <w:uiPriority w:val="0"/>
    <w:pPr>
      <w:keepNext/>
      <w:keepLines/>
      <w:numPr>
        <w:ilvl w:val="3"/>
        <w:numId w:val="2"/>
      </w:numPr>
      <w:spacing w:line="360" w:lineRule="auto"/>
      <w:outlineLvl w:val="3"/>
    </w:pPr>
    <w:rPr>
      <w:rFonts w:ascii="Arial" w:hAnsi="Arial"/>
      <w:b/>
      <w:bCs/>
      <w:szCs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8">
    <w:name w:val="toa heading"/>
    <w:basedOn w:val="1"/>
    <w:next w:val="1"/>
    <w:qFormat/>
    <w:uiPriority w:val="99"/>
    <w:pPr>
      <w:spacing w:before="120"/>
    </w:pPr>
    <w:rPr>
      <w:rFonts w:ascii="Arial" w:hAnsi="Arial" w:eastAsia="仿宋"/>
      <w:sz w:val="24"/>
      <w:szCs w:val="20"/>
    </w:rPr>
  </w:style>
  <w:style w:type="paragraph" w:styleId="9">
    <w:name w:val="Body Text"/>
    <w:basedOn w:val="1"/>
    <w:next w:val="10"/>
    <w:link w:val="35"/>
    <w:qFormat/>
    <w:uiPriority w:val="99"/>
    <w:pPr>
      <w:tabs>
        <w:tab w:val="left" w:pos="9214"/>
      </w:tabs>
      <w:spacing w:after="120" w:line="400" w:lineRule="atLeast"/>
      <w:ind w:right="-58" w:firstLine="600"/>
      <w:textAlignment w:val="bottom"/>
    </w:pPr>
    <w:rPr>
      <w:rFonts w:ascii="宋体"/>
      <w:sz w:val="24"/>
      <w:szCs w:val="20"/>
    </w:rPr>
  </w:style>
  <w:style w:type="paragraph" w:styleId="10">
    <w:name w:val="Subtitle"/>
    <w:basedOn w:val="1"/>
    <w:next w:val="1"/>
    <w:qFormat/>
    <w:uiPriority w:val="6"/>
    <w:pPr>
      <w:spacing w:before="240" w:after="60" w:line="312" w:lineRule="auto"/>
      <w:jc w:val="center"/>
      <w:outlineLvl w:val="1"/>
    </w:pPr>
    <w:rPr>
      <w:rFonts w:ascii="Cambria" w:hAnsi="Cambria" w:cs="Cambria"/>
      <w:b/>
      <w:kern w:val="1"/>
      <w:sz w:val="32"/>
      <w:szCs w:val="32"/>
    </w:rPr>
  </w:style>
  <w:style w:type="paragraph" w:styleId="11">
    <w:name w:val="Body Text Indent"/>
    <w:basedOn w:val="1"/>
    <w:next w:val="1"/>
    <w:qFormat/>
    <w:uiPriority w:val="0"/>
    <w:pPr>
      <w:ind w:firstLine="480"/>
    </w:pPr>
    <w:rPr>
      <w:rFonts w:ascii="宋体" w:hAnsi="宋体"/>
      <w:sz w:val="24"/>
    </w:rPr>
  </w:style>
  <w:style w:type="paragraph" w:styleId="12">
    <w:name w:val="toc 3"/>
    <w:basedOn w:val="1"/>
    <w:next w:val="1"/>
    <w:qFormat/>
    <w:uiPriority w:val="39"/>
    <w:pPr>
      <w:ind w:left="840" w:leftChars="400"/>
    </w:pPr>
  </w:style>
  <w:style w:type="paragraph" w:styleId="13">
    <w:name w:val="footer"/>
    <w:basedOn w:val="1"/>
    <w:link w:val="36"/>
    <w:unhideWhenUsed/>
    <w:qFormat/>
    <w:uiPriority w:val="99"/>
    <w:pPr>
      <w:tabs>
        <w:tab w:val="center" w:pos="4153"/>
        <w:tab w:val="right" w:pos="8306"/>
      </w:tabs>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39"/>
  </w:style>
  <w:style w:type="paragraph" w:styleId="16">
    <w:name w:val="index 7"/>
    <w:basedOn w:val="1"/>
    <w:next w:val="1"/>
    <w:qFormat/>
    <w:uiPriority w:val="0"/>
    <w:pPr>
      <w:ind w:left="1200" w:leftChars="1200"/>
    </w:pPr>
  </w:style>
  <w:style w:type="paragraph" w:styleId="17">
    <w:name w:val="toc 2"/>
    <w:basedOn w:val="1"/>
    <w:next w:val="1"/>
    <w:qFormat/>
    <w:uiPriority w:val="39"/>
    <w:pPr>
      <w:ind w:left="420" w:leftChars="200"/>
    </w:pPr>
  </w:style>
  <w:style w:type="paragraph" w:styleId="18">
    <w:name w:val="Normal (Web)"/>
    <w:basedOn w:val="1"/>
    <w:qFormat/>
    <w:uiPriority w:val="99"/>
    <w:pPr>
      <w:spacing w:before="100" w:beforeAutospacing="1" w:after="100" w:afterAutospacing="1"/>
    </w:pPr>
    <w:rPr>
      <w:rFonts w:hint="eastAsia" w:ascii="宋体" w:hAnsi="宋体"/>
      <w:sz w:val="24"/>
      <w:szCs w:val="24"/>
    </w:rPr>
  </w:style>
  <w:style w:type="paragraph" w:styleId="19">
    <w:name w:val="Body Text First Indent 2"/>
    <w:basedOn w:val="11"/>
    <w:next w:val="1"/>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FollowedHyperlink"/>
    <w:basedOn w:val="22"/>
    <w:qFormat/>
    <w:uiPriority w:val="0"/>
    <w:rPr>
      <w:color w:val="954F72"/>
      <w:u w:val="single"/>
    </w:rPr>
  </w:style>
  <w:style w:type="character" w:styleId="25">
    <w:name w:val="Emphasis"/>
    <w:basedOn w:val="22"/>
    <w:qFormat/>
    <w:uiPriority w:val="0"/>
    <w:rPr>
      <w:i/>
    </w:rPr>
  </w:style>
  <w:style w:type="character" w:styleId="26">
    <w:name w:val="Hyperlink"/>
    <w:basedOn w:val="22"/>
    <w:qFormat/>
    <w:uiPriority w:val="99"/>
    <w:rPr>
      <w:color w:val="0000FF"/>
      <w:u w:val="single"/>
    </w:rPr>
  </w:style>
  <w:style w:type="paragraph" w:customStyle="1" w:styleId="27">
    <w:name w:val="样式1"/>
    <w:basedOn w:val="8"/>
    <w:next w:val="5"/>
    <w:qFormat/>
    <w:uiPriority w:val="0"/>
    <w:pPr>
      <w:spacing w:line="360" w:lineRule="auto"/>
      <w:ind w:firstLine="560" w:firstLineChars="200"/>
    </w:pPr>
    <w:rPr>
      <w:rFonts w:ascii="宋体" w:hAnsi="宋体"/>
      <w:sz w:val="28"/>
      <w:szCs w:val="28"/>
    </w:rPr>
  </w:style>
  <w:style w:type="paragraph" w:customStyle="1" w:styleId="28">
    <w:name w:val="_Style 1"/>
    <w:qFormat/>
    <w:uiPriority w:val="0"/>
    <w:pPr>
      <w:widowControl w:val="0"/>
      <w:jc w:val="both"/>
    </w:pPr>
    <w:rPr>
      <w:rFonts w:ascii="Calibri" w:hAnsi="Calibri" w:eastAsia="宋体" w:cs="Times New Roman"/>
      <w:kern w:val="2"/>
      <w:sz w:val="21"/>
      <w:szCs w:val="22"/>
      <w:lang w:val="en-US" w:eastAsia="zh-CN" w:bidi="ar-SA"/>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标题 1 字符"/>
    <w:basedOn w:val="22"/>
    <w:link w:val="2"/>
    <w:qFormat/>
    <w:uiPriority w:val="0"/>
    <w:rPr>
      <w:rFonts w:hint="default" w:ascii="Calibri" w:hAnsi="Calibri" w:cs="Calibri"/>
      <w:b/>
      <w:bCs/>
      <w:kern w:val="44"/>
      <w:sz w:val="44"/>
      <w:szCs w:val="44"/>
    </w:rPr>
  </w:style>
  <w:style w:type="paragraph" w:styleId="31">
    <w:name w:val="List Paragraph"/>
    <w:basedOn w:val="1"/>
    <w:unhideWhenUsed/>
    <w:qFormat/>
    <w:uiPriority w:val="99"/>
    <w:pPr>
      <w:ind w:firstLine="420" w:firstLineChars="200"/>
    </w:pPr>
  </w:style>
  <w:style w:type="character" w:customStyle="1" w:styleId="32">
    <w:name w:val="标题 3 字符"/>
    <w:basedOn w:val="22"/>
    <w:link w:val="4"/>
    <w:qFormat/>
    <w:uiPriority w:val="0"/>
    <w:rPr>
      <w:rFonts w:hint="default" w:ascii="Calibri" w:hAnsi="Calibri" w:cs="Calibri"/>
      <w:b/>
      <w:bCs/>
      <w:sz w:val="32"/>
      <w:szCs w:val="32"/>
    </w:rPr>
  </w:style>
  <w:style w:type="paragraph" w:customStyle="1" w:styleId="33">
    <w:name w:val="Default"/>
    <w:basedOn w:val="1"/>
    <w:next w:val="16"/>
    <w:qFormat/>
    <w:uiPriority w:val="0"/>
    <w:pPr>
      <w:widowControl w:val="0"/>
    </w:pPr>
    <w:rPr>
      <w:rFonts w:hint="eastAsia" w:ascii="宋体" w:hAnsi="Times New Roman" w:eastAsia="宋体" w:cs="Times New Roman"/>
      <w:sz w:val="24"/>
      <w:szCs w:val="24"/>
    </w:rPr>
  </w:style>
  <w:style w:type="paragraph" w:customStyle="1" w:styleId="34">
    <w:name w:val="TOC 标题1"/>
    <w:basedOn w:val="2"/>
    <w:next w:val="1"/>
    <w:unhideWhenUsed/>
    <w:qFormat/>
    <w:uiPriority w:val="39"/>
    <w:pPr>
      <w:kinsoku/>
      <w:autoSpaceDE/>
      <w:autoSpaceDN/>
      <w:adjustRightInd/>
      <w:snapToGrid/>
      <w:spacing w:before="240" w:after="0" w:line="259" w:lineRule="auto"/>
      <w:ind w:firstLine="0"/>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 w:type="character" w:customStyle="1" w:styleId="35">
    <w:name w:val="正文文本 字符"/>
    <w:basedOn w:val="22"/>
    <w:link w:val="9"/>
    <w:qFormat/>
    <w:uiPriority w:val="99"/>
    <w:rPr>
      <w:rFonts w:ascii="宋体" w:hAnsi="Arial" w:eastAsia="Arial" w:cs="Arial"/>
      <w:snapToGrid w:val="0"/>
      <w:color w:val="000000"/>
      <w:sz w:val="24"/>
    </w:rPr>
  </w:style>
  <w:style w:type="character" w:customStyle="1" w:styleId="36">
    <w:name w:val="页脚 字符"/>
    <w:basedOn w:val="22"/>
    <w:link w:val="13"/>
    <w:qFormat/>
    <w:uiPriority w:val="99"/>
    <w:rPr>
      <w:rFonts w:ascii="Arial" w:hAnsi="Arial" w:eastAsia="Arial" w:cs="Arial"/>
      <w:snapToGrid w:val="0"/>
      <w:color w:val="000000"/>
      <w:sz w:val="18"/>
      <w:szCs w:val="18"/>
    </w:rPr>
  </w:style>
  <w:style w:type="character" w:customStyle="1" w:styleId="37">
    <w:name w:val="未处理的提及1"/>
    <w:basedOn w:val="22"/>
    <w:semiHidden/>
    <w:unhideWhenUsed/>
    <w:qFormat/>
    <w:uiPriority w:val="99"/>
    <w:rPr>
      <w:color w:val="605E5C"/>
      <w:shd w:val="clear" w:color="auto" w:fill="E1DFDD"/>
    </w:rPr>
  </w:style>
  <w:style w:type="paragraph" w:customStyle="1" w:styleId="38">
    <w:name w:val="正文文本_1"/>
    <w:basedOn w:val="3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9">
    <w:name w:val="正文_1"/>
    <w:next w:val="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18BFC-FFC4-47B6-9C60-EE73DF9BF077}">
  <ds:schemaRefs/>
</ds:datastoreItem>
</file>

<file path=docProps/app.xml><?xml version="1.0" encoding="utf-8"?>
<Properties xmlns="http://schemas.openxmlformats.org/officeDocument/2006/extended-properties" xmlns:vt="http://schemas.openxmlformats.org/officeDocument/2006/docPropsVTypes">
  <Template>Normal</Template>
  <Pages>76</Pages>
  <Words>40436</Words>
  <Characters>43307</Characters>
  <Lines>1</Lines>
  <Paragraphs>1</Paragraphs>
  <TotalTime>48</TotalTime>
  <ScaleCrop>false</ScaleCrop>
  <LinksUpToDate>false</LinksUpToDate>
  <CharactersWithSpaces>44783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2022-03-09T11:41:00Z</dcterms:created>
  <dc:creator>王峰</dc:creator>
  <cp:lastModifiedBy>小鸭子</cp:lastModifiedBy>
  <dcterms:modified xsi:type="dcterms:W3CDTF">2024-10-24T10:27:46Z</dcterms:modified>
  <dc:title>滨州市政府采购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2023-04-11T16:23:52Z</vt:filetime>
  </property>
  <property fmtid="{D5CDD505-2E9C-101B-9397-08002B2CF9AE}" pid="4" name="KSOProductBuildVer">
    <vt:lpwstr>2052-12.1.0.18276</vt:lpwstr>
  </property>
  <property fmtid="{D5CDD505-2E9C-101B-9397-08002B2CF9AE}" pid="5" name="ICV">
    <vt:lpwstr>825854886DAF4632B4852E9A7BA083D5_13</vt:lpwstr>
  </property>
</Properties>
</file>