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26701B">
      <w:pPr>
        <w:spacing w:line="336" w:lineRule="auto"/>
        <w:jc w:val="center"/>
        <w:rPr>
          <w:rFonts w:hint="eastAsia" w:ascii="仿宋" w:hAnsi="仿宋" w:eastAsia="仿宋" w:cs="仿宋"/>
          <w:b/>
          <w:sz w:val="40"/>
          <w:szCs w:val="40"/>
        </w:rPr>
      </w:pPr>
      <w:r>
        <w:rPr>
          <w:rFonts w:hint="eastAsia" w:ascii="仿宋" w:hAnsi="仿宋" w:eastAsia="仿宋" w:cs="仿宋"/>
          <w:b/>
          <w:sz w:val="40"/>
          <w:szCs w:val="40"/>
          <w:lang w:eastAsia="zh-CN"/>
        </w:rPr>
        <w:t>莎车县柔性引才（法治能力提升）公开招标</w:t>
      </w:r>
      <w:r>
        <w:rPr>
          <w:rFonts w:hint="eastAsia" w:ascii="仿宋" w:hAnsi="仿宋" w:eastAsia="仿宋" w:cs="仿宋"/>
          <w:b/>
          <w:sz w:val="40"/>
          <w:szCs w:val="40"/>
        </w:rPr>
        <w:t>公告</w:t>
      </w:r>
    </w:p>
    <w:p w14:paraId="1B1297F2">
      <w:pPr>
        <w:pStyle w:val="2"/>
        <w:ind w:left="0" w:leftChars="0" w:firstLine="0" w:firstLineChars="0"/>
        <w:rPr>
          <w:rFonts w:hint="eastAsia"/>
        </w:rPr>
      </w:pPr>
    </w:p>
    <w:p w14:paraId="31822254">
      <w:pPr>
        <w:pBdr>
          <w:top w:val="single" w:color="auto" w:sz="4" w:space="1"/>
          <w:left w:val="single" w:color="auto" w:sz="4" w:space="4"/>
          <w:bottom w:val="single" w:color="auto" w:sz="4" w:space="1"/>
          <w:right w:val="single" w:color="auto" w:sz="4" w:space="4"/>
        </w:pBdr>
        <w:spacing w:line="360" w:lineRule="auto"/>
        <w:rPr>
          <w:rFonts w:hint="eastAsia" w:ascii="仿宋" w:hAnsi="仿宋" w:eastAsia="仿宋" w:cs="仿宋"/>
          <w:sz w:val="24"/>
          <w:szCs w:val="24"/>
        </w:rPr>
      </w:pPr>
      <w:r>
        <w:rPr>
          <w:rFonts w:hint="eastAsia" w:ascii="仿宋" w:hAnsi="仿宋" w:eastAsia="仿宋" w:cs="仿宋"/>
          <w:sz w:val="24"/>
          <w:szCs w:val="24"/>
        </w:rPr>
        <w:t>项目概况：</w:t>
      </w:r>
    </w:p>
    <w:p w14:paraId="48EA9099">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u w:val="single"/>
        </w:rPr>
        <w:t>莎车县柔性引才（法治能力提升）</w:t>
      </w:r>
      <w:r>
        <w:rPr>
          <w:rFonts w:hint="eastAsia" w:ascii="仿宋" w:hAnsi="仿宋" w:eastAsia="仿宋" w:cs="仿宋"/>
          <w:sz w:val="24"/>
          <w:szCs w:val="24"/>
        </w:rPr>
        <w:t>招标项目的潜在投标人应在</w:t>
      </w:r>
      <w:r>
        <w:rPr>
          <w:rFonts w:hint="eastAsia" w:ascii="仿宋" w:hAnsi="仿宋" w:eastAsia="仿宋" w:cs="仿宋"/>
          <w:sz w:val="24"/>
          <w:szCs w:val="24"/>
          <w:u w:val="single"/>
          <w:lang w:eastAsia="zh-CN"/>
        </w:rPr>
        <w:t>登录新疆政府采购网</w:t>
      </w:r>
      <w:r>
        <w:rPr>
          <w:rFonts w:hint="eastAsia" w:ascii="仿宋" w:hAnsi="仿宋" w:eastAsia="仿宋" w:cs="仿宋"/>
          <w:sz w:val="24"/>
          <w:szCs w:val="24"/>
          <w:u w:val="single"/>
        </w:rPr>
        <w:t>政采云线上</w:t>
      </w:r>
      <w:r>
        <w:rPr>
          <w:rFonts w:hint="eastAsia" w:ascii="仿宋" w:hAnsi="仿宋" w:eastAsia="仿宋" w:cs="仿宋"/>
          <w:sz w:val="24"/>
          <w:szCs w:val="24"/>
        </w:rPr>
        <w:t>获取招标文件，并于</w:t>
      </w:r>
      <w:r>
        <w:rPr>
          <w:rFonts w:hint="eastAsia" w:ascii="仿宋" w:hAnsi="仿宋" w:eastAsia="仿宋" w:cs="仿宋"/>
          <w:b w:val="0"/>
          <w:bCs w:val="0"/>
          <w:color w:val="FF0000"/>
          <w:sz w:val="24"/>
          <w:szCs w:val="24"/>
          <w:u w:val="single"/>
        </w:rPr>
        <w:t>202</w:t>
      </w:r>
      <w:r>
        <w:rPr>
          <w:rFonts w:hint="eastAsia" w:ascii="仿宋" w:hAnsi="仿宋" w:eastAsia="仿宋" w:cs="仿宋"/>
          <w:b w:val="0"/>
          <w:bCs w:val="0"/>
          <w:color w:val="FF0000"/>
          <w:sz w:val="24"/>
          <w:szCs w:val="24"/>
          <w:u w:val="single"/>
          <w:lang w:val="en-US" w:eastAsia="zh-CN"/>
        </w:rPr>
        <w:t>5</w:t>
      </w:r>
      <w:r>
        <w:rPr>
          <w:rFonts w:hint="eastAsia" w:ascii="仿宋" w:hAnsi="仿宋" w:eastAsia="仿宋" w:cs="仿宋"/>
          <w:b w:val="0"/>
          <w:bCs w:val="0"/>
          <w:color w:val="FF0000"/>
          <w:sz w:val="24"/>
          <w:szCs w:val="24"/>
          <w:u w:val="single"/>
        </w:rPr>
        <w:t>年</w:t>
      </w:r>
      <w:r>
        <w:rPr>
          <w:rFonts w:hint="eastAsia" w:ascii="仿宋" w:hAnsi="仿宋" w:eastAsia="仿宋" w:cs="仿宋"/>
          <w:b w:val="0"/>
          <w:bCs w:val="0"/>
          <w:color w:val="FF0000"/>
          <w:sz w:val="24"/>
          <w:szCs w:val="24"/>
          <w:u w:val="single"/>
          <w:lang w:val="en-US" w:eastAsia="zh-CN"/>
        </w:rPr>
        <w:t xml:space="preserve">4 </w:t>
      </w:r>
      <w:r>
        <w:rPr>
          <w:rFonts w:hint="eastAsia" w:ascii="仿宋" w:hAnsi="仿宋" w:eastAsia="仿宋" w:cs="仿宋"/>
          <w:b w:val="0"/>
          <w:bCs w:val="0"/>
          <w:color w:val="FF0000"/>
          <w:sz w:val="24"/>
          <w:szCs w:val="24"/>
          <w:u w:val="single"/>
        </w:rPr>
        <w:t>月</w:t>
      </w:r>
      <w:r>
        <w:rPr>
          <w:rFonts w:hint="eastAsia" w:ascii="仿宋" w:hAnsi="仿宋" w:eastAsia="仿宋" w:cs="仿宋"/>
          <w:b w:val="0"/>
          <w:bCs w:val="0"/>
          <w:color w:val="FF0000"/>
          <w:sz w:val="24"/>
          <w:szCs w:val="24"/>
          <w:u w:val="single"/>
          <w:lang w:val="en-US" w:eastAsia="zh-CN"/>
        </w:rPr>
        <w:t xml:space="preserve">22 </w:t>
      </w:r>
      <w:r>
        <w:rPr>
          <w:rFonts w:hint="eastAsia" w:ascii="仿宋" w:hAnsi="仿宋" w:eastAsia="仿宋" w:cs="仿宋"/>
          <w:b w:val="0"/>
          <w:bCs w:val="0"/>
          <w:color w:val="FF0000"/>
          <w:sz w:val="24"/>
          <w:szCs w:val="24"/>
          <w:u w:val="single"/>
        </w:rPr>
        <w:t>日</w:t>
      </w:r>
      <w:r>
        <w:rPr>
          <w:rFonts w:hint="eastAsia" w:ascii="仿宋" w:hAnsi="仿宋" w:eastAsia="仿宋" w:cs="仿宋"/>
          <w:b w:val="0"/>
          <w:bCs w:val="0"/>
          <w:color w:val="FF0000"/>
          <w:sz w:val="24"/>
          <w:szCs w:val="24"/>
          <w:u w:val="single"/>
          <w:lang w:val="en-US" w:eastAsia="zh-CN"/>
        </w:rPr>
        <w:t>11</w:t>
      </w:r>
      <w:r>
        <w:rPr>
          <w:rFonts w:hint="eastAsia" w:ascii="仿宋" w:hAnsi="仿宋" w:eastAsia="仿宋" w:cs="仿宋"/>
          <w:b w:val="0"/>
          <w:bCs w:val="0"/>
          <w:color w:val="FF0000"/>
          <w:sz w:val="24"/>
          <w:szCs w:val="24"/>
          <w:u w:val="single"/>
        </w:rPr>
        <w:t>点</w:t>
      </w:r>
      <w:r>
        <w:rPr>
          <w:rFonts w:hint="eastAsia" w:ascii="仿宋" w:hAnsi="仿宋" w:eastAsia="仿宋" w:cs="仿宋"/>
          <w:b w:val="0"/>
          <w:bCs w:val="0"/>
          <w:color w:val="FF0000"/>
          <w:sz w:val="24"/>
          <w:szCs w:val="24"/>
          <w:u w:val="single"/>
          <w:lang w:val="en-US" w:eastAsia="zh-CN"/>
        </w:rPr>
        <w:t>0</w:t>
      </w:r>
      <w:r>
        <w:rPr>
          <w:rFonts w:hint="eastAsia" w:ascii="仿宋" w:hAnsi="仿宋" w:eastAsia="仿宋" w:cs="仿宋"/>
          <w:b w:val="0"/>
          <w:bCs w:val="0"/>
          <w:color w:val="FF0000"/>
          <w:sz w:val="24"/>
          <w:szCs w:val="24"/>
          <w:u w:val="single"/>
        </w:rPr>
        <w:t>0分</w:t>
      </w:r>
      <w:r>
        <w:rPr>
          <w:rFonts w:hint="eastAsia" w:ascii="仿宋" w:hAnsi="仿宋" w:eastAsia="仿宋" w:cs="仿宋"/>
          <w:bCs/>
          <w:sz w:val="24"/>
          <w:szCs w:val="24"/>
        </w:rPr>
        <w:t>前递交投标文件</w:t>
      </w:r>
      <w:r>
        <w:rPr>
          <w:rFonts w:hint="eastAsia" w:ascii="仿宋" w:hAnsi="仿宋" w:eastAsia="仿宋" w:cs="仿宋"/>
          <w:sz w:val="24"/>
          <w:szCs w:val="24"/>
        </w:rPr>
        <w:t>。</w:t>
      </w:r>
    </w:p>
    <w:p w14:paraId="4E8ADF68">
      <w:pPr>
        <w:adjustRightInd w:val="0"/>
        <w:spacing w:line="336" w:lineRule="auto"/>
        <w:rPr>
          <w:rFonts w:hint="eastAsia" w:ascii="仿宋" w:hAnsi="仿宋" w:eastAsia="仿宋" w:cs="仿宋"/>
          <w:b/>
          <w:bCs/>
          <w:sz w:val="24"/>
          <w:szCs w:val="24"/>
          <w:u w:val="none"/>
          <w:lang w:eastAsia="zh-CN"/>
        </w:rPr>
      </w:pPr>
    </w:p>
    <w:p w14:paraId="380BBDA4">
      <w:pPr>
        <w:adjustRightInd w:val="0"/>
        <w:spacing w:line="336" w:lineRule="auto"/>
        <w:rPr>
          <w:rFonts w:hint="eastAsia" w:ascii="仿宋" w:hAnsi="仿宋" w:eastAsia="仿宋" w:cs="仿宋"/>
          <w:b/>
          <w:bCs/>
          <w:sz w:val="24"/>
          <w:szCs w:val="24"/>
          <w:u w:val="none"/>
          <w:lang w:eastAsia="zh-CN"/>
        </w:rPr>
      </w:pPr>
      <w:r>
        <w:rPr>
          <w:rFonts w:hint="eastAsia" w:ascii="仿宋" w:hAnsi="仿宋" w:eastAsia="仿宋" w:cs="仿宋"/>
          <w:b/>
          <w:bCs/>
          <w:sz w:val="24"/>
          <w:szCs w:val="24"/>
          <w:u w:val="none"/>
          <w:lang w:eastAsia="zh-CN"/>
        </w:rPr>
        <w:t>一、项目基本情况：</w:t>
      </w:r>
    </w:p>
    <w:p w14:paraId="43351898">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eastAsia="zh-CN"/>
        </w:rPr>
        <w:t>1、项目名称：</w:t>
      </w:r>
      <w:r>
        <w:rPr>
          <w:rFonts w:hint="eastAsia" w:ascii="仿宋" w:hAnsi="仿宋" w:eastAsia="仿宋" w:cs="仿宋"/>
          <w:sz w:val="24"/>
          <w:szCs w:val="24"/>
          <w:u w:val="none"/>
          <w:lang w:val="en-US" w:eastAsia="zh-CN"/>
        </w:rPr>
        <w:t>莎车县柔性引才（法治能力提升）</w:t>
      </w:r>
    </w:p>
    <w:p w14:paraId="74F25B0C">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eastAsia="zh-CN"/>
        </w:rPr>
        <w:t xml:space="preserve">2、项目编号： </w:t>
      </w:r>
      <w:r>
        <w:rPr>
          <w:rFonts w:hint="eastAsia" w:ascii="仿宋" w:hAnsi="仿宋" w:eastAsia="仿宋" w:cs="仿宋"/>
          <w:sz w:val="24"/>
          <w:szCs w:val="24"/>
          <w:u w:val="none"/>
          <w:lang w:val="en-US" w:eastAsia="zh-CN"/>
        </w:rPr>
        <w:t>XJJTHY(GK)2025-008</w:t>
      </w:r>
    </w:p>
    <w:p w14:paraId="4D716169">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eastAsia="zh-CN"/>
        </w:rPr>
        <w:t>3、采购单位名称:</w:t>
      </w:r>
      <w:r>
        <w:rPr>
          <w:rFonts w:hint="eastAsia" w:ascii="仿宋" w:hAnsi="仿宋" w:eastAsia="仿宋" w:cs="仿宋"/>
          <w:sz w:val="24"/>
          <w:szCs w:val="24"/>
          <w:u w:val="none"/>
          <w:lang w:val="en-US" w:eastAsia="zh-CN"/>
        </w:rPr>
        <w:t>莎车县SF</w:t>
      </w:r>
      <w:bookmarkStart w:id="0" w:name="_GoBack"/>
      <w:bookmarkEnd w:id="0"/>
      <w:r>
        <w:rPr>
          <w:rFonts w:hint="eastAsia" w:ascii="仿宋" w:hAnsi="仿宋" w:eastAsia="仿宋" w:cs="仿宋"/>
          <w:sz w:val="24"/>
          <w:szCs w:val="24"/>
          <w:u w:val="none"/>
          <w:lang w:val="en-US" w:eastAsia="zh-CN"/>
        </w:rPr>
        <w:t>局</w:t>
      </w:r>
    </w:p>
    <w:p w14:paraId="23913371">
      <w:pPr>
        <w:adjustRightInd w:val="0"/>
        <w:spacing w:line="336" w:lineRule="auto"/>
        <w:rPr>
          <w:rFonts w:hint="eastAsia" w:ascii="仿宋" w:hAnsi="仿宋" w:eastAsia="仿宋" w:cs="仿宋"/>
          <w:sz w:val="24"/>
          <w:szCs w:val="24"/>
          <w:u w:val="none"/>
          <w:lang w:eastAsia="zh-CN"/>
        </w:rPr>
      </w:pPr>
      <w:r>
        <w:rPr>
          <w:rFonts w:hint="eastAsia" w:ascii="仿宋" w:hAnsi="仿宋" w:eastAsia="仿宋" w:cs="仿宋"/>
          <w:sz w:val="24"/>
          <w:szCs w:val="24"/>
          <w:u w:val="none"/>
          <w:lang w:eastAsia="zh-CN"/>
        </w:rPr>
        <w:t>4、采购代理机构名称：新疆</w:t>
      </w:r>
      <w:r>
        <w:rPr>
          <w:rFonts w:hint="eastAsia" w:ascii="仿宋" w:hAnsi="仿宋" w:eastAsia="仿宋" w:cs="仿宋"/>
          <w:sz w:val="24"/>
          <w:szCs w:val="24"/>
          <w:u w:val="none"/>
          <w:lang w:val="en-US" w:eastAsia="zh-CN"/>
        </w:rPr>
        <w:t>锦天恒业</w:t>
      </w:r>
      <w:r>
        <w:rPr>
          <w:rFonts w:hint="eastAsia" w:ascii="仿宋" w:hAnsi="仿宋" w:eastAsia="仿宋" w:cs="仿宋"/>
          <w:sz w:val="24"/>
          <w:szCs w:val="24"/>
          <w:u w:val="none"/>
          <w:lang w:eastAsia="zh-CN"/>
        </w:rPr>
        <w:t>工程项目管理有限公司</w:t>
      </w:r>
    </w:p>
    <w:p w14:paraId="2C421052">
      <w:pPr>
        <w:adjustRightInd w:val="0"/>
        <w:spacing w:line="336" w:lineRule="auto"/>
        <w:rPr>
          <w:rFonts w:hint="default" w:ascii="仿宋" w:hAnsi="仿宋" w:eastAsia="仿宋" w:cs="仿宋"/>
          <w:sz w:val="24"/>
          <w:szCs w:val="24"/>
          <w:u w:val="none"/>
          <w:lang w:val="en-US" w:eastAsia="zh-CN"/>
        </w:rPr>
      </w:pPr>
      <w:r>
        <w:rPr>
          <w:rFonts w:hint="eastAsia" w:ascii="仿宋" w:hAnsi="仿宋" w:eastAsia="仿宋" w:cs="仿宋"/>
          <w:sz w:val="24"/>
          <w:szCs w:val="24"/>
          <w:u w:val="none"/>
          <w:lang w:eastAsia="zh-CN"/>
        </w:rPr>
        <w:t>5、采购内容及预算：</w:t>
      </w:r>
      <w:r>
        <w:rPr>
          <w:rFonts w:hint="eastAsia" w:ascii="仿宋" w:hAnsi="仿宋" w:eastAsia="仿宋" w:cs="仿宋"/>
          <w:sz w:val="24"/>
          <w:szCs w:val="24"/>
          <w:u w:val="none"/>
          <w:lang w:val="en-US" w:eastAsia="zh-CN"/>
        </w:rPr>
        <w:t>3500000元</w:t>
      </w:r>
    </w:p>
    <w:tbl>
      <w:tblPr>
        <w:tblStyle w:val="4"/>
        <w:tblpPr w:leftFromText="180" w:rightFromText="180" w:vertAnchor="text" w:horzAnchor="page" w:tblpX="1246" w:tblpY="125"/>
        <w:tblOverlap w:val="never"/>
        <w:tblW w:w="95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949"/>
        <w:gridCol w:w="2112"/>
        <w:gridCol w:w="931"/>
        <w:gridCol w:w="870"/>
        <w:gridCol w:w="1492"/>
        <w:gridCol w:w="3199"/>
      </w:tblGrid>
      <w:tr w14:paraId="507EC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40" w:hRule="atLeast"/>
          <w:jc w:val="center"/>
        </w:trPr>
        <w:tc>
          <w:tcPr>
            <w:tcW w:w="949" w:type="dxa"/>
            <w:noWrap w:val="0"/>
            <w:tcMar>
              <w:top w:w="75" w:type="dxa"/>
              <w:left w:w="150" w:type="dxa"/>
              <w:bottom w:w="75" w:type="dxa"/>
              <w:right w:w="150" w:type="dxa"/>
            </w:tcMar>
            <w:vAlign w:val="center"/>
          </w:tcPr>
          <w:p w14:paraId="1B235AD0">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标项序号</w:t>
            </w:r>
          </w:p>
        </w:tc>
        <w:tc>
          <w:tcPr>
            <w:tcW w:w="2112" w:type="dxa"/>
            <w:noWrap w:val="0"/>
            <w:tcMar>
              <w:top w:w="75" w:type="dxa"/>
              <w:left w:w="150" w:type="dxa"/>
              <w:bottom w:w="75" w:type="dxa"/>
              <w:right w:w="150" w:type="dxa"/>
            </w:tcMar>
            <w:vAlign w:val="center"/>
          </w:tcPr>
          <w:p w14:paraId="42317E8F">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标项名称</w:t>
            </w:r>
          </w:p>
        </w:tc>
        <w:tc>
          <w:tcPr>
            <w:tcW w:w="931" w:type="dxa"/>
            <w:noWrap w:val="0"/>
            <w:tcMar>
              <w:top w:w="75" w:type="dxa"/>
              <w:left w:w="150" w:type="dxa"/>
              <w:bottom w:w="75" w:type="dxa"/>
              <w:right w:w="150" w:type="dxa"/>
            </w:tcMar>
            <w:vAlign w:val="center"/>
          </w:tcPr>
          <w:p w14:paraId="52221207">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数量</w:t>
            </w:r>
          </w:p>
        </w:tc>
        <w:tc>
          <w:tcPr>
            <w:tcW w:w="870" w:type="dxa"/>
            <w:noWrap w:val="0"/>
            <w:tcMar>
              <w:top w:w="75" w:type="dxa"/>
              <w:left w:w="150" w:type="dxa"/>
              <w:bottom w:w="75" w:type="dxa"/>
              <w:right w:w="150" w:type="dxa"/>
            </w:tcMar>
            <w:vAlign w:val="center"/>
          </w:tcPr>
          <w:p w14:paraId="7D0AAD50">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单位</w:t>
            </w:r>
          </w:p>
        </w:tc>
        <w:tc>
          <w:tcPr>
            <w:tcW w:w="1492" w:type="dxa"/>
            <w:tcBorders>
              <w:right w:val="single" w:color="auto" w:sz="4" w:space="0"/>
            </w:tcBorders>
            <w:noWrap w:val="0"/>
            <w:tcMar>
              <w:top w:w="75" w:type="dxa"/>
              <w:left w:w="150" w:type="dxa"/>
              <w:bottom w:w="75" w:type="dxa"/>
              <w:right w:w="150" w:type="dxa"/>
            </w:tcMar>
            <w:vAlign w:val="center"/>
          </w:tcPr>
          <w:p w14:paraId="26741931">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预算金额(元)</w:t>
            </w:r>
          </w:p>
        </w:tc>
        <w:tc>
          <w:tcPr>
            <w:tcW w:w="3199" w:type="dxa"/>
            <w:tcBorders>
              <w:top w:val="single" w:color="auto" w:sz="4" w:space="0"/>
              <w:left w:val="single" w:color="auto" w:sz="4" w:space="0"/>
              <w:right w:val="single" w:color="auto" w:sz="4" w:space="0"/>
            </w:tcBorders>
            <w:noWrap w:val="0"/>
            <w:tcMar>
              <w:top w:w="75" w:type="dxa"/>
              <w:left w:w="150" w:type="dxa"/>
              <w:bottom w:w="75" w:type="dxa"/>
              <w:right w:w="150" w:type="dxa"/>
            </w:tcMar>
            <w:vAlign w:val="center"/>
          </w:tcPr>
          <w:p w14:paraId="06B29DBB">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简要规格描述</w:t>
            </w:r>
          </w:p>
        </w:tc>
      </w:tr>
      <w:tr w14:paraId="09A9B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54" w:hRule="atLeast"/>
          <w:jc w:val="center"/>
        </w:trPr>
        <w:tc>
          <w:tcPr>
            <w:tcW w:w="949" w:type="dxa"/>
            <w:noWrap w:val="0"/>
            <w:tcMar>
              <w:top w:w="75" w:type="dxa"/>
              <w:left w:w="150" w:type="dxa"/>
              <w:bottom w:w="75" w:type="dxa"/>
              <w:right w:w="150" w:type="dxa"/>
            </w:tcMar>
            <w:vAlign w:val="center"/>
          </w:tcPr>
          <w:p w14:paraId="2F00379B">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2112" w:type="dxa"/>
            <w:noWrap w:val="0"/>
            <w:tcMar>
              <w:top w:w="75" w:type="dxa"/>
              <w:left w:w="150" w:type="dxa"/>
              <w:bottom w:w="75" w:type="dxa"/>
              <w:right w:w="150" w:type="dxa"/>
            </w:tcMar>
            <w:vAlign w:val="center"/>
          </w:tcPr>
          <w:p w14:paraId="16D1944E">
            <w:pPr>
              <w:adjustRightInd w:val="0"/>
              <w:spacing w:line="336" w:lineRule="auto"/>
              <w:jc w:val="center"/>
              <w:rPr>
                <w:rFonts w:hint="default" w:ascii="仿宋" w:hAnsi="仿宋" w:eastAsia="仿宋" w:cs="仿宋"/>
                <w:sz w:val="22"/>
                <w:szCs w:val="22"/>
                <w:u w:val="none"/>
                <w:lang w:val="en-US" w:eastAsia="zh-CN"/>
              </w:rPr>
            </w:pPr>
            <w:r>
              <w:rPr>
                <w:rFonts w:hint="default" w:ascii="仿宋" w:hAnsi="仿宋" w:eastAsia="仿宋" w:cs="仿宋"/>
                <w:sz w:val="22"/>
                <w:szCs w:val="22"/>
                <w:u w:val="none"/>
                <w:lang w:val="en-US" w:eastAsia="zh-CN"/>
              </w:rPr>
              <w:t>莎车县柔性引才（法治能力提升）</w:t>
            </w:r>
          </w:p>
        </w:tc>
        <w:tc>
          <w:tcPr>
            <w:tcW w:w="931" w:type="dxa"/>
            <w:noWrap w:val="0"/>
            <w:tcMar>
              <w:top w:w="75" w:type="dxa"/>
              <w:left w:w="150" w:type="dxa"/>
              <w:bottom w:w="75" w:type="dxa"/>
              <w:right w:w="150" w:type="dxa"/>
            </w:tcMar>
            <w:vAlign w:val="center"/>
          </w:tcPr>
          <w:p w14:paraId="13DAD8A9">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70" w:type="dxa"/>
            <w:noWrap w:val="0"/>
            <w:tcMar>
              <w:top w:w="75" w:type="dxa"/>
              <w:left w:w="150" w:type="dxa"/>
              <w:bottom w:w="75" w:type="dxa"/>
              <w:right w:w="150" w:type="dxa"/>
            </w:tcMar>
            <w:vAlign w:val="center"/>
          </w:tcPr>
          <w:p w14:paraId="156C2B27">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项</w:t>
            </w:r>
          </w:p>
        </w:tc>
        <w:tc>
          <w:tcPr>
            <w:tcW w:w="1492" w:type="dxa"/>
            <w:tcBorders>
              <w:right w:val="single" w:color="auto" w:sz="4" w:space="0"/>
            </w:tcBorders>
            <w:noWrap w:val="0"/>
            <w:tcMar>
              <w:top w:w="75" w:type="dxa"/>
              <w:left w:w="150" w:type="dxa"/>
              <w:bottom w:w="75" w:type="dxa"/>
              <w:right w:w="150" w:type="dxa"/>
            </w:tcMar>
            <w:vAlign w:val="center"/>
          </w:tcPr>
          <w:p w14:paraId="05722828">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293.4</w:t>
            </w:r>
          </w:p>
        </w:tc>
        <w:tc>
          <w:tcPr>
            <w:tcW w:w="3199" w:type="dxa"/>
            <w:tcBorders>
              <w:left w:val="single" w:color="auto" w:sz="4" w:space="0"/>
              <w:right w:val="single" w:color="auto" w:sz="4" w:space="0"/>
            </w:tcBorders>
            <w:noWrap w:val="0"/>
            <w:tcMar>
              <w:top w:w="75" w:type="dxa"/>
              <w:left w:w="150" w:type="dxa"/>
              <w:bottom w:w="75" w:type="dxa"/>
              <w:right w:w="150" w:type="dxa"/>
            </w:tcMar>
            <w:vAlign w:val="center"/>
          </w:tcPr>
          <w:p w14:paraId="214D4F4E">
            <w:pPr>
              <w:adjustRightInd w:val="0"/>
              <w:spacing w:line="336" w:lineRule="auto"/>
              <w:jc w:val="both"/>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为莎车县委、县人民政府及各职能部门共46个、乡镇（街道、管委会、场）37个党政机关法律服务（具体详见招标文件）</w:t>
            </w:r>
          </w:p>
        </w:tc>
      </w:tr>
      <w:tr w14:paraId="41DF6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43" w:hRule="atLeast"/>
          <w:jc w:val="center"/>
        </w:trPr>
        <w:tc>
          <w:tcPr>
            <w:tcW w:w="949" w:type="dxa"/>
            <w:noWrap w:val="0"/>
            <w:tcMar>
              <w:top w:w="75" w:type="dxa"/>
              <w:left w:w="150" w:type="dxa"/>
              <w:bottom w:w="75" w:type="dxa"/>
              <w:right w:w="150" w:type="dxa"/>
            </w:tcMar>
            <w:vAlign w:val="center"/>
          </w:tcPr>
          <w:p w14:paraId="65248D7F">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2</w:t>
            </w:r>
          </w:p>
        </w:tc>
        <w:tc>
          <w:tcPr>
            <w:tcW w:w="2112" w:type="dxa"/>
            <w:noWrap w:val="0"/>
            <w:tcMar>
              <w:top w:w="75" w:type="dxa"/>
              <w:left w:w="150" w:type="dxa"/>
              <w:bottom w:w="75" w:type="dxa"/>
              <w:right w:w="150" w:type="dxa"/>
            </w:tcMar>
            <w:vAlign w:val="center"/>
          </w:tcPr>
          <w:p w14:paraId="59A19C37">
            <w:pPr>
              <w:adjustRightInd w:val="0"/>
              <w:spacing w:line="336" w:lineRule="auto"/>
              <w:jc w:val="center"/>
              <w:rPr>
                <w:rFonts w:hint="default" w:ascii="仿宋" w:hAnsi="仿宋" w:eastAsia="仿宋" w:cs="仿宋"/>
                <w:sz w:val="22"/>
                <w:szCs w:val="22"/>
                <w:u w:val="none"/>
                <w:lang w:val="en-US" w:eastAsia="zh-CN"/>
              </w:rPr>
            </w:pPr>
            <w:r>
              <w:rPr>
                <w:rFonts w:hint="default" w:ascii="仿宋" w:hAnsi="仿宋" w:eastAsia="仿宋" w:cs="仿宋"/>
                <w:sz w:val="22"/>
                <w:szCs w:val="22"/>
                <w:u w:val="none"/>
                <w:lang w:val="en-US" w:eastAsia="zh-CN"/>
              </w:rPr>
              <w:t>莎车县柔性引才（法治能力提升）</w:t>
            </w:r>
          </w:p>
        </w:tc>
        <w:tc>
          <w:tcPr>
            <w:tcW w:w="931" w:type="dxa"/>
            <w:noWrap w:val="0"/>
            <w:tcMar>
              <w:top w:w="75" w:type="dxa"/>
              <w:left w:w="150" w:type="dxa"/>
              <w:bottom w:w="75" w:type="dxa"/>
              <w:right w:w="150" w:type="dxa"/>
            </w:tcMar>
            <w:vAlign w:val="center"/>
          </w:tcPr>
          <w:p w14:paraId="1C0B1829">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70" w:type="dxa"/>
            <w:noWrap w:val="0"/>
            <w:tcMar>
              <w:top w:w="75" w:type="dxa"/>
              <w:left w:w="150" w:type="dxa"/>
              <w:bottom w:w="75" w:type="dxa"/>
              <w:right w:w="150" w:type="dxa"/>
            </w:tcMar>
            <w:vAlign w:val="center"/>
          </w:tcPr>
          <w:p w14:paraId="1430BB2A">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项</w:t>
            </w:r>
          </w:p>
        </w:tc>
        <w:tc>
          <w:tcPr>
            <w:tcW w:w="1492" w:type="dxa"/>
            <w:tcBorders>
              <w:right w:val="single" w:color="auto" w:sz="4" w:space="0"/>
            </w:tcBorders>
            <w:noWrap w:val="0"/>
            <w:tcMar>
              <w:top w:w="75" w:type="dxa"/>
              <w:left w:w="150" w:type="dxa"/>
              <w:bottom w:w="75" w:type="dxa"/>
              <w:right w:w="150" w:type="dxa"/>
            </w:tcMar>
            <w:vAlign w:val="center"/>
          </w:tcPr>
          <w:p w14:paraId="543181D0">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15.3</w:t>
            </w:r>
          </w:p>
        </w:tc>
        <w:tc>
          <w:tcPr>
            <w:tcW w:w="3199" w:type="dxa"/>
            <w:tcBorders>
              <w:left w:val="single" w:color="auto" w:sz="4" w:space="0"/>
              <w:right w:val="single" w:color="auto" w:sz="4" w:space="0"/>
            </w:tcBorders>
            <w:noWrap w:val="0"/>
            <w:tcMar>
              <w:top w:w="75" w:type="dxa"/>
              <w:left w:w="150" w:type="dxa"/>
              <w:bottom w:w="75" w:type="dxa"/>
              <w:right w:w="150" w:type="dxa"/>
            </w:tcMar>
            <w:vAlign w:val="center"/>
          </w:tcPr>
          <w:p w14:paraId="402011EC">
            <w:pPr>
              <w:adjustRightInd w:val="0"/>
              <w:spacing w:line="336" w:lineRule="auto"/>
              <w:jc w:val="both"/>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为莎车县阿拉买提镇17个行政村、白什坎特镇28个行政村、巴格阿瓦提乡11个行政村、阿扎提巴格镇13个行政村、阿瓦提镇20个行政村、依盖尔其镇22个行政村、喀尔苏乡12个行政村、阿热勒乡15个行政村、恰尔巴格乡15个行政村法律服务（具体详见招标文件）</w:t>
            </w:r>
          </w:p>
        </w:tc>
      </w:tr>
      <w:tr w14:paraId="3FF9A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26" w:hRule="atLeast"/>
          <w:jc w:val="center"/>
        </w:trPr>
        <w:tc>
          <w:tcPr>
            <w:tcW w:w="949" w:type="dxa"/>
            <w:noWrap w:val="0"/>
            <w:tcMar>
              <w:top w:w="75" w:type="dxa"/>
              <w:left w:w="150" w:type="dxa"/>
              <w:bottom w:w="75" w:type="dxa"/>
              <w:right w:w="150" w:type="dxa"/>
            </w:tcMar>
            <w:vAlign w:val="center"/>
          </w:tcPr>
          <w:p w14:paraId="58D0B2CE">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3</w:t>
            </w:r>
          </w:p>
        </w:tc>
        <w:tc>
          <w:tcPr>
            <w:tcW w:w="2112" w:type="dxa"/>
            <w:noWrap w:val="0"/>
            <w:tcMar>
              <w:top w:w="75" w:type="dxa"/>
              <w:left w:w="150" w:type="dxa"/>
              <w:bottom w:w="75" w:type="dxa"/>
              <w:right w:w="150" w:type="dxa"/>
            </w:tcMar>
            <w:vAlign w:val="center"/>
          </w:tcPr>
          <w:p w14:paraId="3217B377">
            <w:pPr>
              <w:adjustRightInd w:val="0"/>
              <w:spacing w:line="336" w:lineRule="auto"/>
              <w:jc w:val="center"/>
              <w:rPr>
                <w:rFonts w:hint="default" w:ascii="仿宋" w:hAnsi="仿宋" w:eastAsia="仿宋" w:cs="仿宋"/>
                <w:sz w:val="22"/>
                <w:szCs w:val="22"/>
                <w:u w:val="none"/>
                <w:lang w:val="en-US" w:eastAsia="zh-CN"/>
              </w:rPr>
            </w:pPr>
            <w:r>
              <w:rPr>
                <w:rFonts w:hint="default" w:ascii="仿宋" w:hAnsi="仿宋" w:eastAsia="仿宋" w:cs="仿宋"/>
                <w:sz w:val="22"/>
                <w:szCs w:val="22"/>
                <w:u w:val="none"/>
                <w:lang w:val="en-US" w:eastAsia="zh-CN"/>
              </w:rPr>
              <w:t>莎车县柔性引才（法治能力提升）</w:t>
            </w:r>
          </w:p>
        </w:tc>
        <w:tc>
          <w:tcPr>
            <w:tcW w:w="931" w:type="dxa"/>
            <w:noWrap w:val="0"/>
            <w:tcMar>
              <w:top w:w="75" w:type="dxa"/>
              <w:left w:w="150" w:type="dxa"/>
              <w:bottom w:w="75" w:type="dxa"/>
              <w:right w:w="150" w:type="dxa"/>
            </w:tcMar>
            <w:vAlign w:val="center"/>
          </w:tcPr>
          <w:p w14:paraId="0EE509C2">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70" w:type="dxa"/>
            <w:noWrap w:val="0"/>
            <w:tcMar>
              <w:top w:w="75" w:type="dxa"/>
              <w:left w:w="150" w:type="dxa"/>
              <w:bottom w:w="75" w:type="dxa"/>
              <w:right w:w="150" w:type="dxa"/>
            </w:tcMar>
            <w:vAlign w:val="center"/>
          </w:tcPr>
          <w:p w14:paraId="2F0BC6A7">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项</w:t>
            </w:r>
          </w:p>
        </w:tc>
        <w:tc>
          <w:tcPr>
            <w:tcW w:w="1492" w:type="dxa"/>
            <w:tcBorders>
              <w:right w:val="single" w:color="auto" w:sz="4" w:space="0"/>
            </w:tcBorders>
            <w:noWrap w:val="0"/>
            <w:tcMar>
              <w:top w:w="75" w:type="dxa"/>
              <w:left w:w="150" w:type="dxa"/>
              <w:bottom w:w="75" w:type="dxa"/>
              <w:right w:w="150" w:type="dxa"/>
            </w:tcMar>
            <w:vAlign w:val="center"/>
          </w:tcPr>
          <w:p w14:paraId="0055E377">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15.7</w:t>
            </w:r>
          </w:p>
        </w:tc>
        <w:tc>
          <w:tcPr>
            <w:tcW w:w="3199" w:type="dxa"/>
            <w:tcBorders>
              <w:left w:val="single" w:color="auto" w:sz="4" w:space="0"/>
              <w:right w:val="single" w:color="auto" w:sz="4" w:space="0"/>
            </w:tcBorders>
            <w:noWrap w:val="0"/>
            <w:tcMar>
              <w:top w:w="75" w:type="dxa"/>
              <w:left w:w="150" w:type="dxa"/>
              <w:bottom w:w="75" w:type="dxa"/>
              <w:right w:w="150" w:type="dxa"/>
            </w:tcMar>
            <w:vAlign w:val="center"/>
          </w:tcPr>
          <w:p w14:paraId="39DC8F7D">
            <w:pPr>
              <w:adjustRightInd w:val="0"/>
              <w:spacing w:line="336" w:lineRule="auto"/>
              <w:jc w:val="both"/>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为莎车县艾力西湖镇24个行政村、荒地镇28个行政村、墩巴格乡13个行政村、阔什艾日克乡14个行政村、拍克其乡16个行政村、塔尕尔其镇30个行政村、伊什库力乡24个行政村、永安管委会8个行政村法律服务（具体详见招标文件）</w:t>
            </w:r>
          </w:p>
        </w:tc>
      </w:tr>
      <w:tr w14:paraId="4E6B7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54" w:hRule="atLeast"/>
          <w:jc w:val="center"/>
        </w:trPr>
        <w:tc>
          <w:tcPr>
            <w:tcW w:w="949" w:type="dxa"/>
            <w:noWrap w:val="0"/>
            <w:tcMar>
              <w:top w:w="75" w:type="dxa"/>
              <w:left w:w="150" w:type="dxa"/>
              <w:bottom w:w="75" w:type="dxa"/>
              <w:right w:w="150" w:type="dxa"/>
            </w:tcMar>
            <w:vAlign w:val="center"/>
          </w:tcPr>
          <w:p w14:paraId="6C4EE477">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4</w:t>
            </w:r>
          </w:p>
        </w:tc>
        <w:tc>
          <w:tcPr>
            <w:tcW w:w="2112" w:type="dxa"/>
            <w:noWrap w:val="0"/>
            <w:tcMar>
              <w:top w:w="75" w:type="dxa"/>
              <w:left w:w="150" w:type="dxa"/>
              <w:bottom w:w="75" w:type="dxa"/>
              <w:right w:w="150" w:type="dxa"/>
            </w:tcMar>
            <w:vAlign w:val="center"/>
          </w:tcPr>
          <w:p w14:paraId="566F94B9">
            <w:pPr>
              <w:adjustRightInd w:val="0"/>
              <w:spacing w:line="336" w:lineRule="auto"/>
              <w:jc w:val="center"/>
              <w:rPr>
                <w:rFonts w:hint="default" w:ascii="仿宋" w:hAnsi="仿宋" w:eastAsia="仿宋" w:cs="仿宋"/>
                <w:sz w:val="22"/>
                <w:szCs w:val="22"/>
                <w:u w:val="none"/>
                <w:lang w:val="en-US" w:eastAsia="zh-CN"/>
              </w:rPr>
            </w:pPr>
            <w:r>
              <w:rPr>
                <w:rFonts w:hint="default" w:ascii="仿宋" w:hAnsi="仿宋" w:eastAsia="仿宋" w:cs="仿宋"/>
                <w:sz w:val="22"/>
                <w:szCs w:val="22"/>
                <w:u w:val="none"/>
                <w:lang w:val="en-US" w:eastAsia="zh-CN"/>
              </w:rPr>
              <w:t>莎车县柔性引才（法治能力提升）</w:t>
            </w:r>
          </w:p>
        </w:tc>
        <w:tc>
          <w:tcPr>
            <w:tcW w:w="931" w:type="dxa"/>
            <w:noWrap w:val="0"/>
            <w:tcMar>
              <w:top w:w="75" w:type="dxa"/>
              <w:left w:w="150" w:type="dxa"/>
              <w:bottom w:w="75" w:type="dxa"/>
              <w:right w:w="150" w:type="dxa"/>
            </w:tcMar>
            <w:vAlign w:val="center"/>
          </w:tcPr>
          <w:p w14:paraId="210446B3">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70" w:type="dxa"/>
            <w:noWrap w:val="0"/>
            <w:tcMar>
              <w:top w:w="75" w:type="dxa"/>
              <w:left w:w="150" w:type="dxa"/>
              <w:bottom w:w="75" w:type="dxa"/>
              <w:right w:w="150" w:type="dxa"/>
            </w:tcMar>
            <w:vAlign w:val="center"/>
          </w:tcPr>
          <w:p w14:paraId="44A1F6C5">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项</w:t>
            </w:r>
          </w:p>
        </w:tc>
        <w:tc>
          <w:tcPr>
            <w:tcW w:w="1492" w:type="dxa"/>
            <w:tcBorders>
              <w:right w:val="single" w:color="auto" w:sz="4" w:space="0"/>
            </w:tcBorders>
            <w:noWrap w:val="0"/>
            <w:tcMar>
              <w:top w:w="75" w:type="dxa"/>
              <w:left w:w="150" w:type="dxa"/>
              <w:bottom w:w="75" w:type="dxa"/>
              <w:right w:w="150" w:type="dxa"/>
            </w:tcMar>
            <w:vAlign w:val="center"/>
          </w:tcPr>
          <w:p w14:paraId="23454D76">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14.4</w:t>
            </w:r>
          </w:p>
        </w:tc>
        <w:tc>
          <w:tcPr>
            <w:tcW w:w="3199" w:type="dxa"/>
            <w:tcBorders>
              <w:left w:val="single" w:color="auto" w:sz="4" w:space="0"/>
              <w:right w:val="single" w:color="auto" w:sz="4" w:space="0"/>
            </w:tcBorders>
            <w:noWrap w:val="0"/>
            <w:tcMar>
              <w:top w:w="75" w:type="dxa"/>
              <w:left w:w="150" w:type="dxa"/>
              <w:bottom w:w="75" w:type="dxa"/>
              <w:right w:w="150" w:type="dxa"/>
            </w:tcMar>
            <w:vAlign w:val="center"/>
          </w:tcPr>
          <w:p w14:paraId="66CAECEC">
            <w:pPr>
              <w:adjustRightInd w:val="0"/>
              <w:spacing w:line="336" w:lineRule="auto"/>
              <w:jc w:val="both"/>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为莎车县阿斯兰巴格乡20个行政村、恰热克镇22个行政村、乌达力克镇28个行政村、达木斯乡6个行政村、霍什拉甫乡14个行政村、喀群乡14个行政村、亚喀艾日克乡11个行政村、英吾斯唐乡10个行政村、孜热甫夏提塔吉克民族乡13个行政村、英阿瓦提管委会6个行政村法律服务（具体详见招标文件）</w:t>
            </w:r>
          </w:p>
        </w:tc>
      </w:tr>
      <w:tr w14:paraId="713B8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43" w:hRule="atLeast"/>
          <w:jc w:val="center"/>
        </w:trPr>
        <w:tc>
          <w:tcPr>
            <w:tcW w:w="949" w:type="dxa"/>
            <w:noWrap w:val="0"/>
            <w:tcMar>
              <w:top w:w="75" w:type="dxa"/>
              <w:left w:w="150" w:type="dxa"/>
              <w:bottom w:w="75" w:type="dxa"/>
              <w:right w:w="150" w:type="dxa"/>
            </w:tcMar>
            <w:vAlign w:val="center"/>
          </w:tcPr>
          <w:p w14:paraId="57506363">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5</w:t>
            </w:r>
          </w:p>
        </w:tc>
        <w:tc>
          <w:tcPr>
            <w:tcW w:w="2112" w:type="dxa"/>
            <w:noWrap w:val="0"/>
            <w:tcMar>
              <w:top w:w="75" w:type="dxa"/>
              <w:left w:w="150" w:type="dxa"/>
              <w:bottom w:w="75" w:type="dxa"/>
              <w:right w:w="150" w:type="dxa"/>
            </w:tcMar>
            <w:vAlign w:val="center"/>
          </w:tcPr>
          <w:p w14:paraId="041FE41B">
            <w:pPr>
              <w:adjustRightInd w:val="0"/>
              <w:spacing w:line="336" w:lineRule="auto"/>
              <w:jc w:val="center"/>
              <w:rPr>
                <w:rFonts w:hint="default" w:ascii="仿宋" w:hAnsi="仿宋" w:eastAsia="仿宋" w:cs="仿宋"/>
                <w:sz w:val="22"/>
                <w:szCs w:val="22"/>
                <w:u w:val="none"/>
                <w:lang w:val="en-US" w:eastAsia="zh-CN"/>
              </w:rPr>
            </w:pPr>
            <w:r>
              <w:rPr>
                <w:rFonts w:hint="default" w:ascii="仿宋" w:hAnsi="仿宋" w:eastAsia="仿宋" w:cs="仿宋"/>
                <w:sz w:val="22"/>
                <w:szCs w:val="22"/>
                <w:u w:val="none"/>
                <w:lang w:val="en-US" w:eastAsia="zh-CN"/>
              </w:rPr>
              <w:t>莎车县柔性引才（法治能力提升）</w:t>
            </w:r>
          </w:p>
        </w:tc>
        <w:tc>
          <w:tcPr>
            <w:tcW w:w="931" w:type="dxa"/>
            <w:noWrap w:val="0"/>
            <w:tcMar>
              <w:top w:w="75" w:type="dxa"/>
              <w:left w:w="150" w:type="dxa"/>
              <w:bottom w:w="75" w:type="dxa"/>
              <w:right w:w="150" w:type="dxa"/>
            </w:tcMar>
            <w:vAlign w:val="center"/>
          </w:tcPr>
          <w:p w14:paraId="67CC5DF1">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70" w:type="dxa"/>
            <w:noWrap w:val="0"/>
            <w:tcMar>
              <w:top w:w="75" w:type="dxa"/>
              <w:left w:w="150" w:type="dxa"/>
              <w:bottom w:w="75" w:type="dxa"/>
              <w:right w:w="150" w:type="dxa"/>
            </w:tcMar>
            <w:vAlign w:val="center"/>
          </w:tcPr>
          <w:p w14:paraId="49626045">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项</w:t>
            </w:r>
          </w:p>
        </w:tc>
        <w:tc>
          <w:tcPr>
            <w:tcW w:w="1492" w:type="dxa"/>
            <w:tcBorders>
              <w:right w:val="single" w:color="auto" w:sz="4" w:space="0"/>
            </w:tcBorders>
            <w:noWrap w:val="0"/>
            <w:tcMar>
              <w:top w:w="75" w:type="dxa"/>
              <w:left w:w="150" w:type="dxa"/>
              <w:bottom w:w="75" w:type="dxa"/>
              <w:right w:w="150" w:type="dxa"/>
            </w:tcMar>
            <w:vAlign w:val="center"/>
          </w:tcPr>
          <w:p w14:paraId="007CD300">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11.2</w:t>
            </w:r>
          </w:p>
        </w:tc>
        <w:tc>
          <w:tcPr>
            <w:tcW w:w="3199" w:type="dxa"/>
            <w:tcBorders>
              <w:left w:val="single" w:color="auto" w:sz="4" w:space="0"/>
              <w:right w:val="single" w:color="auto" w:sz="4" w:space="0"/>
            </w:tcBorders>
            <w:noWrap w:val="0"/>
            <w:tcMar>
              <w:top w:w="75" w:type="dxa"/>
              <w:left w:w="150" w:type="dxa"/>
              <w:bottom w:w="75" w:type="dxa"/>
              <w:right w:w="150" w:type="dxa"/>
            </w:tcMar>
            <w:vAlign w:val="center"/>
          </w:tcPr>
          <w:p w14:paraId="5C255270">
            <w:pPr>
              <w:adjustRightInd w:val="0"/>
              <w:spacing w:line="336" w:lineRule="auto"/>
              <w:jc w:val="both"/>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为莎车县城北街道办8个社区、城东街道办16个社区、叶尔羌街道办7个社区、城中街道办8个社区、城西街道办11个社区、古勒巴格镇11个行政村、米夏镇26个行政村、莎车镇13个行政村、托木吾斯塘镇12个行政村法律服务（具体详见招标文件）</w:t>
            </w:r>
          </w:p>
        </w:tc>
      </w:tr>
    </w:tbl>
    <w:p w14:paraId="23102174">
      <w:pPr>
        <w:adjustRightInd w:val="0"/>
        <w:spacing w:line="336" w:lineRule="auto"/>
        <w:rPr>
          <w:rFonts w:hint="eastAsia" w:ascii="仿宋" w:hAnsi="仿宋" w:eastAsia="仿宋" w:cs="仿宋"/>
          <w:b/>
          <w:bCs/>
          <w:sz w:val="24"/>
          <w:szCs w:val="24"/>
          <w:u w:val="none"/>
          <w:lang w:eastAsia="zh-CN"/>
        </w:rPr>
      </w:pPr>
    </w:p>
    <w:p w14:paraId="13070E87">
      <w:pPr>
        <w:adjustRightInd w:val="0"/>
        <w:spacing w:line="336" w:lineRule="auto"/>
        <w:rPr>
          <w:rFonts w:hint="eastAsia" w:ascii="仿宋" w:hAnsi="仿宋" w:eastAsia="仿宋" w:cs="仿宋"/>
          <w:b/>
          <w:bCs/>
          <w:sz w:val="28"/>
          <w:szCs w:val="28"/>
          <w:u w:val="none"/>
          <w:lang w:eastAsia="zh-CN"/>
        </w:rPr>
      </w:pPr>
      <w:r>
        <w:rPr>
          <w:rFonts w:hint="eastAsia" w:ascii="仿宋" w:hAnsi="仿宋" w:eastAsia="仿宋" w:cs="仿宋"/>
          <w:b/>
          <w:bCs/>
          <w:sz w:val="24"/>
          <w:szCs w:val="24"/>
          <w:u w:val="none"/>
          <w:lang w:eastAsia="zh-CN"/>
        </w:rPr>
        <w:t>二、投标人资格要求</w:t>
      </w:r>
    </w:p>
    <w:p w14:paraId="6DE56CAF">
      <w:pPr>
        <w:adjustRightInd w:val="0"/>
        <w:spacing w:line="336" w:lineRule="auto"/>
        <w:rPr>
          <w:rFonts w:hint="default"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1、标项一：具有承担民事责任的能力（企业三证合一的营业执照）；标项二至标项五：具有承担民事责任的能力的证明材料（基层法律服务所执业证）；</w:t>
      </w:r>
    </w:p>
    <w:p w14:paraId="7DFC28B0">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2、授权人参与投标提供法定代表人授权书及被授权人身份证；法人本人参与投标提供法人身份证及法人资格证明；</w:t>
      </w:r>
    </w:p>
    <w:p w14:paraId="7A43C8AE">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3、提供近半年任意一个月的投标单位社保缴费凭证和法人或授权人个人缴纳的社保明细；</w:t>
      </w:r>
    </w:p>
    <w:p w14:paraId="2863755F">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4、2023年或2024年的财务审计报告与财务会计制度（新成立公司不足一年的提供近三个月内有效的银行资信证明）</w:t>
      </w:r>
    </w:p>
    <w:p w14:paraId="4C194204">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0761BB46">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6、根据《财政部关于在政府采购活动中查询及使用信用记录有关问题的通知》（财库﹝2016﹞125号）的要求，凡拟参加本次招标项目的供应商，如在“信用中国”网站（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7、在参加政府采购活动中前三年内无重大违法记录的承诺书；</w:t>
      </w:r>
    </w:p>
    <w:p w14:paraId="725CD708">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8、针对本次采购项目《反商业贿赂承诺书》的书面声明；</w:t>
      </w:r>
    </w:p>
    <w:p w14:paraId="687DE8C6">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9、具有履行该项目合同所必需的设备和专业技术能力的证明材料；</w:t>
      </w:r>
    </w:p>
    <w:p w14:paraId="18B9F583">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10、标项一：具有SF行政部门颁发的有效期内的《律师事务所执业许可证》或律师事务所在SF部门的备案凭证；</w:t>
      </w:r>
    </w:p>
    <w:p w14:paraId="3C9DE135">
      <w:pPr>
        <w:adjustRightInd w:val="0"/>
        <w:spacing w:line="336" w:lineRule="auto"/>
        <w:rPr>
          <w:rFonts w:hint="default"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标项二至标项五：具有SF行政部门颁发的有效期内的《律师事务所执业许可证》或律师事务所在SF部门的备案凭证或基层法律服务所执业证；</w:t>
      </w:r>
    </w:p>
    <w:p w14:paraId="5E71B725">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11、本项目不接受联合体；</w:t>
      </w:r>
    </w:p>
    <w:p w14:paraId="68E1F9A8">
      <w:pPr>
        <w:adjustRightInd w:val="0"/>
        <w:spacing w:line="336" w:lineRule="auto"/>
        <w:rPr>
          <w:rFonts w:hint="eastAsia" w:ascii="仿宋" w:hAnsi="仿宋" w:eastAsia="仿宋" w:cs="仿宋"/>
          <w:b/>
          <w:bCs/>
          <w:sz w:val="24"/>
          <w:szCs w:val="24"/>
          <w:u w:val="none"/>
          <w:lang w:eastAsia="zh-CN"/>
        </w:rPr>
      </w:pPr>
      <w:r>
        <w:rPr>
          <w:rFonts w:hint="eastAsia" w:ascii="仿宋" w:hAnsi="仿宋" w:eastAsia="仿宋" w:cs="仿宋"/>
          <w:b/>
          <w:bCs/>
          <w:sz w:val="24"/>
          <w:szCs w:val="24"/>
          <w:u w:val="none"/>
          <w:lang w:eastAsia="zh-CN"/>
        </w:rPr>
        <w:t>三、报名及领取招标文件</w:t>
      </w:r>
    </w:p>
    <w:p w14:paraId="6DA85269">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1、时间：2025年 4月1 日起至2025年 4月18 日上午00:00-12:00时及下午12:00-23:59时（节假日除外）</w:t>
      </w:r>
    </w:p>
    <w:p w14:paraId="3F3C8C59">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2、方式：供应商登录政采云平台https://www.zcygov.cn/在线申请获取采购文件（进入“项目采购”应用，在获取采购文件菜单中选择项目，申请获取采购文件）</w:t>
      </w:r>
    </w:p>
    <w:p w14:paraId="3BC923F7">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w:t>
      </w:r>
      <w:r>
        <w:rPr>
          <w:rFonts w:hint="eastAsia" w:ascii="仿宋" w:hAnsi="仿宋" w:eastAsia="仿宋" w:cs="仿宋"/>
          <w:kern w:val="2"/>
          <w:sz w:val="24"/>
          <w:szCs w:val="24"/>
          <w:u w:val="none"/>
          <w:lang w:val="zh-CN" w:eastAsia="zh-CN" w:bidi="ar-SA"/>
        </w:rPr>
        <w:t>地点：</w:t>
      </w:r>
      <w:r>
        <w:rPr>
          <w:rFonts w:hint="eastAsia" w:ascii="仿宋" w:hAnsi="仿宋" w:eastAsia="仿宋" w:cs="仿宋"/>
          <w:kern w:val="2"/>
          <w:sz w:val="24"/>
          <w:szCs w:val="24"/>
          <w:u w:val="none"/>
          <w:lang w:val="en-US" w:eastAsia="zh-CN" w:bidi="ar-SA"/>
        </w:rPr>
        <w:t>政采云平台（http://www.ccgp-xinjiang.gov.cn/）不见面开标大厅开标 </w:t>
      </w:r>
    </w:p>
    <w:p w14:paraId="430BC82C">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4</w:t>
      </w:r>
      <w:r>
        <w:rPr>
          <w:rFonts w:hint="eastAsia" w:ascii="仿宋" w:hAnsi="仿宋" w:eastAsia="仿宋" w:cs="仿宋_GB2312"/>
          <w:color w:val="000000"/>
          <w:kern w:val="0"/>
          <w:sz w:val="24"/>
          <w:szCs w:val="24"/>
          <w:lang w:val="zh-CN" w:eastAsia="zh-CN" w:bidi="ar"/>
        </w:rPr>
        <w:t>、开标时间：202</w:t>
      </w:r>
      <w:r>
        <w:rPr>
          <w:rFonts w:hint="eastAsia" w:ascii="仿宋" w:hAnsi="仿宋" w:eastAsia="仿宋" w:cs="仿宋_GB2312"/>
          <w:color w:val="000000"/>
          <w:kern w:val="0"/>
          <w:sz w:val="24"/>
          <w:szCs w:val="24"/>
          <w:lang w:val="en-US" w:eastAsia="zh-CN" w:bidi="ar"/>
        </w:rPr>
        <w:t>5</w:t>
      </w:r>
      <w:r>
        <w:rPr>
          <w:rFonts w:hint="eastAsia" w:ascii="仿宋" w:hAnsi="仿宋" w:eastAsia="仿宋" w:cs="仿宋_GB2312"/>
          <w:color w:val="000000"/>
          <w:kern w:val="0"/>
          <w:sz w:val="24"/>
          <w:szCs w:val="24"/>
          <w:lang w:val="zh-CN" w:eastAsia="zh-CN" w:bidi="ar"/>
        </w:rPr>
        <w:t>年</w:t>
      </w:r>
      <w:r>
        <w:rPr>
          <w:rFonts w:hint="eastAsia" w:ascii="仿宋" w:hAnsi="仿宋" w:eastAsia="仿宋" w:cs="仿宋_GB2312"/>
          <w:color w:val="000000"/>
          <w:kern w:val="0"/>
          <w:sz w:val="24"/>
          <w:szCs w:val="24"/>
          <w:lang w:val="en-US" w:eastAsia="zh-CN" w:bidi="ar"/>
        </w:rPr>
        <w:t xml:space="preserve"> 4</w:t>
      </w:r>
      <w:r>
        <w:rPr>
          <w:rFonts w:hint="eastAsia" w:ascii="仿宋" w:hAnsi="仿宋" w:eastAsia="仿宋" w:cs="仿宋_GB2312"/>
          <w:color w:val="000000"/>
          <w:kern w:val="0"/>
          <w:sz w:val="24"/>
          <w:szCs w:val="24"/>
          <w:lang w:val="zh-CN" w:eastAsia="zh-CN" w:bidi="ar"/>
        </w:rPr>
        <w:t>月</w:t>
      </w:r>
      <w:r>
        <w:rPr>
          <w:rFonts w:hint="eastAsia" w:ascii="仿宋" w:hAnsi="仿宋" w:eastAsia="仿宋" w:cs="仿宋_GB2312"/>
          <w:color w:val="000000"/>
          <w:kern w:val="0"/>
          <w:sz w:val="24"/>
          <w:szCs w:val="24"/>
          <w:lang w:val="en-US" w:eastAsia="zh-CN" w:bidi="ar"/>
        </w:rPr>
        <w:t xml:space="preserve"> 22</w:t>
      </w:r>
      <w:r>
        <w:rPr>
          <w:rFonts w:hint="eastAsia" w:ascii="仿宋" w:hAnsi="仿宋" w:eastAsia="仿宋" w:cs="仿宋_GB2312"/>
          <w:color w:val="000000"/>
          <w:kern w:val="0"/>
          <w:sz w:val="24"/>
          <w:szCs w:val="24"/>
          <w:lang w:val="zh-CN" w:eastAsia="zh-CN" w:bidi="ar"/>
        </w:rPr>
        <w:t>日上午</w:t>
      </w:r>
      <w:r>
        <w:rPr>
          <w:rFonts w:hint="eastAsia" w:ascii="仿宋" w:hAnsi="仿宋" w:eastAsia="仿宋" w:cs="仿宋_GB2312"/>
          <w:color w:val="000000"/>
          <w:kern w:val="0"/>
          <w:sz w:val="24"/>
          <w:szCs w:val="24"/>
          <w:lang w:val="en-US" w:eastAsia="zh-CN" w:bidi="ar"/>
        </w:rPr>
        <w:t>11</w:t>
      </w:r>
      <w:r>
        <w:rPr>
          <w:rFonts w:hint="eastAsia" w:ascii="仿宋" w:hAnsi="仿宋" w:eastAsia="仿宋" w:cs="仿宋_GB2312"/>
          <w:color w:val="000000"/>
          <w:kern w:val="0"/>
          <w:sz w:val="24"/>
          <w:szCs w:val="24"/>
          <w:lang w:val="zh-CN" w:eastAsia="zh-CN" w:bidi="ar"/>
        </w:rPr>
        <w:t>：</w:t>
      </w:r>
      <w:r>
        <w:rPr>
          <w:rFonts w:hint="eastAsia" w:ascii="仿宋" w:hAnsi="仿宋" w:eastAsia="仿宋" w:cs="仿宋_GB2312"/>
          <w:color w:val="000000"/>
          <w:kern w:val="0"/>
          <w:sz w:val="24"/>
          <w:szCs w:val="24"/>
          <w:lang w:val="en-US" w:eastAsia="zh-CN" w:bidi="ar"/>
        </w:rPr>
        <w:t>00</w:t>
      </w:r>
      <w:r>
        <w:rPr>
          <w:rFonts w:hint="eastAsia" w:ascii="仿宋" w:hAnsi="仿宋" w:eastAsia="仿宋" w:cs="仿宋_GB2312"/>
          <w:color w:val="000000"/>
          <w:kern w:val="0"/>
          <w:sz w:val="24"/>
          <w:szCs w:val="24"/>
          <w:lang w:val="zh-CN" w:eastAsia="zh-CN" w:bidi="ar"/>
        </w:rPr>
        <w:t>时</w:t>
      </w:r>
    </w:p>
    <w:p w14:paraId="7A1DDD45">
      <w:pPr>
        <w:pStyle w:val="3"/>
        <w:spacing w:line="336" w:lineRule="auto"/>
        <w:ind w:left="0" w:leftChars="0" w:firstLine="0" w:firstLineChars="0"/>
        <w:outlineLvl w:val="0"/>
        <w:rPr>
          <w:rFonts w:hint="eastAsia" w:ascii="仿宋" w:hAnsi="仿宋" w:eastAsia="仿宋" w:cs="仿宋"/>
          <w:b/>
          <w:bCs/>
          <w:kern w:val="2"/>
          <w:sz w:val="24"/>
          <w:szCs w:val="24"/>
          <w:u w:val="none"/>
          <w:lang w:val="en-US" w:eastAsia="zh-CN" w:bidi="ar-SA"/>
        </w:rPr>
      </w:pPr>
      <w:r>
        <w:rPr>
          <w:rFonts w:hint="eastAsia" w:ascii="仿宋" w:hAnsi="仿宋" w:eastAsia="仿宋" w:cs="仿宋"/>
          <w:b/>
          <w:bCs/>
          <w:kern w:val="2"/>
          <w:sz w:val="24"/>
          <w:szCs w:val="24"/>
          <w:u w:val="none"/>
          <w:lang w:val="en-US" w:eastAsia="zh-CN" w:bidi="ar-SA"/>
        </w:rPr>
        <w:t>四、联系方式</w:t>
      </w:r>
    </w:p>
    <w:p w14:paraId="623FB4FC">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kern w:val="2"/>
          <w:sz w:val="24"/>
          <w:szCs w:val="24"/>
          <w:u w:val="none"/>
          <w:lang w:val="zh-CN" w:eastAsia="zh-CN" w:bidi="ar-SA"/>
        </w:rPr>
        <w:t>1、采购单位：</w:t>
      </w:r>
      <w:r>
        <w:rPr>
          <w:rFonts w:hint="eastAsia" w:ascii="仿宋" w:hAnsi="仿宋" w:eastAsia="仿宋" w:cs="仿宋"/>
          <w:sz w:val="24"/>
          <w:szCs w:val="24"/>
          <w:u w:val="none"/>
          <w:lang w:val="en-US" w:eastAsia="zh-CN"/>
        </w:rPr>
        <w:t>莎车县SF局</w:t>
      </w:r>
    </w:p>
    <w:p w14:paraId="12E920C7">
      <w:pPr>
        <w:widowControl/>
        <w:spacing w:line="336" w:lineRule="auto"/>
        <w:textAlignment w:val="baseline"/>
        <w:rPr>
          <w:rFonts w:hint="default"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zh-CN" w:eastAsia="zh-CN" w:bidi="ar-SA"/>
        </w:rPr>
        <w:t>地  址：</w:t>
      </w:r>
      <w:r>
        <w:rPr>
          <w:rFonts w:hint="eastAsia" w:ascii="仿宋" w:hAnsi="仿宋" w:eastAsia="仿宋" w:cs="仿宋"/>
          <w:kern w:val="2"/>
          <w:sz w:val="24"/>
          <w:szCs w:val="24"/>
          <w:u w:val="none"/>
          <w:lang w:val="en-US" w:eastAsia="zh-CN" w:bidi="ar-SA"/>
        </w:rPr>
        <w:t>新疆喀什地区</w:t>
      </w:r>
      <w:r>
        <w:rPr>
          <w:rFonts w:hint="eastAsia" w:ascii="仿宋" w:hAnsi="仿宋" w:eastAsia="仿宋" w:cs="仿宋"/>
          <w:sz w:val="24"/>
          <w:szCs w:val="24"/>
          <w:u w:val="none"/>
          <w:lang w:val="en-US" w:eastAsia="zh-CN"/>
        </w:rPr>
        <w:t>莎车县</w:t>
      </w:r>
    </w:p>
    <w:p w14:paraId="2689A2B3">
      <w:pPr>
        <w:widowControl/>
        <w:spacing w:line="336" w:lineRule="auto"/>
        <w:textAlignment w:val="baseline"/>
        <w:rPr>
          <w:rFonts w:hint="eastAsia" w:ascii="宋体" w:hAnsi="宋体" w:eastAsia="宋体" w:cs="宋体"/>
          <w:sz w:val="24"/>
          <w:szCs w:val="24"/>
          <w:lang w:val="en-US" w:eastAsia="zh-CN"/>
        </w:rPr>
      </w:pPr>
      <w:r>
        <w:rPr>
          <w:rFonts w:hint="eastAsia" w:ascii="仿宋" w:hAnsi="仿宋" w:eastAsia="仿宋" w:cs="仿宋"/>
          <w:kern w:val="2"/>
          <w:sz w:val="24"/>
          <w:szCs w:val="24"/>
          <w:u w:val="none"/>
          <w:lang w:val="zh-CN" w:eastAsia="zh-CN" w:bidi="ar-SA"/>
        </w:rPr>
        <w:t>联系人：徐兴磊</w:t>
      </w:r>
      <w:r>
        <w:rPr>
          <w:rFonts w:hint="eastAsia" w:ascii="仿宋" w:hAnsi="仿宋" w:eastAsia="仿宋" w:cs="仿宋"/>
          <w:kern w:val="2"/>
          <w:sz w:val="24"/>
          <w:szCs w:val="24"/>
          <w:u w:val="none"/>
          <w:lang w:val="en-US" w:eastAsia="zh-CN" w:bidi="ar-SA"/>
        </w:rPr>
        <w:t xml:space="preserve">                </w:t>
      </w:r>
      <w:r>
        <w:rPr>
          <w:rFonts w:hint="eastAsia" w:ascii="仿宋" w:hAnsi="仿宋" w:eastAsia="仿宋" w:cs="仿宋"/>
          <w:kern w:val="2"/>
          <w:sz w:val="24"/>
          <w:szCs w:val="24"/>
          <w:u w:val="none"/>
          <w:lang w:val="zh-CN" w:eastAsia="zh-CN" w:bidi="ar-SA"/>
        </w:rPr>
        <w:t>联系电话：</w:t>
      </w:r>
      <w:r>
        <w:rPr>
          <w:rFonts w:hint="eastAsia" w:ascii="宋体" w:hAnsi="宋体" w:eastAsia="宋体" w:cs="宋体"/>
          <w:sz w:val="24"/>
          <w:szCs w:val="24"/>
          <w:lang w:val="en-US" w:eastAsia="zh-CN"/>
        </w:rPr>
        <w:t>15199891537</w:t>
      </w:r>
    </w:p>
    <w:p w14:paraId="1A4B12C3">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招标代理机构：新疆</w:t>
      </w:r>
      <w:r>
        <w:rPr>
          <w:rFonts w:hint="eastAsia" w:ascii="仿宋" w:hAnsi="仿宋" w:eastAsia="仿宋" w:cs="仿宋"/>
          <w:kern w:val="2"/>
          <w:sz w:val="24"/>
          <w:szCs w:val="24"/>
          <w:u w:val="none"/>
          <w:lang w:val="en-US" w:eastAsia="zh-CN" w:bidi="ar-SA"/>
        </w:rPr>
        <w:t>锦天恒业</w:t>
      </w:r>
      <w:r>
        <w:rPr>
          <w:rFonts w:hint="eastAsia" w:ascii="仿宋" w:hAnsi="仿宋" w:eastAsia="仿宋" w:cs="仿宋"/>
          <w:kern w:val="2"/>
          <w:sz w:val="24"/>
          <w:szCs w:val="24"/>
          <w:u w:val="none"/>
          <w:lang w:val="zh-CN" w:eastAsia="zh-CN" w:bidi="ar-SA"/>
        </w:rPr>
        <w:t>工程项目管理有限公司</w:t>
      </w:r>
    </w:p>
    <w:p w14:paraId="51D5FA1B">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地  址：新疆喀什地区喀什经济开发区兵团分区总部大厦A座4层401室13号</w:t>
      </w:r>
    </w:p>
    <w:p w14:paraId="1CC86B7F">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联系人：</w:t>
      </w:r>
      <w:r>
        <w:rPr>
          <w:rFonts w:hint="eastAsia" w:ascii="仿宋" w:hAnsi="仿宋" w:eastAsia="仿宋" w:cs="仿宋"/>
          <w:kern w:val="2"/>
          <w:sz w:val="24"/>
          <w:szCs w:val="24"/>
          <w:u w:val="none"/>
          <w:lang w:val="en-US" w:eastAsia="zh-CN" w:bidi="ar-SA"/>
        </w:rPr>
        <w:t>马守义</w:t>
      </w:r>
      <w:r>
        <w:rPr>
          <w:rFonts w:hint="eastAsia" w:ascii="仿宋" w:hAnsi="仿宋" w:eastAsia="仿宋" w:cs="仿宋"/>
          <w:kern w:val="2"/>
          <w:sz w:val="24"/>
          <w:szCs w:val="24"/>
          <w:u w:val="none"/>
          <w:lang w:val="zh-CN" w:eastAsia="zh-CN" w:bidi="ar-SA"/>
        </w:rPr>
        <w:t xml:space="preserve">       </w:t>
      </w:r>
      <w:r>
        <w:rPr>
          <w:rFonts w:hint="eastAsia" w:ascii="仿宋" w:hAnsi="仿宋" w:eastAsia="仿宋" w:cs="仿宋"/>
          <w:kern w:val="2"/>
          <w:sz w:val="24"/>
          <w:szCs w:val="24"/>
          <w:u w:val="none"/>
          <w:lang w:val="en-US" w:eastAsia="zh-CN" w:bidi="ar-SA"/>
        </w:rPr>
        <w:t xml:space="preserve">        </w:t>
      </w:r>
      <w:r>
        <w:rPr>
          <w:rFonts w:hint="eastAsia" w:ascii="仿宋" w:hAnsi="仿宋" w:eastAsia="仿宋" w:cs="仿宋"/>
          <w:kern w:val="2"/>
          <w:sz w:val="24"/>
          <w:szCs w:val="24"/>
          <w:u w:val="none"/>
          <w:lang w:val="zh-CN" w:eastAsia="zh-CN" w:bidi="ar-SA"/>
        </w:rPr>
        <w:t>联系电话：13579080810</w:t>
      </w:r>
    </w:p>
    <w:p w14:paraId="5D491EB1">
      <w:pPr>
        <w:pStyle w:val="3"/>
        <w:spacing w:line="336" w:lineRule="auto"/>
        <w:ind w:left="0" w:leftChars="0" w:firstLine="0" w:firstLineChars="0"/>
        <w:outlineLvl w:val="0"/>
        <w:rPr>
          <w:rFonts w:hint="eastAsia" w:ascii="仿宋" w:hAnsi="仿宋" w:eastAsia="仿宋" w:cs="仿宋"/>
          <w:b/>
          <w:bCs/>
          <w:kern w:val="2"/>
          <w:sz w:val="24"/>
          <w:szCs w:val="24"/>
          <w:u w:val="none"/>
          <w:lang w:val="en-US" w:eastAsia="zh-CN" w:bidi="ar-SA"/>
        </w:rPr>
      </w:pPr>
      <w:r>
        <w:rPr>
          <w:rFonts w:hint="eastAsia" w:ascii="仿宋" w:hAnsi="仿宋" w:eastAsia="仿宋" w:cs="仿宋"/>
          <w:b/>
          <w:bCs/>
          <w:kern w:val="2"/>
          <w:sz w:val="24"/>
          <w:szCs w:val="24"/>
          <w:u w:val="none"/>
          <w:lang w:val="en-US" w:eastAsia="zh-CN" w:bidi="ar-SA"/>
        </w:rPr>
        <w:t>五、其他事宜</w:t>
      </w:r>
    </w:p>
    <w:p w14:paraId="6DD866FC">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1、采购文件获取须知：</w:t>
      </w:r>
    </w:p>
    <w:p w14:paraId="7F863031">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（1）政采云平台已注册供应商可申请获取采购文件；</w:t>
      </w:r>
    </w:p>
    <w:p w14:paraId="29800291">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 xml:space="preserve"> 网址：https://middle.zcygov.cn/v-settle-front/registry</w:t>
      </w:r>
    </w:p>
    <w:p w14:paraId="4A8895D6">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（2）登陆网址：https://login.zcygov.cn </w:t>
      </w:r>
    </w:p>
    <w:p w14:paraId="76F97BC1">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操作方法：登录政采云平台→【项目采购】→【获取采购文件】→通过项目区划或项目编号搜索项目→申请获取采购文件→进入获取采购文件信息填写页面，按要求规范填写信息（其中带“*”项为必填项）并提交；</w:t>
      </w:r>
    </w:p>
    <w:p w14:paraId="49FC5602">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（4）如有操作性问题，请咨询政采云在线客服，咨询电话：40088171902</w:t>
      </w:r>
    </w:p>
    <w:p w14:paraId="0F5D04EE">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244D1E26">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3、本项目实行网上投标，采用电子投标文件(供应商须使用CA加密设备通过政采云电子投标客户端制作投标文件)。若供应商参与投标，自行承担投标一切费用。</w:t>
      </w:r>
    </w:p>
    <w:p w14:paraId="09D126D7">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4、各供应商应在开标前应确保成为新疆政府采购网正式注册入库供应商，并完成CA数字证书申领。因未注册入库、未办理CA数字证书等原因造成无法投标或投标失败等后果由供应商自行承担。</w:t>
      </w:r>
    </w:p>
    <w:p w14:paraId="67EA6D9F">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4457B175">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6.供应商在开标时须使用制作加密电子投标文件所使用的CA锁及电脑，电脑须提前配置好浏览器（建议使用360浏览器或谷歌浏览器），以便开标时解锁。</w:t>
      </w:r>
    </w:p>
    <w:p w14:paraId="076E8010">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7.投标保证金缴纳及确认时间：凡拟参加本次招标项目的供应商，必须在开标前将投标保证金汇入指定账户。否则，届时其投标将被拒绝。</w:t>
      </w:r>
    </w:p>
    <w:p w14:paraId="6C8CCB3E">
      <w:pPr>
        <w:widowControl/>
        <w:spacing w:line="360" w:lineRule="auto"/>
        <w:textAlignment w:val="baseline"/>
        <w:rPr>
          <w:rFonts w:hint="default"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8.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5904BB34">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特别提示：</w:t>
      </w:r>
    </w:p>
    <w:p w14:paraId="38ED4B96">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1、采购限额标准以上，200万元以下的货物和服务采购项目、400万元以下的工程采购项目，适宜由中小企业提供的，采购人应当专门面向中小企业采购。</w:t>
      </w:r>
    </w:p>
    <w:p w14:paraId="2F326625">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2、超过200万元的货物和服务采购项目，预留该部分采购项目预算总额的30%以上专门面向中小企业采购，其中预留给小微企业的比例不低于60%。</w:t>
      </w:r>
    </w:p>
    <w:p w14:paraId="59484201">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3、超过400万元的工程采购项目中适宜由中小企业提供的，预留该部分采购项目预算总额的40%以上专门面向中小企业采购，其中预留给小微企业的比例不低于60%。</w:t>
      </w:r>
    </w:p>
    <w:p w14:paraId="665E9E18">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65401D3">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B98D909"/>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6"/>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8A4F35"/>
    <w:rsid w:val="01BC57E0"/>
    <w:rsid w:val="1B132036"/>
    <w:rsid w:val="2EF438D4"/>
    <w:rsid w:val="3C2D7318"/>
    <w:rsid w:val="608A4F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3">
    <w:name w:val="Body Text Indent 2"/>
    <w:basedOn w:val="1"/>
    <w:qFormat/>
    <w:uiPriority w:val="0"/>
    <w:pPr>
      <w:ind w:firstLine="480" w:firstLineChars="200"/>
    </w:pPr>
    <w:rPr>
      <w:rFonts w:ascii="仿宋_GB2312" w:hAnsi="Times New Roman" w:eastAsia="仿宋_GB2312" w:cs="Times New Roman"/>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3375</Words>
  <Characters>3917</Characters>
  <Lines>0</Lines>
  <Paragraphs>0</Paragraphs>
  <TotalTime>11</TotalTime>
  <ScaleCrop>false</ScaleCrop>
  <LinksUpToDate>false</LinksUpToDate>
  <CharactersWithSpaces>3966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2025-03-24T11:18:00Z</dcterms:created>
  <dc:creator>牵着*^_^*蜗牛去散步</dc:creator>
  <cp:lastModifiedBy>牵着*^_^*蜗牛去散步</cp:lastModifiedBy>
  <dcterms:modified xsi:type="dcterms:W3CDTF">2025-03-28T14:07:37Z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1C5874A417F846C6A7975F04FDB4FE85_11</vt:lpwstr>
  </property>
  <property fmtid="{D5CDD505-2E9C-101B-9397-08002B2CF9AE}" pid="4" name="KSOTemplateDocerSaveRecord">
    <vt:lpwstr>eyJoZGlkIjoiMGM5ZjUwNTRmMmVmODAzY2U5NjFhNGY0N2JhN2QxZDIiLCJ1c2VySWQiOiI0MjE2NDg4MjQifQ==</vt:lpwstr>
  </property>
</Properties>
</file>