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Style w:val="33"/>
          <w:rFonts w:ascii="仿宋_GB2312" w:hAnsi="仿宋_GB2312" w:eastAsia="仿宋_GB2312" w:cs="仿宋_GB2312"/>
          <w:bCs/>
          <w:color w:val="auto"/>
          <w:sz w:val="52"/>
          <w:szCs w:val="52"/>
        </w:rPr>
      </w:pPr>
    </w:p>
    <w:p>
      <w:pPr>
        <w:spacing w:line="240" w:lineRule="atLeast"/>
        <w:jc w:val="center"/>
        <w:rPr>
          <w:rStyle w:val="33"/>
          <w:rFonts w:hint="eastAsia" w:ascii="仿宋_GB2312" w:hAnsi="仿宋_GB2312" w:eastAsia="仿宋_GB2312"/>
          <w:b/>
          <w:color w:val="auto"/>
          <w:sz w:val="52"/>
          <w:szCs w:val="52"/>
        </w:rPr>
      </w:pPr>
      <w:r>
        <w:rPr>
          <w:rStyle w:val="33"/>
          <w:rFonts w:hint="eastAsia" w:ascii="仿宋_GB2312" w:hAnsi="仿宋_GB2312" w:eastAsia="仿宋_GB2312"/>
          <w:b/>
          <w:color w:val="auto"/>
          <w:sz w:val="52"/>
          <w:szCs w:val="52"/>
        </w:rPr>
        <w:t>伽师县公安局警用服装采购项目</w:t>
      </w:r>
    </w:p>
    <w:p>
      <w:pPr>
        <w:spacing w:line="240" w:lineRule="atLeast"/>
        <w:jc w:val="center"/>
        <w:rPr>
          <w:rStyle w:val="33"/>
          <w:rFonts w:ascii="仿宋_GB2312" w:hAnsi="仿宋_GB2312" w:eastAsia="仿宋_GB2312"/>
          <w:b/>
          <w:color w:val="auto"/>
          <w:sz w:val="52"/>
          <w:szCs w:val="52"/>
        </w:rPr>
      </w:pPr>
      <w:r>
        <w:rPr>
          <w:rStyle w:val="33"/>
          <w:rFonts w:ascii="仿宋_GB2312" w:hAnsi="仿宋_GB2312" w:eastAsia="仿宋_GB2312"/>
          <w:b/>
          <w:color w:val="auto"/>
          <w:sz w:val="52"/>
          <w:szCs w:val="52"/>
        </w:rPr>
        <w:t>公开招标</w:t>
      </w:r>
    </w:p>
    <w:p>
      <w:pPr>
        <w:pStyle w:val="58"/>
        <w:ind w:firstLine="2080" w:firstLineChars="400"/>
        <w:rPr>
          <w:rStyle w:val="33"/>
          <w:rFonts w:ascii="仿宋_GB2312" w:hAnsi="仿宋_GB2312" w:eastAsia="仿宋_GB2312" w:cs="仿宋_GB2312"/>
          <w:bCs/>
          <w:color w:val="auto"/>
          <w:sz w:val="52"/>
          <w:szCs w:val="52"/>
        </w:rPr>
      </w:pPr>
    </w:p>
    <w:p>
      <w:pPr>
        <w:pStyle w:val="58"/>
        <w:ind w:firstLine="2080" w:firstLineChars="400"/>
        <w:rPr>
          <w:rStyle w:val="33"/>
          <w:rFonts w:ascii="仿宋_GB2312" w:hAnsi="仿宋_GB2312" w:eastAsia="仿宋_GB2312" w:cs="仿宋_GB2312"/>
          <w:bCs/>
          <w:color w:val="auto"/>
          <w:sz w:val="52"/>
          <w:szCs w:val="52"/>
        </w:rPr>
      </w:pPr>
    </w:p>
    <w:p>
      <w:pPr>
        <w:pStyle w:val="58"/>
        <w:jc w:val="center"/>
        <w:rPr>
          <w:rStyle w:val="33"/>
          <w:rFonts w:ascii="仿宋_GB2312" w:hAnsi="仿宋_GB2312" w:eastAsia="仿宋_GB2312"/>
          <w:b/>
          <w:color w:val="auto"/>
          <w:sz w:val="52"/>
          <w:szCs w:val="52"/>
        </w:rPr>
      </w:pPr>
      <w:r>
        <w:rPr>
          <w:rStyle w:val="33"/>
          <w:rFonts w:ascii="仿宋_GB2312" w:hAnsi="仿宋_GB2312" w:eastAsia="仿宋_GB2312"/>
          <w:b/>
          <w:color w:val="auto"/>
          <w:sz w:val="52"/>
          <w:szCs w:val="52"/>
        </w:rPr>
        <w:t xml:space="preserve"> 招标文件</w:t>
      </w:r>
    </w:p>
    <w:p>
      <w:pPr>
        <w:pStyle w:val="58"/>
        <w:rPr>
          <w:rStyle w:val="33"/>
          <w:rFonts w:eastAsia="仿宋_GB2312"/>
          <w:color w:val="auto"/>
        </w:rPr>
      </w:pPr>
    </w:p>
    <w:p>
      <w:pPr>
        <w:spacing w:line="240" w:lineRule="atLeast"/>
        <w:ind w:left="1079" w:leftChars="257" w:hanging="540"/>
        <w:jc w:val="center"/>
        <w:rPr>
          <w:rStyle w:val="33"/>
          <w:rFonts w:ascii="仿宋_GB2312" w:hAnsi="仿宋_GB2312" w:eastAsia="仿宋_GB2312"/>
          <w:b/>
          <w:color w:val="auto"/>
          <w:sz w:val="32"/>
          <w:szCs w:val="32"/>
        </w:rPr>
      </w:pPr>
    </w:p>
    <w:p>
      <w:pPr>
        <w:spacing w:line="240" w:lineRule="atLeast"/>
        <w:ind w:left="1079" w:leftChars="257" w:hanging="540"/>
        <w:rPr>
          <w:rStyle w:val="33"/>
          <w:rFonts w:ascii="仿宋_GB2312" w:hAnsi="仿宋_GB2312" w:eastAsia="仿宋_GB2312"/>
          <w:b/>
          <w:color w:val="auto"/>
          <w:sz w:val="28"/>
        </w:rPr>
      </w:pPr>
    </w:p>
    <w:p>
      <w:pPr>
        <w:spacing w:line="240" w:lineRule="atLeast"/>
        <w:ind w:left="2095" w:leftChars="998" w:firstLine="1258" w:firstLineChars="242"/>
        <w:rPr>
          <w:rStyle w:val="33"/>
          <w:rFonts w:ascii="仿宋_GB2312" w:hAnsi="仿宋_GB2312" w:eastAsia="仿宋_GB2312"/>
          <w:b/>
          <w:color w:val="auto"/>
          <w:sz w:val="52"/>
        </w:rPr>
      </w:pPr>
      <w:r>
        <w:rPr>
          <w:rStyle w:val="33"/>
          <w:rFonts w:ascii="仿宋_GB2312" w:hAnsi="仿宋_GB2312" w:eastAsia="仿宋_GB2312"/>
          <w:b/>
          <w:color w:val="auto"/>
          <w:sz w:val="52"/>
        </w:rPr>
        <w:t>(第一册)</w:t>
      </w:r>
    </w:p>
    <w:p>
      <w:pPr>
        <w:spacing w:line="240" w:lineRule="atLeast"/>
        <w:ind w:left="1079" w:leftChars="257" w:hanging="540"/>
        <w:jc w:val="center"/>
        <w:rPr>
          <w:rStyle w:val="33"/>
          <w:rFonts w:ascii="仿宋_GB2312" w:hAnsi="仿宋_GB2312" w:eastAsia="仿宋_GB2312"/>
          <w:b/>
          <w:color w:val="auto"/>
          <w:sz w:val="52"/>
        </w:rPr>
      </w:pPr>
    </w:p>
    <w:p>
      <w:pPr>
        <w:spacing w:line="240" w:lineRule="atLeast"/>
        <w:rPr>
          <w:rStyle w:val="33"/>
          <w:rFonts w:ascii="仿宋_GB2312" w:hAnsi="仿宋_GB2312" w:eastAsia="仿宋_GB2312"/>
          <w:b/>
          <w:color w:val="auto"/>
          <w:sz w:val="52"/>
        </w:rPr>
      </w:pPr>
    </w:p>
    <w:p>
      <w:pPr>
        <w:pStyle w:val="3"/>
        <w:rPr>
          <w:rStyle w:val="33"/>
          <w:rFonts w:ascii="仿宋_GB2312" w:hAnsi="仿宋_GB2312" w:eastAsia="仿宋_GB2312"/>
          <w:b/>
          <w:color w:val="auto"/>
          <w:sz w:val="52"/>
        </w:rPr>
      </w:pPr>
    </w:p>
    <w:p>
      <w:pPr>
        <w:rPr>
          <w:color w:val="auto"/>
        </w:rPr>
      </w:pPr>
    </w:p>
    <w:p>
      <w:pPr>
        <w:spacing w:line="560" w:lineRule="exact"/>
        <w:ind w:firstLine="900" w:firstLineChars="300"/>
        <w:rPr>
          <w:rStyle w:val="33"/>
          <w:rFonts w:hint="default" w:ascii="仿宋_GB2312" w:hAnsi="仿宋_GB2312" w:eastAsia="仿宋_GB2312" w:cs="仿宋_GB2312"/>
          <w:b/>
          <w:bCs/>
          <w:color w:val="auto"/>
          <w:sz w:val="30"/>
          <w:szCs w:val="30"/>
          <w:lang w:val="en-US" w:eastAsia="zh-CN"/>
        </w:rPr>
      </w:pPr>
      <w:r>
        <w:rPr>
          <w:rStyle w:val="33"/>
          <w:rFonts w:ascii="仿宋_GB2312" w:hAnsi="仿宋_GB2312" w:eastAsia="仿宋_GB2312" w:cs="仿宋_GB2312"/>
          <w:b/>
          <w:bCs/>
          <w:color w:val="auto"/>
          <w:sz w:val="30"/>
          <w:szCs w:val="30"/>
        </w:rPr>
        <w:t>项 目 编 号</w:t>
      </w:r>
      <w:r>
        <w:rPr>
          <w:rStyle w:val="33"/>
          <w:rFonts w:hint="eastAsia" w:ascii="仿宋_GB2312" w:hAnsi="仿宋_GB2312" w:eastAsia="仿宋_GB2312" w:cs="仿宋_GB2312"/>
          <w:b/>
          <w:bCs/>
          <w:color w:val="auto"/>
          <w:sz w:val="30"/>
          <w:szCs w:val="30"/>
        </w:rPr>
        <w:t>：KSJSX(GK)2024-</w:t>
      </w:r>
      <w:r>
        <w:rPr>
          <w:rStyle w:val="33"/>
          <w:rFonts w:hint="eastAsia" w:ascii="仿宋_GB2312" w:hAnsi="仿宋_GB2312" w:eastAsia="仿宋_GB2312" w:cs="仿宋_GB2312"/>
          <w:b/>
          <w:bCs/>
          <w:color w:val="auto"/>
          <w:sz w:val="30"/>
          <w:szCs w:val="30"/>
          <w:lang w:val="en-US" w:eastAsia="zh-CN"/>
        </w:rPr>
        <w:t>22</w:t>
      </w:r>
    </w:p>
    <w:p>
      <w:pPr>
        <w:spacing w:line="360" w:lineRule="auto"/>
        <w:ind w:firstLine="897" w:firstLineChars="299"/>
        <w:jc w:val="left"/>
        <w:rPr>
          <w:rStyle w:val="33"/>
          <w:rFonts w:ascii="仿宋_GB2312" w:hAnsi="仿宋_GB2312" w:eastAsia="仿宋_GB2312" w:cs="仿宋_GB2312"/>
          <w:b/>
          <w:bCs/>
          <w:color w:val="auto"/>
          <w:sz w:val="30"/>
          <w:szCs w:val="30"/>
        </w:rPr>
      </w:pPr>
      <w:r>
        <w:rPr>
          <w:rStyle w:val="33"/>
          <w:rFonts w:ascii="仿宋_GB2312" w:hAnsi="仿宋_GB2312" w:eastAsia="仿宋_GB2312" w:cs="仿宋_GB2312"/>
          <w:b/>
          <w:bCs/>
          <w:color w:val="auto"/>
          <w:sz w:val="30"/>
          <w:szCs w:val="30"/>
        </w:rPr>
        <w:t>采 购 单 位：</w:t>
      </w:r>
      <w:r>
        <w:rPr>
          <w:rStyle w:val="33"/>
          <w:rFonts w:hint="eastAsia" w:ascii="仿宋_GB2312" w:hAnsi="仿宋_GB2312" w:eastAsia="仿宋_GB2312" w:cs="仿宋_GB2312"/>
          <w:b/>
          <w:bCs/>
          <w:color w:val="auto"/>
          <w:sz w:val="30"/>
          <w:szCs w:val="30"/>
        </w:rPr>
        <w:t>伽师县公安局</w:t>
      </w:r>
    </w:p>
    <w:p>
      <w:pPr>
        <w:spacing w:line="360" w:lineRule="auto"/>
        <w:ind w:firstLine="897" w:firstLineChars="299"/>
        <w:jc w:val="left"/>
        <w:rPr>
          <w:rStyle w:val="33"/>
          <w:rFonts w:ascii="仿宋_GB2312" w:hAnsi="仿宋_GB2312" w:eastAsia="仿宋_GB2312" w:cs="仿宋_GB2312"/>
          <w:b/>
          <w:bCs/>
          <w:color w:val="auto"/>
          <w:sz w:val="30"/>
          <w:szCs w:val="30"/>
        </w:rPr>
      </w:pPr>
      <w:r>
        <w:rPr>
          <w:rStyle w:val="33"/>
          <w:rFonts w:ascii="仿宋_GB2312" w:hAnsi="仿宋_GB2312" w:eastAsia="仿宋_GB2312" w:cs="仿宋_GB2312"/>
          <w:b/>
          <w:bCs/>
          <w:color w:val="auto"/>
          <w:sz w:val="30"/>
          <w:szCs w:val="30"/>
        </w:rPr>
        <w:t>采购代理机构：伽师县政府采购中心</w:t>
      </w:r>
    </w:p>
    <w:p>
      <w:pPr>
        <w:spacing w:line="600" w:lineRule="exact"/>
        <w:ind w:firstLine="897" w:firstLineChars="299"/>
        <w:rPr>
          <w:rStyle w:val="33"/>
          <w:rFonts w:ascii="仿宋_GB2312" w:hAnsi="仿宋_GB2312" w:eastAsia="仿宋_GB2312" w:cs="仿宋_GB2312"/>
          <w:b/>
          <w:bCs/>
          <w:color w:val="auto"/>
          <w:sz w:val="30"/>
          <w:szCs w:val="30"/>
        </w:rPr>
      </w:pPr>
      <w:r>
        <w:rPr>
          <w:rStyle w:val="33"/>
          <w:rFonts w:ascii="仿宋_GB2312" w:hAnsi="仿宋_GB2312" w:eastAsia="仿宋_GB2312" w:cs="仿宋_GB2312"/>
          <w:b/>
          <w:bCs/>
          <w:color w:val="auto"/>
          <w:sz w:val="30"/>
          <w:szCs w:val="30"/>
        </w:rPr>
        <w:t>发  出 日 期：</w:t>
      </w:r>
      <w:r>
        <w:rPr>
          <w:rStyle w:val="33"/>
          <w:rFonts w:hint="eastAsia" w:ascii="仿宋_GB2312" w:hAnsi="仿宋_GB2312" w:eastAsia="仿宋_GB2312" w:cs="仿宋_GB2312"/>
          <w:b/>
          <w:bCs/>
          <w:color w:val="auto"/>
          <w:sz w:val="30"/>
          <w:szCs w:val="30"/>
        </w:rPr>
        <w:t>2024年</w:t>
      </w:r>
      <w:r>
        <w:rPr>
          <w:rStyle w:val="33"/>
          <w:rFonts w:hint="eastAsia" w:ascii="仿宋_GB2312" w:hAnsi="仿宋_GB2312" w:eastAsia="仿宋_GB2312" w:cs="仿宋_GB2312"/>
          <w:b/>
          <w:bCs/>
          <w:color w:val="auto"/>
          <w:sz w:val="30"/>
          <w:szCs w:val="30"/>
          <w:lang w:val="en-US" w:eastAsia="zh-CN"/>
        </w:rPr>
        <w:t>6</w:t>
      </w:r>
      <w:r>
        <w:rPr>
          <w:rStyle w:val="33"/>
          <w:rFonts w:hint="eastAsia" w:ascii="仿宋_GB2312" w:hAnsi="仿宋_GB2312" w:eastAsia="仿宋_GB2312" w:cs="仿宋_GB2312"/>
          <w:b/>
          <w:bCs/>
          <w:color w:val="auto"/>
          <w:sz w:val="30"/>
          <w:szCs w:val="30"/>
        </w:rPr>
        <w:t>月</w:t>
      </w:r>
    </w:p>
    <w:p>
      <w:pPr>
        <w:spacing w:line="240" w:lineRule="atLeast"/>
        <w:ind w:left="1079" w:leftChars="257" w:hanging="540"/>
        <w:rPr>
          <w:rStyle w:val="33"/>
          <w:rFonts w:ascii="仿宋_GB2312" w:hAnsi="仿宋_GB2312" w:eastAsia="仿宋_GB2312"/>
          <w:b/>
          <w:szCs w:val="21"/>
        </w:rPr>
      </w:pPr>
    </w:p>
    <w:p>
      <w:pPr>
        <w:spacing w:line="240" w:lineRule="atLeast"/>
        <w:ind w:left="1079" w:leftChars="257" w:hanging="540"/>
        <w:jc w:val="center"/>
        <w:rPr>
          <w:rFonts w:ascii="仿宋_GB2312" w:hAnsi="仿宋_GB2312" w:eastAsia="仿宋_GB2312" w:cs="仿宋_GB2312"/>
          <w:b/>
          <w:sz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22782"/>
      <w:bookmarkStart w:id="1" w:name="_Toc25817"/>
      <w:bookmarkStart w:id="2" w:name="_Toc216582804"/>
      <w:bookmarkStart w:id="3" w:name="_Toc17230"/>
    </w:p>
    <w:bookmarkEnd w:id="0"/>
    <w:bookmarkEnd w:id="1"/>
    <w:bookmarkEnd w:id="2"/>
    <w:bookmarkEnd w:id="3"/>
    <w:p>
      <w:pPr>
        <w:spacing w:line="240" w:lineRule="atLeast"/>
        <w:ind w:left="1079" w:leftChars="257" w:hanging="540"/>
        <w:jc w:val="center"/>
        <w:rPr>
          <w:rFonts w:ascii="仿宋_GB2312" w:hAnsi="仿宋_GB2312" w:eastAsia="仿宋_GB2312" w:cs="仿宋_GB2312"/>
          <w:b/>
          <w:sz w:val="32"/>
        </w:rPr>
      </w:pPr>
      <w:bookmarkStart w:id="4" w:name="_Toc26793"/>
      <w:bookmarkStart w:id="5" w:name="_Toc5471"/>
      <w:bookmarkStart w:id="6" w:name="_Toc15055"/>
      <w:bookmarkStart w:id="7" w:name="_Toc18867"/>
      <w:bookmarkStart w:id="8" w:name="_Toc8272"/>
      <w:bookmarkStart w:id="9" w:name="_Toc1687"/>
      <w:bookmarkStart w:id="10" w:name="_Toc13334"/>
      <w:bookmarkStart w:id="11" w:name="_Toc31178"/>
      <w:bookmarkStart w:id="12" w:name="_Toc2510"/>
      <w:r>
        <w:rPr>
          <w:rFonts w:hint="eastAsia" w:ascii="仿宋_GB2312" w:hAnsi="仿宋_GB2312" w:eastAsia="仿宋_GB2312" w:cs="仿宋_GB2312"/>
          <w:b/>
          <w:sz w:val="32"/>
        </w:rPr>
        <w:t>目  录</w:t>
      </w:r>
    </w:p>
    <w:p>
      <w:pPr>
        <w:pStyle w:val="18"/>
        <w:tabs>
          <w:tab w:val="right" w:leader="dot" w:pos="9786"/>
        </w:tabs>
      </w:pPr>
      <w:r>
        <w:fldChar w:fldCharType="begin"/>
      </w:r>
      <w:r>
        <w:instrText xml:space="preserve">TOC \o "1-3" \h \u </w:instrText>
      </w:r>
      <w:r>
        <w:fldChar w:fldCharType="separate"/>
      </w:r>
      <w:r>
        <w:fldChar w:fldCharType="begin"/>
      </w:r>
      <w:r>
        <w:instrText xml:space="preserve"> HYPERLINK \l "_Toc8173" </w:instrText>
      </w:r>
      <w:r>
        <w:fldChar w:fldCharType="separate"/>
      </w:r>
      <w:r>
        <w:rPr>
          <w:rFonts w:hint="eastAsia" w:ascii="仿宋_GB2312" w:hAnsi="仿宋_GB2312" w:eastAsia="仿宋_GB2312" w:cs="仿宋_GB2312"/>
          <w:kern w:val="0"/>
          <w:szCs w:val="44"/>
        </w:rPr>
        <w:t>第一章</w:t>
      </w:r>
      <w:r>
        <w:rPr>
          <w:rFonts w:hint="eastAsia" w:ascii="仿宋_GB2312" w:hAnsi="仿宋_GB2312" w:eastAsia="仿宋_GB2312" w:cs="仿宋_GB2312"/>
          <w:szCs w:val="44"/>
        </w:rPr>
        <w:t>投标人须知</w:t>
      </w:r>
      <w:r>
        <w:tab/>
      </w:r>
      <w:r>
        <w:fldChar w:fldCharType="begin"/>
      </w:r>
      <w:r>
        <w:instrText xml:space="preserve"> PAGEREF _Toc8173 \h </w:instrText>
      </w:r>
      <w:r>
        <w:fldChar w:fldCharType="separate"/>
      </w:r>
      <w:r>
        <w:t>1</w:t>
      </w:r>
      <w:r>
        <w:fldChar w:fldCharType="end"/>
      </w:r>
      <w:r>
        <w:fldChar w:fldCharType="end"/>
      </w:r>
    </w:p>
    <w:p>
      <w:pPr>
        <w:pStyle w:val="22"/>
        <w:tabs>
          <w:tab w:val="right" w:leader="dot" w:pos="9786"/>
        </w:tabs>
      </w:pPr>
      <w:r>
        <w:fldChar w:fldCharType="begin"/>
      </w:r>
      <w:r>
        <w:instrText xml:space="preserve"> HYPERLINK \l "_Toc16621" </w:instrText>
      </w:r>
      <w:r>
        <w:fldChar w:fldCharType="separate"/>
      </w:r>
      <w:r>
        <w:rPr>
          <w:rFonts w:hint="eastAsia" w:ascii="仿宋_GB2312" w:hAnsi="仿宋_GB2312" w:eastAsia="仿宋_GB2312" w:cs="仿宋_GB2312"/>
        </w:rPr>
        <w:t>一   总 则</w:t>
      </w:r>
      <w:r>
        <w:tab/>
      </w:r>
      <w:r>
        <w:fldChar w:fldCharType="begin"/>
      </w:r>
      <w:r>
        <w:instrText xml:space="preserve"> PAGEREF _Toc16621 \h </w:instrText>
      </w:r>
      <w:r>
        <w:fldChar w:fldCharType="separate"/>
      </w:r>
      <w:r>
        <w:t>1</w:t>
      </w:r>
      <w:r>
        <w:fldChar w:fldCharType="end"/>
      </w:r>
      <w:r>
        <w:fldChar w:fldCharType="end"/>
      </w:r>
    </w:p>
    <w:p>
      <w:pPr>
        <w:pStyle w:val="12"/>
        <w:tabs>
          <w:tab w:val="right" w:leader="dot" w:pos="9786"/>
          <w:tab w:val="clear" w:pos="1260"/>
          <w:tab w:val="clear" w:pos="8630"/>
        </w:tabs>
      </w:pPr>
      <w:r>
        <w:fldChar w:fldCharType="begin"/>
      </w:r>
      <w:r>
        <w:instrText xml:space="preserve"> HYPERLINK \l "_Toc9551" </w:instrText>
      </w:r>
      <w:r>
        <w:fldChar w:fldCharType="separate"/>
      </w:r>
      <w:r>
        <w:rPr>
          <w:rFonts w:hint="eastAsia" w:ascii="仿宋_GB2312" w:hAnsi="仿宋_GB2312" w:eastAsia="仿宋_GB2312" w:cs="仿宋_GB2312"/>
        </w:rPr>
        <w:t>1.采购人、采购代理机构及投标人</w:t>
      </w:r>
      <w:r>
        <w:tab/>
      </w:r>
      <w:r>
        <w:fldChar w:fldCharType="begin"/>
      </w:r>
      <w:r>
        <w:instrText xml:space="preserve"> PAGEREF _Toc9551 \h </w:instrText>
      </w:r>
      <w:r>
        <w:fldChar w:fldCharType="separate"/>
      </w:r>
      <w:r>
        <w:t>1</w:t>
      </w:r>
      <w:r>
        <w:fldChar w:fldCharType="end"/>
      </w:r>
      <w:r>
        <w:fldChar w:fldCharType="end"/>
      </w:r>
    </w:p>
    <w:p>
      <w:pPr>
        <w:pStyle w:val="12"/>
        <w:tabs>
          <w:tab w:val="right" w:leader="dot" w:pos="9786"/>
          <w:tab w:val="clear" w:pos="1260"/>
          <w:tab w:val="clear" w:pos="8630"/>
        </w:tabs>
      </w:pPr>
      <w:r>
        <w:fldChar w:fldCharType="begin"/>
      </w:r>
      <w:r>
        <w:instrText xml:space="preserve"> HYPERLINK \l "_Toc8057" </w:instrText>
      </w:r>
      <w:r>
        <w:fldChar w:fldCharType="separate"/>
      </w:r>
      <w:r>
        <w:rPr>
          <w:rFonts w:hint="eastAsia" w:ascii="仿宋_GB2312" w:hAnsi="仿宋_GB2312" w:eastAsia="仿宋_GB2312" w:cs="仿宋_GB2312"/>
        </w:rPr>
        <w:t>2.资金来源</w:t>
      </w:r>
      <w:r>
        <w:tab/>
      </w:r>
      <w:r>
        <w:fldChar w:fldCharType="begin"/>
      </w:r>
      <w:r>
        <w:instrText xml:space="preserve"> PAGEREF _Toc8057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"_Toc703" </w:instrText>
      </w:r>
      <w:r>
        <w:fldChar w:fldCharType="separate"/>
      </w:r>
      <w:r>
        <w:rPr>
          <w:rFonts w:hint="eastAsia" w:ascii="仿宋_GB2312" w:hAnsi="仿宋_GB2312" w:eastAsia="仿宋_GB2312" w:cs="仿宋_GB2312"/>
        </w:rPr>
        <w:t>3.投标费用</w:t>
      </w:r>
      <w:r>
        <w:tab/>
      </w:r>
      <w:r>
        <w:fldChar w:fldCharType="begin"/>
      </w:r>
      <w:r>
        <w:instrText xml:space="preserve"> PAGEREF _Toc703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"_Toc19596" </w:instrText>
      </w:r>
      <w:r>
        <w:fldChar w:fldCharType="separate"/>
      </w:r>
      <w:r>
        <w:rPr>
          <w:rFonts w:hint="eastAsia" w:ascii="仿宋_GB2312" w:hAnsi="仿宋_GB2312" w:eastAsia="仿宋_GB2312" w:cs="仿宋_GB2312"/>
        </w:rPr>
        <w:t>4.适用法律</w:t>
      </w:r>
      <w:r>
        <w:tab/>
      </w:r>
      <w:r>
        <w:fldChar w:fldCharType="begin"/>
      </w:r>
      <w:r>
        <w:instrText xml:space="preserve"> PAGEREF _Toc19596 \h </w:instrText>
      </w:r>
      <w:r>
        <w:fldChar w:fldCharType="separate"/>
      </w:r>
      <w:r>
        <w:t>2</w:t>
      </w:r>
      <w:r>
        <w:fldChar w:fldCharType="end"/>
      </w:r>
      <w:r>
        <w:fldChar w:fldCharType="end"/>
      </w:r>
    </w:p>
    <w:p>
      <w:pPr>
        <w:pStyle w:val="22"/>
        <w:tabs>
          <w:tab w:val="right" w:leader="dot" w:pos="9786"/>
        </w:tabs>
      </w:pPr>
      <w:r>
        <w:fldChar w:fldCharType="begin"/>
      </w:r>
      <w:r>
        <w:instrText xml:space="preserve"> HYPERLINK \l "_Toc6520" </w:instrText>
      </w:r>
      <w:r>
        <w:fldChar w:fldCharType="separate"/>
      </w:r>
      <w:r>
        <w:rPr>
          <w:rFonts w:hint="eastAsia" w:ascii="仿宋_GB2312" w:hAnsi="仿宋_GB2312" w:eastAsia="仿宋_GB2312" w:cs="仿宋_GB2312"/>
        </w:rPr>
        <w:t>二   招标文件</w:t>
      </w:r>
      <w:r>
        <w:tab/>
      </w:r>
      <w:r>
        <w:fldChar w:fldCharType="begin"/>
      </w:r>
      <w:r>
        <w:instrText xml:space="preserve"> PAGEREF _Toc6520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"_Toc25647" </w:instrText>
      </w:r>
      <w:r>
        <w:fldChar w:fldCharType="separate"/>
      </w:r>
      <w:r>
        <w:rPr>
          <w:rFonts w:hint="eastAsia" w:ascii="仿宋_GB2312" w:hAnsi="仿宋_GB2312" w:eastAsia="仿宋_GB2312" w:cs="仿宋_GB2312"/>
        </w:rPr>
        <w:t>5.招标文件构成</w:t>
      </w:r>
      <w:r>
        <w:tab/>
      </w:r>
      <w:r>
        <w:fldChar w:fldCharType="begin"/>
      </w:r>
      <w:r>
        <w:instrText xml:space="preserve"> PAGEREF _Toc25647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"_Toc7751" </w:instrText>
      </w:r>
      <w:r>
        <w:fldChar w:fldCharType="separate"/>
      </w:r>
      <w:r>
        <w:rPr>
          <w:rFonts w:hint="eastAsia" w:ascii="仿宋_GB2312" w:hAnsi="仿宋_GB2312" w:eastAsia="仿宋_GB2312" w:cs="仿宋_GB2312"/>
        </w:rPr>
        <w:t>6.招标文件的澄清与修改</w:t>
      </w:r>
      <w:r>
        <w:tab/>
      </w:r>
      <w:r>
        <w:fldChar w:fldCharType="begin"/>
      </w:r>
      <w:r>
        <w:instrText xml:space="preserve"> PAGEREF _Toc7751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"_Toc21817" </w:instrText>
      </w:r>
      <w:r>
        <w:fldChar w:fldCharType="separate"/>
      </w:r>
      <w:r>
        <w:rPr>
          <w:rFonts w:hint="eastAsia" w:ascii="仿宋_GB2312" w:hAnsi="仿宋_GB2312" w:eastAsia="仿宋_GB2312" w:cs="仿宋_GB2312"/>
        </w:rPr>
        <w:t>7.投标截止时间的顺延</w:t>
      </w:r>
      <w:r>
        <w:tab/>
      </w:r>
      <w:r>
        <w:fldChar w:fldCharType="begin"/>
      </w:r>
      <w:r>
        <w:instrText xml:space="preserve"> PAGEREF _Toc21817 \h </w:instrText>
      </w:r>
      <w:r>
        <w:fldChar w:fldCharType="separate"/>
      </w:r>
      <w:r>
        <w:t>3</w:t>
      </w:r>
      <w:r>
        <w:fldChar w:fldCharType="end"/>
      </w:r>
      <w:r>
        <w:fldChar w:fldCharType="end"/>
      </w:r>
    </w:p>
    <w:p>
      <w:pPr>
        <w:pStyle w:val="22"/>
        <w:tabs>
          <w:tab w:val="right" w:leader="dot" w:pos="9786"/>
        </w:tabs>
      </w:pPr>
      <w:r>
        <w:fldChar w:fldCharType="begin"/>
      </w:r>
      <w:r>
        <w:instrText xml:space="preserve"> HYPERLINK \l "_Toc9442" </w:instrText>
      </w:r>
      <w:r>
        <w:fldChar w:fldCharType="separate"/>
      </w:r>
      <w:r>
        <w:rPr>
          <w:rFonts w:hint="eastAsia" w:ascii="仿宋_GB2312" w:hAnsi="仿宋_GB2312" w:eastAsia="仿宋_GB2312" w:cs="仿宋_GB2312"/>
        </w:rPr>
        <w:t>三   投标文件的编制</w:t>
      </w:r>
      <w:r>
        <w:tab/>
      </w:r>
      <w:r>
        <w:fldChar w:fldCharType="begin"/>
      </w:r>
      <w:r>
        <w:instrText xml:space="preserve"> PAGEREF _Toc9442 \h </w:instrText>
      </w:r>
      <w:r>
        <w:fldChar w:fldCharType="separate"/>
      </w:r>
      <w:r>
        <w:t>3</w:t>
      </w:r>
      <w:r>
        <w:fldChar w:fldCharType="end"/>
      </w:r>
      <w:r>
        <w:fldChar w:fldCharType="end"/>
      </w:r>
    </w:p>
    <w:p>
      <w:pPr>
        <w:pStyle w:val="12"/>
        <w:tabs>
          <w:tab w:val="right" w:pos="2800"/>
          <w:tab w:val="right" w:leader="dot" w:pos="9786"/>
          <w:tab w:val="clear" w:pos="1260"/>
          <w:tab w:val="clear" w:pos="8630"/>
        </w:tabs>
      </w:pPr>
      <w:r>
        <w:fldChar w:fldCharType="begin"/>
      </w:r>
      <w:r>
        <w:instrText xml:space="preserve"> HYPERLINK \l "_Toc11227" </w:instrText>
      </w:r>
      <w:r>
        <w:fldChar w:fldCharType="separate"/>
      </w:r>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r>
        <w:tab/>
      </w:r>
      <w:r>
        <w:fldChar w:fldCharType="begin"/>
      </w:r>
      <w:r>
        <w:instrText xml:space="preserve"> PAGEREF _Toc11227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"_Toc31425" </w:instrText>
      </w:r>
      <w:r>
        <w:fldChar w:fldCharType="separate"/>
      </w:r>
      <w:r>
        <w:rPr>
          <w:rFonts w:hint="eastAsia" w:ascii="仿宋_GB2312" w:hAnsi="仿宋_GB2312" w:eastAsia="仿宋_GB2312" w:cs="仿宋_GB2312"/>
        </w:rPr>
        <w:t>9.投标文件构成</w:t>
      </w:r>
      <w:r>
        <w:tab/>
      </w:r>
      <w:r>
        <w:fldChar w:fldCharType="begin"/>
      </w:r>
      <w:r>
        <w:instrText xml:space="preserve"> PAGEREF _Toc31425 \h </w:instrText>
      </w:r>
      <w:r>
        <w:fldChar w:fldCharType="separate"/>
      </w:r>
      <w:r>
        <w:t>3</w:t>
      </w:r>
      <w:r>
        <w:fldChar w:fldCharType="end"/>
      </w:r>
      <w:r>
        <w:fldChar w:fldCharType="end"/>
      </w:r>
    </w:p>
    <w:p>
      <w:pPr>
        <w:pStyle w:val="12"/>
        <w:tabs>
          <w:tab w:val="right" w:pos="2800"/>
          <w:tab w:val="right" w:leader="dot" w:pos="9786"/>
          <w:tab w:val="clear" w:pos="1260"/>
          <w:tab w:val="clear" w:pos="8630"/>
        </w:tabs>
      </w:pPr>
      <w:r>
        <w:fldChar w:fldCharType="begin"/>
      </w:r>
      <w:r>
        <w:instrText xml:space="preserve"> HYPERLINK \l "_Toc20882" </w:instrText>
      </w:r>
      <w:r>
        <w:fldChar w:fldCharType="separate"/>
      </w:r>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r>
        <w:tab/>
      </w:r>
      <w:r>
        <w:fldChar w:fldCharType="begin"/>
      </w:r>
      <w:r>
        <w:instrText xml:space="preserve"> PAGEREF _Toc20882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"_Toc30150" </w:instrText>
      </w:r>
      <w:r>
        <w:fldChar w:fldCharType="separate"/>
      </w:r>
      <w:r>
        <w:rPr>
          <w:rFonts w:hint="eastAsia" w:ascii="仿宋_GB2312" w:hAnsi="仿宋_GB2312" w:eastAsia="仿宋_GB2312" w:cs="仿宋_GB2312"/>
        </w:rPr>
        <w:t>11.投标报价</w:t>
      </w:r>
      <w:r>
        <w:tab/>
      </w:r>
      <w:r>
        <w:fldChar w:fldCharType="begin"/>
      </w:r>
      <w:r>
        <w:instrText xml:space="preserve"> PAGEREF _Toc30150 \h </w:instrText>
      </w:r>
      <w:r>
        <w:fldChar w:fldCharType="separate"/>
      </w:r>
      <w:r>
        <w:t>4</w:t>
      </w:r>
      <w:r>
        <w:fldChar w:fldCharType="end"/>
      </w:r>
      <w:r>
        <w:fldChar w:fldCharType="end"/>
      </w:r>
    </w:p>
    <w:p>
      <w:pPr>
        <w:pStyle w:val="12"/>
        <w:tabs>
          <w:tab w:val="right" w:leader="dot" w:pos="9786"/>
          <w:tab w:val="clear" w:pos="1260"/>
          <w:tab w:val="clear" w:pos="8630"/>
        </w:tabs>
      </w:pPr>
      <w:r>
        <w:fldChar w:fldCharType="begin"/>
      </w:r>
      <w:r>
        <w:instrText xml:space="preserve"> HYPERLINK \l "_Toc30117" </w:instrText>
      </w:r>
      <w:r>
        <w:fldChar w:fldCharType="separate"/>
      </w:r>
      <w:r>
        <w:rPr>
          <w:rFonts w:hint="eastAsia" w:ascii="仿宋_GB2312" w:hAnsi="仿宋_GB2312" w:eastAsia="仿宋_GB2312" w:cs="仿宋_GB2312"/>
        </w:rPr>
        <w:t>12.投标保证金</w:t>
      </w:r>
      <w:r>
        <w:tab/>
      </w:r>
      <w:r>
        <w:fldChar w:fldCharType="begin"/>
      </w:r>
      <w:r>
        <w:instrText xml:space="preserve"> PAGEREF _Toc30117 \h </w:instrText>
      </w:r>
      <w:r>
        <w:fldChar w:fldCharType="separate"/>
      </w:r>
      <w:r>
        <w:t>4</w:t>
      </w:r>
      <w:r>
        <w:fldChar w:fldCharType="end"/>
      </w:r>
      <w:r>
        <w:fldChar w:fldCharType="end"/>
      </w:r>
    </w:p>
    <w:p>
      <w:pPr>
        <w:pStyle w:val="12"/>
        <w:tabs>
          <w:tab w:val="right" w:leader="dot" w:pos="9786"/>
          <w:tab w:val="clear" w:pos="1260"/>
          <w:tab w:val="clear" w:pos="8630"/>
        </w:tabs>
      </w:pPr>
      <w:r>
        <w:fldChar w:fldCharType="begin"/>
      </w:r>
      <w:r>
        <w:instrText xml:space="preserve"> HYPERLINK \l "_Toc15686" </w:instrText>
      </w:r>
      <w:r>
        <w:fldChar w:fldCharType="separate"/>
      </w:r>
      <w:r>
        <w:rPr>
          <w:rFonts w:hint="eastAsia" w:ascii="仿宋_GB2312" w:hAnsi="仿宋_GB2312" w:eastAsia="仿宋_GB2312" w:cs="仿宋_GB2312"/>
        </w:rPr>
        <w:t>13.投标有效期</w:t>
      </w:r>
      <w:r>
        <w:tab/>
      </w:r>
      <w:r>
        <w:fldChar w:fldCharType="begin"/>
      </w:r>
      <w:r>
        <w:instrText xml:space="preserve"> PAGEREF _Toc15686 \h </w:instrText>
      </w:r>
      <w:r>
        <w:fldChar w:fldCharType="separate"/>
      </w:r>
      <w:r>
        <w:t>5</w:t>
      </w:r>
      <w:r>
        <w:fldChar w:fldCharType="end"/>
      </w:r>
      <w:r>
        <w:fldChar w:fldCharType="end"/>
      </w:r>
    </w:p>
    <w:p>
      <w:pPr>
        <w:pStyle w:val="22"/>
        <w:tabs>
          <w:tab w:val="right" w:leader="dot" w:pos="9786"/>
        </w:tabs>
      </w:pPr>
      <w:r>
        <w:fldChar w:fldCharType="begin"/>
      </w:r>
      <w:r>
        <w:instrText xml:space="preserve"> HYPERLINK \l "_Toc10905" </w:instrText>
      </w:r>
      <w:r>
        <w:fldChar w:fldCharType="separate"/>
      </w:r>
      <w:r>
        <w:rPr>
          <w:rFonts w:hint="eastAsia" w:ascii="仿宋_GB2312" w:hAnsi="仿宋_GB2312" w:eastAsia="仿宋_GB2312" w:cs="仿宋_GB2312"/>
        </w:rPr>
        <w:t>四   投标文件的递交</w:t>
      </w:r>
      <w:r>
        <w:tab/>
      </w:r>
      <w:r>
        <w:fldChar w:fldCharType="begin"/>
      </w:r>
      <w:r>
        <w:instrText xml:space="preserve"> PAGEREF _Toc10905 \h </w:instrText>
      </w:r>
      <w:r>
        <w:fldChar w:fldCharType="separate"/>
      </w:r>
      <w:r>
        <w:t>5</w:t>
      </w:r>
      <w:r>
        <w:fldChar w:fldCharType="end"/>
      </w:r>
      <w:r>
        <w:fldChar w:fldCharType="end"/>
      </w:r>
    </w:p>
    <w:p>
      <w:pPr>
        <w:pStyle w:val="12"/>
        <w:tabs>
          <w:tab w:val="right" w:leader="dot" w:pos="9786"/>
          <w:tab w:val="clear" w:pos="1260"/>
          <w:tab w:val="clear" w:pos="8630"/>
        </w:tabs>
      </w:pPr>
      <w:r>
        <w:fldChar w:fldCharType="begin"/>
      </w:r>
      <w:r>
        <w:instrText xml:space="preserve"> HYPERLINK \l "_Toc2091" </w:instrText>
      </w:r>
      <w:r>
        <w:fldChar w:fldCharType="separate"/>
      </w:r>
      <w:r>
        <w:rPr>
          <w:rFonts w:hint="eastAsia" w:ascii="仿宋_GB2312" w:hAnsi="仿宋_GB2312" w:eastAsia="仿宋_GB2312" w:cs="仿宋_GB2312"/>
        </w:rPr>
        <w:t>15.投标文件的密封和标记</w:t>
      </w:r>
      <w:r>
        <w:tab/>
      </w:r>
      <w:r>
        <w:fldChar w:fldCharType="begin"/>
      </w:r>
      <w:r>
        <w:instrText xml:space="preserve"> PAGEREF _Toc2091 \h </w:instrText>
      </w:r>
      <w:r>
        <w:fldChar w:fldCharType="separate"/>
      </w:r>
      <w:r>
        <w:t>5</w:t>
      </w:r>
      <w:r>
        <w:fldChar w:fldCharType="end"/>
      </w:r>
      <w:r>
        <w:fldChar w:fldCharType="end"/>
      </w:r>
    </w:p>
    <w:p>
      <w:pPr>
        <w:pStyle w:val="12"/>
        <w:tabs>
          <w:tab w:val="right" w:leader="dot" w:pos="9786"/>
          <w:tab w:val="clear" w:pos="1260"/>
          <w:tab w:val="clear" w:pos="8630"/>
        </w:tabs>
      </w:pPr>
      <w:r>
        <w:fldChar w:fldCharType="begin"/>
      </w:r>
      <w:r>
        <w:instrText xml:space="preserve"> HYPERLINK \l "_Toc26691" </w:instrText>
      </w:r>
      <w:r>
        <w:fldChar w:fldCharType="separate"/>
      </w:r>
      <w:r>
        <w:rPr>
          <w:rFonts w:hint="eastAsia" w:ascii="仿宋_GB2312" w:hAnsi="仿宋_GB2312" w:eastAsia="仿宋_GB2312" w:cs="仿宋_GB2312"/>
        </w:rPr>
        <w:t>16.投标截止</w:t>
      </w:r>
      <w:r>
        <w:tab/>
      </w:r>
      <w:r>
        <w:fldChar w:fldCharType="begin"/>
      </w:r>
      <w:r>
        <w:instrText xml:space="preserve"> PAGEREF _Toc26691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"_Toc24899" </w:instrText>
      </w:r>
      <w:r>
        <w:fldChar w:fldCharType="separate"/>
      </w:r>
      <w:r>
        <w:rPr>
          <w:rFonts w:hint="eastAsia" w:ascii="仿宋_GB2312" w:hAnsi="仿宋_GB2312" w:eastAsia="仿宋_GB2312" w:cs="仿宋_GB2312"/>
        </w:rPr>
        <w:t>17.投标文件的接收、修改与撤回</w:t>
      </w:r>
      <w:r>
        <w:tab/>
      </w:r>
      <w:r>
        <w:fldChar w:fldCharType="begin"/>
      </w:r>
      <w:r>
        <w:instrText xml:space="preserve"> PAGEREF _Toc24899 \h </w:instrText>
      </w:r>
      <w:r>
        <w:fldChar w:fldCharType="separate"/>
      </w:r>
      <w:r>
        <w:t>6</w:t>
      </w:r>
      <w:r>
        <w:fldChar w:fldCharType="end"/>
      </w:r>
      <w:r>
        <w:fldChar w:fldCharType="end"/>
      </w:r>
    </w:p>
    <w:p>
      <w:pPr>
        <w:pStyle w:val="22"/>
        <w:tabs>
          <w:tab w:val="right" w:leader="dot" w:pos="9786"/>
        </w:tabs>
      </w:pPr>
      <w:r>
        <w:fldChar w:fldCharType="begin"/>
      </w:r>
      <w:r>
        <w:instrText xml:space="preserve"> HYPERLINK \l "_Toc24411" </w:instrText>
      </w:r>
      <w:r>
        <w:fldChar w:fldCharType="separate"/>
      </w:r>
      <w:r>
        <w:rPr>
          <w:rFonts w:hint="eastAsia" w:ascii="仿宋_GB2312" w:hAnsi="仿宋_GB2312" w:eastAsia="仿宋_GB2312" w:cs="仿宋_GB2312"/>
        </w:rPr>
        <w:t>五   开标及评标</w:t>
      </w:r>
      <w:r>
        <w:tab/>
      </w:r>
      <w:r>
        <w:fldChar w:fldCharType="begin"/>
      </w:r>
      <w:r>
        <w:instrText xml:space="preserve"> PAGEREF _Toc24411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"_Toc19198" </w:instrText>
      </w:r>
      <w:r>
        <w:fldChar w:fldCharType="separate"/>
      </w:r>
      <w:r>
        <w:rPr>
          <w:rFonts w:ascii="仿宋_GB2312" w:hAnsi="仿宋_GB2312" w:eastAsia="仿宋_GB2312" w:cs="仿宋_GB2312"/>
        </w:rPr>
        <w:t xml:space="preserve">18. </w:t>
      </w:r>
      <w:r>
        <w:rPr>
          <w:rFonts w:hint="eastAsia" w:ascii="仿宋_GB2312" w:hAnsi="仿宋_GB2312" w:eastAsia="仿宋_GB2312" w:cs="仿宋_GB2312"/>
        </w:rPr>
        <w:t>开标</w:t>
      </w:r>
      <w:r>
        <w:tab/>
      </w:r>
      <w:r>
        <w:fldChar w:fldCharType="begin"/>
      </w:r>
      <w:r>
        <w:instrText xml:space="preserve"> PAGEREF _Toc19198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"_Toc12992" </w:instrText>
      </w:r>
      <w:r>
        <w:fldChar w:fldCharType="separate"/>
      </w:r>
      <w:r>
        <w:rPr>
          <w:rFonts w:hint="eastAsia" w:ascii="仿宋_GB2312" w:hAnsi="仿宋_GB2312" w:eastAsia="仿宋_GB2312" w:cs="仿宋_GB2312"/>
        </w:rPr>
        <w:t>19.资格审查及组建评标委员会</w:t>
      </w:r>
      <w:r>
        <w:tab/>
      </w:r>
      <w:r>
        <w:fldChar w:fldCharType="begin"/>
      </w:r>
      <w:r>
        <w:instrText xml:space="preserve"> PAGEREF _Toc12992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"_Toc9769" </w:instrText>
      </w:r>
      <w:r>
        <w:fldChar w:fldCharType="separate"/>
      </w:r>
      <w:r>
        <w:rPr>
          <w:rFonts w:hint="eastAsia" w:ascii="仿宋_GB2312" w:hAnsi="仿宋_GB2312" w:eastAsia="仿宋_GB2312" w:cs="仿宋_GB2312"/>
        </w:rPr>
        <w:t>20.投标文件符合性审查与澄清</w:t>
      </w:r>
      <w:r>
        <w:tab/>
      </w:r>
      <w:r>
        <w:fldChar w:fldCharType="begin"/>
      </w:r>
      <w:r>
        <w:instrText xml:space="preserve"> PAGEREF _Toc9769 \h </w:instrText>
      </w:r>
      <w:r>
        <w:fldChar w:fldCharType="separate"/>
      </w:r>
      <w:r>
        <w:t>7</w:t>
      </w:r>
      <w:r>
        <w:fldChar w:fldCharType="end"/>
      </w:r>
      <w:r>
        <w:fldChar w:fldCharType="end"/>
      </w:r>
    </w:p>
    <w:p>
      <w:pPr>
        <w:pStyle w:val="12"/>
        <w:tabs>
          <w:tab w:val="right" w:leader="dot" w:pos="9786"/>
          <w:tab w:val="clear" w:pos="1260"/>
          <w:tab w:val="clear" w:pos="8630"/>
        </w:tabs>
      </w:pPr>
      <w:r>
        <w:fldChar w:fldCharType="begin"/>
      </w:r>
      <w:r>
        <w:instrText xml:space="preserve"> HYPERLINK \l "_Toc3024" </w:instrText>
      </w:r>
      <w:r>
        <w:fldChar w:fldCharType="separate"/>
      </w:r>
      <w:r>
        <w:rPr>
          <w:rFonts w:hint="eastAsia" w:ascii="仿宋_GB2312" w:hAnsi="仿宋_GB2312" w:eastAsia="仿宋_GB2312" w:cs="仿宋_GB2312"/>
        </w:rPr>
        <w:t>21.投标偏离</w:t>
      </w:r>
      <w:r>
        <w:tab/>
      </w:r>
      <w:r>
        <w:fldChar w:fldCharType="begin"/>
      </w:r>
      <w:r>
        <w:instrText xml:space="preserve"> PAGEREF _Toc3024 \h </w:instrText>
      </w:r>
      <w:r>
        <w:fldChar w:fldCharType="separate"/>
      </w:r>
      <w:r>
        <w:t>8</w:t>
      </w:r>
      <w:r>
        <w:fldChar w:fldCharType="end"/>
      </w:r>
      <w:r>
        <w:fldChar w:fldCharType="end"/>
      </w:r>
    </w:p>
    <w:p>
      <w:pPr>
        <w:pStyle w:val="12"/>
        <w:tabs>
          <w:tab w:val="right" w:leader="dot" w:pos="9786"/>
          <w:tab w:val="clear" w:pos="1260"/>
          <w:tab w:val="clear" w:pos="8630"/>
        </w:tabs>
      </w:pPr>
      <w:r>
        <w:fldChar w:fldCharType="begin"/>
      </w:r>
      <w:r>
        <w:instrText xml:space="preserve"> HYPERLINK \l "_Toc7012" </w:instrText>
      </w:r>
      <w:r>
        <w:fldChar w:fldCharType="separate"/>
      </w:r>
      <w:r>
        <w:rPr>
          <w:rFonts w:hint="eastAsia" w:ascii="仿宋_GB2312" w:hAnsi="仿宋_GB2312" w:eastAsia="仿宋_GB2312" w:cs="仿宋_GB2312"/>
        </w:rPr>
        <w:t>22.投标无效</w:t>
      </w:r>
      <w:r>
        <w:tab/>
      </w:r>
      <w:r>
        <w:fldChar w:fldCharType="begin"/>
      </w:r>
      <w:r>
        <w:instrText xml:space="preserve"> PAGEREF _Toc7012 \h </w:instrText>
      </w:r>
      <w:r>
        <w:fldChar w:fldCharType="separate"/>
      </w:r>
      <w:r>
        <w:t>8</w:t>
      </w:r>
      <w:r>
        <w:fldChar w:fldCharType="end"/>
      </w:r>
      <w:r>
        <w:fldChar w:fldCharType="end"/>
      </w:r>
    </w:p>
    <w:p>
      <w:pPr>
        <w:pStyle w:val="12"/>
        <w:tabs>
          <w:tab w:val="right" w:leader="dot" w:pos="9786"/>
          <w:tab w:val="clear" w:pos="1260"/>
          <w:tab w:val="clear" w:pos="8630"/>
        </w:tabs>
      </w:pPr>
      <w:r>
        <w:fldChar w:fldCharType="begin"/>
      </w:r>
      <w:r>
        <w:instrText xml:space="preserve"> HYPERLINK \l "_Toc27260" </w:instrText>
      </w:r>
      <w:r>
        <w:fldChar w:fldCharType="separate"/>
      </w:r>
      <w:r>
        <w:rPr>
          <w:rFonts w:hint="eastAsia" w:ascii="仿宋_GB2312" w:hAnsi="仿宋_GB2312" w:eastAsia="仿宋_GB2312" w:cs="仿宋_GB2312"/>
        </w:rPr>
        <w:t>24.废标</w:t>
      </w:r>
      <w:r>
        <w:tab/>
      </w:r>
      <w:r>
        <w:fldChar w:fldCharType="begin"/>
      </w:r>
      <w:r>
        <w:instrText xml:space="preserve"> PAGEREF _Toc27260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"_Toc1382" </w:instrText>
      </w:r>
      <w:r>
        <w:fldChar w:fldCharType="separate"/>
      </w:r>
      <w:r>
        <w:rPr>
          <w:rFonts w:hint="eastAsia" w:ascii="仿宋_GB2312" w:hAnsi="仿宋_GB2312" w:eastAsia="仿宋_GB2312" w:cs="仿宋_GB2312"/>
        </w:rPr>
        <w:t>25.保密原则</w:t>
      </w:r>
      <w:r>
        <w:tab/>
      </w:r>
      <w:r>
        <w:fldChar w:fldCharType="begin"/>
      </w:r>
      <w:r>
        <w:instrText xml:space="preserve"> PAGEREF _Toc1382 \h </w:instrText>
      </w:r>
      <w:r>
        <w:fldChar w:fldCharType="separate"/>
      </w:r>
      <w:r>
        <w:t>9</w:t>
      </w:r>
      <w:r>
        <w:fldChar w:fldCharType="end"/>
      </w:r>
      <w:r>
        <w:fldChar w:fldCharType="end"/>
      </w:r>
    </w:p>
    <w:p>
      <w:pPr>
        <w:pStyle w:val="22"/>
        <w:tabs>
          <w:tab w:val="right" w:leader="dot" w:pos="9786"/>
        </w:tabs>
      </w:pPr>
      <w:r>
        <w:fldChar w:fldCharType="begin"/>
      </w:r>
      <w:r>
        <w:instrText xml:space="preserve"> HYPERLINK \l "_Toc22275" </w:instrText>
      </w:r>
      <w:r>
        <w:fldChar w:fldCharType="separate"/>
      </w:r>
      <w:r>
        <w:rPr>
          <w:rFonts w:hint="eastAsia" w:ascii="仿宋_GB2312" w:hAnsi="仿宋_GB2312" w:eastAsia="仿宋_GB2312" w:cs="仿宋_GB2312"/>
        </w:rPr>
        <w:t>六   确定中标</w:t>
      </w:r>
      <w:r>
        <w:tab/>
      </w:r>
      <w:r>
        <w:fldChar w:fldCharType="begin"/>
      </w:r>
      <w:r>
        <w:instrText xml:space="preserve"> PAGEREF _Toc22275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"_Toc2639" </w:instrText>
      </w:r>
      <w:r>
        <w:fldChar w:fldCharType="separate"/>
      </w:r>
      <w:r>
        <w:rPr>
          <w:rFonts w:hint="eastAsia" w:ascii="仿宋_GB2312" w:hAnsi="仿宋_GB2312" w:eastAsia="仿宋_GB2312" w:cs="仿宋_GB2312"/>
        </w:rPr>
        <w:t>26.中标候选人的确定原则及标准</w:t>
      </w:r>
      <w:r>
        <w:tab/>
      </w:r>
      <w:r>
        <w:fldChar w:fldCharType="begin"/>
      </w:r>
      <w:r>
        <w:instrText xml:space="preserve"> PAGEREF _Toc2639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"_Toc2677" </w:instrText>
      </w:r>
      <w:r>
        <w:fldChar w:fldCharType="separate"/>
      </w:r>
      <w:r>
        <w:rPr>
          <w:rFonts w:hint="eastAsia" w:ascii="仿宋_GB2312" w:hAnsi="仿宋_GB2312" w:eastAsia="仿宋_GB2312" w:cs="仿宋_GB2312"/>
        </w:rPr>
        <w:t>27.确定中标候选人和中标人</w:t>
      </w:r>
      <w:r>
        <w:tab/>
      </w:r>
      <w:r>
        <w:fldChar w:fldCharType="begin"/>
      </w:r>
      <w:r>
        <w:instrText xml:space="preserve"> PAGEREF _Toc2677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"_Toc17557" </w:instrText>
      </w:r>
      <w:r>
        <w:fldChar w:fldCharType="separate"/>
      </w:r>
      <w:r>
        <w:rPr>
          <w:rFonts w:hint="eastAsia" w:ascii="仿宋_GB2312" w:hAnsi="仿宋_GB2312" w:eastAsia="仿宋_GB2312" w:cs="仿宋_GB2312"/>
        </w:rPr>
        <w:t>28.采购任务取消</w:t>
      </w:r>
      <w:r>
        <w:tab/>
      </w:r>
      <w:r>
        <w:fldChar w:fldCharType="begin"/>
      </w:r>
      <w:r>
        <w:instrText xml:space="preserve"> PAGEREF _Toc17557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"_Toc3186" </w:instrText>
      </w:r>
      <w:r>
        <w:fldChar w:fldCharType="separate"/>
      </w:r>
      <w:r>
        <w:rPr>
          <w:rFonts w:hint="eastAsia" w:ascii="仿宋_GB2312" w:hAnsi="仿宋_GB2312" w:eastAsia="仿宋_GB2312" w:cs="仿宋_GB2312"/>
        </w:rPr>
        <w:t>29.中标通知书</w:t>
      </w:r>
      <w:r>
        <w:tab/>
      </w:r>
      <w:r>
        <w:fldChar w:fldCharType="begin"/>
      </w:r>
      <w:r>
        <w:instrText xml:space="preserve"> PAGEREF _Toc3186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"_Toc30660" </w:instrText>
      </w:r>
      <w:r>
        <w:fldChar w:fldCharType="separate"/>
      </w:r>
      <w:r>
        <w:rPr>
          <w:rFonts w:hint="eastAsia" w:ascii="仿宋_GB2312" w:hAnsi="仿宋_GB2312" w:eastAsia="仿宋_GB2312" w:cs="仿宋_GB2312"/>
        </w:rPr>
        <w:t>30.签订合同</w:t>
      </w:r>
      <w:r>
        <w:tab/>
      </w:r>
      <w:r>
        <w:fldChar w:fldCharType="begin"/>
      </w:r>
      <w:r>
        <w:instrText xml:space="preserve"> PAGEREF _Toc30660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"_Toc30705" </w:instrText>
      </w:r>
      <w:r>
        <w:fldChar w:fldCharType="separate"/>
      </w:r>
      <w:r>
        <w:rPr>
          <w:rFonts w:hint="eastAsia" w:ascii="仿宋_GB2312" w:hAnsi="仿宋_GB2312" w:eastAsia="仿宋_GB2312" w:cs="仿宋_GB2312"/>
        </w:rPr>
        <w:t>31.履约保证金</w:t>
      </w:r>
      <w:r>
        <w:tab/>
      </w:r>
      <w:r>
        <w:fldChar w:fldCharType="begin"/>
      </w:r>
      <w:r>
        <w:instrText xml:space="preserve"> PAGEREF _Toc30705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"_Toc25784" </w:instrText>
      </w:r>
      <w:r>
        <w:fldChar w:fldCharType="separate"/>
      </w:r>
      <w:r>
        <w:rPr>
          <w:rFonts w:hint="eastAsia" w:ascii="仿宋_GB2312" w:hAnsi="仿宋_GB2312" w:eastAsia="仿宋_GB2312" w:cs="仿宋_GB2312"/>
        </w:rPr>
        <w:t>32.中标服务费</w:t>
      </w:r>
      <w:r>
        <w:tab/>
      </w:r>
      <w:r>
        <w:fldChar w:fldCharType="begin"/>
      </w:r>
      <w:r>
        <w:instrText xml:space="preserve"> PAGEREF _Toc25784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"_Toc5036" </w:instrText>
      </w:r>
      <w:r>
        <w:fldChar w:fldCharType="separate"/>
      </w:r>
      <w:r>
        <w:rPr>
          <w:rFonts w:hint="eastAsia" w:ascii="仿宋_GB2312" w:hAnsi="仿宋_GB2312" w:eastAsia="仿宋_GB2312" w:cs="仿宋_GB2312"/>
        </w:rPr>
        <w:t>33.政府采购信用担保</w:t>
      </w:r>
      <w:r>
        <w:tab/>
      </w:r>
      <w:r>
        <w:fldChar w:fldCharType="begin"/>
      </w:r>
      <w:r>
        <w:instrText xml:space="preserve"> PAGEREF _Toc5036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"_Toc2320" </w:instrText>
      </w:r>
      <w:r>
        <w:fldChar w:fldCharType="separate"/>
      </w:r>
      <w:r>
        <w:rPr>
          <w:rFonts w:hint="eastAsia" w:ascii="仿宋_GB2312" w:hAnsi="仿宋_GB2312" w:eastAsia="仿宋_GB2312" w:cs="仿宋_GB2312"/>
        </w:rPr>
        <w:t>34.廉洁自律规定</w:t>
      </w:r>
      <w:r>
        <w:tab/>
      </w:r>
      <w:r>
        <w:fldChar w:fldCharType="begin"/>
      </w:r>
      <w:r>
        <w:instrText xml:space="preserve"> PAGEREF _Toc2320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"_Toc16745" </w:instrText>
      </w:r>
      <w:r>
        <w:fldChar w:fldCharType="separate"/>
      </w:r>
      <w:r>
        <w:rPr>
          <w:rFonts w:hint="eastAsia" w:ascii="仿宋_GB2312" w:hAnsi="仿宋_GB2312" w:eastAsia="仿宋_GB2312" w:cs="仿宋_GB2312"/>
        </w:rPr>
        <w:t>35.人员回避</w:t>
      </w:r>
      <w:r>
        <w:tab/>
      </w:r>
      <w:r>
        <w:fldChar w:fldCharType="begin"/>
      </w:r>
      <w:r>
        <w:instrText xml:space="preserve"> PAGEREF _Toc16745 \h </w:instrText>
      </w:r>
      <w:r>
        <w:fldChar w:fldCharType="separate"/>
      </w:r>
      <w:r>
        <w:t>11</w:t>
      </w:r>
      <w:r>
        <w:fldChar w:fldCharType="end"/>
      </w:r>
      <w:r>
        <w:fldChar w:fldCharType="end"/>
      </w:r>
    </w:p>
    <w:p>
      <w:pPr>
        <w:pStyle w:val="12"/>
        <w:tabs>
          <w:tab w:val="right" w:leader="dot" w:pos="9786"/>
          <w:tab w:val="clear" w:pos="1260"/>
          <w:tab w:val="clear" w:pos="8630"/>
        </w:tabs>
      </w:pPr>
      <w:r>
        <w:fldChar w:fldCharType="begin"/>
      </w:r>
      <w:r>
        <w:instrText xml:space="preserve"> HYPERLINK \l "_Toc9393" </w:instrText>
      </w:r>
      <w:r>
        <w:fldChar w:fldCharType="separate"/>
      </w:r>
      <w:r>
        <w:rPr>
          <w:rFonts w:hint="eastAsia" w:ascii="仿宋_GB2312" w:hAnsi="仿宋_GB2312" w:eastAsia="仿宋_GB2312" w:cs="仿宋_GB2312"/>
        </w:rPr>
        <w:t>36.质疑与接收</w:t>
      </w:r>
      <w:r>
        <w:tab/>
      </w:r>
      <w:r>
        <w:fldChar w:fldCharType="begin"/>
      </w:r>
      <w:r>
        <w:instrText xml:space="preserve"> PAGEREF _Toc9393 \h </w:instrText>
      </w:r>
      <w:r>
        <w:fldChar w:fldCharType="separate"/>
      </w:r>
      <w:r>
        <w:t>11</w:t>
      </w:r>
      <w:r>
        <w:fldChar w:fldCharType="end"/>
      </w:r>
      <w:r>
        <w:fldChar w:fldCharType="end"/>
      </w:r>
    </w:p>
    <w:p>
      <w:pPr>
        <w:pStyle w:val="18"/>
        <w:tabs>
          <w:tab w:val="right" w:leader="dot" w:pos="9786"/>
        </w:tabs>
      </w:pPr>
      <w:r>
        <w:fldChar w:fldCharType="begin"/>
      </w:r>
      <w:r>
        <w:instrText xml:space="preserve"> HYPERLINK \l "_Toc333" </w:instrText>
      </w:r>
      <w:r>
        <w:fldChar w:fldCharType="separate"/>
      </w:r>
      <w:r>
        <w:rPr>
          <w:rFonts w:hint="eastAsia" w:ascii="仿宋_GB2312" w:hAnsi="仿宋_GB2312" w:eastAsia="仿宋_GB2312" w:cs="仿宋_GB2312"/>
          <w:kern w:val="0"/>
          <w:szCs w:val="44"/>
        </w:rPr>
        <w:t>第二章</w:t>
      </w:r>
      <w:r>
        <w:rPr>
          <w:rFonts w:hint="eastAsia" w:ascii="仿宋_GB2312" w:hAnsi="仿宋_GB2312" w:eastAsia="仿宋_GB2312" w:cs="仿宋_GB2312"/>
          <w:szCs w:val="44"/>
        </w:rPr>
        <w:t xml:space="preserve">  投标文件格式</w:t>
      </w:r>
      <w:r>
        <w:tab/>
      </w:r>
      <w:r>
        <w:fldChar w:fldCharType="begin"/>
      </w:r>
      <w:r>
        <w:instrText xml:space="preserve"> PAGEREF _Toc333 \h </w:instrText>
      </w:r>
      <w:r>
        <w:fldChar w:fldCharType="separate"/>
      </w:r>
      <w:r>
        <w:t>17</w:t>
      </w:r>
      <w:r>
        <w:fldChar w:fldCharType="end"/>
      </w:r>
      <w:r>
        <w:fldChar w:fldCharType="end"/>
      </w:r>
    </w:p>
    <w:p>
      <w:pPr>
        <w:pStyle w:val="22"/>
        <w:tabs>
          <w:tab w:val="right" w:leader="dot" w:pos="9786"/>
        </w:tabs>
      </w:pPr>
      <w:r>
        <w:fldChar w:fldCharType="begin"/>
      </w:r>
      <w:r>
        <w:instrText xml:space="preserve"> HYPERLINK \l "_Toc5582" </w:instrText>
      </w:r>
      <w: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_Toc5582 \h </w:instrText>
      </w:r>
      <w:r>
        <w:fldChar w:fldCharType="separate"/>
      </w:r>
      <w:r>
        <w:t>17</w:t>
      </w:r>
      <w:r>
        <w:fldChar w:fldCharType="end"/>
      </w:r>
      <w:r>
        <w:fldChar w:fldCharType="end"/>
      </w:r>
    </w:p>
    <w:p>
      <w:pPr>
        <w:pStyle w:val="12"/>
        <w:tabs>
          <w:tab w:val="right" w:leader="dot" w:pos="9786"/>
          <w:tab w:val="clear" w:pos="1260"/>
          <w:tab w:val="clear" w:pos="8630"/>
        </w:tabs>
      </w:pPr>
      <w:r>
        <w:fldChar w:fldCharType="begin"/>
      </w:r>
      <w:r>
        <w:instrText xml:space="preserve"> HYPERLINK \l "_Toc24638" </w:instrText>
      </w:r>
      <w:r>
        <w:fldChar w:fldCharType="separate"/>
      </w:r>
      <w:r>
        <w:rPr>
          <w:rFonts w:hint="eastAsia" w:ascii="仿宋_GB2312" w:hAnsi="仿宋_GB2312" w:eastAsia="仿宋_GB2312" w:cs="仿宋_GB2312"/>
        </w:rPr>
        <w:t>1  开标一览表</w:t>
      </w:r>
      <w:r>
        <w:tab/>
      </w:r>
      <w:r>
        <w:fldChar w:fldCharType="begin"/>
      </w:r>
      <w:r>
        <w:instrText xml:space="preserve"> PAGEREF _Toc24638 \h </w:instrText>
      </w:r>
      <w:r>
        <w:fldChar w:fldCharType="separate"/>
      </w:r>
      <w:r>
        <w:t>18</w:t>
      </w:r>
      <w:r>
        <w:fldChar w:fldCharType="end"/>
      </w:r>
      <w:r>
        <w:fldChar w:fldCharType="end"/>
      </w:r>
    </w:p>
    <w:p>
      <w:pPr>
        <w:pStyle w:val="12"/>
        <w:tabs>
          <w:tab w:val="right" w:leader="dot" w:pos="9786"/>
          <w:tab w:val="clear" w:pos="1260"/>
          <w:tab w:val="clear" w:pos="8630"/>
        </w:tabs>
      </w:pPr>
      <w:r>
        <w:fldChar w:fldCharType="begin"/>
      </w:r>
      <w:r>
        <w:instrText xml:space="preserve"> HYPERLINK \l "_Toc5194" </w:instrText>
      </w:r>
      <w:r>
        <w:fldChar w:fldCharType="separate"/>
      </w:r>
      <w:r>
        <w:rPr>
          <w:rFonts w:hint="eastAsia" w:ascii="仿宋_GB2312" w:hAnsi="仿宋_GB2312" w:eastAsia="仿宋_GB2312" w:cs="仿宋_GB2312"/>
        </w:rPr>
        <w:t>2  法人或者非法人组织的营业执照等证明文件</w:t>
      </w:r>
      <w:r>
        <w:tab/>
      </w:r>
      <w:r>
        <w:fldChar w:fldCharType="begin"/>
      </w:r>
      <w:r>
        <w:instrText xml:space="preserve"> PAGEREF _Toc5194 \h </w:instrText>
      </w:r>
      <w:r>
        <w:fldChar w:fldCharType="separate"/>
      </w:r>
      <w:r>
        <w:t>19</w:t>
      </w:r>
      <w:r>
        <w:fldChar w:fldCharType="end"/>
      </w:r>
      <w:r>
        <w:fldChar w:fldCharType="end"/>
      </w:r>
    </w:p>
    <w:p>
      <w:pPr>
        <w:pStyle w:val="12"/>
        <w:tabs>
          <w:tab w:val="right" w:leader="dot" w:pos="9786"/>
          <w:tab w:val="clear" w:pos="1260"/>
          <w:tab w:val="clear" w:pos="8630"/>
        </w:tabs>
      </w:pPr>
      <w:r>
        <w:fldChar w:fldCharType="begin"/>
      </w:r>
      <w:r>
        <w:instrText xml:space="preserve"> HYPERLINK \l "_Toc31870" </w:instrText>
      </w:r>
      <w:r>
        <w:fldChar w:fldCharType="separate"/>
      </w:r>
      <w:r>
        <w:rPr>
          <w:rFonts w:hint="eastAsia" w:ascii="仿宋_GB2312" w:hAnsi="仿宋_GB2312" w:eastAsia="仿宋_GB2312" w:cs="仿宋_GB2312"/>
        </w:rPr>
        <w:t>3  法定代表人身份证明</w:t>
      </w:r>
      <w:r>
        <w:tab/>
      </w:r>
      <w:r>
        <w:fldChar w:fldCharType="begin"/>
      </w:r>
      <w:r>
        <w:instrText xml:space="preserve"> PAGEREF _Toc31870 \h </w:instrText>
      </w:r>
      <w:r>
        <w:fldChar w:fldCharType="separate"/>
      </w:r>
      <w:r>
        <w:t>19</w:t>
      </w:r>
      <w:r>
        <w:fldChar w:fldCharType="end"/>
      </w:r>
      <w:r>
        <w:fldChar w:fldCharType="end"/>
      </w:r>
    </w:p>
    <w:p>
      <w:pPr>
        <w:pStyle w:val="12"/>
        <w:tabs>
          <w:tab w:val="right" w:leader="dot" w:pos="9786"/>
          <w:tab w:val="clear" w:pos="1260"/>
          <w:tab w:val="clear" w:pos="8630"/>
        </w:tabs>
      </w:pPr>
      <w:r>
        <w:fldChar w:fldCharType="begin"/>
      </w:r>
      <w:r>
        <w:instrText xml:space="preserve"> HYPERLINK \l "_Toc18802" </w:instrText>
      </w:r>
      <w:r>
        <w:fldChar w:fldCharType="separate"/>
      </w:r>
      <w:r>
        <w:rPr>
          <w:rFonts w:hint="eastAsia" w:ascii="仿宋_GB2312" w:hAnsi="仿宋_GB2312" w:eastAsia="仿宋_GB2312" w:cs="仿宋_GB2312"/>
        </w:rPr>
        <w:t>4  法定代表人授权委托书</w:t>
      </w:r>
      <w:r>
        <w:tab/>
      </w:r>
      <w:r>
        <w:fldChar w:fldCharType="begin"/>
      </w:r>
      <w:r>
        <w:instrText xml:space="preserve"> PAGEREF _Toc18802 \h </w:instrText>
      </w:r>
      <w:r>
        <w:fldChar w:fldCharType="separate"/>
      </w:r>
      <w:r>
        <w:t>20</w:t>
      </w:r>
      <w:r>
        <w:fldChar w:fldCharType="end"/>
      </w:r>
      <w:r>
        <w:fldChar w:fldCharType="end"/>
      </w:r>
    </w:p>
    <w:p>
      <w:pPr>
        <w:pStyle w:val="12"/>
        <w:tabs>
          <w:tab w:val="right" w:leader="dot" w:pos="9786"/>
          <w:tab w:val="clear" w:pos="1260"/>
          <w:tab w:val="clear" w:pos="8630"/>
        </w:tabs>
      </w:pPr>
      <w:r>
        <w:fldChar w:fldCharType="begin"/>
      </w:r>
      <w:r>
        <w:instrText xml:space="preserve"> HYPERLINK \l "_Toc26834" </w:instrText>
      </w:r>
      <w:r>
        <w:fldChar w:fldCharType="separate"/>
      </w:r>
      <w:r>
        <w:rPr>
          <w:rFonts w:hint="eastAsia" w:ascii="仿宋_GB2312" w:hAnsi="仿宋_GB2312" w:eastAsia="仿宋_GB2312" w:cs="仿宋_GB2312"/>
        </w:rPr>
        <w:t>5  投标保证金缴纳凭证复印件</w:t>
      </w:r>
      <w:r>
        <w:tab/>
      </w:r>
      <w:r>
        <w:fldChar w:fldCharType="begin"/>
      </w:r>
      <w:r>
        <w:instrText xml:space="preserve"> PAGEREF _Toc26834 \h </w:instrText>
      </w:r>
      <w:r>
        <w:fldChar w:fldCharType="separate"/>
      </w:r>
      <w:r>
        <w:t>21</w:t>
      </w:r>
      <w:r>
        <w:fldChar w:fldCharType="end"/>
      </w:r>
      <w:r>
        <w:fldChar w:fldCharType="end"/>
      </w:r>
    </w:p>
    <w:p>
      <w:pPr>
        <w:pStyle w:val="12"/>
        <w:tabs>
          <w:tab w:val="right" w:leader="dot" w:pos="9786"/>
          <w:tab w:val="clear" w:pos="1260"/>
          <w:tab w:val="clear" w:pos="8630"/>
        </w:tabs>
      </w:pPr>
      <w:r>
        <w:fldChar w:fldCharType="begin"/>
      </w:r>
      <w:r>
        <w:instrText xml:space="preserve"> HYPERLINK \l "_Toc28861" </w:instrText>
      </w:r>
      <w:r>
        <w:fldChar w:fldCharType="separate"/>
      </w:r>
      <w:r>
        <w:rPr>
          <w:rFonts w:hint="eastAsia" w:ascii="仿宋_GB2312" w:hAnsi="仿宋_GB2312" w:eastAsia="仿宋_GB2312" w:cs="仿宋_GB2312"/>
        </w:rPr>
        <w:t>6  社会保障资金的缴纳记录</w:t>
      </w:r>
      <w:r>
        <w:tab/>
      </w:r>
      <w:r>
        <w:fldChar w:fldCharType="begin"/>
      </w:r>
      <w:r>
        <w:instrText xml:space="preserve"> PAGEREF _Toc28861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"_Toc8841" </w:instrText>
      </w:r>
      <w:r>
        <w:fldChar w:fldCharType="separate"/>
      </w:r>
      <w:r>
        <w:rPr>
          <w:rFonts w:hint="eastAsia" w:ascii="仿宋_GB2312" w:hAnsi="仿宋_GB2312" w:eastAsia="仿宋_GB2312" w:cs="仿宋_GB2312"/>
        </w:rPr>
        <w:t>7 良好的商业信誉和健全的财务会计制度证明材料</w:t>
      </w:r>
      <w:r>
        <w:tab/>
      </w:r>
      <w:r>
        <w:fldChar w:fldCharType="begin"/>
      </w:r>
      <w:r>
        <w:instrText xml:space="preserve"> PAGEREF _Toc8841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"_Toc32107" </w:instrText>
      </w:r>
      <w:r>
        <w:fldChar w:fldCharType="separate"/>
      </w:r>
      <w:r>
        <w:rPr>
          <w:rFonts w:hint="eastAsia" w:ascii="仿宋_GB2312" w:hAnsi="仿宋_GB2312" w:eastAsia="仿宋_GB2312" w:cs="仿宋_GB2312"/>
        </w:rPr>
        <w:t>8 依法缴纳税收的证明</w:t>
      </w:r>
      <w:r>
        <w:tab/>
      </w:r>
      <w:r>
        <w:fldChar w:fldCharType="begin"/>
      </w:r>
      <w:r>
        <w:instrText xml:space="preserve"> PAGEREF _Toc32107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"_Toc29990" </w:instrText>
      </w:r>
      <w:r>
        <w:fldChar w:fldCharType="separate"/>
      </w:r>
      <w:r>
        <w:rPr>
          <w:rFonts w:hint="eastAsia" w:ascii="仿宋_GB2312" w:hAnsi="仿宋_GB2312" w:eastAsia="仿宋_GB2312" w:cs="仿宋_GB2312"/>
        </w:rPr>
        <w:t>9  参加政府采购活动前3年内在经营活动中没有重大违法记录的书面声明及反商业受贿承诺</w:t>
      </w:r>
      <w:r>
        <w:tab/>
      </w:r>
      <w:r>
        <w:fldChar w:fldCharType="begin"/>
      </w:r>
      <w:r>
        <w:instrText xml:space="preserve"> PAGEREF _Toc29990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"_Toc10559" </w:instrText>
      </w:r>
      <w:r>
        <w:fldChar w:fldCharType="separate"/>
      </w:r>
      <w:r>
        <w:rPr>
          <w:rFonts w:hint="eastAsia" w:ascii="仿宋_GB2312" w:hAnsi="仿宋_GB2312" w:eastAsia="仿宋_GB2312" w:cs="仿宋_GB2312"/>
        </w:rPr>
        <w:t>10  投标人须知资料表要求的其他资格证明文件</w:t>
      </w:r>
      <w:r>
        <w:tab/>
      </w:r>
      <w:r>
        <w:fldChar w:fldCharType="begin"/>
      </w:r>
      <w:r>
        <w:instrText xml:space="preserve"> PAGEREF _Toc10559 \h </w:instrText>
      </w:r>
      <w:r>
        <w:fldChar w:fldCharType="separate"/>
      </w:r>
      <w:r>
        <w:t>23</w:t>
      </w:r>
      <w:r>
        <w:fldChar w:fldCharType="end"/>
      </w:r>
      <w:r>
        <w:fldChar w:fldCharType="end"/>
      </w:r>
    </w:p>
    <w:p>
      <w:pPr>
        <w:pStyle w:val="22"/>
        <w:tabs>
          <w:tab w:val="right" w:leader="dot" w:pos="9786"/>
        </w:tabs>
      </w:pPr>
      <w:r>
        <w:fldChar w:fldCharType="begin"/>
      </w:r>
      <w:r>
        <w:instrText xml:space="preserve"> HYPERLINK \l "_Toc24008" </w:instrText>
      </w:r>
      <w: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 w:hAnsi="仿宋" w:eastAsia="仿宋" w:cs="仿宋"/>
        </w:rPr>
        <w:t xml:space="preserve"> 商务及技术文件</w:t>
      </w:r>
      <w:r>
        <w:tab/>
      </w:r>
      <w:r>
        <w:fldChar w:fldCharType="begin"/>
      </w:r>
      <w:r>
        <w:instrText xml:space="preserve"> PAGEREF _Toc24008 \h </w:instrText>
      </w:r>
      <w:r>
        <w:fldChar w:fldCharType="separate"/>
      </w:r>
      <w:r>
        <w:t>24</w:t>
      </w:r>
      <w:r>
        <w:fldChar w:fldCharType="end"/>
      </w:r>
      <w:r>
        <w:fldChar w:fldCharType="end"/>
      </w:r>
    </w:p>
    <w:p>
      <w:pPr>
        <w:pStyle w:val="12"/>
        <w:tabs>
          <w:tab w:val="right" w:leader="dot" w:pos="9786"/>
          <w:tab w:val="clear" w:pos="1260"/>
          <w:tab w:val="clear" w:pos="8630"/>
        </w:tabs>
      </w:pPr>
      <w:r>
        <w:fldChar w:fldCharType="begin"/>
      </w:r>
      <w:r>
        <w:instrText xml:space="preserve"> HYPERLINK \l "_Toc9629" </w:instrText>
      </w:r>
      <w:r>
        <w:fldChar w:fldCharType="separate"/>
      </w:r>
      <w:r>
        <w:rPr>
          <w:rFonts w:hint="eastAsia" w:ascii="仿宋_GB2312" w:hAnsi="仿宋_GB2312" w:eastAsia="仿宋_GB2312" w:cs="仿宋_GB2312"/>
        </w:rPr>
        <w:t>1  投标书</w:t>
      </w:r>
      <w:r>
        <w:tab/>
      </w:r>
      <w:r>
        <w:fldChar w:fldCharType="begin"/>
      </w:r>
      <w:r>
        <w:instrText xml:space="preserve"> PAGEREF _Toc9629 \h </w:instrText>
      </w:r>
      <w:r>
        <w:fldChar w:fldCharType="separate"/>
      </w:r>
      <w:r>
        <w:t>25</w:t>
      </w:r>
      <w:r>
        <w:fldChar w:fldCharType="end"/>
      </w:r>
      <w:r>
        <w:fldChar w:fldCharType="end"/>
      </w:r>
    </w:p>
    <w:p>
      <w:pPr>
        <w:pStyle w:val="12"/>
        <w:tabs>
          <w:tab w:val="right" w:leader="dot" w:pos="9786"/>
          <w:tab w:val="clear" w:pos="1260"/>
          <w:tab w:val="clear" w:pos="8630"/>
        </w:tabs>
      </w:pPr>
      <w:r>
        <w:fldChar w:fldCharType="begin"/>
      </w:r>
      <w:r>
        <w:instrText xml:space="preserve"> HYPERLINK \l "_Toc22014" </w:instrText>
      </w:r>
      <w:r>
        <w:fldChar w:fldCharType="separate"/>
      </w:r>
      <w:r>
        <w:rPr>
          <w:rFonts w:hint="eastAsia" w:ascii="仿宋_GB2312" w:hAnsi="仿宋_GB2312" w:eastAsia="仿宋_GB2312" w:cs="仿宋_GB2312"/>
        </w:rPr>
        <w:t>2  投标分项报价表</w:t>
      </w:r>
      <w:r>
        <w:tab/>
      </w:r>
      <w:r>
        <w:fldChar w:fldCharType="begin"/>
      </w:r>
      <w:r>
        <w:instrText xml:space="preserve"> PAGEREF _Toc22014 \h </w:instrText>
      </w:r>
      <w:r>
        <w:fldChar w:fldCharType="separate"/>
      </w:r>
      <w:r>
        <w:t>26</w:t>
      </w:r>
      <w:r>
        <w:fldChar w:fldCharType="end"/>
      </w:r>
      <w:r>
        <w:fldChar w:fldCharType="end"/>
      </w:r>
    </w:p>
    <w:p>
      <w:pPr>
        <w:pStyle w:val="12"/>
        <w:tabs>
          <w:tab w:val="right" w:leader="dot" w:pos="9786"/>
          <w:tab w:val="clear" w:pos="1260"/>
          <w:tab w:val="clear" w:pos="8630"/>
        </w:tabs>
      </w:pPr>
      <w:r>
        <w:fldChar w:fldCharType="begin"/>
      </w:r>
      <w:r>
        <w:instrText xml:space="preserve"> HYPERLINK \l "_Toc17583" </w:instrText>
      </w:r>
      <w:r>
        <w:fldChar w:fldCharType="separate"/>
      </w:r>
      <w:r>
        <w:rPr>
          <w:rFonts w:hint="eastAsia" w:ascii="仿宋_GB2312" w:hAnsi="仿宋_GB2312" w:eastAsia="仿宋_GB2312" w:cs="仿宋_GB2312"/>
        </w:rPr>
        <w:t>3 货物说明一览表</w:t>
      </w:r>
      <w:r>
        <w:tab/>
      </w:r>
      <w:r>
        <w:fldChar w:fldCharType="begin"/>
      </w:r>
      <w:r>
        <w:instrText xml:space="preserve"> PAGEREF _Toc17583 \h </w:instrText>
      </w:r>
      <w:r>
        <w:fldChar w:fldCharType="separate"/>
      </w:r>
      <w:r>
        <w:t>27</w:t>
      </w:r>
      <w:r>
        <w:fldChar w:fldCharType="end"/>
      </w:r>
      <w:r>
        <w:fldChar w:fldCharType="end"/>
      </w:r>
    </w:p>
    <w:p>
      <w:pPr>
        <w:pStyle w:val="12"/>
        <w:tabs>
          <w:tab w:val="right" w:leader="dot" w:pos="9786"/>
          <w:tab w:val="clear" w:pos="1260"/>
          <w:tab w:val="clear" w:pos="8630"/>
        </w:tabs>
      </w:pPr>
      <w:r>
        <w:fldChar w:fldCharType="begin"/>
      </w:r>
      <w:r>
        <w:instrText xml:space="preserve"> HYPERLINK \l "_Toc29396" </w:instrText>
      </w:r>
      <w:r>
        <w:fldChar w:fldCharType="separate"/>
      </w:r>
      <w:r>
        <w:rPr>
          <w:rFonts w:hint="eastAsia" w:ascii="仿宋_GB2312" w:hAnsi="仿宋_GB2312" w:eastAsia="仿宋_GB2312" w:cs="仿宋_GB2312"/>
        </w:rPr>
        <w:t>4 技术规格偏离表</w:t>
      </w:r>
      <w:r>
        <w:tab/>
      </w:r>
      <w:r>
        <w:fldChar w:fldCharType="begin"/>
      </w:r>
      <w:r>
        <w:instrText xml:space="preserve"> PAGEREF _Toc29396 \h </w:instrText>
      </w:r>
      <w:r>
        <w:fldChar w:fldCharType="separate"/>
      </w:r>
      <w:r>
        <w:t>28</w:t>
      </w:r>
      <w:r>
        <w:fldChar w:fldCharType="end"/>
      </w:r>
      <w:r>
        <w:fldChar w:fldCharType="end"/>
      </w:r>
    </w:p>
    <w:p>
      <w:pPr>
        <w:pStyle w:val="12"/>
        <w:tabs>
          <w:tab w:val="right" w:leader="dot" w:pos="9786"/>
          <w:tab w:val="clear" w:pos="1260"/>
          <w:tab w:val="clear" w:pos="8630"/>
        </w:tabs>
      </w:pPr>
      <w:r>
        <w:fldChar w:fldCharType="begin"/>
      </w:r>
      <w:r>
        <w:instrText xml:space="preserve"> HYPERLINK \l "_Toc19628" </w:instrText>
      </w:r>
      <w:r>
        <w:fldChar w:fldCharType="separate"/>
      </w:r>
      <w:r>
        <w:rPr>
          <w:rFonts w:hint="eastAsia" w:ascii="仿宋_GB2312" w:hAnsi="仿宋_GB2312" w:eastAsia="仿宋_GB2312" w:cs="仿宋_GB2312"/>
        </w:rPr>
        <w:t>5  商务条款偏离表</w:t>
      </w:r>
      <w:r>
        <w:tab/>
      </w:r>
      <w:r>
        <w:fldChar w:fldCharType="begin"/>
      </w:r>
      <w:r>
        <w:instrText xml:space="preserve"> PAGEREF _Toc19628 \h </w:instrText>
      </w:r>
      <w:r>
        <w:fldChar w:fldCharType="separate"/>
      </w:r>
      <w:r>
        <w:t>29</w:t>
      </w:r>
      <w:r>
        <w:fldChar w:fldCharType="end"/>
      </w:r>
      <w:r>
        <w:fldChar w:fldCharType="end"/>
      </w:r>
    </w:p>
    <w:p>
      <w:pPr>
        <w:pStyle w:val="12"/>
        <w:tabs>
          <w:tab w:val="right" w:leader="dot" w:pos="9786"/>
          <w:tab w:val="clear" w:pos="1260"/>
          <w:tab w:val="clear" w:pos="8630"/>
        </w:tabs>
      </w:pPr>
      <w:r>
        <w:fldChar w:fldCharType="begin"/>
      </w:r>
      <w:r>
        <w:instrText xml:space="preserve"> HYPERLINK \l "_Toc22909" </w:instrText>
      </w:r>
      <w:r>
        <w:fldChar w:fldCharType="separate"/>
      </w:r>
      <w:r>
        <w:rPr>
          <w:rFonts w:hint="eastAsia" w:ascii="仿宋_GB2312" w:hAnsi="仿宋_GB2312" w:eastAsia="仿宋_GB2312" w:cs="仿宋_GB2312"/>
        </w:rPr>
        <w:t>6-1  中小企业声明函（货物）</w:t>
      </w:r>
      <w:r>
        <w:tab/>
      </w:r>
      <w:r>
        <w:fldChar w:fldCharType="begin"/>
      </w:r>
      <w:r>
        <w:instrText xml:space="preserve"> PAGEREF _Toc22909 \h </w:instrText>
      </w:r>
      <w:r>
        <w:fldChar w:fldCharType="separate"/>
      </w:r>
      <w:r>
        <w:t>30</w:t>
      </w:r>
      <w:r>
        <w:fldChar w:fldCharType="end"/>
      </w:r>
      <w:r>
        <w:fldChar w:fldCharType="end"/>
      </w:r>
    </w:p>
    <w:p>
      <w:pPr>
        <w:pStyle w:val="12"/>
        <w:tabs>
          <w:tab w:val="right" w:leader="dot" w:pos="9786"/>
          <w:tab w:val="clear" w:pos="1260"/>
          <w:tab w:val="clear" w:pos="8630"/>
        </w:tabs>
      </w:pPr>
      <w:r>
        <w:fldChar w:fldCharType="begin"/>
      </w:r>
      <w:r>
        <w:instrText xml:space="preserve"> HYPERLINK \l "_Toc20082" </w:instrText>
      </w:r>
      <w:r>
        <w:fldChar w:fldCharType="separate"/>
      </w:r>
      <w:r>
        <w:rPr>
          <w:rFonts w:hint="eastAsia" w:ascii="仿宋_GB2312" w:hAnsi="仿宋_GB2312" w:eastAsia="仿宋_GB2312" w:cs="仿宋_GB2312"/>
        </w:rPr>
        <w:t>6-2   残疾人福利性单位声明函</w:t>
      </w:r>
      <w:r>
        <w:tab/>
      </w:r>
      <w:r>
        <w:fldChar w:fldCharType="begin"/>
      </w:r>
      <w:r>
        <w:instrText xml:space="preserve"> PAGEREF _Toc20082 \h </w:instrText>
      </w:r>
      <w:r>
        <w:fldChar w:fldCharType="separate"/>
      </w:r>
      <w:r>
        <w:t>34</w:t>
      </w:r>
      <w:r>
        <w:fldChar w:fldCharType="end"/>
      </w:r>
      <w:r>
        <w:fldChar w:fldCharType="end"/>
      </w:r>
    </w:p>
    <w:p>
      <w:pPr>
        <w:pStyle w:val="12"/>
        <w:tabs>
          <w:tab w:val="right" w:leader="dot" w:pos="9786"/>
          <w:tab w:val="clear" w:pos="1260"/>
          <w:tab w:val="clear" w:pos="8630"/>
        </w:tabs>
      </w:pPr>
      <w:r>
        <w:fldChar w:fldCharType="begin"/>
      </w:r>
      <w:r>
        <w:instrText xml:space="preserve"> HYPERLINK \l "_Toc7689" </w:instrText>
      </w:r>
      <w:r>
        <w:fldChar w:fldCharType="separate"/>
      </w:r>
      <w:r>
        <w:rPr>
          <w:rFonts w:hint="eastAsia" w:ascii="仿宋_GB2312" w:hAnsi="仿宋_GB2312" w:eastAsia="仿宋_GB2312" w:cs="仿宋_GB2312"/>
        </w:rPr>
        <w:t>6-3 监狱企业声明函</w:t>
      </w:r>
      <w:r>
        <w:tab/>
      </w:r>
      <w:r>
        <w:fldChar w:fldCharType="begin"/>
      </w:r>
      <w:r>
        <w:instrText xml:space="preserve"> PAGEREF _Toc7689 \h </w:instrText>
      </w:r>
      <w:r>
        <w:fldChar w:fldCharType="separate"/>
      </w:r>
      <w:r>
        <w:t>34</w:t>
      </w:r>
      <w:r>
        <w:fldChar w:fldCharType="end"/>
      </w:r>
      <w:r>
        <w:fldChar w:fldCharType="end"/>
      </w:r>
    </w:p>
    <w:p>
      <w:pPr>
        <w:pStyle w:val="12"/>
        <w:tabs>
          <w:tab w:val="right" w:leader="dot" w:pos="9786"/>
          <w:tab w:val="clear" w:pos="1260"/>
          <w:tab w:val="clear" w:pos="8630"/>
        </w:tabs>
      </w:pPr>
      <w:r>
        <w:fldChar w:fldCharType="begin"/>
      </w:r>
      <w:r>
        <w:instrText xml:space="preserve"> HYPERLINK \l "_Toc25040" </w:instrText>
      </w:r>
      <w:r>
        <w:fldChar w:fldCharType="separate"/>
      </w:r>
      <w:r>
        <w:rPr>
          <w:rFonts w:hint="eastAsia" w:ascii="仿宋_GB2312" w:hAnsi="仿宋_GB2312" w:eastAsia="仿宋_GB2312" w:cs="仿宋_GB2312"/>
        </w:rPr>
        <w:t>7  投标文件还应包括第五章、综合评分表的所有技术文件</w:t>
      </w:r>
      <w:r>
        <w:tab/>
      </w:r>
      <w:r>
        <w:fldChar w:fldCharType="begin"/>
      </w:r>
      <w:r>
        <w:instrText xml:space="preserve"> PAGEREF _Toc25040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"_Toc1286" </w:instrText>
      </w:r>
      <w:r>
        <w:fldChar w:fldCharType="separate"/>
      </w:r>
      <w:r>
        <w:rPr>
          <w:rFonts w:hint="eastAsia" w:ascii="仿宋_GB2312" w:hAnsi="仿宋_GB2312" w:eastAsia="仿宋_GB2312" w:cs="仿宋_GB2312"/>
        </w:rPr>
        <w:t>8   投标人关联单位的说明</w:t>
      </w:r>
      <w:r>
        <w:tab/>
      </w:r>
      <w:r>
        <w:fldChar w:fldCharType="begin"/>
      </w:r>
      <w:r>
        <w:instrText xml:space="preserve"> PAGEREF _Toc1286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"_Toc32047" </w:instrText>
      </w:r>
      <w:r>
        <w:fldChar w:fldCharType="separate"/>
      </w:r>
      <w:r>
        <w:rPr>
          <w:rFonts w:hint="eastAsia" w:ascii="仿宋_GB2312" w:hAnsi="仿宋_GB2312" w:eastAsia="仿宋_GB2312" w:cs="仿宋_GB2312"/>
        </w:rPr>
        <w:t>9 其他有利于投标人的文件或证明材料</w:t>
      </w:r>
      <w:r>
        <w:tab/>
      </w:r>
      <w:r>
        <w:fldChar w:fldCharType="begin"/>
      </w:r>
      <w:r>
        <w:instrText xml:space="preserve"> PAGEREF _Toc32047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"_Toc9989" </w:instrText>
      </w:r>
      <w:r>
        <w:fldChar w:fldCharType="separate"/>
      </w:r>
      <w:r>
        <w:rPr>
          <w:rFonts w:hint="eastAsia" w:ascii="仿宋_GB2312" w:hAnsi="仿宋_GB2312" w:eastAsia="仿宋_GB2312" w:cs="仿宋_GB2312"/>
        </w:rPr>
        <w:t>10 对本项目投标文件（响应文件）中资料真实性的承诺</w:t>
      </w:r>
      <w:r>
        <w:tab/>
      </w:r>
      <w:r>
        <w:fldChar w:fldCharType="begin"/>
      </w:r>
      <w:r>
        <w:instrText xml:space="preserve"> PAGEREF _Toc9989 \h </w:instrText>
      </w:r>
      <w:r>
        <w:fldChar w:fldCharType="separate"/>
      </w:r>
      <w:r>
        <w:t>36</w:t>
      </w:r>
      <w:r>
        <w:fldChar w:fldCharType="end"/>
      </w:r>
      <w:r>
        <w:fldChar w:fldCharType="end"/>
      </w:r>
    </w:p>
    <w:p>
      <w:pPr>
        <w:pStyle w:val="18"/>
        <w:tabs>
          <w:tab w:val="right" w:leader="dot" w:pos="9786"/>
        </w:tabs>
      </w:pPr>
      <w:r>
        <w:fldChar w:fldCharType="begin"/>
      </w:r>
      <w:r>
        <w:instrText xml:space="preserve"> HYPERLINK \l "_Toc2942" </w:instrText>
      </w:r>
      <w:r>
        <w:fldChar w:fldCharType="separate"/>
      </w:r>
      <w:r>
        <w:rPr>
          <w:rFonts w:hint="eastAsia" w:ascii="仿宋_GB2312" w:hAnsi="仿宋_GB2312" w:eastAsia="仿宋_GB2312" w:cs="仿宋_GB2312"/>
          <w:szCs w:val="44"/>
        </w:rPr>
        <w:t>第三章 投标邀请</w:t>
      </w:r>
      <w:r>
        <w:tab/>
      </w:r>
      <w:r>
        <w:fldChar w:fldCharType="begin"/>
      </w:r>
      <w:r>
        <w:instrText xml:space="preserve"> PAGEREF _Toc2942 \h </w:instrText>
      </w:r>
      <w:r>
        <w:fldChar w:fldCharType="separate"/>
      </w:r>
      <w:r>
        <w:t>38</w:t>
      </w:r>
      <w:r>
        <w:fldChar w:fldCharType="end"/>
      </w:r>
      <w:r>
        <w:fldChar w:fldCharType="end"/>
      </w:r>
    </w:p>
    <w:p>
      <w:pPr>
        <w:pStyle w:val="18"/>
        <w:tabs>
          <w:tab w:val="right" w:leader="dot" w:pos="9786"/>
        </w:tabs>
      </w:pPr>
      <w:r>
        <w:fldChar w:fldCharType="begin"/>
      </w:r>
      <w:r>
        <w:instrText xml:space="preserve"> HYPERLINK \l "_Toc11602"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_Toc11602 \h </w:instrText>
      </w:r>
      <w:r>
        <w:fldChar w:fldCharType="separate"/>
      </w:r>
      <w:r>
        <w:t>40</w:t>
      </w:r>
      <w:r>
        <w:fldChar w:fldCharType="end"/>
      </w:r>
      <w:r>
        <w:fldChar w:fldCharType="end"/>
      </w:r>
    </w:p>
    <w:p>
      <w:pPr>
        <w:pStyle w:val="18"/>
        <w:tabs>
          <w:tab w:val="right" w:leader="dot" w:pos="9786"/>
        </w:tabs>
      </w:pPr>
      <w:r>
        <w:fldChar w:fldCharType="begin"/>
      </w:r>
      <w:r>
        <w:instrText xml:space="preserve"> HYPERLINK \l "_Toc14991" </w:instrText>
      </w:r>
      <w:r>
        <w:fldChar w:fldCharType="separate"/>
      </w:r>
      <w:r>
        <w:rPr>
          <w:rFonts w:hint="eastAsia" w:ascii="仿宋_GB2312" w:hAnsi="仿宋_GB2312" w:eastAsia="仿宋_GB2312" w:cs="仿宋_GB2312"/>
          <w:szCs w:val="44"/>
        </w:rPr>
        <w:t>第五章  货物需求一览表及技术规格</w:t>
      </w:r>
      <w:r>
        <w:tab/>
      </w:r>
      <w:r>
        <w:fldChar w:fldCharType="begin"/>
      </w:r>
      <w:r>
        <w:instrText xml:space="preserve"> PAGEREF _Toc14991 \h </w:instrText>
      </w:r>
      <w:r>
        <w:fldChar w:fldCharType="separate"/>
      </w:r>
      <w:r>
        <w:t>43</w:t>
      </w:r>
      <w:r>
        <w:fldChar w:fldCharType="end"/>
      </w:r>
      <w:r>
        <w:fldChar w:fldCharType="end"/>
      </w:r>
    </w:p>
    <w:p>
      <w:pPr>
        <w:pStyle w:val="18"/>
        <w:tabs>
          <w:tab w:val="right" w:leader="dot" w:pos="9786"/>
        </w:tabs>
      </w:pPr>
      <w:r>
        <w:fldChar w:fldCharType="begin"/>
      </w:r>
      <w:r>
        <w:instrText xml:space="preserve"> HYPERLINK \l "_Toc22880" </w:instrText>
      </w:r>
      <w:r>
        <w:fldChar w:fldCharType="separate"/>
      </w:r>
      <w:r>
        <w:rPr>
          <w:rFonts w:hint="eastAsia" w:ascii="仿宋_GB2312" w:hAnsi="仿宋_GB2312" w:eastAsia="仿宋_GB2312" w:cs="仿宋_GB2312"/>
          <w:szCs w:val="44"/>
        </w:rPr>
        <w:t>第六章  评标方法和标准</w:t>
      </w:r>
      <w:r>
        <w:tab/>
      </w:r>
      <w:r>
        <w:fldChar w:fldCharType="begin"/>
      </w:r>
      <w:r>
        <w:instrText xml:space="preserve"> PAGEREF _Toc22880 \h </w:instrText>
      </w:r>
      <w:r>
        <w:fldChar w:fldCharType="separate"/>
      </w:r>
      <w:r>
        <w:t>43</w:t>
      </w:r>
      <w:r>
        <w:fldChar w:fldCharType="end"/>
      </w:r>
      <w:r>
        <w:fldChar w:fldCharType="end"/>
      </w:r>
    </w:p>
    <w:p>
      <w:pPr>
        <w:pStyle w:val="18"/>
        <w:tabs>
          <w:tab w:val="right" w:leader="dot" w:pos="9786"/>
        </w:tabs>
      </w:pPr>
      <w:r>
        <w:fldChar w:fldCharType="begin"/>
      </w:r>
      <w:r>
        <w:instrText xml:space="preserve"> HYPERLINK \l "_Toc3397" </w:instrText>
      </w:r>
      <w:r>
        <w:fldChar w:fldCharType="separate"/>
      </w:r>
      <w:r>
        <w:rPr>
          <w:rFonts w:hint="eastAsia" w:ascii="仿宋_GB2312" w:hAnsi="仿宋_GB2312" w:eastAsia="仿宋_GB2312" w:cs="仿宋_GB2312"/>
          <w:szCs w:val="44"/>
        </w:rPr>
        <w:t>第七章  政府采购合同</w:t>
      </w:r>
      <w:r>
        <w:tab/>
      </w:r>
      <w:r>
        <w:fldChar w:fldCharType="begin"/>
      </w:r>
      <w:r>
        <w:instrText xml:space="preserve"> PAGEREF _Toc3397 \h </w:instrText>
      </w:r>
      <w:r>
        <w:fldChar w:fldCharType="separate"/>
      </w:r>
      <w:r>
        <w:t>58</w:t>
      </w:r>
      <w:r>
        <w:fldChar w:fldCharType="end"/>
      </w:r>
      <w:r>
        <w:fldChar w:fldCharType="end"/>
      </w:r>
    </w:p>
    <w:p>
      <w:pPr>
        <w:pStyle w:val="20"/>
      </w:pPr>
      <w:r>
        <w:fldChar w:fldCharType="end"/>
      </w:r>
    </w:p>
    <w:p/>
    <w:p>
      <w:pPr>
        <w:pStyle w:val="4"/>
        <w:tabs>
          <w:tab w:val="left" w:pos="0"/>
        </w:tabs>
        <w:spacing w:before="0" w:after="0" w:line="240" w:lineRule="atLeast"/>
        <w:rPr>
          <w:rFonts w:ascii="仿宋_GB2312" w:hAnsi="仿宋_GB2312" w:eastAsia="仿宋_GB2312" w:cs="仿宋_GB2312"/>
          <w:kern w:val="0"/>
          <w:sz w:val="44"/>
          <w:szCs w:val="44"/>
        </w:rPr>
      </w:pPr>
      <w:bookmarkStart w:id="13" w:name="_Toc13803"/>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jc w:val="both"/>
        <w:rPr>
          <w:rFonts w:ascii="仿宋_GB2312" w:hAnsi="仿宋_GB2312" w:eastAsia="仿宋_GB2312" w:cs="仿宋_GB2312"/>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pPr>
        <w:pStyle w:val="4"/>
        <w:tabs>
          <w:tab w:val="left" w:pos="0"/>
        </w:tabs>
        <w:spacing w:before="0" w:after="0" w:line="240" w:lineRule="atLeast"/>
        <w:rPr>
          <w:rFonts w:ascii="仿宋_GB2312" w:hAnsi="仿宋_GB2312" w:eastAsia="仿宋_GB2312" w:cs="仿宋_GB2312"/>
          <w:b w:val="0"/>
          <w:sz w:val="20"/>
        </w:rPr>
      </w:pPr>
      <w:bookmarkStart w:id="15" w:name="_Toc25393"/>
      <w:bookmarkStart w:id="16" w:name="_Toc8173"/>
      <w:bookmarkStart w:id="17" w:name="_Toc23583"/>
      <w:bookmarkStart w:id="18" w:name="_Toc27266"/>
      <w:bookmarkStart w:id="19" w:name="_Toc749"/>
      <w:bookmarkStart w:id="20" w:name="_Toc4823"/>
      <w:bookmarkStart w:id="21" w:name="_Toc8923"/>
      <w:bookmarkStart w:id="22" w:name="_Toc7794"/>
      <w:r>
        <w:rPr>
          <w:rFonts w:hint="eastAsia" w:ascii="仿宋_GB2312" w:hAnsi="仿宋_GB2312" w:eastAsia="仿宋_GB2312" w:cs="仿宋_GB2312"/>
          <w:kern w:val="0"/>
          <w:sz w:val="44"/>
          <w:szCs w:val="44"/>
        </w:rPr>
        <w:t>第一章</w:t>
      </w:r>
      <w:bookmarkStart w:id="23" w:name="_Toc515647756"/>
      <w:r>
        <w:rPr>
          <w:rFonts w:hint="eastAsia" w:ascii="仿宋_GB2312" w:hAnsi="仿宋_GB2312" w:eastAsia="仿宋_GB2312" w:cs="仿宋_GB2312"/>
          <w:sz w:val="44"/>
          <w:szCs w:val="44"/>
        </w:rPr>
        <w:t>投标人须知</w:t>
      </w:r>
      <w:bookmarkEnd w:id="15"/>
      <w:bookmarkEnd w:id="16"/>
      <w:bookmarkEnd w:id="17"/>
      <w:bookmarkEnd w:id="18"/>
      <w:bookmarkEnd w:id="19"/>
      <w:bookmarkEnd w:id="20"/>
      <w:bookmarkEnd w:id="21"/>
      <w:bookmarkEnd w:id="22"/>
      <w:bookmarkEnd w:id="23"/>
    </w:p>
    <w:p>
      <w:pPr>
        <w:pStyle w:val="5"/>
        <w:spacing w:before="0" w:line="240" w:lineRule="atLeast"/>
        <w:ind w:left="1078" w:leftChars="257" w:hanging="539"/>
        <w:rPr>
          <w:rFonts w:ascii="仿宋_GB2312" w:hAnsi="仿宋_GB2312" w:eastAsia="仿宋_GB2312" w:cs="仿宋_GB2312"/>
          <w:b w:val="0"/>
          <w:sz w:val="24"/>
        </w:rPr>
      </w:pPr>
      <w:bookmarkStart w:id="24" w:name="_Toc515647757"/>
      <w:bookmarkStart w:id="25" w:name="_Toc216582805"/>
      <w:bookmarkStart w:id="26" w:name="_Toc520356143"/>
      <w:bookmarkStart w:id="27" w:name="_Toc16621"/>
      <w:bookmarkStart w:id="28" w:name="_Toc18007"/>
      <w:bookmarkStart w:id="29" w:name="_Toc27848"/>
      <w:bookmarkStart w:id="30" w:name="_Toc17202"/>
      <w:bookmarkStart w:id="31" w:name="_Toc21015"/>
      <w:bookmarkStart w:id="32" w:name="_Toc28131"/>
      <w:bookmarkStart w:id="33" w:name="_Toc21215"/>
      <w:bookmarkStart w:id="34" w:name="_Toc13870"/>
      <w:bookmarkStart w:id="35" w:name="_Toc1988"/>
      <w:bookmarkStart w:id="36" w:name="_Toc28649"/>
      <w:bookmarkStart w:id="37" w:name="_Toc28279"/>
      <w:bookmarkStart w:id="38" w:name="_Toc22145"/>
      <w:bookmarkStart w:id="39" w:name="_Toc24426"/>
      <w:r>
        <w:rPr>
          <w:rFonts w:hint="eastAsia" w:ascii="仿宋_GB2312" w:hAnsi="仿宋_GB2312" w:eastAsia="仿宋_GB2312" w:cs="仿宋_GB2312"/>
          <w:sz w:val="28"/>
        </w:rPr>
        <w:t xml:space="preserve">一   </w:t>
      </w:r>
      <w:bookmarkEnd w:id="24"/>
      <w:bookmarkEnd w:id="25"/>
      <w:bookmarkEnd w:id="26"/>
      <w:r>
        <w:rPr>
          <w:rFonts w:hint="eastAsia" w:ascii="仿宋_GB2312" w:hAnsi="仿宋_GB2312" w:eastAsia="仿宋_GB2312" w:cs="仿宋_GB2312"/>
          <w:sz w:val="28"/>
        </w:rPr>
        <w:t>总 则</w:t>
      </w:r>
      <w:bookmarkEnd w:id="27"/>
      <w:bookmarkEnd w:id="28"/>
      <w:bookmarkEnd w:id="29"/>
      <w:bookmarkEnd w:id="30"/>
      <w:bookmarkEnd w:id="31"/>
      <w:bookmarkEnd w:id="32"/>
      <w:bookmarkEnd w:id="33"/>
      <w:bookmarkEnd w:id="34"/>
      <w:bookmarkEnd w:id="35"/>
      <w:bookmarkEnd w:id="36"/>
      <w:bookmarkEnd w:id="37"/>
      <w:bookmarkEnd w:id="38"/>
      <w:bookmarkEnd w:id="39"/>
    </w:p>
    <w:p>
      <w:pPr>
        <w:pStyle w:val="6"/>
        <w:spacing w:before="0" w:after="0" w:line="288" w:lineRule="auto"/>
        <w:rPr>
          <w:rFonts w:ascii="仿宋_GB2312" w:hAnsi="仿宋_GB2312" w:eastAsia="仿宋_GB2312" w:cs="仿宋_GB2312"/>
        </w:rPr>
      </w:pPr>
      <w:bookmarkStart w:id="40" w:name="_Toc520356144"/>
      <w:bookmarkStart w:id="41" w:name="_Toc20172"/>
      <w:bookmarkStart w:id="42" w:name="_Toc6990"/>
      <w:bookmarkStart w:id="43" w:name="_Toc32623"/>
      <w:bookmarkStart w:id="44" w:name="_Toc568"/>
      <w:bookmarkStart w:id="45" w:name="_Toc32189"/>
      <w:bookmarkStart w:id="46" w:name="_Toc9551"/>
      <w:bookmarkStart w:id="47" w:name="_Toc5999"/>
      <w:bookmarkStart w:id="48" w:name="_Toc17376"/>
      <w:bookmarkStart w:id="49" w:name="_Toc19622"/>
      <w:bookmarkStart w:id="50" w:name="_Toc14500"/>
      <w:bookmarkStart w:id="51" w:name="_Toc11245"/>
      <w:bookmarkStart w:id="52" w:name="_Toc515647758"/>
      <w:bookmarkStart w:id="53" w:name="_Toc16352"/>
      <w:bookmarkStart w:id="54" w:name="_Toc9357"/>
      <w:r>
        <w:rPr>
          <w:rFonts w:hint="eastAsia" w:ascii="仿宋_GB2312" w:hAnsi="仿宋_GB2312" w:eastAsia="仿宋_GB2312" w:cs="仿宋_GB2312"/>
        </w:rPr>
        <w:t>1.采购人、采购代理机构及</w:t>
      </w:r>
      <w:bookmarkEnd w:id="40"/>
      <w:r>
        <w:rPr>
          <w:rFonts w:hint="eastAsia" w:ascii="仿宋_GB2312" w:hAnsi="仿宋_GB2312" w:eastAsia="仿宋_GB2312" w:cs="仿宋_GB2312"/>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采购人：是指依法开展政府采购活动的国家机关、事业单位、团体组织。</w:t>
      </w:r>
    </w:p>
    <w:p>
      <w:pPr>
        <w:tabs>
          <w:tab w:val="left" w:pos="0"/>
        </w:tabs>
        <w:spacing w:line="288" w:lineRule="auto"/>
        <w:ind w:left="900"/>
        <w:rPr>
          <w:rFonts w:ascii="仿宋_GB2312" w:hAnsi="仿宋_GB2312" w:eastAsia="仿宋_GB2312" w:cs="仿宋_GB2312"/>
          <w:sz w:val="24"/>
        </w:rPr>
      </w:pPr>
      <w:r>
        <w:rPr>
          <w:rFonts w:hint="eastAsia" w:ascii="仿宋_GB2312" w:hAnsi="仿宋_GB2312" w:eastAsia="仿宋_GB2312" w:cs="仿宋_GB2312"/>
          <w:sz w:val="24"/>
        </w:rPr>
        <w:t>本项目的采购人见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采购代理机构：是指在集中采购机构或从事采购代理业务的社会中介机构。本项目的采购代理机构见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spacing w:line="288" w:lineRule="auto"/>
        <w:ind w:hangingChars="375"/>
        <w:rPr>
          <w:rFonts w:ascii="仿宋_GB2312" w:hAnsi="仿宋_GB2312" w:eastAsia="仿宋_GB2312" w:cs="仿宋_GB2312"/>
          <w:sz w:val="24"/>
        </w:rPr>
      </w:pPr>
      <w:r>
        <w:rPr>
          <w:rFonts w:hint="eastAsia" w:ascii="仿宋_GB2312" w:hAnsi="仿宋_GB2312" w:eastAsia="仿宋_GB2312" w:cs="仿宋_GB2312"/>
          <w:sz w:val="24"/>
        </w:rPr>
        <w:t>投标人：是指向采购人提供货物、工程或者服务的法人、非法人组织或者自然人。本项目的投标人及其投标货物须满足以下条件：</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在中华人民共和国境内注册，能够独立承担民事责任，有生产或供应能力的本国供应商。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  具备《中华人民共和国政府采购法》第二十二条关于供应商条件的规定，遵守本项目采购人本级和上级财政部门政府采购的有关规定。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1.3.3   以采购代理机构认可的方式获得了本项目的招标文件。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1.3.4   提供符合</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中规定的资格证明文件。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1.3.5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中写明允许采购进口产品，投标人应保证所投产品可履行合法报通关手续进入中国关境内。</w:t>
      </w:r>
    </w:p>
    <w:p>
      <w:pPr>
        <w:spacing w:line="288" w:lineRule="auto"/>
        <w:ind w:left="898" w:leftChars="428"/>
        <w:rPr>
          <w:rFonts w:ascii="仿宋_GB2312" w:hAnsi="仿宋_GB2312" w:eastAsia="仿宋_GB2312" w:cs="仿宋_GB2312"/>
          <w:sz w:val="24"/>
        </w:rPr>
      </w:pPr>
      <w:r>
        <w:rPr>
          <w:rFonts w:hint="eastAsia" w:ascii="仿宋_GB2312" w:hAnsi="仿宋_GB2312" w:eastAsia="仿宋_GB2312" w:cs="仿宋_GB2312"/>
          <w:sz w:val="24"/>
        </w:rPr>
        <w:t>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中未写明允许采购进口产品，如投标人所投产品为进口产品，其投标将被认定为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840" w:hanging="840" w:hangingChars="350"/>
        <w:rPr>
          <w:rFonts w:ascii="仿宋_GB2312" w:hAnsi="仿宋_GB2312" w:eastAsia="仿宋_GB2312" w:cs="仿宋_GB2312"/>
          <w:sz w:val="24"/>
        </w:rPr>
      </w:pPr>
      <w:r>
        <w:rPr>
          <w:rFonts w:hint="eastAsia" w:ascii="仿宋_GB2312" w:hAnsi="仿宋_GB2312" w:eastAsia="仿宋_GB2312" w:cs="仿宋_GB2312"/>
          <w:sz w:val="24"/>
        </w:rPr>
        <w:t>1.3.6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中写明专门面向中小企业采购的，如投标人为非中小企业且所投产品为非中小企业产品，其投标将被认定为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     如</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中允许联合体投标，对联合体规定如下：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1.4.1   两个以上供应商可以组成一个投标联合体，以一个投标人的身份投标。</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1.4.2   联合体各方均应符合《中华人民共和国政府采购法》第二十二条规定的条件。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1.4.3   采购人根据采购项目对投标人的特殊要求，联合体中至少应当有一方符合相关规定。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1.4.4   联合体各方应签订共同投标协议，明确约定联合体各方承担的工作和相应的责任，并将共同投标协议连同作为投标文件第一部分的内容提交。</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1.4.6  联合体中有同类资质的供应商按照联合体分工承担相同工作的，按照较低的资质等级确定联合体的资质等级。</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1.4.8   对联合体投标的其他资格要求见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    单位负责人为同一人或者存在直接控股、管理关系的不同供应商，其相关投标将被认定为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w:t>
      </w:r>
      <w:r>
        <w:rPr>
          <w:rFonts w:hint="eastAsia" w:ascii="仿宋_GB2312" w:hAnsi="仿宋_GB2312" w:eastAsia="仿宋_GB2312" w:cs="仿宋_GB2312"/>
          <w:sz w:val="24"/>
        </w:rPr>
        <w:tab/>
      </w:r>
      <w:r>
        <w:rPr>
          <w:rFonts w:hint="eastAsia" w:ascii="仿宋_GB2312" w:hAnsi="仿宋_GB2312" w:eastAsia="仿宋_GB2312" w:cs="仿宋_GB2312"/>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55" w:name="_Toc4322"/>
      <w:bookmarkStart w:id="56" w:name="_Toc21316"/>
      <w:bookmarkStart w:id="57" w:name="_Toc515647759"/>
      <w:bookmarkStart w:id="58" w:name="_Toc4315"/>
      <w:bookmarkStart w:id="59" w:name="_Toc14658"/>
      <w:bookmarkStart w:id="60" w:name="_Toc7361"/>
      <w:bookmarkStart w:id="61" w:name="_Toc25043"/>
      <w:bookmarkStart w:id="62" w:name="_Toc17808"/>
      <w:bookmarkStart w:id="63" w:name="_Toc8057"/>
      <w:bookmarkStart w:id="64" w:name="_Toc12139"/>
      <w:bookmarkStart w:id="65" w:name="_Toc14117"/>
      <w:bookmarkStart w:id="66" w:name="_Toc8874"/>
      <w:bookmarkStart w:id="67" w:name="_Toc28178"/>
      <w:bookmarkStart w:id="68" w:name="_Toc5286"/>
      <w:r>
        <w:rPr>
          <w:rFonts w:hint="eastAsia" w:ascii="仿宋_GB2312" w:hAnsi="仿宋_GB2312" w:eastAsia="仿宋_GB2312" w:cs="仿宋_GB2312"/>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sz w:val="24"/>
        </w:rPr>
        <w:tab/>
      </w:r>
      <w:r>
        <w:rPr>
          <w:rFonts w:hint="eastAsia" w:ascii="仿宋_GB2312" w:hAnsi="仿宋_GB2312" w:eastAsia="仿宋_GB2312" w:cs="仿宋_GB2312"/>
          <w:sz w:val="24"/>
        </w:rPr>
        <w:t>本项目的采购人已获得足以支付本次招标后所签订的合同项下的资金（包括财政性资金和本项目采购中无法与财政性资金分割的非财政性资金）。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2.2    项目预算金额和分项或分包最高限价</w:t>
      </w:r>
      <w:r>
        <w:rPr>
          <w:rFonts w:hint="eastAsia" w:ascii="仿宋_GB2312" w:hAnsi="仿宋_GB2312" w:eastAsia="仿宋_GB2312" w:cs="仿宋_GB2312"/>
          <w:sz w:val="24"/>
          <w:u w:val="single" w:color="000000"/>
        </w:rPr>
        <w:t>见投标人须知资料表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    投标人报价超过招标文件规定的预算金额或者分项、分包最高限价的，其投标将被认定为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69" w:name="_Toc15936"/>
      <w:bookmarkStart w:id="70" w:name="_Toc520356145"/>
      <w:bookmarkStart w:id="71" w:name="_Toc26702"/>
      <w:bookmarkStart w:id="72" w:name="_Toc245"/>
      <w:bookmarkStart w:id="73" w:name="_Toc13235"/>
      <w:bookmarkStart w:id="74" w:name="_Toc31923"/>
      <w:bookmarkStart w:id="75" w:name="_Toc13828"/>
      <w:bookmarkStart w:id="76" w:name="_Toc25643"/>
      <w:bookmarkStart w:id="77" w:name="_Toc26014"/>
      <w:bookmarkStart w:id="78" w:name="_Toc20526"/>
      <w:bookmarkStart w:id="79" w:name="_Toc20548"/>
      <w:bookmarkStart w:id="80" w:name="_Toc12066"/>
      <w:bookmarkStart w:id="81" w:name="_Toc515647760"/>
      <w:bookmarkStart w:id="82" w:name="_Toc17722"/>
      <w:bookmarkStart w:id="83" w:name="_Toc703"/>
      <w:r>
        <w:rPr>
          <w:rFonts w:hint="eastAsia" w:ascii="仿宋_GB2312" w:hAnsi="仿宋_GB2312" w:eastAsia="仿宋_GB2312" w:cs="仿宋_GB2312"/>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不论投标的结果如何，投标人应承担所有与准备和参加投标有关的费用。</w:t>
      </w:r>
    </w:p>
    <w:p>
      <w:pPr>
        <w:pStyle w:val="6"/>
        <w:spacing w:before="0" w:after="0" w:line="288" w:lineRule="auto"/>
        <w:rPr>
          <w:rFonts w:ascii="仿宋_GB2312" w:hAnsi="仿宋_GB2312" w:eastAsia="仿宋_GB2312" w:cs="仿宋_GB2312"/>
        </w:rPr>
      </w:pPr>
      <w:bookmarkStart w:id="84" w:name="_Toc3200"/>
      <w:bookmarkStart w:id="85" w:name="_Toc6116"/>
      <w:bookmarkStart w:id="86" w:name="_Toc4463"/>
      <w:bookmarkStart w:id="87" w:name="_Toc28041"/>
      <w:bookmarkStart w:id="88" w:name="_Toc24113"/>
      <w:bookmarkStart w:id="89" w:name="_Toc25102"/>
      <w:bookmarkStart w:id="90" w:name="_Toc20058"/>
      <w:bookmarkStart w:id="91" w:name="_Toc18730"/>
      <w:bookmarkStart w:id="92" w:name="_Toc515647761"/>
      <w:bookmarkStart w:id="93" w:name="_Toc3354"/>
      <w:bookmarkStart w:id="94" w:name="_Toc31798"/>
      <w:bookmarkStart w:id="95" w:name="_Toc22881"/>
      <w:bookmarkStart w:id="96" w:name="_Toc19596"/>
      <w:bookmarkStart w:id="97" w:name="_Toc32665"/>
      <w:r>
        <w:rPr>
          <w:rFonts w:hint="eastAsia" w:ascii="仿宋_GB2312" w:hAnsi="仿宋_GB2312" w:eastAsia="仿宋_GB2312" w:cs="仿宋_GB2312"/>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pStyle w:val="5"/>
        <w:spacing w:before="0" w:line="288" w:lineRule="auto"/>
        <w:ind w:left="1079" w:leftChars="257" w:hanging="540"/>
        <w:rPr>
          <w:rFonts w:ascii="仿宋_GB2312" w:hAnsi="仿宋_GB2312" w:eastAsia="仿宋_GB2312" w:cs="仿宋_GB2312"/>
          <w:sz w:val="28"/>
        </w:rPr>
      </w:pPr>
      <w:bookmarkStart w:id="98" w:name="_Toc1733"/>
      <w:bookmarkStart w:id="99" w:name="_Toc216582806"/>
      <w:bookmarkStart w:id="100" w:name="_Toc520356146"/>
      <w:bookmarkStart w:id="101" w:name="_Toc21566"/>
      <w:bookmarkStart w:id="102" w:name="_Toc6520"/>
      <w:bookmarkStart w:id="103" w:name="_Toc17538"/>
      <w:bookmarkStart w:id="104" w:name="_Toc10643"/>
      <w:bookmarkStart w:id="105" w:name="_Toc515647762"/>
      <w:bookmarkStart w:id="106" w:name="_Toc8117"/>
      <w:bookmarkStart w:id="107" w:name="_Toc30891"/>
      <w:bookmarkStart w:id="108" w:name="_Toc6944"/>
      <w:bookmarkStart w:id="109" w:name="_Toc19184"/>
      <w:bookmarkStart w:id="110" w:name="_Toc28572"/>
      <w:bookmarkStart w:id="111" w:name="_Toc4365"/>
      <w:bookmarkStart w:id="112" w:name="_Toc4063"/>
      <w:r>
        <w:rPr>
          <w:rFonts w:hint="eastAsia" w:ascii="仿宋_GB2312" w:hAnsi="仿宋_GB2312" w:eastAsia="仿宋_GB2312" w:cs="仿宋_GB2312"/>
          <w:sz w:val="28"/>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7"/>
        <w:spacing w:line="288" w:lineRule="auto"/>
        <w:rPr>
          <w:rFonts w:ascii="仿宋_GB2312" w:hAnsi="仿宋_GB2312" w:eastAsia="仿宋_GB2312" w:cs="仿宋_GB2312"/>
        </w:rPr>
      </w:pPr>
    </w:p>
    <w:p>
      <w:pPr>
        <w:pStyle w:val="6"/>
        <w:spacing w:before="0" w:after="0" w:line="288" w:lineRule="auto"/>
        <w:rPr>
          <w:rFonts w:ascii="仿宋_GB2312" w:hAnsi="仿宋_GB2312" w:eastAsia="仿宋_GB2312" w:cs="仿宋_GB2312"/>
        </w:rPr>
      </w:pPr>
      <w:bookmarkStart w:id="113" w:name="_Toc6246"/>
      <w:bookmarkStart w:id="114" w:name="_Toc1617"/>
      <w:bookmarkStart w:id="115" w:name="_Toc11582"/>
      <w:bookmarkStart w:id="116" w:name="_Toc14084"/>
      <w:bookmarkStart w:id="117" w:name="_Toc520356147"/>
      <w:bookmarkStart w:id="118" w:name="_Toc22748"/>
      <w:bookmarkStart w:id="119" w:name="_Toc17225"/>
      <w:bookmarkStart w:id="120" w:name="_Toc481"/>
      <w:bookmarkStart w:id="121" w:name="_Toc4671"/>
      <w:bookmarkStart w:id="122" w:name="_Toc28647"/>
      <w:bookmarkStart w:id="123" w:name="_Toc14637"/>
      <w:bookmarkStart w:id="124" w:name="_Toc25647"/>
      <w:bookmarkStart w:id="125" w:name="_Toc25743"/>
      <w:bookmarkStart w:id="126" w:name="_Toc5326"/>
      <w:bookmarkStart w:id="127" w:name="_Toc515647763"/>
      <w:r>
        <w:rPr>
          <w:rFonts w:hint="eastAsia" w:ascii="仿宋_GB2312" w:hAnsi="仿宋_GB2312" w:eastAsia="仿宋_GB2312" w:cs="仿宋_GB2312"/>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sz w:val="24"/>
        </w:rPr>
        <w:tab/>
      </w:r>
      <w:r>
        <w:rPr>
          <w:rFonts w:hint="eastAsia" w:ascii="仿宋_GB2312" w:hAnsi="仿宋_GB2312" w:eastAsia="仿宋_GB2312" w:cs="仿宋_GB2312"/>
          <w:sz w:val="24"/>
        </w:rPr>
        <w:t>招标文件分为三册共7章，内容如下：</w:t>
      </w:r>
    </w:p>
    <w:p>
      <w:pPr>
        <w:spacing w:line="288" w:lineRule="auto"/>
        <w:ind w:left="1078" w:leftChars="428" w:hanging="180" w:hangingChars="75"/>
        <w:rPr>
          <w:rFonts w:ascii="仿宋_GB2312" w:hAnsi="仿宋_GB2312" w:eastAsia="仿宋_GB2312" w:cs="仿宋_GB2312"/>
          <w:sz w:val="24"/>
        </w:rPr>
      </w:pPr>
      <w:r>
        <w:rPr>
          <w:rFonts w:hint="eastAsia" w:ascii="仿宋_GB2312" w:hAnsi="仿宋_GB2312" w:eastAsia="仿宋_GB2312" w:cs="仿宋_GB2312"/>
          <w:sz w:val="24"/>
        </w:rPr>
        <w:t>第一册</w:t>
      </w:r>
    </w:p>
    <w:p>
      <w:pPr>
        <w:numPr>
          <w:ilvl w:val="0"/>
          <w:numId w:val="3"/>
        </w:numPr>
        <w:tabs>
          <w:tab w:val="left" w:pos="0"/>
        </w:tabs>
        <w:spacing w:line="288" w:lineRule="auto"/>
        <w:ind w:hanging="829"/>
        <w:rPr>
          <w:rFonts w:ascii="仿宋_GB2312" w:hAnsi="仿宋_GB2312" w:eastAsia="仿宋_GB2312" w:cs="仿宋_GB2312"/>
          <w:sz w:val="24"/>
        </w:rPr>
      </w:pPr>
      <w:r>
        <w:rPr>
          <w:rFonts w:hint="eastAsia" w:ascii="仿宋_GB2312" w:hAnsi="仿宋_GB2312" w:eastAsia="仿宋_GB2312" w:cs="仿宋_GB2312"/>
          <w:sz w:val="24"/>
        </w:rPr>
        <w:t xml:space="preserve"> 投标人须知</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投标文件格式</w:t>
      </w:r>
    </w:p>
    <w:p>
      <w:p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第二册</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投标邀请</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投标人须知资料表</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货物需求一览表及技术规格</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评标方法和标准</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第三册</w:t>
      </w:r>
    </w:p>
    <w:p>
      <w:pPr>
        <w:numPr>
          <w:ilvl w:val="0"/>
          <w:numId w:val="3"/>
        </w:numPr>
        <w:spacing w:line="288" w:lineRule="auto"/>
        <w:ind w:left="718" w:leftChars="342" w:firstLine="240" w:firstLineChars="100"/>
        <w:rPr>
          <w:rFonts w:ascii="仿宋_GB2312" w:hAnsi="仿宋_GB2312" w:eastAsia="仿宋_GB2312" w:cs="仿宋_GB2312"/>
          <w:sz w:val="24"/>
        </w:rPr>
      </w:pPr>
      <w:r>
        <w:rPr>
          <w:rFonts w:hint="eastAsia" w:ascii="仿宋_GB2312" w:hAnsi="仿宋_GB2312" w:eastAsia="仿宋_GB2312" w:cs="仿宋_GB2312"/>
          <w:sz w:val="24"/>
        </w:rPr>
        <w:t>政府采购合同格式</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5.2</w:t>
      </w:r>
      <w:r>
        <w:rPr>
          <w:rFonts w:hint="eastAsia" w:ascii="仿宋_GB2312" w:hAnsi="仿宋_GB2312" w:eastAsia="仿宋_GB2312" w:cs="仿宋_GB2312"/>
          <w:sz w:val="24"/>
        </w:rPr>
        <w:tab/>
      </w:r>
      <w:r>
        <w:rPr>
          <w:rFonts w:hint="eastAsia" w:ascii="仿宋_GB2312" w:hAnsi="仿宋_GB2312" w:eastAsia="仿宋_GB2312" w:cs="仿宋_GB2312"/>
          <w:sz w:val="24"/>
        </w:rPr>
        <w:t>如本文件的前后内容不一致，以最后描述为准。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128" w:name="_Toc515904805"/>
      <w:bookmarkStart w:id="129" w:name="_Toc520356148"/>
      <w:bookmarkStart w:id="130" w:name="_Toc4118"/>
      <w:bookmarkStart w:id="131" w:name="_Toc7751"/>
      <w:bookmarkStart w:id="132" w:name="_Toc4284"/>
      <w:bookmarkStart w:id="133" w:name="_Toc2703"/>
      <w:bookmarkStart w:id="134" w:name="_Toc27562"/>
      <w:bookmarkStart w:id="135" w:name="_Toc7323"/>
      <w:bookmarkStart w:id="136" w:name="_Toc20175"/>
      <w:bookmarkStart w:id="137" w:name="_Toc26044"/>
      <w:bookmarkStart w:id="138" w:name="_Toc1922"/>
      <w:bookmarkStart w:id="139" w:name="_Toc3154"/>
      <w:bookmarkStart w:id="140" w:name="_Toc1925"/>
      <w:bookmarkStart w:id="141" w:name="_Toc18688"/>
      <w:bookmarkStart w:id="142" w:name="_Toc9232"/>
      <w:r>
        <w:rPr>
          <w:rFonts w:hint="eastAsia" w:ascii="仿宋_GB2312" w:hAnsi="仿宋_GB2312" w:eastAsia="仿宋_GB2312" w:cs="仿宋_GB2312"/>
        </w:rPr>
        <w:t>6.招标文件的澄清</w:t>
      </w:r>
      <w:bookmarkEnd w:id="128"/>
      <w:bookmarkEnd w:id="129"/>
      <w:r>
        <w:rPr>
          <w:rFonts w:hint="eastAsia" w:ascii="仿宋_GB2312" w:hAnsi="仿宋_GB2312" w:eastAsia="仿宋_GB2312" w:cs="仿宋_GB2312"/>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7"/>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6.1    为了保证对招标文件的澄清和修改满足法律的时限要求，任何要求对招标文件进行澄清的投标人，均应在投标截止期十五日前，以书面形式将澄清要求通知采购人或采购代理机构。</w:t>
      </w:r>
    </w:p>
    <w:p>
      <w:pPr>
        <w:pStyle w:val="7"/>
        <w:spacing w:line="288" w:lineRule="auto"/>
        <w:ind w:left="840" w:hanging="840" w:hangingChars="350"/>
        <w:rPr>
          <w:rFonts w:ascii="仿宋_GB2312" w:hAnsi="仿宋_GB2312" w:eastAsia="仿宋_GB2312" w:cs="仿宋_GB2312"/>
          <w:szCs w:val="24"/>
        </w:rPr>
      </w:pPr>
      <w:bookmarkStart w:id="143" w:name="_Ref467378678"/>
      <w:bookmarkStart w:id="144" w:name="_Toc520356149"/>
      <w:bookmarkStart w:id="145" w:name="_Toc515904806"/>
      <w:r>
        <w:rPr>
          <w:rFonts w:hint="eastAsia" w:ascii="仿宋_GB2312" w:hAnsi="仿宋_GB2312" w:eastAsia="仿宋_GB2312" w:cs="仿宋_GB2312"/>
          <w:szCs w:val="24"/>
        </w:rPr>
        <w:t>6.2</w:t>
      </w:r>
      <w:r>
        <w:rPr>
          <w:rFonts w:hint="eastAsia" w:ascii="仿宋_GB2312" w:hAnsi="仿宋_GB2312" w:eastAsia="仿宋_GB2312" w:cs="仿宋_GB2312"/>
          <w:szCs w:val="24"/>
        </w:rPr>
        <w:tab/>
      </w:r>
      <w:r>
        <w:rPr>
          <w:rFonts w:hint="eastAsia" w:ascii="仿宋_GB2312" w:hAnsi="仿宋_GB2312" w:eastAsia="仿宋_GB2312" w:cs="仿宋_GB2312"/>
          <w:szCs w:val="24"/>
        </w:rPr>
        <w:t>采购人可主动地或在解答投标人提出的澄清问题时对招标文件进行澄清或修改。采购代理机构将以发布澄清（更正）公告的方式，澄清或修改招标文件，澄清或修改内容作为招标文件的组成部分。</w:t>
      </w:r>
    </w:p>
    <w:p>
      <w:pPr>
        <w:pStyle w:val="7"/>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6.3</w:t>
      </w:r>
      <w:r>
        <w:rPr>
          <w:rFonts w:hint="eastAsia" w:ascii="仿宋_GB2312" w:hAnsi="仿宋_GB2312" w:eastAsia="仿宋_GB2312" w:cs="仿宋_GB2312"/>
          <w:szCs w:val="24"/>
        </w:rPr>
        <w:tab/>
      </w:r>
      <w:r>
        <w:rPr>
          <w:rFonts w:hint="eastAsia" w:ascii="仿宋_GB2312" w:hAnsi="仿宋_GB2312" w:eastAsia="仿宋_GB2312" w:cs="仿宋_GB2312"/>
          <w:szCs w:val="24"/>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6"/>
        <w:tabs>
          <w:tab w:val="left" w:pos="900"/>
        </w:tabs>
        <w:spacing w:before="0" w:after="0" w:line="288" w:lineRule="auto"/>
        <w:rPr>
          <w:rFonts w:ascii="仿宋_GB2312" w:hAnsi="仿宋_GB2312" w:eastAsia="仿宋_GB2312" w:cs="仿宋_GB2312"/>
        </w:rPr>
      </w:pPr>
      <w:bookmarkStart w:id="146" w:name="_Toc2744"/>
      <w:bookmarkStart w:id="147" w:name="_Toc12448"/>
      <w:bookmarkStart w:id="148" w:name="_Toc14569"/>
      <w:bookmarkStart w:id="149" w:name="_Toc4653"/>
      <w:bookmarkStart w:id="150" w:name="_Toc7775"/>
      <w:bookmarkStart w:id="151" w:name="_Toc19841"/>
      <w:bookmarkStart w:id="152" w:name="_Toc25461"/>
      <w:bookmarkStart w:id="153" w:name="_Toc25635"/>
      <w:bookmarkStart w:id="154" w:name="_Toc330"/>
      <w:bookmarkStart w:id="155" w:name="_Toc21817"/>
      <w:bookmarkStart w:id="156" w:name="_Toc21993"/>
      <w:bookmarkStart w:id="157" w:name="_Toc25416"/>
      <w:bookmarkStart w:id="158" w:name="_Toc23166"/>
      <w:r>
        <w:rPr>
          <w:rFonts w:hint="eastAsia" w:ascii="仿宋_GB2312" w:hAnsi="仿宋_GB2312" w:eastAsia="仿宋_GB2312" w:cs="仿宋_GB2312"/>
        </w:rPr>
        <w:t>7</w:t>
      </w:r>
      <w:bookmarkEnd w:id="143"/>
      <w:bookmarkEnd w:id="144"/>
      <w:bookmarkEnd w:id="145"/>
      <w:r>
        <w:rPr>
          <w:rFonts w:hint="eastAsia" w:ascii="仿宋_GB2312" w:hAnsi="仿宋_GB2312" w:eastAsia="仿宋_GB2312" w:cs="仿宋_GB2312"/>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为使投标人准备投标时有足够的时间对招标文件的澄清或者修改部分进行研究，采购人将依法决定是否顺延投标截止时间。</w:t>
      </w:r>
    </w:p>
    <w:p>
      <w:pPr>
        <w:pStyle w:val="5"/>
        <w:tabs>
          <w:tab w:val="left" w:pos="900"/>
        </w:tabs>
        <w:spacing w:before="0" w:line="288" w:lineRule="auto"/>
        <w:ind w:left="1079" w:leftChars="257" w:hanging="540"/>
        <w:rPr>
          <w:rFonts w:ascii="仿宋_GB2312" w:hAnsi="仿宋_GB2312" w:eastAsia="仿宋_GB2312" w:cs="仿宋_GB2312"/>
          <w:b w:val="0"/>
          <w:sz w:val="24"/>
        </w:rPr>
      </w:pPr>
      <w:bookmarkStart w:id="159" w:name="_Toc516367020"/>
      <w:bookmarkStart w:id="160" w:name="_Toc23336"/>
      <w:bookmarkStart w:id="161" w:name="_Toc31039"/>
      <w:bookmarkStart w:id="162" w:name="_Toc25866"/>
      <w:bookmarkStart w:id="163" w:name="_Toc9442"/>
      <w:bookmarkStart w:id="164" w:name="_Toc22175"/>
      <w:bookmarkStart w:id="165" w:name="_Toc14530"/>
      <w:bookmarkStart w:id="166" w:name="_Toc30808"/>
      <w:bookmarkStart w:id="167" w:name="_Toc12340"/>
      <w:bookmarkStart w:id="168" w:name="_Toc19696"/>
      <w:bookmarkStart w:id="169" w:name="_Toc8537"/>
      <w:bookmarkStart w:id="170" w:name="_Toc515647766"/>
      <w:bookmarkStart w:id="171" w:name="_Toc216582807"/>
      <w:bookmarkStart w:id="172" w:name="_Toc15802"/>
      <w:bookmarkStart w:id="173" w:name="_Toc8381"/>
      <w:bookmarkStart w:id="174" w:name="_Toc7636"/>
      <w:bookmarkStart w:id="175" w:name="_Toc520356150"/>
      <w:r>
        <w:rPr>
          <w:rFonts w:hint="eastAsia" w:ascii="仿宋_GB2312" w:hAnsi="仿宋_GB2312" w:eastAsia="仿宋_GB2312" w:cs="仿宋_GB2312"/>
          <w:sz w:val="28"/>
        </w:rPr>
        <w:t>三   投标文件</w:t>
      </w:r>
      <w:bookmarkEnd w:id="159"/>
      <w:r>
        <w:rPr>
          <w:rFonts w:hint="eastAsia" w:ascii="仿宋_GB2312" w:hAnsi="仿宋_GB2312" w:eastAsia="仿宋_GB2312" w:cs="仿宋_GB2312"/>
          <w:sz w:val="28"/>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6"/>
        <w:tabs>
          <w:tab w:val="left" w:pos="900"/>
        </w:tabs>
        <w:spacing w:before="0" w:after="0" w:line="288" w:lineRule="auto"/>
        <w:rPr>
          <w:rFonts w:ascii="仿宋_GB2312" w:hAnsi="仿宋_GB2312" w:eastAsia="仿宋_GB2312" w:cs="仿宋_GB2312"/>
        </w:rPr>
      </w:pPr>
      <w:bookmarkStart w:id="176" w:name="_Toc27410"/>
      <w:bookmarkStart w:id="177" w:name="_Toc11227"/>
      <w:bookmarkStart w:id="178" w:name="_Toc6680"/>
      <w:bookmarkStart w:id="179" w:name="_Toc3553"/>
      <w:bookmarkStart w:id="180" w:name="_Toc516367021"/>
      <w:bookmarkStart w:id="181" w:name="_Toc30570"/>
      <w:bookmarkStart w:id="182" w:name="_Toc10758"/>
      <w:bookmarkStart w:id="183" w:name="_Toc15952"/>
      <w:bookmarkStart w:id="184" w:name="_Toc11023"/>
      <w:bookmarkStart w:id="185" w:name="_Toc15590"/>
      <w:bookmarkStart w:id="186" w:name="_Toc2259"/>
      <w:bookmarkStart w:id="187" w:name="_Toc28725"/>
      <w:bookmarkStart w:id="188" w:name="_Toc7786"/>
      <w:bookmarkStart w:id="189" w:name="_Toc11230"/>
      <w:bookmarkStart w:id="190" w:name="_Toc520356151"/>
      <w:bookmarkStart w:id="191" w:name="_Toc515647767"/>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8.1</w:t>
      </w:r>
      <w:r>
        <w:rPr>
          <w:rFonts w:hint="eastAsia" w:ascii="仿宋_GB2312" w:hAnsi="仿宋_GB2312" w:eastAsia="仿宋_GB2312" w:cs="仿宋_GB2312"/>
          <w:sz w:val="24"/>
        </w:rPr>
        <w:tab/>
      </w:r>
      <w:r>
        <w:rPr>
          <w:rFonts w:hint="eastAsia" w:ascii="仿宋_GB2312" w:hAnsi="仿宋_GB2312" w:eastAsia="仿宋_GB2312" w:cs="仿宋_GB2312"/>
          <w:sz w:val="24"/>
        </w:rPr>
        <w:t>项目有分包的，投标人可对招标文件其中某一个或几个分包货物进行投标，除非在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中另有规定。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8.3     无论招标文件第5章货物需求一览表及技术规格中是否要求，投标人所投货物均应符合国家强制性标准。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8.4     除招标文件中有特殊要求外，投标文件中所使用的计量单位，应采用中华人民共和国法定计量单位。</w:t>
      </w:r>
    </w:p>
    <w:p>
      <w:pPr>
        <w:pStyle w:val="6"/>
        <w:tabs>
          <w:tab w:val="left" w:pos="900"/>
        </w:tabs>
        <w:spacing w:before="0" w:after="0" w:line="288" w:lineRule="auto"/>
        <w:rPr>
          <w:rFonts w:ascii="仿宋_GB2312" w:hAnsi="仿宋_GB2312" w:eastAsia="仿宋_GB2312" w:cs="仿宋_GB2312"/>
        </w:rPr>
      </w:pPr>
      <w:bookmarkStart w:id="192" w:name="_Ref467306195"/>
      <w:bookmarkStart w:id="193" w:name="_Toc516367022"/>
      <w:bookmarkStart w:id="194" w:name="_Ref467306676"/>
      <w:bookmarkStart w:id="195" w:name="_Toc10364"/>
      <w:bookmarkStart w:id="196" w:name="_Toc9389"/>
      <w:bookmarkStart w:id="197" w:name="_Toc17979"/>
      <w:bookmarkStart w:id="198" w:name="_Toc6112"/>
      <w:bookmarkStart w:id="199" w:name="_Toc28307"/>
      <w:bookmarkStart w:id="200" w:name="_Toc18692"/>
      <w:bookmarkStart w:id="201" w:name="_Toc13854"/>
      <w:bookmarkStart w:id="202" w:name="_Toc515647768"/>
      <w:bookmarkStart w:id="203" w:name="_Toc520356152"/>
      <w:bookmarkStart w:id="204" w:name="_Toc18627"/>
      <w:bookmarkStart w:id="205" w:name="_Toc9237"/>
      <w:bookmarkStart w:id="206" w:name="_Toc31425"/>
      <w:bookmarkStart w:id="207" w:name="_Toc17949"/>
      <w:bookmarkStart w:id="208" w:name="_Toc22989"/>
      <w:bookmarkStart w:id="209" w:name="_Toc21249"/>
      <w:r>
        <w:rPr>
          <w:rFonts w:hint="eastAsia" w:ascii="仿宋_GB2312" w:hAnsi="仿宋_GB2312" w:eastAsia="仿宋_GB2312" w:cs="仿宋_GB2312"/>
        </w:rPr>
        <w:t>9.投标文件</w:t>
      </w:r>
      <w:bookmarkEnd w:id="192"/>
      <w:bookmarkEnd w:id="193"/>
      <w:bookmarkEnd w:id="194"/>
      <w:r>
        <w:rPr>
          <w:rFonts w:hint="eastAsia" w:ascii="仿宋_GB2312" w:hAnsi="仿宋_GB2312" w:eastAsia="仿宋_GB2312" w:cs="仿宋_GB2312"/>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9.1    投标单位应完整地按招标文件提供的响应文件格式及要求编写响应文件，投标单位须</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在投标截止时间前完成在系统上递交电子响应文件。投标单位的电子响应文件是经</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过 CA 证书加密后上传提交的，任何单位或个人均无法在投标截止时间(即投标时间)</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之前查看或篡改，不存在泄密风险。（严格按照政采云电子投标流程制作并上传电</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子响应文件）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9.2 上述文件应按照招标文件规定的格式填写、签署和盖章招标文件中的格式供参考，投标文件中的内容可自行调整但应包括格式内的所有内容。</w:t>
      </w:r>
    </w:p>
    <w:p>
      <w:pPr>
        <w:pStyle w:val="6"/>
        <w:tabs>
          <w:tab w:val="left" w:pos="900"/>
        </w:tabs>
        <w:spacing w:before="0" w:after="0" w:line="288" w:lineRule="auto"/>
        <w:rPr>
          <w:rFonts w:ascii="仿宋_GB2312" w:hAnsi="仿宋_GB2312" w:eastAsia="仿宋_GB2312" w:cs="仿宋_GB2312"/>
        </w:rPr>
      </w:pPr>
      <w:bookmarkStart w:id="210" w:name="_Toc2871"/>
      <w:bookmarkStart w:id="211" w:name="_Toc6889"/>
      <w:bookmarkStart w:id="212" w:name="_Toc7354"/>
      <w:bookmarkStart w:id="213" w:name="_Toc20882"/>
      <w:bookmarkStart w:id="214" w:name="_Toc10379"/>
      <w:bookmarkStart w:id="215" w:name="_Toc22816"/>
      <w:bookmarkStart w:id="216" w:name="_Toc516367023"/>
      <w:bookmarkStart w:id="217" w:name="_Toc515647769"/>
      <w:bookmarkStart w:id="218" w:name="_Toc30942"/>
      <w:bookmarkStart w:id="219" w:name="_Toc21436"/>
      <w:bookmarkStart w:id="220" w:name="_Toc22144"/>
      <w:bookmarkStart w:id="221" w:name="_Toc3494"/>
      <w:bookmarkStart w:id="222" w:name="_Toc13143"/>
      <w:bookmarkStart w:id="223" w:name="_Toc520356153"/>
      <w:bookmarkStart w:id="224" w:name="_Toc4601"/>
      <w:bookmarkStart w:id="225" w:name="_Toc5539"/>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投标人应提交证明文件，证明其投标内容符合招标文件规定。该证明文件是投标文件的一部分。</w:t>
      </w:r>
    </w:p>
    <w:p>
      <w:pPr>
        <w:spacing w:line="288" w:lineRule="auto"/>
        <w:ind w:left="900" w:hanging="900" w:hangingChars="375"/>
        <w:rPr>
          <w:rFonts w:ascii="仿宋_GB2312" w:hAnsi="仿宋_GB2312" w:eastAsia="仿宋_GB2312" w:cs="仿宋_GB2312"/>
          <w:sz w:val="24"/>
        </w:rPr>
      </w:pPr>
      <w:bookmarkStart w:id="226" w:name="_Ref467306244"/>
      <w:r>
        <w:rPr>
          <w:rFonts w:hint="eastAsia" w:ascii="仿宋_GB2312" w:hAnsi="仿宋_GB2312" w:eastAsia="仿宋_GB2312" w:cs="仿宋_GB2312"/>
          <w:sz w:val="24"/>
        </w:rPr>
        <w:t>10.2</w:t>
      </w:r>
      <w:r>
        <w:rPr>
          <w:rFonts w:hint="eastAsia" w:ascii="仿宋_GB2312" w:hAnsi="仿宋_GB2312" w:eastAsia="仿宋_GB2312" w:cs="仿宋_GB2312"/>
          <w:sz w:val="24"/>
        </w:rPr>
        <w:tab/>
      </w:r>
      <w:r>
        <w:rPr>
          <w:rFonts w:hint="eastAsia" w:ascii="仿宋_GB2312" w:hAnsi="仿宋_GB2312" w:eastAsia="仿宋_GB2312" w:cs="仿宋_GB2312"/>
          <w:sz w:val="24"/>
        </w:rPr>
        <w:t>上款所述的证明文件，可以是文字资料、图纸和数据，</w:t>
      </w:r>
      <w:bookmarkEnd w:id="226"/>
      <w:r>
        <w:rPr>
          <w:rFonts w:hint="eastAsia" w:ascii="仿宋_GB2312" w:hAnsi="仿宋_GB2312" w:eastAsia="仿宋_GB2312" w:cs="仿宋_GB2312"/>
          <w:sz w:val="24"/>
        </w:rPr>
        <w:t>它包括：</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10.2.1</w:t>
      </w:r>
      <w:r>
        <w:rPr>
          <w:rFonts w:hint="eastAsia" w:ascii="仿宋_GB2312" w:hAnsi="仿宋_GB2312" w:eastAsia="仿宋_GB2312" w:cs="仿宋_GB2312"/>
          <w:sz w:val="24"/>
        </w:rPr>
        <w:tab/>
      </w:r>
      <w:r>
        <w:rPr>
          <w:rFonts w:hint="eastAsia" w:ascii="仿宋_GB2312" w:hAnsi="仿宋_GB2312" w:eastAsia="仿宋_GB2312" w:cs="仿宋_GB2312"/>
          <w:sz w:val="24"/>
        </w:rPr>
        <w:t>货物主要技术指标和性能的详细说明；</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10.2.2</w:t>
      </w:r>
      <w:r>
        <w:rPr>
          <w:rFonts w:hint="eastAsia" w:ascii="仿宋_GB2312" w:hAnsi="仿宋_GB2312" w:eastAsia="仿宋_GB2312" w:cs="仿宋_GB2312"/>
          <w:sz w:val="24"/>
        </w:rPr>
        <w:tab/>
      </w:r>
      <w:r>
        <w:rPr>
          <w:rFonts w:hint="eastAsia" w:ascii="仿宋_GB2312" w:hAnsi="仿宋_GB2312" w:eastAsia="仿宋_GB2312" w:cs="仿宋_GB2312"/>
          <w:sz w:val="24"/>
        </w:rPr>
        <w:t>货物从买方开始使用至招标文件规定的保质期内正常、连续地使用所必须的备件和专用工具清单，包括备件和专用工具的货源及现行价格；</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10.2.3</w:t>
      </w:r>
      <w:r>
        <w:rPr>
          <w:rFonts w:hint="eastAsia" w:ascii="仿宋_GB2312" w:hAnsi="仿宋_GB2312" w:eastAsia="仿宋_GB2312" w:cs="仿宋_GB2312"/>
          <w:sz w:val="24"/>
        </w:rPr>
        <w:tab/>
      </w:r>
      <w:r>
        <w:rPr>
          <w:rFonts w:hint="eastAsia" w:ascii="仿宋_GB2312" w:hAnsi="仿宋_GB2312" w:eastAsia="仿宋_GB2312" w:cs="仿宋_GB2312"/>
          <w:sz w:val="24"/>
        </w:rPr>
        <w:t>对照招标文件技术规格，逐条说明所提供货物及伴随的工程和服务已对招标文件的技术规格做出了实质性的响应，或申明与技术规格条文的偏差和例外。</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10.3</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6"/>
        <w:spacing w:before="0" w:after="0" w:line="288" w:lineRule="auto"/>
        <w:rPr>
          <w:rFonts w:ascii="仿宋_GB2312" w:hAnsi="仿宋_GB2312" w:eastAsia="仿宋_GB2312" w:cs="仿宋_GB2312"/>
        </w:rPr>
      </w:pPr>
      <w:bookmarkStart w:id="227" w:name="_Toc28319"/>
      <w:bookmarkStart w:id="228" w:name="_Toc9907"/>
      <w:bookmarkStart w:id="229" w:name="_Toc14959"/>
      <w:bookmarkStart w:id="230" w:name="_Toc21624"/>
      <w:bookmarkStart w:id="231" w:name="_Toc2248"/>
      <w:bookmarkStart w:id="232" w:name="_Toc520356155"/>
      <w:bookmarkStart w:id="233" w:name="_Toc19624"/>
      <w:bookmarkStart w:id="234" w:name="_Toc1965"/>
      <w:bookmarkStart w:id="235" w:name="_Toc515647770"/>
      <w:bookmarkStart w:id="236" w:name="_Toc1082"/>
      <w:bookmarkStart w:id="237" w:name="_Toc30150"/>
      <w:bookmarkStart w:id="238" w:name="_Toc6623"/>
      <w:bookmarkStart w:id="239" w:name="_Toc2418"/>
      <w:bookmarkStart w:id="240" w:name="_Toc23231"/>
      <w:bookmarkStart w:id="241" w:name="_Toc13077"/>
      <w:r>
        <w:rPr>
          <w:rFonts w:hint="eastAsia" w:ascii="仿宋_GB2312" w:hAnsi="仿宋_GB2312" w:eastAsia="仿宋_GB2312" w:cs="仿宋_GB2312"/>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rPr>
        <w:tab/>
      </w:r>
      <w:r>
        <w:rPr>
          <w:rFonts w:hint="eastAsia" w:ascii="仿宋_GB2312" w:hAnsi="仿宋_GB2312" w:eastAsia="仿宋_GB2312" w:cs="仿宋_GB2312"/>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投标人应在投标分项报价表上标明投标货物及相关服务的单价（如适用）和总价，并由法定代表人或其授权代表签署。</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w:t>
      </w:r>
      <w:r>
        <w:rPr>
          <w:rFonts w:hint="eastAsia" w:ascii="仿宋_GB2312" w:hAnsi="仿宋_GB2312" w:eastAsia="仿宋_GB2312" w:cs="仿宋_GB2312"/>
          <w:sz w:val="24"/>
        </w:rPr>
        <w:tab/>
      </w:r>
      <w:r>
        <w:rPr>
          <w:rFonts w:hint="eastAsia" w:ascii="仿宋_GB2312" w:hAnsi="仿宋_GB2312" w:eastAsia="仿宋_GB2312" w:cs="仿宋_GB2312"/>
          <w:sz w:val="24"/>
        </w:rPr>
        <w:t>投标分项报价表上的价格应按下列方式填写：</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11.3.2  货物运至最终目的地的运输费和保险费用。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11.4</w:t>
      </w:r>
      <w:r>
        <w:rPr>
          <w:rFonts w:hint="eastAsia" w:ascii="仿宋_GB2312" w:hAnsi="仿宋_GB2312" w:eastAsia="仿宋_GB2312" w:cs="仿宋_GB2312"/>
          <w:sz w:val="24"/>
        </w:rPr>
        <w:tab/>
      </w:r>
      <w:r>
        <w:rPr>
          <w:rFonts w:hint="eastAsia" w:ascii="仿宋_GB2312" w:hAnsi="仿宋_GB2312" w:eastAsia="仿宋_GB2312" w:cs="仿宋_GB2312"/>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11.5</w:t>
      </w:r>
      <w:r>
        <w:rPr>
          <w:rFonts w:hint="eastAsia" w:ascii="仿宋_GB2312" w:hAnsi="仿宋_GB2312" w:eastAsia="仿宋_GB2312" w:cs="仿宋_GB2312"/>
          <w:sz w:val="24"/>
        </w:rPr>
        <w:tab/>
      </w:r>
      <w:r>
        <w:rPr>
          <w:rFonts w:hint="eastAsia" w:ascii="仿宋_GB2312" w:hAnsi="仿宋_GB2312" w:eastAsia="仿宋_GB2312" w:cs="仿宋_GB2312"/>
          <w:sz w:val="24"/>
        </w:rPr>
        <w:t>每种货物只能有一个投标报价。采购人不接受具有附加条件的报价。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11.6    投标文件中应写明投标产品的产地、数量/面积、养护服务期、供货期，未明确写明的其投标将被认定为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242" w:name="_Toc11514"/>
      <w:bookmarkStart w:id="243" w:name="_Ref467306513"/>
      <w:bookmarkStart w:id="244" w:name="_Toc8651"/>
      <w:bookmarkStart w:id="245" w:name="_Toc30117"/>
      <w:bookmarkStart w:id="246" w:name="_Toc13084"/>
      <w:bookmarkStart w:id="247" w:name="_Toc1823"/>
      <w:bookmarkStart w:id="248" w:name="_Toc29572"/>
      <w:bookmarkStart w:id="249" w:name="_Toc22212"/>
      <w:bookmarkStart w:id="250" w:name="_Toc27024"/>
      <w:bookmarkStart w:id="251" w:name="_Toc17296"/>
      <w:bookmarkStart w:id="252" w:name="_Toc17788"/>
      <w:bookmarkStart w:id="253" w:name="_Toc520356156"/>
      <w:bookmarkStart w:id="254" w:name="_Toc17068"/>
      <w:bookmarkStart w:id="255" w:name="_Toc515647771"/>
      <w:bookmarkStart w:id="256" w:name="_Toc17357"/>
      <w:bookmarkStart w:id="257" w:name="_Toc31739"/>
      <w:r>
        <w:rPr>
          <w:rFonts w:hint="eastAsia" w:ascii="仿宋_GB2312" w:hAnsi="仿宋_GB2312" w:eastAsia="仿宋_GB2312" w:cs="仿宋_GB2312"/>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288" w:lineRule="auto"/>
        <w:ind w:left="900" w:hanging="900" w:hangingChars="375"/>
        <w:rPr>
          <w:rFonts w:ascii="仿宋_GB2312" w:hAnsi="仿宋_GB2312" w:eastAsia="仿宋_GB2312" w:cs="仿宋_GB2312"/>
          <w:sz w:val="24"/>
        </w:rPr>
      </w:pPr>
      <w:bookmarkStart w:id="258" w:name="_Ref467306302"/>
      <w:r>
        <w:rPr>
          <w:rFonts w:hint="eastAsia" w:ascii="仿宋_GB2312" w:hAnsi="仿宋_GB2312" w:eastAsia="仿宋_GB2312" w:cs="仿宋_GB2312"/>
          <w:sz w:val="24"/>
        </w:rPr>
        <w:t>12.1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中规定的投标保证金</w:t>
      </w:r>
      <w:bookmarkEnd w:id="258"/>
      <w:r>
        <w:rPr>
          <w:rFonts w:hint="eastAsia" w:ascii="仿宋_GB2312" w:hAnsi="仿宋_GB2312" w:eastAsia="仿宋_GB2312" w:cs="仿宋_GB2312"/>
          <w:sz w:val="24"/>
        </w:rPr>
        <w:t>，并作为其投标的一部分。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12.2</w:t>
      </w:r>
      <w:r>
        <w:rPr>
          <w:rFonts w:hint="eastAsia" w:ascii="仿宋_GB2312" w:hAnsi="仿宋_GB2312" w:eastAsia="仿宋_GB2312" w:cs="仿宋_GB2312"/>
          <w:sz w:val="24"/>
        </w:rPr>
        <w:tab/>
      </w:r>
      <w:r>
        <w:rPr>
          <w:rFonts w:hint="eastAsia" w:ascii="仿宋_GB2312" w:hAnsi="仿宋_GB2312" w:eastAsia="仿宋_GB2312" w:cs="仿宋_GB2312"/>
          <w:sz w:val="24"/>
        </w:rPr>
        <w:t>投标人存在下列情形的，投标保证金不予退还：</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（1）在投标有效期内，撤销投标的；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（2）中标后不按本须知第30条的规定与采购人签订合同的；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（3）中标后不按本须知第31条的规定提交履约保证金的；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（4）中标后不按本须知第32条的规定缴纳中标服务费的；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（5）存在其他违法违规行为的。</w:t>
      </w:r>
    </w:p>
    <w:p>
      <w:pPr>
        <w:spacing w:line="288" w:lineRule="auto"/>
        <w:ind w:left="900" w:hanging="900" w:hangingChars="375"/>
        <w:rPr>
          <w:rFonts w:ascii="仿宋_GB2312" w:hAnsi="仿宋_GB2312" w:eastAsia="仿宋_GB2312" w:cs="仿宋_GB2312"/>
          <w:sz w:val="24"/>
        </w:rPr>
      </w:pPr>
      <w:bookmarkStart w:id="259" w:name="_Ref467306336"/>
      <w:r>
        <w:rPr>
          <w:rFonts w:hint="eastAsia" w:ascii="仿宋_GB2312" w:hAnsi="仿宋_GB2312" w:eastAsia="仿宋_GB2312" w:cs="仿宋_GB2312"/>
          <w:sz w:val="24"/>
        </w:rPr>
        <w:t>12.3</w:t>
      </w:r>
      <w:r>
        <w:rPr>
          <w:rFonts w:hint="eastAsia" w:ascii="仿宋_GB2312" w:hAnsi="仿宋_GB2312" w:eastAsia="仿宋_GB2312" w:cs="仿宋_GB2312"/>
          <w:sz w:val="24"/>
        </w:rPr>
        <w:tab/>
      </w:r>
      <w:bookmarkEnd w:id="259"/>
      <w:r>
        <w:rPr>
          <w:rFonts w:hint="eastAsia" w:ascii="仿宋_GB2312" w:hAnsi="仿宋_GB2312" w:eastAsia="仿宋_GB2312" w:cs="仿宋_GB2312"/>
          <w:sz w:val="24"/>
        </w:rPr>
        <w:t>政府采购信用担保试点范围内的项目，接受符合财政部门规定的政府采购投标担保函原件。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12.4</w:t>
      </w:r>
      <w:r>
        <w:rPr>
          <w:rFonts w:hint="eastAsia" w:ascii="仿宋_GB2312" w:hAnsi="仿宋_GB2312" w:eastAsia="仿宋_GB2312" w:cs="仿宋_GB2312"/>
          <w:sz w:val="24"/>
        </w:rPr>
        <w:tab/>
      </w:r>
      <w:r>
        <w:rPr>
          <w:rFonts w:hint="eastAsia" w:ascii="仿宋_GB2312" w:hAnsi="仿宋_GB2312" w:eastAsia="仿宋_GB2312" w:cs="仿宋_GB2312"/>
          <w:sz w:val="24"/>
        </w:rPr>
        <w:t>投标人未按本须知规定提交投标保证金的，其投标将被认定为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12.4.1  采用电汇形式的，一般可以实时入账。</w:t>
      </w:r>
    </w:p>
    <w:p>
      <w:pPr>
        <w:spacing w:line="288" w:lineRule="auto"/>
        <w:ind w:left="960"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12.5   联合体投标的，可以由联合体中的一方或者共同提交投标保证金。以一方名义提交投标保证金的，对联合体各方均具有约束力。</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w:t>
      </w:r>
      <w:r>
        <w:rPr>
          <w:rFonts w:hint="eastAsia" w:ascii="仿宋_GB2312" w:hAnsi="仿宋_GB2312" w:eastAsia="仿宋_GB2312" w:cs="仿宋_GB2312"/>
          <w:sz w:val="24"/>
        </w:rPr>
        <w:tab/>
      </w:r>
      <w:r>
        <w:rPr>
          <w:rFonts w:hint="eastAsia" w:ascii="仿宋_GB2312" w:hAnsi="仿宋_GB2312" w:eastAsia="仿宋_GB2312" w:cs="仿宋_GB2312"/>
          <w:sz w:val="24"/>
        </w:rPr>
        <w:t>投标保证金的退还</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12.6.1  中标人应在与采购人签订合同之日起5个工作日内，及时联系保证金收受机构办理投标保证金无息退还手续。</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12.6.2  未中标投标人的投标保证金将在中标通知书发出之日暨中标结果公告公布之日起5个工作日内无息退还。投标人应及时联系保证金收受机构办理退还投标保证金手续。</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12.6.3  政府采购投标担保函不予退回。</w:t>
      </w:r>
    </w:p>
    <w:p>
      <w:pPr>
        <w:spacing w:line="288" w:lineRule="auto"/>
        <w:ind w:left="960" w:right="-121"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12.7    因投标人自身原因导致无法及时退还的，采购人或采购代理机构将不承担相应责任。</w:t>
      </w:r>
    </w:p>
    <w:p>
      <w:pPr>
        <w:pStyle w:val="6"/>
        <w:spacing w:before="0" w:after="0" w:line="288" w:lineRule="auto"/>
        <w:rPr>
          <w:rFonts w:ascii="仿宋_GB2312" w:hAnsi="仿宋_GB2312" w:eastAsia="仿宋_GB2312" w:cs="仿宋_GB2312"/>
        </w:rPr>
      </w:pPr>
      <w:bookmarkStart w:id="260" w:name="_Toc2130"/>
      <w:bookmarkStart w:id="261" w:name="_Toc32569"/>
      <w:bookmarkStart w:id="262" w:name="_Toc15686"/>
      <w:bookmarkStart w:id="263" w:name="_Toc15117"/>
      <w:bookmarkStart w:id="264" w:name="_Toc520356157"/>
      <w:bookmarkStart w:id="265" w:name="_Toc9445"/>
      <w:bookmarkStart w:id="266" w:name="_Toc26844"/>
      <w:bookmarkStart w:id="267" w:name="_Toc14721"/>
      <w:bookmarkStart w:id="268" w:name="_Toc17879"/>
      <w:bookmarkStart w:id="269" w:name="_Toc22901"/>
      <w:bookmarkStart w:id="270" w:name="_Toc23590"/>
      <w:bookmarkStart w:id="271" w:name="_Toc515647772"/>
      <w:bookmarkStart w:id="272" w:name="_Toc19849"/>
      <w:bookmarkStart w:id="273" w:name="_Toc15069"/>
      <w:bookmarkStart w:id="274" w:name="_Toc30629"/>
      <w:r>
        <w:rPr>
          <w:rFonts w:hint="eastAsia" w:ascii="仿宋_GB2312" w:hAnsi="仿宋_GB2312" w:eastAsia="仿宋_GB2312" w:cs="仿宋_GB2312"/>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投标应在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中规定时间内保持有效。投标有效期不满足要求的投标，其投标将被认定为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w:t>
      </w:r>
      <w:r>
        <w:rPr>
          <w:rFonts w:hint="eastAsia" w:ascii="仿宋_GB2312" w:hAnsi="仿宋_GB2312" w:eastAsia="仿宋_GB2312" w:cs="仿宋_GB2312"/>
          <w:sz w:val="24"/>
        </w:rPr>
        <w:tab/>
      </w:r>
      <w:r>
        <w:rPr>
          <w:rFonts w:hint="eastAsia" w:ascii="仿宋_GB2312" w:hAnsi="仿宋_GB2312" w:eastAsia="仿宋_GB2312" w:cs="仿宋_GB2312"/>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14.响应文件的签署及规定</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14.1 供应商应按供应商须知资料表中的规定，准备和递交（加密上传）电子响应文件。</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14.2 所有响应文件应按照招标文件规定的格式填写、签署和盖章。</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14.3 响应文件因字迹潦草、表达不清所引起的后果由供应商负责。</w:t>
      </w:r>
    </w:p>
    <w:p>
      <w:pPr>
        <w:pStyle w:val="5"/>
        <w:spacing w:before="0" w:line="288" w:lineRule="auto"/>
        <w:ind w:left="1079" w:leftChars="257" w:hanging="540"/>
        <w:rPr>
          <w:rFonts w:ascii="仿宋_GB2312" w:hAnsi="仿宋_GB2312" w:eastAsia="仿宋_GB2312" w:cs="仿宋_GB2312"/>
          <w:sz w:val="24"/>
        </w:rPr>
      </w:pPr>
      <w:bookmarkStart w:id="275" w:name="_Toc16865"/>
      <w:bookmarkStart w:id="276" w:name="_Toc25925"/>
      <w:bookmarkStart w:id="277" w:name="_Toc5332"/>
      <w:bookmarkStart w:id="278" w:name="_Toc520356159"/>
      <w:bookmarkStart w:id="279" w:name="_Toc22560"/>
      <w:bookmarkStart w:id="280" w:name="_Toc22843"/>
      <w:bookmarkStart w:id="281" w:name="_Toc9509"/>
      <w:bookmarkStart w:id="282" w:name="_Toc25200"/>
      <w:bookmarkStart w:id="283" w:name="_Toc11179"/>
      <w:bookmarkStart w:id="284" w:name="_Toc31447"/>
      <w:bookmarkStart w:id="285" w:name="_Toc10905"/>
      <w:bookmarkStart w:id="286" w:name="_Toc216582808"/>
      <w:bookmarkStart w:id="287" w:name="_Toc11483"/>
      <w:bookmarkStart w:id="288" w:name="_Toc27533"/>
      <w:bookmarkStart w:id="289" w:name="_Toc515647774"/>
      <w:bookmarkStart w:id="290" w:name="_Toc25700"/>
      <w:r>
        <w:rPr>
          <w:rFonts w:hint="eastAsia" w:ascii="仿宋_GB2312" w:hAnsi="仿宋_GB2312" w:eastAsia="仿宋_GB2312" w:cs="仿宋_GB2312"/>
          <w:sz w:val="24"/>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6"/>
        <w:tabs>
          <w:tab w:val="left" w:pos="900"/>
        </w:tabs>
        <w:spacing w:before="0" w:after="0" w:line="288" w:lineRule="auto"/>
        <w:rPr>
          <w:rFonts w:ascii="仿宋_GB2312" w:hAnsi="仿宋_GB2312" w:eastAsia="仿宋_GB2312" w:cs="仿宋_GB2312"/>
        </w:rPr>
      </w:pPr>
      <w:bookmarkStart w:id="291" w:name="_Toc21645"/>
      <w:bookmarkStart w:id="292" w:name="_Toc6343"/>
      <w:bookmarkStart w:id="293" w:name="_Toc632"/>
      <w:bookmarkStart w:id="294" w:name="_Toc520356160"/>
      <w:bookmarkStart w:id="295" w:name="_Toc32131"/>
      <w:bookmarkStart w:id="296" w:name="_Toc515647775"/>
      <w:bookmarkStart w:id="297" w:name="_Toc26195"/>
      <w:bookmarkStart w:id="298" w:name="_Toc2091"/>
      <w:bookmarkStart w:id="299" w:name="_Toc32337"/>
      <w:bookmarkStart w:id="300" w:name="_Toc26374"/>
      <w:r>
        <w:rPr>
          <w:rFonts w:hint="eastAsia" w:ascii="仿宋_GB2312" w:hAnsi="仿宋_GB2312" w:eastAsia="仿宋_GB2312" w:cs="仿宋_GB2312"/>
        </w:rPr>
        <w:t>15.投标文件的密封和标记</w:t>
      </w:r>
      <w:bookmarkEnd w:id="291"/>
      <w:bookmarkEnd w:id="292"/>
      <w:bookmarkEnd w:id="293"/>
      <w:bookmarkEnd w:id="294"/>
      <w:bookmarkEnd w:id="295"/>
      <w:bookmarkEnd w:id="296"/>
      <w:bookmarkEnd w:id="297"/>
      <w:bookmarkEnd w:id="298"/>
      <w:bookmarkEnd w:id="299"/>
      <w:bookmarkEnd w:id="300"/>
    </w:p>
    <w:p>
      <w:pPr>
        <w:tabs>
          <w:tab w:val="left" w:pos="-200"/>
          <w:tab w:val="left" w:pos="5580"/>
        </w:tabs>
        <w:spacing w:line="240" w:lineRule="atLeast"/>
        <w:ind w:left="960" w:hanging="960" w:hangingChars="400"/>
        <w:jc w:val="left"/>
        <w:rPr>
          <w:rFonts w:ascii="仿宋_GB2312" w:hAnsi="仿宋_GB2312" w:eastAsia="仿宋_GB2312" w:cs="仿宋_GB2312"/>
          <w:b/>
          <w:bCs/>
          <w:sz w:val="24"/>
        </w:rPr>
      </w:pPr>
      <w:r>
        <w:rPr>
          <w:rFonts w:hint="eastAsia" w:ascii="宋体" w:hAnsi="宋体" w:cs="宋体"/>
          <w:sz w:val="24"/>
        </w:rPr>
        <w:t xml:space="preserve">15.1    </w:t>
      </w:r>
      <w:r>
        <w:rPr>
          <w:rFonts w:hint="eastAsia" w:ascii="仿宋_GB2312" w:hAnsi="仿宋_GB2312" w:eastAsia="仿宋_GB2312" w:cs="仿宋_GB2312"/>
          <w:b/>
          <w:bCs/>
          <w:sz w:val="24"/>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pPr>
        <w:spacing w:line="288" w:lineRule="auto"/>
        <w:ind w:left="900" w:hanging="900" w:hangingChars="375"/>
        <w:rPr>
          <w:rFonts w:ascii="仿宋_GB2312" w:hAnsi="仿宋_GB2312" w:eastAsia="仿宋_GB2312" w:cs="仿宋_GB2312"/>
          <w:sz w:val="24"/>
        </w:rPr>
      </w:pPr>
      <w:bookmarkStart w:id="301" w:name="_Toc28106"/>
      <w:r>
        <w:rPr>
          <w:rFonts w:hint="eastAsia" w:ascii="宋体" w:hAnsi="宋体" w:cs="宋体"/>
          <w:sz w:val="24"/>
        </w:rPr>
        <w:t xml:space="preserve">15.2   </w:t>
      </w:r>
      <w:bookmarkEnd w:id="301"/>
      <w:r>
        <w:rPr>
          <w:rFonts w:hint="eastAsia" w:ascii="仿宋_GB2312" w:hAnsi="仿宋_GB2312" w:eastAsia="仿宋_GB2312" w:cs="仿宋_GB2312"/>
          <w:sz w:val="24"/>
        </w:rPr>
        <w:t>供应商因自身原因导致电子投标文件无法导入电子评标系统的，该响应文件视为</w:t>
      </w:r>
      <w:r>
        <w:rPr>
          <w:rFonts w:hint="eastAsia" w:ascii="仿宋_GB2312" w:hAnsi="仿宋_GB2312" w:eastAsia="仿宋_GB2312" w:cs="仿宋_GB2312"/>
          <w:b/>
          <w:bCs/>
          <w:sz w:val="24"/>
        </w:rPr>
        <w:t>无效文件。</w:t>
      </w:r>
    </w:p>
    <w:p>
      <w:pPr>
        <w:spacing w:line="288" w:lineRule="auto"/>
        <w:ind w:left="900" w:hanging="900" w:hangingChars="375"/>
        <w:rPr>
          <w:rFonts w:ascii="宋体" w:hAnsi="宋体" w:cs="宋体"/>
          <w:sz w:val="24"/>
        </w:rPr>
      </w:pPr>
      <w:r>
        <w:rPr>
          <w:rFonts w:hint="eastAsia" w:ascii="仿宋_GB2312" w:hAnsi="仿宋_GB2312" w:eastAsia="仿宋_GB2312" w:cs="仿宋_GB2312"/>
          <w:sz w:val="24"/>
        </w:rPr>
        <w:t>15.3    电子投标文件具有法律效力,与其他形式的响应文件在内容和格式上等同，若投标文件与招标文件要求不一致，其内容影响成交结果时，责任由供应商自行承担。</w:t>
      </w:r>
    </w:p>
    <w:p>
      <w:pPr>
        <w:pStyle w:val="6"/>
        <w:tabs>
          <w:tab w:val="left" w:pos="900"/>
        </w:tabs>
        <w:spacing w:before="0" w:after="0" w:line="288" w:lineRule="auto"/>
        <w:rPr>
          <w:rFonts w:ascii="仿宋_GB2312" w:hAnsi="仿宋_GB2312" w:eastAsia="仿宋_GB2312" w:cs="仿宋_GB2312"/>
        </w:rPr>
      </w:pPr>
      <w:bookmarkStart w:id="302" w:name="_Toc12751"/>
      <w:bookmarkStart w:id="303" w:name="_Toc17361"/>
      <w:bookmarkStart w:id="304" w:name="_Toc515647776"/>
      <w:bookmarkStart w:id="305" w:name="_Toc26691"/>
      <w:bookmarkStart w:id="306" w:name="_Toc520356161"/>
      <w:bookmarkStart w:id="307" w:name="_Toc9840"/>
      <w:bookmarkStart w:id="308" w:name="_Toc28170"/>
      <w:bookmarkStart w:id="309" w:name="_Toc24017"/>
      <w:bookmarkStart w:id="310" w:name="_Toc27547"/>
      <w:bookmarkStart w:id="311" w:name="_Toc1456"/>
      <w:r>
        <w:rPr>
          <w:rFonts w:hint="eastAsia" w:ascii="仿宋_GB2312" w:hAnsi="仿宋_GB2312" w:eastAsia="仿宋_GB2312" w:cs="仿宋_GB2312"/>
        </w:rPr>
        <w:t>16.投标截止</w:t>
      </w:r>
      <w:bookmarkEnd w:id="302"/>
      <w:bookmarkEnd w:id="303"/>
      <w:bookmarkEnd w:id="304"/>
      <w:bookmarkEnd w:id="305"/>
      <w:bookmarkEnd w:id="306"/>
      <w:bookmarkEnd w:id="307"/>
      <w:bookmarkEnd w:id="308"/>
      <w:bookmarkEnd w:id="309"/>
      <w:bookmarkEnd w:id="310"/>
      <w:bookmarkEnd w:id="311"/>
    </w:p>
    <w:p>
      <w:pPr>
        <w:spacing w:line="240" w:lineRule="atLeast"/>
        <w:ind w:left="900" w:hanging="900" w:hangingChars="375"/>
        <w:rPr>
          <w:rFonts w:ascii="宋体" w:hAnsi="宋体" w:cs="宋体"/>
          <w:b/>
          <w:bCs/>
          <w:sz w:val="24"/>
        </w:rPr>
      </w:pPr>
      <w:r>
        <w:rPr>
          <w:rFonts w:hint="eastAsia" w:ascii="宋体" w:hAnsi="宋体" w:cs="宋体"/>
          <w:sz w:val="24"/>
        </w:rPr>
        <w:t>16.1</w:t>
      </w:r>
      <w:r>
        <w:rPr>
          <w:rFonts w:hint="eastAsia" w:ascii="宋体" w:hAnsi="宋体" w:cs="宋体"/>
          <w:sz w:val="24"/>
        </w:rPr>
        <w:tab/>
      </w:r>
      <w:r>
        <w:rPr>
          <w:rFonts w:hint="eastAsia" w:ascii="仿宋_GB2312" w:hAnsi="仿宋_GB2312" w:eastAsia="仿宋_GB2312" w:cs="仿宋_GB2312"/>
          <w:sz w:val="24"/>
        </w:rPr>
        <w:t>投标人应在</w:t>
      </w:r>
      <w:r>
        <w:rPr>
          <w:rFonts w:hint="eastAsia" w:ascii="宋体" w:hAnsi="宋体" w:cs="宋体"/>
          <w:b/>
          <w:bCs/>
          <w:sz w:val="24"/>
          <w:u w:val="single"/>
        </w:rPr>
        <w:t>投标人须知资料表</w:t>
      </w:r>
      <w:r>
        <w:rPr>
          <w:rFonts w:hint="eastAsia" w:ascii="仿宋_GB2312" w:hAnsi="仿宋_GB2312" w:eastAsia="仿宋_GB2312" w:cs="仿宋_GB2312"/>
          <w:sz w:val="24"/>
        </w:rPr>
        <w:t>中规定的截止时间前，将投标文件递交到招标公告中规定的地点。</w:t>
      </w:r>
      <w:r>
        <w:rPr>
          <w:rFonts w:hint="eastAsia" w:ascii="宋体" w:hAnsi="宋体" w:cs="宋体"/>
          <w:b/>
          <w:bCs/>
          <w:sz w:val="24"/>
        </w:rPr>
        <w:t>解密时间30分钟，逾期未解密的视为投标无效。</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16.2</w:t>
      </w:r>
      <w:r>
        <w:rPr>
          <w:rFonts w:hint="eastAsia" w:ascii="宋体" w:hAnsi="宋体" w:cs="宋体"/>
          <w:sz w:val="24"/>
        </w:rPr>
        <w:tab/>
      </w:r>
      <w:r>
        <w:rPr>
          <w:rFonts w:hint="eastAsia" w:ascii="仿宋_GB2312" w:hAnsi="仿宋_GB2312" w:eastAsia="仿宋_GB2312" w:cs="仿宋_GB2312"/>
          <w:sz w:val="24"/>
        </w:rPr>
        <w:t>采购人和采购代理机构有权按本须知的规定，延迟投标截止时间。在此情况下，采购人、采购代理机构和投标人受投标截止时间制约的所有权利和义务均应延长至新的截止时间。</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16.3</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采购人和采购代理机构将拒绝接收在投标截止时间后上传的投标文件</w:t>
      </w:r>
    </w:p>
    <w:p>
      <w:pPr>
        <w:pStyle w:val="6"/>
        <w:spacing w:before="0" w:after="0" w:line="240" w:lineRule="atLeast"/>
        <w:rPr>
          <w:rFonts w:ascii="仿宋_GB2312" w:hAnsi="仿宋_GB2312" w:eastAsia="仿宋_GB2312" w:cs="仿宋_GB2312"/>
        </w:rPr>
      </w:pPr>
      <w:bookmarkStart w:id="312" w:name="_Toc24899"/>
      <w:bookmarkStart w:id="313" w:name="_Toc18537"/>
      <w:bookmarkStart w:id="314" w:name="_Toc515647777"/>
      <w:bookmarkStart w:id="315" w:name="_Toc21703"/>
      <w:bookmarkStart w:id="316" w:name="_Toc24275"/>
      <w:bookmarkStart w:id="317" w:name="_Toc24785"/>
      <w:bookmarkStart w:id="318" w:name="_Toc520356162"/>
      <w:bookmarkStart w:id="319" w:name="_Toc11458"/>
      <w:bookmarkStart w:id="320" w:name="_Toc31670"/>
      <w:bookmarkStart w:id="321" w:name="_Toc9987"/>
      <w:r>
        <w:rPr>
          <w:rFonts w:hint="eastAsia" w:ascii="仿宋_GB2312" w:hAnsi="仿宋_GB2312" w:eastAsia="仿宋_GB2312" w:cs="仿宋_GB2312"/>
        </w:rPr>
        <w:t>17.投标文件的接收、修改与撤回</w:t>
      </w:r>
      <w:bookmarkEnd w:id="312"/>
      <w:bookmarkEnd w:id="313"/>
      <w:bookmarkEnd w:id="314"/>
      <w:bookmarkEnd w:id="315"/>
      <w:bookmarkEnd w:id="316"/>
      <w:bookmarkEnd w:id="317"/>
      <w:bookmarkEnd w:id="318"/>
      <w:bookmarkEnd w:id="319"/>
      <w:bookmarkEnd w:id="320"/>
      <w:bookmarkEnd w:id="321"/>
    </w:p>
    <w:p>
      <w:pPr>
        <w:spacing w:line="240" w:lineRule="atLeast"/>
        <w:ind w:left="900" w:hanging="900" w:hangingChars="375"/>
        <w:rPr>
          <w:rFonts w:ascii="宋体" w:hAnsi="宋体" w:cs="宋体"/>
          <w:b/>
        </w:rPr>
      </w:pPr>
      <w:r>
        <w:rPr>
          <w:rFonts w:hint="eastAsia" w:ascii="宋体" w:hAnsi="宋体" w:cs="宋体"/>
          <w:sz w:val="24"/>
        </w:rPr>
        <w:t>17.1</w:t>
      </w:r>
      <w:r>
        <w:rPr>
          <w:rFonts w:hint="eastAsia" w:ascii="宋体" w:hAnsi="宋体" w:cs="宋体"/>
          <w:sz w:val="24"/>
        </w:rPr>
        <w:tab/>
      </w:r>
      <w:r>
        <w:rPr>
          <w:rFonts w:hint="eastAsia" w:ascii="仿宋_GB2312" w:hAnsi="仿宋_GB2312" w:eastAsia="仿宋_GB2312" w:cs="仿宋_GB2312"/>
          <w:sz w:val="24"/>
        </w:rPr>
        <w:t>在投标截止时间后上传投标文件的，采购人和采购代理机构将</w:t>
      </w:r>
      <w:r>
        <w:rPr>
          <w:rFonts w:hint="eastAsia" w:ascii="宋体" w:hAnsi="宋体" w:cs="宋体"/>
          <w:b/>
          <w:bCs/>
          <w:sz w:val="24"/>
        </w:rPr>
        <w:t>拒绝接收</w:t>
      </w:r>
      <w:r>
        <w:rPr>
          <w:rFonts w:hint="eastAsia" w:ascii="宋体" w:hAnsi="宋体" w:cs="宋体"/>
          <w:sz w:val="24"/>
        </w:rPr>
        <w:t>。</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17.2</w:t>
      </w:r>
      <w:r>
        <w:rPr>
          <w:rFonts w:hint="eastAsia" w:ascii="宋体" w:hAnsi="宋体" w:cs="宋体"/>
          <w:sz w:val="24"/>
        </w:rPr>
        <w:tab/>
      </w:r>
      <w:r>
        <w:rPr>
          <w:rFonts w:hint="eastAsia" w:ascii="仿宋_GB2312" w:hAnsi="仿宋_GB2312" w:eastAsia="仿宋_GB2312" w:cs="仿宋_GB2312"/>
          <w:sz w:val="24"/>
        </w:rPr>
        <w:t>采购人或者采购代理机构收到投标文件后，应当如实记载投标文件的送达时间和密封情况。</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17.3</w:t>
      </w:r>
      <w:r>
        <w:rPr>
          <w:rFonts w:hint="eastAsia" w:ascii="仿宋_GB2312" w:hAnsi="仿宋_GB2312" w:eastAsia="仿宋_GB2312" w:cs="仿宋_GB2312"/>
          <w:sz w:val="24"/>
        </w:rPr>
        <w:tab/>
      </w:r>
      <w:r>
        <w:rPr>
          <w:rFonts w:hint="eastAsia" w:ascii="仿宋_GB2312" w:hAnsi="仿宋_GB2312" w:eastAsia="仿宋_GB2312" w:cs="仿宋_GB2312"/>
          <w:sz w:val="24"/>
        </w:rPr>
        <w:t>递交投标文件以后，如果投标人要进行修改或撤回投标，须提出书面申请并在投标截止时间前上传至</w:t>
      </w:r>
      <w:r>
        <w:rPr>
          <w:rFonts w:hint="eastAsia" w:ascii="宋体" w:hAnsi="宋体" w:cs="宋体"/>
          <w:b/>
          <w:bCs/>
          <w:sz w:val="24"/>
        </w:rPr>
        <w:t>新疆政采云平台https://www.zcygov.cn</w:t>
      </w:r>
      <w:r>
        <w:rPr>
          <w:rFonts w:hint="eastAsia" w:ascii="宋体" w:hAnsi="宋体" w:cs="宋体"/>
          <w:sz w:val="24"/>
        </w:rPr>
        <w:t>，</w:t>
      </w:r>
      <w:r>
        <w:rPr>
          <w:rFonts w:hint="eastAsia" w:ascii="仿宋_GB2312" w:hAnsi="仿宋_GB2312" w:eastAsia="仿宋_GB2312" w:cs="仿宋_GB2312"/>
          <w:sz w:val="24"/>
        </w:rPr>
        <w:t>投标人对投标文件的修改或撤回通知应按本须知规定编制、密封、标记。采购人和采购代理机构将予以接收，并视为投标文件的组成部分。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17.4</w:t>
      </w:r>
      <w:r>
        <w:rPr>
          <w:rFonts w:hint="eastAsia" w:ascii="仿宋_GB2312" w:hAnsi="仿宋_GB2312" w:eastAsia="仿宋_GB2312" w:cs="仿宋_GB2312"/>
          <w:sz w:val="24"/>
        </w:rPr>
        <w:tab/>
      </w:r>
      <w:r>
        <w:rPr>
          <w:rFonts w:hint="eastAsia" w:ascii="仿宋_GB2312" w:hAnsi="仿宋_GB2312" w:eastAsia="仿宋_GB2312" w:cs="仿宋_GB2312"/>
          <w:sz w:val="24"/>
        </w:rPr>
        <w:t>在投标截止期之后，采购人和采购代理机构不接受投标人主动对其投标文件做任何修改。</w:t>
      </w:r>
    </w:p>
    <w:p>
      <w:pPr>
        <w:spacing w:line="288" w:lineRule="auto"/>
        <w:ind w:left="900" w:hanging="900" w:hangingChars="375"/>
        <w:rPr>
          <w:rFonts w:ascii="仿宋_GB2312" w:hAnsi="仿宋_GB2312" w:eastAsia="仿宋_GB2312" w:cs="仿宋_GB2312"/>
          <w:sz w:val="24"/>
        </w:rPr>
      </w:pPr>
      <w:bookmarkStart w:id="322" w:name="_Toc13495"/>
      <w:bookmarkStart w:id="323" w:name="_Toc26872"/>
      <w:bookmarkStart w:id="324" w:name="_Toc19583"/>
      <w:r>
        <w:rPr>
          <w:rFonts w:hint="eastAsia" w:ascii="仿宋_GB2312" w:hAnsi="仿宋_GB2312" w:eastAsia="仿宋_GB2312" w:cs="仿宋_GB2312"/>
          <w:sz w:val="24"/>
        </w:rPr>
        <w:t>17.5</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采购人和采购代理机构对所接收投标文件概不退回。</w:t>
      </w:r>
      <w:bookmarkEnd w:id="322"/>
      <w:bookmarkEnd w:id="323"/>
      <w:bookmarkEnd w:id="324"/>
    </w:p>
    <w:p>
      <w:pPr>
        <w:pStyle w:val="5"/>
        <w:spacing w:before="0" w:line="288" w:lineRule="auto"/>
        <w:ind w:left="1079" w:leftChars="257" w:hanging="540"/>
        <w:rPr>
          <w:rFonts w:ascii="仿宋_GB2312" w:hAnsi="仿宋_GB2312" w:eastAsia="仿宋_GB2312" w:cs="仿宋_GB2312"/>
        </w:rPr>
      </w:pPr>
      <w:bookmarkStart w:id="325" w:name="_Toc22638"/>
      <w:bookmarkStart w:id="326" w:name="_Toc28581"/>
      <w:bookmarkStart w:id="327" w:name="_Toc216582809"/>
      <w:bookmarkStart w:id="328" w:name="_Toc4683"/>
      <w:bookmarkStart w:id="329" w:name="_Toc20246"/>
      <w:bookmarkStart w:id="330" w:name="_Toc515647778"/>
      <w:bookmarkStart w:id="331" w:name="_Toc26891"/>
      <w:bookmarkStart w:id="332" w:name="_Toc6326"/>
      <w:bookmarkStart w:id="333" w:name="_Toc12436"/>
      <w:bookmarkStart w:id="334" w:name="_Toc24411"/>
      <w:bookmarkStart w:id="335" w:name="_Toc28398"/>
      <w:bookmarkStart w:id="336" w:name="_Toc5077"/>
      <w:bookmarkStart w:id="337" w:name="_Toc27778"/>
      <w:bookmarkStart w:id="338" w:name="_Toc520356163"/>
      <w:bookmarkStart w:id="339" w:name="_Toc26876"/>
      <w:bookmarkStart w:id="340" w:name="_Toc25610"/>
      <w:bookmarkStart w:id="341" w:name="_Toc31290"/>
      <w:bookmarkStart w:id="342" w:name="_Toc19296"/>
      <w:bookmarkStart w:id="343" w:name="_Toc515647780"/>
      <w:bookmarkStart w:id="344" w:name="_Toc21372"/>
      <w:r>
        <w:rPr>
          <w:rFonts w:hint="eastAsia" w:ascii="仿宋_GB2312" w:hAnsi="仿宋_GB2312" w:eastAsia="仿宋_GB2312" w:cs="仿宋_GB2312"/>
          <w:sz w:val="24"/>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6"/>
        <w:numPr>
          <w:ilvl w:val="0"/>
          <w:numId w:val="4"/>
        </w:numPr>
        <w:spacing w:line="288" w:lineRule="auto"/>
        <w:rPr>
          <w:rFonts w:ascii="仿宋_GB2312" w:hAnsi="仿宋_GB2312" w:eastAsia="仿宋_GB2312" w:cs="仿宋_GB2312"/>
        </w:rPr>
      </w:pPr>
      <w:bookmarkStart w:id="345" w:name="_Toc520356164"/>
      <w:bookmarkStart w:id="346" w:name="_Toc433"/>
      <w:bookmarkStart w:id="347" w:name="_Toc7186"/>
      <w:bookmarkStart w:id="348" w:name="_Toc19198"/>
      <w:bookmarkStart w:id="349" w:name="_Toc17235"/>
      <w:bookmarkStart w:id="350" w:name="_Toc21932"/>
      <w:bookmarkStart w:id="351" w:name="_Toc25345"/>
      <w:bookmarkStart w:id="352" w:name="_Toc6310"/>
      <w:bookmarkStart w:id="353" w:name="_Toc28774"/>
      <w:bookmarkStart w:id="354" w:name="_Toc515647779"/>
      <w:bookmarkStart w:id="355" w:name="_Toc18521"/>
      <w:bookmarkStart w:id="356" w:name="_Toc11395"/>
      <w:bookmarkStart w:id="357" w:name="_Toc15239"/>
      <w:bookmarkStart w:id="358" w:name="_Toc32258"/>
      <w:bookmarkStart w:id="359" w:name="_Toc17257"/>
      <w:r>
        <w:rPr>
          <w:rFonts w:hint="eastAsia" w:ascii="仿宋_GB2312" w:hAnsi="仿宋_GB2312" w:eastAsia="仿宋_GB2312" w:cs="仿宋_GB2312"/>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numPr>
          <w:ilvl w:val="1"/>
          <w:numId w:val="4"/>
        </w:num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采购人和采购代理机构将按</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中规定的开标时间和地点组织公开开标并邀请所有投标人代表参加。</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投标人不足3家的，不得开标。</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 xml:space="preserve">18.2   </w:t>
      </w:r>
      <w:r>
        <w:rPr>
          <w:rFonts w:hint="eastAsia" w:ascii="宋体" w:hAnsi="宋体" w:cs="宋体"/>
          <w:b/>
          <w:bCs/>
          <w:sz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sz w:val="24"/>
        </w:rPr>
        <w:t>。</w:t>
      </w:r>
    </w:p>
    <w:p>
      <w:pPr>
        <w:jc w:val="left"/>
        <w:rPr>
          <w:rFonts w:ascii="仿宋_GB2312" w:hAnsi="仿宋_GB2312" w:eastAsia="仿宋_GB2312" w:cs="仿宋_GB2312"/>
          <w:sz w:val="24"/>
        </w:rPr>
      </w:pPr>
      <w:r>
        <w:rPr>
          <w:rFonts w:hint="eastAsia" w:ascii="仿宋_GB2312" w:hAnsi="仿宋_GB2312" w:eastAsia="仿宋_GB2312" w:cs="仿宋_GB2312"/>
          <w:sz w:val="24"/>
        </w:rPr>
        <w:t>18.3   采购人或采购代理机构将对开标过程进行记录，由参加开标的各投标人代表和相关工作人员签字确认，并存档备查。</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18.4    投标人代表对开标过程和开标记录有疑义，以及认为采购人、采购代理机构相关工作人员有需要回避的情形的，应当场提出询问或者回避申请。</w:t>
      </w:r>
    </w:p>
    <w:p>
      <w:pPr>
        <w:pStyle w:val="6"/>
        <w:spacing w:before="0" w:after="0" w:line="288" w:lineRule="auto"/>
        <w:rPr>
          <w:rFonts w:ascii="仿宋_GB2312" w:hAnsi="仿宋_GB2312" w:eastAsia="仿宋_GB2312" w:cs="仿宋_GB2312"/>
        </w:rPr>
      </w:pPr>
      <w:bookmarkStart w:id="360" w:name="_Toc16060"/>
      <w:bookmarkStart w:id="361" w:name="_Toc1719"/>
      <w:bookmarkStart w:id="362" w:name="_Toc13177"/>
      <w:bookmarkStart w:id="363" w:name="_Toc30404"/>
      <w:bookmarkStart w:id="364" w:name="_Toc3739"/>
      <w:bookmarkStart w:id="365" w:name="_Toc10635"/>
      <w:bookmarkStart w:id="366" w:name="_Toc11574"/>
      <w:bookmarkStart w:id="367" w:name="_Toc1947"/>
      <w:bookmarkStart w:id="368" w:name="_Toc12992"/>
      <w:bookmarkStart w:id="369" w:name="_Toc10173"/>
      <w:r>
        <w:rPr>
          <w:rFonts w:hint="eastAsia" w:ascii="仿宋_GB2312" w:hAnsi="仿宋_GB2312" w:eastAsia="仿宋_GB2312" w:cs="仿宋_GB2312"/>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19.1    采购人或采购代理机构依据法律法规和招标文件中规定的内容，对投标人及其货物的资格进行审查，未通过资格审查的投标人不进入评标；通过资格审查的投标人少于不足三家的，不得评标。</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19.2</w:t>
      </w:r>
      <w:bookmarkStart w:id="370" w:name="_Toc520356166"/>
      <w:r>
        <w:rPr>
          <w:rFonts w:hint="eastAsia" w:ascii="仿宋_GB2312" w:hAnsi="仿宋_GB2312" w:eastAsia="仿宋_GB2312" w:cs="仿宋_GB2312"/>
          <w:sz w:val="24"/>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ascii="宋体" w:hAnsi="宋体" w:cs="宋体"/>
          <w:sz w:val="24"/>
        </w:rPr>
        <w:t xml:space="preserve">19.2.1 </w:t>
      </w:r>
      <w:r>
        <w:rPr>
          <w:rFonts w:hint="eastAsia" w:ascii="仿宋_GB2312" w:hAnsi="仿宋_GB2312" w:eastAsia="仿宋_GB2312" w:cs="仿宋_GB2312"/>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以联合体形式参加投标的，联合体任何成员存在以上不良信用记录的，联合体投标将被认定为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hAnsi="宋体" w:cs="宋体"/>
        </w:rPr>
        <w:t xml:space="preserve">19.2.2 </w:t>
      </w:r>
      <w:r>
        <w:rPr>
          <w:rFonts w:hint="eastAsia" w:ascii="仿宋_GB2312" w:hAnsi="仿宋_GB2312" w:eastAsia="仿宋_GB2312" w:cs="仿宋_GB2312"/>
          <w:sz w:val="24"/>
        </w:rPr>
        <w:t>查询及记录方式：采购人或采购代理机构经办人将查询网页打印、签字并存档备查。投标人不良信用记录以采购人或采购代理机构查询结果为准。</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在本招标文件规定的查询时间之后，网站信息发生的任何变更均不再作为评标依据。</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投标人自行提供的与网站信息不一致的其他证明材料亦不作为资格审查依据。</w:t>
      </w:r>
    </w:p>
    <w:p>
      <w:pPr>
        <w:pStyle w:val="20"/>
        <w:ind w:left="960" w:hanging="960" w:hangingChars="400"/>
      </w:pPr>
      <w:r>
        <w:rPr>
          <w:rFonts w:hint="eastAsia" w:ascii="宋体" w:hAnsi="宋体" w:cs="宋体"/>
          <w:sz w:val="24"/>
        </w:rPr>
        <w:t xml:space="preserve">19.3   </w:t>
      </w:r>
      <w:r>
        <w:rPr>
          <w:rFonts w:hint="eastAsia" w:ascii="仿宋_GB2312" w:hAnsi="仿宋_GB2312" w:eastAsia="仿宋_GB2312" w:cs="仿宋_GB2312"/>
          <w:sz w:val="24"/>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sz w:val="24"/>
          <w:u w:val="single"/>
        </w:rPr>
        <w:t>本项目评标委员会由5人单数组成，其中：业主代表1人，评委4人（政采云专家库随机抽取）。</w:t>
      </w:r>
    </w:p>
    <w:p>
      <w:pPr>
        <w:pStyle w:val="20"/>
      </w:pPr>
    </w:p>
    <w:p>
      <w:pPr>
        <w:pStyle w:val="6"/>
        <w:spacing w:before="0" w:after="0" w:line="288" w:lineRule="auto"/>
        <w:rPr>
          <w:rFonts w:ascii="仿宋_GB2312" w:hAnsi="仿宋_GB2312" w:eastAsia="仿宋_GB2312" w:cs="仿宋_GB2312"/>
          <w:b w:val="0"/>
          <w:bCs/>
          <w:bdr w:val="single" w:color="auto" w:sz="4" w:space="0"/>
        </w:rPr>
      </w:pPr>
      <w:bookmarkStart w:id="371" w:name="_Toc19949"/>
      <w:bookmarkStart w:id="372" w:name="_Toc28479"/>
      <w:bookmarkStart w:id="373" w:name="_Toc20899"/>
      <w:bookmarkStart w:id="374" w:name="_Toc9769"/>
      <w:bookmarkStart w:id="375" w:name="_Toc23586"/>
      <w:bookmarkStart w:id="376" w:name="_Toc2541"/>
      <w:bookmarkStart w:id="377" w:name="_Toc25418"/>
      <w:bookmarkStart w:id="378" w:name="_Toc515647781"/>
      <w:bookmarkStart w:id="379" w:name="_Toc12297"/>
      <w:bookmarkStart w:id="380" w:name="_Toc26332"/>
      <w:bookmarkStart w:id="381" w:name="_Toc13960"/>
      <w:bookmarkStart w:id="382" w:name="_Toc29906"/>
      <w:bookmarkStart w:id="383" w:name="_Toc30633"/>
      <w:bookmarkStart w:id="384" w:name="_Toc21183"/>
      <w:r>
        <w:rPr>
          <w:rFonts w:hint="eastAsia" w:ascii="仿宋_GB2312" w:hAnsi="仿宋_GB2312" w:eastAsia="仿宋_GB2312" w:cs="仿宋_GB2312"/>
        </w:rPr>
        <w:t>20.投标文件</w:t>
      </w:r>
      <w:bookmarkEnd w:id="370"/>
      <w:r>
        <w:rPr>
          <w:rFonts w:hint="eastAsia" w:ascii="仿宋_GB2312" w:hAnsi="仿宋_GB2312" w:eastAsia="仿宋_GB2312" w:cs="仿宋_GB2312"/>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投标文件的澄清</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20.2.2  投标人的的澄清、说明或补正将作为投标文件的一部分。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20.3  投标文件报价出现前后不一致的，按照下列规定修正：</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（一）投标文件中开标一览表（报价表）内容与投标文件中相应内容不一致的，以开标一览表（报价表）为准；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（二）大写金额和小写金额不一致的，以大写金额为准；</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（三）单价金额小数点或者百分比有明显错位的，以开标一览表的总价为准，并修改单价；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（四）总价金额与按单价汇总金额不一致的，以单价金额计算结果为准。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对不同文字文本投标文件的解释发生异议的，以中文文本为准。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20.4   如一个分包内只有一种产品，不同投标人所投产品为同一品牌的，按如下方式处理：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 xml:space="preserve">20.5   </w:t>
      </w:r>
      <w:r>
        <w:rPr>
          <w:rFonts w:hint="eastAsia" w:ascii="仿宋_GB2312" w:hAnsi="仿宋_GB2312" w:eastAsia="仿宋_GB2312" w:cs="仿宋_GB2312"/>
          <w:b/>
          <w:bCs/>
          <w:sz w:val="24"/>
        </w:rPr>
        <w:t>如一个分包内包含多种产品的，采购人或采购代理机构将在</w:t>
      </w:r>
      <w:r>
        <w:rPr>
          <w:rFonts w:hint="eastAsia" w:ascii="仿宋_GB2312" w:hAnsi="仿宋_GB2312" w:eastAsia="仿宋_GB2312" w:cs="仿宋_GB2312"/>
          <w:b/>
          <w:bCs/>
          <w:sz w:val="24"/>
          <w:u w:val="single" w:color="000000"/>
        </w:rPr>
        <w:t>投标人须知资料表</w:t>
      </w:r>
      <w:r>
        <w:rPr>
          <w:rFonts w:hint="eastAsia" w:ascii="仿宋_GB2312" w:hAnsi="仿宋_GB2312" w:eastAsia="仿宋_GB2312" w:cs="仿宋_GB2312"/>
          <w:b/>
          <w:bCs/>
          <w:sz w:val="24"/>
        </w:rPr>
        <w:t>中载明核心产品，多家投标人提供的核心产品品牌相同的，按第20.4条规定处理。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20.6   投标人所投产品如被列入财政部与国家主管部门颁发的节能产品目录或环境标志产品目录，应提供相关证明，在评标时予以优先采购，具体优先采购办法见第六章评标方法和标准。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387" w:name="_Toc15064"/>
      <w:bookmarkStart w:id="388" w:name="_Toc18529"/>
      <w:bookmarkStart w:id="389" w:name="_Toc3024"/>
      <w:bookmarkStart w:id="390" w:name="_Toc6003"/>
      <w:bookmarkStart w:id="391" w:name="_Toc25623"/>
      <w:bookmarkStart w:id="392" w:name="_Toc24227"/>
      <w:bookmarkStart w:id="393" w:name="_Toc5986"/>
      <w:bookmarkStart w:id="394" w:name="_Toc12839"/>
      <w:bookmarkStart w:id="395" w:name="_Toc5230"/>
      <w:bookmarkStart w:id="396" w:name="_Toc6364"/>
      <w:bookmarkStart w:id="397" w:name="_Toc8063"/>
      <w:bookmarkStart w:id="398" w:name="_Toc515647782"/>
      <w:bookmarkStart w:id="399" w:name="_Toc9469"/>
      <w:bookmarkStart w:id="400" w:name="_Toc15628"/>
      <w:r>
        <w:rPr>
          <w:rFonts w:hint="eastAsia" w:ascii="仿宋_GB2312" w:hAnsi="仿宋_GB2312" w:eastAsia="仿宋_GB2312" w:cs="仿宋_GB2312"/>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288" w:lineRule="auto"/>
        <w:ind w:left="847" w:leftChars="99" w:hanging="640" w:hangingChars="267"/>
        <w:rPr>
          <w:rFonts w:ascii="仿宋_GB2312" w:hAnsi="仿宋_GB2312" w:eastAsia="仿宋_GB2312" w:cs="仿宋_GB2312"/>
          <w:sz w:val="24"/>
        </w:rPr>
      </w:pPr>
      <w:r>
        <w:rPr>
          <w:rFonts w:hint="eastAsia" w:ascii="仿宋_GB2312" w:hAnsi="仿宋_GB2312" w:eastAsia="仿宋_GB2312" w:cs="仿宋_GB2312"/>
          <w:sz w:val="24"/>
        </w:rPr>
        <w:t xml:space="preserve">     评标委员会可以接受投标文件中不构成实质性偏离的不正规或不一致。</w:t>
      </w:r>
    </w:p>
    <w:p>
      <w:pPr>
        <w:pStyle w:val="6"/>
        <w:spacing w:before="0" w:after="0" w:line="288" w:lineRule="auto"/>
        <w:rPr>
          <w:rFonts w:ascii="仿宋_GB2312" w:hAnsi="仿宋_GB2312" w:eastAsia="仿宋_GB2312" w:cs="仿宋_GB2312"/>
        </w:rPr>
      </w:pPr>
      <w:bookmarkStart w:id="401" w:name="_Toc515647783"/>
      <w:bookmarkStart w:id="402" w:name="_Toc7006"/>
      <w:bookmarkStart w:id="403" w:name="_Toc4950"/>
      <w:bookmarkStart w:id="404" w:name="_Toc18719"/>
      <w:bookmarkStart w:id="405" w:name="_Toc15752"/>
      <w:bookmarkStart w:id="406" w:name="_Toc506"/>
      <w:bookmarkStart w:id="407" w:name="_Toc23936"/>
      <w:bookmarkStart w:id="408" w:name="_Toc17567"/>
      <w:bookmarkStart w:id="409" w:name="_Toc7012"/>
      <w:bookmarkStart w:id="410" w:name="_Toc21694"/>
      <w:bookmarkStart w:id="411" w:name="_Toc32270"/>
      <w:bookmarkStart w:id="412" w:name="_Toc21189"/>
      <w:bookmarkStart w:id="413" w:name="_Toc21597"/>
      <w:bookmarkStart w:id="414" w:name="_Toc6092"/>
      <w:r>
        <w:rPr>
          <w:rFonts w:hint="eastAsia" w:ascii="仿宋_GB2312" w:hAnsi="仿宋_GB2312" w:eastAsia="仿宋_GB2312" w:cs="仿宋_GB2312"/>
        </w:rPr>
        <w:t>22.投标</w:t>
      </w:r>
      <w:bookmarkEnd w:id="401"/>
      <w:r>
        <w:rPr>
          <w:rFonts w:hint="eastAsia" w:ascii="仿宋_GB2312" w:hAnsi="仿宋_GB2312" w:eastAsia="仿宋_GB2312" w:cs="仿宋_GB2312"/>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288" w:lineRule="auto"/>
        <w:ind w:left="852" w:leftChars="-23" w:hanging="900" w:hangingChars="375"/>
        <w:rPr>
          <w:rFonts w:ascii="仿宋_GB2312" w:hAnsi="仿宋_GB2312" w:eastAsia="仿宋_GB2312" w:cs="仿宋_GB2312"/>
          <w:sz w:val="24"/>
        </w:rPr>
      </w:pPr>
      <w:r>
        <w:rPr>
          <w:rFonts w:hint="eastAsia" w:ascii="仿宋_GB2312" w:hAnsi="仿宋_GB2312" w:eastAsia="仿宋_GB2312" w:cs="仿宋_GB2312"/>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。投标人不得通过修正或撤销不符合要求的偏离，从而使其投标成为实质上响应的投标。</w:t>
      </w:r>
    </w:p>
    <w:p>
      <w:pPr>
        <w:spacing w:line="288" w:lineRule="auto"/>
        <w:ind w:left="791" w:leftChars="377"/>
        <w:rPr>
          <w:rFonts w:ascii="仿宋_GB2312" w:hAnsi="仿宋_GB2312" w:eastAsia="仿宋_GB2312" w:cs="仿宋_GB2312"/>
          <w:sz w:val="24"/>
        </w:rPr>
      </w:pPr>
      <w:r>
        <w:rPr>
          <w:rFonts w:hint="eastAsia" w:ascii="仿宋_GB2312" w:hAnsi="仿宋_GB2312" w:eastAsia="仿宋_GB2312" w:cs="仿宋_GB2312"/>
          <w:sz w:val="24"/>
        </w:rPr>
        <w:t>评标委员会决定投标的响应性只根据招标文件要求、投标文件内容及财政主管部门指定相关信息发布媒体。</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22.2</w:t>
      </w:r>
      <w:r>
        <w:rPr>
          <w:rFonts w:hint="eastAsia" w:ascii="仿宋_GB2312" w:hAnsi="仿宋_GB2312" w:eastAsia="仿宋_GB2312" w:cs="仿宋_GB2312"/>
          <w:sz w:val="24"/>
        </w:rPr>
        <w:tab/>
      </w:r>
      <w:r>
        <w:rPr>
          <w:rFonts w:hint="eastAsia" w:ascii="仿宋_GB2312" w:hAnsi="仿宋_GB2312" w:eastAsia="仿宋_GB2312" w:cs="仿宋_GB2312"/>
          <w:b/>
          <w:bCs/>
          <w:sz w:val="24"/>
        </w:rPr>
        <w:t>如发现下列情况之一的，其投标将被认定为投标无效：（以下情形应当在招标文件中规定，并以醒目的方式标明）</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未按招标文件规定的形式和金额提交投标保证金的；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未按照招标文件规定要求签署、盖章的；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未满足招标文件中技术条款的实质性要求；</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与其他投标人串通投标，或者与招标人串通投标；</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属于招标文件规定的其他</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情形；</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评标委员会认为投标人的报价明显低于其他通过符合性检查投标人的报价，有可能影响履约的，且投标人未按照规定证明其报价合理性的；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投标文件含有采购人不能接受的附加条件的；</w:t>
      </w:r>
    </w:p>
    <w:p>
      <w:pPr>
        <w:numPr>
          <w:ilvl w:val="0"/>
          <w:numId w:val="5"/>
        </w:numPr>
        <w:tabs>
          <w:tab w:val="left" w:pos="0"/>
        </w:tabs>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不符合法规和招标文件中规定的其他实质性要求的。</w:t>
      </w:r>
    </w:p>
    <w:p>
      <w:pPr>
        <w:tabs>
          <w:tab w:val="left" w:pos="0"/>
        </w:tabs>
        <w:spacing w:line="288" w:lineRule="auto"/>
        <w:rPr>
          <w:rFonts w:ascii="仿宋_GB2312" w:hAnsi="仿宋_GB2312" w:eastAsia="仿宋_GB2312" w:cs="仿宋_GB2312"/>
          <w:b/>
          <w:bCs/>
          <w:sz w:val="24"/>
        </w:rPr>
      </w:pPr>
      <w:bookmarkStart w:id="415" w:name="_Toc8521"/>
      <w:bookmarkStart w:id="416" w:name="_Toc515647784"/>
      <w:bookmarkStart w:id="417" w:name="_Toc22941"/>
      <w:bookmarkStart w:id="418" w:name="_Toc13652"/>
      <w:r>
        <w:rPr>
          <w:rFonts w:hint="eastAsia" w:ascii="仿宋_GB2312" w:hAnsi="仿宋_GB2312" w:eastAsia="仿宋_GB2312" w:cs="仿宋_GB2312"/>
          <w:b/>
          <w:bCs/>
          <w:sz w:val="24"/>
        </w:rPr>
        <w:t>23.</w:t>
      </w:r>
      <w:bookmarkEnd w:id="386"/>
      <w:r>
        <w:rPr>
          <w:rFonts w:hint="eastAsia" w:ascii="仿宋_GB2312" w:hAnsi="仿宋_GB2312" w:eastAsia="仿宋_GB2312" w:cs="仿宋_GB2312"/>
          <w:b/>
          <w:bCs/>
          <w:sz w:val="24"/>
        </w:rPr>
        <w:t>比较与评价</w:t>
      </w:r>
      <w:bookmarkEnd w:id="415"/>
      <w:bookmarkEnd w:id="416"/>
      <w:bookmarkEnd w:id="417"/>
      <w:bookmarkEnd w:id="41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23.1</w:t>
      </w:r>
      <w:r>
        <w:rPr>
          <w:rFonts w:hint="eastAsia" w:ascii="仿宋_GB2312" w:hAnsi="仿宋_GB2312" w:eastAsia="仿宋_GB2312" w:cs="仿宋_GB2312"/>
          <w:sz w:val="24"/>
        </w:rPr>
        <w:tab/>
      </w:r>
      <w:r>
        <w:rPr>
          <w:rFonts w:hint="eastAsia" w:ascii="仿宋_GB2312" w:hAnsi="仿宋_GB2312" w:eastAsia="仿宋_GB2312" w:cs="仿宋_GB2312"/>
          <w:sz w:val="24"/>
        </w:rPr>
        <w:t>经符合性审查合格的投标文件，评标委员会将根据招标文件确定的评标方法和标准，对其投标文件作进一步的比较和评价。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23.2  </w:t>
      </w:r>
      <w:r>
        <w:rPr>
          <w:rFonts w:hint="eastAsia" w:ascii="仿宋_GB2312" w:hAnsi="仿宋_GB2312" w:eastAsia="仿宋_GB2312" w:cs="仿宋_GB2312"/>
          <w:sz w:val="24"/>
        </w:rPr>
        <w:tab/>
      </w:r>
      <w:r>
        <w:rPr>
          <w:rFonts w:hint="eastAsia" w:ascii="仿宋_GB2312" w:hAnsi="仿宋_GB2312" w:eastAsia="仿宋_GB2312" w:cs="仿宋_GB2312"/>
          <w:sz w:val="24"/>
        </w:rPr>
        <w:t>评标严格按照招标文件的要求和条件进行。根据实际情况，在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中规定采用下列一种评标方法，详细评标标准见招标文件第六章：</w:t>
      </w:r>
    </w:p>
    <w:p>
      <w:pPr>
        <w:pStyle w:val="13"/>
        <w:spacing w:line="288" w:lineRule="auto"/>
        <w:ind w:left="899" w:leftChars="342" w:hanging="181"/>
        <w:rPr>
          <w:rFonts w:ascii="仿宋_GB2312" w:hAnsi="仿宋_GB2312" w:eastAsia="仿宋_GB2312" w:cs="仿宋_GB2312"/>
          <w:sz w:val="24"/>
          <w:szCs w:val="24"/>
        </w:rPr>
      </w:pPr>
      <w:r>
        <w:rPr>
          <w:rFonts w:hint="eastAsia" w:ascii="仿宋_GB2312" w:hAnsi="仿宋_GB2312" w:eastAsia="仿宋_GB2312" w:cs="仿宋_GB2312"/>
          <w:sz w:val="24"/>
          <w:szCs w:val="24"/>
        </w:rPr>
        <w:t>（1） 最低评标价法，是指投标文件满足招标文件全部实质性要求，且投标报价最低的投标人为中标候选人的评标方法。</w:t>
      </w:r>
    </w:p>
    <w:p>
      <w:pPr>
        <w:pStyle w:val="13"/>
        <w:spacing w:line="288" w:lineRule="auto"/>
        <w:ind w:left="898" w:leftChars="342" w:hanging="180"/>
        <w:rPr>
          <w:rFonts w:ascii="仿宋_GB2312" w:hAnsi="仿宋_GB2312" w:eastAsia="仿宋_GB2312" w:cs="仿宋_GB2312"/>
          <w:sz w:val="24"/>
          <w:szCs w:val="24"/>
        </w:rPr>
      </w:pPr>
      <w:r>
        <w:rPr>
          <w:rFonts w:hint="eastAsia" w:ascii="仿宋_GB2312" w:hAnsi="仿宋_GB2312" w:eastAsia="仿宋_GB2312" w:cs="仿宋_GB2312"/>
          <w:sz w:val="24"/>
          <w:szCs w:val="24"/>
        </w:rPr>
        <w:t>（2） 综合评分法，是指投标文件满足招标文件全部实质性要求，且按照评审因素的量化指标评审得分最高的投标人为中标候选人的评标方法。</w:t>
      </w:r>
    </w:p>
    <w:p>
      <w:pPr>
        <w:pStyle w:val="13"/>
        <w:spacing w:line="288" w:lineRule="auto"/>
        <w:rPr>
          <w:rFonts w:ascii="仿宋_GB2312" w:hAnsi="仿宋_GB2312" w:eastAsia="仿宋_GB2312" w:cs="仿宋_GB2312"/>
          <w:sz w:val="24"/>
          <w:szCs w:val="24"/>
          <w:u w:val="single"/>
        </w:rPr>
      </w:pPr>
      <w:r>
        <w:rPr>
          <w:rFonts w:hint="eastAsia" w:hAnsi="宋体" w:cs="宋体"/>
          <w:sz w:val="24"/>
          <w:szCs w:val="24"/>
        </w:rPr>
        <w:t xml:space="preserve">23.3   </w:t>
      </w:r>
      <w:r>
        <w:rPr>
          <w:rFonts w:hint="eastAsia" w:ascii="仿宋_GB2312" w:hAnsi="仿宋_GB2312" w:eastAsia="仿宋_GB2312" w:cs="仿宋_GB2312"/>
          <w:sz w:val="24"/>
          <w:szCs w:val="24"/>
          <w:u w:val="single"/>
        </w:rPr>
        <w:t>根据《政府采购促进中小企业发展管理办法》(财库「2020]46号)、《关</w:t>
      </w:r>
    </w:p>
    <w:p>
      <w:pPr>
        <w:pStyle w:val="13"/>
        <w:spacing w:line="288" w:lineRule="auto"/>
        <w:ind w:left="718" w:leftChars="342"/>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6"/>
        <w:spacing w:before="0" w:after="0" w:line="288" w:lineRule="auto"/>
        <w:rPr>
          <w:rFonts w:ascii="仿宋_GB2312" w:hAnsi="仿宋_GB2312" w:eastAsia="仿宋_GB2312" w:cs="仿宋_GB2312"/>
        </w:rPr>
      </w:pPr>
      <w:bookmarkStart w:id="419" w:name="_Toc520356168"/>
      <w:bookmarkStart w:id="420" w:name="_Toc29670"/>
      <w:bookmarkStart w:id="421" w:name="_Toc9378"/>
      <w:bookmarkStart w:id="422" w:name="_Toc14242"/>
      <w:bookmarkStart w:id="423" w:name="_Toc27260"/>
      <w:bookmarkStart w:id="424" w:name="_Toc515647785"/>
      <w:bookmarkStart w:id="425" w:name="_Toc18723"/>
      <w:bookmarkStart w:id="426" w:name="_Toc23673"/>
      <w:bookmarkStart w:id="427" w:name="_Toc8424"/>
      <w:bookmarkStart w:id="428" w:name="_Toc31728"/>
      <w:bookmarkStart w:id="429" w:name="_Toc15293"/>
      <w:bookmarkStart w:id="430" w:name="_Toc15050"/>
      <w:bookmarkStart w:id="431" w:name="_Toc11401"/>
      <w:bookmarkStart w:id="432" w:name="_Toc17546"/>
      <w:bookmarkStart w:id="433" w:name="_Toc20227"/>
      <w:r>
        <w:rPr>
          <w:rFonts w:hint="eastAsia" w:ascii="仿宋_GB2312" w:hAnsi="仿宋_GB2312" w:eastAsia="仿宋_GB2312" w:cs="仿宋_GB2312"/>
        </w:rPr>
        <w:t>24</w:t>
      </w:r>
      <w:bookmarkEnd w:id="419"/>
      <w:r>
        <w:rPr>
          <w:rFonts w:hint="eastAsia" w:ascii="仿宋_GB2312" w:hAnsi="仿宋_GB2312" w:eastAsia="仿宋_GB2312" w:cs="仿宋_GB2312"/>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 xml:space="preserve">出现下列情形之一，将导致项目废标： </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（1）符合专业条件的供应商或者对招标文件做实质性响应的供应商不足三家；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（2）出现影响采购公正的违法、违规行为的；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（3）投标人的报价均超过了采购预算，采购人不能支付的；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 xml:space="preserve">（4）因重大变故，采购任务取消的。   </w:t>
      </w:r>
    </w:p>
    <w:p>
      <w:pPr>
        <w:pStyle w:val="6"/>
        <w:spacing w:before="0" w:after="0" w:line="288" w:lineRule="auto"/>
        <w:rPr>
          <w:rFonts w:ascii="仿宋_GB2312" w:hAnsi="仿宋_GB2312" w:eastAsia="仿宋_GB2312" w:cs="仿宋_GB2312"/>
        </w:rPr>
      </w:pPr>
      <w:bookmarkStart w:id="434" w:name="_Toc515647786"/>
      <w:bookmarkStart w:id="435" w:name="_Toc20311"/>
      <w:bookmarkStart w:id="436" w:name="_Toc11175"/>
      <w:bookmarkStart w:id="437" w:name="_Toc19908"/>
      <w:bookmarkStart w:id="438" w:name="_Toc10707"/>
      <w:bookmarkStart w:id="439" w:name="_Toc1382"/>
      <w:bookmarkStart w:id="440" w:name="_Toc31289"/>
      <w:bookmarkStart w:id="441" w:name="_Toc12228"/>
      <w:bookmarkStart w:id="442" w:name="_Toc30826"/>
      <w:bookmarkStart w:id="443" w:name="_Toc16912"/>
      <w:bookmarkStart w:id="444" w:name="_Toc30606"/>
      <w:bookmarkStart w:id="445" w:name="_Toc11699"/>
      <w:bookmarkStart w:id="446" w:name="_Toc27384"/>
      <w:bookmarkStart w:id="447" w:name="_Toc24972"/>
      <w:bookmarkStart w:id="448" w:name="_Toc520356169"/>
      <w:r>
        <w:rPr>
          <w:rFonts w:hint="eastAsia" w:ascii="仿宋_GB2312" w:hAnsi="仿宋_GB2312" w:eastAsia="仿宋_GB2312" w:cs="仿宋_GB2312"/>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25.1</w:t>
      </w:r>
      <w:r>
        <w:rPr>
          <w:rFonts w:hint="eastAsia" w:ascii="仿宋_GB2312" w:hAnsi="仿宋_GB2312" w:eastAsia="仿宋_GB2312" w:cs="仿宋_GB2312"/>
          <w:sz w:val="24"/>
        </w:rPr>
        <w:tab/>
      </w:r>
      <w:r>
        <w:rPr>
          <w:rFonts w:hint="eastAsia" w:ascii="仿宋_GB2312" w:hAnsi="仿宋_GB2312" w:eastAsia="仿宋_GB2312" w:cs="仿宋_GB2312"/>
          <w:sz w:val="24"/>
        </w:rPr>
        <w:t>评标将在严格保密的情况下进行。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25.2</w:t>
      </w:r>
      <w:r>
        <w:rPr>
          <w:rFonts w:hint="eastAsia" w:ascii="仿宋_GB2312" w:hAnsi="仿宋_GB2312" w:eastAsia="仿宋_GB2312" w:cs="仿宋_GB2312"/>
          <w:sz w:val="24"/>
        </w:rPr>
        <w:tab/>
      </w:r>
      <w:r>
        <w:rPr>
          <w:rFonts w:hint="eastAsia" w:ascii="仿宋_GB2312" w:hAnsi="仿宋_GB2312" w:eastAsia="仿宋_GB2312" w:cs="仿宋_GB2312"/>
          <w:sz w:val="24"/>
        </w:rPr>
        <w:t>政府采购评审专家应当遵守评审工作纪律，不得泄露评审文件、评审情况和评审中获悉的商业秘密。</w:t>
      </w:r>
      <w:bookmarkStart w:id="449" w:name="_Toc2153"/>
      <w:bookmarkStart w:id="450" w:name="_Toc515647787"/>
      <w:bookmarkStart w:id="451" w:name="_Toc23904"/>
      <w:bookmarkStart w:id="452" w:name="_Toc12143"/>
      <w:bookmarkStart w:id="453" w:name="_Toc216582810"/>
    </w:p>
    <w:p>
      <w:pPr>
        <w:pStyle w:val="5"/>
        <w:spacing w:before="0" w:line="288" w:lineRule="auto"/>
        <w:ind w:left="1257" w:leftChars="599" w:firstLine="2500" w:firstLineChars="1042"/>
        <w:jc w:val="both"/>
        <w:rPr>
          <w:rFonts w:ascii="仿宋_GB2312" w:hAnsi="仿宋_GB2312" w:eastAsia="仿宋_GB2312" w:cs="仿宋_GB2312"/>
          <w:sz w:val="24"/>
        </w:rPr>
      </w:pPr>
      <w:bookmarkStart w:id="454" w:name="_Toc31457"/>
      <w:bookmarkStart w:id="455" w:name="_Toc31174"/>
      <w:bookmarkStart w:id="456" w:name="_Toc11673"/>
      <w:bookmarkStart w:id="457" w:name="_Toc29576"/>
      <w:bookmarkStart w:id="458" w:name="_Toc4031"/>
      <w:bookmarkStart w:id="459" w:name="_Toc13388"/>
      <w:bookmarkStart w:id="460" w:name="_Toc17670"/>
      <w:bookmarkStart w:id="461" w:name="_Toc6207"/>
      <w:bookmarkStart w:id="462" w:name="_Toc22275"/>
      <w:bookmarkStart w:id="463" w:name="_Toc2098"/>
      <w:r>
        <w:rPr>
          <w:rFonts w:hint="eastAsia" w:ascii="仿宋_GB2312" w:hAnsi="仿宋_GB2312" w:eastAsia="仿宋_GB2312" w:cs="仿宋_GB2312"/>
          <w:sz w:val="24"/>
        </w:rPr>
        <w:t xml:space="preserve">六   </w:t>
      </w:r>
      <w:bookmarkEnd w:id="448"/>
      <w:r>
        <w:rPr>
          <w:rFonts w:hint="eastAsia" w:ascii="仿宋_GB2312" w:hAnsi="仿宋_GB2312" w:eastAsia="仿宋_GB2312" w:cs="仿宋_GB2312"/>
          <w:sz w:val="24"/>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7"/>
        <w:spacing w:line="288" w:lineRule="auto"/>
        <w:rPr>
          <w:rFonts w:ascii="仿宋_GB2312" w:hAnsi="仿宋_GB2312" w:eastAsia="仿宋_GB2312" w:cs="仿宋_GB2312"/>
        </w:rPr>
      </w:pPr>
    </w:p>
    <w:p>
      <w:pPr>
        <w:pStyle w:val="6"/>
        <w:spacing w:before="0" w:after="0" w:line="288" w:lineRule="auto"/>
        <w:rPr>
          <w:rFonts w:ascii="仿宋_GB2312" w:hAnsi="仿宋_GB2312" w:eastAsia="仿宋_GB2312" w:cs="仿宋_GB2312"/>
        </w:rPr>
      </w:pPr>
      <w:bookmarkStart w:id="464" w:name="_Toc23538"/>
      <w:bookmarkStart w:id="465" w:name="_Toc520356170"/>
      <w:bookmarkStart w:id="466" w:name="_Toc32399"/>
      <w:bookmarkStart w:id="467" w:name="_Toc28066"/>
      <w:bookmarkStart w:id="468" w:name="_Toc30908"/>
      <w:bookmarkStart w:id="469" w:name="_Toc2639"/>
      <w:bookmarkStart w:id="470" w:name="_Toc23617"/>
      <w:bookmarkStart w:id="471" w:name="_Toc29826"/>
      <w:bookmarkStart w:id="472" w:name="_Toc286"/>
      <w:bookmarkStart w:id="473" w:name="_Toc25225"/>
      <w:bookmarkStart w:id="474" w:name="_Toc30556"/>
      <w:bookmarkStart w:id="475" w:name="_Toc11587"/>
      <w:bookmarkStart w:id="476" w:name="_Ref467307010"/>
      <w:bookmarkStart w:id="477" w:name="_Toc23762"/>
      <w:bookmarkStart w:id="478" w:name="_Toc13522"/>
      <w:bookmarkStart w:id="479" w:name="_Toc515647788"/>
      <w:r>
        <w:rPr>
          <w:rFonts w:hint="eastAsia" w:ascii="仿宋_GB2312" w:hAnsi="仿宋_GB2312" w:eastAsia="仿宋_GB2312" w:cs="仿宋_GB2312"/>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除第28条规定外，对实质上响应招标文件的投标人按下列方法进行排序，确定投标候选人：</w:t>
      </w:r>
    </w:p>
    <w:p>
      <w:pPr>
        <w:spacing w:line="288" w:lineRule="auto"/>
        <w:ind w:left="901"/>
        <w:rPr>
          <w:rFonts w:ascii="仿宋_GB2312" w:hAnsi="仿宋_GB2312" w:eastAsia="仿宋_GB2312" w:cs="仿宋_GB2312"/>
          <w:sz w:val="24"/>
        </w:rPr>
      </w:pPr>
      <w:bookmarkStart w:id="480" w:name="_Toc520356171"/>
      <w:bookmarkStart w:id="481" w:name="_Toc515647789"/>
      <w:r>
        <w:rPr>
          <w:rFonts w:hint="eastAsia" w:ascii="仿宋_GB2312" w:hAnsi="仿宋_GB2312" w:eastAsia="仿宋_GB2312" w:cs="仿宋_GB2312"/>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（2）采用综合评分法的，评标结果按评审后得分由高到低顺序排列。得分相同的，按修正和扣除后的投标报价由低到高顺序排列。得分与投标报价均相同的处理方式详见招标文件第6章。</w:t>
      </w:r>
    </w:p>
    <w:p>
      <w:pPr>
        <w:pStyle w:val="6"/>
        <w:tabs>
          <w:tab w:val="left" w:pos="900"/>
        </w:tabs>
        <w:spacing w:before="0" w:after="0" w:line="288" w:lineRule="auto"/>
        <w:rPr>
          <w:rFonts w:ascii="仿宋_GB2312" w:hAnsi="仿宋_GB2312" w:eastAsia="仿宋_GB2312" w:cs="仿宋_GB2312"/>
        </w:rPr>
      </w:pPr>
      <w:bookmarkStart w:id="482" w:name="_Toc17755"/>
      <w:bookmarkStart w:id="483" w:name="_Toc2677"/>
      <w:bookmarkStart w:id="484" w:name="_Toc8300"/>
      <w:bookmarkStart w:id="485" w:name="_Toc22105"/>
      <w:bookmarkStart w:id="486" w:name="_Toc1493"/>
      <w:bookmarkStart w:id="487" w:name="_Toc14469"/>
      <w:bookmarkStart w:id="488" w:name="_Toc9653"/>
      <w:bookmarkStart w:id="489" w:name="_Toc28266"/>
      <w:bookmarkStart w:id="490" w:name="_Toc10359"/>
      <w:bookmarkStart w:id="491" w:name="_Toc19685"/>
      <w:bookmarkStart w:id="492" w:name="_Toc15415"/>
      <w:bookmarkStart w:id="493" w:name="_Toc19950"/>
      <w:bookmarkStart w:id="494" w:name="_Toc23951"/>
      <w:r>
        <w:rPr>
          <w:rFonts w:hint="eastAsia" w:ascii="仿宋_GB2312" w:hAnsi="仿宋_GB2312" w:eastAsia="仿宋_GB2312" w:cs="仿宋_GB2312"/>
        </w:rPr>
        <w:t>27</w:t>
      </w:r>
      <w:bookmarkEnd w:id="480"/>
      <w:r>
        <w:rPr>
          <w:rFonts w:hint="eastAsia" w:ascii="仿宋_GB2312" w:hAnsi="仿宋_GB2312" w:eastAsia="仿宋_GB2312" w:cs="仿宋_GB2312"/>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评标委员会将根据评标标准，按</w:t>
      </w:r>
      <w:r>
        <w:rPr>
          <w:rFonts w:hint="eastAsia" w:ascii="仿宋_GB2312" w:hAnsi="仿宋_GB2312" w:eastAsia="仿宋_GB2312" w:cs="仿宋_GB2312"/>
          <w:sz w:val="24"/>
          <w:u w:val="single" w:color="000000"/>
        </w:rPr>
        <w:t>投标人须知资料表中</w:t>
      </w:r>
      <w:r>
        <w:rPr>
          <w:rFonts w:hint="eastAsia" w:ascii="仿宋_GB2312" w:hAnsi="仿宋_GB2312" w:eastAsia="仿宋_GB2312" w:cs="仿宋_GB2312"/>
          <w:sz w:val="24"/>
        </w:rPr>
        <w:t>规定数量推荐中标候选人；或根据采购人的委托，直接确定中标人。</w:t>
      </w:r>
    </w:p>
    <w:p>
      <w:pPr>
        <w:pStyle w:val="6"/>
        <w:tabs>
          <w:tab w:val="left" w:pos="900"/>
        </w:tabs>
        <w:spacing w:before="0" w:after="0" w:line="288" w:lineRule="auto"/>
        <w:rPr>
          <w:rFonts w:ascii="仿宋_GB2312" w:hAnsi="仿宋_GB2312" w:eastAsia="仿宋_GB2312" w:cs="仿宋_GB2312"/>
        </w:rPr>
      </w:pPr>
      <w:bookmarkStart w:id="495" w:name="_Toc520356173"/>
      <w:bookmarkStart w:id="496" w:name="_Ref467306874"/>
      <w:bookmarkStart w:id="497" w:name="_Toc27049"/>
      <w:bookmarkStart w:id="498" w:name="_Toc8958"/>
      <w:bookmarkStart w:id="499" w:name="_Toc28621"/>
      <w:bookmarkStart w:id="500" w:name="_Toc26160"/>
      <w:bookmarkStart w:id="501" w:name="_Toc6582"/>
      <w:bookmarkStart w:id="502" w:name="_Toc19331"/>
      <w:bookmarkStart w:id="503" w:name="_Toc13782"/>
      <w:bookmarkStart w:id="504" w:name="_Toc11867"/>
      <w:bookmarkStart w:id="505" w:name="_Toc28562"/>
      <w:bookmarkStart w:id="506" w:name="_Toc515647790"/>
      <w:bookmarkStart w:id="507" w:name="_Toc8389"/>
      <w:bookmarkStart w:id="508" w:name="_Toc7783"/>
      <w:bookmarkStart w:id="509" w:name="_Toc17557"/>
      <w:bookmarkStart w:id="510" w:name="_Toc26197"/>
      <w:r>
        <w:rPr>
          <w:rFonts w:hint="eastAsia" w:ascii="仿宋_GB2312" w:hAnsi="仿宋_GB2312" w:eastAsia="仿宋_GB2312" w:cs="仿宋_GB2312"/>
        </w:rPr>
        <w:t>28.</w:t>
      </w:r>
      <w:bookmarkEnd w:id="495"/>
      <w:bookmarkEnd w:id="496"/>
      <w:r>
        <w:rPr>
          <w:rFonts w:hint="eastAsia" w:ascii="仿宋_GB2312" w:hAnsi="仿宋_GB2312" w:eastAsia="仿宋_GB2312" w:cs="仿宋_GB2312"/>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因重大变故采购任务取消时，采购人有权拒绝任何投标人中标，且对受影响的投标人不承担任何责任。</w:t>
      </w:r>
      <w:bookmarkStart w:id="511" w:name="_Toc520356174"/>
    </w:p>
    <w:p>
      <w:pPr>
        <w:pStyle w:val="6"/>
        <w:spacing w:before="0" w:after="0" w:line="288" w:lineRule="auto"/>
        <w:rPr>
          <w:rFonts w:ascii="仿宋_GB2312" w:hAnsi="仿宋_GB2312" w:eastAsia="仿宋_GB2312" w:cs="仿宋_GB2312"/>
        </w:rPr>
      </w:pPr>
      <w:bookmarkStart w:id="512" w:name="_Toc31142"/>
      <w:bookmarkStart w:id="513" w:name="_Toc31099"/>
      <w:bookmarkStart w:id="514" w:name="_Toc31281"/>
      <w:bookmarkStart w:id="515" w:name="_Toc22190"/>
      <w:bookmarkStart w:id="516" w:name="_Toc10164"/>
      <w:bookmarkStart w:id="517" w:name="_Toc30170"/>
      <w:bookmarkStart w:id="518" w:name="_Toc2614"/>
      <w:bookmarkStart w:id="519" w:name="_Toc3186"/>
      <w:bookmarkStart w:id="520" w:name="_Toc515647791"/>
      <w:bookmarkStart w:id="521" w:name="_Toc13508"/>
      <w:bookmarkStart w:id="522" w:name="_Toc25468"/>
      <w:bookmarkStart w:id="523" w:name="_Toc31992"/>
      <w:bookmarkStart w:id="524" w:name="_Toc3276"/>
      <w:bookmarkStart w:id="525" w:name="_Toc5136"/>
      <w:r>
        <w:rPr>
          <w:rFonts w:hint="eastAsia" w:ascii="仿宋_GB2312" w:hAnsi="仿宋_GB2312" w:eastAsia="仿宋_GB2312" w:cs="仿宋_GB2312"/>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29.1</w:t>
      </w:r>
      <w:r>
        <w:rPr>
          <w:rFonts w:hint="eastAsia" w:ascii="仿宋_GB2312" w:hAnsi="仿宋_GB2312" w:eastAsia="仿宋_GB2312" w:cs="仿宋_GB2312"/>
          <w:sz w:val="24"/>
        </w:rPr>
        <w:tab/>
      </w:r>
      <w:r>
        <w:rPr>
          <w:rFonts w:hint="eastAsia" w:ascii="仿宋_GB2312" w:hAnsi="仿宋_GB2312" w:eastAsia="仿宋_GB2312" w:cs="仿宋_GB2312"/>
          <w:sz w:val="24"/>
        </w:rPr>
        <w:t>在投标有效期内，中标人确定后，采购人或者采购代理机构发布中标公告，公示期后以书面形式向中标人发出中标通知书。</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29.2</w:t>
      </w:r>
      <w:r>
        <w:rPr>
          <w:rFonts w:hint="eastAsia" w:ascii="仿宋_GB2312" w:hAnsi="仿宋_GB2312" w:eastAsia="仿宋_GB2312" w:cs="仿宋_GB2312"/>
          <w:sz w:val="24"/>
        </w:rPr>
        <w:tab/>
      </w:r>
      <w:r>
        <w:rPr>
          <w:rFonts w:hint="eastAsia" w:ascii="仿宋_GB2312" w:hAnsi="仿宋_GB2312" w:eastAsia="仿宋_GB2312" w:cs="仿宋_GB2312"/>
          <w:sz w:val="24"/>
        </w:rPr>
        <w:t>中标通知书是合同的组成部分。</w:t>
      </w:r>
    </w:p>
    <w:p>
      <w:pPr>
        <w:pStyle w:val="6"/>
        <w:spacing w:before="0" w:after="0" w:line="288" w:lineRule="auto"/>
        <w:rPr>
          <w:rFonts w:ascii="仿宋_GB2312" w:hAnsi="仿宋_GB2312" w:eastAsia="仿宋_GB2312" w:cs="仿宋_GB2312"/>
        </w:rPr>
      </w:pPr>
      <w:bookmarkStart w:id="526" w:name="_Toc27557"/>
      <w:bookmarkStart w:id="527" w:name="_Ref467307204"/>
      <w:bookmarkStart w:id="528" w:name="_Toc7779"/>
      <w:bookmarkStart w:id="529" w:name="_Toc31080"/>
      <w:bookmarkStart w:id="530" w:name="_Toc28520"/>
      <w:bookmarkStart w:id="531" w:name="_Toc19020"/>
      <w:bookmarkStart w:id="532" w:name="_Toc515647792"/>
      <w:bookmarkStart w:id="533" w:name="_Toc10227"/>
      <w:bookmarkStart w:id="534" w:name="_Toc14795"/>
      <w:bookmarkStart w:id="535" w:name="_Toc17224"/>
      <w:bookmarkStart w:id="536" w:name="_Toc790"/>
      <w:bookmarkStart w:id="537" w:name="_Toc24763"/>
      <w:bookmarkStart w:id="538" w:name="_Toc32036"/>
      <w:bookmarkStart w:id="539" w:name="_Toc520356175"/>
      <w:bookmarkStart w:id="540" w:name="_Toc28367"/>
      <w:bookmarkStart w:id="541" w:name="_Ref467307062"/>
      <w:bookmarkStart w:id="542" w:name="_Ref467306377"/>
      <w:bookmarkStart w:id="543" w:name="_Ref467306978"/>
      <w:bookmarkStart w:id="544" w:name="_Toc30660"/>
      <w:r>
        <w:rPr>
          <w:rFonts w:hint="eastAsia" w:ascii="仿宋_GB2312" w:hAnsi="仿宋_GB2312" w:eastAsia="仿宋_GB2312" w:cs="仿宋_GB2312"/>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中标人应当自发出中标通知书之日起30日内，与采购人签订合同。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30.2</w:t>
      </w:r>
      <w:r>
        <w:rPr>
          <w:rFonts w:hint="eastAsia" w:ascii="仿宋_GB2312" w:hAnsi="仿宋_GB2312" w:eastAsia="仿宋_GB2312" w:cs="仿宋_GB2312"/>
          <w:sz w:val="24"/>
        </w:rPr>
        <w:tab/>
      </w:r>
      <w:bookmarkStart w:id="545" w:name="_Ref467307090"/>
      <w:bookmarkStart w:id="546" w:name="_Toc520356176"/>
      <w:bookmarkStart w:id="547" w:name="_Ref467306425"/>
      <w:r>
        <w:rPr>
          <w:rFonts w:hint="eastAsia" w:ascii="仿宋_GB2312" w:hAnsi="仿宋_GB2312" w:eastAsia="仿宋_GB2312" w:cs="仿宋_GB2312"/>
          <w:sz w:val="24"/>
        </w:rPr>
        <w:t>招标文件、中标人的投标文件及其澄清文件等，均为签订合同的依据。</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30.3   中标人拒绝与采购人签订合同的，采购人可以按照评审报告推荐的中标候选人名单排序，确定下一中标候选人为中标人，也可以重新开展政府采购活动。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30.4   当出现法规规定的</w:t>
      </w:r>
      <w:r>
        <w:rPr>
          <w:rFonts w:hint="eastAsia" w:ascii="仿宋_GB2312" w:hAnsi="仿宋_GB2312" w:eastAsia="仿宋_GB2312" w:cs="仿宋_GB2312"/>
          <w:b/>
          <w:sz w:val="24"/>
        </w:rPr>
        <w:t>中标无效或中标结果无效</w:t>
      </w:r>
      <w:r>
        <w:rPr>
          <w:rFonts w:hint="eastAsia" w:ascii="仿宋_GB2312" w:hAnsi="仿宋_GB2312" w:eastAsia="仿宋_GB2312" w:cs="仿宋_GB2312"/>
          <w:sz w:val="24"/>
        </w:rPr>
        <w:t>情形时，采购人可与排名下一位的中标候选人另行签订合同，或依法重新开展采购活动。</w:t>
      </w:r>
    </w:p>
    <w:p>
      <w:pPr>
        <w:pStyle w:val="6"/>
        <w:spacing w:before="0" w:after="0" w:line="288" w:lineRule="auto"/>
        <w:rPr>
          <w:rFonts w:ascii="仿宋_GB2312" w:hAnsi="仿宋_GB2312" w:eastAsia="仿宋_GB2312" w:cs="仿宋_GB2312"/>
        </w:rPr>
      </w:pPr>
      <w:bookmarkStart w:id="548" w:name="_Toc515647793"/>
      <w:bookmarkStart w:id="549" w:name="_Toc16031"/>
      <w:bookmarkStart w:id="550" w:name="_Toc7188"/>
      <w:bookmarkStart w:id="551" w:name="_Toc16785"/>
      <w:bookmarkStart w:id="552" w:name="_Toc30705"/>
      <w:bookmarkStart w:id="553" w:name="_Toc10395"/>
      <w:bookmarkStart w:id="554" w:name="_Toc22555"/>
      <w:bookmarkStart w:id="555" w:name="_Toc5487"/>
      <w:bookmarkStart w:id="556" w:name="_Toc25751"/>
      <w:bookmarkStart w:id="557" w:name="_Toc27954"/>
      <w:bookmarkStart w:id="558" w:name="_Toc13900"/>
      <w:bookmarkStart w:id="559" w:name="_Toc14080"/>
      <w:bookmarkStart w:id="560" w:name="_Toc11523"/>
      <w:bookmarkStart w:id="561" w:name="_Toc25154"/>
      <w:r>
        <w:rPr>
          <w:rFonts w:hint="eastAsia" w:ascii="仿宋_GB2312" w:hAnsi="仿宋_GB2312" w:eastAsia="仿宋_GB2312" w:cs="仿宋_GB2312"/>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中标人应按照</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规定向采购人缴纳履约保证金。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31.2   如果中标人没有按照上述履约保证金的规定执行，将视为放弃中标资格，中标人的投标保证金将不予退还。在此情况下，采购人可确定下一候选人为中标人，也可以重新开展采购活动。</w:t>
      </w:r>
    </w:p>
    <w:p>
      <w:pPr>
        <w:pStyle w:val="6"/>
        <w:spacing w:before="0" w:after="0" w:line="288" w:lineRule="auto"/>
        <w:rPr>
          <w:rFonts w:ascii="仿宋_GB2312" w:hAnsi="仿宋_GB2312" w:eastAsia="仿宋_GB2312" w:cs="仿宋_GB2312"/>
        </w:rPr>
      </w:pPr>
      <w:bookmarkStart w:id="562" w:name="_Toc3090"/>
      <w:bookmarkStart w:id="563" w:name="_Toc27777"/>
      <w:bookmarkStart w:id="564" w:name="_Toc15895"/>
      <w:bookmarkStart w:id="565" w:name="_Toc11875"/>
      <w:bookmarkStart w:id="566" w:name="_Toc515647794"/>
      <w:bookmarkStart w:id="567" w:name="_Toc30049"/>
      <w:bookmarkStart w:id="568" w:name="_Toc24667"/>
      <w:bookmarkStart w:id="569" w:name="_Toc25784"/>
      <w:bookmarkStart w:id="570" w:name="_Toc12106"/>
      <w:bookmarkStart w:id="571" w:name="_Toc7922"/>
      <w:bookmarkStart w:id="572" w:name="_Toc19288"/>
      <w:bookmarkStart w:id="573" w:name="_Toc29408"/>
      <w:bookmarkStart w:id="574" w:name="_Toc10961"/>
      <w:bookmarkStart w:id="575" w:name="_Toc31936"/>
      <w:r>
        <w:rPr>
          <w:rFonts w:hint="eastAsia" w:ascii="仿宋_GB2312" w:hAnsi="仿宋_GB2312" w:eastAsia="仿宋_GB2312" w:cs="仿宋_GB2312"/>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288" w:lineRule="auto"/>
        <w:ind w:left="840" w:leftChars="200" w:hanging="420" w:hangingChars="175"/>
        <w:rPr>
          <w:rFonts w:ascii="仿宋_GB2312" w:hAnsi="仿宋_GB2312" w:eastAsia="仿宋_GB2312" w:cs="仿宋_GB2312"/>
          <w:sz w:val="24"/>
        </w:rPr>
      </w:pPr>
      <w:r>
        <w:rPr>
          <w:rFonts w:hint="eastAsia" w:ascii="仿宋_GB2312" w:hAnsi="仿宋_GB2312" w:eastAsia="仿宋_GB2312" w:cs="仿宋_GB2312"/>
          <w:sz w:val="24"/>
        </w:rPr>
        <w:t xml:space="preserve">   中标人须按照</w:t>
      </w:r>
      <w:r>
        <w:rPr>
          <w:rFonts w:hint="eastAsia" w:ascii="仿宋_GB2312" w:hAnsi="仿宋_GB2312" w:eastAsia="仿宋_GB2312" w:cs="仿宋_GB2312"/>
          <w:sz w:val="24"/>
          <w:u w:val="single" w:color="000000"/>
        </w:rPr>
        <w:t>投标须知资料表</w:t>
      </w:r>
      <w:r>
        <w:rPr>
          <w:rFonts w:hint="eastAsia" w:ascii="仿宋_GB2312" w:hAnsi="仿宋_GB2312" w:eastAsia="仿宋_GB2312" w:cs="仿宋_GB2312"/>
          <w:sz w:val="24"/>
        </w:rPr>
        <w:t>规定，向采购代理机构支付中标服务费。</w:t>
      </w:r>
    </w:p>
    <w:p>
      <w:pPr>
        <w:pStyle w:val="6"/>
        <w:spacing w:before="0" w:after="0" w:line="288" w:lineRule="auto"/>
        <w:rPr>
          <w:rFonts w:ascii="仿宋_GB2312" w:hAnsi="仿宋_GB2312" w:eastAsia="仿宋_GB2312" w:cs="仿宋_GB2312"/>
        </w:rPr>
      </w:pPr>
      <w:bookmarkStart w:id="576" w:name="_Toc16253"/>
      <w:bookmarkStart w:id="577" w:name="_Toc28457"/>
      <w:bookmarkStart w:id="578" w:name="_Toc515647795"/>
      <w:bookmarkStart w:id="579" w:name="_Toc24553"/>
      <w:bookmarkStart w:id="580" w:name="_Toc30722"/>
      <w:bookmarkStart w:id="581" w:name="_Toc17196"/>
      <w:bookmarkStart w:id="582" w:name="_Toc24674"/>
      <w:bookmarkStart w:id="583" w:name="_Toc13588"/>
      <w:bookmarkStart w:id="584" w:name="_Toc14390"/>
      <w:bookmarkStart w:id="585" w:name="_Toc12385"/>
      <w:bookmarkStart w:id="586" w:name="_Toc6923"/>
      <w:bookmarkStart w:id="587" w:name="_Toc5036"/>
      <w:bookmarkStart w:id="588" w:name="_Toc3954"/>
      <w:bookmarkStart w:id="589" w:name="_Toc7049"/>
      <w:r>
        <w:rPr>
          <w:rFonts w:hint="eastAsia" w:ascii="仿宋_GB2312" w:hAnsi="仿宋_GB2312" w:eastAsia="仿宋_GB2312" w:cs="仿宋_GB2312"/>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33.1   本项目是否属于信用担保试点范围见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33.2   如属于政府采购信用担保试点范围内，中小型企业投标人可以自由按照财政部门的规定，采用投标担保、履约担保和融资担保。</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33.2.1 投标人递交的投标担保函和履约担保函应符合本招标文件的规定。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33.2.2 中标人可以采取融资担保的形式为政府采购项目履约进行融资。</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33.2.3 合格的政府采购专业信用担保机构名单见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590" w:name="_Toc20713"/>
      <w:bookmarkStart w:id="591" w:name="_Toc9817"/>
      <w:bookmarkStart w:id="592" w:name="_Toc21223"/>
      <w:bookmarkStart w:id="593" w:name="_Toc515647796"/>
      <w:bookmarkStart w:id="594" w:name="_Toc2320"/>
      <w:bookmarkStart w:id="595" w:name="_Toc6716"/>
      <w:bookmarkStart w:id="596" w:name="_Toc7"/>
      <w:bookmarkStart w:id="597" w:name="_Toc9688"/>
      <w:bookmarkStart w:id="598" w:name="_Toc23999"/>
      <w:bookmarkStart w:id="599" w:name="_Toc2133"/>
      <w:bookmarkStart w:id="600" w:name="_Toc28024"/>
      <w:bookmarkStart w:id="601" w:name="_Toc27198"/>
      <w:bookmarkStart w:id="602" w:name="_Toc27852"/>
      <w:bookmarkStart w:id="603" w:name="_Toc22070"/>
      <w:r>
        <w:rPr>
          <w:rFonts w:hint="eastAsia" w:ascii="仿宋_GB2312" w:hAnsi="仿宋_GB2312" w:eastAsia="仿宋_GB2312" w:cs="仿宋_GB2312"/>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34.1   采购代理机构工作人员不得以不正当手段获取政府采购代理业务，不得与采购人、供应商恶意串通操纵政府采购活动。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34.2   采购代理机构工作人员不得接受采购人或者供应商组织的宴请、旅游、娱乐，不得收受礼品、现金、有价证券等，不得向采购人或者供应商报销应当由个人承担的费用。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34.3   为强化采购代理机构内部监督机制，供应商可按</w:t>
      </w:r>
      <w:r>
        <w:rPr>
          <w:rFonts w:hint="eastAsia" w:ascii="仿宋_GB2312" w:hAnsi="仿宋_GB2312" w:eastAsia="仿宋_GB2312" w:cs="仿宋_GB2312"/>
          <w:sz w:val="24"/>
          <w:u w:val="single" w:color="000000"/>
        </w:rPr>
        <w:t>投标人须知资料表中的</w:t>
      </w:r>
      <w:r>
        <w:rPr>
          <w:rFonts w:hint="eastAsia" w:ascii="仿宋_GB2312" w:hAnsi="仿宋_GB2312" w:eastAsia="仿宋_GB2312" w:cs="仿宋_GB2312"/>
          <w:sz w:val="24"/>
        </w:rPr>
        <w:t>监督电话和邮箱，反映采购代理机构的廉洁自律等问题。</w:t>
      </w:r>
    </w:p>
    <w:p>
      <w:pPr>
        <w:pStyle w:val="6"/>
        <w:spacing w:before="0" w:after="0" w:line="288" w:lineRule="auto"/>
        <w:rPr>
          <w:rFonts w:ascii="仿宋_GB2312" w:hAnsi="仿宋_GB2312" w:eastAsia="仿宋_GB2312" w:cs="仿宋_GB2312"/>
        </w:rPr>
      </w:pPr>
      <w:bookmarkStart w:id="604" w:name="_Toc10376"/>
      <w:bookmarkStart w:id="605" w:name="_Toc25480"/>
      <w:bookmarkStart w:id="606" w:name="_Toc6874"/>
      <w:bookmarkStart w:id="607" w:name="_Toc1541"/>
      <w:bookmarkStart w:id="608" w:name="_Toc3888"/>
      <w:bookmarkStart w:id="609" w:name="_Toc515647797"/>
      <w:bookmarkStart w:id="610" w:name="_Toc11586"/>
      <w:bookmarkStart w:id="611" w:name="_Toc16745"/>
      <w:bookmarkStart w:id="612" w:name="_Toc14897"/>
      <w:bookmarkStart w:id="613" w:name="_Toc24038"/>
      <w:bookmarkStart w:id="614" w:name="_Toc31644"/>
      <w:bookmarkStart w:id="615" w:name="_Toc10437"/>
      <w:bookmarkStart w:id="616" w:name="_Toc22285"/>
      <w:bookmarkStart w:id="617" w:name="_Toc18027"/>
      <w:r>
        <w:rPr>
          <w:rFonts w:hint="eastAsia" w:ascii="仿宋_GB2312" w:hAnsi="仿宋_GB2312" w:eastAsia="仿宋_GB2312" w:cs="仿宋_GB2312"/>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投标人认为采购人员及其相关人员有法律法规所列与其他供应商有利害关系的，可以向采购人或采购代理机构书面提出回避申请，并说明理由。</w:t>
      </w:r>
    </w:p>
    <w:p>
      <w:pPr>
        <w:pStyle w:val="6"/>
        <w:spacing w:before="0" w:after="0" w:line="340" w:lineRule="exact"/>
        <w:rPr>
          <w:rFonts w:ascii="仿宋_GB2312" w:hAnsi="仿宋_GB2312" w:eastAsia="仿宋_GB2312" w:cs="仿宋_GB2312"/>
          <w:szCs w:val="24"/>
          <w:u w:val="none"/>
        </w:rPr>
      </w:pPr>
      <w:bookmarkStart w:id="618" w:name="_Toc9393"/>
      <w:bookmarkStart w:id="619" w:name="_Toc16862"/>
      <w:bookmarkStart w:id="620" w:name="_Toc518923103"/>
      <w:bookmarkStart w:id="621" w:name="_Toc30751"/>
      <w:bookmarkStart w:id="622" w:name="_Toc23883"/>
      <w:bookmarkStart w:id="623" w:name="_Toc3083"/>
      <w:bookmarkStart w:id="624" w:name="_Toc23678"/>
      <w:r>
        <w:rPr>
          <w:rFonts w:hint="eastAsia" w:ascii="仿宋_GB2312" w:hAnsi="仿宋_GB2312" w:eastAsia="仿宋_GB2312" w:cs="仿宋_GB2312"/>
          <w:szCs w:val="24"/>
          <w:u w:val="none"/>
        </w:rPr>
        <w:t>36.质疑与接收</w:t>
      </w:r>
      <w:bookmarkEnd w:id="618"/>
      <w:bookmarkEnd w:id="619"/>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超出法定质疑期的、重复提出的、分次提出的或内容、形式不符合《政府采购质疑和投诉办法》的，质疑供应商将依法承担不利后果。</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见供应商须知资料表。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36.4、质疑的提出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36.5   本采购文件中所称质疑及答复，是指参加本次采购活动的供应商对政府采购活动中的采购文件、采购过程和成交结果向采购方提出质疑，采购方答复质疑的行为。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（一）对可以质疑的采购文件提出质疑的，为收到采购文件之日或者采购文件公告期限届满之日；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（二）对采购过程提出质疑的，为各采购程序环节结束之日；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（三）对成交结果提出质疑的，为成交结果公告期限届满之日。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36.7   对可以质疑的采购文件提出质疑的，质疑人为参与本项目的报价方或潜在报价方。可质疑的文件为采购公告以及采购文件（包括属于其组成部分的澄清、修改、补充文件和评审标准、合同文本等）。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36.9   提出质疑应当符合下列条件：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（一）质疑主体应当符合有关规定；</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（二）在质疑法定期限内提出；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（三）属于可以提出质疑的政府采购事项受理范围和本项目采购人的管辖权范围；</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（四）政府采购法律、法规、规章规定的其他条件。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40.1  质疑人所提供的证明材料应当具有真实性、合法性以及与质疑事项的关联性和证明力，否则不能作为认定该质疑事项成立的依据。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40.2   质疑人提出质疑时应当提交质疑函。质疑函包括下列内容：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（一）提出质疑的质疑人的名称、地址、邮编、联系人及联系电话等；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（二）质疑项目的名称、编号；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（四）事实依据和证明材料；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（六）提出质疑的日期。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质疑函采用实名制。质疑人为自然人的应当由本人签字，并附有效身份证明文件；质疑人为法人或者非法人组织的应当由法定代表人或者负责人签字并加盖公章，并附有效身份证明文件。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40.3    质疑人可以委托代理人进行质疑。代理人应当提交授权委托书。授权委托书应当载明委托代理的具体权限、期限和相关事项。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40.4、质疑的审查和受理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采购方在收到质疑函后应当及时审查是否符合质疑受理条件，对符合质疑受理条件的，及时予以受理。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40.5    对不符合质疑受理条件的，分别按照下列不同情形予以处理：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（一）质疑函内容不符合规定的，告知质疑人进行修改并重新提出质疑。修改后质疑事项仍不具体、不明确或者最终递交质疑函的时间超过质疑法定期限的，不予受理；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（二）质疑主体不符合有关规定的，告知质疑人不予受理；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（三）超过质疑法定期限提出质疑的，告知质疑人不予受理；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（四）对不属于可以提出质疑的政府采购事项提出质疑的，告知质疑人不予受理；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（五）质疑不属于本项目采购方管辖的，告知质疑人向有管辖权的采购人提出质疑；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（六）质疑不符合其他条件的，告知质疑人不予受理。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40.6、质疑的处理和答复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40.7   采购方受理质疑后，将及时把质疑函发送给被质疑人，并要求其在一定限期内提交书面答复，同时提供有关证据、依据和相关材料。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40.8    对于质疑事项中涉及的问题较多、情况比较复杂的，为了全面查清事实、取得充分的证据，采购方认为有必要时，可以进行调查取证或者组织质证。</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40.9    对评审过程、成交结果提出质疑的，采购方可以组织原评审委员会协助答复质疑。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    质疑处理过程中，质疑人书面申请撤回质疑的，将终止质疑处理程序。</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41.2   采购方将在正式受理质疑后7个工作日内作出答复。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41.3   质疑答复应当包括下列内容：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（一）质疑人的姓名或者名称；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（二）收到质疑函的日期、质疑项目名称及编号；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（三）质疑事项、质疑答复的具体内容、事实依据和法律依据；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（四）告知质疑供应商依法投诉的权利；</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（五）质疑答复人名称；</w:t>
      </w:r>
    </w:p>
    <w:p>
      <w:pPr>
        <w:widowControl w:val="0"/>
        <w:spacing w:line="340" w:lineRule="exact"/>
        <w:ind w:left="900" w:hanging="900" w:hangingChars="375"/>
        <w:textAlignment w:val="auto"/>
        <w:rPr>
          <w:rFonts w:ascii="仿宋_GB2312" w:hAnsi="仿宋_GB2312" w:eastAsia="仿宋_GB2312" w:cs="仿宋_GB2312"/>
          <w:b/>
          <w:bCs/>
          <w:sz w:val="24"/>
        </w:rPr>
      </w:pPr>
      <w:r>
        <w:rPr>
          <w:rFonts w:hint="eastAsia" w:ascii="仿宋_GB2312" w:hAnsi="仿宋_GB2312" w:eastAsia="仿宋_GB2312" w:cs="仿宋_GB2312"/>
          <w:sz w:val="24"/>
        </w:rPr>
        <w:t>（六）答复质疑的日期。</w:t>
      </w:r>
    </w:p>
    <w:p>
      <w:pPr>
        <w:widowControl w:val="0"/>
        <w:spacing w:line="340" w:lineRule="exact"/>
        <w:ind w:left="904" w:hanging="900" w:hangingChars="375"/>
        <w:jc w:val="center"/>
        <w:textAlignment w:val="auto"/>
        <w:rPr>
          <w:rFonts w:ascii="仿宋_GB2312" w:hAnsi="仿宋_GB2312" w:eastAsia="仿宋_GB2312" w:cs="仿宋_GB2312"/>
          <w:b/>
          <w:bCs/>
          <w:sz w:val="24"/>
        </w:rPr>
      </w:pPr>
    </w:p>
    <w:p>
      <w:pPr>
        <w:widowControl w:val="0"/>
        <w:spacing w:line="340" w:lineRule="exact"/>
        <w:ind w:left="904" w:hanging="900" w:hangingChars="375"/>
        <w:jc w:val="center"/>
        <w:textAlignment w:val="auto"/>
        <w:rPr>
          <w:rFonts w:ascii="仿宋_GB2312" w:hAnsi="仿宋_GB2312" w:eastAsia="仿宋_GB2312" w:cs="仿宋_GB2312"/>
          <w:sz w:val="24"/>
        </w:rPr>
      </w:pPr>
      <w:r>
        <w:rPr>
          <w:rFonts w:hint="eastAsia" w:ascii="仿宋_GB2312" w:hAnsi="仿宋_GB2312" w:eastAsia="仿宋_GB2312" w:cs="仿宋_GB2312"/>
          <w:b/>
          <w:bCs/>
          <w:sz w:val="24"/>
        </w:rPr>
        <w:t>质疑函范本</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一、质疑供应商基本信息</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质疑供应商：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联系人：联系电话：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授权代表：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二、质疑项目基本情况</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质疑项目的编号：包号：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采购人名称：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采购文件获取日期：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三、质疑事项具体内容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质疑事项1：</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事实依据：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法律依据：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质疑事项2</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四、与质疑事项相关的质疑请求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签字(签章)：公章：</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日期：</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质疑函制作说明：</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val="0"/>
        <w:spacing w:line="240" w:lineRule="atLeast"/>
        <w:ind w:left="1079" w:leftChars="257" w:hanging="540"/>
        <w:rPr>
          <w:rFonts w:ascii="宋体" w:hAnsi="宋体" w:cs="宋体"/>
        </w:rPr>
      </w:pPr>
      <w:r>
        <w:rPr>
          <w:rFonts w:hint="eastAsia" w:ascii="仿宋_GB2312" w:hAnsi="仿宋_GB2312" w:eastAsia="仿宋_GB2312" w:cs="仿宋_GB2312"/>
          <w:sz w:val="24"/>
        </w:rPr>
        <w:br w:type="page"/>
      </w:r>
      <w:r>
        <w:rPr>
          <w:rFonts w:hint="eastAsia" w:ascii="宋体" w:hAnsi="宋体" w:cs="宋体"/>
        </w:rPr>
        <w:t>附件1：履约保证金保函（格式）</w:t>
      </w:r>
      <w:bookmarkEnd w:id="620"/>
      <w:bookmarkEnd w:id="621"/>
      <w:bookmarkEnd w:id="622"/>
      <w:bookmarkEnd w:id="623"/>
      <w:bookmarkEnd w:id="624"/>
    </w:p>
    <w:p>
      <w:pPr>
        <w:pStyle w:val="13"/>
        <w:widowControl w:val="0"/>
        <w:spacing w:line="240" w:lineRule="atLeast"/>
        <w:ind w:left="1079" w:leftChars="257" w:hanging="540"/>
        <w:jc w:val="center"/>
        <w:rPr>
          <w:rFonts w:hAnsi="宋体" w:cs="宋体"/>
          <w:b/>
          <w:sz w:val="24"/>
        </w:rPr>
      </w:pPr>
      <w:r>
        <w:rPr>
          <w:rFonts w:hint="eastAsia" w:hAnsi="宋体" w:cs="宋体"/>
          <w:b/>
          <w:sz w:val="24"/>
        </w:rPr>
        <w:t>（中标后开具）</w:t>
      </w:r>
    </w:p>
    <w:p>
      <w:pPr>
        <w:pStyle w:val="13"/>
        <w:widowControl w:val="0"/>
        <w:spacing w:line="240" w:lineRule="atLeast"/>
        <w:ind w:left="1079" w:leftChars="257" w:hanging="540"/>
        <w:rPr>
          <w:rFonts w:hAnsi="宋体" w:cs="宋体"/>
          <w:b/>
          <w:sz w:val="24"/>
        </w:rPr>
      </w:pPr>
    </w:p>
    <w:p>
      <w:pPr>
        <w:pStyle w:val="13"/>
        <w:widowControl w:val="0"/>
        <w:spacing w:line="240" w:lineRule="atLeast"/>
        <w:ind w:left="1079" w:leftChars="257" w:hanging="540"/>
        <w:rPr>
          <w:rFonts w:hAnsi="宋体" w:cs="宋体"/>
          <w:b/>
          <w:sz w:val="24"/>
        </w:rPr>
      </w:pPr>
    </w:p>
    <w:p>
      <w:pPr>
        <w:pStyle w:val="13"/>
        <w:widowControl w:val="0"/>
        <w:spacing w:line="240" w:lineRule="atLeast"/>
        <w:rPr>
          <w:rFonts w:hAnsi="宋体" w:cs="宋体"/>
          <w:sz w:val="24"/>
          <w:szCs w:val="24"/>
        </w:rPr>
      </w:pPr>
      <w:r>
        <w:rPr>
          <w:rFonts w:hint="eastAsia" w:hAnsi="宋体" w:cs="宋体"/>
          <w:sz w:val="24"/>
          <w:szCs w:val="24"/>
        </w:rPr>
        <w:t>致: (</w:t>
      </w:r>
      <w:r>
        <w:rPr>
          <w:rFonts w:hint="eastAsia" w:hAnsi="宋体" w:cs="宋体"/>
          <w:i/>
          <w:sz w:val="24"/>
          <w:szCs w:val="24"/>
          <w:u w:val="single"/>
        </w:rPr>
        <w:t>买方名称</w:t>
      </w:r>
      <w:r>
        <w:rPr>
          <w:rFonts w:hint="eastAsia" w:hAnsi="宋体" w:cs="宋体"/>
          <w:sz w:val="24"/>
          <w:szCs w:val="24"/>
        </w:rPr>
        <w:t>)</w:t>
      </w:r>
    </w:p>
    <w:p>
      <w:pPr>
        <w:pStyle w:val="13"/>
        <w:widowControl w:val="0"/>
        <w:spacing w:line="240" w:lineRule="atLeast"/>
        <w:ind w:left="1079" w:leftChars="257" w:hanging="540"/>
        <w:jc w:val="center"/>
        <w:rPr>
          <w:rFonts w:hAnsi="宋体" w:cs="宋体"/>
          <w:sz w:val="24"/>
          <w:szCs w:val="24"/>
        </w:rPr>
      </w:pPr>
      <w:r>
        <w:rPr>
          <w:rFonts w:hint="eastAsia" w:hAnsi="宋体" w:cs="宋体"/>
          <w:sz w:val="24"/>
          <w:szCs w:val="24"/>
        </w:rPr>
        <w:t>号合同履约保函</w:t>
      </w:r>
    </w:p>
    <w:p>
      <w:pPr>
        <w:pStyle w:val="13"/>
        <w:widowControl w:val="0"/>
        <w:spacing w:line="240" w:lineRule="atLeast"/>
        <w:ind w:left="1079" w:leftChars="257" w:hanging="540"/>
        <w:jc w:val="center"/>
        <w:rPr>
          <w:rFonts w:hAnsi="宋体" w:cs="宋体"/>
          <w:sz w:val="24"/>
          <w:szCs w:val="24"/>
        </w:rPr>
      </w:pPr>
    </w:p>
    <w:p>
      <w:pPr>
        <w:pStyle w:val="13"/>
        <w:widowControl w:val="0"/>
        <w:spacing w:line="240" w:lineRule="atLeast"/>
        <w:ind w:firstLine="600" w:firstLineChars="250"/>
        <w:rPr>
          <w:rFonts w:hAnsi="宋体" w:cs="宋体"/>
          <w:sz w:val="24"/>
          <w:szCs w:val="24"/>
        </w:rPr>
      </w:pPr>
      <w:r>
        <w:rPr>
          <w:rFonts w:hint="eastAsia" w:hAnsi="宋体" w:cs="宋体"/>
          <w:sz w:val="24"/>
          <w:szCs w:val="24"/>
        </w:rPr>
        <w:t>本保函作为贵方与(</w:t>
      </w:r>
      <w:r>
        <w:rPr>
          <w:rFonts w:hint="eastAsia" w:hAnsi="宋体" w:cs="宋体"/>
          <w:i/>
          <w:sz w:val="24"/>
          <w:szCs w:val="24"/>
          <w:u w:val="single"/>
        </w:rPr>
        <w:t>卖方名称</w:t>
      </w:r>
      <w:r>
        <w:rPr>
          <w:rFonts w:hint="eastAsia" w:hAnsi="宋体" w:cs="宋体"/>
          <w:sz w:val="24"/>
          <w:szCs w:val="24"/>
        </w:rPr>
        <w:t>)(以下简称卖方)于年月日就项目(以下简称项目)项下提供(</w:t>
      </w:r>
      <w:r>
        <w:rPr>
          <w:rFonts w:hint="eastAsia" w:hAnsi="宋体" w:cs="宋体"/>
          <w:i/>
          <w:sz w:val="24"/>
          <w:szCs w:val="24"/>
          <w:u w:val="single"/>
        </w:rPr>
        <w:t>货物名称</w:t>
      </w:r>
      <w:r>
        <w:rPr>
          <w:rFonts w:hint="eastAsia" w:hAnsi="宋体" w:cs="宋体"/>
          <w:sz w:val="24"/>
          <w:szCs w:val="24"/>
        </w:rPr>
        <w:t>)(以下简称货物)签订的(</w:t>
      </w:r>
      <w:r>
        <w:rPr>
          <w:rFonts w:hint="eastAsia" w:hAnsi="宋体" w:cs="宋体"/>
          <w:i/>
          <w:sz w:val="24"/>
          <w:szCs w:val="24"/>
          <w:u w:val="single"/>
        </w:rPr>
        <w:t>合同号</w:t>
      </w:r>
      <w:r>
        <w:rPr>
          <w:rFonts w:hint="eastAsia" w:hAnsi="宋体" w:cs="宋体"/>
          <w:sz w:val="24"/>
          <w:szCs w:val="24"/>
        </w:rPr>
        <w:t>)号合同的履约保函。</w:t>
      </w:r>
    </w:p>
    <w:p>
      <w:pPr>
        <w:pStyle w:val="13"/>
        <w:widowControl w:val="0"/>
        <w:spacing w:line="240" w:lineRule="atLeast"/>
        <w:ind w:firstLine="540" w:firstLineChars="225"/>
        <w:rPr>
          <w:rFonts w:hAnsi="宋体" w:cs="宋体"/>
          <w:sz w:val="24"/>
          <w:szCs w:val="24"/>
        </w:rPr>
      </w:pPr>
      <w:r>
        <w:rPr>
          <w:rFonts w:hint="eastAsia" w:hAnsi="宋体" w:cs="宋体"/>
          <w:sz w:val="24"/>
          <w:szCs w:val="24"/>
        </w:rPr>
        <w:t>(</w:t>
      </w:r>
      <w:r>
        <w:rPr>
          <w:rFonts w:hint="eastAsia" w:hAnsi="宋体" w:cs="宋体"/>
          <w:i/>
          <w:sz w:val="24"/>
          <w:szCs w:val="24"/>
          <w:u w:val="single"/>
        </w:rPr>
        <w:t>出具保函的银行名称</w:t>
      </w:r>
      <w:r>
        <w:rPr>
          <w:rFonts w:hint="eastAsia" w:hAnsi="宋体" w:cs="宋体"/>
          <w:sz w:val="24"/>
          <w:szCs w:val="24"/>
        </w:rPr>
        <w:t>)(以下简称银行)无条件地、不可撤销地具结保证本行、其继承人和受让人无追索地向贵方以(</w:t>
      </w:r>
      <w:r>
        <w:rPr>
          <w:rFonts w:hint="eastAsia" w:hAnsi="宋体" w:cs="宋体"/>
          <w:i/>
          <w:sz w:val="24"/>
          <w:szCs w:val="24"/>
          <w:u w:val="single"/>
        </w:rPr>
        <w:t>货币名称</w:t>
      </w:r>
      <w:r>
        <w:rPr>
          <w:rFonts w:hint="eastAsia" w:hAnsi="宋体" w:cs="宋体"/>
          <w:sz w:val="24"/>
          <w:szCs w:val="24"/>
        </w:rPr>
        <w:t>)支付总额不超过(</w:t>
      </w:r>
      <w:r>
        <w:rPr>
          <w:rFonts w:hint="eastAsia" w:hAnsi="宋体" w:cs="宋体"/>
          <w:i/>
          <w:sz w:val="24"/>
          <w:szCs w:val="24"/>
          <w:u w:val="single"/>
        </w:rPr>
        <w:t>货币数量</w:t>
      </w:r>
      <w:r>
        <w:rPr>
          <w:rFonts w:hint="eastAsia" w:hAnsi="宋体" w:cs="宋体"/>
          <w:sz w:val="24"/>
          <w:szCs w:val="24"/>
        </w:rPr>
        <w:t>),即相当于合同价格的%,并以此约定如下:</w:t>
      </w:r>
    </w:p>
    <w:p>
      <w:pPr>
        <w:pStyle w:val="13"/>
        <w:widowControl w:val="0"/>
        <w:spacing w:line="240" w:lineRule="atLeast"/>
        <w:ind w:left="539" w:leftChars="257"/>
        <w:rPr>
          <w:rFonts w:hAnsi="宋体" w:cs="宋体"/>
          <w:sz w:val="24"/>
          <w:szCs w:val="24"/>
        </w:rPr>
      </w:pPr>
      <w:r>
        <w:rPr>
          <w:rFonts w:hint="eastAsia" w:hAnsi="宋体" w:cs="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3"/>
        <w:widowControl w:val="0"/>
        <w:spacing w:line="240" w:lineRule="atLeast"/>
        <w:ind w:left="540"/>
        <w:rPr>
          <w:rFonts w:hAnsi="宋体" w:cs="宋体"/>
          <w:sz w:val="24"/>
          <w:szCs w:val="24"/>
        </w:rPr>
      </w:pPr>
      <w:r>
        <w:rPr>
          <w:rFonts w:hint="eastAsia" w:hAnsi="宋体" w:cs="宋体"/>
          <w:sz w:val="24"/>
          <w:szCs w:val="24"/>
        </w:rPr>
        <w:t>2.本保函项下的任何支付应为免税和净值。对于现有或将来的税收、关税、收费、费用扣减或预提税款，不论这些款项是何种性质和由谁征收，都不应从本保函项下的支付中扣除。</w:t>
      </w:r>
    </w:p>
    <w:p>
      <w:pPr>
        <w:pStyle w:val="13"/>
        <w:widowControl w:val="0"/>
        <w:spacing w:line="240" w:lineRule="atLeast"/>
        <w:ind w:left="540"/>
        <w:rPr>
          <w:rFonts w:hAnsi="宋体" w:cs="宋体"/>
          <w:sz w:val="24"/>
          <w:szCs w:val="24"/>
        </w:rPr>
      </w:pPr>
      <w:r>
        <w:rPr>
          <w:rFonts w:hint="eastAsia" w:hAnsi="宋体" w:cs="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widowControl w:val="0"/>
        <w:spacing w:line="240" w:lineRule="atLeast"/>
        <w:ind w:left="1079" w:leftChars="257" w:hanging="540"/>
        <w:rPr>
          <w:rFonts w:hAnsi="宋体" w:cs="宋体"/>
          <w:sz w:val="24"/>
          <w:szCs w:val="24"/>
        </w:rPr>
      </w:pPr>
      <w:bookmarkStart w:id="625" w:name="_Toc1076"/>
      <w:bookmarkStart w:id="626" w:name="_Toc6985"/>
      <w:r>
        <w:rPr>
          <w:rFonts w:hint="eastAsia" w:hAnsi="宋体" w:cs="宋体"/>
          <w:sz w:val="24"/>
          <w:szCs w:val="24"/>
        </w:rPr>
        <w:t>4.本保函在本合同规定的保证期期满前完全有效。</w:t>
      </w:r>
      <w:bookmarkEnd w:id="625"/>
      <w:bookmarkEnd w:id="626"/>
    </w:p>
    <w:p>
      <w:pPr>
        <w:pStyle w:val="13"/>
        <w:widowControl w:val="0"/>
        <w:spacing w:line="240" w:lineRule="atLeast"/>
        <w:ind w:left="1079" w:leftChars="257" w:hanging="540"/>
        <w:rPr>
          <w:rFonts w:hAnsi="宋体" w:cs="宋体"/>
          <w:sz w:val="24"/>
          <w:szCs w:val="24"/>
        </w:rPr>
      </w:pPr>
    </w:p>
    <w:p>
      <w:pPr>
        <w:pStyle w:val="13"/>
        <w:widowControl w:val="0"/>
        <w:spacing w:line="240" w:lineRule="atLeast"/>
        <w:ind w:left="1079" w:leftChars="257" w:hanging="540"/>
        <w:rPr>
          <w:rFonts w:hAnsi="宋体" w:cs="宋体"/>
          <w:sz w:val="24"/>
          <w:szCs w:val="24"/>
        </w:rPr>
      </w:pPr>
      <w:r>
        <w:rPr>
          <w:rFonts w:hint="eastAsia" w:hAnsi="宋体" w:cs="宋体"/>
          <w:sz w:val="24"/>
          <w:szCs w:val="24"/>
        </w:rPr>
        <w:t>谨启</w:t>
      </w:r>
    </w:p>
    <w:p>
      <w:pPr>
        <w:pStyle w:val="13"/>
        <w:widowControl w:val="0"/>
        <w:spacing w:line="240" w:lineRule="atLeast"/>
        <w:ind w:left="1079" w:leftChars="257" w:hanging="540"/>
        <w:rPr>
          <w:rFonts w:hAnsi="宋体" w:cs="宋体"/>
          <w:sz w:val="24"/>
          <w:szCs w:val="24"/>
        </w:rPr>
      </w:pPr>
      <w:r>
        <w:rPr>
          <w:rFonts w:hint="eastAsia" w:hAnsi="宋体" w:cs="宋体"/>
          <w:sz w:val="24"/>
          <w:szCs w:val="24"/>
        </w:rPr>
        <w:t>出具保函银行名称：</w:t>
      </w:r>
    </w:p>
    <w:p>
      <w:pPr>
        <w:pStyle w:val="13"/>
        <w:widowControl w:val="0"/>
        <w:spacing w:line="240" w:lineRule="atLeast"/>
        <w:ind w:left="1079" w:leftChars="257" w:hanging="540"/>
        <w:rPr>
          <w:rFonts w:hAnsi="宋体" w:cs="宋体"/>
          <w:sz w:val="24"/>
          <w:szCs w:val="24"/>
          <w:u w:val="single"/>
        </w:rPr>
      </w:pPr>
      <w:r>
        <w:rPr>
          <w:rFonts w:hint="eastAsia" w:hAnsi="宋体" w:cs="宋体"/>
          <w:sz w:val="24"/>
          <w:szCs w:val="24"/>
        </w:rPr>
        <w:t>签字人姓名和职务：</w:t>
      </w:r>
    </w:p>
    <w:p>
      <w:pPr>
        <w:pStyle w:val="13"/>
        <w:widowControl w:val="0"/>
        <w:spacing w:line="240" w:lineRule="atLeast"/>
        <w:ind w:left="1079" w:leftChars="257" w:hanging="540"/>
        <w:rPr>
          <w:rFonts w:hAnsi="宋体" w:cs="宋体"/>
          <w:sz w:val="24"/>
          <w:szCs w:val="24"/>
        </w:rPr>
      </w:pPr>
      <w:r>
        <w:rPr>
          <w:rFonts w:hint="eastAsia" w:hAnsi="宋体" w:cs="宋体"/>
          <w:sz w:val="24"/>
          <w:szCs w:val="24"/>
        </w:rPr>
        <w:t>签字人签名：</w:t>
      </w:r>
    </w:p>
    <w:p>
      <w:pPr>
        <w:pStyle w:val="13"/>
        <w:widowControl w:val="0"/>
        <w:spacing w:line="240" w:lineRule="atLeast"/>
        <w:ind w:left="1079" w:leftChars="257" w:hanging="540"/>
        <w:rPr>
          <w:rFonts w:hAnsi="宋体" w:cs="宋体"/>
          <w:sz w:val="24"/>
          <w:szCs w:val="24"/>
          <w:u w:val="single"/>
        </w:rPr>
      </w:pPr>
      <w:r>
        <w:rPr>
          <w:rFonts w:hint="eastAsia" w:hAnsi="宋体" w:cs="宋体"/>
          <w:sz w:val="24"/>
          <w:szCs w:val="24"/>
        </w:rPr>
        <w:t>公章：</w:t>
      </w:r>
    </w:p>
    <w:p>
      <w:pPr>
        <w:pStyle w:val="2"/>
        <w:ind w:firstLine="240"/>
        <w:rPr>
          <w:rFonts w:hint="default" w:ascii="宋体" w:hAnsi="宋体" w:eastAsia="宋体" w:cs="宋体"/>
          <w:szCs w:val="24"/>
        </w:rPr>
      </w:pPr>
    </w:p>
    <w:p>
      <w:pPr>
        <w:pStyle w:val="2"/>
        <w:ind w:firstLine="240"/>
        <w:rPr>
          <w:rFonts w:hint="default" w:ascii="宋体" w:hAnsi="宋体" w:eastAsia="宋体" w:cs="宋体"/>
          <w:szCs w:val="24"/>
        </w:rPr>
      </w:pPr>
    </w:p>
    <w:p>
      <w:pPr>
        <w:pStyle w:val="2"/>
        <w:ind w:firstLine="240"/>
        <w:rPr>
          <w:rFonts w:hint="default" w:ascii="宋体" w:hAnsi="宋体" w:eastAsia="宋体" w:cs="宋体"/>
        </w:rPr>
      </w:pPr>
    </w:p>
    <w:p>
      <w:pPr>
        <w:pStyle w:val="2"/>
        <w:ind w:firstLine="240"/>
        <w:rPr>
          <w:rFonts w:hint="default" w:ascii="宋体" w:hAnsi="宋体" w:eastAsia="宋体" w:cs="宋体"/>
        </w:rPr>
      </w:pPr>
    </w:p>
    <w:p>
      <w:pPr>
        <w:pStyle w:val="2"/>
        <w:ind w:firstLine="240"/>
        <w:rPr>
          <w:rFonts w:hint="default" w:ascii="宋体" w:hAnsi="宋体" w:eastAsia="宋体" w:cs="宋体"/>
        </w:rPr>
      </w:pPr>
    </w:p>
    <w:p>
      <w:pPr>
        <w:pStyle w:val="2"/>
        <w:ind w:firstLine="240"/>
        <w:rPr>
          <w:rFonts w:hint="default" w:ascii="宋体" w:hAnsi="宋体" w:eastAsia="宋体" w:cs="宋体"/>
        </w:rPr>
      </w:pPr>
    </w:p>
    <w:p>
      <w:pPr>
        <w:pStyle w:val="2"/>
        <w:ind w:firstLine="240"/>
        <w:rPr>
          <w:rFonts w:hint="default" w:ascii="宋体" w:hAnsi="宋体" w:eastAsia="宋体" w:cs="宋体"/>
        </w:rPr>
      </w:pPr>
    </w:p>
    <w:p>
      <w:pPr>
        <w:rPr>
          <w:rFonts w:ascii="宋体" w:hAnsi="宋体" w:cs="宋体"/>
        </w:rPr>
      </w:pPr>
    </w:p>
    <w:p>
      <w:pPr>
        <w:pStyle w:val="20"/>
        <w:rPr>
          <w:rFonts w:ascii="宋体" w:hAnsi="宋体" w:cs="宋体"/>
        </w:rPr>
      </w:pPr>
    </w:p>
    <w:p>
      <w:pPr>
        <w:pStyle w:val="3"/>
        <w:rPr>
          <w:rFonts w:cs="宋体"/>
        </w:rPr>
      </w:pPr>
    </w:p>
    <w:p>
      <w:pPr>
        <w:pStyle w:val="2"/>
        <w:ind w:firstLine="240"/>
        <w:rPr>
          <w:rFonts w:hint="default" w:ascii="宋体" w:hAnsi="宋体" w:eastAsia="宋体" w:cs="宋体"/>
        </w:rPr>
      </w:pPr>
    </w:p>
    <w:p/>
    <w:p>
      <w:pPr>
        <w:pStyle w:val="20"/>
      </w:pPr>
    </w:p>
    <w:p>
      <w:pPr>
        <w:widowControl w:val="0"/>
        <w:spacing w:line="240" w:lineRule="atLeast"/>
        <w:ind w:left="1079" w:leftChars="257" w:hanging="540"/>
        <w:rPr>
          <w:rFonts w:ascii="宋体" w:hAnsi="宋体" w:cs="宋体"/>
        </w:rPr>
      </w:pPr>
      <w:bookmarkStart w:id="627" w:name="_Toc21744"/>
      <w:bookmarkStart w:id="628" w:name="_Toc27788"/>
      <w:bookmarkStart w:id="629" w:name="_Toc16707"/>
      <w:bookmarkStart w:id="630" w:name="_Toc22540"/>
      <w:bookmarkStart w:id="631" w:name="_Toc518923104"/>
      <w:bookmarkStart w:id="632" w:name="_Toc27581"/>
      <w:r>
        <w:rPr>
          <w:rFonts w:hint="eastAsia" w:ascii="宋体" w:hAnsi="宋体" w:cs="宋体"/>
        </w:rPr>
        <w:t>附件2：履约担保函格式</w:t>
      </w:r>
      <w:bookmarkEnd w:id="627"/>
      <w:bookmarkEnd w:id="628"/>
      <w:bookmarkEnd w:id="629"/>
      <w:bookmarkEnd w:id="630"/>
      <w:bookmarkEnd w:id="631"/>
      <w:bookmarkEnd w:id="632"/>
    </w:p>
    <w:p>
      <w:pPr>
        <w:widowControl w:val="0"/>
        <w:spacing w:line="240" w:lineRule="atLeast"/>
        <w:ind w:left="1079" w:leftChars="257" w:hanging="540"/>
        <w:rPr>
          <w:rFonts w:ascii="宋体" w:hAnsi="宋体" w:cs="宋体"/>
        </w:rPr>
      </w:pPr>
      <w:bookmarkStart w:id="633" w:name="_Toc13962"/>
      <w:bookmarkStart w:id="634" w:name="_Toc7209"/>
      <w:bookmarkStart w:id="635" w:name="_Toc515647801"/>
      <w:bookmarkStart w:id="636" w:name="_Toc162"/>
      <w:bookmarkStart w:id="637" w:name="_Toc9735"/>
      <w:bookmarkStart w:id="638" w:name="_Toc32574"/>
      <w:r>
        <w:rPr>
          <w:rFonts w:hint="eastAsia" w:ascii="宋体" w:hAnsi="宋体" w:cs="宋体"/>
        </w:rPr>
        <w:t>（采用政府采购信用担保形式时使用）</w:t>
      </w:r>
      <w:bookmarkEnd w:id="633"/>
      <w:bookmarkEnd w:id="634"/>
      <w:bookmarkEnd w:id="635"/>
      <w:bookmarkEnd w:id="636"/>
      <w:bookmarkEnd w:id="637"/>
      <w:bookmarkEnd w:id="638"/>
    </w:p>
    <w:p>
      <w:pPr>
        <w:widowControl w:val="0"/>
        <w:spacing w:line="240" w:lineRule="atLeast"/>
        <w:ind w:left="1079" w:leftChars="257" w:hanging="540"/>
        <w:rPr>
          <w:rFonts w:ascii="宋体" w:hAnsi="宋体" w:cs="宋体"/>
          <w:b/>
          <w:kern w:val="0"/>
          <w:sz w:val="24"/>
          <w:szCs w:val="20"/>
        </w:rPr>
      </w:pPr>
    </w:p>
    <w:p>
      <w:pPr>
        <w:widowControl w:val="0"/>
        <w:jc w:val="center"/>
        <w:rPr>
          <w:rFonts w:ascii="宋体" w:hAnsi="宋体" w:cs="宋体"/>
          <w:sz w:val="24"/>
        </w:rPr>
      </w:pPr>
      <w:r>
        <w:rPr>
          <w:rFonts w:hint="eastAsia" w:ascii="宋体" w:hAnsi="宋体" w:cs="宋体"/>
          <w:sz w:val="24"/>
        </w:rPr>
        <w:t>政府采购履约担保函（项目用）</w:t>
      </w:r>
    </w:p>
    <w:p>
      <w:pPr>
        <w:widowControl w:val="0"/>
        <w:rPr>
          <w:rFonts w:ascii="宋体" w:hAnsi="宋体" w:cs="宋体"/>
          <w:sz w:val="24"/>
        </w:rPr>
      </w:pPr>
      <w:r>
        <w:rPr>
          <w:rFonts w:hint="eastAsia" w:ascii="宋体" w:hAnsi="宋体" w:cs="宋体"/>
          <w:sz w:val="24"/>
        </w:rPr>
        <w:t xml:space="preserve">                                                   编号：</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（采购人）：</w:t>
      </w:r>
    </w:p>
    <w:p>
      <w:pPr>
        <w:widowControl w:val="0"/>
        <w:rPr>
          <w:rFonts w:ascii="宋体" w:hAnsi="宋体" w:cs="宋体"/>
          <w:sz w:val="24"/>
        </w:rPr>
      </w:pPr>
    </w:p>
    <w:p>
      <w:pPr>
        <w:widowControl w:val="0"/>
        <w:ind w:firstLine="480" w:firstLineChars="200"/>
        <w:rPr>
          <w:rFonts w:ascii="宋体" w:hAnsi="宋体" w:cs="宋体"/>
          <w:sz w:val="24"/>
        </w:rPr>
      </w:pPr>
      <w:r>
        <w:rPr>
          <w:rFonts w:hint="eastAsia" w:ascii="宋体" w:hAnsi="宋体" w:cs="宋体"/>
          <w:sz w:val="24"/>
        </w:rPr>
        <w:t>鉴于你方与（以下简称供应商）于年月日签定编号为   的《政府采购合同》（以下简称主合同），且依据该合同的约定，供应商应在年</w:t>
      </w:r>
    </w:p>
    <w:p>
      <w:pPr>
        <w:widowControl w:val="0"/>
        <w:rPr>
          <w:rFonts w:ascii="宋体" w:hAnsi="宋体" w:cs="宋体"/>
          <w:sz w:val="24"/>
        </w:rPr>
      </w:pPr>
      <w:r>
        <w:rPr>
          <w:rFonts w:hint="eastAsia" w:ascii="宋体" w:hAnsi="宋体" w:cs="宋体"/>
          <w:sz w:val="24"/>
        </w:rPr>
        <w:t>月日前向你方交纳履约保证金，且可以履约担保函的形式交纳履约保证金。应供应商的申请，我方以保证的方式向你方提供如下履约保证金担保：</w:t>
      </w:r>
    </w:p>
    <w:p>
      <w:pPr>
        <w:widowControl w:val="0"/>
        <w:ind w:firstLine="480" w:firstLineChars="200"/>
        <w:rPr>
          <w:rFonts w:ascii="宋体" w:hAnsi="宋体" w:cs="宋体"/>
          <w:sz w:val="24"/>
        </w:rPr>
      </w:pPr>
      <w:bookmarkStart w:id="639" w:name="_Toc16807"/>
      <w:r>
        <w:rPr>
          <w:rFonts w:hint="eastAsia" w:ascii="宋体" w:hAnsi="宋体" w:cs="宋体"/>
          <w:sz w:val="24"/>
        </w:rPr>
        <w:t>一、保证责任的情形及保证金额</w:t>
      </w:r>
      <w:bookmarkEnd w:id="639"/>
    </w:p>
    <w:p>
      <w:pPr>
        <w:widowControl w:val="0"/>
        <w:ind w:firstLine="480" w:firstLineChars="200"/>
        <w:rPr>
          <w:rFonts w:ascii="宋体" w:hAnsi="宋体" w:cs="宋体"/>
          <w:sz w:val="24"/>
        </w:rPr>
      </w:pPr>
      <w:r>
        <w:rPr>
          <w:rFonts w:hint="eastAsia" w:ascii="宋体" w:hAnsi="宋体" w:cs="宋体"/>
          <w:sz w:val="24"/>
        </w:rPr>
        <w:t>（一）在供应商出现下列情形之一时，我方承担保证责任：</w:t>
      </w:r>
    </w:p>
    <w:p>
      <w:pPr>
        <w:widowControl w:val="0"/>
        <w:ind w:firstLine="480" w:firstLineChars="200"/>
        <w:rPr>
          <w:rFonts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pPr>
        <w:widowControl w:val="0"/>
        <w:rPr>
          <w:rFonts w:ascii="宋体" w:hAnsi="宋体" w:cs="宋体"/>
          <w:sz w:val="24"/>
        </w:rPr>
      </w:pPr>
      <w:r>
        <w:rPr>
          <w:rFonts w:hint="eastAsia" w:ascii="宋体" w:hAnsi="宋体" w:cs="宋体"/>
          <w:sz w:val="24"/>
        </w:rPr>
        <w:t>　　</w:t>
      </w:r>
      <w:bookmarkStart w:id="640" w:name="_Toc30650"/>
      <w:bookmarkStart w:id="641" w:name="_Toc806"/>
      <w:bookmarkStart w:id="642" w:name="_Toc2434"/>
      <w:r>
        <w:rPr>
          <w:rFonts w:hint="eastAsia" w:ascii="宋体" w:hAnsi="宋体" w:cs="宋体"/>
          <w:sz w:val="24"/>
        </w:rPr>
        <w:t>2．主合同约定的应当缴纳履约保证金的情形:</w:t>
      </w:r>
      <w:bookmarkEnd w:id="640"/>
      <w:bookmarkEnd w:id="641"/>
      <w:bookmarkEnd w:id="642"/>
    </w:p>
    <w:p>
      <w:pPr>
        <w:widowControl w:val="0"/>
        <w:ind w:firstLine="480" w:firstLineChars="200"/>
        <w:rPr>
          <w:rFonts w:ascii="宋体" w:hAnsi="宋体" w:cs="宋体"/>
          <w:sz w:val="24"/>
        </w:rPr>
      </w:pPr>
      <w:r>
        <w:rPr>
          <w:rFonts w:hint="eastAsia" w:ascii="宋体" w:hAnsi="宋体" w:cs="宋体"/>
          <w:sz w:val="24"/>
        </w:rPr>
        <w:t>（1）未按主合同约定的质量、数量和期限供应货物/提供服务/完成工程的；</w:t>
      </w:r>
    </w:p>
    <w:p>
      <w:pPr>
        <w:widowControl w:val="0"/>
        <w:ind w:firstLine="480" w:firstLineChars="200"/>
        <w:rPr>
          <w:rFonts w:ascii="宋体" w:hAnsi="宋体" w:cs="宋体"/>
          <w:sz w:val="24"/>
        </w:rPr>
      </w:pPr>
      <w:r>
        <w:rPr>
          <w:rFonts w:hint="eastAsia" w:ascii="宋体" w:hAnsi="宋体" w:cs="宋体"/>
          <w:sz w:val="24"/>
        </w:rPr>
        <w:t>（2）。</w:t>
      </w:r>
    </w:p>
    <w:p>
      <w:pPr>
        <w:widowControl w:val="0"/>
        <w:ind w:firstLine="480" w:firstLineChars="200"/>
        <w:rPr>
          <w:rFonts w:ascii="宋体" w:hAnsi="宋体" w:cs="宋体"/>
          <w:sz w:val="24"/>
        </w:rPr>
      </w:pPr>
      <w:r>
        <w:rPr>
          <w:rFonts w:hint="eastAsia" w:ascii="宋体" w:hAnsi="宋体" w:cs="宋体"/>
          <w:sz w:val="24"/>
        </w:rPr>
        <w:t>（二）我方的保证范围是主合同约定的合同价款总额的%数额为元（大写），币种为。（即主合同履约保证金金额）</w:t>
      </w:r>
    </w:p>
    <w:p>
      <w:pPr>
        <w:widowControl w:val="0"/>
        <w:ind w:firstLine="480" w:firstLineChars="200"/>
        <w:rPr>
          <w:rFonts w:ascii="宋体" w:hAnsi="宋体" w:cs="宋体"/>
          <w:sz w:val="24"/>
        </w:rPr>
      </w:pPr>
      <w:bookmarkStart w:id="643" w:name="_Toc16733"/>
      <w:r>
        <w:rPr>
          <w:rFonts w:hint="eastAsia" w:ascii="宋体" w:hAnsi="宋体" w:cs="宋体"/>
          <w:sz w:val="24"/>
        </w:rPr>
        <w:t>二、保证的方式及保证期间</w:t>
      </w:r>
      <w:bookmarkEnd w:id="643"/>
    </w:p>
    <w:p>
      <w:pPr>
        <w:widowControl w:val="0"/>
        <w:ind w:firstLine="480" w:firstLineChars="200"/>
        <w:rPr>
          <w:rFonts w:ascii="宋体" w:hAnsi="宋体" w:cs="宋体"/>
          <w:sz w:val="24"/>
        </w:rPr>
      </w:pPr>
      <w:r>
        <w:rPr>
          <w:rFonts w:hint="eastAsia" w:ascii="宋体" w:hAnsi="宋体" w:cs="宋体"/>
          <w:sz w:val="24"/>
        </w:rPr>
        <w:t>我方保证的方式为：连带责任保证。</w:t>
      </w:r>
    </w:p>
    <w:p>
      <w:pPr>
        <w:widowControl w:val="0"/>
        <w:ind w:firstLine="480" w:firstLineChars="200"/>
        <w:rPr>
          <w:rFonts w:ascii="宋体" w:hAnsi="宋体" w:cs="宋体"/>
          <w:sz w:val="24"/>
        </w:rPr>
      </w:pPr>
      <w:r>
        <w:rPr>
          <w:rFonts w:hint="eastAsia" w:ascii="宋体" w:hAnsi="宋体" w:cs="宋体"/>
          <w:sz w:val="24"/>
        </w:rPr>
        <w:t>我方保证的期间为：自本合同生效之日起至供应商按照主合同约定的供货/完工期限届满后日内。</w:t>
      </w:r>
    </w:p>
    <w:p>
      <w:pPr>
        <w:widowControl w:val="0"/>
        <w:ind w:firstLine="480" w:firstLineChars="200"/>
        <w:rPr>
          <w:rFonts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widowControl w:val="0"/>
        <w:ind w:firstLine="480" w:firstLineChars="200"/>
        <w:rPr>
          <w:rFonts w:ascii="宋体" w:hAnsi="宋体" w:cs="宋体"/>
          <w:sz w:val="24"/>
        </w:rPr>
      </w:pPr>
      <w:bookmarkStart w:id="644" w:name="_Toc19668"/>
      <w:r>
        <w:rPr>
          <w:rFonts w:hint="eastAsia" w:ascii="宋体" w:hAnsi="宋体" w:cs="宋体"/>
          <w:sz w:val="24"/>
        </w:rPr>
        <w:t>三、承担保证责任的程序</w:t>
      </w:r>
      <w:bookmarkEnd w:id="644"/>
    </w:p>
    <w:p>
      <w:pPr>
        <w:widowControl w:val="0"/>
        <w:ind w:firstLine="480"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widowControl w:val="0"/>
        <w:ind w:firstLine="480" w:firstLineChars="200"/>
        <w:rPr>
          <w:rFonts w:ascii="宋体" w:hAnsi="宋体" w:cs="宋体"/>
          <w:sz w:val="24"/>
        </w:rPr>
      </w:pPr>
      <w:r>
        <w:rPr>
          <w:rFonts w:hint="eastAsia" w:ascii="宋体" w:hAnsi="宋体" w:cs="宋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val="0"/>
        <w:ind w:firstLine="480" w:firstLineChars="200"/>
        <w:rPr>
          <w:rFonts w:ascii="宋体" w:hAnsi="宋体" w:cs="宋体"/>
          <w:sz w:val="24"/>
        </w:rPr>
      </w:pPr>
      <w:r>
        <w:rPr>
          <w:rFonts w:hint="eastAsia" w:ascii="宋体" w:hAnsi="宋体" w:cs="宋体"/>
          <w:sz w:val="24"/>
        </w:rPr>
        <w:t>2． 我方收到你方的书面索赔通知及相应证明材料，在工作日内进行核定后按照本保函的承诺承担保证责任。</w:t>
      </w:r>
    </w:p>
    <w:p>
      <w:pPr>
        <w:widowControl w:val="0"/>
        <w:ind w:firstLine="480" w:firstLineChars="200"/>
        <w:rPr>
          <w:rFonts w:ascii="宋体" w:hAnsi="宋体" w:cs="宋体"/>
          <w:sz w:val="24"/>
        </w:rPr>
      </w:pPr>
      <w:bookmarkStart w:id="645" w:name="_Toc11641"/>
      <w:r>
        <w:rPr>
          <w:rFonts w:hint="eastAsia" w:ascii="宋体" w:hAnsi="宋体" w:cs="宋体"/>
          <w:sz w:val="24"/>
        </w:rPr>
        <w:t>四、保证责任的终止</w:t>
      </w:r>
      <w:bookmarkEnd w:id="645"/>
    </w:p>
    <w:p>
      <w:pPr>
        <w:widowControl w:val="0"/>
        <w:ind w:firstLine="480"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val="0"/>
        <w:ind w:firstLine="480"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widowControl w:val="0"/>
        <w:ind w:firstLine="480" w:firstLineChars="200"/>
        <w:rPr>
          <w:rFonts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widowControl w:val="0"/>
        <w:ind w:firstLine="480" w:firstLineChars="200"/>
        <w:rPr>
          <w:rFonts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val="0"/>
        <w:ind w:firstLine="480" w:firstLineChars="200"/>
        <w:rPr>
          <w:rFonts w:ascii="宋体" w:hAnsi="宋体" w:cs="宋体"/>
          <w:sz w:val="24"/>
        </w:rPr>
      </w:pPr>
      <w:bookmarkStart w:id="646" w:name="_Toc3542"/>
      <w:r>
        <w:rPr>
          <w:rFonts w:hint="eastAsia" w:ascii="宋体" w:hAnsi="宋体" w:cs="宋体"/>
          <w:sz w:val="24"/>
        </w:rPr>
        <w:t>五、免责条款</w:t>
      </w:r>
      <w:bookmarkEnd w:id="646"/>
    </w:p>
    <w:p>
      <w:pPr>
        <w:widowControl w:val="0"/>
        <w:ind w:firstLine="480" w:firstLineChars="200"/>
        <w:rPr>
          <w:rFonts w:ascii="宋体" w:hAnsi="宋体" w:cs="宋体"/>
          <w:sz w:val="24"/>
        </w:rPr>
      </w:pPr>
      <w:r>
        <w:rPr>
          <w:rFonts w:hint="eastAsia" w:ascii="宋体" w:hAnsi="宋体" w:cs="宋体"/>
          <w:sz w:val="24"/>
        </w:rPr>
        <w:t>1．因你方违反主合同约定致使供应商不能履行义务的，我方不承担保证责任。</w:t>
      </w:r>
    </w:p>
    <w:p>
      <w:pPr>
        <w:widowControl w:val="0"/>
        <w:ind w:firstLine="480" w:firstLineChars="200"/>
        <w:rPr>
          <w:rFonts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widowControl w:val="0"/>
        <w:ind w:firstLine="480" w:firstLineChars="200"/>
        <w:rPr>
          <w:rFonts w:ascii="宋体" w:hAnsi="宋体" w:cs="宋体"/>
          <w:sz w:val="24"/>
        </w:rPr>
      </w:pPr>
      <w:r>
        <w:rPr>
          <w:rFonts w:hint="eastAsia" w:ascii="宋体" w:hAnsi="宋体" w:cs="宋体"/>
          <w:sz w:val="24"/>
        </w:rPr>
        <w:t>3．因不可抗力造成供应商不能履行供货义务的，我方不承担保证责任。</w:t>
      </w:r>
    </w:p>
    <w:p>
      <w:pPr>
        <w:widowControl w:val="0"/>
        <w:ind w:firstLine="480" w:firstLineChars="200"/>
        <w:rPr>
          <w:rFonts w:ascii="宋体" w:hAnsi="宋体" w:cs="宋体"/>
          <w:sz w:val="24"/>
        </w:rPr>
      </w:pPr>
      <w:bookmarkStart w:id="647" w:name="_Toc908"/>
      <w:r>
        <w:rPr>
          <w:rFonts w:hint="eastAsia" w:ascii="宋体" w:hAnsi="宋体" w:cs="宋体"/>
          <w:sz w:val="24"/>
        </w:rPr>
        <w:t>六、争议的解决</w:t>
      </w:r>
      <w:bookmarkEnd w:id="647"/>
    </w:p>
    <w:p>
      <w:pPr>
        <w:widowControl w:val="0"/>
        <w:ind w:firstLine="480"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val="0"/>
        <w:ind w:firstLine="480" w:firstLineChars="200"/>
        <w:rPr>
          <w:rFonts w:ascii="宋体" w:hAnsi="宋体" w:cs="宋体"/>
          <w:sz w:val="24"/>
        </w:rPr>
      </w:pPr>
      <w:bookmarkStart w:id="648" w:name="_Toc17651"/>
      <w:r>
        <w:rPr>
          <w:rFonts w:hint="eastAsia" w:ascii="宋体" w:hAnsi="宋体" w:cs="宋体"/>
          <w:sz w:val="24"/>
        </w:rPr>
        <w:t>七、保函的生效</w:t>
      </w:r>
      <w:bookmarkEnd w:id="648"/>
    </w:p>
    <w:p>
      <w:pPr>
        <w:widowControl w:val="0"/>
        <w:ind w:firstLine="480" w:firstLineChars="200"/>
        <w:rPr>
          <w:rFonts w:ascii="宋体" w:hAnsi="宋体" w:cs="宋体"/>
          <w:sz w:val="24"/>
        </w:rPr>
      </w:pPr>
      <w:r>
        <w:rPr>
          <w:rFonts w:hint="eastAsia" w:ascii="宋体" w:hAnsi="宋体" w:cs="宋体"/>
          <w:sz w:val="24"/>
        </w:rPr>
        <w:t>本保函自我方加盖公章之日起生效。</w:t>
      </w:r>
    </w:p>
    <w:p>
      <w:pPr>
        <w:pStyle w:val="20"/>
        <w:rPr>
          <w:rFonts w:ascii="宋体" w:hAnsi="宋体" w:cs="宋体"/>
          <w:sz w:val="24"/>
        </w:rPr>
      </w:pPr>
    </w:p>
    <w:p>
      <w:pPr>
        <w:pStyle w:val="3"/>
      </w:pPr>
    </w:p>
    <w:p>
      <w:pPr>
        <w:widowControl w:val="0"/>
        <w:rPr>
          <w:rFonts w:ascii="宋体" w:hAnsi="宋体" w:cs="宋体"/>
          <w:sz w:val="24"/>
        </w:rPr>
      </w:pPr>
    </w:p>
    <w:p>
      <w:pPr>
        <w:widowControl w:val="0"/>
        <w:rPr>
          <w:rFonts w:ascii="宋体" w:hAnsi="宋体" w:cs="宋体"/>
          <w:sz w:val="24"/>
        </w:rPr>
      </w:pPr>
    </w:p>
    <w:p>
      <w:pPr>
        <w:widowControl w:val="0"/>
        <w:ind w:firstLine="5400" w:firstLineChars="2250"/>
        <w:rPr>
          <w:rFonts w:ascii="宋体" w:hAnsi="宋体" w:cs="宋体"/>
          <w:sz w:val="24"/>
        </w:rPr>
      </w:pPr>
      <w:r>
        <w:rPr>
          <w:rFonts w:hint="eastAsia" w:ascii="宋体" w:hAnsi="宋体" w:cs="宋体"/>
          <w:sz w:val="24"/>
        </w:rPr>
        <w:t>保证人：（公章）</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 xml:space="preserve">                                                   年     月      日</w:t>
      </w:r>
    </w:p>
    <w:p>
      <w:pPr>
        <w:widowControl w:val="0"/>
        <w:rPr>
          <w:rFonts w:ascii="宋体" w:hAnsi="宋体" w:cs="宋体"/>
          <w:sz w:val="24"/>
        </w:rPr>
      </w:pPr>
    </w:p>
    <w:p>
      <w:pPr>
        <w:pStyle w:val="2"/>
        <w:ind w:firstLine="0" w:firstLineChars="0"/>
        <w:rPr>
          <w:rFonts w:hint="default" w:ascii="仿宋_GB2312" w:hAnsi="仿宋_GB2312" w:eastAsia="仿宋_GB2312" w:cs="仿宋_GB2312"/>
          <w:b/>
          <w:kern w:val="0"/>
          <w:sz w:val="44"/>
          <w:szCs w:val="44"/>
        </w:rPr>
      </w:pPr>
    </w:p>
    <w:p>
      <w:pPr>
        <w:widowControl w:val="0"/>
        <w:tabs>
          <w:tab w:val="left" w:pos="0"/>
        </w:tabs>
        <w:spacing w:line="240" w:lineRule="atLeast"/>
        <w:rPr>
          <w:rFonts w:ascii="仿宋_GB2312" w:hAnsi="仿宋_GB2312" w:eastAsia="仿宋_GB2312" w:cs="仿宋_GB2312"/>
          <w:b/>
          <w:kern w:val="0"/>
          <w:sz w:val="44"/>
          <w:szCs w:val="44"/>
        </w:rPr>
      </w:pPr>
    </w:p>
    <w:p>
      <w:pPr>
        <w:pStyle w:val="11"/>
        <w:ind w:firstLine="883"/>
        <w:rPr>
          <w:rFonts w:ascii="仿宋_GB2312" w:hAnsi="仿宋_GB2312" w:eastAsia="仿宋_GB2312" w:cs="仿宋_GB2312"/>
          <w:b/>
          <w:kern w:val="0"/>
          <w:sz w:val="44"/>
          <w:szCs w:val="44"/>
        </w:rPr>
      </w:pPr>
    </w:p>
    <w:p>
      <w:pPr>
        <w:pStyle w:val="7"/>
        <w:rPr>
          <w:rFonts w:ascii="仿宋_GB2312" w:hAnsi="仿宋_GB2312" w:eastAsia="仿宋_GB2312" w:cs="仿宋_GB2312"/>
          <w:b/>
          <w:sz w:val="44"/>
          <w:szCs w:val="44"/>
        </w:rPr>
      </w:pPr>
    </w:p>
    <w:p>
      <w:pPr>
        <w:pStyle w:val="9"/>
        <w:rPr>
          <w:rFonts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11"/>
        <w:ind w:firstLine="883"/>
        <w:rPr>
          <w:rFonts w:ascii="仿宋_GB2312" w:hAnsi="仿宋_GB2312" w:eastAsia="仿宋_GB2312" w:cs="仿宋_GB2312"/>
          <w:b/>
          <w:kern w:val="0"/>
          <w:sz w:val="44"/>
          <w:szCs w:val="44"/>
        </w:rPr>
      </w:pPr>
    </w:p>
    <w:p>
      <w:pPr>
        <w:pStyle w:val="2"/>
        <w:ind w:firstLine="442"/>
        <w:rPr>
          <w:rFonts w:hint="default" w:ascii="仿宋_GB2312" w:hAnsi="仿宋_GB2312" w:eastAsia="仿宋_GB2312" w:cs="仿宋_GB2312"/>
          <w:b/>
          <w:kern w:val="0"/>
          <w:sz w:val="44"/>
          <w:szCs w:val="44"/>
        </w:rPr>
      </w:pPr>
    </w:p>
    <w:p>
      <w:pPr>
        <w:pStyle w:val="20"/>
        <w:rPr>
          <w:rFonts w:ascii="仿宋_GB2312" w:hAnsi="仿宋_GB2312" w:eastAsia="仿宋_GB2312" w:cs="仿宋_GB2312"/>
          <w:b/>
          <w:kern w:val="0"/>
          <w:sz w:val="44"/>
          <w:szCs w:val="44"/>
        </w:rPr>
      </w:pPr>
    </w:p>
    <w:p>
      <w:pPr>
        <w:pStyle w:val="3"/>
        <w:rPr>
          <w:rFonts w:ascii="仿宋_GB2312" w:hAnsi="仿宋_GB2312" w:eastAsia="仿宋_GB2312" w:cs="仿宋_GB2312"/>
          <w:b/>
          <w:kern w:val="0"/>
          <w:sz w:val="44"/>
          <w:szCs w:val="44"/>
        </w:rPr>
      </w:pPr>
    </w:p>
    <w:p>
      <w:pPr>
        <w:pStyle w:val="2"/>
        <w:ind w:firstLine="442"/>
        <w:rPr>
          <w:rFonts w:hint="default"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7"/>
        <w:ind w:firstLine="0"/>
        <w:rPr>
          <w:rFonts w:ascii="仿宋_GB2312" w:hAnsi="仿宋_GB2312" w:eastAsia="仿宋_GB2312" w:cs="仿宋_GB2312"/>
          <w:b/>
          <w:sz w:val="44"/>
          <w:szCs w:val="44"/>
        </w:rPr>
      </w:pPr>
    </w:p>
    <w:p>
      <w:pPr>
        <w:pStyle w:val="4"/>
        <w:tabs>
          <w:tab w:val="left" w:pos="0"/>
        </w:tabs>
        <w:spacing w:before="0" w:after="0" w:line="240" w:lineRule="atLeast"/>
        <w:rPr>
          <w:rFonts w:ascii="仿宋_GB2312" w:hAnsi="仿宋_GB2312" w:eastAsia="仿宋_GB2312" w:cs="仿宋_GB2312"/>
          <w:sz w:val="44"/>
          <w:szCs w:val="44"/>
        </w:rPr>
      </w:pPr>
      <w:bookmarkStart w:id="649" w:name="_Toc333"/>
      <w:r>
        <w:rPr>
          <w:rFonts w:hint="eastAsia" w:ascii="仿宋_GB2312" w:hAnsi="仿宋_GB2312" w:eastAsia="仿宋_GB2312" w:cs="仿宋_GB2312"/>
          <w:kern w:val="0"/>
          <w:sz w:val="44"/>
          <w:szCs w:val="44"/>
        </w:rPr>
        <w:t>第二章</w:t>
      </w:r>
      <w:r>
        <w:rPr>
          <w:rFonts w:hint="eastAsia" w:ascii="仿宋_GB2312" w:hAnsi="仿宋_GB2312" w:eastAsia="仿宋_GB2312" w:cs="仿宋_GB2312"/>
          <w:sz w:val="44"/>
          <w:szCs w:val="44"/>
        </w:rPr>
        <w:t xml:space="preserve">  投标文件格式</w:t>
      </w:r>
      <w:bookmarkEnd w:id="4"/>
      <w:bookmarkEnd w:id="5"/>
      <w:bookmarkEnd w:id="6"/>
      <w:bookmarkEnd w:id="7"/>
      <w:bookmarkEnd w:id="8"/>
      <w:bookmarkEnd w:id="9"/>
      <w:bookmarkEnd w:id="10"/>
      <w:bookmarkEnd w:id="11"/>
      <w:bookmarkEnd w:id="12"/>
      <w:bookmarkEnd w:id="649"/>
    </w:p>
    <w:p>
      <w:pPr>
        <w:rPr>
          <w:sz w:val="20"/>
        </w:rPr>
      </w:pPr>
    </w:p>
    <w:p>
      <w:pPr>
        <w:pStyle w:val="5"/>
        <w:spacing w:before="0" w:line="240" w:lineRule="atLeast"/>
        <w:ind w:left="1079" w:leftChars="257" w:hanging="540"/>
        <w:rPr>
          <w:rFonts w:ascii="仿宋_GB2312" w:hAnsi="宋体" w:eastAsia="仿宋_GB2312"/>
          <w:sz w:val="24"/>
        </w:rPr>
      </w:pPr>
      <w:bookmarkStart w:id="650" w:name="_Toc518923107"/>
      <w:bookmarkStart w:id="651" w:name="_Toc15142"/>
    </w:p>
    <w:p>
      <w:pPr>
        <w:pStyle w:val="5"/>
        <w:spacing w:before="0" w:line="240" w:lineRule="atLeast"/>
        <w:ind w:left="1079" w:leftChars="257" w:hanging="540"/>
        <w:rPr>
          <w:rFonts w:ascii="仿宋_GB2312" w:hAnsi="宋体" w:eastAsia="仿宋_GB2312"/>
          <w:sz w:val="24"/>
        </w:rPr>
      </w:pPr>
      <w:bookmarkStart w:id="652" w:name="_Toc7162"/>
      <w:bookmarkStart w:id="653" w:name="_Toc11201"/>
      <w:bookmarkStart w:id="654" w:name="_Toc13309"/>
      <w:bookmarkStart w:id="655" w:name="_Toc14363"/>
      <w:bookmarkStart w:id="656" w:name="_Toc5582"/>
      <w:bookmarkStart w:id="657" w:name="_Toc11730"/>
      <w:bookmarkStart w:id="658" w:name="_Toc21312"/>
      <w:bookmarkStart w:id="659" w:name="_Toc24822"/>
      <w:bookmarkStart w:id="660" w:name="_Toc10047"/>
      <w:bookmarkStart w:id="661" w:name="_Toc8875"/>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pPr>
        <w:spacing w:line="288" w:lineRule="auto"/>
        <w:rPr>
          <w:rFonts w:ascii="仿宋_GB2312" w:hAnsi="仿宋_GB2312" w:eastAsia="仿宋_GB2312" w:cs="仿宋_GB2312"/>
          <w:sz w:val="24"/>
        </w:rPr>
      </w:pPr>
    </w:p>
    <w:p>
      <w:pPr>
        <w:spacing w:line="240" w:lineRule="atLeast"/>
        <w:ind w:left="708" w:hanging="708" w:hangingChars="295"/>
        <w:jc w:val="center"/>
        <w:rPr>
          <w:rFonts w:ascii="仿宋_GB2312" w:hAnsi="宋体" w:eastAsia="仿宋_GB2312"/>
          <w:sz w:val="24"/>
        </w:rPr>
      </w:pP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1、开标一览表</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2、法人或者非法人组织的营业执照等证明文件</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3、法定代表人身份证明</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4、法定代表人授权委托书</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5、投标保证金缴纳凭证复印件</w:t>
      </w:r>
      <w:r>
        <w:rPr>
          <w:rFonts w:hint="eastAsia" w:ascii="仿宋_GB2312" w:hAnsi="仿宋" w:eastAsia="仿宋_GB2312"/>
          <w:sz w:val="24"/>
        </w:rPr>
        <w:t>或银行保函复印件</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6、社会保障资金的缴纳记录</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7、良好的商业信誉和健全的财务会计制度证明材料</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8、依法缴纳税收的证明</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9、参加政府采购活动前3年内在经营活动中没有重大违法记录的书面声明及反商业受贿承诺</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10、投标人须知资料表要求的其他资格证明文件</w:t>
      </w: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3"/>
        <w:rPr>
          <w:rFonts w:ascii="仿宋_GB2312" w:hAnsi="仿宋_GB2312" w:eastAsia="仿宋_GB2312" w:cs="仿宋_GB2312"/>
        </w:rPr>
      </w:pPr>
    </w:p>
    <w:p>
      <w:pPr>
        <w:pStyle w:val="2"/>
        <w:ind w:firstLine="240"/>
        <w:rPr>
          <w:rFonts w:hint="default" w:ascii="仿宋_GB2312" w:hAnsi="仿宋_GB2312" w:eastAsia="仿宋_GB2312" w:cs="仿宋_GB2312"/>
        </w:rPr>
      </w:pPr>
    </w:p>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20"/>
        <w:rPr>
          <w:rFonts w:ascii="仿宋_GB2312" w:hAnsi="仿宋_GB2312" w:eastAsia="仿宋_GB2312" w:cs="仿宋_GB2312"/>
          <w:sz w:val="24"/>
        </w:rPr>
      </w:pPr>
    </w:p>
    <w:p>
      <w:pPr>
        <w:pStyle w:val="3"/>
        <w:rPr>
          <w:rFonts w:ascii="仿宋_GB2312" w:hAnsi="仿宋_GB2312" w:eastAsia="仿宋_GB2312" w:cs="仿宋_GB2312"/>
        </w:rPr>
      </w:pPr>
    </w:p>
    <w:p>
      <w:pPr>
        <w:pStyle w:val="20"/>
        <w:rPr>
          <w:rFonts w:ascii="仿宋_GB2312" w:hAnsi="仿宋_GB2312" w:eastAsia="仿宋_GB2312" w:cs="仿宋_GB2312"/>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662" w:name="_Toc30524"/>
      <w:bookmarkStart w:id="663" w:name="_Toc14309"/>
      <w:bookmarkStart w:id="664" w:name="_Toc2495"/>
      <w:bookmarkStart w:id="665" w:name="_Toc4959"/>
      <w:bookmarkStart w:id="666" w:name="_Toc16568"/>
      <w:bookmarkStart w:id="667" w:name="_Toc32488"/>
      <w:bookmarkStart w:id="668" w:name="_Toc14603"/>
      <w:bookmarkStart w:id="669" w:name="_Toc515647804"/>
      <w:bookmarkStart w:id="670" w:name="_Toc29905"/>
      <w:bookmarkStart w:id="671" w:name="_Toc18565"/>
      <w:bookmarkStart w:id="672" w:name="_Toc2776"/>
      <w:bookmarkStart w:id="673" w:name="_Toc9428"/>
      <w:bookmarkStart w:id="674" w:name="_Toc9159"/>
      <w:bookmarkStart w:id="675" w:name="_Toc24638"/>
      <w:r>
        <w:rPr>
          <w:rFonts w:hint="eastAsia" w:ascii="仿宋_GB2312" w:hAnsi="仿宋_GB2312" w:eastAsia="仿宋_GB2312" w:cs="仿宋_GB2312"/>
          <w:u w:val="none"/>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Style w:val="13"/>
        <w:tabs>
          <w:tab w:val="left" w:pos="5580"/>
        </w:tabs>
        <w:spacing w:line="288" w:lineRule="auto"/>
        <w:ind w:left="268" w:leftChars="128"/>
        <w:rPr>
          <w:rFonts w:ascii="仿宋_GB2312" w:hAnsi="仿宋_GB2312" w:eastAsia="仿宋_GB2312" w:cs="仿宋_GB2312"/>
          <w:sz w:val="24"/>
        </w:rPr>
      </w:pPr>
    </w:p>
    <w:p>
      <w:pPr>
        <w:pStyle w:val="13"/>
        <w:tabs>
          <w:tab w:val="left" w:pos="5580"/>
        </w:tabs>
        <w:spacing w:line="288" w:lineRule="auto"/>
        <w:ind w:left="268" w:leftChars="128"/>
        <w:rPr>
          <w:rFonts w:ascii="仿宋_GB2312" w:hAnsi="仿宋_GB2312" w:eastAsia="仿宋_GB2312" w:cs="仿宋_GB2312"/>
          <w:sz w:val="24"/>
          <w:szCs w:val="24"/>
        </w:rPr>
      </w:pPr>
    </w:p>
    <w:p>
      <w:pPr>
        <w:pStyle w:val="20"/>
        <w:spacing w:line="288" w:lineRule="auto"/>
        <w:rPr>
          <w:sz w:val="24"/>
        </w:rPr>
      </w:pPr>
      <w:bookmarkStart w:id="676" w:name="_Hlt520356241"/>
      <w:bookmarkEnd w:id="676"/>
      <w:r>
        <w:rPr>
          <w:rFonts w:hint="eastAsia"/>
          <w:sz w:val="24"/>
        </w:rPr>
        <w:t>项目名称：</w:t>
      </w:r>
    </w:p>
    <w:p>
      <w:pPr>
        <w:pStyle w:val="20"/>
        <w:spacing w:line="288" w:lineRule="auto"/>
        <w:rPr>
          <w:sz w:val="24"/>
        </w:rPr>
      </w:pPr>
      <w:r>
        <w:rPr>
          <w:rFonts w:hint="eastAsia"/>
          <w:sz w:val="24"/>
        </w:rPr>
        <w:t>项目编号：</w:t>
      </w:r>
    </w:p>
    <w:p>
      <w:pPr>
        <w:pStyle w:val="20"/>
        <w:jc w:val="right"/>
        <w:rPr>
          <w:rFonts w:ascii="宋体"/>
          <w:sz w:val="24"/>
        </w:rPr>
      </w:pPr>
      <w:r>
        <w:rPr>
          <w:rFonts w:hint="eastAsia"/>
        </w:rPr>
        <w:t>单位：人民币元</w:t>
      </w:r>
    </w:p>
    <w:p>
      <w:pPr>
        <w:pStyle w:val="20"/>
      </w:pPr>
    </w:p>
    <w:tbl>
      <w:tblPr>
        <w:tblStyle w:val="24"/>
        <w:tblpPr w:leftFromText="180" w:rightFromText="180" w:vertAnchor="text" w:horzAnchor="page" w:tblpX="1162" w:tblpY="85"/>
        <w:tblOverlap w:val="never"/>
        <w:tblW w:w="9577" w:type="dxa"/>
        <w:tblInd w:w="0" w:type="dxa"/>
        <w:tblLayout w:type="fixed"/>
        <w:tblCellMar>
          <w:top w:w="15" w:type="dxa"/>
          <w:left w:w="15" w:type="dxa"/>
          <w:bottom w:w="15" w:type="dxa"/>
          <w:right w:w="15" w:type="dxa"/>
        </w:tblCellMar>
      </w:tblPr>
      <w:tblGrid>
        <w:gridCol w:w="873"/>
        <w:gridCol w:w="1077"/>
        <w:gridCol w:w="880"/>
        <w:gridCol w:w="971"/>
        <w:gridCol w:w="972"/>
        <w:gridCol w:w="1080"/>
        <w:gridCol w:w="1052"/>
        <w:gridCol w:w="932"/>
        <w:gridCol w:w="870"/>
        <w:gridCol w:w="870"/>
      </w:tblGrid>
      <w:tr>
        <w:tblPrEx>
          <w:tblCellMar>
            <w:top w:w="15" w:type="dxa"/>
            <w:left w:w="15" w:type="dxa"/>
            <w:bottom w:w="15" w:type="dxa"/>
            <w:right w:w="15" w:type="dxa"/>
          </w:tblCellMar>
        </w:tblPrEx>
        <w:trPr>
          <w:trHeight w:val="1315" w:hRule="atLeast"/>
        </w:trPr>
        <w:tc>
          <w:tcPr>
            <w:tcW w:w="873"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序号</w:t>
            </w:r>
          </w:p>
        </w:tc>
        <w:tc>
          <w:tcPr>
            <w:tcW w:w="1077"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货物名称</w:t>
            </w:r>
          </w:p>
        </w:tc>
        <w:tc>
          <w:tcPr>
            <w:tcW w:w="88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品牌</w:t>
            </w:r>
          </w:p>
          <w:p>
            <w:pPr>
              <w:pStyle w:val="20"/>
              <w:jc w:val="center"/>
              <w:rPr>
                <w:rFonts w:ascii="宋体" w:hAnsi="宋体" w:cs="宋体"/>
                <w:sz w:val="24"/>
              </w:rPr>
            </w:pPr>
            <w:r>
              <w:rPr>
                <w:rFonts w:hint="eastAsia" w:ascii="宋体" w:hAnsi="宋体" w:cs="宋体"/>
                <w:kern w:val="0"/>
                <w:sz w:val="24"/>
              </w:rPr>
              <w:t>型号</w:t>
            </w:r>
          </w:p>
        </w:tc>
        <w:tc>
          <w:tcPr>
            <w:tcW w:w="971"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数量</w:t>
            </w:r>
          </w:p>
        </w:tc>
        <w:tc>
          <w:tcPr>
            <w:tcW w:w="97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单价（元）</w:t>
            </w:r>
          </w:p>
        </w:tc>
        <w:tc>
          <w:tcPr>
            <w:tcW w:w="105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总价（元）</w:t>
            </w:r>
          </w:p>
        </w:tc>
        <w:tc>
          <w:tcPr>
            <w:tcW w:w="93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供货时间</w:t>
            </w:r>
          </w:p>
        </w:tc>
        <w:tc>
          <w:tcPr>
            <w:tcW w:w="87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投标有效期</w:t>
            </w:r>
          </w:p>
        </w:tc>
        <w:tc>
          <w:tcPr>
            <w:tcW w:w="87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是否进口产品</w:t>
            </w:r>
          </w:p>
        </w:tc>
      </w:tr>
      <w:tr>
        <w:tblPrEx>
          <w:tblCellMar>
            <w:top w:w="15" w:type="dxa"/>
            <w:left w:w="15" w:type="dxa"/>
            <w:bottom w:w="15" w:type="dxa"/>
            <w:right w:w="15" w:type="dxa"/>
          </w:tblCellMar>
        </w:tblPrEx>
        <w:trPr>
          <w:trHeight w:val="702" w:hRule="atLeast"/>
        </w:trPr>
        <w:tc>
          <w:tcPr>
            <w:tcW w:w="873" w:type="dxa"/>
            <w:tcBorders>
              <w:top w:val="single" w:color="auto" w:sz="4" w:space="0"/>
              <w:left w:val="single" w:color="auto" w:sz="4" w:space="0"/>
              <w:bottom w:val="single" w:color="auto" w:sz="4" w:space="0"/>
              <w:right w:val="single" w:color="auto" w:sz="4" w:space="0"/>
            </w:tcBorders>
            <w:noWrap/>
            <w:vAlign w:val="center"/>
          </w:tcPr>
          <w:p>
            <w:pPr>
              <w:pStyle w:val="20"/>
            </w:pPr>
          </w:p>
        </w:tc>
        <w:tc>
          <w:tcPr>
            <w:tcW w:w="1077"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88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971"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105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932"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napToGrid w:val="0"/>
              <w:spacing w:line="288" w:lineRule="auto"/>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660" w:hRule="atLeast"/>
        </w:trPr>
        <w:tc>
          <w:tcPr>
            <w:tcW w:w="873"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1077"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880"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972"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932"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p>
        </w:tc>
      </w:tr>
      <w:tr>
        <w:tblPrEx>
          <w:tblCellMar>
            <w:top w:w="15" w:type="dxa"/>
            <w:left w:w="15" w:type="dxa"/>
            <w:bottom w:w="15" w:type="dxa"/>
            <w:right w:w="15" w:type="dxa"/>
          </w:tblCellMar>
        </w:tblPrEx>
        <w:trPr>
          <w:trHeight w:val="853" w:hRule="atLeast"/>
        </w:trPr>
        <w:tc>
          <w:tcPr>
            <w:tcW w:w="9577" w:type="dxa"/>
            <w:gridSpan w:val="10"/>
            <w:tcBorders>
              <w:top w:val="single" w:color="auto" w:sz="4" w:space="0"/>
              <w:left w:val="single" w:color="auto" w:sz="4" w:space="0"/>
              <w:bottom w:val="single" w:color="auto" w:sz="4" w:space="0"/>
              <w:right w:val="single" w:color="auto" w:sz="4" w:space="0"/>
            </w:tcBorders>
            <w:noWrap/>
          </w:tcPr>
          <w:p>
            <w:pPr>
              <w:snapToGrid w:val="0"/>
              <w:spacing w:line="288" w:lineRule="auto"/>
              <w:rPr>
                <w:rFonts w:ascii="宋体" w:hAnsi="宋体" w:cs="宋体"/>
                <w:sz w:val="24"/>
              </w:rPr>
            </w:pPr>
            <w:r>
              <w:rPr>
                <w:rFonts w:hint="eastAsia" w:ascii="宋体" w:hAnsi="宋体" w:cs="宋体"/>
                <w:sz w:val="24"/>
              </w:rPr>
              <w:t>金额合计：小写（元）：</w:t>
            </w:r>
          </w:p>
          <w:p>
            <w:pPr>
              <w:snapToGrid w:val="0"/>
              <w:spacing w:line="288" w:lineRule="auto"/>
              <w:rPr>
                <w:sz w:val="20"/>
              </w:rPr>
            </w:pPr>
            <w:r>
              <w:rPr>
                <w:rFonts w:hint="eastAsia" w:ascii="宋体" w:hAnsi="宋体" w:cs="宋体"/>
                <w:sz w:val="24"/>
              </w:rPr>
              <w:t>大写（元）：</w:t>
            </w:r>
          </w:p>
        </w:tc>
      </w:tr>
    </w:tbl>
    <w:p>
      <w:pPr>
        <w:pStyle w:val="20"/>
        <w:jc w:val="both"/>
        <w:rPr>
          <w:rFonts w:ascii="宋体"/>
          <w:sz w:val="24"/>
        </w:rPr>
      </w:pPr>
    </w:p>
    <w:p>
      <w:pPr>
        <w:pStyle w:val="20"/>
        <w:jc w:val="both"/>
        <w:rPr>
          <w:rFonts w:ascii="宋体"/>
          <w:sz w:val="24"/>
        </w:rPr>
      </w:pPr>
    </w:p>
    <w:p>
      <w:pPr>
        <w:pStyle w:val="20"/>
        <w:jc w:val="both"/>
        <w:rPr>
          <w:rFonts w:ascii="宋体"/>
          <w:sz w:val="24"/>
        </w:rPr>
      </w:pPr>
    </w:p>
    <w:p>
      <w:pPr>
        <w:pStyle w:val="20"/>
        <w:jc w:val="both"/>
        <w:rPr>
          <w:rFonts w:ascii="宋体"/>
          <w:sz w:val="24"/>
        </w:rPr>
      </w:pPr>
    </w:p>
    <w:p>
      <w:pPr>
        <w:pStyle w:val="20"/>
        <w:jc w:val="both"/>
        <w:rPr>
          <w:rFonts w:ascii="宋体"/>
          <w:sz w:val="24"/>
        </w:rPr>
      </w:pPr>
    </w:p>
    <w:p>
      <w:pPr>
        <w:pStyle w:val="20"/>
        <w:jc w:val="both"/>
        <w:rPr>
          <w:rFonts w:ascii="宋体"/>
          <w:sz w:val="24"/>
        </w:rPr>
      </w:pPr>
      <w:r>
        <w:rPr>
          <w:rFonts w:hint="eastAsia" w:ascii="宋体"/>
          <w:sz w:val="24"/>
        </w:rPr>
        <w:t>注：</w:t>
      </w:r>
    </w:p>
    <w:p>
      <w:pPr>
        <w:pStyle w:val="20"/>
        <w:spacing w:line="360" w:lineRule="auto"/>
        <w:ind w:firstLine="480" w:firstLineChars="200"/>
        <w:rPr>
          <w:rFonts w:ascii="宋体"/>
          <w:sz w:val="24"/>
        </w:rPr>
      </w:pPr>
      <w:r>
        <w:rPr>
          <w:rFonts w:hint="eastAsia" w:ascii="宋体"/>
          <w:sz w:val="24"/>
        </w:rPr>
        <w:t xml:space="preserve">1. </w:t>
      </w:r>
      <w:r>
        <w:rPr>
          <w:rFonts w:hint="eastAsia" w:hAnsi="宋体"/>
          <w:sz w:val="24"/>
        </w:rPr>
        <w:t>“开标一览表”中的报价包含招标文件中规定的所有采购货物且数量一致，</w:t>
      </w:r>
      <w:r>
        <w:rPr>
          <w:rFonts w:hint="eastAsia" w:ascii="宋体"/>
          <w:sz w:val="24"/>
        </w:rPr>
        <w:t xml:space="preserve">报价应是最终用户验收合格后的总价，包括货物运输、保险、代理、安装调试、培训、税费及提供服务产生的一切费用等与本项目有关的一切费用。 </w:t>
      </w:r>
    </w:p>
    <w:p>
      <w:pPr>
        <w:spacing w:line="360" w:lineRule="auto"/>
        <w:ind w:firstLine="470" w:firstLineChars="196"/>
        <w:jc w:val="left"/>
        <w:rPr>
          <w:rFonts w:ascii="宋体"/>
          <w:sz w:val="24"/>
        </w:rPr>
      </w:pPr>
      <w:bookmarkStart w:id="677" w:name="_Toc2616"/>
      <w:bookmarkStart w:id="678" w:name="_Toc13226"/>
      <w:bookmarkStart w:id="679" w:name="_Toc31653"/>
      <w:bookmarkStart w:id="680" w:name="_Toc32608"/>
      <w:bookmarkStart w:id="681" w:name="_Toc677"/>
      <w:bookmarkStart w:id="682" w:name="_Toc4333"/>
      <w:r>
        <w:rPr>
          <w:rFonts w:hint="eastAsia" w:ascii="宋体"/>
          <w:sz w:val="24"/>
        </w:rPr>
        <w:t>2.“开标一览表”为多页的，每页均需加盖投标人公章。</w:t>
      </w:r>
      <w:bookmarkEnd w:id="677"/>
      <w:bookmarkEnd w:id="678"/>
      <w:bookmarkEnd w:id="679"/>
      <w:bookmarkEnd w:id="680"/>
      <w:bookmarkEnd w:id="681"/>
      <w:bookmarkEnd w:id="682"/>
    </w:p>
    <w:p>
      <w:pPr>
        <w:spacing w:line="360" w:lineRule="auto"/>
        <w:ind w:firstLine="470" w:firstLineChars="196"/>
        <w:jc w:val="left"/>
        <w:rPr>
          <w:rFonts w:ascii="宋体"/>
          <w:sz w:val="24"/>
        </w:rPr>
      </w:pPr>
      <w:bookmarkStart w:id="683" w:name="_Toc7822"/>
      <w:bookmarkStart w:id="684" w:name="_Toc4215"/>
      <w:bookmarkStart w:id="685" w:name="_Toc24640"/>
      <w:bookmarkStart w:id="686" w:name="_Toc18302"/>
      <w:bookmarkStart w:id="687" w:name="_Toc24080"/>
      <w:bookmarkStart w:id="688" w:name="_Toc16295"/>
    </w:p>
    <w:bookmarkEnd w:id="683"/>
    <w:bookmarkEnd w:id="684"/>
    <w:bookmarkEnd w:id="685"/>
    <w:bookmarkEnd w:id="686"/>
    <w:bookmarkEnd w:id="687"/>
    <w:bookmarkEnd w:id="688"/>
    <w:p>
      <w:pPr>
        <w:autoSpaceDE w:val="0"/>
        <w:autoSpaceDN w:val="0"/>
        <w:ind w:firstLine="120" w:firstLineChars="50"/>
        <w:rPr>
          <w:rFonts w:ascii="仿宋" w:hAnsi="仿宋" w:eastAsia="仿宋" w:cs="仿宋"/>
          <w:sz w:val="24"/>
          <w:lang w:val="zh-CN"/>
        </w:rPr>
      </w:pPr>
      <w:bookmarkStart w:id="689" w:name="_Toc29899"/>
      <w:bookmarkStart w:id="690" w:name="_Toc515647805"/>
      <w:bookmarkStart w:id="691" w:name="_Toc608"/>
      <w:bookmarkStart w:id="692" w:name="_Toc17577"/>
    </w:p>
    <w:p>
      <w:pPr>
        <w:spacing w:line="360" w:lineRule="auto"/>
        <w:ind w:firstLine="470" w:firstLineChars="196"/>
        <w:jc w:val="left"/>
        <w:rPr>
          <w:rFonts w:ascii="宋体"/>
          <w:sz w:val="24"/>
          <w:lang w:val="zh-CN"/>
        </w:rPr>
      </w:pPr>
      <w:r>
        <w:rPr>
          <w:rFonts w:hint="eastAsia" w:ascii="宋体"/>
          <w:sz w:val="24"/>
          <w:lang w:val="zh-CN"/>
        </w:rPr>
        <w:t>供应商名称（公章）：</w:t>
      </w:r>
    </w:p>
    <w:p>
      <w:pPr>
        <w:spacing w:line="360" w:lineRule="auto"/>
        <w:ind w:firstLine="470" w:firstLineChars="196"/>
        <w:jc w:val="left"/>
        <w:rPr>
          <w:rFonts w:ascii="宋体"/>
          <w:sz w:val="24"/>
          <w:lang w:val="zh-CN"/>
        </w:rPr>
      </w:pPr>
    </w:p>
    <w:p>
      <w:pPr>
        <w:spacing w:line="360" w:lineRule="auto"/>
        <w:ind w:firstLine="470" w:firstLineChars="196"/>
        <w:jc w:val="left"/>
        <w:rPr>
          <w:rFonts w:ascii="宋体"/>
          <w:sz w:val="24"/>
          <w:u w:val="single"/>
          <w:lang w:val="zh-CN"/>
        </w:rPr>
      </w:pPr>
      <w:r>
        <w:rPr>
          <w:rFonts w:hint="eastAsia" w:ascii="宋体"/>
          <w:sz w:val="24"/>
          <w:lang w:val="zh-CN"/>
        </w:rPr>
        <w:t>法定代表人或其授权代表（签字或盖章）：</w:t>
      </w:r>
      <w:r>
        <w:rPr>
          <w:rFonts w:hint="eastAsia" w:ascii="宋体"/>
          <w:sz w:val="24"/>
          <w:u w:val="single"/>
          <w:lang w:val="zh-CN"/>
        </w:rPr>
        <w:t xml:space="preserve">   </w:t>
      </w:r>
    </w:p>
    <w:p>
      <w:pPr>
        <w:spacing w:line="360" w:lineRule="auto"/>
        <w:ind w:firstLine="470" w:firstLineChars="196"/>
        <w:jc w:val="left"/>
        <w:rPr>
          <w:rFonts w:ascii="宋体"/>
          <w:sz w:val="24"/>
          <w:lang w:val="zh-CN"/>
        </w:rPr>
      </w:pPr>
      <w:r>
        <w:rPr>
          <w:rFonts w:hint="eastAsia" w:ascii="宋体"/>
          <w:sz w:val="24"/>
          <w:lang w:val="zh-CN"/>
        </w:rPr>
        <w:t>日期：</w:t>
      </w:r>
      <w:r>
        <w:rPr>
          <w:rFonts w:hint="eastAsia" w:ascii="宋体"/>
          <w:sz w:val="24"/>
          <w:u w:val="single"/>
          <w:lang w:val="zh-CN"/>
        </w:rPr>
        <w:t xml:space="preserve">         </w:t>
      </w:r>
      <w:r>
        <w:rPr>
          <w:rFonts w:hint="eastAsia" w:ascii="宋体"/>
          <w:sz w:val="24"/>
          <w:lang w:val="zh-CN"/>
        </w:rPr>
        <w:t>年</w:t>
      </w:r>
      <w:r>
        <w:rPr>
          <w:rFonts w:hint="eastAsia" w:ascii="宋体"/>
          <w:sz w:val="24"/>
          <w:u w:val="single"/>
          <w:lang w:val="zh-CN"/>
        </w:rPr>
        <w:t xml:space="preserve">      </w:t>
      </w:r>
      <w:r>
        <w:rPr>
          <w:rFonts w:hint="eastAsia" w:ascii="宋体"/>
          <w:sz w:val="24"/>
          <w:lang w:val="zh-CN"/>
        </w:rPr>
        <w:t>月</w:t>
      </w:r>
      <w:r>
        <w:rPr>
          <w:rFonts w:hint="eastAsia" w:ascii="宋体"/>
          <w:sz w:val="24"/>
          <w:u w:val="single"/>
          <w:lang w:val="zh-CN"/>
        </w:rPr>
        <w:t xml:space="preserve">   </w:t>
      </w:r>
      <w:r>
        <w:rPr>
          <w:rFonts w:hint="eastAsia" w:ascii="宋体"/>
          <w:sz w:val="24"/>
          <w:lang w:val="zh-CN"/>
        </w:rPr>
        <w:t>日</w:t>
      </w:r>
    </w:p>
    <w:p>
      <w:pPr>
        <w:pStyle w:val="7"/>
        <w:ind w:firstLine="0"/>
      </w:pPr>
    </w:p>
    <w:p>
      <w:pPr>
        <w:pStyle w:val="9"/>
      </w:pPr>
    </w:p>
    <w:p/>
    <w:p>
      <w:pPr>
        <w:pStyle w:val="3"/>
      </w:pPr>
    </w:p>
    <w:p>
      <w:pPr>
        <w:pStyle w:val="3"/>
      </w:pPr>
    </w:p>
    <w:p/>
    <w:p>
      <w:pPr>
        <w:pStyle w:val="6"/>
        <w:spacing w:before="0" w:after="0" w:line="288" w:lineRule="auto"/>
        <w:ind w:left="1078" w:leftChars="257" w:hanging="539"/>
        <w:jc w:val="center"/>
        <w:rPr>
          <w:rFonts w:ascii="仿宋_GB2312" w:hAnsi="仿宋_GB2312" w:eastAsia="仿宋_GB2312" w:cs="仿宋_GB2312"/>
          <w:u w:val="none"/>
        </w:rPr>
      </w:pPr>
      <w:bookmarkStart w:id="693" w:name="_Toc3097"/>
      <w:bookmarkStart w:id="694" w:name="_Toc14381"/>
      <w:bookmarkStart w:id="695" w:name="_Toc18942"/>
      <w:bookmarkStart w:id="696" w:name="_Toc2685"/>
      <w:bookmarkStart w:id="697" w:name="_Toc22243"/>
      <w:bookmarkStart w:id="698" w:name="_Toc5194"/>
      <w:bookmarkStart w:id="699" w:name="_Toc9524"/>
      <w:bookmarkStart w:id="700" w:name="_Toc12928"/>
      <w:bookmarkStart w:id="701" w:name="_Toc18028"/>
      <w:bookmarkStart w:id="702" w:name="_Toc6477"/>
      <w:r>
        <w:rPr>
          <w:rFonts w:hint="eastAsia" w:ascii="仿宋_GB2312" w:hAnsi="仿宋_GB2312" w:eastAsia="仿宋_GB2312" w:cs="仿宋_GB2312"/>
          <w:u w:val="none"/>
        </w:rPr>
        <w:t>2  法人或者非法人组织的营业执照等证明文件</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Style w:val="13"/>
        <w:tabs>
          <w:tab w:val="left" w:pos="5580"/>
        </w:tabs>
        <w:spacing w:line="288" w:lineRule="auto"/>
        <w:ind w:left="1079" w:leftChars="257" w:hanging="540"/>
        <w:jc w:val="center"/>
        <w:rPr>
          <w:rFonts w:ascii="仿宋_GB2312" w:hAnsi="仿宋_GB2312" w:eastAsia="仿宋_GB2312" w:cs="仿宋_GB2312"/>
          <w:b/>
          <w:sz w:val="24"/>
        </w:rPr>
      </w:pPr>
    </w:p>
    <w:p>
      <w:pPr>
        <w:pStyle w:val="13"/>
        <w:tabs>
          <w:tab w:val="left" w:pos="5580"/>
        </w:tabs>
        <w:spacing w:line="288" w:lineRule="auto"/>
        <w:rPr>
          <w:rFonts w:ascii="仿宋_GB2312" w:hAnsi="仿宋_GB2312" w:eastAsia="仿宋_GB2312" w:cs="仿宋_GB2312"/>
          <w:b/>
          <w:sz w:val="24"/>
        </w:rPr>
      </w:pP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1.提供有效的营业执照等证明文件复印件，复印件上应加盖本单位章。</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13"/>
        <w:tabs>
          <w:tab w:val="left" w:pos="5580"/>
        </w:tabs>
        <w:spacing w:line="288" w:lineRule="auto"/>
        <w:rPr>
          <w:rFonts w:ascii="仿宋_GB2312" w:hAnsi="仿宋_GB2312" w:eastAsia="仿宋_GB2312" w:cs="仿宋_GB2312"/>
          <w:sz w:val="24"/>
        </w:rPr>
      </w:pPr>
    </w:p>
    <w:p>
      <w:pPr>
        <w:pStyle w:val="13"/>
        <w:tabs>
          <w:tab w:val="left" w:pos="5580"/>
        </w:tabs>
        <w:spacing w:line="288" w:lineRule="auto"/>
        <w:rPr>
          <w:rFonts w:ascii="仿宋_GB2312" w:hAnsi="仿宋_GB2312" w:eastAsia="仿宋_GB2312" w:cs="仿宋_GB2312"/>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703" w:name="_Toc3865"/>
      <w:bookmarkStart w:id="704" w:name="_Toc1578"/>
      <w:bookmarkStart w:id="705" w:name="_Toc12767"/>
      <w:bookmarkStart w:id="706" w:name="_Toc13066"/>
      <w:bookmarkStart w:id="707" w:name="_Toc31591"/>
      <w:bookmarkStart w:id="708" w:name="_Toc26259"/>
      <w:bookmarkStart w:id="709" w:name="_Toc23004_WPSOffice_Level2"/>
      <w:bookmarkStart w:id="710" w:name="_Toc25159"/>
      <w:bookmarkStart w:id="711" w:name="_Toc3498"/>
      <w:bookmarkStart w:id="712" w:name="_Toc31870"/>
      <w:bookmarkStart w:id="713" w:name="_Toc21673"/>
      <w:bookmarkStart w:id="714" w:name="_Toc29158"/>
      <w:bookmarkStart w:id="715" w:name="_Toc26563"/>
      <w:r>
        <w:rPr>
          <w:rFonts w:hint="eastAsia" w:ascii="仿宋_GB2312" w:hAnsi="仿宋_GB2312" w:eastAsia="仿宋_GB2312" w:cs="仿宋_GB2312"/>
          <w:u w:val="none"/>
        </w:rPr>
        <w:t>3  法定代表人身份证明</w:t>
      </w:r>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5"/>
        <w:spacing w:before="0" w:line="288" w:lineRule="auto"/>
        <w:jc w:val="both"/>
        <w:rPr>
          <w:rFonts w:ascii="仿宋_GB2312" w:hAnsi="仿宋_GB2312" w:eastAsia="仿宋_GB2312" w:cs="仿宋_GB2312"/>
          <w:sz w:val="24"/>
        </w:rPr>
      </w:pP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同志，现任我单位</w:t>
      </w:r>
      <w:r>
        <w:rPr>
          <w:rFonts w:hint="eastAsia" w:ascii="仿宋_GB2312" w:hAnsi="仿宋_GB2312" w:eastAsia="仿宋_GB2312" w:cs="仿宋_GB2312"/>
          <w:sz w:val="24"/>
          <w:szCs w:val="20"/>
          <w:u w:val="single" w:color="000000"/>
        </w:rPr>
        <w:t xml:space="preserve">          职</w:t>
      </w:r>
      <w:r>
        <w:rPr>
          <w:rFonts w:hint="eastAsia" w:ascii="仿宋_GB2312" w:hAnsi="仿宋_GB2312" w:eastAsia="仿宋_GB2312" w:cs="仿宋_GB2312"/>
          <w:sz w:val="24"/>
          <w:szCs w:val="20"/>
        </w:rPr>
        <w:t>务，为法定代表人，特此证明。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签发日期：                  单位：          </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附：代表人性别：            年龄：           身份证号码：</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营业执照号码：              经济性质：</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说明：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1、法定代表人为企业事业单位、国家机关、社会团体的主要行政负责人。</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2、内容必须填写真实、清楚、涂改无效，不得转让。</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3、将此证明书原件提交采购代理机构作为响应文件附件。</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(为避免废标，请供应商务必提供本附件)</w:t>
      </w:r>
    </w:p>
    <w:p>
      <w:pPr>
        <w:spacing w:line="360" w:lineRule="auto"/>
        <w:rPr>
          <w:rFonts w:ascii="仿宋_GB2312" w:hAnsi="仿宋_GB2312" w:eastAsia="仿宋_GB2312" w:cs="仿宋_GB2312"/>
          <w:sz w:val="24"/>
          <w:szCs w:val="20"/>
        </w:rPr>
      </w:pPr>
      <w:r>
        <w:rPr>
          <w:rFonts w:ascii="仿宋_GB2312" w:hAnsi="仿宋_GB2312" w:eastAsia="仿宋_GB2312" w:cs="仿宋_GB2312"/>
          <w:sz w:val="24"/>
          <w:szCs w:val="20"/>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sz w:val="24"/>
          <w:szCs w:val="20"/>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v:textbox>
              </v:roundrect>
            </w:pict>
          </mc:Fallback>
        </mc:AlternateContent>
      </w:r>
    </w:p>
    <w:p>
      <w:pPr>
        <w:spacing w:line="360" w:lineRule="auto"/>
        <w:rPr>
          <w:rFonts w:ascii="仿宋_GB2312" w:hAnsi="仿宋_GB2312" w:eastAsia="仿宋_GB2312" w:cs="仿宋_GB2312"/>
          <w:sz w:val="24"/>
          <w:szCs w:val="20"/>
        </w:rPr>
      </w:pPr>
    </w:p>
    <w:p>
      <w:pPr>
        <w:spacing w:line="360" w:lineRule="auto"/>
        <w:rPr>
          <w:rFonts w:ascii="仿宋_GB2312" w:hAnsi="仿宋_GB2312" w:eastAsia="仿宋_GB2312" w:cs="仿宋_GB2312"/>
          <w:sz w:val="24"/>
          <w:szCs w:val="20"/>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szCs w:val="20"/>
        </w:rPr>
      </w:pPr>
    </w:p>
    <w:p>
      <w:pPr>
        <w:spacing w:line="360" w:lineRule="auto"/>
        <w:ind w:right="246"/>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供应商（盖章）：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法定代表人签字或盖章：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日期：                                       </w: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jc w:val="center"/>
        <w:rPr>
          <w:b/>
          <w:bCs/>
          <w:sz w:val="20"/>
        </w:rPr>
      </w:pPr>
    </w:p>
    <w:p>
      <w:pPr>
        <w:pStyle w:val="6"/>
        <w:spacing w:before="0" w:after="0" w:line="288" w:lineRule="auto"/>
        <w:ind w:left="1078" w:leftChars="257" w:hanging="539"/>
        <w:jc w:val="center"/>
        <w:rPr>
          <w:rFonts w:ascii="仿宋_GB2312" w:hAnsi="仿宋_GB2312" w:eastAsia="仿宋_GB2312" w:cs="仿宋_GB2312"/>
          <w:u w:val="none"/>
        </w:rPr>
      </w:pPr>
      <w:bookmarkStart w:id="716" w:name="_Toc6725"/>
      <w:bookmarkStart w:id="717" w:name="_Toc19476"/>
      <w:bookmarkStart w:id="718" w:name="_Toc18802"/>
      <w:r>
        <w:rPr>
          <w:rFonts w:hint="eastAsia" w:ascii="仿宋_GB2312" w:hAnsi="仿宋_GB2312" w:eastAsia="仿宋_GB2312" w:cs="仿宋_GB2312"/>
          <w:u w:val="none"/>
        </w:rPr>
        <w:t>4  法定代表人授权委托书</w:t>
      </w:r>
      <w:bookmarkEnd w:id="716"/>
      <w:bookmarkEnd w:id="717"/>
      <w:bookmarkEnd w:id="718"/>
    </w:p>
    <w:p>
      <w:pPr>
        <w:pStyle w:val="13"/>
        <w:tabs>
          <w:tab w:val="left" w:pos="5580"/>
        </w:tabs>
        <w:spacing w:line="240" w:lineRule="atLeast"/>
        <w:ind w:left="1079" w:leftChars="257" w:hanging="540"/>
        <w:rPr>
          <w:rFonts w:ascii="仿宋_GB2312" w:hAnsi="仿宋_GB2312" w:eastAsia="仿宋_GB2312" w:cs="仿宋_GB2312"/>
          <w:sz w:val="24"/>
        </w:rPr>
      </w:pPr>
      <w:r>
        <w:rPr>
          <w:rFonts w:ascii="Times New Roman" w:hAnsi="Times New Roman"/>
          <w:sz w:val="24"/>
        </w:rPr>
        <w:cr/>
      </w:r>
      <w:r>
        <w:rPr>
          <w:rFonts w:hint="eastAsia" w:ascii="仿宋_GB2312" w:hAnsi="仿宋_GB2312" w:eastAsia="仿宋_GB2312" w:cs="仿宋_GB2312"/>
          <w:sz w:val="24"/>
        </w:rPr>
        <w:t xml:space="preserve"> 本授权书声明：注册于</w:t>
      </w:r>
      <w:r>
        <w:rPr>
          <w:rFonts w:hint="eastAsia" w:ascii="仿宋_GB2312" w:hAnsi="仿宋_GB2312" w:eastAsia="仿宋_GB2312" w:cs="仿宋_GB2312"/>
          <w:sz w:val="24"/>
          <w:u w:val="single"/>
        </w:rPr>
        <w:t>（国家或地区的名称）</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（供应商）</w:t>
      </w:r>
      <w:r>
        <w:rPr>
          <w:rFonts w:hint="eastAsia" w:ascii="仿宋_GB2312" w:hAnsi="仿宋_GB2312" w:eastAsia="仿宋_GB2312" w:cs="仿宋_GB2312"/>
          <w:sz w:val="24"/>
        </w:rPr>
        <w:t>的在下面签字的</w:t>
      </w:r>
      <w:r>
        <w:rPr>
          <w:rFonts w:hint="eastAsia" w:ascii="仿宋_GB2312" w:hAnsi="仿宋_GB2312" w:eastAsia="仿宋_GB2312" w:cs="仿宋_GB2312"/>
          <w:sz w:val="24"/>
          <w:u w:val="single"/>
        </w:rPr>
        <w:t>（法人代表姓名、职务）</w:t>
      </w:r>
      <w:r>
        <w:rPr>
          <w:rFonts w:hint="eastAsia" w:ascii="仿宋_GB2312" w:hAnsi="仿宋_GB2312" w:eastAsia="仿宋_GB2312" w:cs="仿宋_GB2312"/>
          <w:sz w:val="24"/>
        </w:rPr>
        <w:t>代表我单位授权</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的在下面签字的</w:t>
      </w:r>
      <w:r>
        <w:rPr>
          <w:rFonts w:hint="eastAsia" w:ascii="仿宋_GB2312" w:hAnsi="仿宋_GB2312" w:eastAsia="仿宋_GB2312" w:cs="仿宋_GB2312"/>
          <w:sz w:val="24"/>
          <w:u w:val="single"/>
        </w:rPr>
        <w:t>（被授权人的姓名、职务）</w:t>
      </w:r>
      <w:r>
        <w:rPr>
          <w:rFonts w:hint="eastAsia" w:ascii="仿宋_GB2312" w:hAnsi="仿宋_GB2312" w:eastAsia="仿宋_GB2312" w:cs="仿宋_GB2312"/>
          <w:sz w:val="24"/>
        </w:rPr>
        <w:t>为我单位的合法代理人，就</w:t>
      </w:r>
      <w:r>
        <w:rPr>
          <w:rFonts w:hint="eastAsia" w:ascii="仿宋_GB2312" w:hAnsi="仿宋_GB2312" w:eastAsia="仿宋_GB2312" w:cs="仿宋_GB2312"/>
          <w:sz w:val="24"/>
          <w:u w:val="single"/>
        </w:rPr>
        <w:t>项 目 名 称 项目编号（编号名称）</w:t>
      </w:r>
      <w:r>
        <w:rPr>
          <w:rFonts w:hint="eastAsia" w:ascii="仿宋_GB2312" w:hAnsi="仿宋_GB2312" w:eastAsia="仿宋_GB2312" w:cs="仿宋_GB2312"/>
          <w:sz w:val="24"/>
        </w:rPr>
        <w:t>公开招标，以我单位名义处理一切与之有关的事务。</w:t>
      </w:r>
      <w:r>
        <w:rPr>
          <w:rFonts w:hint="eastAsia" w:ascii="仿宋_GB2312" w:hAnsi="仿宋_GB2312" w:eastAsia="仿宋_GB2312" w:cs="仿宋_GB2312"/>
          <w:sz w:val="24"/>
        </w:rPr>
        <w:cr/>
      </w:r>
      <w:r>
        <w:rPr>
          <w:rFonts w:hint="eastAsia" w:ascii="仿宋_GB2312" w:hAnsi="仿宋_GB2312" w:eastAsia="仿宋_GB2312" w:cs="仿宋_GB2312"/>
          <w:sz w:val="24"/>
        </w:rPr>
        <w:t>　　</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本授权书于           年     月     日签字生效,特此声明。</w:t>
      </w:r>
      <w:r>
        <w:rPr>
          <w:rFonts w:hint="eastAsia" w:ascii="仿宋_GB2312" w:hAnsi="仿宋_GB2312" w:eastAsia="仿宋_GB2312" w:cs="仿宋_GB2312"/>
          <w:sz w:val="24"/>
        </w:rPr>
        <w:cr/>
      </w:r>
      <w:r>
        <w:rPr>
          <w:rFonts w:hint="eastAsia" w:ascii="仿宋_GB2312" w:hAnsi="仿宋_GB2312" w:eastAsia="仿宋_GB2312" w:cs="仿宋_GB2312"/>
          <w:sz w:val="24"/>
        </w:rPr>
        <w:cr/>
      </w: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2810510</wp:posOffset>
                </wp:positionH>
                <wp:positionV relativeFrom="paragraph">
                  <wp:posOffset>15875</wp:posOffset>
                </wp:positionV>
                <wp:extent cx="2592705" cy="1158240"/>
                <wp:effectExtent l="7620" t="7620" r="9525" b="1524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21.3pt;margin-top:1.25pt;height:91.2pt;width:204.15pt;z-index:251668480;mso-width-relative:page;mso-height-relative:page;" fillcolor="#FFFFFF" filled="t" stroked="t" coordsize="21600,21600" arcsize="0.166666666666667" o:gfxdata="UEsDBAoAAAAAAIdO4kAAAAAAAAAAAAAAAAAEAAAAZHJzL1BLAwQUAAAACACHTuJA/fZvxdsAAAAJ&#10;AQAADwAAAGRycy9kb3ducmV2LnhtbE2PQU+DQBCF7yb+h82YeLO7RdpSZGmMiSYaDy314m0LI5Cy&#10;s4TdluKvdzzpcfK+vPdNtrnYTpxx8K0jDfOZAoFUuqqlWsPH/vkuAeGDocp0jlDDhB42+fVVZtLK&#10;jbTDcxFqwSXkU6OhCaFPpfRlg9b4meuROPtygzWBz6GW1WBGLredjJRaSmta4oXG9PjUYHksTlbD&#10;+D0dX95XeP+mdq+PxX41bT+3rda3N3P1ACLgJfzB8KvP6pCz08GdqPKi0xDH0ZJRDdECBOfJQq1B&#10;HBhM4jXIPJP/P8h/AFBLAwQUAAAACACHTuJAIQigZS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JUaaKCj47eePv759+vnl++2Pr6iMCvXWV+B4Y6/dOPNgxnSHxqn4hUTQkFQ9nlXlQ0AUFsvpYjnN&#10;ZxhR2CuK2bKc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ZvxdsAAAAJAQAADwAAAAAAAAABACAAAAAiAAAAZHJzL2Rvd25yZXYueG1sUEsB&#10;AhQAFAAAAAgAh07iQCEIoGUrAgAAZgQAAA4AAAAAAAAAAQAgAAAAKgEAAGRycy9lMm9Eb2MueG1s&#10;UEsFBgAAAAAGAAYAWQEAAMcFAAAAAA==&#10;">
                <v:fill on="t" focussize="0,0"/>
                <v:stroke weight="1.25pt" color="#808080" joinstyle="round"/>
                <v:imagedata o:title=""/>
                <o:lock v:ext="edit" aspectratio="f"/>
                <v:textbox>
                  <w:txbxContent>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6350</wp:posOffset>
                </wp:positionV>
                <wp:extent cx="2432050" cy="1143000"/>
                <wp:effectExtent l="4445" t="4445" r="20955" b="14605"/>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91.5pt;z-index:251667456;mso-width-relative:page;mso-height-relative:page;" fillcolor="#FFFFFF" filled="t" stroked="t" coordsize="21600,21600" o:gfxdata="UEsDBAoAAAAAAIdO4kAAAAAAAAAAAAAAAAAEAAAAZHJzL1BLAwQUAAAACACHTuJAnLDbqNEAAAAI&#10;AQAADwAAAGRycy9kb3ducmV2LnhtbE1Py06EMBTdm/gPzTVx55TOmBGRMjEaXbkRJ3Fb6JUS6S2h&#10;hUG/3utKl+eR8ygPqx/EglPsA2lQmwwEUhtsT52G49vTVQ4iJkPWDIFQwxdGOFTnZ6UpbDjRKy51&#10;6gSHUCyMBpfSWEgZW4fexE0YkVj7CJM3ieHUSTuZE4f7QW6zbC+96YkbnBnxwWH7Wc9ew/ry3dzO&#10;z6qtk8v3N++75fH+KLW+vFDZHYiEa/ozw+98ng4Vb2rCTDaKQcMuV+xknh+xfL1VjBvGOTOyKuX/&#10;A9UPUEsDBBQAAAAIAIdO4kA4dcaqMgIAAF4EAAAOAAAAZHJzL2Uyb0RvYy54bWytVMuO0zAU3SPx&#10;D5b3NEmnZSBqOkJTygbBSAMf4NpOYskv2W6T7mCFEAs+gB9gx4otfM3w+AuundJph00XZJFc+/oe&#10;n3N8ndlFryTacOeF0RUuRjlGXFPDhG4q/PrV8sEjjHwgmhFpNK/wlnt8Mb9/b9bZko9NayTjDgGI&#10;9mVnK9yGYMss87TliviRsVxDsjZOkQBD12TMkQ7QlczGef4w64xj1hnKvYfZxZDEO0R3CqCpa0H5&#10;wtC14joMqI5LEkCSb4X1eJ7Y1jWn4WVdex6QrDAoDekNm0C8iu9sPiNl44htBd1RIKdQuKNJEaFh&#10;0z3UggSC1k78A6UEdcabOoyoUdkgJDkCKor8jjfXLbE8aQGrvd2b7v8fLH2xuXJIsApPMNJEwYH/&#10;+Pr25+cPN5++lejm45ffb97/+v4OJtAkmtVZX0LNtb1yu5GHMCrva6fiFzShPhm83RvM+4AoTI7P&#10;ivPzKXhPIVcUk7M8T0eQ3ZZb58MzbhSKQYVrabrLlrjwRAbuNAn8amid5DbZPPcBeED937pIwRsp&#10;2FJImQauWV1KhzYEWmCZnigESo6WSY26Cj+ejqfAjkBf19BPECoL3njdpP2OKvwhMAi51XK0LBJb&#10;EN8OBFJq6DolQBEwIWXLCXuqGQpbC/5ruHY4klGcYSQ53NIYpZWBCHnKSlAndYTm6Q7sXIqHNxxX&#10;jEK/6gE0hivDttAGa+tE04LrRXIoZqDtkle7KxL7+nAM8eFvY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LDbqNEAAAAIAQAADwAAAAAAAAABACAAAAAiAAAAZHJzL2Rvd25yZXYueG1sUEsBAhQA&#10;FAAAAAgAh07iQDh1xqoyAgAAXgQAAA4AAAAAAAAAAQAgAAAAIAEAAGRycy9lMm9Eb2MueG1sUEsF&#10;BgAAAAAGAAYAWQEAAMQFAAAAAA==&#10;">
                <v:fill on="t" focussize="0,0"/>
                <v:stroke color="#000000" joinstyle="miter"/>
                <v:imagedata o:title=""/>
                <o:lock v:ext="edit" aspectratio="f"/>
                <v:textbox>
                  <w:txbxContent>
                    <w:p>
                      <w:pPr>
                        <w:jc w:val="center"/>
                        <w:rPr>
                          <w:rFonts w:hAnsi="宋体"/>
                        </w:rPr>
                      </w:pPr>
                    </w:p>
                    <w:p>
                      <w:pPr>
                        <w:jc w:val="center"/>
                        <w:rPr>
                          <w:rFonts w:hAnsi="宋体"/>
                        </w:rPr>
                      </w:pPr>
                    </w:p>
                    <w:p>
                      <w:r>
                        <w:rPr>
                          <w:rFonts w:hint="eastAsia" w:hAnsi="宋体"/>
                        </w:rPr>
                        <w:t>授权委托人身份证复印件正面</w:t>
                      </w:r>
                    </w:p>
                  </w:txbxContent>
                </v:textbox>
              </v:shape>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217805</wp:posOffset>
                </wp:positionH>
                <wp:positionV relativeFrom="paragraph">
                  <wp:posOffset>198120</wp:posOffset>
                </wp:positionV>
                <wp:extent cx="2439035" cy="1142365"/>
                <wp:effectExtent l="7620" t="7620" r="10795" b="1206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17.15pt;margin-top:15.6pt;height:89.95pt;width:192.05pt;z-index:251669504;mso-width-relative:page;mso-height-relative:page;" fillcolor="#FFFFFF" filled="t" stroked="t" coordsize="21600,21600" arcsize="0.166666666666667" o:gfxdata="UEsDBAoAAAAAAIdO4kAAAAAAAAAAAAAAAAAEAAAAZHJzL1BLAwQUAAAACACHTuJA20w1QdoAAAAJ&#10;AQAADwAAAGRycy9kb3ducmV2LnhtbE2PwU7DMBBE70j8g7VI3KjtJKJVGqdCSCCBOLQpF25uvE2i&#10;xusodpuGr8ec4DRazWjmbbG52p5dcPSdIwVyIYAh1c501Cj43L88rID5oMno3hEqmNHDpry9KXRu&#10;3EQ7vFShYbGEfK4VtCEMOee+btFqv3ADUvSObrQ6xHNsuBn1FMttzxMhHrnVHcWFVg/43GJ9qs5W&#10;wfQ9n14/lpi+i93bU7VfztuvbafU/Z0Ua2ABr+EvDL/4ER3KyHRwZzKe9QrSLI3JqDIBFv1MrjJg&#10;BwWJlBJ4WfD/H5Q/UEsDBBQAAAAIAIdO4kCoG7j5KwIAAGYEAAAOAAAAZHJzL2Uyb0RvYy54bWyt&#10;VEuOEzEQ3SNxB8t70h+Uz7TSmQUhbBCMGDiAY7u7jfyT7aQ7F+AArJGQ2KA5BMcZwTEoO03mA4ss&#10;6JbcZbvq+dWrci8vByXRnjsvjK5xMckx4poaJnRb4w/vN88WGPlANCPSaF7jA/f4cvX0ybK3FS9N&#10;ZyTjDgGI9lVva9yFYKss87TjiviJsVzDZmOcIgGmrs2YIz2gK5mVeT7LeuOYdYZy72F1fdzEI6I7&#10;B9A0jaB8behOcR2OqI5LEiAl3wnr8SqxbRpOw9um8TwgWWPINKQRDgF7G8dstSRV64jtBB0pkHMo&#10;PMpJEaHh0BPUmgSCdk78BaUEdcabJkyoUdkxkaQIZFHkj7S57ojlKReQ2tuT6P7/wdI3+yuHBKvx&#10;FCNNFBT89sunX98///x6c/vjG5pGhXrrK3C8tldunHkwY7pD41T8QiJoSKoeTqryISAKi+XzeXlx&#10;AfAU9op8MS2LhJrdhVvnwytuFIpGjZ3ZafYOapckJfvXPiRt2ciQsI8YNUpCpfZEomI2m80jT0Ac&#10;ncH6gxkjvZGCbYSUaeLa7QvpEITWeJOeMfiBm9SoB77TxTxSJ9DpDXQYmMqCWl63idyDEH8feZHH&#10;91/Ikdma+O7IICFEN1J1nLCXmqFwsFAHDdcPRw6KM4wkh9sareQZiJDneIIOUkdonu4CCBllivU8&#10;VjBaYdgOsBrNrWEHaIeddaLtoBBFoh93oP2SvuNVif19f55A734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TDVB2gAAAAkBAAAPAAAAAAAAAAEAIAAAACIAAABkcnMvZG93bnJldi54bWxQSwEC&#10;FAAUAAAACACHTuJAqBu4+SsCAABmBAAADgAAAAAAAAABACAAAAApAQAAZHJzL2Uyb0RvYy54bWxQ&#10;SwUGAAAAAAYABgBZAQAAxgUAAAAA&#10;">
                <v:fill on="t" focussize="0,0"/>
                <v:stroke weight="1.25pt" color="#808080" joinstyle="round"/>
                <v:imagedata o:title=""/>
                <o:lock v:ext="edit" aspectratio="f"/>
                <v:textbo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v:textbox>
              </v:roundrect>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2810510</wp:posOffset>
                </wp:positionH>
                <wp:positionV relativeFrom="paragraph">
                  <wp:posOffset>11430</wp:posOffset>
                </wp:positionV>
                <wp:extent cx="2575560" cy="1170940"/>
                <wp:effectExtent l="7620" t="7620" r="26670" b="2159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21.3pt;margin-top:0.9pt;height:92.2pt;width:202.8pt;z-index:251670528;mso-width-relative:page;mso-height-relative:page;" fillcolor="#FFFFFF" filled="t" stroked="t" coordsize="21600,21600" arcsize="0.166666666666667" o:gfxdata="UEsDBAoAAAAAAIdO4kAAAAAAAAAAAAAAAAAEAAAAZHJzL1BLAwQUAAAACACHTuJAgT52R9gAAAAJ&#10;AQAADwAAAGRycy9kb3ducmV2LnhtbE2PzU6DQBSF9ya+w+SauLNDkVCCDI0x0UTjoqVu3E2ZK5Ay&#10;dwgzLcWn93ZVlyffyfkp1mfbixOOvnOkYLmIQCDVznTUKPjavT5kIHzQZHTvCBXM6GFd3t4UOjdu&#10;oi2eqtAIDiGfawVtCEMupa9btNov3IDE7MeNVgeWYyPNqCcOt72MoyiVVnfEDa0e8KXF+lAdrYLp&#10;dz68fa7w8SPavj9Xu9W8+d50St3fLaMnEAHP4WqGy3yeDiVv2rsjGS96BUkSp2xlwA+YZ0kWg9hf&#10;dBqDLAv5/0H5B1BLAwQUAAAACACHTuJA3pjCcCoCAABmBAAADgAAAGRycy9lMm9Eb2MueG1srVRN&#10;rtMwEN4jcQfLe5qkUv+ipm9BKRsETzw4gGs7iZH/ZLtNegEOwBoJiQ3iEBznCY7B2Al9P7DogkRy&#10;xvbM52++GWd91SuJjtx5YXSFi0mOEdfUMKGbCr9/t3u2xMgHohmRRvMKn7jHV5unT9adLfnUtEYy&#10;7hCAaF92tsJtCLbMMk9broifGMs1bNbGKRJg6pqMOdIBupLZNM/nWWccs85Q7j2sbodNPCK6SwBN&#10;XQvKt4YeFNdhQHVckgAp+VZYjzeJbV1zGt7UtecByQpDpiGNcAjY+zhmmzUpG0dsK+hIgVxC4VFO&#10;iggNh56htiQQdHDiLyglqDPe1GFCjcqGRJIikEWRP9LmpiWWp1xAam/Povv/B0tfH68dEqzCK4w0&#10;UVDw288ff3379PPL99sfX9EqKtRZX4Ljjb1248yDGdPta6fiFxJBfVL1dFaV9wFRWJzO5vP5AgSn&#10;sFfks8WqSLpnd+HW+fCSG4WiUWFnDpq9hdolScnxlQ9JWzYyJOwDRrWSUKkjkaiI+JEnII7OYP3B&#10;jJHeSMF2Qso0cc3+uXQIQiu8S88Y/MBNatQB39lyMQPqBDq9hg4DU1lQy+smkXsQ4u8jL/P4/gs5&#10;MtsS3w4MEkJ0I2XLCXuhGQonC3XQcP1w5KA4w0hyuK3RSp6BCHmJJ+ggdYTm6S6AkFGmWM+hgtEK&#10;/b6H1WjuDTtBOxysE00LhSgS/bgD7Zf0Ha9K7O/78wR693v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PnZH2AAAAAkBAAAPAAAAAAAAAAEAIAAAACIAAABkcnMvZG93bnJldi54bWxQSwECFAAU&#10;AAAACACHTuJA3pjCcCoCAABmBAAADgAAAAAAAAABACAAAAAnAQAAZHJzL2Uyb0RvYy54bWxQSwUG&#10;AAAAAAYABgBZAQAAwwUAAAAA&#10;">
                <v:fill on="t" focussize="0,0"/>
                <v:stroke weight="1.25pt" color="#808080" joinstyle="round"/>
                <v:imagedata o:title=""/>
                <o:lock v:ext="edit" aspectratio="f"/>
                <v:textbo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v:textbox>
              </v:roundrect>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供应商（盖单位章）;                           </w:t>
      </w:r>
    </w:p>
    <w:p>
      <w:pPr>
        <w:pStyle w:val="13"/>
        <w:tabs>
          <w:tab w:val="left" w:pos="5580"/>
        </w:tabs>
        <w:spacing w:line="240" w:lineRule="atLeast"/>
        <w:ind w:left="1079"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法定代表人（签字或签章）：</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身份证号码：__________________________________ </w:t>
      </w:r>
    </w:p>
    <w:p>
      <w:pPr>
        <w:pStyle w:val="13"/>
        <w:tabs>
          <w:tab w:val="left" w:pos="5580"/>
        </w:tabs>
        <w:spacing w:line="240" w:lineRule="atLeast"/>
        <w:ind w:left="1079" w:leftChars="257" w:hanging="540"/>
        <w:rPr>
          <w:rFonts w:hint="eastAsia" w:ascii="仿宋_GB2312" w:hAnsi="仿宋_GB2312" w:eastAsia="仿宋_GB2312" w:cs="仿宋_GB2312"/>
          <w:sz w:val="24"/>
        </w:rPr>
      </w:pPr>
      <w:r>
        <w:rPr>
          <w:rFonts w:hint="eastAsia" w:ascii="仿宋_GB2312" w:hAnsi="仿宋_GB2312" w:eastAsia="仿宋_GB2312" w:cs="仿宋_GB2312"/>
          <w:sz w:val="24"/>
        </w:rPr>
        <w:t>委托代理人（签字或签章）：</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身份证号码：__________________________________</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详细通讯地址：</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邮 政 编 码 ：</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传　　　　真：</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电　　　　话：</w:t>
      </w:r>
    </w:p>
    <w:p>
      <w:pPr>
        <w:pStyle w:val="13"/>
        <w:tabs>
          <w:tab w:val="left" w:pos="5580"/>
        </w:tabs>
        <w:spacing w:line="288" w:lineRule="auto"/>
        <w:ind w:firstLine="480" w:firstLineChars="200"/>
        <w:rPr>
          <w:rFonts w:ascii="仿宋_GB2312" w:hAnsi="仿宋_GB2312" w:eastAsia="仿宋_GB2312" w:cs="仿宋_GB2312"/>
          <w:sz w:val="24"/>
          <w:u w:val="single" w:color="FFFFFF"/>
        </w:rPr>
      </w:pPr>
    </w:p>
    <w:p>
      <w:pPr>
        <w:spacing w:line="500" w:lineRule="exact"/>
        <w:rPr>
          <w:rFonts w:ascii="仿宋_GB2312" w:hAnsi="微软雅黑 Light" w:eastAsia="仿宋_GB2312" w:cs="微软雅黑 Light"/>
          <w:b/>
          <w:bCs/>
          <w:iCs/>
          <w:sz w:val="24"/>
        </w:rPr>
      </w:pPr>
      <w:bookmarkStart w:id="719" w:name="_Toc32520"/>
      <w:bookmarkEnd w:id="719"/>
      <w:bookmarkStart w:id="720" w:name="_Toc7039"/>
      <w:bookmarkEnd w:id="720"/>
      <w:bookmarkStart w:id="721" w:name="_Toc18130"/>
      <w:bookmarkEnd w:id="721"/>
      <w:bookmarkStart w:id="722" w:name="_Toc515647808"/>
      <w:bookmarkEnd w:id="722"/>
      <w:bookmarkStart w:id="723" w:name="_Toc515647810"/>
      <w:bookmarkStart w:id="724" w:name="_Toc41737064"/>
      <w:bookmarkStart w:id="725" w:name="_Toc5710"/>
      <w:bookmarkStart w:id="726" w:name="_Toc18754"/>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pStyle w:val="20"/>
        <w:rPr>
          <w:rFonts w:ascii="仿宋_GB2312" w:hAnsi="微软雅黑 Light" w:eastAsia="仿宋_GB2312" w:cs="微软雅黑 Light"/>
          <w:b/>
          <w:bCs/>
          <w:iCs/>
          <w:sz w:val="24"/>
        </w:rPr>
      </w:pPr>
    </w:p>
    <w:p>
      <w:pPr>
        <w:pStyle w:val="3"/>
        <w:rPr>
          <w:rFonts w:ascii="仿宋_GB2312" w:hAnsi="微软雅黑 Light" w:eastAsia="仿宋_GB2312" w:cs="微软雅黑 Light"/>
          <w:b/>
          <w:bCs/>
          <w:iCs/>
        </w:rPr>
      </w:pPr>
    </w:p>
    <w:p>
      <w:pPr>
        <w:pStyle w:val="2"/>
        <w:ind w:firstLine="241"/>
        <w:rPr>
          <w:rFonts w:hint="default" w:ascii="仿宋_GB2312" w:hAnsi="微软雅黑 Light" w:eastAsia="仿宋_GB2312" w:cs="微软雅黑 Light"/>
          <w:b/>
          <w:bCs/>
          <w:iCs/>
        </w:rPr>
      </w:pPr>
    </w:p>
    <w:p>
      <w:pPr>
        <w:spacing w:line="500" w:lineRule="exact"/>
        <w:rPr>
          <w:rFonts w:ascii="仿宋_GB2312" w:hAnsi="微软雅黑 Light" w:eastAsia="仿宋_GB2312" w:cs="微软雅黑 Light"/>
          <w:b/>
          <w:bCs/>
          <w:iCs/>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727" w:name="_Toc26834"/>
      <w:bookmarkStart w:id="728" w:name="_Toc11572"/>
      <w:bookmarkStart w:id="729" w:name="_Toc9134"/>
      <w:r>
        <w:rPr>
          <w:rFonts w:hint="eastAsia" w:ascii="仿宋_GB2312" w:hAnsi="仿宋_GB2312" w:eastAsia="仿宋_GB2312" w:cs="仿宋_GB2312"/>
          <w:u w:val="none"/>
        </w:rPr>
        <w:t>5  投标保证金缴纳凭证复印件</w:t>
      </w:r>
      <w:bookmarkEnd w:id="727"/>
      <w:bookmarkEnd w:id="728"/>
      <w:bookmarkEnd w:id="729"/>
    </w:p>
    <w:p>
      <w:pPr>
        <w:pStyle w:val="23"/>
        <w:spacing w:beforeAutospacing="0" w:afterAutospacing="0" w:line="360" w:lineRule="auto"/>
        <w:ind w:left="147" w:firstLine="480" w:firstLineChars="200"/>
        <w:textAlignment w:val="auto"/>
        <w:rPr>
          <w:rFonts w:ascii="仿宋" w:hAnsi="仿宋" w:eastAsia="仿宋"/>
        </w:rPr>
      </w:pPr>
      <w:r>
        <w:rPr>
          <w:rFonts w:hint="eastAsia" w:ascii="仿宋" w:hAnsi="仿宋" w:eastAsia="仿宋" w:cs="Times New Roman"/>
        </w:rPr>
        <w:t>投标保证金应当以支票、汇票、本票或者金融机构、担保机构出具的保函等非现金形式提交。投标人未按照招标文件要求提交投标保证金的，投标无效。</w:t>
      </w:r>
      <w:bookmarkStart w:id="730" w:name="_Toc494296665"/>
      <w:bookmarkStart w:id="731" w:name="_Toc494296991"/>
      <w:r>
        <w:rPr>
          <w:rFonts w:hint="eastAsia" w:ascii="仿宋" w:hAnsi="仿宋" w:eastAsia="仿宋" w:cs="Times New Roman"/>
        </w:rPr>
        <w:t>投</w:t>
      </w:r>
      <w:r>
        <w:rPr>
          <w:rFonts w:hint="eastAsia" w:ascii="仿宋" w:hAnsi="仿宋" w:eastAsia="仿宋"/>
        </w:rPr>
        <w:t>标人可将本项目</w:t>
      </w:r>
      <w:r>
        <w:rPr>
          <w:rFonts w:ascii="仿宋" w:hAnsi="仿宋" w:eastAsia="仿宋"/>
        </w:rPr>
        <w:t>保证金</w:t>
      </w:r>
      <w:r>
        <w:rPr>
          <w:rFonts w:hint="eastAsia" w:ascii="仿宋" w:hAnsi="仿宋" w:eastAsia="仿宋" w:cs="Times New Roman"/>
        </w:rPr>
        <w:t>凭证</w:t>
      </w:r>
      <w:r>
        <w:rPr>
          <w:rFonts w:hint="eastAsia" w:ascii="仿宋" w:hAnsi="仿宋" w:eastAsia="仿宋"/>
        </w:rPr>
        <w:t>的复印件作为缴纳凭证体现在本部分中，复印件上应加盖本单位章；使用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w:t>
      </w:r>
      <w:r>
        <w:rPr>
          <w:rFonts w:hint="eastAsia" w:ascii="仿宋" w:hAnsi="仿宋" w:eastAsia="仿宋"/>
        </w:rPr>
        <w:t>复印件，体现在本部分</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以下模板,将复印件体现</w:t>
      </w:r>
      <w:r>
        <w:rPr>
          <w:rFonts w:ascii="仿宋" w:hAnsi="仿宋" w:eastAsia="仿宋"/>
        </w:rPr>
        <w:t>在本部分中</w:t>
      </w:r>
      <w:r>
        <w:rPr>
          <w:rFonts w:hint="eastAsia" w:ascii="仿宋" w:hAnsi="仿宋" w:eastAsia="仿宋"/>
        </w:rPr>
        <w:t>。</w:t>
      </w:r>
      <w:bookmarkEnd w:id="730"/>
      <w:bookmarkEnd w:id="731"/>
    </w:p>
    <w:p>
      <w:pPr>
        <w:jc w:val="center"/>
        <w:rPr>
          <w:rFonts w:ascii="仿宋" w:hAnsi="仿宋" w:eastAsia="仿宋"/>
          <w:sz w:val="28"/>
          <w:szCs w:val="28"/>
        </w:rPr>
      </w:pPr>
    </w:p>
    <w:p>
      <w:pPr>
        <w:jc w:val="center"/>
        <w:rPr>
          <w:rFonts w:ascii="仿宋" w:hAnsi="仿宋" w:eastAsia="仿宋"/>
          <w:sz w:val="28"/>
          <w:szCs w:val="28"/>
        </w:rPr>
      </w:pPr>
    </w:p>
    <w:p>
      <w:pPr>
        <w:pStyle w:val="20"/>
        <w:rPr>
          <w:rFonts w:ascii="仿宋" w:hAnsi="仿宋" w:eastAsia="仿宋"/>
          <w:sz w:val="28"/>
          <w:szCs w:val="28"/>
        </w:rPr>
      </w:pPr>
    </w:p>
    <w:p>
      <w:pPr>
        <w:pStyle w:val="3"/>
        <w:rPr>
          <w:rFonts w:ascii="仿宋" w:hAnsi="仿宋" w:eastAsia="仿宋"/>
          <w:sz w:val="28"/>
          <w:szCs w:val="28"/>
        </w:rPr>
      </w:pPr>
    </w:p>
    <w:p>
      <w:pPr>
        <w:pStyle w:val="2"/>
        <w:ind w:firstLine="280"/>
        <w:rPr>
          <w:rFonts w:hint="default" w:ascii="仿宋" w:hAnsi="仿宋" w:eastAsia="仿宋"/>
          <w:sz w:val="28"/>
          <w:szCs w:val="28"/>
        </w:rPr>
      </w:pPr>
    </w:p>
    <w:p>
      <w:pPr>
        <w:rPr>
          <w:rFonts w:ascii="仿宋" w:hAnsi="仿宋" w:eastAsia="仿宋"/>
          <w:sz w:val="28"/>
          <w:szCs w:val="28"/>
        </w:rPr>
      </w:pPr>
    </w:p>
    <w:p>
      <w:pPr>
        <w:pStyle w:val="20"/>
        <w:rPr>
          <w:rFonts w:ascii="仿宋" w:hAnsi="仿宋" w:eastAsia="仿宋"/>
          <w:sz w:val="28"/>
          <w:szCs w:val="28"/>
        </w:rPr>
      </w:pPr>
    </w:p>
    <w:p>
      <w:pPr>
        <w:pStyle w:val="3"/>
        <w:rPr>
          <w:rFonts w:ascii="仿宋" w:hAnsi="仿宋" w:eastAsia="仿宋"/>
          <w:sz w:val="28"/>
          <w:szCs w:val="28"/>
        </w:rPr>
      </w:pPr>
    </w:p>
    <w:p>
      <w:pPr>
        <w:pStyle w:val="2"/>
        <w:ind w:firstLine="280"/>
        <w:rPr>
          <w:rFonts w:hint="default" w:ascii="仿宋" w:hAnsi="仿宋" w:eastAsia="仿宋"/>
          <w:sz w:val="28"/>
          <w:szCs w:val="28"/>
        </w:rPr>
      </w:pPr>
    </w:p>
    <w:p>
      <w:pPr>
        <w:rPr>
          <w:rFonts w:ascii="仿宋" w:hAnsi="仿宋" w:eastAsia="仿宋"/>
          <w:sz w:val="28"/>
          <w:szCs w:val="28"/>
        </w:rPr>
      </w:pPr>
    </w:p>
    <w:p>
      <w:pPr>
        <w:pStyle w:val="20"/>
        <w:rPr>
          <w:rFonts w:ascii="仿宋" w:hAnsi="仿宋" w:eastAsia="仿宋"/>
          <w:sz w:val="28"/>
          <w:szCs w:val="28"/>
        </w:rPr>
      </w:pPr>
    </w:p>
    <w:p>
      <w:pPr>
        <w:pStyle w:val="3"/>
        <w:rPr>
          <w:rFonts w:ascii="仿宋" w:hAnsi="仿宋" w:eastAsia="仿宋"/>
          <w:sz w:val="28"/>
          <w:szCs w:val="28"/>
        </w:rPr>
      </w:pPr>
    </w:p>
    <w:p>
      <w:pPr>
        <w:pStyle w:val="2"/>
        <w:ind w:firstLine="280"/>
        <w:rPr>
          <w:rFonts w:hint="default" w:ascii="仿宋" w:hAnsi="仿宋" w:eastAsia="仿宋"/>
          <w:sz w:val="28"/>
          <w:szCs w:val="28"/>
        </w:rPr>
      </w:pPr>
    </w:p>
    <w:p>
      <w:pPr>
        <w:rPr>
          <w:rFonts w:ascii="仿宋" w:hAnsi="仿宋" w:eastAsia="仿宋"/>
          <w:sz w:val="28"/>
          <w:szCs w:val="28"/>
        </w:rPr>
      </w:pPr>
    </w:p>
    <w:p>
      <w:pPr>
        <w:pStyle w:val="20"/>
        <w:rPr>
          <w:rFonts w:ascii="仿宋" w:hAnsi="仿宋" w:eastAsia="仿宋"/>
          <w:sz w:val="28"/>
          <w:szCs w:val="28"/>
        </w:rPr>
      </w:pPr>
    </w:p>
    <w:p>
      <w:pPr>
        <w:pStyle w:val="3"/>
        <w:rPr>
          <w:rFonts w:ascii="仿宋" w:hAnsi="仿宋" w:eastAsia="仿宋"/>
          <w:sz w:val="28"/>
          <w:szCs w:val="28"/>
        </w:rPr>
      </w:pPr>
    </w:p>
    <w:p>
      <w:pPr>
        <w:pStyle w:val="2"/>
        <w:ind w:firstLine="280"/>
        <w:rPr>
          <w:rFonts w:hint="default" w:ascii="仿宋" w:hAnsi="仿宋" w:eastAsia="仿宋"/>
          <w:sz w:val="28"/>
          <w:szCs w:val="28"/>
        </w:rPr>
      </w:pPr>
    </w:p>
    <w:p>
      <w:pPr>
        <w:rPr>
          <w:rFonts w:ascii="仿宋" w:hAnsi="仿宋" w:eastAsia="仿宋"/>
          <w:sz w:val="28"/>
          <w:szCs w:val="28"/>
        </w:rPr>
      </w:pPr>
    </w:p>
    <w:p>
      <w:pPr>
        <w:pStyle w:val="2"/>
        <w:ind w:firstLine="0" w:firstLineChars="0"/>
        <w:rPr>
          <w:rFonts w:hint="default"/>
        </w:rPr>
      </w:pPr>
    </w:p>
    <w:p>
      <w:pPr>
        <w:jc w:val="center"/>
        <w:rPr>
          <w:rFonts w:ascii="仿宋" w:hAnsi="仿宋" w:eastAsia="仿宋"/>
          <w:sz w:val="28"/>
          <w:szCs w:val="28"/>
        </w:rPr>
      </w:pPr>
      <w:r>
        <w:rPr>
          <w:rFonts w:hint="eastAsia" w:ascii="仿宋" w:hAnsi="仿宋" w:eastAsia="仿宋"/>
          <w:sz w:val="28"/>
          <w:szCs w:val="28"/>
        </w:rPr>
        <w:t>政府采购投标担保函 （项目用）</w:t>
      </w:r>
    </w:p>
    <w:p>
      <w:pPr>
        <w:ind w:firstLine="6720" w:firstLineChars="3200"/>
        <w:rPr>
          <w:rFonts w:ascii="仿宋" w:hAnsi="仿宋" w:eastAsia="仿宋"/>
        </w:rPr>
      </w:pPr>
      <w:r>
        <w:rPr>
          <w:rFonts w:hint="eastAsia" w:ascii="仿宋" w:hAnsi="仿宋" w:eastAsia="仿宋"/>
        </w:rPr>
        <w:t>编号：</w:t>
      </w:r>
    </w:p>
    <w:p>
      <w:pPr>
        <w:tabs>
          <w:tab w:val="left" w:pos="6669"/>
        </w:tabs>
        <w:rPr>
          <w:rFonts w:ascii="仿宋" w:hAnsi="仿宋" w:eastAsia="仿宋"/>
        </w:rPr>
      </w:pPr>
      <w:r>
        <w:rPr>
          <w:rFonts w:hint="eastAsia" w:ascii="仿宋" w:hAnsi="仿宋" w:eastAsia="仿宋"/>
        </w:rPr>
        <w:t>（采购人或采购代理机构）：</w:t>
      </w:r>
      <w:r>
        <w:rPr>
          <w:rFonts w:hint="eastAsia" w:ascii="仿宋" w:hAnsi="仿宋" w:eastAsia="仿宋"/>
        </w:rPr>
        <w:tab/>
      </w:r>
    </w:p>
    <w:p>
      <w:pPr>
        <w:rPr>
          <w:rFonts w:ascii="仿宋" w:hAnsi="仿宋" w:eastAsia="仿宋"/>
        </w:rPr>
      </w:pPr>
    </w:p>
    <w:p>
      <w:pPr>
        <w:ind w:firstLine="420" w:firstLineChars="200"/>
        <w:rPr>
          <w:rFonts w:ascii="仿宋" w:hAnsi="仿宋" w:eastAsia="仿宋"/>
        </w:rPr>
      </w:pPr>
      <w:r>
        <w:rPr>
          <w:rFonts w:hint="eastAsia" w:ascii="仿宋" w:hAnsi="仿宋" w:eastAsia="仿宋"/>
        </w:rPr>
        <w:t>鉴于（以下简称“投标人”）拟参加编号为的</w:t>
      </w:r>
    </w:p>
    <w:p>
      <w:pPr>
        <w:rPr>
          <w:rFonts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rPr>
      </w:pPr>
      <w:r>
        <w:rPr>
          <w:rFonts w:hint="eastAsia" w:ascii="仿宋" w:hAnsi="仿宋" w:eastAsia="仿宋"/>
        </w:rPr>
        <w:t>一、保证责任的情形及保证金额</w:t>
      </w:r>
    </w:p>
    <w:p>
      <w:pPr>
        <w:ind w:firstLine="210" w:firstLineChars="100"/>
        <w:rPr>
          <w:rFonts w:ascii="仿宋" w:hAnsi="仿宋" w:eastAsia="仿宋"/>
        </w:rPr>
      </w:pPr>
      <w:r>
        <w:rPr>
          <w:rFonts w:hint="eastAsia" w:ascii="仿宋" w:hAnsi="仿宋" w:eastAsia="仿宋"/>
        </w:rPr>
        <w:t>（一）在投标人出现下列情形之一时，我方承担保证责任：</w:t>
      </w:r>
    </w:p>
    <w:p>
      <w:pPr>
        <w:ind w:firstLine="420" w:firstLineChars="200"/>
        <w:rPr>
          <w:rFonts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ascii="仿宋" w:hAnsi="仿宋" w:eastAsia="仿宋"/>
        </w:rPr>
      </w:pPr>
      <w:r>
        <w:rPr>
          <w:rFonts w:hint="eastAsia" w:ascii="仿宋" w:hAnsi="仿宋" w:eastAsia="仿宋"/>
        </w:rPr>
        <w:t>2．招标文件规定的投标人应当缴纳保证金的其他情形。</w:t>
      </w:r>
    </w:p>
    <w:p>
      <w:pPr>
        <w:ind w:firstLine="210" w:firstLineChars="100"/>
        <w:rPr>
          <w:rFonts w:ascii="仿宋" w:hAnsi="仿宋" w:eastAsia="仿宋"/>
        </w:rPr>
      </w:pPr>
      <w:r>
        <w:rPr>
          <w:rFonts w:hint="eastAsia" w:ascii="仿宋" w:hAnsi="仿宋" w:eastAsia="仿宋"/>
        </w:rPr>
        <w:t>（二）我方承担保证责任的最高金额为人民币元（大写），即本项目的投标保证金金额。</w:t>
      </w:r>
    </w:p>
    <w:p>
      <w:pPr>
        <w:ind w:firstLine="420" w:firstLineChars="200"/>
        <w:rPr>
          <w:rFonts w:ascii="仿宋" w:hAnsi="仿宋" w:eastAsia="仿宋"/>
        </w:rPr>
      </w:pPr>
      <w:r>
        <w:rPr>
          <w:rFonts w:hint="eastAsia" w:ascii="仿宋" w:hAnsi="仿宋" w:eastAsia="仿宋"/>
        </w:rPr>
        <w:t>二、保证的方式及保证期间</w:t>
      </w:r>
    </w:p>
    <w:p>
      <w:pPr>
        <w:ind w:firstLine="420" w:firstLineChars="200"/>
        <w:rPr>
          <w:rFonts w:ascii="仿宋" w:hAnsi="仿宋" w:eastAsia="仿宋"/>
        </w:rPr>
      </w:pPr>
      <w:r>
        <w:rPr>
          <w:rFonts w:hint="eastAsia" w:ascii="仿宋" w:hAnsi="仿宋" w:eastAsia="仿宋"/>
        </w:rPr>
        <w:t>我方保证的方式为：连带责任保证。</w:t>
      </w:r>
    </w:p>
    <w:p>
      <w:pPr>
        <w:ind w:firstLine="420" w:firstLineChars="200"/>
        <w:rPr>
          <w:rFonts w:ascii="仿宋" w:hAnsi="仿宋" w:eastAsia="仿宋"/>
        </w:rPr>
      </w:pPr>
      <w:r>
        <w:rPr>
          <w:rFonts w:hint="eastAsia" w:ascii="仿宋" w:hAnsi="仿宋" w:eastAsia="仿宋"/>
        </w:rPr>
        <w:t>我方的保证期间为：自本保函生效之日起</w:t>
      </w:r>
      <w:r>
        <w:rPr>
          <w:rFonts w:hint="eastAsia" w:ascii="仿宋" w:hAnsi="仿宋" w:eastAsia="仿宋"/>
          <w:u w:val="single"/>
          <w:lang w:val="en-US" w:eastAsia="zh-CN"/>
        </w:rPr>
        <w:t xml:space="preserve">     </w:t>
      </w:r>
      <w:r>
        <w:rPr>
          <w:rFonts w:hint="eastAsia" w:ascii="仿宋" w:hAnsi="仿宋" w:eastAsia="仿宋"/>
        </w:rPr>
        <w:t>个月止。</w:t>
      </w:r>
    </w:p>
    <w:p>
      <w:pPr>
        <w:ind w:firstLine="420" w:firstLineChars="200"/>
        <w:rPr>
          <w:rFonts w:ascii="仿宋" w:hAnsi="仿宋" w:eastAsia="仿宋"/>
        </w:rPr>
      </w:pPr>
      <w:r>
        <w:rPr>
          <w:rFonts w:hint="eastAsia" w:ascii="仿宋" w:hAnsi="仿宋" w:eastAsia="仿宋"/>
        </w:rPr>
        <w:t>三、承担保证责任的程序</w:t>
      </w:r>
    </w:p>
    <w:p>
      <w:pPr>
        <w:ind w:firstLine="420" w:firstLineChars="200"/>
        <w:rPr>
          <w:rFonts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ascii="仿宋" w:hAnsi="仿宋" w:eastAsia="仿宋"/>
        </w:rPr>
      </w:pPr>
      <w:r>
        <w:rPr>
          <w:rFonts w:hint="eastAsia" w:ascii="仿宋" w:hAnsi="仿宋" w:eastAsia="仿宋"/>
        </w:rPr>
        <w:t>四、保证责任的终止</w:t>
      </w:r>
    </w:p>
    <w:p>
      <w:pPr>
        <w:ind w:firstLine="420" w:firstLineChars="200"/>
        <w:rPr>
          <w:rFonts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ascii="仿宋" w:hAnsi="仿宋" w:eastAsia="仿宋"/>
        </w:rPr>
      </w:pPr>
      <w:r>
        <w:rPr>
          <w:rFonts w:hint="eastAsia" w:ascii="仿宋" w:hAnsi="仿宋" w:eastAsia="仿宋"/>
        </w:rPr>
        <w:t>五、免责条款</w:t>
      </w:r>
    </w:p>
    <w:p>
      <w:pPr>
        <w:ind w:firstLine="420" w:firstLineChars="200"/>
        <w:rPr>
          <w:rFonts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rPr>
      </w:pPr>
      <w:r>
        <w:rPr>
          <w:rFonts w:hint="eastAsia" w:ascii="仿宋" w:hAnsi="仿宋" w:eastAsia="仿宋"/>
        </w:rPr>
        <w:t>六、争议的解决</w:t>
      </w:r>
    </w:p>
    <w:p>
      <w:pPr>
        <w:ind w:firstLine="420" w:firstLineChars="200"/>
        <w:rPr>
          <w:rFonts w:ascii="仿宋" w:hAnsi="仿宋" w:eastAsia="仿宋"/>
        </w:rPr>
      </w:pPr>
      <w:r>
        <w:rPr>
          <w:rFonts w:hint="eastAsia" w:ascii="仿宋" w:hAnsi="仿宋" w:eastAsia="仿宋"/>
        </w:rPr>
        <w:t>因本保函发生的纠纷，由你我双方协商解决，协商不成的，通过诉讼程序解决，诉讼管辖地法院为法院。</w:t>
      </w:r>
    </w:p>
    <w:p>
      <w:pPr>
        <w:ind w:firstLine="420" w:firstLineChars="200"/>
        <w:rPr>
          <w:rFonts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040" w:firstLineChars="2400"/>
        <w:rPr>
          <w:rFonts w:ascii="仿宋" w:hAnsi="仿宋" w:eastAsia="仿宋"/>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rPr>
        <w:t>保证人：（公章）年     月      日</w:t>
      </w:r>
    </w:p>
    <w:p>
      <w:pPr>
        <w:pStyle w:val="5"/>
        <w:spacing w:before="0" w:line="288" w:lineRule="auto"/>
        <w:jc w:val="both"/>
        <w:rPr>
          <w:rFonts w:ascii="仿宋_GB2312" w:hAnsi="仿宋_GB2312" w:eastAsia="仿宋_GB2312" w:cs="仿宋_GB2312"/>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732" w:name="_Toc21047"/>
      <w:bookmarkStart w:id="733" w:name="_Toc7329"/>
      <w:bookmarkStart w:id="734" w:name="_Toc15919"/>
      <w:bookmarkStart w:id="735" w:name="_Toc6247"/>
      <w:bookmarkStart w:id="736" w:name="_Toc28861"/>
      <w:bookmarkStart w:id="737" w:name="_Toc19756"/>
      <w:bookmarkStart w:id="738" w:name="_Toc21576"/>
      <w:bookmarkStart w:id="739" w:name="_Toc29022"/>
      <w:bookmarkStart w:id="740" w:name="_Toc11556"/>
      <w:bookmarkStart w:id="741" w:name="_Toc10990"/>
      <w:r>
        <w:rPr>
          <w:rFonts w:hint="eastAsia" w:ascii="仿宋_GB2312" w:hAnsi="仿宋_GB2312" w:eastAsia="仿宋_GB2312" w:cs="仿宋_GB2312"/>
          <w:u w:val="none"/>
        </w:rPr>
        <w:t>6  社会保障资金的缴纳记录</w:t>
      </w:r>
      <w:bookmarkEnd w:id="723"/>
      <w:bookmarkEnd w:id="724"/>
      <w:bookmarkEnd w:id="725"/>
      <w:bookmarkEnd w:id="726"/>
      <w:bookmarkEnd w:id="732"/>
      <w:bookmarkEnd w:id="733"/>
      <w:bookmarkEnd w:id="734"/>
      <w:bookmarkEnd w:id="735"/>
      <w:bookmarkEnd w:id="736"/>
      <w:bookmarkEnd w:id="737"/>
      <w:bookmarkEnd w:id="738"/>
      <w:bookmarkEnd w:id="739"/>
      <w:bookmarkEnd w:id="740"/>
      <w:bookmarkEnd w:id="741"/>
    </w:p>
    <w:p>
      <w:pPr>
        <w:pStyle w:val="13"/>
        <w:tabs>
          <w:tab w:val="left" w:pos="5580"/>
        </w:tabs>
        <w:spacing w:line="288" w:lineRule="auto"/>
        <w:rPr>
          <w:rFonts w:ascii="仿宋_GB2312" w:hAnsi="仿宋_GB2312" w:eastAsia="仿宋_GB2312" w:cs="仿宋_GB2312"/>
          <w:b/>
          <w:sz w:val="24"/>
        </w:rPr>
      </w:pPr>
    </w:p>
    <w:p>
      <w:pPr>
        <w:pStyle w:val="13"/>
        <w:tabs>
          <w:tab w:val="left" w:pos="5580"/>
        </w:tabs>
        <w:spacing w:line="240" w:lineRule="atLeast"/>
        <w:ind w:left="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sz w:val="18"/>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spacing w:line="288" w:lineRule="auto"/>
        <w:rPr>
          <w:rFonts w:ascii="仿宋_GB2312" w:hAnsi="仿宋_GB2312" w:eastAsia="仿宋_GB2312" w:cs="仿宋_GB2312"/>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742" w:name="_Toc23700"/>
      <w:bookmarkStart w:id="743" w:name="_Toc31547"/>
      <w:bookmarkStart w:id="744" w:name="_Toc28491"/>
      <w:bookmarkStart w:id="745" w:name="_Toc6321"/>
      <w:bookmarkStart w:id="746" w:name="_Toc13105"/>
      <w:bookmarkStart w:id="747" w:name="_Toc20976"/>
      <w:bookmarkStart w:id="748" w:name="_Toc8841"/>
      <w:bookmarkStart w:id="749" w:name="_Toc22265"/>
      <w:bookmarkStart w:id="750" w:name="_Toc28908"/>
      <w:bookmarkStart w:id="751" w:name="_Toc15284"/>
      <w:r>
        <w:rPr>
          <w:rFonts w:hint="eastAsia" w:ascii="仿宋_GB2312" w:hAnsi="仿宋_GB2312" w:eastAsia="仿宋_GB2312" w:cs="仿宋_GB2312"/>
          <w:u w:val="none"/>
        </w:rPr>
        <w:t>7 良好的商业信誉和健全的财务会计制度证明材料</w:t>
      </w:r>
      <w:bookmarkEnd w:id="742"/>
      <w:bookmarkEnd w:id="743"/>
      <w:bookmarkEnd w:id="744"/>
      <w:bookmarkEnd w:id="745"/>
      <w:bookmarkEnd w:id="746"/>
      <w:bookmarkEnd w:id="747"/>
      <w:bookmarkEnd w:id="748"/>
      <w:bookmarkEnd w:id="749"/>
    </w:p>
    <w:bookmarkEnd w:id="750"/>
    <w:bookmarkEnd w:id="751"/>
    <w:p>
      <w:pPr>
        <w:tabs>
          <w:tab w:val="left" w:pos="5580"/>
        </w:tabs>
        <w:spacing w:line="240" w:lineRule="atLeast"/>
        <w:ind w:left="1079" w:leftChars="257" w:hanging="540"/>
        <w:rPr>
          <w:rFonts w:ascii="仿宋_GB2312" w:eastAsia="仿宋_GB2312"/>
          <w:sz w:val="24"/>
        </w:rPr>
      </w:pPr>
      <w:r>
        <w:rPr>
          <w:rFonts w:hint="eastAsia" w:ascii="仿宋_GB2312" w:eastAsia="仿宋_GB2312"/>
          <w:sz w:val="24"/>
        </w:rPr>
        <w:t>说明：</w:t>
      </w:r>
    </w:p>
    <w:p>
      <w:pPr>
        <w:tabs>
          <w:tab w:val="left" w:pos="5580"/>
        </w:tabs>
        <w:spacing w:line="240" w:lineRule="atLeast"/>
        <w:ind w:left="540"/>
        <w:rPr>
          <w:rFonts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pStyle w:val="20"/>
      </w:pPr>
    </w:p>
    <w:p>
      <w:pPr>
        <w:pStyle w:val="6"/>
        <w:spacing w:before="0" w:after="0" w:line="288" w:lineRule="auto"/>
        <w:ind w:left="1078" w:leftChars="257" w:hanging="539"/>
        <w:jc w:val="center"/>
        <w:rPr>
          <w:rFonts w:ascii="仿宋_GB2312" w:hAnsi="仿宋_GB2312" w:eastAsia="仿宋_GB2312" w:cs="仿宋_GB2312"/>
          <w:u w:val="none"/>
        </w:rPr>
      </w:pPr>
      <w:bookmarkStart w:id="752" w:name="_Toc16318"/>
      <w:bookmarkStart w:id="753" w:name="_Toc16690"/>
      <w:bookmarkStart w:id="754" w:name="_Toc13664"/>
      <w:bookmarkStart w:id="755" w:name="_Toc16284"/>
      <w:bookmarkStart w:id="756" w:name="_Toc18809"/>
      <w:bookmarkStart w:id="757" w:name="_Toc28013"/>
      <w:bookmarkStart w:id="758" w:name="_Toc21546"/>
      <w:bookmarkStart w:id="759" w:name="_Toc13883"/>
      <w:bookmarkStart w:id="760" w:name="_Toc32107"/>
      <w:bookmarkStart w:id="761" w:name="_Toc11835"/>
      <w:r>
        <w:rPr>
          <w:rFonts w:hint="eastAsia" w:ascii="仿宋_GB2312" w:hAnsi="仿宋_GB2312" w:eastAsia="仿宋_GB2312" w:cs="仿宋_GB2312"/>
          <w:u w:val="none"/>
        </w:rPr>
        <w:t>8 依法缴纳税收的证明</w:t>
      </w:r>
      <w:bookmarkEnd w:id="752"/>
      <w:bookmarkEnd w:id="753"/>
      <w:bookmarkEnd w:id="754"/>
      <w:bookmarkEnd w:id="755"/>
      <w:bookmarkEnd w:id="756"/>
      <w:bookmarkEnd w:id="757"/>
      <w:bookmarkEnd w:id="758"/>
      <w:bookmarkEnd w:id="759"/>
      <w:bookmarkEnd w:id="760"/>
      <w:bookmarkEnd w:id="761"/>
    </w:p>
    <w:p>
      <w:pPr>
        <w:pStyle w:val="13"/>
        <w:tabs>
          <w:tab w:val="left" w:pos="5580"/>
        </w:tabs>
        <w:spacing w:line="240" w:lineRule="atLeast"/>
        <w:ind w:left="540"/>
        <w:rPr>
          <w:rFonts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pStyle w:val="13"/>
        <w:tabs>
          <w:tab w:val="left" w:pos="5580"/>
        </w:tabs>
        <w:spacing w:line="288" w:lineRule="auto"/>
        <w:ind w:left="1079" w:leftChars="257" w:hanging="540"/>
        <w:rPr>
          <w:rFonts w:ascii="仿宋_GB2312" w:hAnsi="仿宋_GB2312" w:eastAsia="仿宋_GB2312" w:cs="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5"/>
        <w:widowControl w:val="0"/>
        <w:spacing w:before="0" w:line="288" w:lineRule="auto"/>
        <w:textAlignment w:val="auto"/>
        <w:rPr>
          <w:rFonts w:ascii="仿宋_GB2312" w:hAnsi="仿宋_GB2312" w:eastAsia="仿宋_GB2312" w:cs="仿宋_GB2312"/>
          <w:sz w:val="24"/>
        </w:rPr>
      </w:pPr>
    </w:p>
    <w:p/>
    <w:p>
      <w:pPr>
        <w:pStyle w:val="6"/>
        <w:spacing w:before="0" w:after="0" w:line="288" w:lineRule="auto"/>
        <w:ind w:left="1078" w:leftChars="257" w:hanging="539"/>
        <w:jc w:val="center"/>
        <w:rPr>
          <w:rFonts w:ascii="仿宋_GB2312" w:hAnsi="仿宋_GB2312" w:eastAsia="仿宋_GB2312" w:cs="仿宋_GB2312"/>
          <w:u w:val="none"/>
        </w:rPr>
      </w:pPr>
      <w:bookmarkStart w:id="762" w:name="_Toc31910"/>
      <w:bookmarkStart w:id="763" w:name="_Toc21065"/>
      <w:bookmarkStart w:id="764" w:name="_Toc29990"/>
      <w:r>
        <w:rPr>
          <w:rFonts w:hint="eastAsia" w:ascii="仿宋_GB2312" w:hAnsi="仿宋_GB2312" w:eastAsia="仿宋_GB2312" w:cs="仿宋_GB2312"/>
          <w:u w:val="none"/>
        </w:rPr>
        <w:t>9  参加政府采购活动前3年内在经营活动中没有重大违法记录的书面声明及反商业受贿承诺</w:t>
      </w:r>
      <w:bookmarkEnd w:id="762"/>
      <w:bookmarkEnd w:id="763"/>
      <w:bookmarkEnd w:id="764"/>
    </w:p>
    <w:p>
      <w:pPr>
        <w:pStyle w:val="2"/>
        <w:ind w:firstLine="0" w:firstLineChars="0"/>
        <w:rPr>
          <w:rFonts w:hint="default"/>
        </w:rPr>
      </w:pPr>
    </w:p>
    <w:p/>
    <w:p>
      <w:pPr>
        <w:pStyle w:val="6"/>
        <w:spacing w:before="0" w:after="0" w:line="288" w:lineRule="auto"/>
        <w:ind w:left="1078" w:leftChars="257" w:hanging="539"/>
        <w:jc w:val="center"/>
        <w:rPr>
          <w:rFonts w:ascii="仿宋_GB2312" w:hAnsi="仿宋_GB2312" w:eastAsia="仿宋_GB2312" w:cs="仿宋_GB2312"/>
          <w:u w:val="none"/>
        </w:rPr>
      </w:pPr>
      <w:bookmarkStart w:id="765" w:name="_Toc11340"/>
      <w:bookmarkStart w:id="766" w:name="_Toc25801"/>
      <w:bookmarkStart w:id="767" w:name="_Toc10559"/>
      <w:bookmarkStart w:id="768" w:name="_Toc3659"/>
      <w:bookmarkStart w:id="769" w:name="_Toc18306"/>
      <w:bookmarkStart w:id="770" w:name="_Toc4680"/>
      <w:bookmarkStart w:id="771" w:name="_Toc21347"/>
      <w:bookmarkStart w:id="772" w:name="_Toc29051"/>
      <w:bookmarkStart w:id="773" w:name="_Toc2815"/>
      <w:bookmarkStart w:id="774" w:name="_Toc11464"/>
      <w:r>
        <w:rPr>
          <w:rFonts w:hint="eastAsia" w:ascii="仿宋_GB2312" w:hAnsi="仿宋_GB2312" w:eastAsia="仿宋_GB2312" w:cs="仿宋_GB2312"/>
          <w:u w:val="none"/>
        </w:rPr>
        <w:t>10  投标人须知资料表要求的其他资格证明文件</w:t>
      </w:r>
      <w:bookmarkEnd w:id="765"/>
      <w:bookmarkEnd w:id="766"/>
      <w:bookmarkEnd w:id="767"/>
      <w:bookmarkEnd w:id="768"/>
      <w:bookmarkEnd w:id="769"/>
      <w:bookmarkEnd w:id="770"/>
      <w:bookmarkEnd w:id="771"/>
      <w:bookmarkEnd w:id="772"/>
      <w:bookmarkEnd w:id="773"/>
      <w:bookmarkEnd w:id="774"/>
    </w:p>
    <w:p>
      <w:pPr>
        <w:pStyle w:val="13"/>
        <w:tabs>
          <w:tab w:val="left" w:pos="5580"/>
        </w:tabs>
        <w:spacing w:line="288" w:lineRule="auto"/>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13"/>
        <w:tabs>
          <w:tab w:val="left" w:pos="5580"/>
        </w:tabs>
        <w:spacing w:line="240" w:lineRule="atLeast"/>
        <w:ind w:left="1260" w:leftChars="344" w:hanging="538"/>
        <w:rPr>
          <w:rFonts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20"/>
        <w:numPr>
          <w:ilvl w:val="0"/>
          <w:numId w:val="6"/>
        </w:num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pPr>
        <w:pStyle w:val="13"/>
        <w:tabs>
          <w:tab w:val="left" w:pos="5580"/>
        </w:tabs>
        <w:snapToGrid w:val="0"/>
        <w:spacing w:line="288" w:lineRule="auto"/>
        <w:ind w:left="1080" w:leftChars="257" w:hanging="540"/>
        <w:rPr>
          <w:rFonts w:ascii="仿宋_GB2312" w:hAnsi="仿宋_GB2312" w:eastAsia="仿宋_GB2312" w:cs="仿宋_GB2312"/>
          <w:sz w:val="24"/>
        </w:rPr>
      </w:pPr>
    </w:p>
    <w:p>
      <w:pPr>
        <w:pStyle w:val="5"/>
        <w:snapToGrid w:val="0"/>
        <w:spacing w:before="0" w:line="288" w:lineRule="auto"/>
        <w:ind w:left="1080" w:leftChars="257" w:hanging="540"/>
        <w:rPr>
          <w:rFonts w:ascii="仿宋" w:hAnsi="仿宋" w:eastAsia="仿宋" w:cs="仿宋"/>
          <w:sz w:val="24"/>
          <w:szCs w:val="24"/>
        </w:rPr>
      </w:pPr>
      <w:bookmarkStart w:id="775" w:name="_Toc27549"/>
      <w:bookmarkStart w:id="776" w:name="_Toc24008"/>
      <w:bookmarkStart w:id="777" w:name="_Toc515647816"/>
      <w:bookmarkStart w:id="778" w:name="_Toc26404"/>
      <w:bookmarkStart w:id="779" w:name="_Toc30317"/>
      <w:bookmarkStart w:id="780" w:name="_Toc22608"/>
      <w:bookmarkStart w:id="781" w:name="_Toc26028"/>
      <w:bookmarkStart w:id="782" w:name="_Toc22967"/>
      <w:bookmarkStart w:id="783" w:name="_Toc26950"/>
      <w:bookmarkStart w:id="784" w:name="_Toc19244"/>
      <w:bookmarkStart w:id="785" w:name="_Toc21263"/>
      <w:bookmarkStart w:id="786" w:name="_Toc11180"/>
      <w:bookmarkStart w:id="787" w:name="_Toc23967"/>
      <w:bookmarkStart w:id="788" w:name="_Toc168"/>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 w:hAnsi="仿宋" w:eastAsia="仿宋" w:cs="仿宋"/>
          <w:sz w:val="24"/>
          <w:szCs w:val="24"/>
        </w:rPr>
        <w:t xml:space="preserve"> 商务及技术文件</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snapToGrid w:val="0"/>
        <w:rPr>
          <w:rFonts w:ascii="仿宋" w:hAnsi="仿宋" w:eastAsia="仿宋" w:cs="仿宋"/>
          <w:sz w:val="24"/>
        </w:rPr>
      </w:pPr>
    </w:p>
    <w:p>
      <w:pPr>
        <w:pStyle w:val="20"/>
        <w:rPr>
          <w:rFonts w:ascii="仿宋" w:hAnsi="仿宋" w:eastAsia="仿宋" w:cs="仿宋"/>
          <w:sz w:val="24"/>
        </w:rPr>
      </w:pP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1、投标书</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2、投标分项报价表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3、货物说明一览表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4、技术规格偏离表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5、商务条款偏离表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6-1《</w:t>
      </w:r>
      <w:r>
        <w:rPr>
          <w:rFonts w:hint="eastAsia" w:ascii="仿宋" w:hAnsi="仿宋" w:eastAsia="仿宋" w:cs="仿宋"/>
          <w:color w:val="000000"/>
          <w:sz w:val="24"/>
          <w:szCs w:val="24"/>
        </w:rPr>
        <w:t>中小企业声明函（货物)</w:t>
      </w:r>
      <w:r>
        <w:rPr>
          <w:rFonts w:hint="eastAsia" w:ascii="仿宋" w:hAnsi="仿宋" w:eastAsia="仿宋" w:cs="仿宋"/>
          <w:sz w:val="24"/>
          <w:szCs w:val="24"/>
        </w:rPr>
        <w:t>》</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6-2《残疾人福利性单位声明函》</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6-3《监狱企业适用》</w:t>
      </w:r>
    </w:p>
    <w:p>
      <w:pPr>
        <w:pStyle w:val="13"/>
        <w:snapToGrid w:val="0"/>
        <w:spacing w:line="288" w:lineRule="auto"/>
        <w:ind w:firstLine="480" w:firstLineChars="200"/>
        <w:jc w:val="left"/>
        <w:rPr>
          <w:rFonts w:ascii="仿宋" w:hAnsi="仿宋" w:eastAsia="仿宋" w:cs="仿宋"/>
          <w:sz w:val="24"/>
          <w:szCs w:val="24"/>
        </w:rPr>
      </w:pPr>
      <w:r>
        <w:rPr>
          <w:rFonts w:hint="eastAsia" w:ascii="仿宋" w:hAnsi="仿宋" w:eastAsia="仿宋" w:cs="仿宋"/>
          <w:sz w:val="24"/>
          <w:szCs w:val="24"/>
        </w:rPr>
        <w:t>7、投标文件还应包括第五章、综合评分表的所有技术文件</w:t>
      </w:r>
    </w:p>
    <w:p>
      <w:pPr>
        <w:pStyle w:val="13"/>
        <w:snapToGrid w:val="0"/>
        <w:spacing w:line="288" w:lineRule="auto"/>
        <w:ind w:left="210" w:firstLine="240" w:firstLineChars="100"/>
        <w:jc w:val="left"/>
        <w:rPr>
          <w:rFonts w:ascii="仿宋" w:hAnsi="仿宋" w:eastAsia="仿宋" w:cs="仿宋"/>
          <w:sz w:val="24"/>
          <w:szCs w:val="24"/>
        </w:rPr>
      </w:pPr>
      <w:r>
        <w:rPr>
          <w:rFonts w:hint="eastAsia" w:ascii="仿宋" w:hAnsi="仿宋" w:eastAsia="仿宋" w:cs="仿宋"/>
          <w:sz w:val="24"/>
          <w:szCs w:val="24"/>
        </w:rPr>
        <w:t>8、投标人关联单位的说明（格式自拟）</w:t>
      </w:r>
    </w:p>
    <w:p>
      <w:pPr>
        <w:pStyle w:val="13"/>
        <w:snapToGrid w:val="0"/>
        <w:spacing w:line="288" w:lineRule="auto"/>
        <w:ind w:left="210" w:firstLine="240" w:firstLineChars="100"/>
        <w:jc w:val="left"/>
        <w:rPr>
          <w:rFonts w:ascii="仿宋" w:hAnsi="仿宋" w:eastAsia="仿宋" w:cs="仿宋"/>
          <w:sz w:val="24"/>
          <w:szCs w:val="24"/>
        </w:rPr>
      </w:pPr>
      <w:r>
        <w:rPr>
          <w:rFonts w:hint="eastAsia" w:ascii="仿宋" w:hAnsi="仿宋" w:eastAsia="仿宋" w:cs="仿宋"/>
          <w:sz w:val="24"/>
          <w:szCs w:val="24"/>
        </w:rPr>
        <w:t>9、其他有利于投标人的文件或证明材料</w:t>
      </w:r>
    </w:p>
    <w:p>
      <w:pPr>
        <w:pStyle w:val="13"/>
        <w:snapToGrid w:val="0"/>
        <w:spacing w:line="288" w:lineRule="auto"/>
        <w:ind w:left="210" w:firstLine="240" w:firstLineChars="100"/>
        <w:jc w:val="left"/>
        <w:rPr>
          <w:rFonts w:ascii="仿宋" w:hAnsi="仿宋" w:eastAsia="仿宋" w:cs="仿宋"/>
          <w:sz w:val="24"/>
          <w:szCs w:val="24"/>
        </w:rPr>
      </w:pPr>
      <w:r>
        <w:rPr>
          <w:rFonts w:hint="eastAsia" w:ascii="仿宋" w:hAnsi="仿宋" w:eastAsia="仿宋" w:cs="仿宋"/>
          <w:sz w:val="24"/>
          <w:szCs w:val="24"/>
        </w:rPr>
        <w:t>10、对本项目投标文件（响应文件）中资料真实性的承诺</w:t>
      </w:r>
    </w:p>
    <w:p>
      <w:pPr>
        <w:pStyle w:val="13"/>
        <w:snapToGrid w:val="0"/>
        <w:rPr>
          <w:rFonts w:ascii="仿宋" w:hAnsi="仿宋" w:eastAsia="仿宋" w:cs="仿宋"/>
          <w:sz w:val="24"/>
          <w:szCs w:val="24"/>
        </w:rPr>
      </w:pPr>
    </w:p>
    <w:p>
      <w:pPr>
        <w:pStyle w:val="13"/>
        <w:snapToGrid w:val="0"/>
        <w:spacing w:line="288" w:lineRule="auto"/>
        <w:ind w:left="1080" w:leftChars="257" w:hanging="540"/>
        <w:jc w:val="left"/>
        <w:rPr>
          <w:rFonts w:ascii="仿宋_GB2312" w:hAnsi="仿宋_GB2312" w:eastAsia="仿宋_GB2312" w:cs="仿宋_GB2312"/>
          <w:sz w:val="28"/>
          <w:szCs w:val="28"/>
        </w:rPr>
      </w:pPr>
    </w:p>
    <w:p>
      <w:pPr>
        <w:pStyle w:val="13"/>
        <w:snapToGrid w:val="0"/>
        <w:spacing w:line="288" w:lineRule="auto"/>
        <w:ind w:left="1080" w:leftChars="257" w:hanging="540"/>
        <w:jc w:val="left"/>
        <w:rPr>
          <w:rFonts w:ascii="仿宋_GB2312" w:hAnsi="仿宋_GB2312" w:eastAsia="仿宋_GB2312" w:cs="仿宋_GB2312"/>
          <w:sz w:val="28"/>
          <w:szCs w:val="28"/>
        </w:rPr>
      </w:pPr>
    </w:p>
    <w:p>
      <w:pPr>
        <w:pStyle w:val="5"/>
        <w:snapToGrid w:val="0"/>
        <w:spacing w:before="0" w:line="240" w:lineRule="atLeast"/>
        <w:ind w:left="1080" w:leftChars="257" w:hanging="540"/>
        <w:rPr>
          <w:rFonts w:ascii="楷体" w:hAnsi="楷体" w:eastAsia="楷体" w:cs="楷体"/>
          <w:color w:val="000000"/>
          <w:sz w:val="24"/>
        </w:rPr>
      </w:pPr>
      <w:bookmarkStart w:id="789" w:name="_Toc2041"/>
      <w:bookmarkStart w:id="790" w:name="_Toc28445"/>
      <w:bookmarkStart w:id="791" w:name="_Toc515647817"/>
      <w:bookmarkStart w:id="792" w:name="_Toc515647818"/>
      <w:bookmarkStart w:id="793" w:name="_Toc39671748"/>
      <w:bookmarkStart w:id="794" w:name="_Toc216582815"/>
      <w:bookmarkStart w:id="795" w:name="_Toc20897"/>
      <w:bookmarkStart w:id="796" w:name="_Toc14915"/>
      <w:bookmarkStart w:id="797" w:name="_Toc10388"/>
      <w:bookmarkStart w:id="798" w:name="_Toc31238"/>
      <w:bookmarkStart w:id="799" w:name="_Toc515647809"/>
      <w:bookmarkStart w:id="800" w:name="_Toc1881"/>
      <w:bookmarkStart w:id="801" w:name="_Toc11047"/>
    </w:p>
    <w:p>
      <w:pPr>
        <w:snapToGrid w:val="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20"/>
        <w:rPr>
          <w:rFonts w:ascii="楷体" w:hAnsi="楷体" w:eastAsia="楷体" w:cs="楷体"/>
          <w:color w:val="000000"/>
          <w:sz w:val="24"/>
        </w:rPr>
      </w:pPr>
    </w:p>
    <w:p>
      <w:pPr>
        <w:pStyle w:val="3"/>
        <w:rPr>
          <w:rFonts w:ascii="楷体" w:hAnsi="楷体" w:eastAsia="楷体" w:cs="楷体"/>
          <w:color w:val="000000"/>
        </w:rPr>
      </w:pPr>
    </w:p>
    <w:p>
      <w:pPr>
        <w:pStyle w:val="2"/>
        <w:ind w:firstLine="240"/>
        <w:rPr>
          <w:rFonts w:hint="default"/>
        </w:rPr>
      </w:pPr>
    </w:p>
    <w:p>
      <w:pPr>
        <w:pStyle w:val="20"/>
        <w:rPr>
          <w:rFonts w:ascii="楷体" w:hAnsi="楷体" w:eastAsia="楷体" w:cs="楷体"/>
          <w:color w:val="000000"/>
          <w:sz w:val="24"/>
        </w:rPr>
      </w:pPr>
    </w:p>
    <w:p>
      <w:pPr>
        <w:pStyle w:val="3"/>
        <w:rPr>
          <w:rFonts w:ascii="楷体" w:hAnsi="楷体" w:eastAsia="楷体" w:cs="楷体"/>
          <w:color w:val="000000"/>
        </w:rPr>
      </w:pPr>
    </w:p>
    <w:p>
      <w:pPr>
        <w:pStyle w:val="5"/>
        <w:snapToGrid w:val="0"/>
        <w:spacing w:before="0" w:line="240" w:lineRule="atLeast"/>
        <w:jc w:val="both"/>
        <w:rPr>
          <w:rFonts w:ascii="仿宋" w:hAnsi="仿宋" w:eastAsia="仿宋" w:cs="仿宋"/>
          <w:color w:val="000000"/>
          <w:sz w:val="24"/>
        </w:rPr>
      </w:pPr>
    </w:p>
    <w:p/>
    <w:bookmarkEnd w:id="789"/>
    <w:bookmarkEnd w:id="790"/>
    <w:bookmarkEnd w:id="791"/>
    <w:bookmarkEnd w:id="792"/>
    <w:bookmarkEnd w:id="793"/>
    <w:bookmarkEnd w:id="794"/>
    <w:bookmarkEnd w:id="795"/>
    <w:bookmarkEnd w:id="796"/>
    <w:bookmarkEnd w:id="797"/>
    <w:bookmarkEnd w:id="798"/>
    <w:bookmarkEnd w:id="799"/>
    <w:bookmarkEnd w:id="800"/>
    <w:bookmarkEnd w:id="801"/>
    <w:p>
      <w:pPr>
        <w:pStyle w:val="6"/>
        <w:spacing w:before="0" w:after="0" w:line="288" w:lineRule="auto"/>
        <w:ind w:left="1079" w:leftChars="257" w:hanging="539"/>
        <w:jc w:val="center"/>
        <w:rPr>
          <w:rFonts w:ascii="仿宋_GB2312" w:hAnsi="仿宋_GB2312" w:eastAsia="仿宋_GB2312" w:cs="仿宋_GB2312"/>
          <w:u w:val="none"/>
        </w:rPr>
      </w:pPr>
      <w:bookmarkStart w:id="802" w:name="_Toc11043"/>
      <w:bookmarkStart w:id="803" w:name="_Toc24743"/>
      <w:bookmarkStart w:id="804" w:name="_Toc25213"/>
      <w:bookmarkStart w:id="805" w:name="_Toc9629"/>
      <w:bookmarkStart w:id="806" w:name="_Toc31638"/>
      <w:bookmarkStart w:id="807" w:name="_Toc31410"/>
      <w:bookmarkStart w:id="808" w:name="_Toc21159"/>
      <w:bookmarkStart w:id="809" w:name="_Toc3618"/>
      <w:bookmarkStart w:id="810" w:name="_Toc17635"/>
      <w:bookmarkStart w:id="811" w:name="_Toc14062"/>
      <w:r>
        <w:rPr>
          <w:rFonts w:hint="eastAsia" w:ascii="仿宋_GB2312" w:hAnsi="仿宋_GB2312" w:eastAsia="仿宋_GB2312" w:cs="仿宋_GB2312"/>
          <w:u w:val="none"/>
        </w:rPr>
        <w:t>1  投标书</w:t>
      </w:r>
      <w:bookmarkEnd w:id="802"/>
      <w:bookmarkEnd w:id="803"/>
      <w:bookmarkEnd w:id="804"/>
      <w:bookmarkEnd w:id="805"/>
      <w:bookmarkEnd w:id="806"/>
      <w:bookmarkEnd w:id="807"/>
      <w:bookmarkEnd w:id="808"/>
      <w:bookmarkEnd w:id="809"/>
      <w:bookmarkEnd w:id="810"/>
      <w:bookmarkEnd w:id="811"/>
    </w:p>
    <w:p>
      <w:pPr>
        <w:tabs>
          <w:tab w:val="left" w:pos="5580"/>
        </w:tabs>
        <w:snapToGrid w:val="0"/>
        <w:spacing w:line="240" w:lineRule="atLeast"/>
        <w:ind w:left="1080" w:leftChars="257" w:hanging="540"/>
        <w:rPr>
          <w:rFonts w:ascii="仿宋_GB2312" w:hAnsi="仿宋_GB2312" w:eastAsia="仿宋_GB2312" w:cs="仿宋_GB2312"/>
          <w:sz w:val="32"/>
          <w:szCs w:val="32"/>
        </w:rPr>
      </w:pPr>
    </w:p>
    <w:p>
      <w:pPr>
        <w:tabs>
          <w:tab w:val="left" w:pos="5580"/>
        </w:tabs>
        <w:snapToGrid w:val="0"/>
        <w:spacing w:line="320" w:lineRule="exact"/>
        <w:ind w:left="1080" w:hanging="108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color="000000"/>
        </w:rPr>
        <w:t xml:space="preserve"> （采购人名称）</w:t>
      </w:r>
    </w:p>
    <w:p>
      <w:pPr>
        <w:pStyle w:val="13"/>
        <w:tabs>
          <w:tab w:val="left" w:pos="5580"/>
        </w:tabs>
        <w:snapToGrid w:val="0"/>
        <w:spacing w:line="320" w:lineRule="exact"/>
        <w:ind w:left="1080" w:leftChars="257" w:hanging="540"/>
        <w:rPr>
          <w:rFonts w:ascii="仿宋" w:hAnsi="仿宋" w:eastAsia="仿宋" w:cs="仿宋"/>
          <w:color w:val="000000"/>
          <w:sz w:val="24"/>
        </w:rPr>
      </w:pPr>
    </w:p>
    <w:p>
      <w:pPr>
        <w:pStyle w:val="13"/>
        <w:tabs>
          <w:tab w:val="left" w:pos="5580"/>
        </w:tabs>
        <w:spacing w:line="400" w:lineRule="exact"/>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根据贵方(项目名称)项目的投标邀请(招标编号),签字代表(姓名、职务)经正式授权并代表投标人（名称、地址）上传</w:t>
      </w:r>
      <w:r>
        <w:rPr>
          <w:rFonts w:hint="eastAsia" w:ascii="仿宋_GB2312" w:hAnsi="仿宋_GB2312" w:eastAsia="仿宋_GB2312" w:cs="仿宋_GB2312"/>
          <w:sz w:val="24"/>
          <w:szCs w:val="24"/>
          <w:u w:val="single"/>
        </w:rPr>
        <w:t>响应文件</w:t>
      </w:r>
      <w:r>
        <w:rPr>
          <w:rFonts w:hint="eastAsia" w:ascii="仿宋_GB2312" w:hAnsi="仿宋_GB2312" w:eastAsia="仿宋_GB2312" w:cs="仿宋_GB2312"/>
          <w:sz w:val="24"/>
          <w:szCs w:val="24"/>
        </w:rPr>
        <w:t>，并以形式出具的金额为人民币</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元的投标保证金。</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据此，签字代表宣布同意如下：</w:t>
      </w:r>
    </w:p>
    <w:p>
      <w:pPr>
        <w:pStyle w:val="13"/>
        <w:tabs>
          <w:tab w:val="left" w:pos="720"/>
          <w:tab w:val="left" w:pos="900"/>
        </w:tabs>
        <w:snapToGrid w:val="0"/>
        <w:spacing w:line="320" w:lineRule="exact"/>
        <w:ind w:left="769" w:leftChars="257" w:hanging="229"/>
        <w:rPr>
          <w:rFonts w:ascii="仿宋" w:hAnsi="仿宋" w:eastAsia="仿宋" w:cs="仿宋"/>
          <w:color w:val="000000"/>
          <w:sz w:val="24"/>
          <w:u w:val="single" w:color="000000"/>
        </w:rPr>
      </w:pPr>
      <w:r>
        <w:rPr>
          <w:rFonts w:hint="eastAsia" w:ascii="仿宋" w:hAnsi="仿宋" w:eastAsia="仿宋" w:cs="仿宋"/>
          <w:color w:val="000000"/>
          <w:sz w:val="24"/>
        </w:rPr>
        <w:t>（1）附投标价格表中规定的应提供货物的投标总价详见开标一览表，</w:t>
      </w:r>
      <w:r>
        <w:rPr>
          <w:rFonts w:hint="eastAsia" w:ascii="仿宋" w:hAnsi="仿宋" w:eastAsia="仿宋" w:cs="仿宋"/>
          <w:color w:val="000000"/>
          <w:sz w:val="24"/>
          <w:u w:val="single" w:color="000000"/>
        </w:rPr>
        <w:t>其中由小型和</w:t>
      </w:r>
      <w:r>
        <w:rPr>
          <w:rFonts w:hint="eastAsia" w:ascii="仿宋" w:hAnsi="仿宋" w:eastAsia="仿宋" w:cs="仿宋"/>
          <w:color w:val="000000"/>
          <w:sz w:val="24"/>
        </w:rPr>
        <w:t>微型企业制造产品的价格为</w:t>
      </w:r>
      <w:r>
        <w:rPr>
          <w:rFonts w:hint="eastAsia" w:ascii="仿宋" w:hAnsi="仿宋" w:eastAsia="仿宋" w:cs="仿宋"/>
          <w:color w:val="000000"/>
          <w:sz w:val="24"/>
          <w:u w:val="single" w:color="000000"/>
        </w:rPr>
        <w:t xml:space="preserve">      （用文字和数字表示），占投标总价    %</w:t>
      </w:r>
      <w:r>
        <w:rPr>
          <w:rFonts w:hint="eastAsia" w:ascii="仿宋" w:hAnsi="仿宋" w:eastAsia="仿宋" w:cs="仿宋"/>
          <w:color w:val="000000"/>
          <w:sz w:val="24"/>
        </w:rPr>
        <w:t>。</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（2）本投标有效期为自投标截止之日起个</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日历日。</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（3）联合体中的大中型企业和其他自然人、法人或者非法人组织，与联合体中的小型、微型企业之间</w:t>
      </w:r>
      <w:r>
        <w:rPr>
          <w:rFonts w:hint="eastAsia" w:ascii="仿宋" w:hAnsi="仿宋" w:eastAsia="仿宋" w:cs="仿宋"/>
          <w:color w:val="000000"/>
          <w:sz w:val="24"/>
          <w:u w:val="single" w:color="000000"/>
        </w:rPr>
        <w:t xml:space="preserve">     （</w:t>
      </w:r>
      <w:r>
        <w:rPr>
          <w:rFonts w:hint="eastAsia" w:ascii="仿宋" w:hAnsi="仿宋" w:eastAsia="仿宋" w:cs="仿宋"/>
          <w:color w:val="000000"/>
          <w:sz w:val="24"/>
        </w:rPr>
        <w:t>存在、不存在）投资关系（如果是联合体的话）。</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（4）已详细审查全部招标文件，包括所有补充通知（如果有的话），完全理解并同意放弃对这方面有不明、误解和质疑的权力。</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（5）在规定的开标时间后，遵守招标文件中有关保证金的规定。</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（6）我方不是为本项目提供整体设计、规范编制或者项目管理、监理、检测等服务的供应商，我方不是采购代理机构的附属机构。</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（7）在领取中标通知书的同时按招标文件规定的形式，向贵方一次性支付中标服务费。</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（8）按照贵方可能要求，提供与其投标有关的一切数据或资料，完全理解贵方不一定接受最低价的投标或收到的任何投标。</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（9）在中标公示期过后7个工作日内领取中标通知书，不领取中标通知书视为自动放弃中标资格，采购人可依法进行相应处罚。</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（10）按照招标文件的规定履行合同责任和义务。</w:t>
      </w:r>
    </w:p>
    <w:p>
      <w:pPr>
        <w:pStyle w:val="13"/>
        <w:tabs>
          <w:tab w:val="left" w:pos="5580"/>
        </w:tabs>
        <w:snapToGrid w:val="0"/>
        <w:spacing w:line="320" w:lineRule="exact"/>
        <w:ind w:left="359" w:leftChars="68" w:hanging="216" w:hangingChars="90"/>
        <w:rPr>
          <w:rFonts w:ascii="仿宋" w:hAnsi="仿宋" w:eastAsia="仿宋" w:cs="仿宋"/>
          <w:color w:val="000000"/>
          <w:sz w:val="24"/>
        </w:rPr>
      </w:pPr>
      <w:r>
        <w:rPr>
          <w:rFonts w:hint="eastAsia" w:ascii="仿宋" w:hAnsi="仿宋" w:eastAsia="仿宋" w:cs="仿宋"/>
          <w:color w:val="000000"/>
          <w:sz w:val="24"/>
        </w:rPr>
        <w:t xml:space="preserve">  与本投标有关的一切正式往来信函请寄：</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地址     传真</w:t>
      </w:r>
    </w:p>
    <w:p>
      <w:pPr>
        <w:pStyle w:val="13"/>
        <w:tabs>
          <w:tab w:val="left" w:pos="5580"/>
        </w:tabs>
        <w:snapToGrid w:val="0"/>
        <w:spacing w:line="320" w:lineRule="exact"/>
        <w:ind w:left="1080" w:leftChars="257" w:hanging="540"/>
        <w:rPr>
          <w:rFonts w:ascii="仿宋" w:hAnsi="仿宋" w:eastAsia="仿宋" w:cs="仿宋"/>
          <w:b/>
          <w:color w:val="000000"/>
          <w:sz w:val="24"/>
        </w:rPr>
      </w:pPr>
      <w:r>
        <w:rPr>
          <w:rFonts w:hint="eastAsia" w:ascii="仿宋" w:hAnsi="仿宋" w:eastAsia="仿宋" w:cs="仿宋"/>
          <w:color w:val="000000"/>
          <w:sz w:val="24"/>
        </w:rPr>
        <w:t>电话     电子函件</w:t>
      </w:r>
    </w:p>
    <w:p>
      <w:pPr>
        <w:pStyle w:val="13"/>
        <w:tabs>
          <w:tab w:val="left" w:pos="5580"/>
        </w:tabs>
        <w:snapToGrid w:val="0"/>
        <w:spacing w:line="320" w:lineRule="exact"/>
        <w:ind w:left="1080" w:leftChars="257" w:hanging="540"/>
        <w:rPr>
          <w:rFonts w:ascii="仿宋" w:hAnsi="仿宋" w:eastAsia="仿宋" w:cs="仿宋"/>
          <w:color w:val="000000"/>
          <w:sz w:val="24"/>
        </w:rPr>
      </w:pP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法定代表人（或企业负责人）或其委托代理人签字（章）-------------</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投标人名称（全称）-----------------</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投标人开户银行（全称）---------------</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投标人银行帐号</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投标人单位章-------------------------</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日期-------------------------------</w:t>
      </w:r>
    </w:p>
    <w:p>
      <w:pPr>
        <w:pStyle w:val="13"/>
        <w:tabs>
          <w:tab w:val="left" w:pos="5580"/>
        </w:tabs>
        <w:snapToGrid w:val="0"/>
        <w:spacing w:line="320" w:lineRule="exact"/>
        <w:ind w:left="1080" w:leftChars="257" w:hanging="540"/>
        <w:rPr>
          <w:rFonts w:ascii="仿宋_GB2312" w:hAnsi="仿宋_GB2312" w:eastAsia="仿宋_GB2312" w:cs="仿宋_GB2312"/>
          <w:sz w:val="32"/>
          <w:szCs w:val="32"/>
        </w:rPr>
      </w:pPr>
      <w:r>
        <w:rPr>
          <w:rFonts w:hint="eastAsia" w:ascii="仿宋" w:hAnsi="仿宋" w:eastAsia="仿宋" w:cs="仿宋"/>
          <w:color w:val="000000"/>
          <w:sz w:val="24"/>
        </w:rPr>
        <w:br w:type="page"/>
      </w:r>
    </w:p>
    <w:p>
      <w:pPr>
        <w:pStyle w:val="13"/>
        <w:snapToGrid w:val="0"/>
        <w:spacing w:line="240" w:lineRule="atLeast"/>
        <w:ind w:left="1080" w:leftChars="257" w:hanging="540"/>
        <w:rPr>
          <w:rFonts w:ascii="仿宋_GB2312" w:hAnsi="仿宋_GB2312" w:eastAsia="仿宋_GB2312" w:cs="仿宋_GB2312"/>
          <w:sz w:val="24"/>
        </w:rPr>
      </w:pPr>
    </w:p>
    <w:p>
      <w:pPr>
        <w:pStyle w:val="6"/>
        <w:spacing w:before="0" w:after="0" w:line="288" w:lineRule="auto"/>
        <w:ind w:left="1079" w:leftChars="257" w:hanging="539"/>
        <w:jc w:val="center"/>
        <w:rPr>
          <w:rFonts w:ascii="仿宋_GB2312" w:hAnsi="仿宋_GB2312" w:eastAsia="仿宋_GB2312" w:cs="仿宋_GB2312"/>
          <w:u w:val="none"/>
        </w:rPr>
      </w:pPr>
      <w:bookmarkStart w:id="812" w:name="_Toc16287"/>
      <w:bookmarkStart w:id="813" w:name="_Toc19321"/>
      <w:bookmarkStart w:id="814" w:name="_Toc22014"/>
      <w:bookmarkStart w:id="815" w:name="_Toc14037"/>
      <w:bookmarkStart w:id="816" w:name="_Toc515647819"/>
      <w:bookmarkStart w:id="817" w:name="_Toc216582816"/>
      <w:bookmarkStart w:id="818" w:name="_Toc32398"/>
      <w:bookmarkStart w:id="819" w:name="_Toc18267"/>
      <w:r>
        <w:rPr>
          <w:rFonts w:hint="eastAsia" w:ascii="仿宋_GB2312" w:hAnsi="仿宋_GB2312" w:eastAsia="仿宋_GB2312" w:cs="仿宋_GB2312"/>
          <w:u w:val="none"/>
        </w:rPr>
        <w:t>2  投标分项报价表</w:t>
      </w:r>
      <w:bookmarkEnd w:id="812"/>
      <w:bookmarkEnd w:id="813"/>
      <w:bookmarkEnd w:id="814"/>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w:t>
      </w:r>
    </w:p>
    <w:p>
      <w:pPr>
        <w:pStyle w:val="13"/>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标    段: 　 　                                  报价单位：人民币元</w:t>
      </w:r>
    </w:p>
    <w:p>
      <w:pPr>
        <w:pStyle w:val="13"/>
        <w:snapToGrid w:val="0"/>
        <w:spacing w:line="240" w:lineRule="atLeast"/>
        <w:ind w:left="1080" w:leftChars="257" w:hanging="540"/>
        <w:rPr>
          <w:rFonts w:ascii="仿宋_GB2312" w:hAnsi="仿宋_GB2312" w:eastAsia="仿宋_GB2312" w:cs="仿宋_GB2312"/>
          <w:sz w:val="24"/>
        </w:rPr>
      </w:pPr>
    </w:p>
    <w:tbl>
      <w:tblPr>
        <w:tblStyle w:val="24"/>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1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90" w:type="dxa"/>
            <w:noWrap/>
            <w:vAlign w:val="center"/>
          </w:tcPr>
          <w:p>
            <w:pPr>
              <w:pStyle w:val="13"/>
              <w:snapToGrid w:val="0"/>
              <w:spacing w:line="240" w:lineRule="atLeast"/>
              <w:jc w:val="center"/>
              <w:rPr>
                <w:rFonts w:ascii="仿宋_GB2312" w:hAnsi="仿宋_GB2312" w:eastAsia="仿宋_GB2312" w:cs="仿宋_GB2312"/>
                <w:sz w:val="24"/>
              </w:rPr>
            </w:pPr>
          </w:p>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3"/>
              <w:snapToGrid w:val="0"/>
              <w:spacing w:line="240" w:lineRule="atLeast"/>
              <w:jc w:val="center"/>
              <w:rPr>
                <w:rFonts w:ascii="仿宋_GB2312" w:hAnsi="仿宋_GB2312" w:eastAsia="仿宋_GB2312" w:cs="仿宋_GB2312"/>
                <w:sz w:val="24"/>
              </w:rPr>
            </w:pPr>
          </w:p>
        </w:tc>
        <w:tc>
          <w:tcPr>
            <w:tcW w:w="118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00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4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20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生产厂家</w:t>
            </w:r>
          </w:p>
        </w:tc>
        <w:tc>
          <w:tcPr>
            <w:tcW w:w="93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单价</w:t>
            </w:r>
          </w:p>
        </w:tc>
        <w:tc>
          <w:tcPr>
            <w:tcW w:w="928"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总价</w:t>
            </w:r>
          </w:p>
        </w:tc>
        <w:tc>
          <w:tcPr>
            <w:tcW w:w="82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3"/>
              <w:snapToGrid w:val="0"/>
              <w:spacing w:line="240" w:lineRule="atLeas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w:t>
            </w:r>
          </w:p>
        </w:tc>
        <w:tc>
          <w:tcPr>
            <w:tcW w:w="1515" w:type="dxa"/>
            <w:noWrap/>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货物名称</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3"/>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2</w:t>
            </w:r>
          </w:p>
        </w:tc>
        <w:tc>
          <w:tcPr>
            <w:tcW w:w="1515" w:type="dxa"/>
            <w:noWrap/>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备品备件</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3"/>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3</w:t>
            </w:r>
          </w:p>
        </w:tc>
        <w:tc>
          <w:tcPr>
            <w:tcW w:w="1515" w:type="dxa"/>
            <w:noWrap/>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专用工具</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15" w:type="dxa"/>
            <w:noWrap/>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安装、调试、检验</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15" w:type="dxa"/>
            <w:noWrap/>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培训</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15" w:type="dxa"/>
            <w:noWrap/>
            <w:vAlign w:val="center"/>
          </w:tcPr>
          <w:p>
            <w:pPr>
              <w:snapToGrid w:val="0"/>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9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noWrap/>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 w:hAnsi="仿宋" w:eastAsia="仿宋" w:cs="仿宋"/>
          <w:color w:val="000000"/>
          <w:sz w:val="24"/>
          <w:u w:val="single"/>
        </w:rPr>
      </w:pPr>
      <w:r>
        <w:rPr>
          <w:rFonts w:hint="eastAsia" w:ascii="仿宋" w:hAnsi="仿宋" w:eastAsia="仿宋" w:cs="仿宋"/>
          <w:color w:val="000000"/>
          <w:sz w:val="24"/>
        </w:rPr>
        <w:t xml:space="preserve">法定代表人（或企业负责人）或其委托代理人签字（章）: </w:t>
      </w:r>
      <w:r>
        <w:rPr>
          <w:rFonts w:hint="eastAsia" w:ascii="仿宋" w:hAnsi="仿宋" w:eastAsia="仿宋" w:cs="仿宋"/>
          <w:color w:val="000000"/>
          <w:sz w:val="24"/>
          <w:u w:val="single" w:color="000000"/>
        </w:rPr>
        <w:tab/>
      </w:r>
    </w:p>
    <w:p>
      <w:pPr>
        <w:pStyle w:val="13"/>
        <w:tabs>
          <w:tab w:val="left" w:pos="5370"/>
        </w:tabs>
        <w:snapToGrid w:val="0"/>
        <w:spacing w:line="240" w:lineRule="atLeast"/>
        <w:ind w:left="1080" w:leftChars="257" w:hanging="540"/>
        <w:rPr>
          <w:rFonts w:ascii="仿宋" w:hAnsi="仿宋" w:eastAsia="仿宋" w:cs="仿宋"/>
          <w:color w:val="000000"/>
          <w:sz w:val="24"/>
          <w:u w:val="single" w:color="000000"/>
        </w:rPr>
      </w:pPr>
      <w:r>
        <w:rPr>
          <w:rFonts w:hint="eastAsia" w:ascii="仿宋" w:hAnsi="仿宋" w:eastAsia="仿宋" w:cs="仿宋"/>
          <w:color w:val="000000"/>
          <w:sz w:val="24"/>
        </w:rPr>
        <w:t>投标人(盖单位章):</w:t>
      </w:r>
      <w:r>
        <w:rPr>
          <w:rFonts w:hint="eastAsia" w:ascii="仿宋" w:hAnsi="仿宋" w:eastAsia="仿宋" w:cs="仿宋"/>
          <w:color w:val="000000"/>
          <w:sz w:val="24"/>
          <w:u w:val="single" w:color="000000"/>
        </w:rPr>
        <w:tab/>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注: 1.如果投标人认为需要，每种服务、货物填写一份该表。</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2.如果按单价计算的结果与总价不一致,以单价为准修正总价。</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3.如果不提供详细分项报价将视为没有实质性响应招标文件。</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4.上述各项的详细分项报价，应另页描述。</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5.如果开标一览表（报价表）内容与投标文件中明细表内容不一致的，以开标一览表（报价表）内容为准。</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6.投标人可根据需要自行增减表格行数。</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7.投标人对所报相关内容的真实性负责，采购代理机构有权将相关内容进行公示，因弄虚作假导致的后果由投标人自行承担。</w:t>
      </w:r>
    </w:p>
    <w:p>
      <w:pPr>
        <w:pStyle w:val="13"/>
        <w:snapToGrid w:val="0"/>
        <w:spacing w:line="240" w:lineRule="atLeast"/>
        <w:ind w:firstLine="480" w:firstLineChars="200"/>
        <w:rPr>
          <w:rFonts w:ascii="仿宋" w:hAnsi="仿宋" w:eastAsia="仿宋" w:cs="仿宋"/>
          <w:color w:val="FF0000"/>
        </w:rPr>
      </w:pPr>
      <w:r>
        <w:rPr>
          <w:rFonts w:hint="eastAsia" w:ascii="仿宋" w:hAnsi="仿宋" w:eastAsia="仿宋" w:cs="仿宋"/>
          <w:sz w:val="24"/>
        </w:rPr>
        <w:t>8.以上报价的货物、技术服务，包装、仓储、运输、装卸、保险、安装、税金（规费、税金）等的一切费用。</w:t>
      </w:r>
    </w:p>
    <w:p>
      <w:pPr>
        <w:pStyle w:val="5"/>
        <w:snapToGrid w:val="0"/>
        <w:jc w:val="both"/>
      </w:pPr>
    </w:p>
    <w:p>
      <w:pPr>
        <w:rPr>
          <w:sz w:val="20"/>
        </w:rPr>
      </w:pPr>
    </w:p>
    <w:p>
      <w:pPr>
        <w:pStyle w:val="9"/>
        <w:snapToGrid w:val="0"/>
      </w:pPr>
    </w:p>
    <w:p>
      <w:pPr>
        <w:rPr>
          <w:rFonts w:ascii="Cambria" w:hAnsi="Cambria"/>
          <w:sz w:val="24"/>
        </w:rPr>
      </w:pPr>
    </w:p>
    <w:p>
      <w:pPr>
        <w:pStyle w:val="20"/>
        <w:rPr>
          <w:rFonts w:ascii="Cambria" w:hAnsi="Cambria"/>
          <w:sz w:val="24"/>
        </w:rPr>
      </w:pPr>
    </w:p>
    <w:p>
      <w:pPr>
        <w:pStyle w:val="3"/>
      </w:pPr>
    </w:p>
    <w:p>
      <w:pPr>
        <w:pStyle w:val="6"/>
        <w:spacing w:before="0" w:after="0" w:line="288" w:lineRule="auto"/>
        <w:ind w:left="1079" w:leftChars="257" w:hanging="539"/>
        <w:jc w:val="center"/>
        <w:rPr>
          <w:rFonts w:ascii="仿宋_GB2312" w:hAnsi="仿宋_GB2312" w:eastAsia="仿宋_GB2312" w:cs="仿宋_GB2312"/>
          <w:u w:val="none"/>
        </w:rPr>
      </w:pPr>
      <w:bookmarkStart w:id="820" w:name="_Toc19912"/>
      <w:bookmarkStart w:id="821" w:name="_Toc1486"/>
      <w:bookmarkStart w:id="822" w:name="_Toc24906"/>
      <w:bookmarkStart w:id="823" w:name="_Toc1207"/>
      <w:bookmarkStart w:id="824" w:name="_Toc30769"/>
      <w:bookmarkStart w:id="825" w:name="_Toc25123"/>
      <w:bookmarkStart w:id="826" w:name="_Toc7334"/>
      <w:bookmarkStart w:id="827" w:name="_Toc21472"/>
      <w:bookmarkStart w:id="828" w:name="_Toc7368"/>
      <w:bookmarkStart w:id="829" w:name="_Toc17583"/>
      <w:r>
        <w:rPr>
          <w:rFonts w:hint="eastAsia" w:ascii="仿宋_GB2312" w:hAnsi="仿宋_GB2312" w:eastAsia="仿宋_GB2312" w:cs="仿宋_GB2312"/>
          <w:u w:val="none"/>
        </w:rPr>
        <w:t>3 货物说明一览表</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包号:                      </w:t>
      </w:r>
    </w:p>
    <w:p>
      <w:pPr>
        <w:pStyle w:val="13"/>
        <w:snapToGrid w:val="0"/>
        <w:spacing w:line="240" w:lineRule="atLeast"/>
        <w:ind w:left="1080" w:leftChars="257" w:hanging="540"/>
        <w:rPr>
          <w:rFonts w:ascii="仿宋_GB2312" w:hAnsi="仿宋_GB2312" w:eastAsia="仿宋_GB2312" w:cs="仿宋_GB2312"/>
          <w:sz w:val="24"/>
        </w:rPr>
      </w:pPr>
    </w:p>
    <w:tbl>
      <w:tblPr>
        <w:tblStyle w:val="24"/>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pPr>
              <w:pStyle w:val="13"/>
              <w:snapToGrid w:val="0"/>
              <w:spacing w:line="240" w:lineRule="atLeas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26"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0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108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056"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交货期</w:t>
            </w:r>
          </w:p>
        </w:tc>
        <w:tc>
          <w:tcPr>
            <w:tcW w:w="2126"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交货地点</w:t>
            </w:r>
          </w:p>
        </w:tc>
        <w:tc>
          <w:tcPr>
            <w:tcW w:w="917"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20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05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12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917" w:type="dxa"/>
            <w:noWrap/>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法定代表人或其委托代理人签字（章）: __________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jc w:val="center"/>
        <w:rPr>
          <w:rFonts w:ascii="仿宋_GB2312" w:hAnsi="仿宋_GB2312" w:eastAsia="仿宋_GB2312" w:cs="仿宋_GB2312"/>
          <w:sz w:val="24"/>
        </w:rPr>
      </w:pPr>
    </w:p>
    <w:p>
      <w:pPr>
        <w:pStyle w:val="13"/>
        <w:snapToGrid w:val="0"/>
        <w:spacing w:line="240" w:lineRule="atLeast"/>
        <w:ind w:left="1080" w:leftChars="257" w:hanging="540"/>
        <w:jc w:val="center"/>
        <w:rPr>
          <w:rFonts w:ascii="仿宋_GB2312" w:hAnsi="仿宋_GB2312" w:eastAsia="仿宋_GB2312" w:cs="仿宋_GB2312"/>
          <w:sz w:val="24"/>
        </w:rPr>
        <w:sectPr>
          <w:headerReference r:id="rId11" w:type="default"/>
          <w:footerReference r:id="rId12" w:type="default"/>
          <w:pgSz w:w="11906" w:h="16838"/>
          <w:pgMar w:top="1440" w:right="1797" w:bottom="1440" w:left="1797" w:header="851" w:footer="992" w:gutter="0"/>
          <w:cols w:space="720" w:num="1"/>
          <w:docGrid w:linePitch="312" w:charSpace="0"/>
        </w:sectPr>
      </w:pPr>
    </w:p>
    <w:p>
      <w:pPr>
        <w:pStyle w:val="6"/>
        <w:spacing w:before="0" w:after="0" w:line="288" w:lineRule="auto"/>
        <w:ind w:left="1079" w:leftChars="257" w:hanging="539"/>
        <w:jc w:val="center"/>
        <w:rPr>
          <w:rFonts w:ascii="仿宋_GB2312" w:hAnsi="仿宋_GB2312" w:eastAsia="仿宋_GB2312" w:cs="仿宋_GB2312"/>
          <w:u w:val="none"/>
        </w:rPr>
      </w:pPr>
      <w:bookmarkStart w:id="830" w:name="_Toc12128"/>
      <w:bookmarkStart w:id="831" w:name="_Toc22563"/>
      <w:bookmarkStart w:id="832" w:name="_Toc29780"/>
      <w:bookmarkStart w:id="833" w:name="_Toc14695"/>
      <w:bookmarkStart w:id="834" w:name="_Toc216582817"/>
      <w:bookmarkStart w:id="835" w:name="_Toc29133"/>
      <w:bookmarkStart w:id="836" w:name="_Toc24855"/>
      <w:bookmarkStart w:id="837" w:name="_Toc29396"/>
      <w:bookmarkStart w:id="838" w:name="_Toc515647820"/>
      <w:bookmarkStart w:id="839" w:name="_Toc5951"/>
      <w:bookmarkStart w:id="840" w:name="_Toc28689"/>
      <w:bookmarkStart w:id="841" w:name="_Toc10052"/>
      <w:bookmarkStart w:id="842" w:name="_Toc28959"/>
      <w:bookmarkStart w:id="843" w:name="_Toc1112"/>
      <w:bookmarkStart w:id="844" w:name="_Toc32464"/>
      <w:r>
        <w:rPr>
          <w:rFonts w:hint="eastAsia" w:ascii="仿宋_GB2312" w:hAnsi="仿宋_GB2312" w:eastAsia="仿宋_GB2312" w:cs="仿宋_GB2312"/>
          <w:u w:val="none"/>
        </w:rPr>
        <w:t>4 技术规格偏离表</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3"/>
        <w:snapToGrid w:val="0"/>
        <w:spacing w:line="240" w:lineRule="atLeast"/>
        <w:ind w:left="1080" w:leftChars="257" w:hanging="540"/>
        <w:rPr>
          <w:rFonts w:ascii="仿宋_GB2312" w:hAnsi="仿宋_GB2312" w:eastAsia="仿宋_GB2312" w:cs="仿宋_GB2312"/>
          <w:sz w:val="24"/>
        </w:rPr>
      </w:pPr>
    </w:p>
    <w:tbl>
      <w:tblPr>
        <w:tblStyle w:val="2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86"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511"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招标规格</w:t>
            </w:r>
          </w:p>
        </w:tc>
        <w:tc>
          <w:tcPr>
            <w:tcW w:w="138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183"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c>
          <w:tcPr>
            <w:tcW w:w="113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686"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51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385"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83"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135" w:type="dxa"/>
            <w:noWrap/>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法定代表人或其委托代理人签字（章）:___________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tabs>
          <w:tab w:val="left" w:pos="5580"/>
        </w:tabs>
        <w:snapToGrid w:val="0"/>
        <w:spacing w:line="240" w:lineRule="atLeast"/>
        <w:rPr>
          <w:rFonts w:ascii="仿宋_GB2312" w:hAnsi="仿宋_GB2312" w:eastAsia="仿宋_GB2312" w:cs="仿宋_GB2312"/>
          <w:sz w:val="24"/>
          <w:u w:val="single"/>
        </w:rPr>
      </w:pPr>
    </w:p>
    <w:p>
      <w:pPr>
        <w:snapToGrid w:val="0"/>
        <w:jc w:val="left"/>
        <w:rPr>
          <w:rFonts w:ascii="仿宋" w:hAnsi="仿宋" w:eastAsia="仿宋" w:cs="仿宋"/>
          <w:kern w:val="0"/>
          <w:sz w:val="20"/>
          <w:szCs w:val="20"/>
        </w:rPr>
      </w:pP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注：</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1、投标人应根据招标要求逐条逐项表述说明投标响应情况。</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2、投标人提交的投标文件中的服务响应与招标文件的服务、技术要求不同时，应逐条逐项如实填列在偏离表中。投标人不如实填写偏离情况、存在弄虚作假行为的，将依法承担相应的法律责任。</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pPr>
        <w:pStyle w:val="13"/>
        <w:snapToGrid w:val="0"/>
        <w:spacing w:line="240" w:lineRule="atLeast"/>
        <w:ind w:firstLine="480" w:firstLineChars="200"/>
        <w:rPr>
          <w:rFonts w:ascii="仿宋" w:hAnsi="仿宋" w:eastAsia="仿宋" w:cs="仿宋"/>
          <w:b/>
          <w:bCs/>
          <w:sz w:val="24"/>
        </w:rPr>
      </w:pPr>
      <w:r>
        <w:rPr>
          <w:rFonts w:hint="eastAsia" w:ascii="仿宋" w:hAnsi="仿宋" w:eastAsia="仿宋" w:cs="仿宋"/>
          <w:sz w:val="24"/>
        </w:rPr>
        <w:t>4、投标人可根据需要自行增减表格行数。</w:t>
      </w:r>
    </w:p>
    <w:p>
      <w:pPr>
        <w:pStyle w:val="13"/>
        <w:tabs>
          <w:tab w:val="left" w:pos="5580"/>
        </w:tabs>
        <w:snapToGrid w:val="0"/>
        <w:spacing w:line="240" w:lineRule="atLeast"/>
        <w:rPr>
          <w:rFonts w:ascii="仿宋_GB2312" w:hAnsi="仿宋_GB2312" w:eastAsia="仿宋_GB2312" w:cs="仿宋_GB2312"/>
          <w:sz w:val="24"/>
        </w:rPr>
      </w:pPr>
    </w:p>
    <w:p>
      <w:pPr>
        <w:pStyle w:val="5"/>
        <w:snapToGrid w:val="0"/>
        <w:spacing w:before="0" w:line="240" w:lineRule="atLeast"/>
        <w:jc w:val="both"/>
        <w:rPr>
          <w:rFonts w:ascii="仿宋_GB2312" w:hAnsi="仿宋_GB2312" w:eastAsia="仿宋_GB2312" w:cs="仿宋_GB2312"/>
          <w:sz w:val="24"/>
        </w:rPr>
      </w:pPr>
      <w:bookmarkStart w:id="845" w:name="_Toc23"/>
      <w:bookmarkStart w:id="846" w:name="_Toc515647821"/>
      <w:bookmarkStart w:id="847" w:name="_Toc216582818"/>
      <w:bookmarkStart w:id="848" w:name="_Toc28374"/>
      <w:bookmarkStart w:id="849" w:name="_Toc1980"/>
    </w:p>
    <w:p>
      <w:pPr>
        <w:rPr>
          <w:sz w:val="20"/>
        </w:rPr>
      </w:pPr>
    </w:p>
    <w:p>
      <w:pPr>
        <w:pStyle w:val="6"/>
        <w:spacing w:before="0" w:after="0" w:line="288" w:lineRule="auto"/>
        <w:ind w:left="1079" w:leftChars="257" w:hanging="539"/>
        <w:jc w:val="center"/>
        <w:rPr>
          <w:rFonts w:ascii="仿宋_GB2312" w:hAnsi="仿宋_GB2312" w:eastAsia="仿宋_GB2312" w:cs="仿宋_GB2312"/>
          <w:u w:val="none"/>
        </w:rPr>
      </w:pPr>
      <w:bookmarkStart w:id="850" w:name="_Toc19628"/>
      <w:bookmarkStart w:id="851" w:name="_Toc14202"/>
      <w:bookmarkStart w:id="852" w:name="_Toc5952"/>
      <w:bookmarkStart w:id="853" w:name="_Toc17874"/>
      <w:bookmarkStart w:id="854" w:name="_Toc16991"/>
      <w:bookmarkStart w:id="855" w:name="_Toc11402"/>
      <w:bookmarkStart w:id="856" w:name="_Toc471"/>
      <w:bookmarkStart w:id="857" w:name="_Toc29157"/>
      <w:bookmarkStart w:id="858" w:name="_Toc9803"/>
      <w:bookmarkStart w:id="859" w:name="_Toc21884"/>
      <w:r>
        <w:rPr>
          <w:rFonts w:hint="eastAsia" w:ascii="仿宋_GB2312" w:hAnsi="仿宋_GB2312" w:eastAsia="仿宋_GB2312" w:cs="仿宋_GB2312"/>
          <w:u w:val="none"/>
        </w:rPr>
        <w:t>5  商务条款偏离表</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3"/>
        <w:snapToGrid w:val="0"/>
        <w:spacing w:line="240" w:lineRule="atLeast"/>
        <w:ind w:left="1080" w:leftChars="257" w:hanging="540"/>
        <w:rPr>
          <w:rFonts w:ascii="仿宋_GB2312" w:hAnsi="仿宋_GB2312" w:eastAsia="仿宋_GB2312" w:cs="仿宋_GB2312"/>
          <w:sz w:val="24"/>
        </w:rPr>
      </w:pPr>
    </w:p>
    <w:tbl>
      <w:tblPr>
        <w:tblStyle w:val="24"/>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2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招标文件的商务条款</w:t>
            </w:r>
          </w:p>
        </w:tc>
        <w:tc>
          <w:tcPr>
            <w:tcW w:w="2520"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投标文件的商务条款</w:t>
            </w:r>
          </w:p>
        </w:tc>
        <w:tc>
          <w:tcPr>
            <w:tcW w:w="1805" w:type="dxa"/>
            <w:noWrap/>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jc w:val="center"/>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jc w:val="center"/>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2520" w:type="dxa"/>
            <w:noWrap/>
          </w:tcPr>
          <w:p>
            <w:pPr>
              <w:pStyle w:val="13"/>
              <w:snapToGrid w:val="0"/>
              <w:spacing w:line="240" w:lineRule="atLeast"/>
              <w:ind w:left="1080" w:leftChars="257" w:hanging="540"/>
              <w:rPr>
                <w:rFonts w:ascii="仿宋_GB2312" w:hAnsi="仿宋_GB2312" w:eastAsia="仿宋_GB2312" w:cs="仿宋_GB2312"/>
                <w:sz w:val="24"/>
              </w:rPr>
            </w:pPr>
          </w:p>
        </w:tc>
        <w:tc>
          <w:tcPr>
            <w:tcW w:w="1805" w:type="dxa"/>
            <w:noWrap/>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法定代表人或其委托代理人签字（章）:_________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snapToGrid w:val="0"/>
        <w:spacing w:line="240" w:lineRule="atLeast"/>
        <w:rPr>
          <w:rFonts w:ascii="仿宋_GB2312" w:hAnsi="仿宋_GB2312" w:eastAsia="仿宋_GB2312" w:cs="仿宋_GB2312"/>
          <w:sz w:val="24"/>
        </w:rPr>
      </w:pPr>
    </w:p>
    <w:p>
      <w:pPr>
        <w:pStyle w:val="7"/>
        <w:snapToGrid w:val="0"/>
        <w:rPr>
          <w:rFonts w:ascii="仿宋_GB2312" w:hAnsi="仿宋_GB2312" w:eastAsia="仿宋_GB2312" w:cs="仿宋_GB2312"/>
        </w:rPr>
      </w:pPr>
      <w:bookmarkStart w:id="860" w:name="_Hlt520350918"/>
      <w:bookmarkEnd w:id="860"/>
      <w:bookmarkStart w:id="861" w:name="_Hlt520273973"/>
      <w:bookmarkEnd w:id="861"/>
      <w:bookmarkStart w:id="862" w:name="_Hlt520271212"/>
      <w:bookmarkEnd w:id="862"/>
      <w:bookmarkStart w:id="863" w:name="_Hlt520273711"/>
      <w:bookmarkEnd w:id="863"/>
      <w:bookmarkStart w:id="864" w:name="_Hlt520274407"/>
      <w:bookmarkEnd w:id="864"/>
      <w:bookmarkStart w:id="865" w:name="_Hlt520343392"/>
      <w:bookmarkEnd w:id="865"/>
      <w:bookmarkStart w:id="866" w:name="_Hlt520350957"/>
      <w:bookmarkEnd w:id="866"/>
      <w:bookmarkStart w:id="867" w:name="_Hlt520274065"/>
      <w:bookmarkEnd w:id="867"/>
      <w:bookmarkStart w:id="868" w:name="_Hlt520343000"/>
      <w:bookmarkEnd w:id="868"/>
      <w:bookmarkStart w:id="869" w:name="_Hlt520274911"/>
      <w:bookmarkEnd w:id="869"/>
      <w:bookmarkStart w:id="870" w:name="_Hlt520274393"/>
      <w:bookmarkEnd w:id="870"/>
    </w:p>
    <w:p>
      <w:pPr>
        <w:pStyle w:val="6"/>
        <w:spacing w:before="0" w:after="0" w:line="288" w:lineRule="auto"/>
        <w:ind w:left="1079" w:leftChars="257" w:hanging="539"/>
        <w:jc w:val="center"/>
        <w:rPr>
          <w:rFonts w:ascii="仿宋_GB2312" w:hAnsi="仿宋_GB2312" w:eastAsia="仿宋_GB2312" w:cs="仿宋_GB2312"/>
          <w:u w:val="none"/>
        </w:rPr>
      </w:pPr>
      <w:bookmarkStart w:id="871" w:name="_Toc28936"/>
      <w:bookmarkStart w:id="872" w:name="_Toc10725"/>
      <w:bookmarkStart w:id="873" w:name="_Toc515647823"/>
      <w:bookmarkStart w:id="874" w:name="_Toc18272"/>
      <w:bookmarkStart w:id="875" w:name="_Toc18491"/>
      <w:bookmarkStart w:id="876" w:name="_Toc22909"/>
      <w:bookmarkStart w:id="877" w:name="_Toc5437"/>
    </w:p>
    <w:p>
      <w:pPr>
        <w:pStyle w:val="6"/>
        <w:spacing w:before="0" w:after="0" w:line="288" w:lineRule="auto"/>
        <w:ind w:left="1079" w:leftChars="257" w:hanging="539"/>
        <w:jc w:val="center"/>
        <w:rPr>
          <w:rFonts w:ascii="仿宋_GB2312" w:hAnsi="仿宋_GB2312" w:eastAsia="仿宋_GB2312" w:cs="仿宋_GB2312"/>
          <w:u w:val="none"/>
        </w:rPr>
      </w:pPr>
      <w:r>
        <w:rPr>
          <w:rFonts w:hint="eastAsia" w:ascii="仿宋_GB2312" w:hAnsi="仿宋_GB2312" w:eastAsia="仿宋_GB2312" w:cs="仿宋_GB2312"/>
          <w:u w:val="none"/>
        </w:rPr>
        <w:t xml:space="preserve">6-1  </w:t>
      </w:r>
      <w:bookmarkEnd w:id="871"/>
      <w:bookmarkEnd w:id="872"/>
      <w:bookmarkEnd w:id="873"/>
      <w:bookmarkStart w:id="878" w:name="_Toc29288"/>
      <w:bookmarkStart w:id="879" w:name="_Toc11803"/>
      <w:bookmarkStart w:id="880" w:name="_Toc515647824"/>
      <w:bookmarkStart w:id="881" w:name="_Toc10977"/>
      <w:r>
        <w:rPr>
          <w:rFonts w:hint="eastAsia" w:ascii="仿宋_GB2312" w:hAnsi="仿宋_GB2312" w:eastAsia="仿宋_GB2312" w:cs="仿宋_GB2312"/>
          <w:u w:val="none"/>
        </w:rPr>
        <w:t>中小企业声明函（货物）</w:t>
      </w:r>
      <w:bookmarkEnd w:id="874"/>
      <w:bookmarkEnd w:id="875"/>
      <w:bookmarkEnd w:id="876"/>
      <w:bookmarkEnd w:id="878"/>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本公司（联合体）郑重声明，根据《政府采购促进中小企业发展管理办法》（财库﹝2020﹞46 号）的规定，本公司（联合体）参加</w:t>
      </w:r>
      <w:r>
        <w:rPr>
          <w:rFonts w:hint="eastAsia" w:ascii="仿宋" w:hAnsi="仿宋" w:eastAsia="仿宋" w:cs="仿宋"/>
          <w:color w:val="333333"/>
          <w:kern w:val="0"/>
          <w:sz w:val="24"/>
          <w:u w:val="single"/>
          <w:shd w:val="clear" w:color="auto" w:fill="FFFFFF"/>
        </w:rPr>
        <w:t>     （单位名称）</w:t>
      </w:r>
      <w:r>
        <w:rPr>
          <w:rFonts w:hint="eastAsia" w:ascii="仿宋" w:hAnsi="仿宋" w:eastAsia="仿宋" w:cs="仿宋"/>
          <w:color w:val="333333"/>
          <w:kern w:val="0"/>
          <w:sz w:val="24"/>
          <w:shd w:val="clear" w:color="auto" w:fill="FFFFFF"/>
        </w:rPr>
        <w:t>的</w:t>
      </w:r>
      <w:r>
        <w:rPr>
          <w:rFonts w:hint="eastAsia" w:ascii="仿宋" w:hAnsi="仿宋" w:eastAsia="仿宋" w:cs="仿宋"/>
          <w:color w:val="333333"/>
          <w:kern w:val="0"/>
          <w:sz w:val="24"/>
          <w:u w:val="single"/>
          <w:shd w:val="clear" w:color="auto" w:fill="FFFFFF"/>
        </w:rPr>
        <w:t>    （项目名称）</w:t>
      </w:r>
      <w:r>
        <w:rPr>
          <w:rFonts w:hint="eastAsia" w:ascii="仿宋" w:hAnsi="仿宋" w:eastAsia="仿宋" w:cs="仿宋"/>
          <w:color w:val="333333"/>
          <w:kern w:val="0"/>
          <w:sz w:val="24"/>
          <w:shd w:val="clear" w:color="auto" w:fill="FFFFFF"/>
        </w:rPr>
        <w:t>采购活动，提供的货物全部由符合政策要求的中小企业制造。相关企业（含联合体中的中小企业、签订分包意向协议的中小企业）的具体情况如下：</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1.</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2.</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以上企业，不属于大企业的分支机构，不存在控股股东为大企业的情形，也不存在与大企业的负责人为同一人的情形。</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本企业对上述声明内容的真实性负责。如有虚假，将依法承担相应责任。</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企业名称（盖章）：</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日 期：</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注：</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（1）从业人员、营业收入、资产总额填报上一年度数据，无上一年度数据的新成立企业可不填报。</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shd w:val="clear" w:color="auto" w:fill="FFFFFF"/>
        <w:spacing w:before="100" w:beforeAutospacing="1" w:after="100" w:afterAutospacing="1"/>
        <w:ind w:firstLine="480"/>
        <w:jc w:val="left"/>
        <w:rPr>
          <w:rFonts w:ascii="仿宋" w:hAnsi="仿宋" w:eastAsia="仿宋" w:cs="仿宋"/>
          <w:b/>
          <w:bCs/>
          <w:color w:val="333333"/>
          <w:kern w:val="0"/>
          <w:sz w:val="24"/>
          <w:highlight w:val="yellow"/>
          <w:shd w:val="clear" w:color="auto" w:fill="FFFFFF"/>
        </w:rPr>
      </w:pPr>
      <w:r>
        <w:rPr>
          <w:rFonts w:hint="eastAsia" w:ascii="仿宋" w:hAnsi="仿宋" w:eastAsia="仿宋" w:cs="仿宋"/>
          <w:b/>
          <w:bCs/>
          <w:color w:val="333333"/>
          <w:kern w:val="0"/>
          <w:sz w:val="24"/>
          <w:shd w:val="clear" w:color="auto" w:fill="FFFFFF"/>
        </w:rPr>
        <w:t>（3）（本项目对应的中小企业划分标准所属行业为：</w:t>
      </w:r>
      <w:r>
        <w:rPr>
          <w:rFonts w:hint="eastAsia" w:ascii="仿宋" w:hAnsi="仿宋" w:eastAsia="仿宋" w:cs="仿宋"/>
          <w:b/>
          <w:bCs/>
          <w:color w:val="0000FF"/>
          <w:kern w:val="0"/>
          <w:sz w:val="24"/>
          <w:shd w:val="clear" w:color="auto" w:fill="FFFFFF"/>
        </w:rPr>
        <w:t>工业</w:t>
      </w:r>
      <w:r>
        <w:rPr>
          <w:rFonts w:hint="eastAsia" w:ascii="仿宋" w:hAnsi="仿宋" w:eastAsia="仿宋" w:cs="仿宋"/>
          <w:b/>
          <w:bCs/>
          <w:color w:val="333333"/>
          <w:kern w:val="0"/>
          <w:sz w:val="24"/>
          <w:shd w:val="clear" w:color="auto" w:fill="FFFFFF"/>
        </w:rPr>
        <w:t>）</w:t>
      </w:r>
    </w:p>
    <w:bookmarkEnd w:id="879"/>
    <w:bookmarkEnd w:id="880"/>
    <w:bookmarkEnd w:id="881"/>
    <w:p>
      <w:pPr>
        <w:pStyle w:val="3"/>
      </w:pPr>
    </w:p>
    <w:p>
      <w:pPr>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附：</w:t>
      </w:r>
    </w:p>
    <w:p>
      <w:pPr>
        <w:jc w:val="center"/>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行业名称</w:t>
            </w:r>
          </w:p>
        </w:tc>
        <w:tc>
          <w:tcPr>
            <w:tcW w:w="1660"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指标名称</w:t>
            </w:r>
          </w:p>
        </w:tc>
        <w:tc>
          <w:tcPr>
            <w:tcW w:w="1466"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计量单位</w:t>
            </w:r>
          </w:p>
        </w:tc>
        <w:tc>
          <w:tcPr>
            <w:tcW w:w="1903"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中型</w:t>
            </w:r>
          </w:p>
        </w:tc>
        <w:tc>
          <w:tcPr>
            <w:tcW w:w="1692"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小型</w:t>
            </w:r>
          </w:p>
        </w:tc>
        <w:tc>
          <w:tcPr>
            <w:tcW w:w="1087" w:type="dxa"/>
            <w:tcBorders>
              <w:top w:val="single" w:color="auto" w:sz="4" w:space="0"/>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微型</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农、林、牧、渔</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50≤Y＜500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工业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2000≤Y＜40000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建筑业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6000≤Y＜80000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300≤Y＜6000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5000≤Z＜80000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300≤Z＜5000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Z＜300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批发业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20≤X＜200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5≤X＜20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X＜5</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5000≤Y＜40000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零售业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10≤X＜50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100≤Y＜500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交通运输业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200≤Y＜3000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仓储业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邮政业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2000≤Y＜30000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住宿业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餐饮业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信息传输业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软件和信息技术服务业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房地产开发经营</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1000≤Y＜200000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5000≤Z＜10000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2000≤Y＜5000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物业管理</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500≤Y＜1000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Y＜500</w:t>
            </w:r>
          </w:p>
        </w:tc>
      </w:tr>
      <w:tr>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租赁和商务服务业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8000≤Z＜120000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100≤Z＜8000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其他未列明行业</w:t>
            </w:r>
          </w:p>
        </w:tc>
        <w:tc>
          <w:tcPr>
            <w:tcW w:w="1660"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noWrap/>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bl>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b/>
          <w:bCs/>
          <w:kern w:val="0"/>
          <w:sz w:val="24"/>
          <w:shd w:val="clear" w:color="auto" w:fill="FFFFFF"/>
        </w:rPr>
        <w:t>说明：</w:t>
      </w:r>
      <w:r>
        <w:rPr>
          <w:rFonts w:hint="eastAsia" w:ascii="微软雅黑" w:hAnsi="微软雅黑" w:eastAsia="微软雅黑" w:cs="微软雅黑"/>
          <w:kern w:val="0"/>
          <w:sz w:val="24"/>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本招标文件所称中小企业，是指在中华人民共和国境内依法设立，依据国务院批准的</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（1）在货物采购项目中，货物由中小企业制造，即货物由中小企业生产且使用该中小企业商号或者注册商标，不对其中涉及的工程承建商和服务的承接商作出要求；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（2）在工程采购项目中，工程由中小企业承建，即工程施工单位为中小企业，不对其中涉及的货物的制造商和服务的承接商作出要求；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依据本招标文件规定享受扶持政策获得政府采购合同的，小微企业不得将合同分包给大中型企业，中型企业不得将合同分包给大型企业。</w:t>
      </w:r>
    </w:p>
    <w:p>
      <w:pPr>
        <w:pStyle w:val="12"/>
      </w:pPr>
    </w:p>
    <w:p/>
    <w:p>
      <w:pPr>
        <w:pStyle w:val="11"/>
        <w:ind w:firstLine="480"/>
      </w:pPr>
    </w:p>
    <w:p>
      <w:pPr>
        <w:pStyle w:val="7"/>
      </w:pPr>
    </w:p>
    <w:p>
      <w:pPr>
        <w:pStyle w:val="9"/>
      </w:pPr>
    </w:p>
    <w:p/>
    <w:p>
      <w:pPr>
        <w:pStyle w:val="11"/>
        <w:ind w:firstLine="480"/>
      </w:pPr>
    </w:p>
    <w:p>
      <w:pPr>
        <w:pStyle w:val="7"/>
      </w:pPr>
    </w:p>
    <w:p/>
    <w:p>
      <w:pPr>
        <w:pStyle w:val="11"/>
        <w:ind w:firstLine="480"/>
      </w:pPr>
    </w:p>
    <w:p/>
    <w:p>
      <w:pPr>
        <w:pStyle w:val="3"/>
      </w:pPr>
    </w:p>
    <w:p>
      <w:pPr>
        <w:pStyle w:val="6"/>
        <w:spacing w:before="0" w:after="0" w:line="288" w:lineRule="auto"/>
        <w:ind w:left="1079" w:leftChars="257" w:hanging="539"/>
        <w:jc w:val="center"/>
        <w:rPr>
          <w:rFonts w:ascii="仿宋_GB2312" w:hAnsi="仿宋_GB2312" w:eastAsia="仿宋_GB2312" w:cs="仿宋_GB2312"/>
          <w:u w:val="none"/>
        </w:rPr>
      </w:pPr>
      <w:bookmarkStart w:id="882" w:name="_Toc20082"/>
      <w:r>
        <w:rPr>
          <w:rFonts w:hint="eastAsia" w:ascii="仿宋_GB2312" w:hAnsi="仿宋_GB2312" w:eastAsia="仿宋_GB2312" w:cs="仿宋_GB2312"/>
          <w:u w:val="none"/>
        </w:rPr>
        <w:t>6-2   残疾人福利性单位声明函</w:t>
      </w:r>
      <w:bookmarkEnd w:id="882"/>
    </w:p>
    <w:p>
      <w:pPr>
        <w:widowControl w:val="0"/>
        <w:spacing w:after="60"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pPr>
        <w:widowControl w:val="0"/>
        <w:spacing w:after="60"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1. （标的名称），制造商为（单位名称），属于残疾人福利性单位；</w:t>
      </w:r>
    </w:p>
    <w:p>
      <w:pPr>
        <w:widowControl w:val="0"/>
        <w:spacing w:after="60"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2. （标的名称），制造商为（单位名称），属于残疾人福利性单位。</w:t>
      </w:r>
    </w:p>
    <w:p>
      <w:pPr>
        <w:widowControl w:val="0"/>
        <w:spacing w:after="60"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val="0"/>
        <w:spacing w:after="60" w:afterLines="25" w:line="300" w:lineRule="auto"/>
        <w:ind w:firstLine="480" w:firstLineChars="200"/>
        <w:textAlignment w:val="auto"/>
        <w:rPr>
          <w:rFonts w:ascii="仿宋" w:hAnsi="仿宋" w:eastAsia="仿宋" w:cs="仿宋"/>
          <w:color w:val="000000"/>
          <w:kern w:val="0"/>
          <w:sz w:val="24"/>
        </w:rPr>
      </w:pPr>
      <w:bookmarkStart w:id="883" w:name="_Hlk73562331"/>
      <w:r>
        <w:rPr>
          <w:rFonts w:hint="eastAsia" w:ascii="仿宋" w:hAnsi="仿宋" w:eastAsia="仿宋" w:cs="仿宋"/>
          <w:color w:val="000000"/>
          <w:kern w:val="0"/>
          <w:sz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883"/>
    </w:p>
    <w:p>
      <w:pPr>
        <w:widowControl w:val="0"/>
        <w:spacing w:after="60" w:afterLines="25" w:line="300" w:lineRule="auto"/>
        <w:jc w:val="right"/>
        <w:textAlignment w:val="auto"/>
        <w:rPr>
          <w:rFonts w:ascii="仿宋" w:hAnsi="仿宋" w:eastAsia="仿宋" w:cs="仿宋"/>
          <w:color w:val="000000"/>
          <w:kern w:val="0"/>
          <w:sz w:val="24"/>
        </w:rPr>
      </w:pPr>
    </w:p>
    <w:p>
      <w:pPr>
        <w:widowControl w:val="0"/>
        <w:spacing w:after="60" w:afterLines="25" w:line="300" w:lineRule="auto"/>
        <w:ind w:right="420" w:firstLine="5040" w:firstLineChars="2100"/>
        <w:textAlignment w:val="auto"/>
        <w:rPr>
          <w:rFonts w:ascii="仿宋" w:hAnsi="仿宋" w:eastAsia="仿宋" w:cs="仿宋"/>
          <w:color w:val="000000"/>
          <w:kern w:val="0"/>
          <w:sz w:val="24"/>
        </w:rPr>
      </w:pPr>
      <w:r>
        <w:rPr>
          <w:rFonts w:hint="eastAsia" w:ascii="仿宋" w:hAnsi="仿宋" w:eastAsia="仿宋" w:cs="仿宋"/>
          <w:color w:val="000000"/>
          <w:kern w:val="0"/>
          <w:sz w:val="24"/>
        </w:rPr>
        <w:t>投标人（投标单位）：</w:t>
      </w:r>
    </w:p>
    <w:p>
      <w:pPr>
        <w:widowControl w:val="0"/>
        <w:spacing w:after="60" w:afterLines="25" w:line="300" w:lineRule="auto"/>
        <w:ind w:right="420" w:firstLine="6600" w:firstLineChars="2750"/>
        <w:textAlignment w:val="auto"/>
        <w:rPr>
          <w:rFonts w:ascii="宋体" w:hAnsi="宋体" w:cs="Times New Roman"/>
          <w:bCs/>
          <w:kern w:val="0"/>
          <w:sz w:val="24"/>
          <w:szCs w:val="21"/>
        </w:rPr>
      </w:pPr>
      <w:r>
        <w:rPr>
          <w:rFonts w:hint="eastAsia" w:ascii="仿宋" w:hAnsi="仿宋" w:eastAsia="仿宋" w:cs="仿宋"/>
          <w:color w:val="000000"/>
          <w:kern w:val="0"/>
          <w:sz w:val="24"/>
        </w:rPr>
        <w:t>日期：</w:t>
      </w:r>
    </w:p>
    <w:p>
      <w:pPr>
        <w:snapToGrid w:val="0"/>
        <w:rPr>
          <w:rFonts w:ascii="仿宋" w:hAnsi="仿宋" w:eastAsia="仿宋" w:cs="仿宋"/>
          <w:sz w:val="20"/>
        </w:rPr>
      </w:pPr>
    </w:p>
    <w:p>
      <w:pPr>
        <w:pStyle w:val="11"/>
        <w:ind w:firstLine="400"/>
        <w:rPr>
          <w:rFonts w:ascii="仿宋" w:hAnsi="仿宋" w:eastAsia="仿宋" w:cs="仿宋"/>
          <w:sz w:val="20"/>
        </w:rPr>
      </w:pPr>
    </w:p>
    <w:p>
      <w:pPr>
        <w:pStyle w:val="7"/>
        <w:rPr>
          <w:rFonts w:ascii="仿宋" w:hAnsi="仿宋" w:eastAsia="仿宋" w:cs="仿宋"/>
          <w:sz w:val="20"/>
        </w:rPr>
      </w:pPr>
    </w:p>
    <w:p>
      <w:pPr>
        <w:pStyle w:val="9"/>
        <w:rPr>
          <w:rFonts w:ascii="仿宋" w:hAnsi="仿宋" w:eastAsia="仿宋" w:cs="仿宋"/>
          <w:sz w:val="20"/>
        </w:rPr>
      </w:pPr>
    </w:p>
    <w:p/>
    <w:p>
      <w:pPr>
        <w:pStyle w:val="6"/>
        <w:spacing w:before="0" w:after="0" w:line="288" w:lineRule="auto"/>
        <w:ind w:left="1079" w:leftChars="257" w:hanging="539"/>
        <w:jc w:val="center"/>
        <w:rPr>
          <w:rFonts w:ascii="仿宋_GB2312" w:hAnsi="仿宋_GB2312" w:eastAsia="仿宋_GB2312" w:cs="仿宋_GB2312"/>
          <w:u w:val="none"/>
        </w:rPr>
      </w:pPr>
      <w:bookmarkStart w:id="884" w:name="_Toc13378"/>
      <w:bookmarkStart w:id="885" w:name="_Toc2813"/>
      <w:bookmarkStart w:id="886" w:name="_Toc7440"/>
      <w:bookmarkStart w:id="887" w:name="_Toc16783"/>
      <w:bookmarkStart w:id="888" w:name="_Toc28310"/>
      <w:bookmarkStart w:id="889" w:name="_Toc17181"/>
      <w:bookmarkStart w:id="890" w:name="_Toc19006"/>
      <w:bookmarkStart w:id="891" w:name="_Toc8498"/>
      <w:bookmarkStart w:id="892" w:name="_Toc7689"/>
      <w:bookmarkStart w:id="893" w:name="_Toc19677"/>
      <w:bookmarkStart w:id="894" w:name="_Toc9078"/>
      <w:bookmarkStart w:id="895" w:name="_Toc11271"/>
      <w:r>
        <w:rPr>
          <w:rFonts w:hint="eastAsia" w:ascii="仿宋_GB2312" w:hAnsi="仿宋_GB2312" w:eastAsia="仿宋_GB2312" w:cs="仿宋_GB2312"/>
          <w:u w:val="none"/>
        </w:rPr>
        <w:t xml:space="preserve">6-3 </w:t>
      </w:r>
      <w:bookmarkEnd w:id="884"/>
      <w:bookmarkEnd w:id="885"/>
      <w:bookmarkEnd w:id="886"/>
      <w:bookmarkEnd w:id="887"/>
      <w:bookmarkEnd w:id="888"/>
      <w:bookmarkEnd w:id="889"/>
      <w:bookmarkEnd w:id="890"/>
      <w:r>
        <w:rPr>
          <w:rFonts w:hint="eastAsia" w:ascii="仿宋_GB2312" w:hAnsi="仿宋_GB2312" w:eastAsia="仿宋_GB2312" w:cs="仿宋_GB2312"/>
          <w:u w:val="none"/>
        </w:rPr>
        <w:t>监狱企业</w:t>
      </w:r>
      <w:bookmarkEnd w:id="891"/>
      <w:r>
        <w:rPr>
          <w:rFonts w:hint="eastAsia" w:ascii="仿宋_GB2312" w:hAnsi="仿宋_GB2312" w:eastAsia="仿宋_GB2312" w:cs="仿宋_GB2312"/>
          <w:u w:val="none"/>
        </w:rPr>
        <w:t>声明函</w:t>
      </w:r>
      <w:bookmarkEnd w:id="892"/>
      <w:bookmarkEnd w:id="893"/>
      <w:bookmarkEnd w:id="894"/>
      <w:bookmarkEnd w:id="895"/>
    </w:p>
    <w:p>
      <w:pPr>
        <w:pStyle w:val="23"/>
        <w:spacing w:before="75" w:beforeAutospacing="0" w:after="75" w:afterAutospacing="0" w:line="420" w:lineRule="atLeast"/>
        <w:ind w:firstLine="480" w:firstLineChars="200"/>
        <w:rPr>
          <w:rFonts w:ascii="仿宋" w:hAnsi="仿宋" w:eastAsia="仿宋" w:cs="仿宋"/>
          <w:color w:val="000000"/>
        </w:rPr>
      </w:pPr>
      <w:r>
        <w:rPr>
          <w:rFonts w:hint="eastAsia" w:ascii="仿宋" w:hAnsi="仿宋" w:eastAsia="仿宋" w:cs="仿宋"/>
          <w:color w:val="000000"/>
        </w:rPr>
        <w:t>本公司郑重声明，根据《关于政府采购支持监狱企业发展有关问题的通知》（财库[2014]68号）的规定，本公司为监狱企业。</w:t>
      </w: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本公司参加______单位的______项目采购活动，采购活动提供本企业（填写制造的货物，由本企业承担工程、提供服务）。</w:t>
      </w: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本条所称货物不包括使用大型企业注册商标的货物和服务。</w:t>
      </w: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本公司对上述声明的真实性负责。如有虚假，将依法承担相应责任。</w:t>
      </w:r>
    </w:p>
    <w:p>
      <w:pPr>
        <w:pStyle w:val="23"/>
        <w:spacing w:before="75" w:beforeAutospacing="0" w:after="75" w:afterAutospacing="0" w:line="420" w:lineRule="atLeast"/>
        <w:rPr>
          <w:rFonts w:ascii="仿宋" w:hAnsi="仿宋" w:eastAsia="仿宋" w:cs="仿宋"/>
          <w:color w:val="000000"/>
        </w:rPr>
      </w:pP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企业名称（加盖公章）：</w:t>
      </w: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法定代表人（负责人）或其授权代表(签字或章)：</w:t>
      </w:r>
    </w:p>
    <w:p>
      <w:pPr>
        <w:pStyle w:val="23"/>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日期：</w:t>
      </w:r>
    </w:p>
    <w:p>
      <w:pPr>
        <w:pStyle w:val="23"/>
        <w:spacing w:before="75" w:beforeAutospacing="0" w:after="75" w:afterAutospacing="0" w:line="420" w:lineRule="atLeast"/>
        <w:rPr>
          <w:rFonts w:ascii="仿宋" w:hAnsi="仿宋" w:eastAsia="仿宋" w:cs="仿宋"/>
          <w:color w:val="000000"/>
        </w:rPr>
      </w:pPr>
    </w:p>
    <w:p>
      <w:pPr>
        <w:pStyle w:val="6"/>
        <w:spacing w:before="0" w:after="0" w:line="288" w:lineRule="auto"/>
        <w:ind w:left="1079" w:leftChars="257" w:hanging="539"/>
        <w:jc w:val="center"/>
        <w:rPr>
          <w:rFonts w:ascii="仿宋_GB2312" w:hAnsi="仿宋_GB2312" w:eastAsia="仿宋_GB2312" w:cs="仿宋_GB2312"/>
          <w:u w:val="none"/>
        </w:rPr>
      </w:pPr>
      <w:bookmarkStart w:id="896" w:name="_Toc22178"/>
    </w:p>
    <w:p>
      <w:pPr>
        <w:pStyle w:val="6"/>
        <w:spacing w:before="0" w:after="0" w:line="288" w:lineRule="auto"/>
        <w:ind w:left="1079" w:leftChars="257" w:hanging="539"/>
        <w:jc w:val="center"/>
        <w:rPr>
          <w:rFonts w:ascii="仿宋_GB2312" w:hAnsi="仿宋_GB2312" w:eastAsia="仿宋_GB2312" w:cs="仿宋_GB2312"/>
          <w:u w:val="none"/>
        </w:rPr>
      </w:pPr>
      <w:bookmarkStart w:id="897" w:name="_Toc25040"/>
      <w:r>
        <w:rPr>
          <w:rFonts w:hint="eastAsia" w:ascii="仿宋_GB2312" w:hAnsi="仿宋_GB2312" w:eastAsia="仿宋_GB2312" w:cs="仿宋_GB2312"/>
          <w:u w:val="none"/>
        </w:rPr>
        <w:t>7  投标文件还应包括第五章、综合评分表的所有技术文件</w:t>
      </w:r>
      <w:bookmarkEnd w:id="877"/>
      <w:bookmarkEnd w:id="896"/>
      <w:bookmarkEnd w:id="897"/>
    </w:p>
    <w:p>
      <w:pPr>
        <w:pStyle w:val="5"/>
        <w:snapToGrid w:val="0"/>
        <w:spacing w:before="0" w:line="240" w:lineRule="atLeast"/>
        <w:jc w:val="both"/>
        <w:rPr>
          <w:rFonts w:ascii="仿宋_GB2312" w:hAnsi="仿宋_GB2312" w:eastAsia="仿宋_GB2312" w:cs="仿宋_GB2312"/>
          <w:sz w:val="24"/>
        </w:rPr>
      </w:pPr>
      <w:bookmarkStart w:id="898" w:name="_Toc10002"/>
      <w:bookmarkStart w:id="899" w:name="_Toc30795"/>
      <w:bookmarkStart w:id="900" w:name="_Toc28099"/>
      <w:bookmarkStart w:id="901" w:name="_Toc515647827"/>
    </w:p>
    <w:p>
      <w:pPr>
        <w:rPr>
          <w:rFonts w:ascii="仿宋_GB2312" w:hAnsi="仿宋_GB2312" w:eastAsia="仿宋_GB2312" w:cs="仿宋_GB2312"/>
          <w:b/>
          <w:sz w:val="24"/>
        </w:rPr>
      </w:pPr>
    </w:p>
    <w:p>
      <w:pPr>
        <w:pStyle w:val="3"/>
        <w:rPr>
          <w:rFonts w:ascii="仿宋_GB2312" w:hAnsi="仿宋_GB2312" w:eastAsia="仿宋_GB2312" w:cs="仿宋_GB2312"/>
          <w:b/>
        </w:rPr>
      </w:pPr>
    </w:p>
    <w:p/>
    <w:p>
      <w:pPr>
        <w:pStyle w:val="11"/>
        <w:ind w:firstLine="480"/>
      </w:pPr>
    </w:p>
    <w:p>
      <w:pPr>
        <w:pStyle w:val="6"/>
        <w:spacing w:before="0" w:after="0" w:line="288" w:lineRule="auto"/>
        <w:ind w:left="1079" w:leftChars="257" w:hanging="539"/>
        <w:jc w:val="center"/>
        <w:rPr>
          <w:rFonts w:ascii="仿宋_GB2312" w:hAnsi="仿宋_GB2312" w:eastAsia="仿宋_GB2312" w:cs="仿宋_GB2312"/>
          <w:u w:val="none"/>
        </w:rPr>
      </w:pPr>
      <w:bookmarkStart w:id="902" w:name="_Toc8592"/>
      <w:bookmarkStart w:id="903" w:name="_Toc26500"/>
      <w:bookmarkStart w:id="904" w:name="_Toc6646"/>
      <w:bookmarkStart w:id="905" w:name="_Toc7250"/>
      <w:bookmarkStart w:id="906" w:name="_Toc12381"/>
      <w:bookmarkStart w:id="907" w:name="_Toc1286"/>
      <w:bookmarkStart w:id="908" w:name="_Toc15187"/>
      <w:bookmarkStart w:id="909" w:name="_Toc14100"/>
      <w:bookmarkStart w:id="910" w:name="_Toc24363"/>
      <w:bookmarkStart w:id="911" w:name="_Toc6272"/>
      <w:r>
        <w:rPr>
          <w:rFonts w:hint="eastAsia" w:ascii="仿宋_GB2312" w:hAnsi="仿宋_GB2312" w:eastAsia="仿宋_GB2312" w:cs="仿宋_GB2312"/>
          <w:u w:val="none"/>
        </w:rPr>
        <w:t>8   投标人关联单位的说明</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7"/>
        <w:snapToGrid w:val="0"/>
        <w:jc w:val="center"/>
        <w:rPr>
          <w:rFonts w:ascii="仿宋_GB2312" w:hAnsi="仿宋_GB2312" w:eastAsia="仿宋_GB2312" w:cs="仿宋_GB2312"/>
        </w:rPr>
      </w:pP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说明：投标人应当如实披露与本单位存在下列关联关系的单位名称：</w:t>
      </w: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（1）与投标人单位负责人为同一人的其他单位；</w:t>
      </w: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（2）与投标人存在直接控股、管理关系的其他单位。</w:t>
      </w:r>
    </w:p>
    <w:p>
      <w:pPr>
        <w:pStyle w:val="20"/>
        <w:rPr>
          <w:rFonts w:ascii="仿宋_GB2312" w:hAnsi="仿宋_GB2312" w:eastAsia="仿宋_GB2312" w:cs="仿宋_GB2312"/>
          <w:b/>
          <w:kern w:val="0"/>
          <w:sz w:val="24"/>
          <w:szCs w:val="20"/>
        </w:rPr>
      </w:pPr>
    </w:p>
    <w:p>
      <w:pPr>
        <w:pStyle w:val="3"/>
        <w:rPr>
          <w:rFonts w:ascii="仿宋_GB2312" w:hAnsi="仿宋_GB2312" w:eastAsia="仿宋_GB2312" w:cs="仿宋_GB2312"/>
          <w:b/>
          <w:kern w:val="0"/>
          <w:szCs w:val="20"/>
        </w:rPr>
      </w:pPr>
    </w:p>
    <w:p/>
    <w:p>
      <w:pPr>
        <w:pStyle w:val="3"/>
      </w:pPr>
    </w:p>
    <w:p>
      <w:pPr>
        <w:pStyle w:val="6"/>
        <w:spacing w:before="0" w:after="0" w:line="288" w:lineRule="auto"/>
        <w:ind w:left="1079" w:leftChars="257" w:hanging="539"/>
        <w:jc w:val="center"/>
        <w:rPr>
          <w:rFonts w:ascii="仿宋_GB2312" w:hAnsi="仿宋_GB2312" w:eastAsia="仿宋_GB2312" w:cs="仿宋_GB2312"/>
          <w:u w:val="none"/>
        </w:rPr>
      </w:pPr>
      <w:bookmarkStart w:id="912" w:name="_Toc16143"/>
      <w:bookmarkStart w:id="913" w:name="_Toc32047"/>
      <w:bookmarkStart w:id="914" w:name="_Toc28623"/>
      <w:r>
        <w:rPr>
          <w:rFonts w:hint="eastAsia" w:ascii="仿宋_GB2312" w:hAnsi="仿宋_GB2312" w:eastAsia="仿宋_GB2312" w:cs="仿宋_GB2312"/>
          <w:u w:val="none"/>
        </w:rPr>
        <w:t>9 其他有利于投标人的文件或证明材料</w:t>
      </w:r>
      <w:bookmarkEnd w:id="912"/>
      <w:bookmarkEnd w:id="913"/>
      <w:bookmarkEnd w:id="914"/>
    </w:p>
    <w:p>
      <w:pPr>
        <w:pStyle w:val="20"/>
        <w:ind w:left="480" w:hanging="480" w:hangingChars="200"/>
        <w:rPr>
          <w:rFonts w:ascii="仿宋_GB2312" w:hAnsi="仿宋_GB2312" w:eastAsia="仿宋_GB2312" w:cs="仿宋_GB2312"/>
          <w:b/>
          <w:sz w:val="24"/>
        </w:rPr>
      </w:pPr>
      <w:r>
        <w:rPr>
          <w:rFonts w:hint="eastAsia" w:ascii="仿宋" w:hAnsi="仿宋" w:eastAsia="仿宋" w:cs="仿宋"/>
          <w:color w:val="000000"/>
          <w:sz w:val="24"/>
        </w:rPr>
        <w:t>注：参照“第六章评分方法和标准”，提供有力于投标人的其他证明文件或供货及实施方案、服务方案</w:t>
      </w:r>
      <w:bookmarkStart w:id="915" w:name="_Toc9667"/>
      <w:bookmarkStart w:id="916" w:name="_Toc31553"/>
      <w:bookmarkStart w:id="917" w:name="_Toc26225"/>
      <w:bookmarkStart w:id="918" w:name="_Toc15737"/>
      <w:bookmarkStart w:id="919" w:name="_Toc283"/>
      <w:bookmarkStart w:id="920" w:name="_Toc9043"/>
      <w:bookmarkStart w:id="921" w:name="_Toc22391"/>
    </w:p>
    <w:p>
      <w:pPr>
        <w:pStyle w:val="7"/>
        <w:rPr>
          <w:rFonts w:ascii="仿宋_GB2312" w:hAnsi="仿宋_GB2312" w:eastAsia="仿宋_GB2312" w:cs="仿宋_GB2312"/>
          <w:b/>
        </w:rPr>
      </w:pPr>
    </w:p>
    <w:p>
      <w:pPr>
        <w:pStyle w:val="9"/>
      </w:pPr>
    </w:p>
    <w:p>
      <w:pPr>
        <w:pStyle w:val="6"/>
        <w:spacing w:before="0" w:after="0" w:line="288" w:lineRule="auto"/>
        <w:ind w:left="1079" w:leftChars="257" w:hanging="539"/>
        <w:jc w:val="center"/>
        <w:rPr>
          <w:rFonts w:ascii="仿宋_GB2312" w:hAnsi="仿宋_GB2312" w:eastAsia="仿宋_GB2312" w:cs="仿宋_GB2312"/>
          <w:u w:val="none"/>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pPr>
    </w:p>
    <w:p>
      <w:pPr>
        <w:pStyle w:val="6"/>
        <w:spacing w:before="0" w:after="0" w:line="288" w:lineRule="auto"/>
        <w:ind w:left="1079" w:leftChars="257" w:hanging="539"/>
        <w:jc w:val="center"/>
        <w:rPr>
          <w:rFonts w:ascii="仿宋_GB2312" w:hAnsi="仿宋_GB2312" w:eastAsia="仿宋_GB2312" w:cs="仿宋_GB2312"/>
          <w:u w:val="none"/>
        </w:rPr>
      </w:pPr>
      <w:bookmarkStart w:id="922" w:name="_Toc21278"/>
      <w:bookmarkStart w:id="923" w:name="_Toc9989"/>
      <w:r>
        <w:rPr>
          <w:rFonts w:hint="eastAsia" w:ascii="仿宋_GB2312" w:hAnsi="仿宋_GB2312" w:eastAsia="仿宋_GB2312" w:cs="仿宋_GB2312"/>
          <w:u w:val="none"/>
        </w:rPr>
        <w:t>10 对本项目投标文件（响应文件）中资料真实性的承诺</w:t>
      </w:r>
      <w:bookmarkEnd w:id="915"/>
      <w:bookmarkEnd w:id="916"/>
      <w:bookmarkEnd w:id="917"/>
      <w:bookmarkEnd w:id="918"/>
      <w:bookmarkEnd w:id="919"/>
      <w:bookmarkEnd w:id="920"/>
      <w:bookmarkEnd w:id="921"/>
      <w:bookmarkEnd w:id="922"/>
      <w:bookmarkEnd w:id="923"/>
    </w:p>
    <w:p>
      <w:pPr>
        <w:snapToGrid w:val="0"/>
        <w:rPr>
          <w:rFonts w:ascii="Tahoma" w:hAnsi="Tahoma" w:cs="Tahoma"/>
          <w:b/>
          <w:sz w:val="28"/>
          <w:szCs w:val="28"/>
        </w:rPr>
      </w:pPr>
    </w:p>
    <w:p>
      <w:pPr>
        <w:snapToGrid w:val="0"/>
        <w:spacing w:line="360" w:lineRule="auto"/>
        <w:jc w:val="left"/>
        <w:rPr>
          <w:rFonts w:ascii="Tahoma" w:hAnsi="Tahoma" w:eastAsia="仿宋_GB2312" w:cs="Tahoma"/>
          <w:b/>
          <w:sz w:val="24"/>
        </w:rPr>
      </w:pPr>
      <w:r>
        <w:rPr>
          <w:rFonts w:hint="eastAsia" w:ascii="Tahoma" w:hAnsi="Tahoma" w:eastAsia="仿宋_GB2312" w:cs="Tahoma"/>
          <w:b/>
          <w:sz w:val="24"/>
        </w:rPr>
        <w:t>伽师县****项目评标委员会：</w:t>
      </w:r>
    </w:p>
    <w:p>
      <w:pPr>
        <w:snapToGrid w:val="0"/>
        <w:spacing w:line="360" w:lineRule="auto"/>
        <w:ind w:firstLine="480" w:firstLineChars="200"/>
        <w:rPr>
          <w:rFonts w:ascii="仿宋" w:hAnsi="仿宋" w:eastAsia="仿宋" w:cs="仿宋"/>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sz w:val="24"/>
        </w:rPr>
        <w:t>条例》等有关法律、法规的规定和</w:t>
      </w:r>
      <w:r>
        <w:rPr>
          <w:rFonts w:hint="eastAsia" w:ascii="仿宋" w:hAnsi="仿宋" w:eastAsia="仿宋" w:cs="仿宋"/>
          <w:sz w:val="24"/>
          <w:u w:val="single" w:color="000000"/>
        </w:rPr>
        <w:t>    ***项目项目编号***、第**标段  </w:t>
      </w:r>
      <w:r>
        <w:rPr>
          <w:rFonts w:hint="eastAsia" w:ascii="仿宋" w:hAnsi="仿宋" w:eastAsia="仿宋" w:cs="仿宋"/>
          <w:sz w:val="24"/>
        </w:rPr>
        <w:t>的招标文件（或竞争性谈判文件）的要求，我公司在参加</w:t>
      </w:r>
      <w:r>
        <w:rPr>
          <w:rFonts w:hint="eastAsia" w:ascii="仿宋" w:hAnsi="仿宋" w:eastAsia="仿宋" w:cs="仿宋"/>
          <w:sz w:val="24"/>
          <w:u w:val="single" w:color="000000"/>
        </w:rPr>
        <w:t xml:space="preserve"> ***项目项目编号***、第**标段 </w:t>
      </w:r>
      <w:r>
        <w:rPr>
          <w:rFonts w:hint="eastAsia" w:ascii="仿宋" w:hAnsi="仿宋" w:eastAsia="仿宋" w:cs="仿宋"/>
          <w:sz w:val="24"/>
        </w:rPr>
        <w:t>投标文件（响应文件）中所提供资料真实性作如下承诺：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我公司将严格按招标文件</w:t>
      </w:r>
      <w:bookmarkStart w:id="924" w:name="_Hlk5982690"/>
      <w:r>
        <w:rPr>
          <w:rFonts w:hint="eastAsia" w:ascii="仿宋" w:hAnsi="仿宋" w:eastAsia="仿宋" w:cs="仿宋"/>
          <w:sz w:val="24"/>
        </w:rPr>
        <w:t>（或竞争性谈判）</w:t>
      </w:r>
      <w:bookmarkEnd w:id="924"/>
      <w:r>
        <w:rPr>
          <w:rFonts w:hint="eastAsia" w:ascii="仿宋" w:hAnsi="仿宋" w:eastAsia="仿宋" w:cs="仿宋"/>
          <w:sz w:val="24"/>
        </w:rPr>
        <w:t xml:space="preserve">要求，在编制本投标文件（响应文件）时，对投标文件中所提供的资料全部真实和正确，并对提供的所有资料（资格、其他材料等）的真实性负责！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特此承诺</w:t>
      </w:r>
    </w:p>
    <w:p>
      <w:pPr>
        <w:snapToGrid w:val="0"/>
        <w:spacing w:line="360" w:lineRule="auto"/>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 xml:space="preserve">供应商名称（加盖盖章）：                        </w:t>
      </w: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法定代表人（签字或章）：</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 xml:space="preserve">                            联系方式：                         </w:t>
      </w: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年      月       日</w:t>
      </w:r>
    </w:p>
    <w:p>
      <w:pPr>
        <w:pStyle w:val="2"/>
        <w:ind w:firstLine="0" w:firstLineChars="0"/>
        <w:rPr>
          <w:rFonts w:hint="default"/>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
      <w:pPr>
        <w:spacing w:line="240" w:lineRule="atLeast"/>
        <w:jc w:val="center"/>
        <w:rPr>
          <w:rStyle w:val="33"/>
          <w:rFonts w:hint="eastAsia" w:ascii="仿宋_GB2312" w:hAnsi="仿宋_GB2312" w:eastAsia="仿宋_GB2312"/>
          <w:b/>
          <w:color w:val="auto"/>
          <w:sz w:val="52"/>
          <w:szCs w:val="52"/>
        </w:rPr>
      </w:pPr>
      <w:r>
        <w:rPr>
          <w:rStyle w:val="33"/>
          <w:rFonts w:hint="eastAsia" w:ascii="仿宋_GB2312" w:hAnsi="仿宋_GB2312" w:eastAsia="仿宋_GB2312"/>
          <w:b/>
          <w:color w:val="auto"/>
          <w:sz w:val="52"/>
          <w:szCs w:val="52"/>
        </w:rPr>
        <w:t>伽师县公安局警用服装采购项目</w:t>
      </w:r>
    </w:p>
    <w:p>
      <w:pPr>
        <w:pStyle w:val="20"/>
        <w:rPr>
          <w:rFonts w:ascii="仿宋_GB2312" w:hAnsi="仿宋_GB2312" w:eastAsia="仿宋_GB2312" w:cs="仿宋_GB2312"/>
          <w:b/>
          <w:sz w:val="52"/>
          <w:szCs w:val="52"/>
        </w:rPr>
      </w:pPr>
    </w:p>
    <w:p>
      <w:pPr>
        <w:pStyle w:val="3"/>
      </w:pPr>
    </w:p>
    <w:p>
      <w:pPr>
        <w:pStyle w:val="3"/>
      </w:pPr>
    </w:p>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pPr>
        <w:spacing w:line="240" w:lineRule="atLeast"/>
        <w:ind w:left="1080" w:leftChars="257" w:hanging="540"/>
        <w:rPr>
          <w:rFonts w:ascii="仿宋_GB2312" w:hAnsi="仿宋_GB2312" w:eastAsia="仿宋_GB2312" w:cs="仿宋_GB2312"/>
          <w:b/>
          <w:sz w:val="28"/>
        </w:rPr>
      </w:pPr>
    </w:p>
    <w:p>
      <w:pPr>
        <w:pStyle w:val="20"/>
      </w:pPr>
    </w:p>
    <w:p>
      <w:pPr>
        <w:pStyle w:val="3"/>
      </w:pPr>
    </w:p>
    <w:p/>
    <w:p/>
    <w:p>
      <w:pPr>
        <w:spacing w:line="240" w:lineRule="atLeast"/>
        <w:ind w:left="1080" w:leftChars="257" w:hanging="54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pStyle w:val="3"/>
        <w:rPr>
          <w:rFonts w:ascii="仿宋_GB2312" w:hAnsi="仿宋_GB2312" w:eastAsia="仿宋_GB2312" w:cs="仿宋_GB2312"/>
          <w:b/>
          <w:sz w:val="52"/>
        </w:rPr>
      </w:pPr>
    </w:p>
    <w:p>
      <w:pPr>
        <w:rPr>
          <w:rFonts w:ascii="仿宋_GB2312" w:hAnsi="仿宋_GB2312" w:eastAsia="仿宋_GB2312" w:cs="仿宋_GB2312"/>
          <w:b/>
          <w:sz w:val="52"/>
        </w:rPr>
      </w:pPr>
    </w:p>
    <w:p>
      <w:pPr>
        <w:pStyle w:val="3"/>
        <w:rPr>
          <w:rFonts w:ascii="仿宋_GB2312" w:hAnsi="仿宋_GB2312" w:eastAsia="仿宋_GB2312" w:cs="仿宋_GB2312"/>
          <w:b/>
          <w:sz w:val="52"/>
        </w:rPr>
      </w:pPr>
    </w:p>
    <w:p>
      <w:pPr>
        <w:rPr>
          <w:rFonts w:ascii="仿宋_GB2312" w:hAnsi="仿宋_GB2312" w:eastAsia="仿宋_GB2312" w:cs="仿宋_GB2312"/>
          <w:b/>
          <w:sz w:val="52"/>
        </w:rPr>
      </w:pPr>
    </w:p>
    <w:p>
      <w:pPr>
        <w:pStyle w:val="3"/>
      </w:pPr>
    </w:p>
    <w:p>
      <w:pPr>
        <w:pStyle w:val="3"/>
      </w:pPr>
    </w:p>
    <w:p>
      <w:pPr>
        <w:pStyle w:val="4"/>
        <w:tabs>
          <w:tab w:val="left" w:pos="0"/>
        </w:tabs>
        <w:snapToGrid w:val="0"/>
        <w:spacing w:before="0" w:after="0" w:line="240" w:lineRule="atLeast"/>
        <w:jc w:val="both"/>
        <w:rPr>
          <w:rFonts w:ascii="仿宋_GB2312" w:hAnsi="仿宋_GB2312" w:eastAsia="仿宋_GB2312" w:cs="仿宋_GB2312"/>
          <w:sz w:val="44"/>
          <w:szCs w:val="44"/>
        </w:rPr>
      </w:pPr>
    </w:p>
    <w:p>
      <w:pPr>
        <w:snapToGrid w:val="0"/>
        <w:spacing w:line="276" w:lineRule="auto"/>
        <w:jc w:val="center"/>
        <w:rPr>
          <w:rStyle w:val="33"/>
          <w:rFonts w:ascii="宋体" w:hAnsi="宋体" w:cs="宋体"/>
          <w:b/>
          <w:bCs/>
          <w:color w:val="000000"/>
          <w:sz w:val="28"/>
          <w:szCs w:val="28"/>
        </w:rPr>
      </w:pPr>
    </w:p>
    <w:p>
      <w:pPr>
        <w:snapToGrid w:val="0"/>
        <w:spacing w:line="276" w:lineRule="auto"/>
        <w:jc w:val="center"/>
        <w:rPr>
          <w:rStyle w:val="33"/>
          <w:rFonts w:ascii="宋体" w:hAnsi="宋体" w:cs="宋体"/>
          <w:b/>
          <w:bCs/>
          <w:color w:val="000000"/>
          <w:sz w:val="28"/>
          <w:szCs w:val="28"/>
        </w:rPr>
      </w:pPr>
    </w:p>
    <w:p>
      <w:pPr>
        <w:pStyle w:val="4"/>
        <w:tabs>
          <w:tab w:val="left" w:pos="0"/>
        </w:tabs>
        <w:snapToGrid w:val="0"/>
        <w:spacing w:before="0" w:after="0" w:line="240" w:lineRule="atLeast"/>
        <w:rPr>
          <w:rFonts w:ascii="仿宋_GB2312" w:hAnsi="仿宋_GB2312" w:eastAsia="仿宋_GB2312" w:cs="仿宋_GB2312"/>
          <w:sz w:val="44"/>
          <w:szCs w:val="44"/>
        </w:rPr>
      </w:pPr>
      <w:bookmarkStart w:id="925" w:name="_Toc2942"/>
      <w:r>
        <w:rPr>
          <w:rFonts w:hint="eastAsia" w:ascii="仿宋_GB2312" w:hAnsi="仿宋_GB2312" w:eastAsia="仿宋_GB2312" w:cs="仿宋_GB2312"/>
          <w:sz w:val="44"/>
          <w:szCs w:val="44"/>
        </w:rPr>
        <w:t>第三章 投标邀请</w:t>
      </w:r>
      <w:bookmarkEnd w:id="925"/>
    </w:p>
    <w:p>
      <w:pPr>
        <w:snapToGrid w:val="0"/>
        <w:spacing w:line="276" w:lineRule="auto"/>
        <w:jc w:val="center"/>
        <w:rPr>
          <w:rStyle w:val="33"/>
          <w:rFonts w:ascii="宋体" w:hAnsi="宋体" w:cs="宋体"/>
          <w:b/>
          <w:bCs/>
          <w:color w:val="000000"/>
          <w:sz w:val="28"/>
          <w:szCs w:val="28"/>
        </w:rPr>
      </w:pPr>
      <w:r>
        <w:rPr>
          <w:rStyle w:val="33"/>
          <w:rFonts w:ascii="宋体" w:hAnsi="宋体" w:cs="宋体"/>
          <w:b/>
          <w:bCs/>
          <w:color w:val="000000"/>
          <w:sz w:val="28"/>
          <w:szCs w:val="28"/>
        </w:rPr>
        <w:t>【县级】</w:t>
      </w:r>
      <w:r>
        <w:rPr>
          <w:rFonts w:hint="eastAsia" w:ascii="宋体" w:hAnsi="宋体" w:cs="宋体"/>
          <w:b/>
          <w:bCs/>
          <w:color w:val="000000"/>
          <w:sz w:val="28"/>
          <w:szCs w:val="28"/>
        </w:rPr>
        <w:t>伽师县公安局警用服装采购项</w:t>
      </w:r>
      <w:r>
        <w:rPr>
          <w:rStyle w:val="33"/>
          <w:rFonts w:hint="eastAsia" w:ascii="宋体" w:hAnsi="宋体" w:cs="宋体"/>
          <w:b/>
          <w:bCs/>
          <w:color w:val="000000"/>
          <w:sz w:val="28"/>
          <w:szCs w:val="28"/>
        </w:rPr>
        <w:t>目</w:t>
      </w:r>
      <w:r>
        <w:rPr>
          <w:rStyle w:val="33"/>
          <w:rFonts w:ascii="宋体" w:hAnsi="宋体" w:cs="宋体"/>
          <w:b/>
          <w:bCs/>
          <w:color w:val="000000"/>
          <w:sz w:val="28"/>
          <w:szCs w:val="28"/>
        </w:rPr>
        <w:t>公开招标公告</w:t>
      </w:r>
    </w:p>
    <w:p>
      <w:pPr>
        <w:pBdr>
          <w:top w:val="single" w:color="000000" w:sz="4" w:space="1"/>
          <w:left w:val="single" w:color="000000" w:sz="4" w:space="4"/>
          <w:bottom w:val="single" w:color="000000" w:sz="4" w:space="1"/>
          <w:right w:val="single" w:color="000000" w:sz="4" w:space="4"/>
        </w:pBdr>
        <w:snapToGrid w:val="0"/>
        <w:ind w:firstLine="560" w:firstLineChars="200"/>
        <w:rPr>
          <w:rStyle w:val="33"/>
          <w:rFonts w:ascii="仿宋" w:hAnsi="仿宋" w:eastAsia="仿宋"/>
          <w:sz w:val="28"/>
          <w:szCs w:val="28"/>
        </w:rPr>
      </w:pPr>
      <w:r>
        <w:rPr>
          <w:rStyle w:val="33"/>
          <w:rFonts w:ascii="仿宋" w:hAnsi="仿宋" w:eastAsia="仿宋"/>
          <w:sz w:val="28"/>
          <w:szCs w:val="28"/>
        </w:rPr>
        <w:t>项目概况</w:t>
      </w:r>
    </w:p>
    <w:p>
      <w:pPr>
        <w:pBdr>
          <w:top w:val="single" w:color="000000" w:sz="4" w:space="1"/>
          <w:left w:val="single" w:color="000000" w:sz="4" w:space="4"/>
          <w:bottom w:val="single" w:color="000000" w:sz="4" w:space="1"/>
          <w:right w:val="single" w:color="000000" w:sz="4" w:space="4"/>
        </w:pBdr>
        <w:snapToGrid w:val="0"/>
        <w:ind w:firstLine="560" w:firstLineChars="200"/>
        <w:rPr>
          <w:rStyle w:val="33"/>
          <w:rFonts w:ascii="宋体" w:hAnsi="宋体"/>
          <w:sz w:val="24"/>
        </w:rPr>
      </w:pPr>
      <w:r>
        <w:rPr>
          <w:rStyle w:val="33"/>
          <w:rFonts w:hint="eastAsia" w:ascii="仿宋" w:hAnsi="仿宋" w:eastAsia="仿宋" w:cs="Times New Roman"/>
          <w:sz w:val="28"/>
          <w:szCs w:val="28"/>
          <w:u w:val="single"/>
        </w:rPr>
        <w:t>伽师县公安局警用服装采购项目</w:t>
      </w:r>
      <w:r>
        <w:rPr>
          <w:rStyle w:val="33"/>
          <w:rFonts w:ascii="仿宋" w:hAnsi="仿宋" w:eastAsia="仿宋" w:cs="Times New Roman"/>
          <w:sz w:val="28"/>
          <w:szCs w:val="28"/>
        </w:rPr>
        <w:t>的潜在</w:t>
      </w:r>
      <w:r>
        <w:rPr>
          <w:rStyle w:val="33"/>
          <w:rFonts w:ascii="仿宋" w:hAnsi="仿宋" w:eastAsia="仿宋"/>
          <w:sz w:val="28"/>
          <w:szCs w:val="28"/>
        </w:rPr>
        <w:t>投标人应在</w:t>
      </w:r>
      <w:r>
        <w:rPr>
          <w:rStyle w:val="28"/>
          <w:rFonts w:hAnsi="宋体"/>
          <w:color w:val="auto"/>
          <w:sz w:val="24"/>
          <w:u w:color="0000FF"/>
        </w:rPr>
        <w:t>http://www.ccgp-xinjiang.gov.cn</w:t>
      </w:r>
      <w:r>
        <w:rPr>
          <w:rStyle w:val="33"/>
          <w:rFonts w:ascii="仿宋" w:hAnsi="仿宋" w:eastAsia="仿宋"/>
          <w:sz w:val="28"/>
          <w:szCs w:val="28"/>
        </w:rPr>
        <w:t>获取招标文件，</w:t>
      </w:r>
      <w:r>
        <w:rPr>
          <w:rFonts w:hint="eastAsia" w:ascii="仿宋" w:hAnsi="仿宋" w:eastAsia="仿宋"/>
          <w:sz w:val="28"/>
          <w:szCs w:val="28"/>
        </w:rPr>
        <w:t>并于</w:t>
      </w:r>
      <w:r>
        <w:rPr>
          <w:rFonts w:hint="eastAsia" w:ascii="仿宋" w:hAnsi="仿宋" w:eastAsia="仿宋" w:cs="Times New Roman"/>
          <w:bCs/>
          <w:sz w:val="28"/>
          <w:szCs w:val="28"/>
          <w:highlight w:val="yellow"/>
          <w:u w:val="single"/>
        </w:rPr>
        <w:t>2024年7月</w:t>
      </w:r>
      <w:r>
        <w:rPr>
          <w:rFonts w:hint="eastAsia" w:ascii="仿宋" w:hAnsi="仿宋" w:eastAsia="仿宋" w:cs="Times New Roman"/>
          <w:bCs/>
          <w:sz w:val="28"/>
          <w:szCs w:val="28"/>
          <w:highlight w:val="yellow"/>
          <w:u w:val="single"/>
          <w:lang w:val="en-US" w:eastAsia="zh-CN"/>
        </w:rPr>
        <w:t>17</w:t>
      </w:r>
      <w:r>
        <w:rPr>
          <w:rFonts w:hint="eastAsia" w:ascii="仿宋" w:hAnsi="仿宋" w:eastAsia="仿宋" w:cs="Times New Roman"/>
          <w:bCs/>
          <w:sz w:val="28"/>
          <w:szCs w:val="28"/>
          <w:highlight w:val="yellow"/>
          <w:u w:val="single"/>
        </w:rPr>
        <w:t>日 11</w:t>
      </w:r>
      <w:r>
        <w:rPr>
          <w:rFonts w:hint="eastAsia" w:ascii="仿宋" w:hAnsi="仿宋" w:eastAsia="仿宋"/>
          <w:bCs/>
          <w:sz w:val="28"/>
          <w:szCs w:val="28"/>
          <w:highlight w:val="yellow"/>
          <w:u w:val="single"/>
        </w:rPr>
        <w:t>点 00分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32"/>
        <w:numPr>
          <w:ilvl w:val="0"/>
          <w:numId w:val="7"/>
        </w:numPr>
        <w:snapToGrid w:val="0"/>
        <w:spacing w:before="0" w:line="560" w:lineRule="exact"/>
        <w:jc w:val="both"/>
        <w:rPr>
          <w:rStyle w:val="33"/>
          <w:rFonts w:ascii="宋体" w:hAnsi="宋体" w:eastAsia="宋体"/>
          <w:color w:val="000000"/>
          <w:kern w:val="2"/>
          <w:sz w:val="24"/>
          <w:szCs w:val="21"/>
        </w:rPr>
      </w:pPr>
      <w:r>
        <w:rPr>
          <w:rStyle w:val="33"/>
          <w:rFonts w:ascii="宋体" w:hAnsi="宋体" w:eastAsia="宋体"/>
          <w:color w:val="000000"/>
          <w:kern w:val="2"/>
          <w:sz w:val="24"/>
          <w:szCs w:val="21"/>
        </w:rPr>
        <w:t>项目基本情况</w:t>
      </w:r>
    </w:p>
    <w:p>
      <w:pPr>
        <w:numPr>
          <w:ilvl w:val="0"/>
          <w:numId w:val="8"/>
        </w:numPr>
        <w:snapToGrid w:val="0"/>
        <w:spacing w:line="520" w:lineRule="exact"/>
        <w:rPr>
          <w:rStyle w:val="33"/>
          <w:rFonts w:ascii="宋体" w:hAnsi="宋体"/>
          <w:sz w:val="24"/>
          <w:szCs w:val="21"/>
        </w:rPr>
      </w:pPr>
      <w:r>
        <w:rPr>
          <w:rStyle w:val="33"/>
          <w:rFonts w:hint="eastAsia" w:ascii="宋体" w:hAnsi="宋体"/>
          <w:sz w:val="24"/>
          <w:szCs w:val="21"/>
        </w:rPr>
        <w:t>项目编号：KSJSX(GK)2024-</w:t>
      </w:r>
      <w:r>
        <w:rPr>
          <w:rStyle w:val="33"/>
          <w:rFonts w:hint="eastAsia" w:ascii="宋体" w:hAnsi="宋体"/>
          <w:sz w:val="24"/>
          <w:szCs w:val="21"/>
          <w:lang w:val="en-US" w:eastAsia="zh-CN"/>
        </w:rPr>
        <w:t>22</w:t>
      </w:r>
    </w:p>
    <w:p>
      <w:pPr>
        <w:numPr>
          <w:ilvl w:val="0"/>
          <w:numId w:val="8"/>
        </w:numPr>
        <w:snapToGrid w:val="0"/>
        <w:spacing w:line="520" w:lineRule="exact"/>
        <w:rPr>
          <w:rStyle w:val="33"/>
          <w:rFonts w:ascii="宋体" w:hAnsi="宋体" w:cs="Times New Roman"/>
          <w:sz w:val="24"/>
          <w:szCs w:val="21"/>
        </w:rPr>
      </w:pPr>
      <w:r>
        <w:rPr>
          <w:rStyle w:val="33"/>
          <w:rFonts w:ascii="宋体" w:hAnsi="宋体"/>
          <w:sz w:val="24"/>
          <w:szCs w:val="21"/>
        </w:rPr>
        <w:t>项目名称：</w:t>
      </w:r>
      <w:r>
        <w:rPr>
          <w:rStyle w:val="33"/>
          <w:rFonts w:hint="eastAsia" w:ascii="宋体" w:hAnsi="宋体" w:cs="Times New Roman"/>
          <w:sz w:val="24"/>
          <w:szCs w:val="21"/>
        </w:rPr>
        <w:t>伽师县公安局警用服装采购项目</w:t>
      </w:r>
    </w:p>
    <w:p>
      <w:pPr>
        <w:numPr>
          <w:ilvl w:val="0"/>
          <w:numId w:val="8"/>
        </w:numPr>
        <w:snapToGrid w:val="0"/>
        <w:spacing w:line="520" w:lineRule="exact"/>
        <w:rPr>
          <w:rStyle w:val="33"/>
          <w:rFonts w:ascii="宋体" w:hAnsi="宋体" w:cs="Times New Roman"/>
          <w:sz w:val="24"/>
          <w:szCs w:val="21"/>
        </w:rPr>
      </w:pPr>
      <w:r>
        <w:rPr>
          <w:rStyle w:val="33"/>
          <w:rFonts w:hint="eastAsia" w:ascii="宋体" w:hAnsi="宋体" w:cs="Times New Roman"/>
          <w:sz w:val="24"/>
          <w:szCs w:val="21"/>
        </w:rPr>
        <w:t>预</w:t>
      </w:r>
      <w:r>
        <w:rPr>
          <w:rStyle w:val="33"/>
          <w:rFonts w:ascii="宋体" w:hAnsi="宋体" w:cs="Times New Roman"/>
          <w:sz w:val="24"/>
          <w:szCs w:val="21"/>
        </w:rPr>
        <w:t>算金额：</w:t>
      </w:r>
      <w:r>
        <w:rPr>
          <w:rStyle w:val="33"/>
          <w:rFonts w:hint="eastAsia" w:ascii="宋体" w:hAnsi="宋体" w:cs="Times New Roman"/>
          <w:sz w:val="24"/>
          <w:szCs w:val="21"/>
        </w:rPr>
        <w:t>预算资金：699000.00元，最高限价：699000.00元；</w:t>
      </w:r>
    </w:p>
    <w:p>
      <w:pPr>
        <w:snapToGrid w:val="0"/>
        <w:spacing w:line="520" w:lineRule="exact"/>
        <w:rPr>
          <w:rStyle w:val="33"/>
          <w:rFonts w:ascii="宋体" w:hAnsi="宋体"/>
          <w:color w:val="auto"/>
          <w:sz w:val="24"/>
          <w:szCs w:val="21"/>
        </w:rPr>
      </w:pPr>
      <w:r>
        <w:rPr>
          <w:rStyle w:val="33"/>
          <w:rFonts w:ascii="宋体" w:hAnsi="宋体"/>
          <w:color w:val="auto"/>
          <w:sz w:val="24"/>
          <w:szCs w:val="21"/>
        </w:rPr>
        <w:t>4.资金来源：</w:t>
      </w:r>
      <w:r>
        <w:rPr>
          <w:rStyle w:val="33"/>
          <w:rFonts w:hint="eastAsia" w:ascii="宋体" w:hAnsi="宋体"/>
          <w:color w:val="auto"/>
          <w:sz w:val="24"/>
          <w:szCs w:val="21"/>
          <w:lang w:val="en-US" w:eastAsia="zh-CN"/>
        </w:rPr>
        <w:t>专项</w:t>
      </w:r>
      <w:r>
        <w:rPr>
          <w:rStyle w:val="33"/>
          <w:rFonts w:hint="eastAsia" w:ascii="宋体" w:hAnsi="宋体"/>
          <w:color w:val="auto"/>
          <w:sz w:val="24"/>
          <w:szCs w:val="21"/>
        </w:rPr>
        <w:t>资金</w:t>
      </w:r>
    </w:p>
    <w:p>
      <w:pPr>
        <w:snapToGrid w:val="0"/>
        <w:spacing w:line="560" w:lineRule="exact"/>
        <w:rPr>
          <w:rStyle w:val="33"/>
          <w:rFonts w:ascii="宋体" w:hAnsi="宋体" w:cs="Times New Roman"/>
          <w:color w:val="000000"/>
          <w:sz w:val="24"/>
          <w:szCs w:val="21"/>
        </w:rPr>
      </w:pPr>
      <w:r>
        <w:rPr>
          <w:rStyle w:val="33"/>
          <w:rFonts w:ascii="宋体" w:hAnsi="宋体"/>
          <w:sz w:val="24"/>
          <w:szCs w:val="21"/>
        </w:rPr>
        <w:t>5.采购需求</w:t>
      </w:r>
      <w:r>
        <w:rPr>
          <w:rStyle w:val="33"/>
          <w:rFonts w:ascii="宋体" w:hAnsi="宋体" w:cs="Times New Roman"/>
          <w:sz w:val="24"/>
          <w:szCs w:val="21"/>
        </w:rPr>
        <w:t>：</w:t>
      </w:r>
      <w:r>
        <w:rPr>
          <w:rStyle w:val="33"/>
          <w:rFonts w:hint="eastAsia" w:ascii="宋体" w:hAnsi="宋体" w:cs="Times New Roman"/>
          <w:sz w:val="24"/>
          <w:szCs w:val="21"/>
        </w:rPr>
        <w:t>警用服装</w:t>
      </w:r>
      <w:r>
        <w:rPr>
          <w:rFonts w:hint="eastAsia" w:ascii="宋体" w:hAnsi="宋体"/>
          <w:sz w:val="24"/>
          <w:szCs w:val="21"/>
        </w:rPr>
        <w:t>（详细服装、数量、具体参数及要求见招标文件）</w:t>
      </w:r>
      <w:r>
        <w:rPr>
          <w:rStyle w:val="33"/>
          <w:rFonts w:ascii="宋体" w:hAnsi="宋体" w:cs="Times New Roman"/>
          <w:color w:val="000000"/>
          <w:sz w:val="24"/>
          <w:szCs w:val="21"/>
        </w:rPr>
        <w:t>；</w:t>
      </w:r>
    </w:p>
    <w:p>
      <w:pPr>
        <w:snapToGrid w:val="0"/>
        <w:spacing w:line="400" w:lineRule="exact"/>
        <w:rPr>
          <w:rStyle w:val="33"/>
          <w:rFonts w:ascii="宋体" w:hAnsi="宋体"/>
          <w:color w:val="000000"/>
          <w:sz w:val="24"/>
          <w:szCs w:val="21"/>
        </w:rPr>
      </w:pPr>
      <w:r>
        <w:rPr>
          <w:rStyle w:val="33"/>
          <w:rFonts w:ascii="宋体" w:hAnsi="宋体"/>
          <w:color w:val="000000"/>
          <w:sz w:val="24"/>
          <w:szCs w:val="21"/>
        </w:rPr>
        <w:t>6.合同履行期限：根据采购人需求，以签订合同为准。</w:t>
      </w:r>
    </w:p>
    <w:p>
      <w:pPr>
        <w:snapToGrid w:val="0"/>
        <w:spacing w:line="400" w:lineRule="exact"/>
        <w:rPr>
          <w:rStyle w:val="33"/>
          <w:rFonts w:ascii="宋体" w:hAnsi="宋体"/>
          <w:color w:val="000000"/>
          <w:sz w:val="24"/>
          <w:szCs w:val="21"/>
        </w:rPr>
      </w:pPr>
      <w:r>
        <w:rPr>
          <w:rStyle w:val="33"/>
          <w:rFonts w:ascii="宋体" w:hAnsi="宋体"/>
          <w:color w:val="000000"/>
          <w:sz w:val="24"/>
          <w:szCs w:val="21"/>
        </w:rPr>
        <w:t>本项目不接受联合体投标。</w:t>
      </w:r>
    </w:p>
    <w:p>
      <w:pPr>
        <w:snapToGrid w:val="0"/>
        <w:spacing w:line="400" w:lineRule="exact"/>
        <w:rPr>
          <w:rStyle w:val="33"/>
          <w:rFonts w:ascii="宋体" w:hAnsi="宋体" w:cs="Times New Roman"/>
          <w:b/>
          <w:bCs/>
          <w:color w:val="000000"/>
          <w:sz w:val="24"/>
          <w:szCs w:val="21"/>
        </w:rPr>
      </w:pPr>
      <w:r>
        <w:rPr>
          <w:rStyle w:val="33"/>
          <w:rFonts w:ascii="宋体" w:hAnsi="宋体" w:cs="Times New Roman"/>
          <w:b/>
          <w:bCs/>
          <w:color w:val="000000"/>
          <w:sz w:val="24"/>
          <w:szCs w:val="21"/>
        </w:rPr>
        <w:t>二、申请人的资格要求：</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1.提供有效的营业执照；</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2.法定代表人证明或法定代表人授权委托书签字（章）并加盖公章；</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3.提供投标单位近三个月内（任意一个月）的社保证明；</w:t>
      </w:r>
    </w:p>
    <w:p>
      <w:pPr>
        <w:pStyle w:val="8"/>
        <w:ind w:left="0" w:leftChars="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4.近三个月所属期限内（任意一个月）依法缴纳税收的证明（税务部门出具的完税凭证或缴税证明或银行出具的“银行电子缴税付款证”）；</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5.良好的商业信誉和健全的财务会计制度证明材料（会计事务所出具的2022年或2023年的年度财务审计报告书；注册成立未满一年新公司可提供近三个月内任意一个月的银行资信证明）；</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6.提供投标单位按招标文件要求缴纳投标保证金的缴款凭证或金融机构、担保机构出具的保函；</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7.投标单位（供应商）其法人参加本次采购活动前三年内，在经营活动中没有重大违法记录的声明及对本次项目《反商业贿赂承诺书》；</w:t>
      </w:r>
    </w:p>
    <w:p>
      <w:pPr>
        <w:pStyle w:val="20"/>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8.本项目不接受联合体投标。</w:t>
      </w:r>
    </w:p>
    <w:p>
      <w:pPr>
        <w:snapToGrid w:val="0"/>
        <w:spacing w:line="240" w:lineRule="atLeast"/>
        <w:rPr>
          <w:rStyle w:val="33"/>
          <w:rFonts w:ascii="宋体" w:hAnsi="宋体" w:eastAsia="宋体" w:cstheme="minorBidi"/>
          <w:color w:val="000000"/>
          <w:kern w:val="2"/>
          <w:sz w:val="24"/>
          <w:szCs w:val="21"/>
          <w:lang w:val="en-US" w:eastAsia="zh-CN" w:bidi="ar-SA"/>
        </w:rPr>
      </w:pPr>
      <w:r>
        <w:rPr>
          <w:rStyle w:val="33"/>
          <w:rFonts w:hint="eastAsia" w:ascii="宋体" w:hAnsi="宋体" w:eastAsia="宋体" w:cstheme="minorBidi"/>
          <w:color w:val="000000"/>
          <w:kern w:val="2"/>
          <w:sz w:val="24"/>
          <w:szCs w:val="21"/>
          <w:lang w:val="en-US" w:eastAsia="zh-CN" w:bidi="ar-SA"/>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pPr>
        <w:snapToGrid w:val="0"/>
        <w:spacing w:line="400" w:lineRule="exact"/>
        <w:rPr>
          <w:rStyle w:val="33"/>
          <w:rFonts w:ascii="宋体" w:hAnsi="宋体" w:cs="Times New Roman"/>
          <w:b/>
          <w:bCs/>
          <w:sz w:val="24"/>
          <w:szCs w:val="21"/>
        </w:rPr>
      </w:pPr>
      <w:r>
        <w:rPr>
          <w:rStyle w:val="33"/>
          <w:rFonts w:ascii="宋体" w:hAnsi="宋体" w:cs="Times New Roman"/>
          <w:b/>
          <w:bCs/>
          <w:sz w:val="24"/>
          <w:szCs w:val="21"/>
        </w:rPr>
        <w:t>三、获取招标文件</w:t>
      </w:r>
    </w:p>
    <w:p>
      <w:pPr>
        <w:jc w:val="left"/>
        <w:rPr>
          <w:rFonts w:ascii="宋体" w:hAnsi="宋体" w:cs="Times New Roman"/>
          <w:sz w:val="24"/>
          <w:szCs w:val="21"/>
          <w:highlight w:val="yellow"/>
        </w:rPr>
      </w:pPr>
      <w:r>
        <w:rPr>
          <w:rFonts w:hint="eastAsia" w:ascii="宋体" w:hAnsi="宋体" w:cs="Times New Roman"/>
          <w:sz w:val="24"/>
          <w:szCs w:val="21"/>
          <w:highlight w:val="yellow"/>
        </w:rPr>
        <w:t>获取时间：2024年</w:t>
      </w:r>
      <w:r>
        <w:rPr>
          <w:rFonts w:hint="eastAsia" w:ascii="宋体" w:hAnsi="宋体" w:cs="Times New Roman"/>
          <w:sz w:val="24"/>
          <w:szCs w:val="21"/>
          <w:highlight w:val="yellow"/>
          <w:lang w:val="en-US" w:eastAsia="zh-CN"/>
        </w:rPr>
        <w:t>6</w:t>
      </w:r>
      <w:r>
        <w:rPr>
          <w:rFonts w:hint="eastAsia" w:ascii="宋体" w:hAnsi="宋体" w:cs="Times New Roman"/>
          <w:sz w:val="24"/>
          <w:szCs w:val="21"/>
          <w:highlight w:val="yellow"/>
        </w:rPr>
        <w:t>月</w:t>
      </w:r>
      <w:r>
        <w:rPr>
          <w:rFonts w:hint="eastAsia" w:ascii="宋体" w:hAnsi="宋体" w:cs="Times New Roman"/>
          <w:sz w:val="24"/>
          <w:szCs w:val="21"/>
          <w:highlight w:val="yellow"/>
          <w:lang w:val="en-US" w:eastAsia="zh-CN"/>
        </w:rPr>
        <w:t>26</w:t>
      </w:r>
      <w:r>
        <w:rPr>
          <w:rFonts w:hint="eastAsia" w:ascii="宋体" w:hAnsi="宋体" w:cs="Times New Roman"/>
          <w:sz w:val="24"/>
          <w:szCs w:val="21"/>
          <w:highlight w:val="yellow"/>
        </w:rPr>
        <w:t>日至2024年</w:t>
      </w:r>
      <w:r>
        <w:rPr>
          <w:rFonts w:hint="eastAsia" w:ascii="宋体" w:hAnsi="宋体" w:cs="Times New Roman"/>
          <w:sz w:val="24"/>
          <w:szCs w:val="21"/>
          <w:highlight w:val="yellow"/>
          <w:lang w:val="en-US" w:eastAsia="zh-CN"/>
        </w:rPr>
        <w:t>7</w:t>
      </w:r>
      <w:r>
        <w:rPr>
          <w:rFonts w:hint="eastAsia" w:ascii="宋体" w:hAnsi="宋体" w:cs="Times New Roman"/>
          <w:sz w:val="24"/>
          <w:szCs w:val="21"/>
          <w:highlight w:val="yellow"/>
        </w:rPr>
        <w:t>月</w:t>
      </w:r>
      <w:r>
        <w:rPr>
          <w:rFonts w:hint="eastAsia" w:ascii="宋体" w:hAnsi="宋体" w:cs="Times New Roman"/>
          <w:sz w:val="24"/>
          <w:szCs w:val="21"/>
          <w:highlight w:val="yellow"/>
          <w:lang w:val="en-US" w:eastAsia="zh-CN"/>
        </w:rPr>
        <w:t>3</w:t>
      </w:r>
      <w:r>
        <w:rPr>
          <w:rFonts w:hint="eastAsia" w:ascii="宋体" w:hAnsi="宋体" w:cs="Times New Roman"/>
          <w:sz w:val="24"/>
          <w:szCs w:val="21"/>
          <w:highlight w:val="yellow"/>
        </w:rPr>
        <w:t>日，每天上午 10:00 至 14:00，下午 16:00 至 20:00（北京时间，法定节假日除外）。</w:t>
      </w:r>
    </w:p>
    <w:p>
      <w:pPr>
        <w:spacing w:line="500" w:lineRule="exact"/>
        <w:rPr>
          <w:rFonts w:ascii="宋体" w:hAnsi="宋体"/>
          <w:szCs w:val="21"/>
        </w:rPr>
      </w:pPr>
      <w:r>
        <w:rPr>
          <w:rFonts w:hint="eastAsia" w:ascii="宋体" w:hAnsi="宋体" w:cs="Times New Roman"/>
          <w:sz w:val="24"/>
          <w:szCs w:val="21"/>
        </w:rPr>
        <w:t>获取地点：新疆政府采购网</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获取方式：供应商登陆政采云平台 http://www.zcygov.cn/，在线获取招标文件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（登录政府采购云平台→ 项目采购 → 获取招标文件，通过后可下载招标文件，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如有操作性问题，可与政采云在线客服进行咨询，咨询电话：</w:t>
      </w:r>
      <w:r>
        <w:rPr>
          <w:rFonts w:ascii="微软雅黑" w:hAnsi="微软雅黑" w:eastAsia="微软雅黑" w:cs="微软雅黑"/>
          <w:color w:val="333333"/>
          <w:szCs w:val="21"/>
          <w:shd w:val="clear" w:color="auto" w:fill="FFFFFF"/>
        </w:rPr>
        <w:t>95763</w:t>
      </w:r>
      <w:r>
        <w:rPr>
          <w:rFonts w:hint="eastAsia" w:ascii="宋体" w:hAnsi="宋体" w:cs="Times New Roman"/>
          <w:color w:val="000000"/>
          <w:sz w:val="24"/>
          <w:szCs w:val="21"/>
        </w:rPr>
        <w:t>）</w:t>
      </w:r>
    </w:p>
    <w:p>
      <w:pPr>
        <w:spacing w:line="500" w:lineRule="exact"/>
        <w:rPr>
          <w:rFonts w:ascii="宋体" w:hAnsi="宋体" w:cs="Times New Roman"/>
          <w:color w:val="000000"/>
          <w:sz w:val="24"/>
          <w:szCs w:val="21"/>
        </w:rPr>
      </w:pPr>
      <w:r>
        <w:rPr>
          <w:rFonts w:hint="eastAsia" w:ascii="宋体" w:hAnsi="宋体" w:cs="Times New Roman"/>
          <w:color w:val="000000"/>
          <w:sz w:val="24"/>
          <w:szCs w:val="21"/>
        </w:rPr>
        <w:t>售价：0元</w:t>
      </w:r>
    </w:p>
    <w:p>
      <w:pPr>
        <w:snapToGrid w:val="0"/>
        <w:spacing w:line="400" w:lineRule="exact"/>
        <w:rPr>
          <w:rStyle w:val="33"/>
          <w:rFonts w:ascii="宋体" w:hAnsi="宋体" w:cs="Times New Roman"/>
          <w:b/>
          <w:bCs/>
          <w:sz w:val="30"/>
          <w:szCs w:val="30"/>
        </w:rPr>
      </w:pPr>
      <w:r>
        <w:rPr>
          <w:rStyle w:val="33"/>
          <w:rFonts w:ascii="宋体" w:hAnsi="宋体" w:cs="Times New Roman"/>
          <w:b/>
          <w:bCs/>
          <w:color w:val="000000"/>
          <w:sz w:val="24"/>
          <w:szCs w:val="21"/>
        </w:rPr>
        <w:t>四、提交投标文件截</w:t>
      </w:r>
      <w:r>
        <w:rPr>
          <w:rStyle w:val="33"/>
          <w:rFonts w:ascii="宋体" w:hAnsi="宋体" w:cs="Times New Roman"/>
          <w:b/>
          <w:bCs/>
          <w:sz w:val="24"/>
          <w:szCs w:val="21"/>
        </w:rPr>
        <w:t>止时间、开标时间和地点</w:t>
      </w:r>
    </w:p>
    <w:p>
      <w:pPr>
        <w:widowControl w:val="0"/>
        <w:spacing w:line="400" w:lineRule="exact"/>
        <w:textAlignment w:val="auto"/>
        <w:rPr>
          <w:rFonts w:ascii="宋体" w:hAnsi="宋体" w:cs="Times New Roman"/>
          <w:sz w:val="24"/>
          <w:szCs w:val="21"/>
          <w:highlight w:val="yellow"/>
        </w:rPr>
      </w:pPr>
      <w:r>
        <w:rPr>
          <w:rFonts w:hint="eastAsia" w:ascii="宋体" w:hAnsi="宋体" w:cs="Times New Roman"/>
          <w:sz w:val="24"/>
          <w:szCs w:val="21"/>
        </w:rPr>
        <w:t>提交投标文件截止时间：</w:t>
      </w:r>
      <w:r>
        <w:rPr>
          <w:rFonts w:hint="eastAsia" w:ascii="宋体" w:hAnsi="宋体" w:cs="Times New Roman"/>
          <w:sz w:val="24"/>
          <w:szCs w:val="21"/>
          <w:highlight w:val="yellow"/>
        </w:rPr>
        <w:t>2024年7月</w:t>
      </w:r>
      <w:r>
        <w:rPr>
          <w:rFonts w:hint="eastAsia" w:ascii="宋体" w:hAnsi="宋体" w:cs="Times New Roman"/>
          <w:sz w:val="24"/>
          <w:szCs w:val="21"/>
          <w:highlight w:val="yellow"/>
          <w:lang w:val="en-US" w:eastAsia="zh-CN"/>
        </w:rPr>
        <w:t>17</w:t>
      </w:r>
      <w:r>
        <w:rPr>
          <w:rFonts w:hint="eastAsia" w:ascii="宋体" w:hAnsi="宋体" w:cs="Times New Roman"/>
          <w:sz w:val="24"/>
          <w:szCs w:val="21"/>
          <w:highlight w:val="yellow"/>
        </w:rPr>
        <w:t>日11时00分（北京时间）</w:t>
      </w:r>
    </w:p>
    <w:p>
      <w:pPr>
        <w:widowControl w:val="0"/>
        <w:spacing w:line="400" w:lineRule="exact"/>
        <w:textAlignment w:val="auto"/>
        <w:rPr>
          <w:rFonts w:ascii="宋体" w:hAnsi="宋体" w:cs="Times New Roman"/>
          <w:sz w:val="24"/>
          <w:szCs w:val="21"/>
        </w:rPr>
      </w:pPr>
      <w:r>
        <w:rPr>
          <w:rFonts w:hint="eastAsia" w:ascii="宋体" w:hAnsi="宋体" w:cs="Times New Roman"/>
          <w:sz w:val="24"/>
          <w:szCs w:val="21"/>
        </w:rPr>
        <w:t xml:space="preserve">投标地点：政采云平台（https://login.zcygov.cn/user-login/#/login） </w:t>
      </w:r>
    </w:p>
    <w:p>
      <w:pPr>
        <w:widowControl w:val="0"/>
        <w:spacing w:line="400" w:lineRule="exact"/>
        <w:textAlignment w:val="auto"/>
        <w:rPr>
          <w:rFonts w:ascii="宋体" w:hAnsi="宋体" w:cs="Times New Roman"/>
          <w:sz w:val="24"/>
          <w:szCs w:val="21"/>
        </w:rPr>
      </w:pPr>
      <w:r>
        <w:rPr>
          <w:rFonts w:hint="eastAsia" w:ascii="宋体" w:hAnsi="宋体" w:cs="Times New Roman"/>
          <w:sz w:val="24"/>
          <w:szCs w:val="21"/>
        </w:rPr>
        <w:t>开标时间：</w:t>
      </w:r>
      <w:r>
        <w:rPr>
          <w:rFonts w:hint="eastAsia" w:ascii="宋体" w:hAnsi="宋体" w:cs="Times New Roman"/>
          <w:sz w:val="24"/>
          <w:szCs w:val="21"/>
          <w:highlight w:val="yellow"/>
        </w:rPr>
        <w:t>2024年7月</w:t>
      </w:r>
      <w:r>
        <w:rPr>
          <w:rFonts w:hint="eastAsia" w:ascii="宋体" w:hAnsi="宋体" w:cs="Times New Roman"/>
          <w:sz w:val="24"/>
          <w:szCs w:val="21"/>
          <w:highlight w:val="yellow"/>
          <w:lang w:val="en-US" w:eastAsia="zh-CN"/>
        </w:rPr>
        <w:t>17</w:t>
      </w:r>
      <w:r>
        <w:rPr>
          <w:rFonts w:hint="eastAsia" w:ascii="宋体" w:hAnsi="宋体" w:cs="Times New Roman"/>
          <w:sz w:val="24"/>
          <w:szCs w:val="21"/>
          <w:highlight w:val="yellow"/>
        </w:rPr>
        <w:t>日11时00分（北京时间）</w:t>
      </w:r>
      <w:r>
        <w:rPr>
          <w:rFonts w:hint="eastAsia" w:ascii="宋体" w:hAnsi="宋体" w:cs="Times New Roman"/>
          <w:sz w:val="24"/>
          <w:szCs w:val="21"/>
        </w:rPr>
        <w:t xml:space="preserve">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开标地点：政采云平台（https://login.zcygov.cn/user-login/#/login） </w:t>
      </w:r>
    </w:p>
    <w:p>
      <w:pPr>
        <w:snapToGrid w:val="0"/>
        <w:spacing w:line="400" w:lineRule="exact"/>
        <w:rPr>
          <w:rStyle w:val="33"/>
          <w:rFonts w:ascii="宋体" w:hAnsi="宋体" w:cs="Times New Roman"/>
          <w:b/>
          <w:bCs/>
          <w:color w:val="000000"/>
          <w:sz w:val="24"/>
          <w:szCs w:val="21"/>
        </w:rPr>
      </w:pPr>
      <w:r>
        <w:rPr>
          <w:rStyle w:val="33"/>
          <w:rFonts w:ascii="宋体" w:hAnsi="宋体" w:cs="Times New Roman"/>
          <w:b/>
          <w:bCs/>
          <w:color w:val="000000"/>
          <w:sz w:val="24"/>
          <w:szCs w:val="21"/>
        </w:rPr>
        <w:t>五、公告期限</w:t>
      </w:r>
    </w:p>
    <w:p>
      <w:pPr>
        <w:snapToGrid w:val="0"/>
        <w:spacing w:line="400" w:lineRule="exact"/>
      </w:pPr>
      <w:r>
        <w:rPr>
          <w:rStyle w:val="33"/>
          <w:rFonts w:ascii="宋体" w:hAnsi="宋体"/>
          <w:sz w:val="24"/>
          <w:szCs w:val="21"/>
        </w:rPr>
        <w:t>自本公告发布之日起5个工作日。</w:t>
      </w:r>
    </w:p>
    <w:p>
      <w:pPr>
        <w:numPr>
          <w:ilvl w:val="0"/>
          <w:numId w:val="9"/>
        </w:numPr>
        <w:snapToGrid w:val="0"/>
        <w:spacing w:line="400" w:lineRule="exact"/>
        <w:rPr>
          <w:rStyle w:val="33"/>
          <w:rFonts w:ascii="宋体" w:hAnsi="宋体"/>
          <w:color w:val="000000"/>
          <w:sz w:val="24"/>
          <w:szCs w:val="21"/>
        </w:rPr>
      </w:pPr>
      <w:r>
        <w:rPr>
          <w:rStyle w:val="33"/>
          <w:rFonts w:ascii="宋体" w:hAnsi="宋体" w:cs="Times New Roman"/>
          <w:b/>
          <w:bCs/>
          <w:color w:val="000000"/>
          <w:sz w:val="24"/>
          <w:szCs w:val="21"/>
        </w:rPr>
        <w:t>其他补充事宜</w:t>
      </w:r>
      <w:r>
        <w:rPr>
          <w:rStyle w:val="33"/>
          <w:rFonts w:ascii="宋体" w:hAnsi="宋体"/>
          <w:color w:val="000000"/>
          <w:sz w:val="24"/>
          <w:szCs w:val="21"/>
        </w:rPr>
        <w:t>：</w:t>
      </w:r>
    </w:p>
    <w:p>
      <w:pPr>
        <w:numPr>
          <w:ilvl w:val="0"/>
          <w:numId w:val="10"/>
        </w:numPr>
        <w:snapToGrid w:val="0"/>
        <w:spacing w:line="400" w:lineRule="exact"/>
        <w:ind w:firstLine="480" w:firstLineChars="200"/>
        <w:rPr>
          <w:rStyle w:val="33"/>
          <w:rFonts w:ascii="宋体" w:hAnsi="宋体"/>
          <w:color w:val="000000"/>
          <w:sz w:val="24"/>
          <w:szCs w:val="21"/>
        </w:rPr>
      </w:pPr>
      <w:r>
        <w:rPr>
          <w:rStyle w:val="33"/>
          <w:rFonts w:ascii="宋体" w:hAnsi="宋体"/>
          <w:color w:val="000000"/>
          <w:sz w:val="24"/>
          <w:szCs w:val="21"/>
        </w:rPr>
        <w:t>本</w:t>
      </w:r>
      <w:r>
        <w:rPr>
          <w:rStyle w:val="33"/>
          <w:rFonts w:ascii="宋体" w:hAnsi="宋体"/>
          <w:sz w:val="24"/>
          <w:szCs w:val="21"/>
        </w:rPr>
        <w:t>项目公告期限为5个工作日</w:t>
      </w:r>
      <w:r>
        <w:rPr>
          <w:rStyle w:val="33"/>
          <w:rFonts w:ascii="宋体" w:hAnsi="宋体"/>
          <w:color w:val="000000"/>
          <w:sz w:val="24"/>
          <w:szCs w:val="21"/>
        </w:rPr>
        <w:t>，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9"/>
        </w:numPr>
        <w:snapToGrid w:val="0"/>
        <w:spacing w:line="400" w:lineRule="exact"/>
        <w:rPr>
          <w:rStyle w:val="33"/>
        </w:rPr>
      </w:pPr>
      <w:r>
        <w:rPr>
          <w:rStyle w:val="33"/>
          <w:rFonts w:ascii="宋体" w:hAnsi="宋体" w:cs="Times New Roman"/>
          <w:b/>
          <w:bCs/>
          <w:color w:val="000000"/>
          <w:sz w:val="24"/>
          <w:szCs w:val="21"/>
        </w:rPr>
        <w:t>对本次招标提出询问，请按以下方式联系。</w:t>
      </w:r>
    </w:p>
    <w:p>
      <w:pPr>
        <w:snapToGrid w:val="0"/>
        <w:spacing w:line="400" w:lineRule="exact"/>
        <w:rPr>
          <w:rStyle w:val="33"/>
          <w:rFonts w:ascii="宋体" w:hAnsi="宋体" w:cs="Times New Roman"/>
          <w:b/>
          <w:bCs/>
          <w:color w:val="auto"/>
          <w:sz w:val="24"/>
          <w:szCs w:val="21"/>
        </w:rPr>
      </w:pPr>
      <w:r>
        <w:rPr>
          <w:rStyle w:val="33"/>
          <w:rFonts w:ascii="宋体" w:hAnsi="宋体" w:cs="Times New Roman"/>
          <w:b/>
          <w:bCs/>
          <w:color w:val="000000"/>
          <w:sz w:val="24"/>
          <w:szCs w:val="21"/>
        </w:rPr>
        <w:t>1.</w:t>
      </w:r>
      <w:r>
        <w:rPr>
          <w:rStyle w:val="33"/>
          <w:rFonts w:ascii="宋体" w:hAnsi="宋体" w:cs="Times New Roman"/>
          <w:b/>
          <w:bCs/>
          <w:color w:val="auto"/>
          <w:sz w:val="24"/>
          <w:szCs w:val="21"/>
        </w:rPr>
        <w:t>采购人信息</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名 称：</w:t>
      </w:r>
      <w:r>
        <w:rPr>
          <w:rFonts w:hint="eastAsia" w:ascii="宋体" w:hAnsi="宋体" w:cs="宋体"/>
          <w:color w:val="auto"/>
          <w:sz w:val="24"/>
        </w:rPr>
        <w:t>伽师县公安局　</w:t>
      </w:r>
      <w:r>
        <w:rPr>
          <w:rFonts w:hint="eastAsia" w:ascii="宋体" w:hAnsi="宋体"/>
          <w:color w:val="auto"/>
          <w:sz w:val="24"/>
          <w:szCs w:val="21"/>
        </w:rPr>
        <w:t>　　　　</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地址：伽师县　　</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联系人：</w:t>
      </w:r>
      <w:r>
        <w:rPr>
          <w:rFonts w:hint="eastAsia" w:ascii="宋体" w:hAnsi="宋体"/>
          <w:color w:val="auto"/>
          <w:sz w:val="24"/>
          <w:szCs w:val="21"/>
          <w:lang w:val="en-US" w:eastAsia="zh-CN"/>
        </w:rPr>
        <w:t>王先生</w:t>
      </w:r>
      <w:r>
        <w:rPr>
          <w:rFonts w:hint="eastAsia" w:ascii="宋体" w:hAnsi="宋体"/>
          <w:color w:val="auto"/>
          <w:sz w:val="24"/>
          <w:szCs w:val="21"/>
        </w:rPr>
        <w:t>　　　　　　　　</w:t>
      </w:r>
    </w:p>
    <w:p>
      <w:pPr>
        <w:snapToGrid w:val="0"/>
        <w:spacing w:line="400" w:lineRule="exact"/>
        <w:rPr>
          <w:rStyle w:val="33"/>
          <w:rFonts w:ascii="宋体" w:hAnsi="宋体"/>
          <w:color w:val="auto"/>
          <w:sz w:val="24"/>
          <w:szCs w:val="21"/>
        </w:rPr>
      </w:pPr>
      <w:r>
        <w:rPr>
          <w:rFonts w:hint="eastAsia" w:ascii="宋体" w:hAnsi="宋体"/>
          <w:color w:val="auto"/>
          <w:sz w:val="24"/>
          <w:szCs w:val="21"/>
        </w:rPr>
        <w:t>联系方式：</w:t>
      </w:r>
      <w:r>
        <w:rPr>
          <w:rFonts w:hint="eastAsia" w:ascii="宋体" w:hAnsi="宋体"/>
          <w:color w:val="auto"/>
          <w:sz w:val="24"/>
          <w:szCs w:val="21"/>
          <w:lang w:val="en-US" w:eastAsia="zh-CN"/>
        </w:rPr>
        <w:t>19009987666</w:t>
      </w:r>
      <w:r>
        <w:rPr>
          <w:rStyle w:val="33"/>
          <w:rFonts w:ascii="宋体" w:hAnsi="宋体"/>
          <w:color w:val="auto"/>
          <w:sz w:val="24"/>
          <w:szCs w:val="21"/>
        </w:rPr>
        <w:t xml:space="preserve">　　 </w:t>
      </w:r>
    </w:p>
    <w:p>
      <w:pPr>
        <w:widowControl w:val="0"/>
        <w:spacing w:line="400" w:lineRule="exact"/>
        <w:textAlignment w:val="auto"/>
        <w:rPr>
          <w:rFonts w:ascii="宋体" w:hAnsi="宋体"/>
          <w:b/>
          <w:bCs/>
          <w:color w:val="auto"/>
          <w:sz w:val="24"/>
          <w:szCs w:val="21"/>
        </w:rPr>
      </w:pPr>
      <w:r>
        <w:rPr>
          <w:rFonts w:hint="eastAsia" w:ascii="宋体" w:hAnsi="宋体"/>
          <w:b/>
          <w:bCs/>
          <w:color w:val="auto"/>
          <w:sz w:val="24"/>
          <w:szCs w:val="21"/>
        </w:rPr>
        <w:t>2.采购代理机构信息</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名 称：伽师县政府采购中心　</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地　址：伽师县行政审批局四楼（伽师县花园路3号）　</w:t>
      </w:r>
    </w:p>
    <w:p>
      <w:pPr>
        <w:widowControl w:val="0"/>
        <w:spacing w:line="400" w:lineRule="exact"/>
        <w:textAlignment w:val="auto"/>
        <w:rPr>
          <w:rFonts w:ascii="宋体" w:hAnsi="宋体"/>
          <w:color w:val="auto"/>
          <w:sz w:val="24"/>
          <w:szCs w:val="21"/>
        </w:rPr>
      </w:pPr>
      <w:r>
        <w:rPr>
          <w:rFonts w:hint="eastAsia" w:ascii="宋体" w:hAnsi="宋体"/>
          <w:color w:val="auto"/>
          <w:sz w:val="24"/>
          <w:szCs w:val="21"/>
        </w:rPr>
        <w:t>项目联系人：陈雪、依明江</w:t>
      </w:r>
    </w:p>
    <w:p>
      <w:pPr>
        <w:widowControl w:val="0"/>
        <w:spacing w:line="400" w:lineRule="exact"/>
        <w:textAlignment w:val="auto"/>
        <w:rPr>
          <w:rFonts w:ascii="仿宋_GB2312" w:hAnsi="宋体" w:eastAsia="仿宋_GB2312"/>
          <w:color w:val="auto"/>
          <w:sz w:val="24"/>
        </w:rPr>
      </w:pPr>
      <w:r>
        <w:rPr>
          <w:rFonts w:hint="eastAsia" w:ascii="宋体" w:hAnsi="宋体"/>
          <w:color w:val="auto"/>
          <w:sz w:val="24"/>
          <w:szCs w:val="21"/>
        </w:rPr>
        <w:t>联系方式：0998-5713206</w:t>
      </w:r>
      <w:r>
        <w:rPr>
          <w:rFonts w:hint="eastAsia" w:ascii="仿宋_GB2312" w:hAnsi="宋体" w:eastAsia="仿宋_GB2312"/>
          <w:color w:val="auto"/>
          <w:sz w:val="24"/>
        </w:rPr>
        <w:t>　</w:t>
      </w:r>
    </w:p>
    <w:p>
      <w:pPr>
        <w:widowControl w:val="0"/>
        <w:spacing w:line="400" w:lineRule="exact"/>
        <w:textAlignment w:val="auto"/>
        <w:rPr>
          <w:rFonts w:ascii="宋体" w:hAnsi="宋体"/>
          <w:color w:val="000000"/>
          <w:sz w:val="24"/>
          <w:szCs w:val="21"/>
        </w:rPr>
      </w:pPr>
      <w:r>
        <w:rPr>
          <w:rFonts w:hint="eastAsia" w:ascii="宋体" w:hAnsi="宋体"/>
          <w:color w:val="auto"/>
          <w:sz w:val="24"/>
          <w:szCs w:val="21"/>
        </w:rPr>
        <w:t>3.同级政府采购监督管理部门名称</w:t>
      </w:r>
      <w:r>
        <w:rPr>
          <w:rFonts w:hint="eastAsia" w:ascii="宋体" w:hAnsi="宋体"/>
          <w:color w:val="000000"/>
          <w:sz w:val="24"/>
          <w:szCs w:val="21"/>
        </w:rPr>
        <w:t>:伽师县政府采购办</w:t>
      </w:r>
    </w:p>
    <w:p>
      <w:pPr>
        <w:widowControl w:val="0"/>
        <w:spacing w:line="400" w:lineRule="exact"/>
        <w:textAlignment w:val="auto"/>
        <w:rPr>
          <w:rFonts w:hint="eastAsia" w:ascii="宋体" w:hAnsi="宋体"/>
          <w:color w:val="000000"/>
          <w:sz w:val="24"/>
          <w:szCs w:val="21"/>
        </w:rPr>
      </w:pPr>
      <w:r>
        <w:rPr>
          <w:rFonts w:hint="eastAsia" w:ascii="宋体" w:hAnsi="宋体"/>
          <w:color w:val="000000"/>
          <w:sz w:val="24"/>
          <w:szCs w:val="21"/>
        </w:rPr>
        <w:t>联系人：阿依努尔</w:t>
      </w:r>
    </w:p>
    <w:p>
      <w:pPr>
        <w:widowControl w:val="0"/>
        <w:spacing w:line="400" w:lineRule="exact"/>
        <w:textAlignment w:val="auto"/>
      </w:pPr>
      <w:r>
        <w:rPr>
          <w:rFonts w:hint="eastAsia" w:hAnsi="宋体"/>
          <w:b w:val="0"/>
          <w:color w:val="000000"/>
          <w:kern w:val="2"/>
          <w:sz w:val="24"/>
          <w:szCs w:val="21"/>
        </w:rPr>
        <w:t>监督投诉电话：15384946619</w:t>
      </w:r>
      <w:bookmarkStart w:id="926" w:name="_Toc11602"/>
    </w:p>
    <w:p/>
    <w:p>
      <w:pPr>
        <w:pStyle w:val="7"/>
        <w:ind w:firstLine="0"/>
      </w:pPr>
    </w:p>
    <w:p>
      <w:pPr>
        <w:pStyle w:val="4"/>
        <w:tabs>
          <w:tab w:val="left" w:pos="0"/>
        </w:tabs>
        <w:snapToGrid w:val="0"/>
        <w:spacing w:before="0" w:after="0" w:line="240" w:lineRule="atLeast"/>
        <w:rPr>
          <w:rStyle w:val="33"/>
          <w:rFonts w:ascii="仿宋_GB2312" w:hAnsi="仿宋_GB2312" w:eastAsia="仿宋_GB2312"/>
          <w:sz w:val="36"/>
          <w:szCs w:val="36"/>
        </w:rPr>
      </w:pPr>
      <w:r>
        <w:rPr>
          <w:rFonts w:hint="eastAsia" w:ascii="仿宋_GB2312" w:hAnsi="仿宋_GB2312" w:eastAsia="仿宋_GB2312" w:cs="仿宋_GB2312"/>
          <w:sz w:val="44"/>
          <w:szCs w:val="44"/>
        </w:rPr>
        <w:t>第四章  投标人须知资料表</w:t>
      </w:r>
      <w:bookmarkEnd w:id="926"/>
    </w:p>
    <w:p>
      <w:pPr>
        <w:snapToGrid w:val="0"/>
        <w:spacing w:line="240" w:lineRule="atLeast"/>
        <w:ind w:firstLine="360" w:firstLineChars="150"/>
        <w:rPr>
          <w:rStyle w:val="33"/>
          <w:rFonts w:ascii="仿宋_GB2312" w:hAnsi="仿宋_GB2312" w:eastAsia="仿宋_GB2312"/>
          <w:sz w:val="24"/>
        </w:rPr>
      </w:pPr>
      <w:r>
        <w:rPr>
          <w:rStyle w:val="33"/>
          <w:rFonts w:ascii="仿宋_GB2312" w:hAnsi="仿宋_GB2312" w:eastAsia="仿宋_GB2312"/>
          <w:sz w:val="24"/>
        </w:rPr>
        <w:t xml:space="preserve"> 本表是本招标项目的具体资料，是对投标人须知的具体补充和修改，如有矛盾，应以本资料表为准。</w:t>
      </w:r>
    </w:p>
    <w:tbl>
      <w:tblPr>
        <w:tblStyle w:val="24"/>
        <w:tblW w:w="8453"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72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spacing w:line="240" w:lineRule="atLeast"/>
              <w:ind w:firstLine="240" w:firstLineChars="100"/>
              <w:rPr>
                <w:rStyle w:val="33"/>
                <w:rFonts w:ascii="仿宋_GB2312" w:hAnsi="仿宋_GB2312" w:eastAsia="仿宋_GB2312"/>
                <w:sz w:val="24"/>
              </w:rPr>
            </w:pPr>
            <w:r>
              <w:rPr>
                <w:rStyle w:val="33"/>
                <w:rFonts w:ascii="仿宋_GB2312" w:hAnsi="仿宋_GB2312" w:eastAsia="仿宋_GB2312"/>
                <w:sz w:val="24"/>
              </w:rPr>
              <w:t>条款号</w:t>
            </w:r>
          </w:p>
        </w:tc>
        <w:tc>
          <w:tcPr>
            <w:tcW w:w="7222" w:type="dxa"/>
            <w:tcBorders>
              <w:top w:val="single" w:color="000000" w:sz="12" w:space="0"/>
              <w:left w:val="single" w:color="000000" w:sz="6" w:space="0"/>
              <w:bottom w:val="single" w:color="000000" w:sz="6" w:space="0"/>
              <w:right w:val="single" w:color="000000" w:sz="12" w:space="0"/>
            </w:tcBorders>
            <w:vAlign w:val="center"/>
          </w:tcPr>
          <w:p>
            <w:pPr>
              <w:snapToGrid w:val="0"/>
              <w:spacing w:line="240" w:lineRule="atLeast"/>
              <w:ind w:left="1080" w:leftChars="257" w:hanging="540"/>
              <w:jc w:val="center"/>
              <w:rPr>
                <w:rStyle w:val="33"/>
                <w:rFonts w:ascii="仿宋_GB2312" w:hAnsi="仿宋_GB2312" w:eastAsia="仿宋_GB2312"/>
                <w:b/>
                <w:sz w:val="24"/>
              </w:rPr>
            </w:pPr>
            <w:r>
              <w:rPr>
                <w:rStyle w:val="33"/>
                <w:rFonts w:ascii="仿宋_GB2312" w:hAnsi="仿宋_GB2312" w:eastAsia="仿宋_GB2312"/>
                <w:b/>
                <w:sz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rPr>
                <w:rStyle w:val="33"/>
                <w:rFonts w:ascii="仿宋_GB2312" w:hAnsi="仿宋_GB2312" w:eastAsia="仿宋_GB2312"/>
                <w:color w:val="auto"/>
                <w:sz w:val="24"/>
              </w:rPr>
            </w:pPr>
            <w:r>
              <w:rPr>
                <w:rStyle w:val="33"/>
                <w:rFonts w:hint="eastAsia" w:ascii="仿宋_GB2312" w:hAnsi="仿宋_GB2312" w:eastAsia="仿宋_GB2312"/>
                <w:color w:val="auto"/>
                <w:sz w:val="24"/>
              </w:rPr>
              <w:t>采购人：伽师县公安局</w:t>
            </w:r>
          </w:p>
          <w:p>
            <w:pPr>
              <w:snapToGrid w:val="0"/>
              <w:rPr>
                <w:rStyle w:val="33"/>
                <w:rFonts w:hint="default" w:ascii="仿宋_GB2312" w:hAnsi="仿宋_GB2312" w:eastAsia="仿宋_GB2312"/>
                <w:sz w:val="24"/>
                <w:lang w:val="en-US" w:eastAsia="zh-CN"/>
              </w:rPr>
            </w:pPr>
            <w:r>
              <w:rPr>
                <w:rStyle w:val="33"/>
                <w:rFonts w:hint="eastAsia" w:ascii="仿宋_GB2312" w:hAnsi="仿宋_GB2312" w:eastAsia="仿宋_GB2312"/>
                <w:color w:val="auto"/>
                <w:sz w:val="24"/>
              </w:rPr>
              <w:t>联系人：</w:t>
            </w:r>
            <w:r>
              <w:rPr>
                <w:rStyle w:val="33"/>
                <w:rFonts w:hint="eastAsia" w:ascii="仿宋_GB2312" w:hAnsi="仿宋_GB2312" w:eastAsia="仿宋_GB2312"/>
                <w:color w:val="auto"/>
                <w:sz w:val="24"/>
                <w:lang w:val="en-US" w:eastAsia="zh-CN"/>
              </w:rPr>
              <w:t>王先生</w:t>
            </w:r>
            <w:r>
              <w:rPr>
                <w:rStyle w:val="33"/>
                <w:rFonts w:hint="eastAsia" w:ascii="仿宋_GB2312" w:hAnsi="仿宋_GB2312" w:eastAsia="仿宋_GB2312"/>
                <w:color w:val="auto"/>
                <w:sz w:val="24"/>
              </w:rPr>
              <w:t xml:space="preserve">     联系电话：</w:t>
            </w:r>
            <w:r>
              <w:rPr>
                <w:rStyle w:val="33"/>
                <w:rFonts w:hint="eastAsia" w:ascii="仿宋_GB2312" w:hAnsi="仿宋_GB2312" w:eastAsia="仿宋_GB2312"/>
                <w:color w:val="auto"/>
                <w:sz w:val="24"/>
                <w:lang w:val="en-US" w:eastAsia="zh-CN"/>
              </w:rPr>
              <w:t>19009987666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1.2</w:t>
            </w:r>
          </w:p>
        </w:tc>
        <w:tc>
          <w:tcPr>
            <w:tcW w:w="7222"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购代理机构：</w:t>
            </w:r>
            <w:r>
              <w:rPr>
                <w:rFonts w:hint="eastAsia" w:ascii="仿宋_GB2312" w:hAnsi="仿宋_GB2312" w:eastAsia="仿宋_GB2312" w:cs="仿宋_GB2312"/>
                <w:sz w:val="24"/>
                <w:u w:val="single"/>
              </w:rPr>
              <w:t>伽师县政府采购中心</w:t>
            </w:r>
          </w:p>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伽师县行政审批局四楼（伽师县花园路3号）</w:t>
            </w:r>
          </w:p>
          <w:p>
            <w:pPr>
              <w:snapToGrid w:val="0"/>
              <w:spacing w:line="240" w:lineRule="atLeast"/>
              <w:rPr>
                <w:rStyle w:val="33"/>
                <w:rFonts w:ascii="仿宋_GB2312" w:hAnsi="仿宋_GB2312" w:eastAsia="仿宋_GB2312"/>
                <w:sz w:val="24"/>
              </w:rPr>
            </w:pPr>
            <w:r>
              <w:rPr>
                <w:rFonts w:hint="eastAsia" w:ascii="仿宋_GB2312" w:hAnsi="仿宋_GB2312" w:eastAsia="仿宋_GB2312" w:cs="仿宋_GB2312"/>
                <w:sz w:val="24"/>
              </w:rPr>
              <w:t>联系人：陈雪、依明江         电  话：0998-5713206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1.3.1</w:t>
            </w:r>
          </w:p>
        </w:tc>
        <w:tc>
          <w:tcPr>
            <w:tcW w:w="7222"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 w:hAnsi="仿宋" w:eastAsia="仿宋" w:cs="仿宋"/>
                <w:sz w:val="24"/>
              </w:rPr>
            </w:pPr>
            <w:r>
              <w:rPr>
                <w:rFonts w:hint="eastAsia" w:ascii="仿宋" w:hAnsi="仿宋" w:eastAsia="仿宋" w:cs="仿宋"/>
                <w:sz w:val="24"/>
              </w:rPr>
              <w:t>合格投标人开标时需提供的资格证明文件：</w:t>
            </w:r>
          </w:p>
          <w:p>
            <w:pPr>
              <w:pStyle w:val="20"/>
              <w:rPr>
                <w:rFonts w:ascii="仿宋" w:hAnsi="仿宋" w:eastAsia="仿宋" w:cs="仿宋"/>
                <w:sz w:val="24"/>
              </w:rPr>
            </w:pPr>
            <w:r>
              <w:rPr>
                <w:rFonts w:hint="eastAsia" w:ascii="仿宋" w:hAnsi="仿宋" w:eastAsia="仿宋" w:cs="仿宋"/>
                <w:sz w:val="24"/>
              </w:rPr>
              <w:t>1.提供有效的营业执照；</w:t>
            </w:r>
          </w:p>
          <w:p>
            <w:pPr>
              <w:pStyle w:val="20"/>
              <w:rPr>
                <w:rFonts w:ascii="仿宋" w:hAnsi="仿宋" w:eastAsia="仿宋" w:cs="仿宋"/>
                <w:sz w:val="24"/>
              </w:rPr>
            </w:pPr>
            <w:r>
              <w:rPr>
                <w:rFonts w:hint="eastAsia" w:ascii="仿宋" w:hAnsi="仿宋" w:eastAsia="仿宋" w:cs="仿宋"/>
                <w:sz w:val="24"/>
              </w:rPr>
              <w:t>2.法定代表人证明或法定代表人授权委托书签字（章）并加盖公章；</w:t>
            </w:r>
          </w:p>
          <w:p>
            <w:pPr>
              <w:pStyle w:val="20"/>
              <w:rPr>
                <w:rFonts w:ascii="仿宋" w:hAnsi="仿宋" w:eastAsia="仿宋" w:cs="仿宋"/>
                <w:sz w:val="24"/>
              </w:rPr>
            </w:pPr>
            <w:r>
              <w:rPr>
                <w:rFonts w:hint="eastAsia" w:ascii="仿宋" w:hAnsi="仿宋" w:eastAsia="仿宋" w:cs="仿宋"/>
                <w:sz w:val="24"/>
              </w:rPr>
              <w:t>3.提供投标单位近三个月内（任意一个月）的社保证明；</w:t>
            </w:r>
          </w:p>
          <w:p>
            <w:pPr>
              <w:pStyle w:val="8"/>
              <w:ind w:left="0" w:leftChars="0"/>
              <w:rPr>
                <w:rFonts w:ascii="仿宋" w:hAnsi="仿宋" w:eastAsia="仿宋" w:cs="仿宋"/>
                <w:sz w:val="24"/>
              </w:rPr>
            </w:pPr>
            <w:r>
              <w:rPr>
                <w:rFonts w:hint="eastAsia" w:ascii="仿宋" w:hAnsi="仿宋" w:eastAsia="仿宋" w:cs="仿宋"/>
                <w:sz w:val="24"/>
              </w:rPr>
              <w:t>4.近三个月所属期限内（任意一个月）依法缴纳税收的证明（税务部门出具的完税凭证或缴税证明或银行出具的“银行电子缴税付款证”）；</w:t>
            </w:r>
          </w:p>
          <w:p>
            <w:pPr>
              <w:pStyle w:val="20"/>
              <w:rPr>
                <w:rFonts w:ascii="仿宋" w:hAnsi="仿宋" w:eastAsia="仿宋" w:cs="仿宋"/>
                <w:sz w:val="24"/>
              </w:rPr>
            </w:pPr>
            <w:r>
              <w:rPr>
                <w:rFonts w:hint="eastAsia" w:ascii="仿宋" w:hAnsi="仿宋" w:eastAsia="仿宋" w:cs="仿宋"/>
                <w:sz w:val="24"/>
              </w:rPr>
              <w:t>5.良好的商业信誉和健全的财务会计制度证明材料</w:t>
            </w:r>
            <w:r>
              <w:rPr>
                <w:rFonts w:hint="eastAsia" w:ascii="宋体" w:hAnsi="宋体"/>
                <w:color w:val="000000"/>
                <w:sz w:val="24"/>
                <w:szCs w:val="21"/>
              </w:rPr>
              <w:t>（</w:t>
            </w:r>
            <w:r>
              <w:rPr>
                <w:rFonts w:hint="eastAsia" w:ascii="仿宋" w:hAnsi="仿宋" w:eastAsia="仿宋" w:cs="仿宋"/>
                <w:sz w:val="24"/>
              </w:rPr>
              <w:t>会计事务所出具的2022年或2023年的年度财务审计报告书；注册成立未满一年新公司可提供近三个月内任意一个月的银行资信证明）；</w:t>
            </w:r>
          </w:p>
          <w:p>
            <w:pPr>
              <w:pStyle w:val="20"/>
              <w:rPr>
                <w:rFonts w:ascii="仿宋" w:hAnsi="仿宋" w:eastAsia="仿宋" w:cs="仿宋"/>
                <w:sz w:val="24"/>
              </w:rPr>
            </w:pPr>
            <w:r>
              <w:rPr>
                <w:rFonts w:hint="eastAsia" w:ascii="仿宋" w:hAnsi="仿宋" w:eastAsia="仿宋" w:cs="仿宋"/>
                <w:sz w:val="24"/>
              </w:rPr>
              <w:t>6.提供投标单位按招标文件要求缴纳投标保证金的缴款凭证或金融机构、担保机构出具的保函；</w:t>
            </w:r>
          </w:p>
          <w:p>
            <w:pPr>
              <w:pStyle w:val="20"/>
              <w:rPr>
                <w:rFonts w:ascii="仿宋" w:hAnsi="仿宋" w:eastAsia="仿宋" w:cs="仿宋"/>
                <w:sz w:val="24"/>
              </w:rPr>
            </w:pPr>
            <w:r>
              <w:rPr>
                <w:rFonts w:hint="eastAsia" w:ascii="仿宋" w:hAnsi="仿宋" w:eastAsia="仿宋" w:cs="仿宋"/>
                <w:sz w:val="24"/>
              </w:rPr>
              <w:t>7.投标单位（供应商）其法人参加本次采购活动前三年内，在经营活动中没有重大违法记录的声明及对本次项目《反商业贿赂承诺书》；</w:t>
            </w:r>
          </w:p>
          <w:p>
            <w:pPr>
              <w:pStyle w:val="20"/>
              <w:rPr>
                <w:rFonts w:ascii="仿宋" w:hAnsi="仿宋" w:eastAsia="仿宋" w:cs="仿宋"/>
                <w:sz w:val="24"/>
              </w:rPr>
            </w:pPr>
            <w:r>
              <w:rPr>
                <w:rFonts w:hint="eastAsia" w:ascii="仿宋" w:hAnsi="仿宋" w:eastAsia="仿宋" w:cs="仿宋"/>
                <w:sz w:val="24"/>
              </w:rPr>
              <w:t>8.本项目不接受联合体投标。</w:t>
            </w:r>
          </w:p>
          <w:p>
            <w:pPr>
              <w:snapToGrid w:val="0"/>
              <w:spacing w:line="240" w:lineRule="atLeast"/>
              <w:rPr>
                <w:rFonts w:ascii="仿宋" w:hAnsi="仿宋" w:eastAsia="仿宋" w:cs="仿宋"/>
                <w:sz w:val="24"/>
              </w:rPr>
            </w:pPr>
            <w:r>
              <w:rPr>
                <w:rFonts w:hint="eastAsia" w:ascii="仿宋" w:hAnsi="仿宋" w:eastAsia="仿宋" w:cs="仿宋"/>
                <w:sz w:val="24"/>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pPr>
              <w:pStyle w:val="3"/>
            </w:pPr>
            <w:r>
              <w:rPr>
                <w:rFonts w:cs="宋体"/>
                <w:b/>
                <w:bCs/>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 xml:space="preserve">1.3.2   </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是否允许采购进口产品：</w:t>
            </w:r>
            <w:r>
              <w:rPr>
                <w:rStyle w:val="33"/>
                <w:rFonts w:ascii="仿宋_GB2312" w:hAnsi="仿宋_GB2312" w:eastAsia="仿宋_GB2312"/>
                <w:sz w:val="24"/>
                <w:u w:val="single"/>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1.3.3</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hint="eastAsia" w:ascii="仿宋_GB2312" w:hAnsi="仿宋_GB2312" w:eastAsia="仿宋_GB2312"/>
                <w:sz w:val="24"/>
                <w:lang w:val="en-US" w:eastAsia="zh-CN"/>
              </w:rPr>
            </w:pPr>
            <w:r>
              <w:rPr>
                <w:rStyle w:val="33"/>
                <w:rFonts w:ascii="仿宋_GB2312" w:hAnsi="仿宋_GB2312" w:eastAsia="仿宋_GB2312"/>
                <w:sz w:val="24"/>
              </w:rPr>
              <w:t>是否为专门面向中小企业采购：</w:t>
            </w:r>
            <w:r>
              <w:rPr>
                <w:rStyle w:val="33"/>
                <w:rFonts w:hint="eastAsia" w:ascii="仿宋_GB2312" w:hAnsi="仿宋_GB2312" w:eastAsia="仿宋_GB2312"/>
                <w:sz w:val="24"/>
                <w:u w:val="single"/>
                <w:lang w:val="en-US"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1.4.1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是否允许联合体投标：</w:t>
            </w:r>
            <w:r>
              <w:rPr>
                <w:rStyle w:val="33"/>
                <w:rFonts w:ascii="仿宋_GB2312" w:hAnsi="仿宋_GB2312" w:eastAsia="仿宋_GB2312"/>
                <w:sz w:val="24"/>
                <w:u w:val="single"/>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1.4.2</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联合体的其他资格要求：无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2.1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cs="Times New Roman"/>
                <w:sz w:val="24"/>
              </w:rPr>
            </w:pPr>
            <w:r>
              <w:rPr>
                <w:rStyle w:val="33"/>
                <w:rFonts w:hint="eastAsia" w:ascii="仿宋_GB2312" w:hAnsi="仿宋_GB2312" w:eastAsia="仿宋_GB2312" w:cs="Times New Roman"/>
                <w:sz w:val="24"/>
                <w:lang w:val="zh-CN"/>
              </w:rPr>
              <w:t>采购预算：</w:t>
            </w:r>
            <w:r>
              <w:rPr>
                <w:rStyle w:val="33"/>
                <w:rFonts w:hint="eastAsia" w:ascii="仿宋_GB2312" w:hAnsi="仿宋_GB2312" w:eastAsia="仿宋_GB2312" w:cs="Times New Roman"/>
                <w:sz w:val="24"/>
              </w:rPr>
              <w:t>预算资金：699000.00元，最高限价：699000.00元；</w:t>
            </w:r>
          </w:p>
          <w:p>
            <w:pPr>
              <w:snapToGrid w:val="0"/>
              <w:spacing w:line="240" w:lineRule="atLeast"/>
              <w:ind w:firstLine="1200" w:firstLineChars="500"/>
              <w:rPr>
                <w:rStyle w:val="33"/>
                <w:rFonts w:ascii="仿宋_GB2312" w:hAnsi="仿宋_GB2312" w:eastAsia="仿宋_GB2312" w:cs="Times New Roman"/>
                <w:sz w:val="24"/>
              </w:rPr>
            </w:pPr>
          </w:p>
          <w:p>
            <w:pPr>
              <w:snapToGrid w:val="0"/>
              <w:spacing w:line="240" w:lineRule="atLeast"/>
              <w:rPr>
                <w:rStyle w:val="33"/>
                <w:rFonts w:ascii="仿宋" w:hAnsi="仿宋" w:eastAsia="仿宋"/>
                <w:sz w:val="24"/>
              </w:rPr>
            </w:pPr>
            <w:r>
              <w:rPr>
                <w:rStyle w:val="33"/>
                <w:rFonts w:ascii="仿宋_GB2312" w:hAnsi="仿宋_GB2312" w:eastAsia="仿宋_GB2312"/>
                <w:sz w:val="24"/>
                <w:lang w:val="zh-CN"/>
              </w:rPr>
              <w:t>（超过最高限价的投标无效）</w:t>
            </w:r>
            <w:r>
              <w:rPr>
                <w:rStyle w:val="33"/>
                <w:rFonts w:ascii="仿宋" w:hAnsi="仿宋" w:eastAsia="仿宋"/>
                <w:sz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firstLine="480" w:firstLineChars="200"/>
              <w:rPr>
                <w:rStyle w:val="33"/>
                <w:rFonts w:ascii="仿宋_GB2312" w:hAnsi="仿宋_GB2312" w:eastAsia="仿宋_GB2312" w:cs="Times New Roman"/>
                <w:color w:val="000000"/>
                <w:sz w:val="24"/>
                <w:lang w:val="zh-CN"/>
              </w:rPr>
            </w:pPr>
            <w:r>
              <w:rPr>
                <w:rStyle w:val="33"/>
                <w:rFonts w:hint="eastAsia" w:ascii="仿宋_GB2312" w:hAnsi="仿宋_GB2312" w:eastAsia="仿宋_GB2312" w:cs="Times New Roman"/>
                <w:color w:val="000000"/>
                <w:sz w:val="24"/>
                <w:lang w:val="zh-CN"/>
              </w:rPr>
              <w:t>2.2</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cs="Times New Roman"/>
                <w:sz w:val="24"/>
              </w:rPr>
            </w:pPr>
            <w:r>
              <w:rPr>
                <w:rStyle w:val="33"/>
                <w:rFonts w:hint="eastAsia" w:ascii="仿宋_GB2312" w:hAnsi="仿宋_GB2312" w:eastAsia="仿宋_GB2312" w:cs="Times New Roman"/>
                <w:sz w:val="24"/>
                <w:lang w:val="zh-CN"/>
              </w:rPr>
              <w:t>注：本项目</w:t>
            </w:r>
            <w:r>
              <w:rPr>
                <w:rStyle w:val="33"/>
                <w:rFonts w:hint="eastAsia" w:ascii="仿宋_GB2312" w:hAnsi="仿宋_GB2312" w:eastAsia="仿宋_GB2312" w:cs="Times New Roman"/>
                <w:sz w:val="24"/>
                <w:lang w:val="en-US" w:eastAsia="zh-CN"/>
              </w:rPr>
              <w:t>不分标段</w:t>
            </w:r>
            <w:r>
              <w:rPr>
                <w:rFonts w:hint="eastAsia" w:ascii="仿宋" w:hAnsi="仿宋" w:eastAsia="仿宋" w:cs="仿宋"/>
                <w:bCs/>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12.1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hint="default" w:ascii="仿宋_GB2312" w:hAnsi="仿宋_GB2312" w:eastAsia="仿宋_GB2312" w:cs="Times New Roman"/>
                <w:sz w:val="24"/>
                <w:lang w:val="en-US" w:eastAsia="zh-CN"/>
              </w:rPr>
            </w:pPr>
            <w:r>
              <w:rPr>
                <w:rStyle w:val="33"/>
                <w:rFonts w:ascii="仿宋_GB2312" w:hAnsi="仿宋_GB2312" w:eastAsia="仿宋_GB2312" w:cs="Times New Roman"/>
                <w:sz w:val="24"/>
                <w:lang w:val="zh-CN"/>
              </w:rPr>
              <w:t>投标保证金形式：</w:t>
            </w:r>
            <w:r>
              <w:rPr>
                <w:rFonts w:hint="eastAsia" w:ascii="仿宋_GB2312" w:hAnsi="仿宋_GB2312" w:eastAsia="仿宋_GB2312" w:cs="仿宋_GB2312"/>
                <w:sz w:val="24"/>
              </w:rPr>
              <w:t>☑电汇☑支票☑本票☑保函</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等非现金形式提交</w:t>
            </w:r>
            <w:r>
              <w:rPr>
                <w:rStyle w:val="33"/>
                <w:rFonts w:ascii="仿宋_GB2312" w:hAnsi="仿宋_GB2312" w:eastAsia="仿宋_GB2312" w:cs="Times New Roman"/>
                <w:sz w:val="24"/>
                <w:lang w:val="zh-CN"/>
              </w:rPr>
              <w:t>投标保证金数额:</w:t>
            </w:r>
            <w:r>
              <w:rPr>
                <w:rFonts w:hint="eastAsia" w:ascii="仿宋_GB2312" w:hAnsi="仿宋_GB2312" w:eastAsia="仿宋_GB2312" w:cs="Times New Roman"/>
                <w:lang w:val="zh-CN"/>
              </w:rPr>
              <w:t xml:space="preserve"> </w:t>
            </w:r>
            <w:r>
              <w:rPr>
                <w:rStyle w:val="33"/>
                <w:rFonts w:hint="eastAsia" w:ascii="仿宋_GB2312" w:hAnsi="仿宋_GB2312" w:eastAsia="仿宋_GB2312" w:cs="Times New Roman"/>
                <w:sz w:val="24"/>
                <w:lang w:val="en-US" w:eastAsia="zh-CN"/>
              </w:rPr>
              <w:t>10000元（壹万元整）</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投标保证金缴纳账户：伽师县公安局</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银行账号：</w:t>
            </w:r>
            <w:r>
              <w:rPr>
                <w:rFonts w:hint="eastAsia" w:ascii="仿宋_GB2312" w:hAnsi="仿宋_GB2312" w:eastAsia="仿宋_GB2312" w:cs="仿宋_GB2312"/>
                <w:sz w:val="24"/>
                <w:highlight w:val="none"/>
              </w:rPr>
              <w:t>30522101040005758</w:t>
            </w:r>
            <w:r>
              <w:rPr>
                <w:rFonts w:hint="eastAsia" w:ascii="宋体" w:hAnsi="宋体"/>
                <w:sz w:val="24"/>
                <w:szCs w:val="21"/>
              </w:rPr>
              <w:t>　</w:t>
            </w:r>
          </w:p>
          <w:p>
            <w:pPr>
              <w:pStyle w:val="20"/>
              <w:rPr>
                <w:rFonts w:ascii="仿宋_GB2312" w:hAnsi="仿宋_GB2312" w:eastAsia="仿宋_GB2312" w:cs="仿宋_GB2312"/>
                <w:sz w:val="24"/>
              </w:rPr>
            </w:pPr>
            <w:r>
              <w:rPr>
                <w:rFonts w:hint="eastAsia" w:ascii="仿宋_GB2312" w:hAnsi="仿宋_GB2312" w:eastAsia="仿宋_GB2312" w:cs="仿宋_GB2312"/>
                <w:sz w:val="24"/>
              </w:rPr>
              <w:t>开 户 行：农行伽师县支行</w:t>
            </w:r>
          </w:p>
          <w:p>
            <w:pPr>
              <w:pStyle w:val="20"/>
              <w:rPr>
                <w:rFonts w:ascii="仿宋" w:hAnsi="仿宋" w:eastAsia="仿宋" w:cs="仿宋"/>
                <w:b/>
                <w:bCs/>
                <w:kern w:val="0"/>
                <w:sz w:val="24"/>
              </w:rPr>
            </w:pPr>
            <w:r>
              <w:rPr>
                <w:rFonts w:ascii="仿宋" w:hAnsi="仿宋" w:eastAsia="仿宋" w:cs="仿宋"/>
                <w:b/>
                <w:bCs/>
                <w:kern w:val="0"/>
                <w:sz w:val="24"/>
              </w:rPr>
              <w:t>（根据中华人民共和国财政部令第87号《政府采购货物和服务招标投</w:t>
            </w:r>
            <w:r>
              <w:rPr>
                <w:rFonts w:hint="eastAsia" w:ascii="仿宋" w:hAnsi="仿宋" w:eastAsia="仿宋" w:cs="仿宋"/>
                <w:b/>
                <w:bCs/>
                <w:kern w:val="0"/>
                <w:sz w:val="24"/>
              </w:rPr>
              <w:t>标管理办法》第38条：投标保证金应当自中标通知书发出之日起5个工作日内退还未中标人的投标保证金，采购人自采购合同签订之日起5个工作日内退还中标人的投标保证金。）</w:t>
            </w:r>
          </w:p>
          <w:p>
            <w:pPr>
              <w:pStyle w:val="20"/>
            </w:pPr>
            <w:r>
              <w:rPr>
                <w:rFonts w:hint="eastAsia" w:ascii="仿宋_GB2312" w:eastAsia="仿宋_GB2312"/>
                <w:b/>
                <w:bCs/>
                <w:sz w:val="24"/>
              </w:rPr>
              <w:t>投标人未按招标文件规定缴纳投标保证金的,投标文件将被拒绝评审。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13.1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color w:val="000000"/>
                <w:sz w:val="24"/>
                <w:u w:val="single" w:color="000000"/>
              </w:rPr>
            </w:pPr>
            <w:r>
              <w:rPr>
                <w:rStyle w:val="33"/>
                <w:rFonts w:ascii="仿宋_GB2312" w:hAnsi="仿宋_GB2312" w:eastAsia="仿宋_GB2312"/>
                <w:color w:val="000000"/>
                <w:sz w:val="24"/>
              </w:rPr>
              <w:t>投标有效期：</w:t>
            </w:r>
            <w:r>
              <w:rPr>
                <w:rStyle w:val="33"/>
                <w:rFonts w:hint="eastAsia" w:ascii="仿宋_GB2312" w:hAnsi="仿宋_GB2312" w:eastAsia="仿宋_GB2312"/>
                <w:color w:val="000000"/>
                <w:sz w:val="24"/>
                <w:u w:val="single" w:color="000000"/>
              </w:rPr>
              <w:t>90</w:t>
            </w:r>
            <w:r>
              <w:rPr>
                <w:rStyle w:val="33"/>
                <w:rFonts w:ascii="仿宋_GB2312" w:hAnsi="仿宋_GB2312" w:eastAsia="仿宋_GB2312"/>
                <w:color w:val="000000"/>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ind w:firstLine="480" w:firstLineChars="200"/>
              <w:rPr>
                <w:rStyle w:val="33"/>
                <w:rFonts w:ascii="仿宋_GB2312" w:hAnsi="仿宋_GB2312" w:eastAsia="仿宋_GB2312"/>
                <w:sz w:val="24"/>
              </w:rPr>
            </w:pPr>
            <w:r>
              <w:rPr>
                <w:rStyle w:val="33"/>
                <w:rFonts w:ascii="仿宋_GB2312" w:hAnsi="仿宋_GB2312" w:eastAsia="仿宋_GB2312"/>
                <w:sz w:val="24"/>
              </w:rPr>
              <w:t>14.1</w:t>
            </w:r>
          </w:p>
        </w:tc>
        <w:tc>
          <w:tcPr>
            <w:tcW w:w="7222" w:type="dxa"/>
            <w:tcBorders>
              <w:top w:val="single" w:color="000000" w:sz="6" w:space="0"/>
              <w:left w:val="single" w:color="000000" w:sz="6" w:space="0"/>
              <w:bottom w:val="single" w:color="000000" w:sz="6" w:space="0"/>
              <w:right w:val="single" w:color="000000" w:sz="12" w:space="0"/>
            </w:tcBorders>
            <w:vAlign w:val="center"/>
          </w:tcPr>
          <w:p>
            <w:pPr>
              <w:jc w:val="left"/>
            </w:pPr>
            <w:r>
              <w:rPr>
                <w:rFonts w:ascii="仿宋" w:hAnsi="仿宋" w:eastAsia="仿宋" w:cs="仿宋"/>
                <w:color w:val="000000"/>
                <w:kern w:val="0"/>
                <w:sz w:val="24"/>
                <w:lang w:bidi="ar"/>
              </w:rPr>
              <w:t>1.本项目为电子招投标，供应商需要使用 CA 加密设备，凡参加本项</w:t>
            </w:r>
            <w:r>
              <w:rPr>
                <w:rFonts w:hint="eastAsia" w:ascii="仿宋" w:hAnsi="仿宋" w:eastAsia="仿宋" w:cs="仿宋"/>
                <w:color w:val="000000"/>
                <w:kern w:val="0"/>
                <w:sz w:val="24"/>
                <w:lang w:bidi="ar"/>
              </w:rPr>
              <w:t xml:space="preserve">目必须可自主通过新疆 CA 申领渠道“新疆政务通”申请政采云平台可使用的 CA 设备，如原有兵团或公共资源使用的 CA，可与新疆 CA 联系，申请增加电子证书即可，无需重复申领。 </w:t>
            </w:r>
          </w:p>
          <w:p>
            <w:pPr>
              <w:jc w:val="left"/>
            </w:pPr>
            <w:r>
              <w:rPr>
                <w:rFonts w:hint="eastAsia" w:ascii="仿宋" w:hAnsi="仿宋" w:eastAsia="仿宋" w:cs="仿宋"/>
                <w:color w:val="000000"/>
                <w:kern w:val="0"/>
                <w:sz w:val="24"/>
                <w:lang w:bidi="ar"/>
              </w:rPr>
              <w:t xml:space="preserve">2.本项目实行网上投标，采用电子投标文件(供应商须使用 CA 加密设备通过政采云电子投标客户端制作投标文件)。若供应商参与投标，自行承担投标一切费用。 </w:t>
            </w:r>
          </w:p>
          <w:p>
            <w:pPr>
              <w:jc w:val="left"/>
            </w:pPr>
            <w:r>
              <w:rPr>
                <w:rFonts w:hint="eastAsia" w:ascii="仿宋" w:hAnsi="仿宋" w:eastAsia="仿宋" w:cs="仿宋"/>
                <w:color w:val="000000"/>
                <w:kern w:val="0"/>
                <w:sz w:val="24"/>
                <w:lang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pPr>
              <w:jc w:val="left"/>
            </w:pPr>
            <w:r>
              <w:rPr>
                <w:rFonts w:hint="eastAsia" w:ascii="仿宋" w:hAnsi="仿宋" w:eastAsia="仿宋" w:cs="仿宋"/>
                <w:color w:val="000000"/>
                <w:kern w:val="0"/>
                <w:sz w:val="24"/>
                <w:lang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 进行咨询。 </w:t>
            </w:r>
          </w:p>
          <w:p>
            <w:p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pPr>
              <w:jc w:val="left"/>
            </w:pPr>
            <w:r>
              <w:rPr>
                <w:rFonts w:hint="eastAsia" w:ascii="仿宋" w:hAnsi="仿宋" w:eastAsia="仿宋" w:cs="仿宋"/>
                <w:color w:val="000000"/>
                <w:kern w:val="0"/>
                <w:sz w:val="24"/>
                <w:lang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pPr>
              <w:jc w:val="left"/>
            </w:pPr>
            <w:r>
              <w:rPr>
                <w:rFonts w:hint="eastAsia" w:ascii="仿宋" w:hAnsi="仿宋" w:eastAsia="仿宋" w:cs="仿宋"/>
                <w:color w:val="000000"/>
                <w:kern w:val="0"/>
                <w:sz w:val="24"/>
                <w:lang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pPr>
              <w:jc w:val="left"/>
            </w:pPr>
            <w:r>
              <w:rPr>
                <w:rFonts w:hint="eastAsia" w:ascii="仿宋" w:hAnsi="仿宋" w:eastAsia="仿宋" w:cs="仿宋"/>
                <w:color w:val="000000"/>
                <w:kern w:val="0"/>
                <w:sz w:val="24"/>
                <w:lang w:bidi="ar"/>
              </w:rPr>
              <w:t xml:space="preserve">8.各供应商须在投标截止时间前完成在系统上递交电子投标文件。 </w:t>
            </w:r>
          </w:p>
          <w:p>
            <w:pPr>
              <w:jc w:val="left"/>
            </w:pPr>
            <w:r>
              <w:rPr>
                <w:rFonts w:hint="eastAsia" w:ascii="仿宋" w:hAnsi="仿宋" w:eastAsia="仿宋" w:cs="仿宋"/>
                <w:color w:val="000000"/>
                <w:kern w:val="0"/>
                <w:sz w:val="24"/>
                <w:lang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pPr>
              <w:snapToGrid w:val="0"/>
              <w:rPr>
                <w:rStyle w:val="33"/>
                <w:rFonts w:ascii="仿宋_GB2312" w:hAnsi="仿宋_GB2312" w:eastAsia="仿宋_GB2312"/>
                <w:color w:val="000000"/>
                <w:sz w:val="24"/>
              </w:rPr>
            </w:pPr>
            <w:r>
              <w:rPr>
                <w:rFonts w:hint="eastAsia" w:ascii="仿宋" w:hAnsi="仿宋" w:eastAsia="仿宋" w:cs="仿宋"/>
                <w:color w:val="000000"/>
                <w:kern w:val="0"/>
                <w:sz w:val="24"/>
                <w:lang w:bidi="ar"/>
              </w:rPr>
              <w:t>9.解密时长为 30 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16.1</w:t>
            </w:r>
          </w:p>
        </w:tc>
        <w:tc>
          <w:tcPr>
            <w:tcW w:w="7222"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Style w:val="33"/>
                <w:rFonts w:ascii="仿宋_GB2312" w:hAnsi="仿宋_GB2312" w:eastAsia="仿宋_GB2312"/>
                <w:sz w:val="24"/>
              </w:rPr>
            </w:pPr>
            <w:r>
              <w:rPr>
                <w:rFonts w:hint="eastAsia" w:ascii="仿宋_GB2312" w:hAnsi="仿宋_GB2312" w:eastAsia="仿宋_GB2312" w:cs="仿宋_GB2312"/>
                <w:sz w:val="24"/>
                <w:highlight w:val="yellow"/>
              </w:rPr>
              <w:t>投标截止时间：2024年7月</w:t>
            </w:r>
            <w:r>
              <w:rPr>
                <w:rFonts w:hint="eastAsia" w:ascii="仿宋_GB2312" w:hAnsi="仿宋_GB2312" w:eastAsia="仿宋_GB2312" w:cs="仿宋_GB2312"/>
                <w:sz w:val="24"/>
                <w:highlight w:val="yellow"/>
                <w:lang w:val="en-US" w:eastAsia="zh-CN"/>
              </w:rPr>
              <w:t>17</w:t>
            </w:r>
            <w:r>
              <w:rPr>
                <w:rFonts w:hint="eastAsia" w:ascii="仿宋_GB2312" w:hAnsi="仿宋_GB2312" w:eastAsia="仿宋_GB2312" w:cs="仿宋_GB2312"/>
                <w:sz w:val="24"/>
                <w:highlight w:val="yellow"/>
              </w:rPr>
              <w:t>日11：00（北京时间</w:t>
            </w:r>
            <w:r>
              <w:rPr>
                <w:rFonts w:hint="eastAsia" w:ascii="宋体" w:hAnsi="宋体" w:cs="宋体"/>
                <w:kern w:val="0"/>
                <w:sz w:val="24"/>
                <w:highlight w:val="yellow"/>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18.1</w:t>
            </w:r>
          </w:p>
        </w:tc>
        <w:tc>
          <w:tcPr>
            <w:tcW w:w="7222"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开标时间：2024年7月</w:t>
            </w:r>
            <w:r>
              <w:rPr>
                <w:rFonts w:hint="eastAsia" w:ascii="仿宋_GB2312" w:hAnsi="仿宋_GB2312" w:eastAsia="仿宋_GB2312" w:cs="仿宋_GB2312"/>
                <w:sz w:val="24"/>
                <w:highlight w:val="yellow"/>
                <w:lang w:val="en-US" w:eastAsia="zh-CN"/>
              </w:rPr>
              <w:t>17</w:t>
            </w:r>
            <w:r>
              <w:rPr>
                <w:rFonts w:hint="eastAsia" w:ascii="仿宋_GB2312" w:hAnsi="仿宋_GB2312" w:eastAsia="仿宋_GB2312" w:cs="仿宋_GB2312"/>
                <w:sz w:val="24"/>
                <w:highlight w:val="yellow"/>
              </w:rPr>
              <w:t>日11：00（北京时间</w:t>
            </w:r>
            <w:r>
              <w:rPr>
                <w:rFonts w:hint="eastAsia" w:ascii="宋体" w:hAnsi="宋体" w:cs="宋体"/>
                <w:kern w:val="0"/>
                <w:sz w:val="24"/>
                <w:highlight w:val="yellow"/>
              </w:rPr>
              <w:t>）</w:t>
            </w:r>
          </w:p>
          <w:p>
            <w:pPr>
              <w:jc w:val="left"/>
              <w:rPr>
                <w:rStyle w:val="33"/>
                <w:rFonts w:ascii="仿宋_GB2312" w:hAnsi="仿宋_GB2312" w:eastAsia="仿宋_GB2312"/>
                <w:sz w:val="24"/>
              </w:rPr>
            </w:pPr>
            <w:r>
              <w:rPr>
                <w:rFonts w:hint="eastAsia" w:ascii="仿宋_GB2312" w:hAnsi="仿宋_GB2312" w:eastAsia="仿宋_GB2312" w:cs="仿宋_GB2312"/>
                <w:sz w:val="24"/>
                <w:highlight w:val="yellow"/>
              </w:rPr>
              <w:t>开标地点：（https://login.zcygov.cn/user-login/#/login）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Fonts w:ascii="仿宋_GB2312" w:hAnsi="仿宋_GB2312" w:eastAsia="仿宋_GB2312"/>
                <w:sz w:val="24"/>
              </w:rPr>
            </w:pPr>
            <w:r>
              <w:rPr>
                <w:rStyle w:val="33"/>
                <w:rFonts w:ascii="仿宋_GB2312" w:hAnsi="仿宋_GB2312" w:eastAsia="仿宋_GB2312"/>
                <w:sz w:val="24"/>
              </w:rPr>
              <w:t>23.</w:t>
            </w:r>
            <w:r>
              <w:rPr>
                <w:rStyle w:val="33"/>
                <w:rFonts w:hint="eastAsia" w:ascii="仿宋_GB2312" w:hAnsi="仿宋_GB2312" w:eastAsia="仿宋_GB2312"/>
                <w:sz w:val="24"/>
              </w:rPr>
              <w:t>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Fonts w:ascii="仿宋_GB2312" w:hAnsi="仿宋_GB2312" w:eastAsia="仿宋_GB2312"/>
                <w:i/>
                <w:color w:val="000000"/>
                <w:sz w:val="24"/>
              </w:rPr>
            </w:pPr>
            <w:r>
              <w:rPr>
                <w:rStyle w:val="33"/>
                <w:rFonts w:ascii="仿宋_GB2312" w:hAnsi="仿宋_GB2312" w:eastAsia="仿宋_GB2312"/>
                <w:color w:val="000000"/>
                <w:sz w:val="24"/>
              </w:rPr>
              <w:t>本项目评标方法：适用综合评分法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27</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color w:val="000000"/>
                <w:sz w:val="24"/>
              </w:rPr>
            </w:pPr>
            <w:r>
              <w:rPr>
                <w:rStyle w:val="33"/>
                <w:rFonts w:ascii="仿宋_GB2312" w:hAnsi="仿宋_GB2312" w:eastAsia="仿宋_GB2312"/>
                <w:color w:val="000000"/>
                <w:sz w:val="24"/>
              </w:rPr>
              <w:t>招标人委托评标委员会直接</w:t>
            </w:r>
            <w:r>
              <w:rPr>
                <w:rStyle w:val="33"/>
                <w:rFonts w:ascii="仿宋_GB2312" w:eastAsia="仿宋_GB2312"/>
                <w:color w:val="000000"/>
                <w:sz w:val="24"/>
              </w:rPr>
              <w:t>确定推荐中标候选供应商的数量：</w:t>
            </w:r>
            <w:r>
              <w:rPr>
                <w:rStyle w:val="33"/>
                <w:rFonts w:ascii="仿宋_GB2312" w:eastAsia="仿宋_GB2312"/>
                <w:color w:val="000000"/>
                <w:sz w:val="24"/>
                <w:u w:val="single" w:color="000000"/>
              </w:rPr>
              <w:t>3家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31.1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color w:val="FF0000"/>
                <w:sz w:val="24"/>
              </w:rPr>
            </w:pPr>
            <w:r>
              <w:rPr>
                <w:rStyle w:val="33"/>
                <w:rFonts w:ascii="仿宋_GB2312" w:hAnsi="仿宋_GB2312" w:eastAsia="仿宋_GB2312"/>
                <w:sz w:val="24"/>
              </w:rPr>
              <w:t>履约保证金金额：</w:t>
            </w:r>
            <w:r>
              <w:rPr>
                <w:rFonts w:hint="eastAsia" w:ascii="仿宋_GB2312" w:hAnsi="仿宋_GB2312" w:eastAsia="仿宋_GB2312" w:cs="仿宋_GB2312"/>
                <w:sz w:val="24"/>
              </w:rPr>
              <w:t>不超合同总价金额的3%</w:t>
            </w:r>
          </w:p>
          <w:p>
            <w:pPr>
              <w:snapToGrid w:val="0"/>
              <w:spacing w:line="240" w:lineRule="atLeast"/>
              <w:rPr>
                <w:rStyle w:val="33"/>
                <w:rFonts w:ascii="仿宋_GB2312" w:hAnsi="仿宋_GB2312" w:eastAsia="仿宋_GB2312"/>
                <w:sz w:val="24"/>
                <w:u w:val="single"/>
              </w:rPr>
            </w:pPr>
            <w:r>
              <w:rPr>
                <w:rStyle w:val="33"/>
                <w:rFonts w:ascii="仿宋_GB2312" w:hAnsi="仿宋_GB2312" w:eastAsia="仿宋_GB2312"/>
                <w:sz w:val="24"/>
              </w:rPr>
              <w:t>履约保证金形式：</w:t>
            </w:r>
            <w:r>
              <w:rPr>
                <w:rStyle w:val="33"/>
                <w:rFonts w:ascii="仿宋_GB2312" w:hAnsi="仿宋_GB2312" w:eastAsia="仿宋_GB2312"/>
                <w:sz w:val="24"/>
                <w:u w:val="single" w:color="000000"/>
              </w:rPr>
              <w:t>公对公转账</w:t>
            </w:r>
          </w:p>
          <w:p>
            <w:pPr>
              <w:snapToGrid w:val="0"/>
              <w:spacing w:line="240" w:lineRule="atLeast"/>
              <w:rPr>
                <w:rStyle w:val="33"/>
                <w:rFonts w:ascii="仿宋_GB2312" w:hAnsi="仿宋_GB2312" w:eastAsia="仿宋_GB2312"/>
                <w:sz w:val="24"/>
                <w:u w:val="single"/>
              </w:rPr>
            </w:pPr>
            <w:r>
              <w:rPr>
                <w:rStyle w:val="33"/>
                <w:rFonts w:ascii="仿宋_GB2312" w:hAnsi="仿宋_GB2312" w:eastAsia="仿宋_GB2312"/>
                <w:sz w:val="24"/>
              </w:rPr>
              <w:t>提交履约保证金的时间：</w:t>
            </w:r>
            <w:r>
              <w:rPr>
                <w:rStyle w:val="33"/>
                <w:rFonts w:ascii="仿宋_GB2312" w:hAnsi="仿宋_GB2312" w:eastAsia="仿宋_GB2312"/>
                <w:sz w:val="24"/>
                <w:lang w:val="zh-CN"/>
              </w:rPr>
              <w:t>中标、成交通知书发放后，政府采购合同签订前。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32</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中标服务费：本项目不收取中标服务费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33.1</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 xml:space="preserve">本项目是否属于信用担保试点范围：否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33.2</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3"/>
                <w:rFonts w:ascii="仿宋_GB2312" w:hAnsi="仿宋_GB2312" w:eastAsia="仿宋_GB2312"/>
                <w:sz w:val="24"/>
              </w:rPr>
            </w:pPr>
            <w:r>
              <w:rPr>
                <w:rStyle w:val="33"/>
                <w:rFonts w:ascii="仿宋_GB2312" w:hAnsi="仿宋_GB2312" w:eastAsia="仿宋_GB2312"/>
                <w:sz w:val="24"/>
              </w:rPr>
              <w:t>政府采购专业担保机构：无</w:t>
            </w:r>
          </w:p>
          <w:p>
            <w:pPr>
              <w:snapToGrid w:val="0"/>
              <w:spacing w:line="240" w:lineRule="atLeast"/>
              <w:ind w:left="-48" w:leftChars="-23" w:firstLine="48" w:firstLineChars="20"/>
              <w:rPr>
                <w:rStyle w:val="33"/>
                <w:rFonts w:ascii="仿宋_GB2312" w:hAnsi="仿宋_GB2312" w:eastAsia="仿宋_GB2312"/>
                <w:sz w:val="24"/>
              </w:rPr>
            </w:pPr>
            <w:r>
              <w:rPr>
                <w:rStyle w:val="33"/>
                <w:rFonts w:ascii="仿宋_GB2312" w:hAnsi="仿宋_GB2312" w:eastAsia="仿宋_GB2312"/>
                <w:sz w:val="24"/>
              </w:rPr>
              <w:t>本项目采购人本级和上级财政部门政府采购有关规定增加的担保机构：无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34.3</w:t>
            </w:r>
          </w:p>
        </w:tc>
        <w:tc>
          <w:tcPr>
            <w:tcW w:w="7222"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ind w:left="710" w:leftChars="-23" w:hanging="758"/>
              <w:rPr>
                <w:rStyle w:val="33"/>
                <w:rFonts w:ascii="仿宋_GB2312" w:hAnsi="仿宋_GB2312" w:eastAsia="仿宋_GB2312"/>
                <w:sz w:val="24"/>
              </w:rPr>
            </w:pPr>
            <w:r>
              <w:rPr>
                <w:rStyle w:val="33"/>
                <w:rFonts w:ascii="仿宋_GB2312" w:hAnsi="仿宋_GB2312" w:eastAsia="仿宋_GB2312"/>
                <w:sz w:val="24"/>
              </w:rPr>
              <w:t>反腐倡廉监督电话/邮箱：</w:t>
            </w:r>
            <w:r>
              <w:rPr>
                <w:rStyle w:val="33"/>
                <w:rFonts w:ascii="仿宋_GB2312" w:hAnsi="仿宋_GB2312" w:eastAsia="仿宋_GB2312"/>
                <w:sz w:val="24"/>
                <w:u w:val="single" w:color="000000"/>
              </w:rPr>
              <w:t>0998-6722230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31" w:type="dxa"/>
            <w:tcBorders>
              <w:top w:val="single" w:color="000000" w:sz="6" w:space="0"/>
              <w:left w:val="single" w:color="000000" w:sz="12" w:space="0"/>
              <w:bottom w:val="single" w:color="000000" w:sz="12" w:space="0"/>
              <w:right w:val="single" w:color="000000" w:sz="6" w:space="0"/>
            </w:tcBorders>
            <w:vAlign w:val="center"/>
          </w:tcPr>
          <w:p>
            <w:pPr>
              <w:snapToGrid w:val="0"/>
              <w:spacing w:line="240" w:lineRule="atLeast"/>
              <w:ind w:left="1080" w:leftChars="257" w:hanging="540"/>
              <w:rPr>
                <w:rStyle w:val="33"/>
                <w:rFonts w:ascii="仿宋_GB2312" w:hAnsi="仿宋_GB2312" w:eastAsia="仿宋_GB2312"/>
                <w:sz w:val="24"/>
              </w:rPr>
            </w:pPr>
            <w:r>
              <w:rPr>
                <w:rStyle w:val="33"/>
                <w:rFonts w:ascii="仿宋_GB2312" w:hAnsi="仿宋_GB2312" w:eastAsia="仿宋_GB2312"/>
                <w:sz w:val="24"/>
              </w:rPr>
              <w:t>36.3</w:t>
            </w:r>
          </w:p>
        </w:tc>
        <w:tc>
          <w:tcPr>
            <w:tcW w:w="7222" w:type="dxa"/>
            <w:tcBorders>
              <w:top w:val="single" w:color="000000" w:sz="6" w:space="0"/>
              <w:left w:val="single" w:color="000000" w:sz="6" w:space="0"/>
              <w:bottom w:val="single" w:color="000000" w:sz="12" w:space="0"/>
              <w:right w:val="single" w:color="000000" w:sz="12" w:space="0"/>
            </w:tcBorders>
            <w:vAlign w:val="center"/>
          </w:tcPr>
          <w:p>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接收部门：</w:t>
            </w:r>
            <w:r>
              <w:rPr>
                <w:rFonts w:hint="eastAsia" w:ascii="仿宋_GB2312" w:hAnsi="仿宋_GB2312" w:eastAsia="仿宋_GB2312" w:cs="仿宋_GB2312"/>
                <w:sz w:val="24"/>
                <w:u w:val="single"/>
              </w:rPr>
              <w:t>伽师县政府采购管理办公室</w:t>
            </w:r>
          </w:p>
          <w:p>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15384946619</w:t>
            </w:r>
          </w:p>
          <w:p>
            <w:pPr>
              <w:snapToGrid w:val="0"/>
              <w:spacing w:line="240" w:lineRule="atLeast"/>
              <w:ind w:left="710" w:leftChars="-23" w:hanging="758"/>
              <w:rPr>
                <w:rStyle w:val="33"/>
                <w:rFonts w:ascii="仿宋_GB2312" w:hAnsi="仿宋_GB2312" w:eastAsia="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伽师县行政审批局四楼 </w:t>
            </w:r>
          </w:p>
        </w:tc>
      </w:tr>
    </w:tbl>
    <w:p>
      <w:pPr>
        <w:snapToGrid w:val="0"/>
        <w:spacing w:line="240" w:lineRule="atLeast"/>
        <w:ind w:left="1080" w:leftChars="257" w:hanging="540"/>
        <w:rPr>
          <w:rStyle w:val="33"/>
          <w:rFonts w:ascii="仿宋_GB2312" w:hAnsi="仿宋_GB2312" w:eastAsia="仿宋_GB2312"/>
          <w:sz w:val="24"/>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pPr>
        <w:pStyle w:val="4"/>
        <w:tabs>
          <w:tab w:val="left" w:pos="0"/>
        </w:tabs>
        <w:snapToGrid w:val="0"/>
        <w:spacing w:before="0" w:after="0" w:line="240" w:lineRule="atLeast"/>
        <w:rPr>
          <w:rFonts w:ascii="仿宋_GB2312" w:hAnsi="仿宋_GB2312" w:eastAsia="仿宋_GB2312" w:cs="仿宋_GB2312"/>
          <w:sz w:val="44"/>
          <w:szCs w:val="44"/>
        </w:rPr>
      </w:pPr>
      <w:bookmarkStart w:id="927" w:name="_Toc14991"/>
      <w:r>
        <w:rPr>
          <w:rFonts w:hint="eastAsia" w:ascii="仿宋_GB2312" w:hAnsi="仿宋_GB2312" w:eastAsia="仿宋_GB2312" w:cs="仿宋_GB2312"/>
          <w:sz w:val="44"/>
          <w:szCs w:val="44"/>
        </w:rPr>
        <w:t>第五章  货物需求一览表及技术规格</w:t>
      </w:r>
      <w:bookmarkEnd w:id="927"/>
    </w:p>
    <w:p>
      <w:pPr>
        <w:snapToGrid w:val="0"/>
        <w:spacing w:line="312" w:lineRule="auto"/>
        <w:rPr>
          <w:rStyle w:val="33"/>
          <w:rFonts w:ascii="仿宋_GB2312" w:hAnsi="仿宋_GB2312" w:eastAsia="仿宋_GB2312" w:cs="仿宋_GB2312"/>
          <w:bCs/>
          <w:sz w:val="30"/>
          <w:szCs w:val="30"/>
        </w:rPr>
      </w:pPr>
    </w:p>
    <w:p>
      <w:pPr>
        <w:snapToGrid w:val="0"/>
        <w:spacing w:line="500" w:lineRule="exact"/>
        <w:rPr>
          <w:rStyle w:val="33"/>
          <w:rFonts w:ascii="仿宋" w:hAnsi="仿宋" w:eastAsia="仿宋"/>
          <w:sz w:val="24"/>
          <w:szCs w:val="22"/>
        </w:rPr>
      </w:pPr>
      <w:r>
        <w:rPr>
          <w:rStyle w:val="33"/>
          <w:rFonts w:ascii="仿宋" w:hAnsi="仿宋" w:eastAsia="仿宋"/>
          <w:sz w:val="24"/>
        </w:rPr>
        <w:t>项目名称：</w:t>
      </w:r>
      <w:r>
        <w:rPr>
          <w:rStyle w:val="33"/>
          <w:rFonts w:hint="eastAsia" w:ascii="仿宋" w:hAnsi="仿宋" w:eastAsia="仿宋"/>
          <w:sz w:val="24"/>
          <w:szCs w:val="22"/>
        </w:rPr>
        <w:t>伽师县公安局警用服装采购项目</w:t>
      </w:r>
    </w:p>
    <w:p>
      <w:pPr>
        <w:snapToGrid w:val="0"/>
        <w:spacing w:line="500" w:lineRule="exact"/>
        <w:rPr>
          <w:rStyle w:val="33"/>
          <w:rFonts w:ascii="仿宋" w:hAnsi="仿宋" w:eastAsia="仿宋"/>
          <w:sz w:val="24"/>
          <w:szCs w:val="22"/>
        </w:rPr>
      </w:pPr>
      <w:r>
        <w:rPr>
          <w:rStyle w:val="33"/>
          <w:rFonts w:ascii="仿宋" w:hAnsi="仿宋" w:eastAsia="仿宋"/>
          <w:sz w:val="24"/>
          <w:szCs w:val="22"/>
        </w:rPr>
        <w:t>项目编号：</w:t>
      </w:r>
      <w:r>
        <w:rPr>
          <w:rStyle w:val="33"/>
          <w:rFonts w:hint="eastAsia" w:ascii="仿宋" w:hAnsi="仿宋" w:eastAsia="仿宋"/>
          <w:sz w:val="24"/>
          <w:szCs w:val="22"/>
        </w:rPr>
        <w:t>KSJSX(GK)2024-</w:t>
      </w:r>
      <w:r>
        <w:rPr>
          <w:rStyle w:val="33"/>
          <w:rFonts w:hint="eastAsia" w:ascii="仿宋" w:hAnsi="仿宋" w:eastAsia="仿宋"/>
          <w:sz w:val="24"/>
          <w:szCs w:val="22"/>
          <w:lang w:val="en-US" w:eastAsia="zh-CN"/>
        </w:rPr>
        <w:t>22</w:t>
      </w:r>
      <w:r>
        <w:rPr>
          <w:rStyle w:val="33"/>
          <w:rFonts w:hint="eastAsia" w:ascii="仿宋" w:hAnsi="仿宋" w:eastAsia="仿宋"/>
          <w:sz w:val="24"/>
          <w:szCs w:val="22"/>
        </w:rPr>
        <w:t xml:space="preserve"> </w:t>
      </w:r>
    </w:p>
    <w:p>
      <w:pPr>
        <w:pStyle w:val="20"/>
      </w:pPr>
    </w:p>
    <w:p>
      <w:pPr>
        <w:numPr>
          <w:ilvl w:val="0"/>
          <w:numId w:val="11"/>
        </w:numPr>
        <w:snapToGrid w:val="0"/>
        <w:spacing w:line="288" w:lineRule="auto"/>
        <w:rPr>
          <w:rStyle w:val="33"/>
          <w:rFonts w:ascii="仿宋" w:hAnsi="仿宋" w:eastAsia="仿宋"/>
          <w:sz w:val="28"/>
          <w:szCs w:val="36"/>
        </w:rPr>
      </w:pPr>
      <w:r>
        <w:rPr>
          <w:rStyle w:val="33"/>
          <w:rFonts w:ascii="仿宋_GB2312" w:hAnsi="仿宋_GB2312" w:eastAsia="仿宋_GB2312"/>
          <w:b/>
          <w:sz w:val="30"/>
          <w:szCs w:val="30"/>
        </w:rPr>
        <w:t>投标企业资格要求：</w:t>
      </w:r>
      <w:r>
        <w:rPr>
          <w:rStyle w:val="33"/>
          <w:rFonts w:ascii="仿宋" w:hAnsi="仿宋" w:eastAsia="仿宋"/>
          <w:sz w:val="28"/>
          <w:szCs w:val="36"/>
        </w:rPr>
        <w:t>按照须知表内要求。</w:t>
      </w:r>
    </w:p>
    <w:p>
      <w:pPr>
        <w:snapToGrid w:val="0"/>
        <w:spacing w:line="560" w:lineRule="exact"/>
        <w:rPr>
          <w:rFonts w:ascii="宋体" w:hAnsi="宋体" w:cs="宋体"/>
          <w:b/>
          <w:bCs/>
          <w:kern w:val="0"/>
          <w:sz w:val="32"/>
          <w:szCs w:val="32"/>
          <w:lang w:bidi="ar"/>
        </w:rPr>
      </w:pPr>
      <w:r>
        <w:rPr>
          <w:rStyle w:val="33"/>
          <w:rFonts w:hint="eastAsia" w:ascii="仿宋" w:hAnsi="仿宋" w:eastAsia="仿宋"/>
          <w:sz w:val="28"/>
          <w:szCs w:val="36"/>
        </w:rPr>
        <w:t>二、</w:t>
      </w:r>
      <w:r>
        <w:rPr>
          <w:rStyle w:val="33"/>
          <w:rFonts w:ascii="仿宋_GB2312" w:hAnsi="仿宋_GB2312" w:eastAsia="仿宋_GB2312"/>
          <w:b/>
          <w:sz w:val="30"/>
          <w:szCs w:val="30"/>
        </w:rPr>
        <w:t>投标产品要求：</w:t>
      </w:r>
      <w:bookmarkStart w:id="928" w:name="_Toc140751559"/>
      <w:bookmarkStart w:id="929" w:name="_Toc22880"/>
    </w:p>
    <w:p>
      <w:pPr>
        <w:pStyle w:val="20"/>
        <w:tabs>
          <w:tab w:val="left" w:pos="502"/>
        </w:tabs>
        <w:ind w:firstLine="562" w:firstLineChars="200"/>
        <w:rPr>
          <w:rFonts w:hint="eastAsia" w:ascii="仿宋" w:hAnsi="仿宋" w:eastAsia="仿宋" w:cs="仿宋"/>
          <w:sz w:val="28"/>
          <w:szCs w:val="28"/>
        </w:rPr>
      </w:pPr>
      <w:r>
        <w:rPr>
          <w:rFonts w:hint="eastAsia" w:ascii="仿宋" w:hAnsi="仿宋" w:eastAsia="仿宋" w:cs="仿宋"/>
          <w:b/>
          <w:bCs/>
          <w:sz w:val="28"/>
          <w:szCs w:val="28"/>
        </w:rPr>
        <w:t>一、项目建设情况：</w:t>
      </w:r>
      <w:r>
        <w:rPr>
          <w:rFonts w:hint="eastAsia" w:ascii="仿宋" w:hAnsi="仿宋" w:eastAsia="仿宋" w:cs="仿宋"/>
          <w:sz w:val="28"/>
          <w:szCs w:val="28"/>
        </w:rPr>
        <w:t>根据我局需要拟采购一批警用服装。本项目包括</w:t>
      </w:r>
      <w:r>
        <w:rPr>
          <w:rFonts w:hint="eastAsia" w:ascii="仿宋" w:hAnsi="仿宋" w:eastAsia="仿宋" w:cs="仿宋"/>
          <w:sz w:val="28"/>
          <w:szCs w:val="28"/>
          <w:lang w:val="en-US" w:eastAsia="zh-CN"/>
        </w:rPr>
        <w:t>服装</w:t>
      </w:r>
      <w:r>
        <w:rPr>
          <w:rFonts w:hint="eastAsia" w:ascii="仿宋" w:hAnsi="仿宋" w:eastAsia="仿宋" w:cs="仿宋"/>
          <w:sz w:val="28"/>
          <w:szCs w:val="28"/>
        </w:rPr>
        <w:t>采购、运输等全部费用的交钥匙项目。</w:t>
      </w:r>
    </w:p>
    <w:p>
      <w:pPr>
        <w:pStyle w:val="8"/>
        <w:widowControl w:val="0"/>
        <w:ind w:left="0" w:leftChars="0" w:firstLine="562" w:firstLineChars="200"/>
        <w:rPr>
          <w:rFonts w:ascii="仿宋" w:hAnsi="仿宋" w:eastAsia="仿宋" w:cs="仿宋"/>
          <w:sz w:val="28"/>
          <w:szCs w:val="28"/>
        </w:rPr>
      </w:pPr>
      <w:r>
        <w:rPr>
          <w:rFonts w:hint="eastAsia" w:ascii="仿宋" w:hAnsi="仿宋" w:eastAsia="仿宋" w:cs="仿宋"/>
          <w:b/>
          <w:bCs/>
          <w:sz w:val="28"/>
          <w:szCs w:val="28"/>
        </w:rPr>
        <w:t>二、质保期及售后服务：</w:t>
      </w:r>
      <w:r>
        <w:rPr>
          <w:rFonts w:hint="eastAsia" w:ascii="仿宋" w:hAnsi="仿宋" w:eastAsia="仿宋" w:cs="仿宋"/>
          <w:sz w:val="28"/>
          <w:szCs w:val="28"/>
        </w:rPr>
        <w:t>质保期为壹年。</w:t>
      </w:r>
    </w:p>
    <w:p>
      <w:pPr>
        <w:pStyle w:val="8"/>
        <w:widowControl w:val="0"/>
        <w:ind w:left="0" w:leftChars="0" w:firstLine="560" w:firstLineChars="200"/>
        <w:rPr>
          <w:rFonts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val="en-US" w:eastAsia="zh-CN"/>
        </w:rPr>
        <w:t>货物</w:t>
      </w:r>
      <w:r>
        <w:rPr>
          <w:rFonts w:hint="eastAsia" w:ascii="仿宋" w:hAnsi="仿宋" w:eastAsia="仿宋" w:cs="仿宋"/>
          <w:sz w:val="28"/>
          <w:szCs w:val="28"/>
        </w:rPr>
        <w:t>交付使用后，卖方应对</w:t>
      </w:r>
      <w:r>
        <w:rPr>
          <w:rFonts w:hint="eastAsia" w:ascii="仿宋" w:hAnsi="仿宋" w:eastAsia="仿宋" w:cs="仿宋"/>
          <w:sz w:val="28"/>
          <w:szCs w:val="28"/>
          <w:lang w:val="en-US" w:eastAsia="zh-CN"/>
        </w:rPr>
        <w:t>货物</w:t>
      </w:r>
      <w:r>
        <w:rPr>
          <w:rFonts w:hint="eastAsia" w:ascii="仿宋" w:hAnsi="仿宋" w:eastAsia="仿宋" w:cs="仿宋"/>
          <w:sz w:val="28"/>
          <w:szCs w:val="28"/>
        </w:rPr>
        <w:t>质保期壹年内及其以后的服务做出承诺，并具有切实可行的措施,不能及时兑现服务承诺内容而影响买方使用，卖方应怎样给予补偿，在投标书中均应明确说明。</w:t>
      </w:r>
    </w:p>
    <w:p>
      <w:pPr>
        <w:pStyle w:val="8"/>
        <w:widowControl w:val="0"/>
        <w:ind w:left="0" w:leftChars="0" w:firstLine="562" w:firstLineChars="200"/>
        <w:rPr>
          <w:rFonts w:ascii="仿宋" w:hAnsi="仿宋" w:eastAsia="仿宋" w:cs="仿宋"/>
          <w:sz w:val="28"/>
          <w:szCs w:val="28"/>
        </w:rPr>
      </w:pPr>
      <w:r>
        <w:rPr>
          <w:rFonts w:hint="eastAsia" w:ascii="仿宋" w:hAnsi="仿宋" w:eastAsia="仿宋" w:cs="仿宋"/>
          <w:b/>
          <w:bCs/>
          <w:sz w:val="28"/>
          <w:szCs w:val="28"/>
        </w:rPr>
        <w:t>三、验 收：</w:t>
      </w:r>
      <w:r>
        <w:rPr>
          <w:rFonts w:hint="eastAsia" w:ascii="仿宋" w:hAnsi="仿宋" w:eastAsia="仿宋" w:cs="仿宋"/>
          <w:sz w:val="28"/>
          <w:szCs w:val="28"/>
        </w:rPr>
        <w:t>严格按照招投标文件参数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数量</w:t>
      </w:r>
      <w:r>
        <w:rPr>
          <w:rFonts w:hint="eastAsia" w:ascii="仿宋" w:hAnsi="仿宋" w:eastAsia="仿宋" w:cs="仿宋"/>
          <w:sz w:val="28"/>
          <w:szCs w:val="28"/>
        </w:rPr>
        <w:t>进行验收，有一项不达到要求，均不准予验收。</w:t>
      </w:r>
    </w:p>
    <w:p>
      <w:pPr>
        <w:pStyle w:val="8"/>
        <w:ind w:left="0" w:leftChars="0" w:firstLine="562" w:firstLineChars="200"/>
        <w:rPr>
          <w:rFonts w:ascii="仿宋" w:hAnsi="仿宋" w:eastAsia="仿宋" w:cs="仿宋"/>
          <w:sz w:val="28"/>
          <w:szCs w:val="28"/>
        </w:rPr>
      </w:pPr>
      <w:r>
        <w:rPr>
          <w:rFonts w:hint="eastAsia" w:ascii="仿宋" w:hAnsi="仿宋" w:eastAsia="仿宋" w:cs="仿宋"/>
          <w:b/>
          <w:bCs/>
          <w:sz w:val="28"/>
          <w:szCs w:val="28"/>
        </w:rPr>
        <w:t>四、交货期：</w:t>
      </w:r>
      <w:r>
        <w:rPr>
          <w:rFonts w:hint="eastAsia" w:ascii="仿宋" w:hAnsi="仿宋" w:eastAsia="仿宋" w:cs="仿宋"/>
          <w:sz w:val="28"/>
          <w:szCs w:val="28"/>
        </w:rPr>
        <w:t>签订合同后5日内必须完成供货，保证正常投入使用。如未按供货期完成所有货物到达指定地点。承担违约责任。顺延下一中标候选人中标。</w:t>
      </w:r>
    </w:p>
    <w:p>
      <w:pPr>
        <w:pStyle w:val="8"/>
        <w:ind w:left="0" w:leftChars="0" w:firstLine="562" w:firstLineChars="200"/>
        <w:rPr>
          <w:rFonts w:ascii="仿宋" w:hAnsi="仿宋" w:eastAsia="仿宋" w:cs="仿宋"/>
          <w:b/>
          <w:bCs/>
          <w:color w:val="FF0000"/>
          <w:sz w:val="28"/>
          <w:szCs w:val="28"/>
        </w:rPr>
      </w:pPr>
      <w:r>
        <w:rPr>
          <w:rFonts w:hint="eastAsia" w:ascii="仿宋" w:hAnsi="仿宋" w:eastAsia="仿宋" w:cs="仿宋"/>
          <w:b/>
          <w:bCs/>
          <w:sz w:val="28"/>
          <w:szCs w:val="28"/>
        </w:rPr>
        <w:t>五、付款方式：</w:t>
      </w:r>
      <w:r>
        <w:rPr>
          <w:rFonts w:hint="eastAsia" w:ascii="仿宋" w:hAnsi="仿宋" w:eastAsia="仿宋" w:cs="仿宋"/>
          <w:sz w:val="28"/>
          <w:szCs w:val="28"/>
          <w:lang w:val="en-US" w:eastAsia="zh-CN"/>
        </w:rPr>
        <w:t>以合同约定为准</w:t>
      </w:r>
      <w:r>
        <w:rPr>
          <w:rFonts w:hint="eastAsia" w:ascii="仿宋" w:hAnsi="仿宋" w:eastAsia="仿宋" w:cs="仿宋"/>
          <w:sz w:val="28"/>
          <w:szCs w:val="28"/>
        </w:rPr>
        <w:t>。</w:t>
      </w:r>
    </w:p>
    <w:p>
      <w:pPr>
        <w:jc w:val="center"/>
        <w:rPr>
          <w:rFonts w:ascii="Arial" w:hAnsi="宋体"/>
          <w:b/>
          <w:bCs/>
          <w:color w:val="000000"/>
          <w:sz w:val="36"/>
          <w:szCs w:val="44"/>
        </w:rPr>
      </w:pPr>
    </w:p>
    <w:p>
      <w:pPr>
        <w:tabs>
          <w:tab w:val="left" w:pos="1003"/>
        </w:tabs>
        <w:spacing w:before="55"/>
        <w:ind w:right="113"/>
        <w:jc w:val="center"/>
        <w:rPr>
          <w:b/>
          <w:sz w:val="32"/>
        </w:rPr>
      </w:pPr>
      <w:r>
        <w:rPr>
          <w:b/>
          <w:sz w:val="32"/>
        </w:rPr>
        <w:t>货物参数</w:t>
      </w:r>
    </w:p>
    <w:p>
      <w:pPr>
        <w:pStyle w:val="7"/>
      </w:pPr>
    </w:p>
    <w:tbl>
      <w:tblPr>
        <w:tblStyle w:val="2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76"/>
        <w:gridCol w:w="5097"/>
        <w:gridCol w:w="992"/>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04" w:type="dxa"/>
            <w:vAlign w:val="center"/>
          </w:tcPr>
          <w:p>
            <w:pPr>
              <w:widowControl w:val="0"/>
              <w:jc w:val="center"/>
              <w:rPr>
                <w:rFonts w:eastAsiaTheme="minorEastAsia"/>
                <w:szCs w:val="21"/>
              </w:rPr>
            </w:pPr>
            <w:r>
              <w:rPr>
                <w:rFonts w:hint="eastAsia"/>
                <w:szCs w:val="21"/>
              </w:rPr>
              <w:t>序号</w:t>
            </w:r>
          </w:p>
        </w:tc>
        <w:tc>
          <w:tcPr>
            <w:tcW w:w="1176" w:type="dxa"/>
            <w:vAlign w:val="center"/>
          </w:tcPr>
          <w:p>
            <w:pPr>
              <w:widowControl w:val="0"/>
              <w:jc w:val="center"/>
              <w:rPr>
                <w:rFonts w:eastAsiaTheme="minorEastAsia"/>
                <w:szCs w:val="21"/>
              </w:rPr>
            </w:pPr>
            <w:r>
              <w:rPr>
                <w:rFonts w:hint="eastAsia"/>
                <w:szCs w:val="21"/>
              </w:rPr>
              <w:t>项目名称</w:t>
            </w:r>
          </w:p>
        </w:tc>
        <w:tc>
          <w:tcPr>
            <w:tcW w:w="5097" w:type="dxa"/>
            <w:vAlign w:val="center"/>
          </w:tcPr>
          <w:p>
            <w:pPr>
              <w:widowControl w:val="0"/>
              <w:jc w:val="center"/>
              <w:rPr>
                <w:rFonts w:eastAsiaTheme="minorEastAsia"/>
                <w:szCs w:val="21"/>
              </w:rPr>
            </w:pPr>
            <w:r>
              <w:rPr>
                <w:rFonts w:hint="eastAsia"/>
                <w:szCs w:val="21"/>
              </w:rPr>
              <w:t>技术参数</w:t>
            </w:r>
          </w:p>
        </w:tc>
        <w:tc>
          <w:tcPr>
            <w:tcW w:w="992" w:type="dxa"/>
            <w:vAlign w:val="center"/>
          </w:tcPr>
          <w:p>
            <w:pPr>
              <w:widowControl w:val="0"/>
              <w:jc w:val="center"/>
              <w:rPr>
                <w:rFonts w:eastAsiaTheme="minorEastAsia"/>
                <w:szCs w:val="21"/>
              </w:rPr>
            </w:pPr>
            <w:r>
              <w:rPr>
                <w:rFonts w:hint="eastAsia"/>
                <w:szCs w:val="21"/>
              </w:rPr>
              <w:t>单位</w:t>
            </w:r>
          </w:p>
        </w:tc>
        <w:tc>
          <w:tcPr>
            <w:tcW w:w="734" w:type="dxa"/>
            <w:vAlign w:val="center"/>
          </w:tcPr>
          <w:p>
            <w:pPr>
              <w:widowControl w:val="0"/>
              <w:jc w:val="center"/>
              <w:rPr>
                <w:rFonts w:eastAsiaTheme="minorEastAsia"/>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jc w:val="center"/>
              <w:rPr>
                <w:szCs w:val="21"/>
              </w:rPr>
            </w:pPr>
            <w:r>
              <w:rPr>
                <w:rFonts w:hint="eastAsia"/>
                <w:szCs w:val="21"/>
              </w:rPr>
              <w:t>1</w:t>
            </w:r>
          </w:p>
        </w:tc>
        <w:tc>
          <w:tcPr>
            <w:tcW w:w="1176"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春秋执勤服</w:t>
            </w:r>
            <w:r>
              <w:rPr>
                <w:rFonts w:hint="eastAsia" w:ascii="宋体" w:hAnsi="宋体" w:cs="宋体"/>
                <w:szCs w:val="21"/>
              </w:rPr>
              <w:t>※</w:t>
            </w:r>
          </w:p>
        </w:tc>
        <w:tc>
          <w:tcPr>
            <w:tcW w:w="5097" w:type="dxa"/>
          </w:tcPr>
          <w:p>
            <w:pPr>
              <w:widowControl/>
              <w:jc w:val="left"/>
              <w:textAlignment w:val="center"/>
              <w:rPr>
                <w:rFonts w:ascii="宋体" w:hAnsi="宋体" w:cs="宋体"/>
                <w:szCs w:val="21"/>
              </w:rPr>
            </w:pPr>
            <w:r>
              <w:rPr>
                <w:rFonts w:hint="eastAsia" w:ascii="宋体" w:hAnsi="宋体" w:cs="宋体"/>
                <w:kern w:val="0"/>
                <w:szCs w:val="21"/>
                <w:lang w:bidi="ar"/>
              </w:rPr>
              <w:t>参照执行GA563-2009款式、规格和质量要求。</w:t>
            </w:r>
            <w:r>
              <w:rPr>
                <w:rFonts w:hint="eastAsia" w:ascii="宋体" w:hAnsi="宋体" w:cs="宋体"/>
                <w:kern w:val="0"/>
                <w:szCs w:val="21"/>
                <w:lang w:bidi="ar"/>
              </w:rPr>
              <w:br w:type="textWrapping"/>
            </w:r>
            <w:r>
              <w:rPr>
                <w:rFonts w:hint="eastAsia" w:ascii="宋体" w:hAnsi="宋体" w:cs="宋体"/>
                <w:kern w:val="0"/>
                <w:szCs w:val="21"/>
                <w:lang w:bidi="ar"/>
              </w:rPr>
              <w:t>藏青色立领夹克式样(T/R斜纹哔叽（含导电丝）：</w:t>
            </w:r>
            <w:r>
              <w:rPr>
                <w:rFonts w:hint="eastAsia" w:ascii="宋体" w:hAnsi="宋体" w:cs="宋体"/>
                <w:kern w:val="0"/>
                <w:szCs w:val="21"/>
                <w:lang w:bidi="ar"/>
              </w:rPr>
              <w:br w:type="textWrapping"/>
            </w:r>
            <w:r>
              <w:rPr>
                <w:rFonts w:hint="eastAsia" w:ascii="宋体" w:hAnsi="宋体" w:cs="宋体"/>
                <w:kern w:val="0"/>
                <w:szCs w:val="21"/>
                <w:lang w:bidi="ar"/>
              </w:rPr>
              <w:t>1、65/35涤棉双纱贡丝锦</w:t>
            </w:r>
            <w:r>
              <w:rPr>
                <w:rFonts w:hint="eastAsia" w:ascii="宋体" w:hAnsi="宋体" w:cs="宋体"/>
                <w:kern w:val="0"/>
                <w:szCs w:val="21"/>
                <w:lang w:bidi="ar"/>
              </w:rPr>
              <w:br w:type="textWrapping"/>
            </w:r>
            <w:r>
              <w:rPr>
                <w:rFonts w:hint="eastAsia" w:ascii="宋体" w:hAnsi="宋体" w:cs="宋体"/>
                <w:kern w:val="0"/>
                <w:szCs w:val="21"/>
                <w:lang w:bidi="ar"/>
              </w:rPr>
              <w:t>2、耐干摩擦色牢度：4-5级。</w:t>
            </w:r>
            <w:r>
              <w:rPr>
                <w:rFonts w:hint="eastAsia" w:ascii="宋体" w:hAnsi="宋体" w:cs="宋体"/>
                <w:kern w:val="0"/>
                <w:szCs w:val="21"/>
                <w:lang w:bidi="ar"/>
              </w:rPr>
              <w:br w:type="textWrapping"/>
            </w:r>
            <w:r>
              <w:rPr>
                <w:rFonts w:hint="eastAsia" w:ascii="宋体" w:hAnsi="宋体" w:cs="宋体"/>
                <w:kern w:val="0"/>
                <w:szCs w:val="21"/>
                <w:lang w:bidi="ar"/>
              </w:rPr>
              <w:t>3、耐湿摩擦色牢度：3-4级。</w:t>
            </w:r>
            <w:r>
              <w:rPr>
                <w:rFonts w:hint="eastAsia" w:ascii="宋体" w:hAnsi="宋体" w:cs="宋体"/>
                <w:kern w:val="0"/>
                <w:szCs w:val="21"/>
                <w:lang w:bidi="ar"/>
              </w:rPr>
              <w:br w:type="textWrapping"/>
            </w:r>
            <w:r>
              <w:rPr>
                <w:rFonts w:hint="eastAsia" w:ascii="宋体" w:hAnsi="宋体" w:cs="宋体"/>
                <w:kern w:val="0"/>
                <w:szCs w:val="21"/>
                <w:lang w:bidi="ar"/>
              </w:rPr>
              <w:t>4、耐光汗复合色牢度:耐酸4-5级，耐碱4-5级。</w:t>
            </w:r>
            <w:r>
              <w:rPr>
                <w:rFonts w:hint="eastAsia" w:ascii="宋体" w:hAnsi="宋体" w:cs="宋体"/>
                <w:kern w:val="0"/>
                <w:szCs w:val="21"/>
                <w:lang w:bidi="ar"/>
              </w:rPr>
              <w:br w:type="textWrapping"/>
            </w:r>
            <w:r>
              <w:rPr>
                <w:rFonts w:hint="eastAsia" w:ascii="宋体" w:hAnsi="宋体" w:cs="宋体"/>
                <w:kern w:val="0"/>
                <w:szCs w:val="21"/>
                <w:lang w:bidi="ar"/>
              </w:rPr>
              <w:t>5、起毛起球:4级。</w:t>
            </w:r>
            <w:r>
              <w:rPr>
                <w:rFonts w:hint="eastAsia" w:ascii="宋体" w:hAnsi="宋体" w:cs="宋体"/>
                <w:kern w:val="0"/>
                <w:szCs w:val="21"/>
                <w:lang w:bidi="ar"/>
              </w:rPr>
              <w:br w:type="textWrapping"/>
            </w:r>
            <w:r>
              <w:rPr>
                <w:rFonts w:hint="eastAsia" w:ascii="宋体" w:hAnsi="宋体" w:cs="宋体"/>
                <w:kern w:val="0"/>
                <w:szCs w:val="21"/>
                <w:lang w:bidi="ar"/>
              </w:rPr>
              <w:t>6、克重:255±5g/M²)</w:t>
            </w:r>
            <w:r>
              <w:rPr>
                <w:rFonts w:hint="eastAsia" w:ascii="宋体" w:hAnsi="宋体" w:cs="宋体"/>
                <w:kern w:val="0"/>
                <w:szCs w:val="21"/>
                <w:lang w:bidi="ar"/>
              </w:rPr>
              <w:br w:type="textWrapping"/>
            </w:r>
            <w:r>
              <w:rPr>
                <w:rFonts w:hint="eastAsia" w:ascii="宋体" w:hAnsi="宋体" w:cs="宋体"/>
                <w:kern w:val="0"/>
                <w:szCs w:val="21"/>
                <w:lang w:bidi="ar"/>
              </w:rPr>
              <w:t>臂章:有“中华人民共和国”“辅警”“FUJING”字样。</w:t>
            </w:r>
            <w:r>
              <w:rPr>
                <w:rFonts w:hint="eastAsia" w:ascii="宋体" w:hAnsi="宋体" w:cs="宋体"/>
                <w:kern w:val="0"/>
                <w:szCs w:val="21"/>
                <w:lang w:bidi="ar"/>
              </w:rPr>
              <w:br w:type="textWrapping"/>
            </w:r>
            <w:r>
              <w:rPr>
                <w:rFonts w:hint="eastAsia" w:ascii="宋体" w:hAnsi="宋体" w:cs="宋体"/>
                <w:kern w:val="0"/>
                <w:szCs w:val="21"/>
                <w:lang w:bidi="ar"/>
              </w:rPr>
              <w:t>右袖口上有“FUJING”刺绣。</w:t>
            </w:r>
            <w:r>
              <w:rPr>
                <w:rFonts w:hint="eastAsia" w:ascii="宋体" w:hAnsi="宋体" w:cs="宋体"/>
                <w:kern w:val="0"/>
                <w:szCs w:val="21"/>
                <w:lang w:bidi="ar"/>
              </w:rPr>
              <w:br w:type="textWrapping"/>
            </w:r>
            <w:r>
              <w:rPr>
                <w:rFonts w:hint="eastAsia" w:ascii="宋体" w:hAnsi="宋体" w:cs="宋体"/>
                <w:kern w:val="0"/>
                <w:szCs w:val="21"/>
                <w:lang w:bidi="ar"/>
              </w:rPr>
              <w:t>纽扣上有“FUJING”字样</w:t>
            </w:r>
          </w:p>
        </w:tc>
        <w:tc>
          <w:tcPr>
            <w:tcW w:w="992"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734"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jc w:val="center"/>
              <w:rPr>
                <w:szCs w:val="21"/>
              </w:rPr>
            </w:pPr>
            <w:r>
              <w:rPr>
                <w:rFonts w:hint="eastAsia"/>
                <w:szCs w:val="21"/>
              </w:rPr>
              <w:t>2</w:t>
            </w:r>
          </w:p>
        </w:tc>
        <w:tc>
          <w:tcPr>
            <w:tcW w:w="1176" w:type="dxa"/>
            <w:vAlign w:val="center"/>
          </w:tcPr>
          <w:p>
            <w:pPr>
              <w:widowControl/>
              <w:jc w:val="center"/>
              <w:textAlignment w:val="center"/>
              <w:rPr>
                <w:rFonts w:ascii="宋体" w:hAnsi="宋体" w:cs="宋体"/>
                <w:szCs w:val="21"/>
              </w:rPr>
            </w:pPr>
            <w:r>
              <w:rPr>
                <w:rFonts w:hint="eastAsia"/>
                <w:szCs w:val="21"/>
              </w:rPr>
              <w:t>夏执勤服</w:t>
            </w:r>
            <w:r>
              <w:rPr>
                <w:rFonts w:hint="eastAsia" w:ascii="宋体" w:hAnsi="宋体" w:cs="宋体"/>
                <w:szCs w:val="21"/>
              </w:rPr>
              <w:t>※</w:t>
            </w:r>
          </w:p>
        </w:tc>
        <w:tc>
          <w:tcPr>
            <w:tcW w:w="5097" w:type="dxa"/>
          </w:tcPr>
          <w:p>
            <w:pPr>
              <w:widowControl/>
              <w:jc w:val="left"/>
              <w:textAlignment w:val="center"/>
              <w:rPr>
                <w:rFonts w:ascii="宋体" w:hAnsi="宋体" w:cs="宋体"/>
                <w:szCs w:val="21"/>
              </w:rPr>
            </w:pPr>
            <w:r>
              <w:rPr>
                <w:rFonts w:hint="eastAsia" w:ascii="宋体" w:hAnsi="宋体" w:cs="宋体"/>
                <w:kern w:val="0"/>
                <w:szCs w:val="21"/>
                <w:lang w:bidi="ar"/>
              </w:rPr>
              <w:t>参照执行GA255-2009款式、规格和质量要求。面料采用涤棉交织绸，成分涤80%，棉≥20%.面料克重140克。甲醛含量、PH值、撕破强力均≧国家标准。耐光色牢度≥5级，耐摩擦色牢度≥4级，耐皂洗色牢度≥4级，耐汗渍色牢度≥4级，颜色浅蓝色。</w:t>
            </w:r>
            <w:r>
              <w:rPr>
                <w:rFonts w:hint="eastAsia" w:ascii="宋体" w:hAnsi="宋体" w:cs="宋体"/>
                <w:kern w:val="0"/>
                <w:szCs w:val="21"/>
                <w:lang w:bidi="ar"/>
              </w:rPr>
              <w:br w:type="textWrapping"/>
            </w:r>
            <w:r>
              <w:rPr>
                <w:rFonts w:hint="eastAsia" w:ascii="宋体" w:hAnsi="宋体" w:cs="宋体"/>
                <w:kern w:val="0"/>
                <w:szCs w:val="21"/>
                <w:lang w:bidi="ar"/>
              </w:rPr>
              <w:t>衣领上无领花</w:t>
            </w:r>
            <w:r>
              <w:rPr>
                <w:rFonts w:hint="eastAsia" w:ascii="宋体" w:hAnsi="宋体" w:cs="宋体"/>
                <w:kern w:val="0"/>
                <w:szCs w:val="21"/>
                <w:lang w:bidi="ar"/>
              </w:rPr>
              <w:br w:type="textWrapping"/>
            </w:r>
            <w:r>
              <w:rPr>
                <w:rFonts w:hint="eastAsia" w:ascii="宋体" w:hAnsi="宋体" w:cs="宋体"/>
                <w:kern w:val="0"/>
                <w:szCs w:val="21"/>
                <w:lang w:bidi="ar"/>
              </w:rPr>
              <w:t>臂章:有“中华人民共和国”“辅警”“FUJING”字样。</w:t>
            </w:r>
            <w:r>
              <w:rPr>
                <w:rFonts w:hint="eastAsia" w:ascii="宋体" w:hAnsi="宋体" w:cs="宋体"/>
                <w:kern w:val="0"/>
                <w:szCs w:val="21"/>
                <w:lang w:bidi="ar"/>
              </w:rPr>
              <w:br w:type="textWrapping"/>
            </w:r>
            <w:r>
              <w:rPr>
                <w:rFonts w:hint="eastAsia" w:ascii="宋体" w:hAnsi="宋体" w:cs="宋体"/>
                <w:kern w:val="0"/>
                <w:szCs w:val="21"/>
                <w:lang w:bidi="ar"/>
              </w:rPr>
              <w:t>纽扣上有“FUJING”字样</w:t>
            </w:r>
          </w:p>
        </w:tc>
        <w:tc>
          <w:tcPr>
            <w:tcW w:w="992"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734"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jc w:val="center"/>
              <w:rPr>
                <w:szCs w:val="21"/>
              </w:rPr>
            </w:pPr>
            <w:r>
              <w:rPr>
                <w:rFonts w:hint="eastAsia"/>
                <w:szCs w:val="21"/>
              </w:rPr>
              <w:t>3</w:t>
            </w:r>
          </w:p>
        </w:tc>
        <w:tc>
          <w:tcPr>
            <w:tcW w:w="1176" w:type="dxa"/>
            <w:vAlign w:val="center"/>
          </w:tcPr>
          <w:p>
            <w:pPr>
              <w:widowControl/>
              <w:jc w:val="center"/>
              <w:textAlignment w:val="center"/>
              <w:rPr>
                <w:rFonts w:ascii="宋体" w:hAnsi="宋体" w:cs="宋体"/>
                <w:szCs w:val="21"/>
              </w:rPr>
            </w:pPr>
            <w:r>
              <w:rPr>
                <w:rFonts w:hint="eastAsia"/>
                <w:szCs w:val="21"/>
              </w:rPr>
              <w:t>蓝色长袖内衬衣</w:t>
            </w:r>
          </w:p>
        </w:tc>
        <w:tc>
          <w:tcPr>
            <w:tcW w:w="5097" w:type="dxa"/>
          </w:tcPr>
          <w:p>
            <w:pPr>
              <w:widowControl/>
              <w:jc w:val="left"/>
              <w:textAlignment w:val="center"/>
              <w:rPr>
                <w:rFonts w:ascii="宋体" w:hAnsi="宋体" w:cs="宋体"/>
                <w:szCs w:val="21"/>
              </w:rPr>
            </w:pPr>
            <w:r>
              <w:rPr>
                <w:rFonts w:hint="eastAsia" w:ascii="宋体" w:hAnsi="宋体" w:cs="宋体"/>
                <w:b/>
                <w:bCs/>
                <w:kern w:val="0"/>
                <w:szCs w:val="21"/>
                <w:lang w:bidi="ar"/>
              </w:rPr>
              <w:t>参照执行GA255-2009款式、规格和质量要求</w:t>
            </w:r>
            <w:r>
              <w:rPr>
                <w:rFonts w:hint="eastAsia" w:ascii="宋体" w:hAnsi="宋体" w:cs="宋体"/>
                <w:b/>
                <w:bCs/>
                <w:kern w:val="0"/>
                <w:szCs w:val="21"/>
                <w:lang w:eastAsia="zh-CN" w:bidi="ar"/>
              </w:rPr>
              <w:t>，</w:t>
            </w:r>
            <w:r>
              <w:rPr>
                <w:rFonts w:hint="eastAsia" w:ascii="宋体" w:hAnsi="宋体" w:cs="宋体"/>
                <w:b/>
                <w:bCs/>
                <w:kern w:val="0"/>
                <w:szCs w:val="21"/>
                <w:lang w:bidi="ar"/>
              </w:rPr>
              <w:t>面料采用涤棉，成分涤80%，棉≥20%.面料克重</w:t>
            </w:r>
            <w:r>
              <w:rPr>
                <w:rFonts w:hint="eastAsia" w:ascii="宋体" w:hAnsi="宋体" w:cs="宋体"/>
                <w:b/>
                <w:bCs/>
                <w:kern w:val="0"/>
                <w:szCs w:val="21"/>
                <w:lang w:val="en-US" w:eastAsia="zh-CN" w:bidi="ar"/>
              </w:rPr>
              <w:t>130-150</w:t>
            </w:r>
            <w:r>
              <w:rPr>
                <w:rFonts w:hint="eastAsia" w:ascii="宋体" w:hAnsi="宋体" w:cs="宋体"/>
                <w:b/>
                <w:bCs/>
                <w:kern w:val="0"/>
                <w:szCs w:val="21"/>
                <w:lang w:bidi="ar"/>
              </w:rPr>
              <w:t>克。甲醛含量、PH值、撕破强力</w:t>
            </w:r>
            <w:r>
              <w:rPr>
                <w:rFonts w:hint="eastAsia" w:ascii="宋体" w:hAnsi="宋体" w:cs="宋体"/>
                <w:b/>
                <w:bCs/>
                <w:kern w:val="0"/>
                <w:szCs w:val="21"/>
                <w:lang w:eastAsia="zh-CN" w:bidi="ar"/>
              </w:rPr>
              <w:t>均</w:t>
            </w:r>
            <w:bookmarkStart w:id="957" w:name="_GoBack"/>
            <w:bookmarkEnd w:id="957"/>
            <w:r>
              <w:rPr>
                <w:rFonts w:hint="eastAsia" w:ascii="宋体" w:hAnsi="宋体" w:cs="宋体"/>
                <w:b/>
                <w:bCs/>
                <w:kern w:val="0"/>
                <w:szCs w:val="21"/>
                <w:lang w:bidi="ar"/>
              </w:rPr>
              <w:t>≧国家标准。耐光色牢度≥5级，耐摩擦色牢度≥4级，耐皂洗色牢度≥4级，耐汗渍色牢度≥4级，颜色浅蓝色</w:t>
            </w:r>
            <w:r>
              <w:rPr>
                <w:rFonts w:hint="eastAsia" w:ascii="宋体" w:hAnsi="宋体" w:cs="宋体"/>
                <w:b/>
                <w:bCs/>
                <w:kern w:val="0"/>
                <w:szCs w:val="21"/>
                <w:lang w:eastAsia="zh-CN" w:bidi="ar"/>
              </w:rPr>
              <w:t>，</w:t>
            </w:r>
            <w:r>
              <w:rPr>
                <w:rFonts w:hint="eastAsia" w:ascii="宋体" w:hAnsi="宋体" w:cs="宋体"/>
                <w:b/>
                <w:bCs/>
                <w:kern w:val="0"/>
                <w:szCs w:val="21"/>
                <w:lang w:bidi="ar"/>
              </w:rPr>
              <w:t>衣领上无领花</w:t>
            </w:r>
            <w:r>
              <w:rPr>
                <w:rFonts w:hint="eastAsia" w:ascii="宋体" w:hAnsi="宋体" w:cs="宋体"/>
                <w:b/>
                <w:bCs/>
                <w:kern w:val="0"/>
                <w:szCs w:val="21"/>
                <w:lang w:eastAsia="zh-CN" w:bidi="ar"/>
              </w:rPr>
              <w:t>。</w:t>
            </w:r>
          </w:p>
        </w:tc>
        <w:tc>
          <w:tcPr>
            <w:tcW w:w="992"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件</w:t>
            </w:r>
          </w:p>
        </w:tc>
        <w:tc>
          <w:tcPr>
            <w:tcW w:w="734"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jc w:val="center"/>
              <w:rPr>
                <w:szCs w:val="21"/>
              </w:rPr>
            </w:pPr>
            <w:r>
              <w:rPr>
                <w:rFonts w:hint="eastAsia"/>
                <w:szCs w:val="21"/>
              </w:rPr>
              <w:t>4</w:t>
            </w:r>
          </w:p>
        </w:tc>
        <w:tc>
          <w:tcPr>
            <w:tcW w:w="1176" w:type="dxa"/>
            <w:vAlign w:val="center"/>
          </w:tcPr>
          <w:p>
            <w:pPr>
              <w:widowControl/>
              <w:jc w:val="center"/>
              <w:textAlignment w:val="center"/>
              <w:rPr>
                <w:rFonts w:ascii="宋体" w:hAnsi="宋体" w:cs="宋体"/>
                <w:szCs w:val="21"/>
              </w:rPr>
            </w:pPr>
            <w:r>
              <w:rPr>
                <w:rFonts w:hint="eastAsia"/>
                <w:szCs w:val="21"/>
              </w:rPr>
              <w:t>常服</w:t>
            </w:r>
          </w:p>
        </w:tc>
        <w:tc>
          <w:tcPr>
            <w:tcW w:w="5097" w:type="dxa"/>
          </w:tcPr>
          <w:p>
            <w:pPr>
              <w:widowControl/>
              <w:jc w:val="left"/>
              <w:textAlignment w:val="center"/>
              <w:rPr>
                <w:rFonts w:ascii="宋体" w:hAnsi="宋体" w:cs="宋体"/>
                <w:szCs w:val="21"/>
              </w:rPr>
            </w:pPr>
            <w:r>
              <w:rPr>
                <w:rFonts w:hint="eastAsia" w:ascii="宋体" w:hAnsi="宋体" w:cs="宋体"/>
                <w:kern w:val="0"/>
                <w:szCs w:val="21"/>
                <w:lang w:bidi="ar"/>
              </w:rPr>
              <w:t>参照执行GA261—2009（男）  GA262-2009（女）的款式、规格和质量要求。</w:t>
            </w:r>
            <w:r>
              <w:rPr>
                <w:rFonts w:hint="eastAsia" w:ascii="宋体" w:hAnsi="宋体" w:cs="宋体"/>
                <w:kern w:val="0"/>
                <w:szCs w:val="21"/>
                <w:lang w:bidi="ar"/>
              </w:rPr>
              <w:br w:type="textWrapping"/>
            </w:r>
            <w:r>
              <w:rPr>
                <w:rFonts w:hint="eastAsia" w:ascii="宋体" w:hAnsi="宋体" w:cs="宋体"/>
                <w:kern w:val="0"/>
                <w:szCs w:val="21"/>
                <w:lang w:bidi="ar"/>
              </w:rPr>
              <w:t>颜色:藏青色；</w:t>
            </w:r>
            <w:r>
              <w:rPr>
                <w:rFonts w:hint="eastAsia" w:ascii="宋体" w:hAnsi="宋体" w:cs="宋体"/>
                <w:kern w:val="0"/>
                <w:szCs w:val="21"/>
                <w:lang w:bidi="ar"/>
              </w:rPr>
              <w:br w:type="textWrapping"/>
            </w:r>
            <w:r>
              <w:rPr>
                <w:rFonts w:hint="eastAsia" w:ascii="宋体" w:hAnsi="宋体" w:cs="宋体"/>
                <w:kern w:val="0"/>
                <w:szCs w:val="21"/>
                <w:lang w:bidi="ar"/>
              </w:rPr>
              <w:t>(T/R斜纹哔叽（含导电丝）：</w:t>
            </w:r>
            <w:r>
              <w:rPr>
                <w:rFonts w:hint="eastAsia" w:ascii="宋体" w:hAnsi="宋体" w:cs="宋体"/>
                <w:kern w:val="0"/>
                <w:szCs w:val="21"/>
                <w:lang w:bidi="ar"/>
              </w:rPr>
              <w:br w:type="textWrapping"/>
            </w:r>
            <w:r>
              <w:rPr>
                <w:rFonts w:hint="eastAsia" w:ascii="宋体" w:hAnsi="宋体" w:cs="宋体"/>
                <w:kern w:val="0"/>
                <w:szCs w:val="21"/>
                <w:lang w:bidi="ar"/>
              </w:rPr>
              <w:t>1、65/35涤棉双纱贡丝锦</w:t>
            </w:r>
            <w:r>
              <w:rPr>
                <w:rFonts w:hint="eastAsia" w:ascii="宋体" w:hAnsi="宋体" w:cs="宋体"/>
                <w:kern w:val="0"/>
                <w:szCs w:val="21"/>
                <w:lang w:bidi="ar"/>
              </w:rPr>
              <w:br w:type="textWrapping"/>
            </w:r>
            <w:r>
              <w:rPr>
                <w:rFonts w:hint="eastAsia" w:ascii="宋体" w:hAnsi="宋体" w:cs="宋体"/>
                <w:kern w:val="0"/>
                <w:szCs w:val="21"/>
                <w:lang w:bidi="ar"/>
              </w:rPr>
              <w:t>2、耐干摩擦色牢度：4-5级。</w:t>
            </w:r>
            <w:r>
              <w:rPr>
                <w:rFonts w:hint="eastAsia" w:ascii="宋体" w:hAnsi="宋体" w:cs="宋体"/>
                <w:kern w:val="0"/>
                <w:szCs w:val="21"/>
                <w:lang w:bidi="ar"/>
              </w:rPr>
              <w:br w:type="textWrapping"/>
            </w:r>
            <w:r>
              <w:rPr>
                <w:rFonts w:hint="eastAsia" w:ascii="宋体" w:hAnsi="宋体" w:cs="宋体"/>
                <w:kern w:val="0"/>
                <w:szCs w:val="21"/>
                <w:lang w:bidi="ar"/>
              </w:rPr>
              <w:t>3、耐湿摩擦色牢度：3-4级。</w:t>
            </w:r>
            <w:r>
              <w:rPr>
                <w:rFonts w:hint="eastAsia" w:ascii="宋体" w:hAnsi="宋体" w:cs="宋体"/>
                <w:kern w:val="0"/>
                <w:szCs w:val="21"/>
                <w:lang w:bidi="ar"/>
              </w:rPr>
              <w:br w:type="textWrapping"/>
            </w:r>
            <w:r>
              <w:rPr>
                <w:rFonts w:hint="eastAsia" w:ascii="宋体" w:hAnsi="宋体" w:cs="宋体"/>
                <w:kern w:val="0"/>
                <w:szCs w:val="21"/>
                <w:lang w:bidi="ar"/>
              </w:rPr>
              <w:t>4、耐光汗复合色牢度:耐酸4-5级，耐碱4-5级。</w:t>
            </w:r>
            <w:r>
              <w:rPr>
                <w:rFonts w:hint="eastAsia" w:ascii="宋体" w:hAnsi="宋体" w:cs="宋体"/>
                <w:kern w:val="0"/>
                <w:szCs w:val="21"/>
                <w:lang w:bidi="ar"/>
              </w:rPr>
              <w:br w:type="textWrapping"/>
            </w:r>
            <w:r>
              <w:rPr>
                <w:rFonts w:hint="eastAsia" w:ascii="宋体" w:hAnsi="宋体" w:cs="宋体"/>
                <w:kern w:val="0"/>
                <w:szCs w:val="21"/>
                <w:lang w:bidi="ar"/>
              </w:rPr>
              <w:t>5、起毛起球:4级。</w:t>
            </w:r>
            <w:r>
              <w:rPr>
                <w:rFonts w:hint="eastAsia" w:ascii="宋体" w:hAnsi="宋体" w:cs="宋体"/>
                <w:kern w:val="0"/>
                <w:szCs w:val="21"/>
                <w:lang w:bidi="ar"/>
              </w:rPr>
              <w:br w:type="textWrapping"/>
            </w:r>
            <w:r>
              <w:rPr>
                <w:rFonts w:hint="eastAsia" w:ascii="宋体" w:hAnsi="宋体" w:cs="宋体"/>
                <w:kern w:val="0"/>
                <w:szCs w:val="21"/>
                <w:lang w:bidi="ar"/>
              </w:rPr>
              <w:t>6、克重:270±5g/m²)</w:t>
            </w:r>
            <w:r>
              <w:rPr>
                <w:rFonts w:hint="eastAsia" w:ascii="宋体" w:hAnsi="宋体" w:cs="宋体"/>
                <w:kern w:val="0"/>
                <w:szCs w:val="21"/>
                <w:lang w:bidi="ar"/>
              </w:rPr>
              <w:br w:type="textWrapping"/>
            </w:r>
            <w:r>
              <w:rPr>
                <w:rFonts w:hint="eastAsia" w:ascii="宋体" w:hAnsi="宋体" w:cs="宋体"/>
                <w:kern w:val="0"/>
                <w:szCs w:val="21"/>
                <w:lang w:bidi="ar"/>
              </w:rPr>
              <w:t>臂章:有“中华人民共和国”“辅警”“FUJING”字样。</w:t>
            </w:r>
            <w:r>
              <w:rPr>
                <w:rFonts w:hint="eastAsia" w:ascii="宋体" w:hAnsi="宋体" w:cs="宋体"/>
                <w:kern w:val="0"/>
                <w:szCs w:val="21"/>
                <w:lang w:bidi="ar"/>
              </w:rPr>
              <w:br w:type="textWrapping"/>
            </w:r>
            <w:r>
              <w:rPr>
                <w:rFonts w:hint="eastAsia" w:ascii="宋体" w:hAnsi="宋体" w:cs="宋体"/>
                <w:kern w:val="0"/>
                <w:szCs w:val="21"/>
                <w:lang w:bidi="ar"/>
              </w:rPr>
              <w:t>右袖口上有“FUJING”刺绣。</w:t>
            </w:r>
            <w:r>
              <w:rPr>
                <w:rFonts w:hint="eastAsia" w:ascii="宋体" w:hAnsi="宋体" w:cs="宋体"/>
                <w:kern w:val="0"/>
                <w:szCs w:val="21"/>
                <w:lang w:bidi="ar"/>
              </w:rPr>
              <w:br w:type="textWrapping"/>
            </w:r>
            <w:r>
              <w:rPr>
                <w:rFonts w:hint="eastAsia" w:ascii="宋体" w:hAnsi="宋体" w:cs="宋体"/>
                <w:kern w:val="0"/>
                <w:szCs w:val="21"/>
                <w:lang w:bidi="ar"/>
              </w:rPr>
              <w:t>纽扣上有“FUJING”字样。</w:t>
            </w:r>
          </w:p>
        </w:tc>
        <w:tc>
          <w:tcPr>
            <w:tcW w:w="992"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734"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500</w:t>
            </w:r>
          </w:p>
        </w:tc>
      </w:tr>
    </w:tbl>
    <w:p>
      <w:pPr>
        <w:pStyle w:val="11"/>
        <w:ind w:firstLine="480"/>
      </w:pPr>
    </w:p>
    <w:p>
      <w:pPr>
        <w:pStyle w:val="11"/>
        <w:ind w:firstLine="480"/>
      </w:pPr>
    </w:p>
    <w:p>
      <w:pPr>
        <w:pStyle w:val="4"/>
        <w:tabs>
          <w:tab w:val="left" w:pos="0"/>
        </w:tabs>
        <w:snapToGrid w:val="0"/>
        <w:spacing w:before="0" w:after="0" w:line="240" w:lineRule="atLeast"/>
        <w:ind w:firstLine="1325" w:firstLineChars="300"/>
        <w:jc w:val="both"/>
        <w:rPr>
          <w:rFonts w:ascii="仿宋_GB2312" w:hAnsi="仿宋_GB2312" w:eastAsia="仿宋_GB2312" w:cs="仿宋_GB2312"/>
          <w:sz w:val="44"/>
          <w:szCs w:val="44"/>
        </w:rPr>
      </w:pPr>
      <w:r>
        <w:rPr>
          <w:rFonts w:hint="eastAsia" w:ascii="仿宋_GB2312" w:hAnsi="仿宋_GB2312" w:eastAsia="仿宋_GB2312" w:cs="仿宋_GB2312"/>
          <w:sz w:val="44"/>
          <w:szCs w:val="44"/>
        </w:rPr>
        <w:t xml:space="preserve">第六章  </w:t>
      </w:r>
      <w:bookmarkStart w:id="930" w:name="_Toc7971"/>
      <w:bookmarkStart w:id="931" w:name="_Toc32647"/>
      <w:bookmarkStart w:id="932" w:name="_Toc515647832"/>
      <w:bookmarkStart w:id="933" w:name="_Toc23331"/>
      <w:bookmarkStart w:id="934" w:name="_Toc507399907"/>
      <w:r>
        <w:rPr>
          <w:rFonts w:hint="eastAsia" w:ascii="仿宋_GB2312" w:hAnsi="仿宋_GB2312" w:eastAsia="仿宋_GB2312" w:cs="仿宋_GB2312"/>
          <w:sz w:val="44"/>
          <w:szCs w:val="44"/>
        </w:rPr>
        <w:t>评标方法和标准</w:t>
      </w:r>
      <w:bookmarkEnd w:id="928"/>
      <w:bookmarkEnd w:id="929"/>
      <w:bookmarkEnd w:id="930"/>
      <w:bookmarkEnd w:id="931"/>
      <w:bookmarkEnd w:id="932"/>
      <w:bookmarkEnd w:id="933"/>
      <w:bookmarkEnd w:id="934"/>
    </w:p>
    <w:p>
      <w:pPr>
        <w:pStyle w:val="3"/>
        <w:snapToGrid w:val="0"/>
        <w:spacing w:before="0" w:line="240" w:lineRule="atLeast"/>
        <w:ind w:firstLine="540" w:firstLineChars="225"/>
        <w:rPr>
          <w:rFonts w:ascii="仿宋_GB2312" w:hAnsi="仿宋_GB2312" w:eastAsia="仿宋_GB2312" w:cs="仿宋_GB2312"/>
        </w:rPr>
      </w:pP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 总则</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1.1 根据《中华人民共和国政府采购法》、《中华人民共和国政府采购法实施条例》、《政府采购货物和服务招标投标管理办法（财政部第87号令）》等法律制度，结合采购项目特点制定本评标办法。</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1.2 评标工作由采购代理机构负责组织，具体评标事务由采购代理机构依法组建的评标委员会负责。评标委员会由采购人代表和有关技术、经济、法律等方面的专家组成。</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1.3 评标工作应遵循公平、公正、科学及择优的原则，并以相同的评标程序和标准对待所有的投标人。</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1.4 评标委员会按照招标文件规定的评标方法和标准进行评标，并独立履行下列职责：</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（一）审查、评价投标文件是否符合招标文件的商务、技术等实质性要求；</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（二）要求投标人对投标文件有关事项作出澄清或者说明；</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（三）对投标文件进行比较和评价；</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（四）确定中标候选人名单，以及根据采购人委托直接确定中标人；</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（五）向采购人、采购代理机构或者有关部门报告评标中发现的违法行为。</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（六）法律、法规和规章规定的其他职责。</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1.5 评标过程独立、保密。投标人非法干预评标过程的行为将导致其投标文件作为无效处理。</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1.6评标委员会评价投标文件的响应性，对于投标人而言，除评标委员会要求其澄清、说明或者更正而提供的资料外，仅依据投标文件本身的内容，不寻求其他外部证据。</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 xml:space="preserve"> 1.7采购人或者采购代理机构负责组织评标工作，并履行下列职责：</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（一）核对评审专家身份和采购人代表信息，对评审专家在政府采购活动中的职责履行情况予以记录，并及时将有关违法违规行为向财政部门报告；</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（二）宣布评标纪律；</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（三）公布投标人名单，告知评审专家应当回避的情形；</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（四）组织评标委员会推选评标组长，采购人代表不得担任组长；</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（五）在评标期间采取必要的通讯管理措施，保证评标活动不受外界干扰；</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（六）根据评标委员会的要求介绍政府采购相关政策法规、招标文件；</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（七）维护评标秩序，监督评标委员会依照招标文件规定的评标程序、方法和标准进行独立评审，及时制止和纠正采购人代表、评审专家的倾向性言论或者违法违规行为；</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（八）核对评标结果，有财政部87号令第六十四条规定情形的，要求评标委员会复核或者书面说明理由，评标委员会拒绝的，应予记录并向本级财政部门报告；</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　（九）处理与评标有关的其他事项。</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采购人可以在评标前说明项目背景和采购需求，说明内容不得含有歧视性、倾向性意见，不得超出招标文件所述范围。说明应当提交书面材料，并随采购文件一并存档。</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2、评标方法</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本项目评标方法为：综合评分法。</w:t>
      </w:r>
    </w:p>
    <w:p>
      <w:pPr>
        <w:pStyle w:val="3"/>
        <w:snapToGrid w:val="0"/>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3、 评标程序</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3.1熟悉和理解招标文件和停止评标。</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3.1.1评标委员会正式评标前，应当对招标文件进行熟悉和理解，内容主要包括招标文件中采购项目技术、服务和商务要求、评标方法和标准以及可能涉及签订政府采购合同的内容等。</w:t>
      </w:r>
    </w:p>
    <w:p>
      <w:pPr>
        <w:pStyle w:val="3"/>
        <w:snapToGrid w:val="0"/>
        <w:spacing w:before="0" w:line="360" w:lineRule="auto"/>
        <w:ind w:left="-199" w:leftChars="-95" w:firstLine="199" w:firstLineChars="83"/>
        <w:rPr>
          <w:rFonts w:ascii="仿宋_GB2312" w:hAnsi="仿宋_GB2312" w:eastAsia="仿宋_GB2312" w:cs="仿宋_GB2312"/>
          <w:iCs/>
        </w:rPr>
      </w:pPr>
      <w:r>
        <w:rPr>
          <w:rFonts w:hint="eastAsia" w:ascii="仿宋_GB2312" w:hAnsi="仿宋_GB2312" w:eastAsia="仿宋_GB2312" w:cs="仿宋_GB2312"/>
          <w:iCs/>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hint="eastAsia" w:ascii="仿宋" w:hAnsi="仿宋" w:eastAsia="仿宋" w:cs="仿宋"/>
          <w:sz w:val="24"/>
        </w:rPr>
      </w:pPr>
      <w:r>
        <w:rPr>
          <w:rStyle w:val="33"/>
          <w:rFonts w:hint="eastAsia" w:ascii="仿宋_GB2312" w:hAnsi="仿宋_GB2312" w:eastAsia="仿宋_GB2312" w:cs="Times New Roman"/>
          <w:iCs/>
          <w:sz w:val="24"/>
        </w:rPr>
        <w:t>4.1</w:t>
      </w:r>
      <w:r>
        <w:rPr>
          <w:rFonts w:hint="eastAsia" w:ascii="仿宋_GB2312" w:hAnsi="仿宋_GB2312" w:eastAsia="仿宋_GB2312" w:cs="仿宋_GB2312"/>
          <w:iCs/>
          <w:sz w:val="24"/>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sz w:val="24"/>
        </w:rPr>
        <w:t>或省级以上监狱管理局、戒毒管理局（含新疆生产建设兵团）出具的属于监狱企业的证明文件的投标人，其投标报价扣除10%后参与评审。具体办法详见招标文件第6章。</w:t>
      </w:r>
    </w:p>
    <w:p/>
    <w:p>
      <w:r>
        <w:rPr>
          <w:rFonts w:hint="eastAsia" w:ascii="仿宋_GB2312" w:hAnsi="仿宋_GB2312" w:eastAsia="仿宋_GB2312" w:cs="仿宋_GB2312"/>
          <w:b/>
          <w:bCs/>
          <w:iCs/>
        </w:rPr>
        <w:t>5.1资格性检查</w:t>
      </w:r>
    </w:p>
    <w:tbl>
      <w:tblPr>
        <w:tblStyle w:val="24"/>
        <w:tblW w:w="8261" w:type="dxa"/>
        <w:tblInd w:w="-127" w:type="dxa"/>
        <w:tblLayout w:type="fixed"/>
        <w:tblCellMar>
          <w:top w:w="15" w:type="dxa"/>
          <w:left w:w="15" w:type="dxa"/>
          <w:bottom w:w="15" w:type="dxa"/>
          <w:right w:w="15" w:type="dxa"/>
        </w:tblCellMar>
      </w:tblPr>
      <w:tblGrid>
        <w:gridCol w:w="349"/>
        <w:gridCol w:w="383"/>
        <w:gridCol w:w="583"/>
        <w:gridCol w:w="884"/>
        <w:gridCol w:w="950"/>
        <w:gridCol w:w="1037"/>
        <w:gridCol w:w="1113"/>
        <w:gridCol w:w="1109"/>
        <w:gridCol w:w="1280"/>
        <w:gridCol w:w="573"/>
      </w:tblGrid>
      <w:tr>
        <w:tblPrEx>
          <w:tblCellMar>
            <w:top w:w="15" w:type="dxa"/>
            <w:left w:w="15" w:type="dxa"/>
            <w:bottom w:w="15" w:type="dxa"/>
            <w:right w:w="15" w:type="dxa"/>
          </w:tblCellMar>
        </w:tblPrEx>
        <w:trPr>
          <w:trHeight w:val="185"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序号</w:t>
            </w:r>
          </w:p>
        </w:tc>
        <w:tc>
          <w:tcPr>
            <w:tcW w:w="3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投 标 单 位</w:t>
            </w: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提供有效的营业执照</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法定代表人证明或法定代表人授权委托书签字（章）并加盖公章</w:t>
            </w: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提供投标单位近三个月内（任意一个月）的社保证明</w:t>
            </w:r>
          </w:p>
        </w:tc>
        <w:tc>
          <w:tcPr>
            <w:tcW w:w="10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近三个月所属期限内（任意一个月）依法缴纳税收的证明（税务部门出具的完税凭证或缴税证明或银行出具的“银行电子缴税付款证”）；</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良好的商业信誉和健全的财务会计制度证明材料（会计事务所出具的2022年或2023年的年度财务审计报告书；注册成立未满一年新公司可提供近三个月内任意一个月的银行资信证明）</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提供投标单位按招标文件要求缴纳投标保证金的缴款凭证或金融机构、担保机构出具的保函</w:t>
            </w: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投标单位（供应商）其法人参加本次采购活动前三年内，在经营活动中没有重大违法记录的声明及对本次项目《反商业贿赂承诺书》</w:t>
            </w: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lang w:bidi="ar"/>
              </w:rPr>
            </w:pPr>
            <w:r>
              <w:rPr>
                <w:rFonts w:hint="eastAsia" w:ascii="宋体" w:hAnsi="宋体" w:cs="宋体"/>
                <w:kern w:val="0"/>
                <w:sz w:val="15"/>
                <w:szCs w:val="15"/>
              </w:rPr>
              <w:t>是否通过审查</w:t>
            </w:r>
          </w:p>
        </w:tc>
      </w:tr>
      <w:tr>
        <w:tblPrEx>
          <w:tblCellMar>
            <w:top w:w="15" w:type="dxa"/>
            <w:left w:w="15" w:type="dxa"/>
            <w:bottom w:w="15" w:type="dxa"/>
            <w:right w:w="15" w:type="dxa"/>
          </w:tblCellMar>
        </w:tblPrEx>
        <w:trPr>
          <w:trHeight w:val="518" w:hRule="atLeast"/>
        </w:trPr>
        <w:tc>
          <w:tcPr>
            <w:tcW w:w="3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sz w:val="20"/>
                <w:szCs w:val="20"/>
              </w:rPr>
            </w:pPr>
            <w:r>
              <w:rPr>
                <w:rFonts w:hint="eastAsia" w:ascii="宋体" w:hAnsi="宋体" w:cs="宋体"/>
                <w:b/>
                <w:kern w:val="0"/>
                <w:sz w:val="20"/>
                <w:szCs w:val="20"/>
                <w:lang w:bidi="ar"/>
              </w:rPr>
              <w:t>1</w:t>
            </w:r>
          </w:p>
        </w:tc>
        <w:tc>
          <w:tcPr>
            <w:tcW w:w="3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03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szCs w:val="20"/>
              </w:rPr>
            </w:pP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2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5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bl>
    <w:p>
      <w:pPr>
        <w:pStyle w:val="3"/>
        <w:tabs>
          <w:tab w:val="clear" w:pos="567"/>
        </w:tabs>
        <w:spacing w:before="0" w:line="360" w:lineRule="auto"/>
        <w:ind w:left="-181" w:leftChars="-86" w:firstLine="607" w:firstLineChars="275"/>
        <w:rPr>
          <w:rFonts w:ascii="仿宋_GB2312" w:eastAsia="仿宋_GB2312" w:cs="仿宋_GB2312"/>
          <w:b/>
          <w:kern w:val="0"/>
          <w:sz w:val="22"/>
          <w:szCs w:val="22"/>
        </w:rPr>
      </w:pPr>
    </w:p>
    <w:p>
      <w:pPr>
        <w:pStyle w:val="3"/>
        <w:tabs>
          <w:tab w:val="clear" w:pos="567"/>
        </w:tabs>
        <w:spacing w:before="0" w:line="360" w:lineRule="auto"/>
        <w:ind w:left="-181" w:leftChars="-86" w:firstLine="607" w:firstLineChars="275"/>
        <w:rPr>
          <w:rFonts w:ascii="宋体" w:hAnsi="宋体" w:cs="宋体"/>
          <w:b/>
          <w:sz w:val="24"/>
        </w:rPr>
      </w:pPr>
      <w:r>
        <w:rPr>
          <w:rFonts w:ascii="仿宋_GB2312" w:eastAsia="仿宋_GB2312" w:cs="仿宋_GB2312"/>
          <w:b/>
          <w:kern w:val="0"/>
          <w:sz w:val="22"/>
          <w:szCs w:val="22"/>
        </w:rPr>
        <w:t>注：按评审标准对上述内容评审，满足要求的在对应的框内打“√”，不满足要求的在对应的框内打“×”。对可以进入详评的投标人，在该投标人所对应的“是否通过评审“栏中打“√”。一项未提供，则不通过。</w:t>
      </w:r>
    </w:p>
    <w:p>
      <w:pPr>
        <w:spacing w:line="360" w:lineRule="auto"/>
        <w:rPr>
          <w:rFonts w:ascii="宋体" w:hAnsi="宋体" w:cs="宋体"/>
          <w:b/>
          <w:sz w:val="24"/>
        </w:rPr>
      </w:pPr>
    </w:p>
    <w:p>
      <w:pPr>
        <w:spacing w:line="360" w:lineRule="auto"/>
        <w:jc w:val="left"/>
        <w:rPr>
          <w:rFonts w:ascii="宋体" w:hAnsi="宋体" w:cs="宋体"/>
          <w:b/>
          <w:sz w:val="24"/>
        </w:rPr>
      </w:pPr>
      <w:r>
        <w:rPr>
          <w:rFonts w:hint="eastAsia" w:ascii="宋体" w:hAnsi="宋体" w:cs="宋体"/>
          <w:b/>
          <w:sz w:val="24"/>
        </w:rPr>
        <w:t>5.2符合性审查</w:t>
      </w:r>
    </w:p>
    <w:tbl>
      <w:tblPr>
        <w:tblStyle w:val="24"/>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pPr>
              <w:pStyle w:val="7"/>
              <w:spacing w:line="300" w:lineRule="auto"/>
              <w:ind w:firstLine="0"/>
              <w:jc w:val="center"/>
              <w:rPr>
                <w:rFonts w:ascii="仿宋" w:hAnsi="仿宋" w:eastAsia="仿宋" w:cs="宋体"/>
                <w:b/>
                <w:szCs w:val="21"/>
              </w:rPr>
            </w:pPr>
            <w:r>
              <w:rPr>
                <w:rFonts w:hint="eastAsia" w:hAnsi="宋体" w:cs="宋体"/>
                <w:szCs w:val="24"/>
              </w:rPr>
              <w:t>初步评审—符合性审查表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00" w:type="dxa"/>
            <w:gridSpan w:val="2"/>
            <w:noWrap/>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2020" w:type="dxa"/>
            <w:noWrap/>
            <w:vAlign w:val="center"/>
          </w:tcPr>
          <w:p>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172" w:type="dxa"/>
            <w:noWrap/>
            <w:vAlign w:val="center"/>
          </w:tcPr>
          <w:p>
            <w:pPr>
              <w:spacing w:line="300" w:lineRule="auto"/>
              <w:jc w:val="center"/>
              <w:rPr>
                <w:rFonts w:ascii="仿宋" w:hAnsi="仿宋" w:eastAsia="仿宋" w:cs="宋体"/>
                <w:spacing w:val="-2"/>
                <w:szCs w:val="21"/>
              </w:rPr>
            </w:pPr>
          </w:p>
        </w:tc>
        <w:tc>
          <w:tcPr>
            <w:tcW w:w="2020" w:type="dxa"/>
            <w:noWrap/>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1</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投标报价高于预算金额；</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2</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投标人之间或者投标人与采购人串通投标的；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3</w:t>
            </w:r>
          </w:p>
        </w:tc>
        <w:tc>
          <w:tcPr>
            <w:tcW w:w="6172" w:type="dxa"/>
            <w:noWrap/>
            <w:vAlign w:val="center"/>
          </w:tcPr>
          <w:p>
            <w:pPr>
              <w:spacing w:line="300" w:lineRule="auto"/>
              <w:jc w:val="left"/>
              <w:textAlignment w:val="center"/>
              <w:rPr>
                <w:rFonts w:ascii="仿宋" w:hAnsi="仿宋" w:eastAsia="仿宋" w:cs="宋体"/>
                <w:szCs w:val="21"/>
              </w:rPr>
            </w:pPr>
            <w:r>
              <w:rPr>
                <w:rFonts w:hint="eastAsia" w:ascii="仿宋" w:hAnsi="仿宋" w:eastAsia="仿宋" w:cs="宋体"/>
                <w:kern w:val="0"/>
                <w:szCs w:val="21"/>
              </w:rPr>
              <w:t>以行贿手段谋取中标或者以其他弄虚作假方式投标的；</w:t>
            </w:r>
          </w:p>
        </w:tc>
        <w:tc>
          <w:tcPr>
            <w:tcW w:w="2020" w:type="dxa"/>
            <w:noWrap/>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4</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评标委员会共同确定有实质上不响应招标文件要求的；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5</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投标文件没有投标单位法定代表人或其授权代表签字（章）和加盖投标单位公章的；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6</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投标的政府采购项目完成期限超过招标文件规定期限的；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7</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投标文件载明的技术规格、技术标准、货物包装方式、检验标准和方法等，不符合招标文件要求的；</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8</w:t>
            </w:r>
          </w:p>
        </w:tc>
        <w:tc>
          <w:tcPr>
            <w:tcW w:w="6172" w:type="dxa"/>
            <w:noWrap/>
            <w:vAlign w:val="center"/>
          </w:tcPr>
          <w:p>
            <w:pPr>
              <w:spacing w:line="300" w:lineRule="auto"/>
              <w:textAlignment w:val="center"/>
              <w:rPr>
                <w:rFonts w:ascii="仿宋" w:hAnsi="仿宋" w:eastAsia="仿宋" w:cs="宋体"/>
                <w:szCs w:val="21"/>
              </w:rPr>
            </w:pPr>
            <w:r>
              <w:rPr>
                <w:rFonts w:hint="eastAsia" w:ascii="仿宋" w:hAnsi="仿宋" w:eastAsia="仿宋" w:cs="宋体"/>
                <w:kern w:val="0"/>
                <w:szCs w:val="21"/>
              </w:rPr>
              <w:t>投标文件附有采购人不能接受条件的；</w:t>
            </w:r>
          </w:p>
        </w:tc>
        <w:tc>
          <w:tcPr>
            <w:tcW w:w="2020" w:type="dxa"/>
            <w:noWrap/>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noWrap/>
            <w:vAlign w:val="center"/>
          </w:tcPr>
          <w:p>
            <w:pPr>
              <w:spacing w:line="300" w:lineRule="auto"/>
              <w:jc w:val="center"/>
              <w:rPr>
                <w:rFonts w:ascii="仿宋" w:hAnsi="仿宋" w:eastAsia="仿宋" w:cs="宋体"/>
                <w:szCs w:val="21"/>
              </w:rPr>
            </w:pPr>
            <w:r>
              <w:rPr>
                <w:rFonts w:hint="eastAsia" w:ascii="仿宋" w:hAnsi="仿宋" w:eastAsia="仿宋" w:cs="宋体"/>
                <w:szCs w:val="21"/>
              </w:rPr>
              <w:t>9</w:t>
            </w:r>
          </w:p>
        </w:tc>
        <w:tc>
          <w:tcPr>
            <w:tcW w:w="6172" w:type="dxa"/>
            <w:noWrap/>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不满足招标文件实质性要求的其他情形.</w:t>
            </w:r>
          </w:p>
        </w:tc>
        <w:tc>
          <w:tcPr>
            <w:tcW w:w="2020" w:type="dxa"/>
            <w:noWrap/>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00" w:type="dxa"/>
            <w:gridSpan w:val="2"/>
            <w:noWrap/>
            <w:vAlign w:val="center"/>
          </w:tcPr>
          <w:p>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2020" w:type="dxa"/>
            <w:noWrap/>
            <w:vAlign w:val="center"/>
          </w:tcPr>
          <w:p>
            <w:pPr>
              <w:spacing w:line="300" w:lineRule="auto"/>
              <w:ind w:firstLine="370" w:firstLineChars="180"/>
              <w:rPr>
                <w:rFonts w:ascii="仿宋" w:hAnsi="仿宋" w:eastAsia="仿宋" w:cs="宋体"/>
                <w:spacing w:val="-2"/>
                <w:szCs w:val="21"/>
              </w:rPr>
            </w:pPr>
          </w:p>
        </w:tc>
      </w:tr>
    </w:tbl>
    <w:p>
      <w:pPr>
        <w:spacing w:line="300" w:lineRule="auto"/>
        <w:ind w:left="60"/>
        <w:rPr>
          <w:rFonts w:ascii="仿宋" w:hAnsi="仿宋" w:eastAsia="仿宋" w:cs="宋体"/>
          <w:szCs w:val="21"/>
        </w:rPr>
      </w:pPr>
      <w:r>
        <w:rPr>
          <w:rFonts w:hint="eastAsia" w:ascii="仿宋" w:hAnsi="仿宋" w:eastAsia="仿宋" w:cs="宋体"/>
          <w:szCs w:val="21"/>
        </w:rPr>
        <w:t>说明：</w:t>
      </w:r>
    </w:p>
    <w:p>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pPr>
        <w:numPr>
          <w:ilvl w:val="1"/>
          <w:numId w:val="12"/>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pPr>
        <w:spacing w:line="300" w:lineRule="auto"/>
        <w:rPr>
          <w:rFonts w:ascii="仿宋" w:hAnsi="仿宋" w:eastAsia="仿宋" w:cs="宋体"/>
          <w:szCs w:val="21"/>
        </w:rPr>
      </w:pPr>
    </w:p>
    <w:p>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tbl>
      <w:tblPr>
        <w:tblStyle w:val="24"/>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ign w:val="center"/>
          </w:tcPr>
          <w:p>
            <w:pPr>
              <w:jc w:val="center"/>
              <w:rPr>
                <w:rFonts w:ascii="仿宋" w:hAnsi="仿宋" w:eastAsia="仿宋" w:cs="宋体"/>
                <w:b/>
                <w:bCs/>
                <w:kern w:val="0"/>
                <w:sz w:val="32"/>
                <w:szCs w:val="32"/>
              </w:rPr>
            </w:pPr>
            <w:r>
              <w:rPr>
                <w:rFonts w:hint="eastAsia" w:ascii="仿宋" w:hAnsi="仿宋" w:eastAsia="仿宋"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b/>
                <w:kern w:val="0"/>
                <w:sz w:val="22"/>
                <w:szCs w:val="22"/>
              </w:rPr>
            </w:pPr>
            <w:r>
              <w:rPr>
                <w:rFonts w:hint="eastAsia" w:ascii="仿宋" w:hAnsi="仿宋" w:eastAsia="仿宋" w:cs="宋体"/>
                <w:b/>
                <w:kern w:val="0"/>
                <w:sz w:val="22"/>
                <w:szCs w:val="22"/>
              </w:rPr>
              <w:t>招标文件条款</w:t>
            </w:r>
          </w:p>
        </w:tc>
        <w:tc>
          <w:tcPr>
            <w:tcW w:w="212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适用</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 xml:space="preserve">。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ascii="仿宋" w:hAnsi="仿宋" w:eastAsia="仿宋" w:cs="宋体"/>
                <w:kern w:val="0"/>
                <w:sz w:val="22"/>
                <w:szCs w:val="22"/>
              </w:rPr>
              <w:t>7</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p>
            <w:pPr>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 xml:space="preserve">招标文件中所列的所有服务内容进行投标。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jc w:val="center"/>
              <w:rPr>
                <w:rFonts w:ascii="仿宋" w:hAnsi="仿宋" w:eastAsia="仿宋" w:cs="宋体"/>
                <w:kern w:val="0"/>
                <w:sz w:val="22"/>
                <w:szCs w:val="22"/>
              </w:rPr>
            </w:pPr>
            <w:r>
              <w:rPr>
                <w:rFonts w:hint="eastAsia" w:ascii="仿宋" w:hAnsi="仿宋" w:eastAsia="仿宋" w:cs="宋体"/>
                <w:kern w:val="0"/>
                <w:sz w:val="22"/>
                <w:szCs w:val="22"/>
              </w:rPr>
              <w:t>（11.</w:t>
            </w:r>
            <w:r>
              <w:rPr>
                <w:rFonts w:ascii="仿宋" w:hAnsi="仿宋" w:eastAsia="仿宋" w:cs="宋体"/>
                <w:kern w:val="0"/>
                <w:sz w:val="22"/>
                <w:szCs w:val="22"/>
              </w:rPr>
              <w:t>4</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w:t>
            </w:r>
            <w:r>
              <w:rPr>
                <w:rFonts w:ascii="仿宋" w:hAnsi="仿宋" w:eastAsia="仿宋" w:cs="宋体"/>
                <w:kern w:val="0"/>
                <w:sz w:val="22"/>
                <w:szCs w:val="22"/>
              </w:rPr>
              <w:t>保证金（</w:t>
            </w:r>
            <w:r>
              <w:rPr>
                <w:rFonts w:hint="eastAsia" w:ascii="仿宋" w:hAnsi="仿宋" w:eastAsia="仿宋" w:cs="宋体"/>
                <w:kern w:val="0"/>
                <w:sz w:val="22"/>
                <w:szCs w:val="22"/>
              </w:rPr>
              <w:t>12.1</w:t>
            </w:r>
            <w:r>
              <w:rPr>
                <w:rFonts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符合</w:t>
            </w:r>
            <w:r>
              <w:rPr>
                <w:rFonts w:ascii="仿宋" w:hAnsi="仿宋" w:eastAsia="仿宋"/>
                <w:szCs w:val="21"/>
              </w:rPr>
              <w:t>招标文件要求</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jc w:val="center"/>
              <w:rPr>
                <w:rFonts w:ascii="仿宋" w:hAnsi="仿宋" w:eastAsia="仿宋" w:cs="宋体"/>
                <w:kern w:val="0"/>
                <w:sz w:val="22"/>
                <w:szCs w:val="22"/>
              </w:rPr>
            </w:pPr>
            <w:r>
              <w:rPr>
                <w:rFonts w:hint="eastAsia" w:ascii="仿宋" w:hAnsi="仿宋" w:eastAsia="仿宋" w:cs="宋体"/>
                <w:kern w:val="0"/>
                <w:sz w:val="22"/>
                <w:szCs w:val="22"/>
              </w:rPr>
              <w:t>（14.2、14.4）</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szCs w:val="21"/>
              </w:rPr>
            </w:pPr>
            <w:r>
              <w:rPr>
                <w:rFonts w:hint="eastAsia" w:ascii="仿宋" w:hAnsi="仿宋"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pPr>
              <w:jc w:val="center"/>
              <w:rPr>
                <w:rFonts w:ascii="仿宋" w:hAnsi="仿宋" w:eastAsia="仿宋" w:cs="宋体"/>
                <w:kern w:val="0"/>
                <w:sz w:val="22"/>
                <w:szCs w:val="22"/>
              </w:rPr>
            </w:pPr>
            <w:r>
              <w:rPr>
                <w:rFonts w:hint="eastAsia" w:ascii="仿宋" w:hAnsi="仿宋" w:eastAsia="仿宋" w:cs="宋体"/>
                <w:color w:val="000000"/>
                <w:kern w:val="0"/>
                <w:sz w:val="22"/>
                <w:szCs w:val="22"/>
              </w:rPr>
              <w:t>（20.2）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投标文件报价出现前后不一致的，应按照招标</w:t>
            </w:r>
            <w:r>
              <w:rPr>
                <w:rFonts w:ascii="仿宋" w:hAnsi="仿宋" w:eastAsia="仿宋"/>
                <w:szCs w:val="21"/>
              </w:rPr>
              <w:t>文件</w:t>
            </w:r>
            <w:r>
              <w:rPr>
                <w:rFonts w:hint="eastAsia" w:ascii="仿宋" w:hAnsi="仿宋" w:eastAsia="仿宋"/>
                <w:szCs w:val="21"/>
              </w:rPr>
              <w:t>规定的顺序修正。</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符合强制采购节能产品要求</w:t>
            </w:r>
          </w:p>
          <w:p>
            <w:pPr>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不适用</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未发现串通投标（22.2）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ascii="仿宋" w:hAnsi="仿宋" w:eastAsia="仿宋"/>
                <w:szCs w:val="21"/>
              </w:rPr>
              <w:t>投标人的报价明显低于其他通过符合性</w:t>
            </w:r>
            <w:r>
              <w:rPr>
                <w:rFonts w:hint="eastAsia" w:ascii="仿宋" w:hAnsi="仿宋" w:eastAsia="仿宋"/>
                <w:szCs w:val="21"/>
              </w:rPr>
              <w:t>审</w:t>
            </w:r>
            <w:r>
              <w:rPr>
                <w:rFonts w:ascii="仿宋" w:hAnsi="仿宋" w:eastAsia="仿宋"/>
                <w:szCs w:val="21"/>
              </w:rPr>
              <w:t>查投标人的报价</w:t>
            </w:r>
            <w:r>
              <w:rPr>
                <w:rFonts w:hint="eastAsia" w:ascii="仿宋" w:hAnsi="仿宋" w:eastAsia="仿宋"/>
                <w:szCs w:val="21"/>
              </w:rPr>
              <w:t>，</w:t>
            </w:r>
            <w:r>
              <w:rPr>
                <w:rFonts w:ascii="仿宋" w:hAnsi="仿宋" w:eastAsia="仿宋"/>
                <w:szCs w:val="21"/>
              </w:rPr>
              <w:t>有可能影响履约的</w:t>
            </w:r>
            <w:r>
              <w:rPr>
                <w:rFonts w:hint="eastAsia" w:ascii="仿宋" w:hAnsi="仿宋" w:eastAsia="仿宋"/>
                <w:szCs w:val="21"/>
              </w:rPr>
              <w:t>，</w:t>
            </w:r>
            <w:r>
              <w:rPr>
                <w:rFonts w:ascii="仿宋" w:hAnsi="仿宋" w:eastAsia="仿宋"/>
                <w:szCs w:val="21"/>
              </w:rPr>
              <w:t>投标人</w:t>
            </w:r>
            <w:r>
              <w:rPr>
                <w:rFonts w:hint="eastAsia" w:ascii="仿宋" w:hAnsi="仿宋" w:eastAsia="仿宋"/>
                <w:szCs w:val="21"/>
              </w:rPr>
              <w:t>能</w:t>
            </w:r>
            <w:r>
              <w:rPr>
                <w:rFonts w:ascii="仿宋" w:hAnsi="仿宋" w:eastAsia="仿宋"/>
                <w:szCs w:val="21"/>
              </w:rPr>
              <w:t>按照规定证明其报价合理性</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kern w:val="0"/>
                <w:sz w:val="22"/>
                <w:szCs w:val="22"/>
              </w:rPr>
            </w:pPr>
            <w:r>
              <w:rPr>
                <w:rFonts w:hint="eastAsia" w:ascii="仿宋" w:hAnsi="仿宋"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Cs w:val="21"/>
              </w:rPr>
            </w:pPr>
            <w:r>
              <w:rPr>
                <w:rFonts w:hint="eastAsia" w:ascii="仿宋" w:hAnsi="仿宋"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szCs w:val="21"/>
              </w:rPr>
            </w:pPr>
            <w:r>
              <w:rPr>
                <w:rFonts w:hint="eastAsia" w:ascii="仿宋" w:hAnsi="仿宋" w:eastAsia="仿宋" w:cs="宋体"/>
                <w:b/>
                <w:kern w:val="0"/>
                <w:sz w:val="22"/>
                <w:szCs w:val="22"/>
              </w:rPr>
              <w:t>结论</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kern w:val="0"/>
                <w:sz w:val="22"/>
                <w:szCs w:val="22"/>
              </w:rPr>
            </w:pPr>
          </w:p>
        </w:tc>
      </w:tr>
    </w:tbl>
    <w:p>
      <w:pPr>
        <w:pStyle w:val="3"/>
        <w:tabs>
          <w:tab w:val="clear" w:pos="567"/>
        </w:tabs>
        <w:spacing w:before="0" w:line="360" w:lineRule="auto"/>
        <w:rPr>
          <w:rFonts w:ascii="仿宋_GB2312" w:hAnsi="仿宋_GB2312" w:eastAsia="仿宋_GB2312" w:cs="仿宋_GB2312"/>
          <w:iCs/>
        </w:rPr>
      </w:pPr>
    </w:p>
    <w:p>
      <w:pPr>
        <w:pStyle w:val="3"/>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3.3.4投标人有下列情形之一的,评标委员会认定为投标人串通投标，其投标无效，书面报告财政部门：</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（1）不同投标人的投标文件由同一单位或者个人编制；</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（2）不同投标人委托同一单位或者个人办理投标事宜；</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（3）不同投标人的投标文件载明的项目管理成员或者联系人员为同一人；</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（4）不同投标人的投标文件异常一致或者投标报价呈规律性差异；</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（5）不同投标人的投标文件相互混装；</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bookmarkStart w:id="935" w:name="_Toc19967"/>
      <w:bookmarkStart w:id="936" w:name="_Toc4034"/>
      <w:bookmarkStart w:id="937" w:name="_Toc4748"/>
      <w:bookmarkStart w:id="938" w:name="_Toc20505"/>
      <w:bookmarkStart w:id="939" w:name="_Toc31042"/>
      <w:bookmarkStart w:id="940" w:name="_Toc26924"/>
      <w:bookmarkStart w:id="941" w:name="_Toc6940"/>
      <w:bookmarkStart w:id="942" w:name="_Toc7381"/>
      <w:bookmarkStart w:id="943" w:name="_Toc5375"/>
      <w:bookmarkStart w:id="944" w:name="_Toc11449"/>
      <w:bookmarkStart w:id="945" w:name="_Toc359"/>
      <w:bookmarkStart w:id="946" w:name="_Toc29006"/>
      <w:bookmarkStart w:id="947" w:name="_Toc31737"/>
      <w:bookmarkStart w:id="948" w:name="_Toc26618"/>
      <w:bookmarkStart w:id="949" w:name="_Toc12524"/>
      <w:bookmarkStart w:id="950" w:name="_Toc3812"/>
      <w:bookmarkStart w:id="951" w:name="_Toc6760"/>
      <w:bookmarkStart w:id="952" w:name="_Toc17586"/>
      <w:bookmarkStart w:id="953" w:name="_Toc21350"/>
      <w:bookmarkStart w:id="954" w:name="_Toc21392"/>
    </w:p>
    <w:p>
      <w:pPr>
        <w:pStyle w:val="2"/>
        <w:ind w:firstLine="240"/>
        <w:rPr>
          <w:rFonts w:hint="default"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pStyle w:val="2"/>
        <w:rPr>
          <w:rFonts w:ascii="仿宋_GB2312" w:hAnsi="仿宋_GB2312" w:eastAsia="仿宋_GB2312" w:cs="仿宋_GB2312"/>
          <w:iCs/>
        </w:rPr>
      </w:pPr>
    </w:p>
    <w:p>
      <w:pPr>
        <w:rPr>
          <w:rFonts w:ascii="仿宋_GB2312" w:hAnsi="仿宋_GB2312" w:eastAsia="仿宋_GB2312" w:cs="仿宋_GB2312"/>
          <w:iCs/>
        </w:rPr>
      </w:pPr>
    </w:p>
    <w:p>
      <w:pPr>
        <w:pStyle w:val="2"/>
        <w:rPr>
          <w:rFonts w:ascii="仿宋_GB2312" w:hAnsi="仿宋_GB2312" w:eastAsia="仿宋_GB2312" w:cs="仿宋_GB2312"/>
          <w:iCs/>
        </w:rPr>
      </w:pPr>
    </w:p>
    <w:p>
      <w:pPr>
        <w:rPr>
          <w:rFonts w:ascii="仿宋_GB2312" w:hAnsi="仿宋_GB2312" w:eastAsia="仿宋_GB2312" w:cs="仿宋_GB2312"/>
          <w:iCs/>
        </w:rPr>
      </w:pPr>
    </w:p>
    <w:p>
      <w:pPr>
        <w:pStyle w:val="2"/>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rPr>
          <w:rFonts w:ascii="仿宋_GB2312" w:hAnsi="仿宋_GB2312" w:eastAsia="仿宋_GB2312" w:cs="仿宋_GB2312"/>
          <w:iCs/>
        </w:rPr>
      </w:pPr>
    </w:p>
    <w:p>
      <w:pPr>
        <w:pStyle w:val="3"/>
        <w:tabs>
          <w:tab w:val="clear" w:pos="567"/>
        </w:tabs>
        <w:spacing w:before="0" w:line="360" w:lineRule="auto"/>
        <w:ind w:left="-181" w:leftChars="-86" w:firstLine="825" w:firstLineChars="275"/>
        <w:jc w:val="center"/>
        <w:rPr>
          <w:rFonts w:hint="eastAsia" w:ascii="微软雅黑" w:hAnsi="微软雅黑" w:eastAsia="微软雅黑" w:cs="微软雅黑"/>
          <w:b/>
          <w:kern w:val="0"/>
          <w:sz w:val="30"/>
          <w:szCs w:val="20"/>
        </w:rPr>
      </w:pPr>
    </w:p>
    <w:p>
      <w:pPr>
        <w:pStyle w:val="3"/>
        <w:tabs>
          <w:tab w:val="clear" w:pos="567"/>
        </w:tabs>
        <w:spacing w:before="0" w:line="360" w:lineRule="auto"/>
        <w:ind w:left="-181" w:leftChars="-86" w:firstLine="825" w:firstLineChars="275"/>
        <w:jc w:val="center"/>
        <w:rPr>
          <w:rFonts w:hint="eastAsia" w:ascii="微软雅黑" w:hAnsi="微软雅黑" w:eastAsia="微软雅黑" w:cs="微软雅黑"/>
          <w:b/>
          <w:kern w:val="0"/>
          <w:sz w:val="30"/>
          <w:szCs w:val="20"/>
        </w:rPr>
      </w:pPr>
    </w:p>
    <w:p>
      <w:pPr>
        <w:pStyle w:val="2"/>
        <w:rPr>
          <w:rFonts w:hint="eastAsia" w:cs="微软雅黑"/>
          <w:b/>
          <w:kern w:val="0"/>
          <w:sz w:val="30"/>
          <w:szCs w:val="20"/>
          <w:lang w:eastAsia="zh-CN"/>
        </w:rPr>
      </w:pPr>
    </w:p>
    <w:p>
      <w:pPr>
        <w:pStyle w:val="2"/>
        <w:rPr>
          <w:rFonts w:hint="eastAsia" w:eastAsia="微软雅黑"/>
          <w:lang w:eastAsia="zh-CN"/>
        </w:rPr>
      </w:pP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Pr>
        <w:pStyle w:val="3"/>
        <w:tabs>
          <w:tab w:val="clear" w:pos="567"/>
        </w:tabs>
        <w:spacing w:before="0" w:line="360" w:lineRule="auto"/>
        <w:ind w:left="-181" w:leftChars="-86" w:firstLine="825" w:firstLineChars="275"/>
        <w:jc w:val="center"/>
        <w:rPr>
          <w:rFonts w:ascii="微软雅黑" w:hAnsi="微软雅黑" w:eastAsia="微软雅黑" w:cs="微软雅黑"/>
          <w:b/>
          <w:kern w:val="0"/>
          <w:sz w:val="30"/>
          <w:szCs w:val="20"/>
        </w:rPr>
      </w:pPr>
      <w:r>
        <w:rPr>
          <w:rFonts w:hint="eastAsia" w:ascii="微软雅黑" w:hAnsi="微软雅黑" w:eastAsia="微软雅黑" w:cs="微软雅黑"/>
          <w:b/>
          <w:kern w:val="0"/>
          <w:sz w:val="30"/>
          <w:szCs w:val="20"/>
        </w:rPr>
        <w:t>综合评分表</w:t>
      </w:r>
    </w:p>
    <w:p>
      <w:pPr>
        <w:rPr>
          <w:rFonts w:ascii="宋体" w:hAnsi="宋体" w:cs="宋体"/>
          <w:b/>
          <w:sz w:val="24"/>
        </w:rPr>
      </w:pPr>
      <w:r>
        <w:rPr>
          <w:rFonts w:hint="eastAsia" w:ascii="宋体" w:hAnsi="宋体" w:cs="宋体"/>
          <w:b/>
          <w:sz w:val="24"/>
        </w:rPr>
        <w:t>价格部分（40分）</w:t>
      </w:r>
    </w:p>
    <w:tbl>
      <w:tblPr>
        <w:tblStyle w:val="24"/>
        <w:tblW w:w="101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298"/>
        <w:gridCol w:w="764"/>
        <w:gridCol w:w="7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71"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1"/>
                <w:szCs w:val="21"/>
              </w:rPr>
              <w:t>序号</w:t>
            </w:r>
          </w:p>
        </w:tc>
        <w:tc>
          <w:tcPr>
            <w:tcW w:w="1298"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评审项目</w:t>
            </w:r>
          </w:p>
        </w:tc>
        <w:tc>
          <w:tcPr>
            <w:tcW w:w="764"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分值</w:t>
            </w:r>
          </w:p>
        </w:tc>
        <w:tc>
          <w:tcPr>
            <w:tcW w:w="7369" w:type="dxa"/>
            <w:vAlign w:val="center"/>
          </w:tcPr>
          <w:p>
            <w:pPr>
              <w:spacing w:line="440" w:lineRule="exact"/>
              <w:jc w:val="center"/>
              <w:outlineLvl w:val="0"/>
              <w:rPr>
                <w:rFonts w:ascii="宋体" w:hAnsi="宋体" w:cs="宋体"/>
                <w:kern w:val="0"/>
                <w:sz w:val="24"/>
              </w:rPr>
            </w:pPr>
            <w:r>
              <w:rPr>
                <w:rFonts w:hint="eastAsia" w:ascii="宋体" w:hAnsi="宋体" w:cs="宋体"/>
                <w:kern w:val="0"/>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jc w:val="center"/>
        </w:trPr>
        <w:tc>
          <w:tcPr>
            <w:tcW w:w="671" w:type="dxa"/>
            <w:vAlign w:val="center"/>
          </w:tcPr>
          <w:p>
            <w:pPr>
              <w:spacing w:line="420" w:lineRule="exact"/>
              <w:jc w:val="center"/>
              <w:outlineLvl w:val="0"/>
              <w:rPr>
                <w:rFonts w:ascii="宋体" w:hAnsi="宋体" w:cs="宋体"/>
                <w:bCs/>
                <w:szCs w:val="21"/>
              </w:rPr>
            </w:pPr>
            <w:r>
              <w:rPr>
                <w:rFonts w:hint="eastAsia" w:ascii="宋体" w:hAnsi="宋体" w:cs="宋体"/>
                <w:bCs/>
                <w:szCs w:val="21"/>
              </w:rPr>
              <w:t>一</w:t>
            </w:r>
          </w:p>
        </w:tc>
        <w:tc>
          <w:tcPr>
            <w:tcW w:w="1298" w:type="dxa"/>
            <w:vAlign w:val="center"/>
          </w:tcPr>
          <w:p>
            <w:pPr>
              <w:spacing w:line="420" w:lineRule="exact"/>
              <w:jc w:val="center"/>
              <w:outlineLvl w:val="0"/>
              <w:rPr>
                <w:rFonts w:ascii="宋体" w:hAnsi="宋体" w:cs="宋体"/>
                <w:bCs/>
                <w:szCs w:val="21"/>
              </w:rPr>
            </w:pPr>
            <w:r>
              <w:rPr>
                <w:rFonts w:hint="eastAsia" w:ascii="宋体" w:hAnsi="宋体" w:cs="宋体"/>
                <w:bCs/>
                <w:szCs w:val="21"/>
              </w:rPr>
              <w:t>投标报价得分</w:t>
            </w:r>
          </w:p>
        </w:tc>
        <w:tc>
          <w:tcPr>
            <w:tcW w:w="764" w:type="dxa"/>
            <w:vAlign w:val="center"/>
          </w:tcPr>
          <w:p>
            <w:pPr>
              <w:spacing w:line="420" w:lineRule="exact"/>
              <w:jc w:val="center"/>
              <w:outlineLvl w:val="0"/>
              <w:rPr>
                <w:rFonts w:ascii="宋体" w:hAnsi="宋体" w:cs="宋体"/>
                <w:bCs/>
                <w:szCs w:val="21"/>
              </w:rPr>
            </w:pPr>
            <w:r>
              <w:rPr>
                <w:rFonts w:hint="eastAsia" w:ascii="宋体" w:hAnsi="宋体" w:cs="宋体"/>
                <w:bCs/>
                <w:szCs w:val="21"/>
              </w:rPr>
              <w:t>40分</w:t>
            </w:r>
          </w:p>
        </w:tc>
        <w:tc>
          <w:tcPr>
            <w:tcW w:w="7369" w:type="dxa"/>
            <w:vAlign w:val="center"/>
          </w:tcPr>
          <w:p>
            <w:pPr>
              <w:spacing w:line="420" w:lineRule="exact"/>
              <w:jc w:val="left"/>
              <w:outlineLvl w:val="0"/>
              <w:rPr>
                <w:rFonts w:ascii="宋体" w:hAnsi="宋体" w:cs="宋体"/>
                <w:bCs/>
                <w:szCs w:val="21"/>
              </w:rPr>
            </w:pPr>
            <w:r>
              <w:rPr>
                <w:rFonts w:hint="eastAsia" w:ascii="宋体" w:hAnsi="宋体" w:cs="宋体"/>
                <w:bCs/>
                <w:szCs w:val="21"/>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价格权值为40分）计算分数时四舍五入取小数点后两位,分数最高不超过40分</w:t>
            </w:r>
          </w:p>
        </w:tc>
      </w:tr>
    </w:tbl>
    <w:p>
      <w:pPr>
        <w:spacing w:line="420" w:lineRule="exact"/>
        <w:rPr>
          <w:rFonts w:ascii="宋体" w:hAnsi="宋体" w:cs="宋体"/>
          <w:b/>
          <w:sz w:val="24"/>
        </w:rPr>
      </w:pPr>
      <w:r>
        <w:rPr>
          <w:rFonts w:hint="eastAsia" w:ascii="宋体" w:hAnsi="宋体" w:cs="宋体"/>
          <w:b/>
          <w:sz w:val="24"/>
        </w:rPr>
        <w:t>技术部分（37分）</w:t>
      </w:r>
    </w:p>
    <w:tbl>
      <w:tblPr>
        <w:tblStyle w:val="24"/>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9"/>
        <w:gridCol w:w="786"/>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708" w:type="dxa"/>
            <w:vAlign w:val="center"/>
          </w:tcPr>
          <w:p>
            <w:pPr>
              <w:pStyle w:val="122"/>
              <w:snapToGrid w:val="0"/>
              <w:spacing w:line="420" w:lineRule="exact"/>
              <w:ind w:firstLine="0" w:firstLineChars="0"/>
              <w:rPr>
                <w:rFonts w:ascii="宋体" w:hAnsi="宋体" w:eastAsia="宋体" w:cs="宋体"/>
                <w:b w:val="0"/>
                <w:kern w:val="0"/>
                <w:sz w:val="21"/>
                <w:szCs w:val="21"/>
              </w:rPr>
            </w:pPr>
            <w:r>
              <w:rPr>
                <w:rFonts w:hint="eastAsia" w:ascii="宋体" w:hAnsi="宋体" w:eastAsia="宋体" w:cs="宋体"/>
                <w:b w:val="0"/>
                <w:kern w:val="0"/>
                <w:sz w:val="21"/>
                <w:szCs w:val="21"/>
              </w:rPr>
              <w:t>序号</w:t>
            </w:r>
          </w:p>
        </w:tc>
        <w:tc>
          <w:tcPr>
            <w:tcW w:w="1309"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评审项目</w:t>
            </w:r>
          </w:p>
        </w:tc>
        <w:tc>
          <w:tcPr>
            <w:tcW w:w="786"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分值</w:t>
            </w:r>
          </w:p>
        </w:tc>
        <w:tc>
          <w:tcPr>
            <w:tcW w:w="7348" w:type="dxa"/>
            <w:vAlign w:val="center"/>
          </w:tcPr>
          <w:p>
            <w:pPr>
              <w:pStyle w:val="122"/>
              <w:snapToGrid w:val="0"/>
              <w:spacing w:line="420" w:lineRule="exact"/>
              <w:ind w:firstLine="0" w:firstLineChars="0"/>
              <w:rPr>
                <w:rFonts w:ascii="宋体" w:hAnsi="宋体" w:eastAsia="宋体" w:cs="宋体"/>
                <w:b w:val="0"/>
                <w:kern w:val="0"/>
                <w:sz w:val="21"/>
                <w:szCs w:val="21"/>
              </w:rPr>
            </w:pPr>
            <w:r>
              <w:rPr>
                <w:rFonts w:hint="eastAsia" w:ascii="宋体" w:hAnsi="宋体" w:eastAsia="宋体" w:cs="宋体"/>
                <w:b w:val="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08" w:type="dxa"/>
            <w:vMerge w:val="restart"/>
            <w:vAlign w:val="center"/>
          </w:tcPr>
          <w:p>
            <w:pPr>
              <w:pStyle w:val="122"/>
              <w:spacing w:line="420" w:lineRule="exact"/>
              <w:ind w:firstLine="0" w:firstLineChars="0"/>
              <w:rPr>
                <w:rFonts w:ascii="宋体" w:hAnsi="宋体" w:eastAsia="宋体" w:cs="宋体"/>
                <w:b w:val="0"/>
                <w:kern w:val="0"/>
                <w:sz w:val="21"/>
                <w:szCs w:val="21"/>
              </w:rPr>
            </w:pPr>
          </w:p>
        </w:tc>
        <w:tc>
          <w:tcPr>
            <w:tcW w:w="1309" w:type="dxa"/>
            <w:vAlign w:val="center"/>
          </w:tcPr>
          <w:p>
            <w:pPr>
              <w:pStyle w:val="122"/>
              <w:snapToGrid w:val="0"/>
              <w:spacing w:line="420" w:lineRule="exact"/>
              <w:ind w:firstLine="0" w:firstLineChars="0"/>
              <w:rPr>
                <w:rFonts w:ascii="宋体" w:hAnsi="宋体" w:eastAsia="宋体" w:cs="宋体"/>
                <w:b w:val="0"/>
                <w:bCs/>
                <w:kern w:val="0"/>
                <w:sz w:val="24"/>
              </w:rPr>
            </w:pPr>
            <w:r>
              <w:rPr>
                <w:rFonts w:hint="eastAsia" w:ascii="宋体" w:hAnsi="宋体" w:eastAsia="宋体" w:cs="宋体"/>
                <w:b w:val="0"/>
                <w:bCs/>
                <w:kern w:val="0"/>
                <w:sz w:val="24"/>
              </w:rPr>
              <w:t>交货期</w:t>
            </w:r>
          </w:p>
        </w:tc>
        <w:tc>
          <w:tcPr>
            <w:tcW w:w="786"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5分</w:t>
            </w:r>
          </w:p>
        </w:tc>
        <w:tc>
          <w:tcPr>
            <w:tcW w:w="7348" w:type="dxa"/>
            <w:vAlign w:val="center"/>
          </w:tcPr>
          <w:p>
            <w:pPr>
              <w:spacing w:line="420" w:lineRule="exact"/>
              <w:jc w:val="left"/>
              <w:outlineLvl w:val="0"/>
              <w:rPr>
                <w:rFonts w:ascii="宋体" w:hAnsi="宋体" w:cs="宋体"/>
                <w:bCs/>
                <w:szCs w:val="21"/>
              </w:rPr>
            </w:pPr>
            <w:r>
              <w:rPr>
                <w:rFonts w:hint="eastAsia" w:ascii="宋体" w:hAnsi="宋体" w:cs="宋体"/>
                <w:bCs/>
                <w:szCs w:val="21"/>
              </w:rPr>
              <w:t>交货期满足招标文件要求的前提下，提前一天供货加2分，提前二天供货加5分，最多加5分。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8" w:type="dxa"/>
            <w:vMerge w:val="continue"/>
            <w:vAlign w:val="center"/>
          </w:tcPr>
          <w:p>
            <w:pPr>
              <w:pStyle w:val="122"/>
              <w:spacing w:line="420" w:lineRule="exact"/>
              <w:ind w:firstLine="0" w:firstLineChars="0"/>
              <w:rPr>
                <w:rFonts w:ascii="宋体" w:hAnsi="宋体" w:eastAsia="宋体" w:cs="宋体"/>
                <w:b w:val="0"/>
                <w:kern w:val="0"/>
                <w:sz w:val="21"/>
                <w:szCs w:val="21"/>
              </w:rPr>
            </w:pPr>
          </w:p>
        </w:tc>
        <w:tc>
          <w:tcPr>
            <w:tcW w:w="1309" w:type="dxa"/>
            <w:vAlign w:val="center"/>
          </w:tcPr>
          <w:p>
            <w:pPr>
              <w:pStyle w:val="122"/>
              <w:snapToGrid w:val="0"/>
              <w:spacing w:line="420" w:lineRule="exact"/>
              <w:ind w:firstLine="0" w:firstLineChars="0"/>
              <w:rPr>
                <w:rFonts w:ascii="宋体" w:hAnsi="宋体" w:eastAsia="宋体" w:cs="宋体"/>
                <w:b w:val="0"/>
                <w:bCs/>
                <w:kern w:val="0"/>
                <w:sz w:val="24"/>
              </w:rPr>
            </w:pPr>
            <w:r>
              <w:rPr>
                <w:rFonts w:hint="eastAsia" w:ascii="宋体" w:hAnsi="宋体" w:eastAsia="宋体" w:cs="宋体"/>
                <w:b w:val="0"/>
                <w:bCs/>
                <w:kern w:val="0"/>
                <w:sz w:val="24"/>
              </w:rPr>
              <w:t>响应指标</w:t>
            </w:r>
          </w:p>
        </w:tc>
        <w:tc>
          <w:tcPr>
            <w:tcW w:w="786" w:type="dxa"/>
            <w:vAlign w:val="center"/>
          </w:tcPr>
          <w:p>
            <w:pPr>
              <w:pStyle w:val="122"/>
              <w:snapToGrid w:val="0"/>
              <w:spacing w:line="420" w:lineRule="exact"/>
              <w:ind w:firstLine="0" w:firstLineChars="0"/>
              <w:rPr>
                <w:rFonts w:ascii="宋体" w:hAnsi="宋体" w:eastAsia="宋体" w:cs="宋体"/>
                <w:b w:val="0"/>
                <w:kern w:val="0"/>
                <w:sz w:val="24"/>
              </w:rPr>
            </w:pPr>
            <w:r>
              <w:rPr>
                <w:rFonts w:hint="eastAsia" w:ascii="宋体" w:hAnsi="宋体" w:eastAsia="宋体" w:cs="宋体"/>
                <w:b w:val="0"/>
                <w:kern w:val="0"/>
                <w:sz w:val="24"/>
              </w:rPr>
              <w:t>32分</w:t>
            </w:r>
          </w:p>
        </w:tc>
        <w:tc>
          <w:tcPr>
            <w:tcW w:w="7348" w:type="dxa"/>
            <w:vAlign w:val="center"/>
          </w:tcPr>
          <w:p>
            <w:pPr>
              <w:spacing w:line="420" w:lineRule="exact"/>
              <w:jc w:val="left"/>
              <w:outlineLvl w:val="0"/>
              <w:rPr>
                <w:rFonts w:hint="default" w:ascii="宋体" w:hAnsi="宋体" w:eastAsia="宋体" w:cs="宋体"/>
                <w:bCs/>
                <w:szCs w:val="21"/>
                <w:lang w:val="en-US" w:eastAsia="zh-CN"/>
              </w:rPr>
            </w:pPr>
            <w:r>
              <w:rPr>
                <w:rFonts w:hint="eastAsia" w:ascii="宋体" w:hAnsi="宋体" w:cs="宋体"/>
                <w:bCs/>
                <w:szCs w:val="21"/>
              </w:rPr>
              <w:t>根据所投产品的技术参数配置与性能指标的响应程度打分；提供</w:t>
            </w:r>
            <w:r>
              <w:rPr>
                <w:rFonts w:hint="eastAsia" w:ascii="宋体" w:hAnsi="宋体" w:cs="宋体"/>
                <w:bCs/>
                <w:szCs w:val="21"/>
                <w:lang w:val="en-US" w:eastAsia="zh-CN"/>
              </w:rPr>
              <w:t>所有产品</w:t>
            </w:r>
            <w:r>
              <w:rPr>
                <w:rFonts w:hint="eastAsia" w:ascii="宋体" w:hAnsi="宋体" w:cs="宋体"/>
                <w:bCs/>
                <w:szCs w:val="21"/>
              </w:rPr>
              <w:t>公安部检测机构检测报告并响应招标文件的得32分，</w:t>
            </w:r>
            <w:r>
              <w:rPr>
                <w:rFonts w:hint="eastAsia" w:ascii="宋体" w:hAnsi="宋体" w:cs="宋体"/>
                <w:bCs/>
                <w:szCs w:val="21"/>
                <w:lang w:val="en-US" w:eastAsia="zh-CN"/>
              </w:rPr>
              <w:t>每少一个产品的</w:t>
            </w:r>
            <w:r>
              <w:rPr>
                <w:rFonts w:hint="eastAsia" w:ascii="宋体" w:hAnsi="宋体" w:cs="宋体"/>
                <w:bCs/>
                <w:szCs w:val="21"/>
              </w:rPr>
              <w:t>公安部检测机构检测报告</w:t>
            </w:r>
            <w:r>
              <w:rPr>
                <w:rFonts w:hint="eastAsia" w:ascii="宋体" w:hAnsi="宋体" w:cs="宋体"/>
                <w:bCs/>
                <w:szCs w:val="21"/>
                <w:lang w:val="en-US" w:eastAsia="zh-CN"/>
              </w:rPr>
              <w:t>扣8</w:t>
            </w:r>
            <w:r>
              <w:rPr>
                <w:rFonts w:hint="eastAsia" w:ascii="宋体" w:hAnsi="宋体" w:cs="宋体"/>
                <w:bCs/>
                <w:szCs w:val="21"/>
              </w:rPr>
              <w:t>分</w:t>
            </w:r>
            <w:r>
              <w:rPr>
                <w:rFonts w:hint="eastAsia" w:ascii="宋体" w:hAnsi="宋体" w:cs="宋体"/>
                <w:bCs/>
                <w:szCs w:val="21"/>
                <w:lang w:eastAsia="zh-CN"/>
              </w:rPr>
              <w:t>，</w:t>
            </w:r>
            <w:r>
              <w:rPr>
                <w:rFonts w:hint="eastAsia" w:ascii="宋体" w:hAnsi="宋体" w:cs="宋体"/>
                <w:bCs/>
                <w:szCs w:val="21"/>
                <w:lang w:val="en-US" w:eastAsia="zh-CN"/>
              </w:rPr>
              <w:t>扣完为止。</w:t>
            </w:r>
          </w:p>
          <w:p>
            <w:pPr>
              <w:spacing w:line="420" w:lineRule="exact"/>
              <w:jc w:val="left"/>
              <w:outlineLvl w:val="0"/>
              <w:rPr>
                <w:rFonts w:ascii="宋体" w:hAnsi="宋体" w:cs="宋体"/>
                <w:bCs/>
                <w:szCs w:val="21"/>
              </w:rPr>
            </w:pPr>
            <w:r>
              <w:rPr>
                <w:rFonts w:hint="eastAsia" w:ascii="宋体" w:hAnsi="宋体" w:cs="宋体"/>
                <w:bCs/>
                <w:szCs w:val="21"/>
              </w:rPr>
              <w:t>注：以上所有检验报告须提复印件加盖生产厂家公章的扫描件；不得提供虚假证明，一旦发现将上报财政部门，对其作出相应处罚。</w:t>
            </w:r>
          </w:p>
        </w:tc>
      </w:tr>
    </w:tbl>
    <w:p>
      <w:pPr>
        <w:spacing w:line="420" w:lineRule="exact"/>
        <w:rPr>
          <w:rFonts w:hint="eastAsia" w:ascii="宋体" w:hAnsi="宋体" w:cs="宋体"/>
          <w:b/>
          <w:sz w:val="24"/>
        </w:rPr>
      </w:pPr>
      <w:r>
        <w:rPr>
          <w:rFonts w:hint="eastAsia" w:ascii="宋体" w:hAnsi="宋体" w:cs="宋体"/>
          <w:b/>
          <w:sz w:val="24"/>
        </w:rPr>
        <w:t>商务部分（23分）</w:t>
      </w:r>
    </w:p>
    <w:tbl>
      <w:tblPr>
        <w:tblStyle w:val="24"/>
        <w:tblW w:w="102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353"/>
        <w:gridCol w:w="796"/>
        <w:gridCol w:w="7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12" w:type="dxa"/>
            <w:vAlign w:val="center"/>
          </w:tcPr>
          <w:p>
            <w:pPr>
              <w:spacing w:line="360" w:lineRule="auto"/>
              <w:jc w:val="center"/>
              <w:textAlignment w:val="auto"/>
              <w:outlineLvl w:val="0"/>
              <w:rPr>
                <w:rFonts w:ascii="宋体" w:hAnsi="宋体" w:cs="宋体"/>
                <w:bCs/>
                <w:szCs w:val="21"/>
              </w:rPr>
            </w:pPr>
            <w:r>
              <w:rPr>
                <w:rFonts w:hint="eastAsia" w:ascii="宋体" w:hAnsi="宋体" w:cs="宋体"/>
                <w:bCs/>
                <w:szCs w:val="21"/>
              </w:rPr>
              <w:t>序号</w:t>
            </w:r>
          </w:p>
        </w:tc>
        <w:tc>
          <w:tcPr>
            <w:tcW w:w="1353" w:type="dxa"/>
            <w:vAlign w:val="center"/>
          </w:tcPr>
          <w:p>
            <w:pPr>
              <w:spacing w:line="360" w:lineRule="auto"/>
              <w:jc w:val="center"/>
              <w:textAlignment w:val="auto"/>
              <w:outlineLvl w:val="0"/>
              <w:rPr>
                <w:rFonts w:ascii="宋体" w:hAnsi="宋体" w:cs="宋体"/>
                <w:bCs/>
                <w:szCs w:val="21"/>
              </w:rPr>
            </w:pPr>
            <w:r>
              <w:rPr>
                <w:rFonts w:hint="eastAsia" w:ascii="宋体" w:hAnsi="宋体" w:cs="宋体"/>
                <w:bCs/>
                <w:szCs w:val="21"/>
              </w:rPr>
              <w:t>评审项目</w:t>
            </w:r>
          </w:p>
        </w:tc>
        <w:tc>
          <w:tcPr>
            <w:tcW w:w="796" w:type="dxa"/>
            <w:vAlign w:val="center"/>
          </w:tcPr>
          <w:p>
            <w:pPr>
              <w:spacing w:line="360" w:lineRule="auto"/>
              <w:jc w:val="center"/>
              <w:textAlignment w:val="auto"/>
              <w:outlineLvl w:val="0"/>
              <w:rPr>
                <w:rFonts w:ascii="宋体" w:hAnsi="宋体" w:cs="宋体"/>
                <w:bCs/>
                <w:szCs w:val="21"/>
              </w:rPr>
            </w:pPr>
            <w:r>
              <w:rPr>
                <w:rFonts w:hint="eastAsia" w:ascii="宋体" w:hAnsi="宋体" w:cs="宋体"/>
                <w:bCs/>
                <w:szCs w:val="21"/>
              </w:rPr>
              <w:t>分值</w:t>
            </w:r>
          </w:p>
        </w:tc>
        <w:tc>
          <w:tcPr>
            <w:tcW w:w="7366" w:type="dxa"/>
            <w:vAlign w:val="center"/>
          </w:tcPr>
          <w:p>
            <w:pPr>
              <w:spacing w:line="360" w:lineRule="auto"/>
              <w:jc w:val="center"/>
              <w:textAlignment w:val="auto"/>
              <w:outlineLvl w:val="0"/>
              <w:rPr>
                <w:rFonts w:ascii="宋体" w:hAnsi="宋体" w:cs="宋体"/>
                <w:bCs/>
                <w:szCs w:val="21"/>
              </w:rPr>
            </w:pPr>
            <w:r>
              <w:rPr>
                <w:rFonts w:hint="eastAsia" w:ascii="宋体" w:hAnsi="宋体" w:cs="宋体"/>
                <w:bCs/>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712" w:type="dxa"/>
            <w:vAlign w:val="center"/>
          </w:tcPr>
          <w:p>
            <w:pPr>
              <w:spacing w:line="300" w:lineRule="exact"/>
              <w:jc w:val="center"/>
              <w:textAlignment w:val="auto"/>
              <w:outlineLvl w:val="0"/>
              <w:rPr>
                <w:rFonts w:ascii="宋体" w:hAnsi="宋体" w:cs="宋体"/>
                <w:bCs/>
                <w:szCs w:val="21"/>
              </w:rPr>
            </w:pPr>
          </w:p>
        </w:tc>
        <w:tc>
          <w:tcPr>
            <w:tcW w:w="1353" w:type="dxa"/>
            <w:vAlign w:val="center"/>
          </w:tcPr>
          <w:p>
            <w:pPr>
              <w:spacing w:line="300" w:lineRule="exact"/>
              <w:jc w:val="center"/>
              <w:textAlignment w:val="auto"/>
              <w:outlineLvl w:val="0"/>
              <w:rPr>
                <w:rFonts w:ascii="宋体" w:hAnsi="宋体" w:cs="宋体"/>
                <w:bCs/>
                <w:szCs w:val="21"/>
              </w:rPr>
            </w:pPr>
          </w:p>
          <w:p>
            <w:pPr>
              <w:spacing w:line="300" w:lineRule="exact"/>
              <w:jc w:val="center"/>
              <w:textAlignment w:val="auto"/>
              <w:outlineLvl w:val="0"/>
              <w:rPr>
                <w:rFonts w:ascii="宋体" w:hAnsi="宋体" w:cs="宋体"/>
                <w:bCs/>
                <w:szCs w:val="21"/>
              </w:rPr>
            </w:pPr>
            <w:r>
              <w:rPr>
                <w:rFonts w:hint="eastAsia" w:ascii="宋体" w:hAnsi="宋体" w:cs="宋体"/>
                <w:bCs/>
                <w:szCs w:val="21"/>
              </w:rPr>
              <w:t>项目组织实施计划方案</w:t>
            </w:r>
          </w:p>
        </w:tc>
        <w:tc>
          <w:tcPr>
            <w:tcW w:w="796" w:type="dxa"/>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9分</w:t>
            </w:r>
          </w:p>
        </w:tc>
        <w:tc>
          <w:tcPr>
            <w:tcW w:w="7366" w:type="dxa"/>
            <w:vAlign w:val="center"/>
          </w:tcPr>
          <w:p>
            <w:pPr>
              <w:jc w:val="left"/>
              <w:textAlignment w:val="auto"/>
              <w:outlineLvl w:val="0"/>
              <w:rPr>
                <w:rFonts w:ascii="宋体" w:hAnsi="宋体" w:cs="宋体"/>
                <w:bCs/>
                <w:szCs w:val="21"/>
              </w:rPr>
            </w:pPr>
            <w:r>
              <w:rPr>
                <w:rFonts w:hint="eastAsia" w:ascii="宋体" w:hAnsi="宋体" w:cs="宋体"/>
                <w:bCs/>
                <w:szCs w:val="21"/>
              </w:rPr>
              <w:t>根据本项目具体特点及实际需求，对运输方案、货物调配、货物发货时间、清单安排、货物交接、货物质量、各阶段进度、不可预见突发处理时间，验收时间等九个方面情况进行评议并打分；方案完善，满足采购单位需求，可行性强，处理得当得9分；方案较简单，实施难度较大，每缺一个方面扣1分；方案或方案不切实际，实施困难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12" w:type="dxa"/>
            <w:vMerge w:val="restart"/>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三</w:t>
            </w:r>
          </w:p>
        </w:tc>
        <w:tc>
          <w:tcPr>
            <w:tcW w:w="1353" w:type="dxa"/>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经营业绩</w:t>
            </w:r>
          </w:p>
        </w:tc>
        <w:tc>
          <w:tcPr>
            <w:tcW w:w="796" w:type="dxa"/>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2分</w:t>
            </w:r>
          </w:p>
        </w:tc>
        <w:tc>
          <w:tcPr>
            <w:tcW w:w="7366" w:type="dxa"/>
            <w:vAlign w:val="center"/>
          </w:tcPr>
          <w:p>
            <w:pPr>
              <w:jc w:val="left"/>
              <w:textAlignment w:val="auto"/>
              <w:outlineLvl w:val="0"/>
              <w:rPr>
                <w:rFonts w:ascii="宋体" w:hAnsi="宋体" w:cs="宋体"/>
                <w:bCs/>
                <w:szCs w:val="21"/>
              </w:rPr>
            </w:pPr>
            <w:r>
              <w:rPr>
                <w:rFonts w:hint="eastAsia" w:ascii="宋体" w:hAnsi="宋体" w:cs="宋体"/>
                <w:bCs/>
                <w:szCs w:val="21"/>
              </w:rPr>
              <w:t>类似项目业绩及经验：</w:t>
            </w:r>
          </w:p>
          <w:p>
            <w:pPr>
              <w:jc w:val="left"/>
              <w:textAlignment w:val="auto"/>
              <w:outlineLvl w:val="0"/>
              <w:rPr>
                <w:rFonts w:ascii="宋体" w:hAnsi="宋体" w:cs="宋体"/>
                <w:bCs/>
                <w:szCs w:val="21"/>
              </w:rPr>
            </w:pPr>
            <w:r>
              <w:rPr>
                <w:rFonts w:hint="eastAsia" w:ascii="宋体" w:hAnsi="宋体" w:cs="宋体"/>
                <w:bCs/>
                <w:szCs w:val="21"/>
              </w:rPr>
              <w:t>1、近三年（2020 年 1 月 1 日至今）来已完成类似项目业绩，每提供 1 个类似业绩证明材料得 1 分。未提供不得分，满分2分。（业绩证明材料为：合同协议书或中标通知书的复印件，须加盖公章）</w:t>
            </w:r>
          </w:p>
          <w:p>
            <w:pPr>
              <w:jc w:val="left"/>
              <w:textAlignment w:val="auto"/>
              <w:outlineLvl w:val="0"/>
              <w:rPr>
                <w:rFonts w:ascii="宋体" w:hAnsi="宋体" w:cs="宋体"/>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82" w:hRule="atLeast"/>
          <w:jc w:val="center"/>
        </w:trPr>
        <w:tc>
          <w:tcPr>
            <w:tcW w:w="712" w:type="dxa"/>
            <w:vMerge w:val="continue"/>
            <w:vAlign w:val="center"/>
          </w:tcPr>
          <w:p>
            <w:pPr>
              <w:spacing w:line="300" w:lineRule="exact"/>
              <w:jc w:val="left"/>
              <w:textAlignment w:val="auto"/>
              <w:outlineLvl w:val="0"/>
              <w:rPr>
                <w:rFonts w:ascii="宋体" w:hAnsi="宋体" w:cs="宋体"/>
                <w:bCs/>
                <w:szCs w:val="21"/>
              </w:rPr>
            </w:pPr>
          </w:p>
        </w:tc>
        <w:tc>
          <w:tcPr>
            <w:tcW w:w="1353" w:type="dxa"/>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服务体系</w:t>
            </w:r>
          </w:p>
        </w:tc>
        <w:tc>
          <w:tcPr>
            <w:tcW w:w="796" w:type="dxa"/>
            <w:vAlign w:val="center"/>
          </w:tcPr>
          <w:p>
            <w:pPr>
              <w:spacing w:line="300" w:lineRule="exact"/>
              <w:jc w:val="center"/>
              <w:textAlignment w:val="auto"/>
              <w:outlineLvl w:val="0"/>
              <w:rPr>
                <w:rFonts w:ascii="宋体" w:hAnsi="宋体" w:cs="宋体"/>
                <w:bCs/>
                <w:szCs w:val="21"/>
              </w:rPr>
            </w:pPr>
            <w:r>
              <w:rPr>
                <w:rFonts w:hint="eastAsia" w:ascii="宋体" w:hAnsi="宋体" w:cs="宋体"/>
                <w:bCs/>
                <w:szCs w:val="21"/>
              </w:rPr>
              <w:t>12分</w:t>
            </w:r>
          </w:p>
        </w:tc>
        <w:tc>
          <w:tcPr>
            <w:tcW w:w="7366" w:type="dxa"/>
            <w:vAlign w:val="center"/>
          </w:tcPr>
          <w:p>
            <w:pPr>
              <w:jc w:val="left"/>
              <w:textAlignment w:val="auto"/>
              <w:outlineLvl w:val="0"/>
              <w:rPr>
                <w:rFonts w:ascii="宋体" w:hAnsi="宋体" w:cs="宋体"/>
                <w:bCs/>
                <w:szCs w:val="21"/>
              </w:rPr>
            </w:pPr>
            <w:r>
              <w:rPr>
                <w:rFonts w:hint="eastAsia" w:ascii="宋体" w:hAnsi="宋体" w:cs="宋体"/>
                <w:bCs/>
                <w:szCs w:val="21"/>
              </w:rPr>
              <w:t>有完善的售后服务体系，各阶段服务计划详尽完整，内容包括售后服务方案、货物验收制度、保修期服务方案（免费退换货或返修方案）、售后人员配置等。</w:t>
            </w:r>
          </w:p>
          <w:p>
            <w:pPr>
              <w:jc w:val="left"/>
              <w:textAlignment w:val="auto"/>
              <w:outlineLvl w:val="0"/>
              <w:rPr>
                <w:rFonts w:ascii="宋体" w:hAnsi="宋体" w:cs="宋体"/>
                <w:bCs/>
                <w:szCs w:val="21"/>
              </w:rPr>
            </w:pPr>
            <w:r>
              <w:rPr>
                <w:rFonts w:hint="eastAsia" w:ascii="宋体" w:hAnsi="宋体" w:cs="宋体"/>
                <w:bCs/>
                <w:szCs w:val="21"/>
              </w:rPr>
              <w:t>1.内容描述全面完整、具体可行、服务保障好，方案完全满足招标需求并优于的得12分；</w:t>
            </w:r>
          </w:p>
          <w:p>
            <w:pPr>
              <w:jc w:val="left"/>
              <w:textAlignment w:val="auto"/>
              <w:outlineLvl w:val="0"/>
              <w:rPr>
                <w:rFonts w:ascii="宋体" w:hAnsi="宋体" w:cs="宋体"/>
                <w:bCs/>
                <w:szCs w:val="21"/>
              </w:rPr>
            </w:pPr>
            <w:r>
              <w:rPr>
                <w:rFonts w:hint="eastAsia" w:ascii="宋体" w:hAnsi="宋体" w:cs="宋体"/>
                <w:bCs/>
                <w:szCs w:val="21"/>
              </w:rPr>
              <w:t>2.内容描述全面完整，响应时间时效性好，服务保障较好，方案完全满足招标需求的得8分；</w:t>
            </w:r>
          </w:p>
          <w:p>
            <w:pPr>
              <w:jc w:val="left"/>
              <w:textAlignment w:val="auto"/>
              <w:outlineLvl w:val="0"/>
              <w:rPr>
                <w:rFonts w:ascii="宋体" w:hAnsi="宋体" w:cs="宋体"/>
                <w:bCs/>
                <w:szCs w:val="21"/>
              </w:rPr>
            </w:pPr>
            <w:r>
              <w:rPr>
                <w:rFonts w:hint="eastAsia" w:ascii="宋体" w:hAnsi="宋体" w:cs="宋体"/>
                <w:bCs/>
                <w:szCs w:val="21"/>
              </w:rPr>
              <w:t>3.内容描述完整性一般，响应时间时效一般，服务保障一般，方案基本满足招标需求的得5分。</w:t>
            </w:r>
          </w:p>
        </w:tc>
      </w:tr>
    </w:tbl>
    <w:p>
      <w:pPr>
        <w:pStyle w:val="20"/>
        <w:rPr>
          <w:rFonts w:ascii="宋体" w:hAnsi="宋体" w:cs="宋体"/>
          <w:szCs w:val="21"/>
        </w:rPr>
      </w:pPr>
    </w:p>
    <w:p>
      <w:pPr>
        <w:spacing w:line="260" w:lineRule="exact"/>
        <w:ind w:left="630" w:hanging="630" w:hangingChars="300"/>
        <w:textAlignment w:val="auto"/>
        <w:rPr>
          <w:rFonts w:ascii="宋体" w:hAnsi="宋体" w:cs="宋体"/>
          <w:szCs w:val="21"/>
        </w:rPr>
      </w:pPr>
      <w:r>
        <w:rPr>
          <w:rFonts w:hint="eastAsia" w:ascii="宋体" w:hAnsi="宋体" w:cs="宋体"/>
          <w:szCs w:val="21"/>
        </w:rPr>
        <w:t>备注：1、评委应在认真理解本招标文件和项目有关情况后，做出需自己负责的按上述内容对投标人进行评审。</w:t>
      </w:r>
    </w:p>
    <w:p>
      <w:pPr>
        <w:numPr>
          <w:ilvl w:val="0"/>
          <w:numId w:val="13"/>
        </w:numPr>
        <w:spacing w:line="260" w:lineRule="exact"/>
        <w:ind w:left="630" w:leftChars="300"/>
        <w:textAlignment w:val="auto"/>
        <w:rPr>
          <w:rFonts w:ascii="宋体" w:hAnsi="宋体" w:cs="宋体"/>
          <w:szCs w:val="21"/>
        </w:rPr>
      </w:pPr>
      <w:r>
        <w:rPr>
          <w:rFonts w:hint="eastAsia" w:ascii="宋体" w:hAnsi="宋体" w:cs="宋体"/>
          <w:szCs w:val="21"/>
        </w:rPr>
        <w:t>技术、商务部分权重</w:t>
      </w:r>
      <w:r>
        <w:rPr>
          <w:rFonts w:hint="eastAsia" w:ascii="宋体" w:hAnsi="宋体" w:cs="宋体"/>
          <w:szCs w:val="21"/>
          <w:lang w:val="en-US" w:eastAsia="zh-CN"/>
        </w:rPr>
        <w:t>6</w:t>
      </w:r>
      <w:r>
        <w:rPr>
          <w:rFonts w:hint="eastAsia" w:ascii="宋体" w:hAnsi="宋体" w:cs="宋体"/>
          <w:szCs w:val="21"/>
        </w:rPr>
        <w:t>0%；投标投标报价部分权重</w:t>
      </w:r>
      <w:r>
        <w:rPr>
          <w:rFonts w:hint="eastAsia" w:ascii="宋体" w:hAnsi="宋体" w:cs="宋体"/>
          <w:szCs w:val="21"/>
          <w:lang w:val="en-US" w:eastAsia="zh-CN"/>
        </w:rPr>
        <w:t>4</w:t>
      </w:r>
      <w:r>
        <w:rPr>
          <w:rFonts w:hint="eastAsia" w:ascii="宋体" w:hAnsi="宋体" w:cs="宋体"/>
          <w:szCs w:val="21"/>
        </w:rPr>
        <w:t>0%。</w:t>
      </w:r>
    </w:p>
    <w:p>
      <w:pPr>
        <w:numPr>
          <w:ilvl w:val="0"/>
          <w:numId w:val="13"/>
        </w:numPr>
        <w:spacing w:line="260" w:lineRule="exact"/>
        <w:ind w:left="630" w:leftChars="300"/>
        <w:textAlignment w:val="auto"/>
        <w:rPr>
          <w:rFonts w:ascii="宋体" w:hAnsi="宋体" w:cs="宋体"/>
        </w:rPr>
      </w:pPr>
      <w:bookmarkStart w:id="955" w:name="_Hlk60248002"/>
      <w:r>
        <w:rPr>
          <w:rFonts w:hint="eastAsia" w:ascii="宋体" w:hAnsi="宋体" w:cs="宋体"/>
          <w:szCs w:val="21"/>
        </w:rPr>
        <w:t>评审完毕，评标委员会根据汇总各投标企业的综合得分，按照得分高低进行排序，取前三名作为中标候选人推荐给招标委员会。如果两投标人的得分相同，投标价格低者排在前。</w:t>
      </w:r>
      <w:bookmarkEnd w:id="955"/>
    </w:p>
    <w:p>
      <w:pPr>
        <w:spacing w:line="260" w:lineRule="exact"/>
        <w:textAlignment w:val="auto"/>
        <w:rPr>
          <w:rStyle w:val="33"/>
          <w:rFonts w:ascii="仿宋_GB2312" w:hAnsi="仿宋_GB2312" w:eastAsia="仿宋_GB2312" w:cs="Times New Roman"/>
          <w:iCs/>
          <w:kern w:val="0"/>
          <w:sz w:val="24"/>
          <w:szCs w:val="24"/>
          <w:lang w:val="en-US" w:eastAsia="zh-CN" w:bidi="ar-SA"/>
        </w:rPr>
      </w:pPr>
      <w:r>
        <w:rPr>
          <w:rStyle w:val="33"/>
          <w:rFonts w:ascii="仿宋_GB2312" w:hAnsi="仿宋_GB2312" w:eastAsia="仿宋_GB2312" w:cs="Times New Roman"/>
          <w:iCs/>
          <w:kern w:val="0"/>
          <w:sz w:val="24"/>
          <w:szCs w:val="24"/>
          <w:lang w:val="en-US" w:eastAsia="zh-CN" w:bidi="ar-SA"/>
        </w:rPr>
        <w:t>评审完毕，评标委员会根据汇总各投标企业的综合得分，按照得分高低进行排序，取前三名作为中标候选人推荐给招标委员会。如果两投标人的得分相同，投标价格低者排在前。</w:t>
      </w:r>
    </w:p>
    <w:p>
      <w:pPr>
        <w:pStyle w:val="60"/>
        <w:snapToGrid w:val="0"/>
        <w:spacing w:line="500" w:lineRule="exact"/>
        <w:ind w:left="0" w:firstLineChars="200"/>
        <w:rPr>
          <w:rStyle w:val="33"/>
          <w:rFonts w:ascii="仿宋_GB2312" w:hAnsi="仿宋_GB2312" w:eastAsia="仿宋_GB2312" w:cs="Times New Roman"/>
          <w:iCs/>
          <w:kern w:val="0"/>
          <w:sz w:val="24"/>
          <w:szCs w:val="24"/>
          <w:lang w:val="en-US" w:eastAsia="zh-CN" w:bidi="ar-SA"/>
        </w:rPr>
      </w:pPr>
      <w:r>
        <w:rPr>
          <w:rStyle w:val="33"/>
          <w:rFonts w:ascii="仿宋_GB2312" w:hAnsi="仿宋_GB2312" w:eastAsia="仿宋_GB2312" w:cs="Times New Roman"/>
          <w:iCs/>
          <w:kern w:val="0"/>
          <w:sz w:val="24"/>
          <w:szCs w:val="24"/>
          <w:lang w:val="en-US" w:eastAsia="zh-CN" w:bidi="ar-SA"/>
        </w:rPr>
        <w:t>本项目参数要求、评审内容如有指向性，仅作为招标参考，投标产品不应低于招标要求，如有不符合要求，视为不响应招标文件规定。</w:t>
      </w:r>
    </w:p>
    <w:p>
      <w:pPr>
        <w:pStyle w:val="60"/>
        <w:snapToGrid w:val="0"/>
        <w:spacing w:line="500" w:lineRule="exact"/>
        <w:ind w:left="0" w:firstLineChars="200"/>
        <w:rPr>
          <w:rStyle w:val="33"/>
          <w:rFonts w:ascii="仿宋_GB2312" w:hAnsi="仿宋_GB2312" w:eastAsia="仿宋_GB2312" w:cs="Times New Roman"/>
          <w:iCs/>
          <w:kern w:val="0"/>
          <w:sz w:val="24"/>
          <w:szCs w:val="24"/>
          <w:lang w:val="en-US" w:eastAsia="zh-CN" w:bidi="ar-SA"/>
        </w:rPr>
      </w:pPr>
      <w:r>
        <w:rPr>
          <w:rStyle w:val="33"/>
          <w:rFonts w:ascii="仿宋_GB2312" w:hAnsi="仿宋_GB2312" w:eastAsia="仿宋_GB2312" w:cs="Times New Roman"/>
          <w:iCs/>
          <w:kern w:val="0"/>
          <w:sz w:val="24"/>
          <w:szCs w:val="24"/>
          <w:lang w:val="en-US" w:eastAsia="zh-CN" w:bidi="ar-SA"/>
        </w:rPr>
        <w:t>3.5复核。评分汇总结束后，评标委员会应当进行复核，特别要对拟推荐为中标候选供应商的、报价最低的、投标文件被认定为无效的进行重点复核。</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3.6推荐中标候选供应商。中标候选供应商应当排序。</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3.7出具评标报告。评标委员会推荐中标候选供应商后，应当向招标采购单位出具评标报告。评标报告应当包括下列内容：</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（一）招标公告刊登的媒体名称、开标日期和地点；</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（二）评标委员会成员名单；</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（三）评标方法和标准；</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（四）开标记录和评标情况及说明，包括无效投标人名单及原因；</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（五）评标结果，确定的中标候选人名单或者经采购人委托直接确定的中标人；</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（六）其他需要说明的情况，包括评标过程中投标人根据评标委员会要求进行的澄清、说明或者补正，评标委员会成员的更换等。</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3.9供应商应当书面澄清、说明或者更正。</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3.9.3评标委员会要求供应商澄清、说明或者更正，不得超出招标文件的范围，不得以此让供应商实质改变投标文件的内容，不得影响供应商公平竞争。本项目下列内容不得澄清：</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（一）按财政部规定应当在评标时不予承认的投标文件内容事项；</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（二）投标文件中已经明确的内容事项；</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（三）投标文件未提供的材料。</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3.11招标采购单位现场复核评标结果。</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5、 废 标</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废标后，采购代理机构应在网上公告。投标人需要知晓导致废标情形的具体原因和理由的，可以通过书面形式询问招标采购单位。</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对于评标过程中废标的采购项目，评标委员会应当对招标文件是否存在倾向性和歧视性、是否存在不合理条款进行论证，并出具书面论证意见。</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6、定标</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6.1. 定标原则：由采购人根据评标委员会的推荐意见确定中标供应商。</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6.2. 定标程序</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6.2.1 评标委员会将评标情况写出书面报告，推荐中标候选供应商。</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6.2.2 采购代理机构在评标结束后2个工作日内将评标报告送采购人。</w:t>
      </w:r>
    </w:p>
    <w:p>
      <w:pPr>
        <w:pStyle w:val="23"/>
        <w:spacing w:beforeAutospacing="0" w:afterAutospacing="0" w:line="520" w:lineRule="atLeast"/>
        <w:ind w:firstLine="480" w:firstLineChars="200"/>
        <w:jc w:val="both"/>
        <w:rPr>
          <w:rFonts w:ascii="仿宋_GB2312" w:hAnsi="仿宋_GB2312" w:eastAsia="仿宋_GB2312" w:cs="仿宋_GB2312"/>
          <w:iCs/>
          <w:kern w:val="2"/>
        </w:rPr>
      </w:pPr>
      <w:r>
        <w:rPr>
          <w:rFonts w:hint="eastAsia" w:ascii="仿宋_GB2312" w:hAnsi="仿宋_GB2312" w:eastAsia="仿宋_GB2312" w:cs="仿宋_GB2312"/>
          <w:iCs/>
          <w:kern w:val="2"/>
        </w:rPr>
        <w:t>6.2.3 采购人在收到评标报告后5个工作日内，按照评标报告中推荐的中标候选供应商顺序确定中标供应商。</w:t>
      </w:r>
    </w:p>
    <w:p>
      <w:pPr>
        <w:pStyle w:val="23"/>
        <w:spacing w:beforeAutospacing="0" w:afterAutospacing="0" w:line="520" w:lineRule="atLeast"/>
        <w:ind w:left="147" w:firstLine="480" w:firstLineChars="200"/>
        <w:jc w:val="both"/>
        <w:rPr>
          <w:rFonts w:ascii="仿宋_GB2312" w:hAnsi="仿宋_GB2312" w:eastAsia="仿宋_GB2312" w:cs="仿宋_GB2312"/>
          <w:iCs/>
          <w:kern w:val="2"/>
        </w:rPr>
      </w:pPr>
      <w:r>
        <w:rPr>
          <w:rFonts w:hint="eastAsia" w:ascii="仿宋_GB2312" w:hAnsi="仿宋_GB2312" w:eastAsia="仿宋_GB2312" w:cs="仿宋_GB2312"/>
          <w:iCs/>
          <w:kern w:val="2"/>
        </w:rPr>
        <w:t>采用最低评标价法的，评标结果按投标报价由低到高顺序排列。投标报价相同的并列。投标文件满足招标文件全部实质性要求且投标报价最低的投标人为排名第一的中标候选人。</w:t>
      </w:r>
    </w:p>
    <w:p>
      <w:pPr>
        <w:pStyle w:val="21"/>
        <w:spacing w:line="500" w:lineRule="exact"/>
        <w:ind w:left="0" w:firstLineChars="200"/>
        <w:rPr>
          <w:rFonts w:ascii="仿宋_GB2312" w:hAnsi="仿宋_GB2312" w:eastAsia="仿宋_GB2312" w:cs="仿宋_GB2312"/>
          <w:iCs/>
          <w:kern w:val="2"/>
          <w:szCs w:val="24"/>
        </w:rPr>
      </w:pPr>
      <w:r>
        <w:rPr>
          <w:rFonts w:hint="eastAsia" w:ascii="仿宋_GB2312" w:hAnsi="仿宋_GB2312" w:eastAsia="仿宋_GB2312" w:cs="仿宋_GB2312"/>
          <w:iCs/>
          <w:kern w:val="2"/>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6.2.4 根据采购人确定的中标供应商，采购代理机构在新疆政府采购网上发布中标公告，并自采购人确定中标之日起3个工作日内向中标供应商发出中标通知书。</w:t>
      </w:r>
    </w:p>
    <w:p>
      <w:pPr>
        <w:pStyle w:val="60"/>
        <w:snapToGrid w:val="0"/>
        <w:spacing w:line="500" w:lineRule="exact"/>
        <w:ind w:left="0" w:firstLineChars="200"/>
        <w:rPr>
          <w:rStyle w:val="33"/>
          <w:rFonts w:ascii="仿宋_GB2312" w:hAnsi="仿宋_GB2312" w:eastAsia="仿宋_GB2312"/>
          <w:iCs/>
          <w:kern w:val="2"/>
          <w:szCs w:val="24"/>
        </w:rPr>
      </w:pPr>
      <w:r>
        <w:rPr>
          <w:rStyle w:val="33"/>
          <w:rFonts w:ascii="仿宋_GB2312" w:hAnsi="仿宋_GB2312" w:eastAsia="仿宋_GB2312"/>
          <w:iCs/>
          <w:kern w:val="2"/>
          <w:szCs w:val="24"/>
        </w:rPr>
        <w:t>6.2.5 招标采购单位不退回投标人投标文件和其他投标资料。</w:t>
      </w:r>
    </w:p>
    <w:p>
      <w:pPr>
        <w:snapToGrid w:val="0"/>
        <w:spacing w:line="240" w:lineRule="atLeast"/>
        <w:rPr>
          <w:rStyle w:val="33"/>
          <w:rFonts w:ascii="仿宋_GB2312" w:hAnsi="仿宋_GB2312" w:eastAsia="仿宋_GB2312"/>
          <w:b/>
          <w:sz w:val="52"/>
          <w:szCs w:val="52"/>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3"/>
      </w:pPr>
    </w:p>
    <w:p>
      <w:pPr>
        <w:pStyle w:val="20"/>
      </w:pPr>
    </w:p>
    <w:p>
      <w:pPr>
        <w:pStyle w:val="20"/>
      </w:pPr>
    </w:p>
    <w:p>
      <w:pPr>
        <w:pStyle w:val="20"/>
      </w:pPr>
    </w:p>
    <w:p>
      <w:pPr>
        <w:pStyle w:val="20"/>
      </w:pPr>
    </w:p>
    <w:p>
      <w:pPr>
        <w:snapToGrid w:val="0"/>
        <w:spacing w:line="240" w:lineRule="atLeast"/>
        <w:jc w:val="center"/>
        <w:rPr>
          <w:rStyle w:val="33"/>
          <w:rFonts w:ascii="仿宋_GB2312" w:hAnsi="仿宋_GB2312" w:eastAsia="仿宋_GB2312"/>
          <w:b/>
          <w:sz w:val="52"/>
          <w:szCs w:val="52"/>
        </w:rPr>
      </w:pPr>
    </w:p>
    <w:p>
      <w:pPr>
        <w:snapToGrid w:val="0"/>
        <w:spacing w:line="240" w:lineRule="atLeast"/>
        <w:jc w:val="center"/>
        <w:rPr>
          <w:rStyle w:val="33"/>
          <w:rFonts w:ascii="仿宋_GB2312" w:hAnsi="仿宋_GB2312" w:eastAsia="仿宋_GB2312"/>
          <w:b/>
          <w:sz w:val="52"/>
          <w:szCs w:val="52"/>
        </w:rPr>
      </w:pPr>
    </w:p>
    <w:p>
      <w:pPr>
        <w:snapToGrid w:val="0"/>
        <w:spacing w:line="240" w:lineRule="atLeast"/>
        <w:jc w:val="center"/>
        <w:rPr>
          <w:rStyle w:val="33"/>
          <w:rFonts w:ascii="仿宋_GB2312" w:hAnsi="仿宋_GB2312" w:eastAsia="仿宋_GB2312"/>
          <w:b/>
          <w:sz w:val="52"/>
          <w:szCs w:val="52"/>
        </w:rPr>
      </w:pPr>
      <w:r>
        <w:rPr>
          <w:rStyle w:val="33"/>
          <w:rFonts w:ascii="仿宋_GB2312" w:hAnsi="仿宋_GB2312" w:eastAsia="仿宋_GB2312"/>
          <w:b/>
          <w:sz w:val="52"/>
          <w:szCs w:val="52"/>
        </w:rPr>
        <w:t>货物类</w:t>
      </w:r>
    </w:p>
    <w:p>
      <w:pPr>
        <w:pStyle w:val="9"/>
      </w:pPr>
    </w:p>
    <w:p/>
    <w:p>
      <w:pPr>
        <w:pStyle w:val="3"/>
      </w:pPr>
    </w:p>
    <w:p>
      <w:pPr>
        <w:snapToGrid w:val="0"/>
        <w:spacing w:line="240" w:lineRule="atLeast"/>
        <w:ind w:left="1080" w:leftChars="257" w:hanging="540"/>
        <w:jc w:val="center"/>
        <w:rPr>
          <w:rStyle w:val="33"/>
          <w:rFonts w:ascii="仿宋_GB2312" w:hAnsi="仿宋_GB2312" w:eastAsia="仿宋_GB2312"/>
          <w:b/>
          <w:sz w:val="52"/>
          <w:szCs w:val="52"/>
        </w:rPr>
      </w:pPr>
      <w:r>
        <w:rPr>
          <w:rStyle w:val="33"/>
          <w:rFonts w:ascii="仿宋_GB2312" w:hAnsi="仿宋_GB2312" w:eastAsia="仿宋_GB2312"/>
          <w:b/>
          <w:sz w:val="52"/>
          <w:szCs w:val="52"/>
        </w:rPr>
        <w:t>政府采购公开招标文件</w:t>
      </w:r>
    </w:p>
    <w:p>
      <w:pPr>
        <w:snapToGrid w:val="0"/>
        <w:spacing w:line="240" w:lineRule="atLeast"/>
        <w:ind w:left="1080" w:leftChars="257" w:hanging="540"/>
        <w:jc w:val="center"/>
        <w:rPr>
          <w:rStyle w:val="33"/>
          <w:rFonts w:ascii="仿宋_GB2312" w:hAnsi="仿宋_GB2312" w:eastAsia="仿宋_GB2312"/>
          <w:b/>
          <w:sz w:val="32"/>
          <w:szCs w:val="32"/>
        </w:rPr>
      </w:pPr>
    </w:p>
    <w:p>
      <w:pPr>
        <w:pStyle w:val="3"/>
      </w:pPr>
    </w:p>
    <w:p>
      <w:pPr>
        <w:snapToGrid w:val="0"/>
        <w:spacing w:line="240" w:lineRule="atLeast"/>
        <w:rPr>
          <w:rStyle w:val="33"/>
          <w:rFonts w:ascii="仿宋_GB2312" w:hAnsi="仿宋_GB2312" w:eastAsia="仿宋_GB2312"/>
          <w:b/>
          <w:sz w:val="28"/>
        </w:rPr>
      </w:pPr>
    </w:p>
    <w:p>
      <w:pPr>
        <w:snapToGrid w:val="0"/>
        <w:spacing w:line="240" w:lineRule="atLeast"/>
        <w:ind w:left="1080" w:leftChars="257" w:hanging="540"/>
        <w:jc w:val="center"/>
        <w:rPr>
          <w:rStyle w:val="33"/>
          <w:rFonts w:ascii="仿宋_GB2312" w:hAnsi="仿宋_GB2312" w:eastAsia="仿宋_GB2312"/>
          <w:b/>
          <w:sz w:val="48"/>
          <w:szCs w:val="48"/>
        </w:rPr>
      </w:pPr>
      <w:r>
        <w:rPr>
          <w:rStyle w:val="33"/>
          <w:rFonts w:ascii="仿宋_GB2312" w:hAnsi="仿宋_GB2312" w:eastAsia="仿宋_GB2312"/>
          <w:b/>
          <w:sz w:val="48"/>
          <w:szCs w:val="48"/>
        </w:rPr>
        <w:t>第三册</w:t>
      </w:r>
    </w:p>
    <w:p>
      <w:pPr>
        <w:snapToGrid w:val="0"/>
        <w:spacing w:line="240" w:lineRule="atLeast"/>
        <w:ind w:left="1080" w:leftChars="257" w:hanging="540"/>
        <w:jc w:val="center"/>
        <w:rPr>
          <w:rStyle w:val="33"/>
          <w:rFonts w:ascii="仿宋_GB2312" w:hAnsi="仿宋_GB2312" w:eastAsia="仿宋_GB2312"/>
          <w:b/>
          <w:sz w:val="52"/>
        </w:rPr>
      </w:pPr>
    </w:p>
    <w:p>
      <w:pPr>
        <w:pStyle w:val="58"/>
        <w:rPr>
          <w:rStyle w:val="33"/>
          <w:rFonts w:ascii="仿宋_GB2312" w:hAnsi="仿宋_GB2312" w:eastAsia="仿宋_GB2312"/>
          <w:b/>
          <w:sz w:val="52"/>
        </w:rPr>
      </w:pPr>
    </w:p>
    <w:p>
      <w:pPr>
        <w:pStyle w:val="58"/>
        <w:rPr>
          <w:rStyle w:val="33"/>
          <w:rFonts w:ascii="仿宋_GB2312" w:hAnsi="仿宋_GB2312" w:eastAsia="仿宋_GB2312"/>
          <w:b/>
          <w:sz w:val="52"/>
        </w:rPr>
      </w:pPr>
    </w:p>
    <w:p>
      <w:pPr>
        <w:pStyle w:val="58"/>
        <w:rPr>
          <w:rStyle w:val="33"/>
          <w:rFonts w:ascii="仿宋_GB2312" w:hAnsi="仿宋_GB2312" w:eastAsia="仿宋_GB2312"/>
          <w:b/>
          <w:sz w:val="52"/>
        </w:rPr>
      </w:pPr>
    </w:p>
    <w:p>
      <w:pPr>
        <w:pStyle w:val="58"/>
        <w:rPr>
          <w:rStyle w:val="33"/>
          <w:rFonts w:ascii="仿宋_GB2312" w:hAnsi="仿宋_GB2312" w:eastAsia="仿宋_GB2312"/>
          <w:b/>
          <w:sz w:val="52"/>
        </w:rPr>
      </w:pPr>
    </w:p>
    <w:p>
      <w:pPr>
        <w:pStyle w:val="58"/>
        <w:rPr>
          <w:rStyle w:val="33"/>
          <w:rFonts w:ascii="仿宋_GB2312" w:hAnsi="仿宋_GB2312" w:eastAsia="仿宋_GB2312"/>
          <w:b/>
          <w:sz w:val="52"/>
        </w:rPr>
      </w:pPr>
    </w:p>
    <w:p>
      <w:pPr>
        <w:pStyle w:val="58"/>
        <w:rPr>
          <w:rStyle w:val="33"/>
          <w:rFonts w:ascii="仿宋_GB2312" w:hAnsi="仿宋_GB2312" w:eastAsia="仿宋_GB2312"/>
          <w:b/>
          <w:sz w:val="52"/>
        </w:rPr>
      </w:pPr>
    </w:p>
    <w:p>
      <w:pPr>
        <w:snapToGrid w:val="0"/>
        <w:spacing w:line="240" w:lineRule="atLeast"/>
        <w:rPr>
          <w:rStyle w:val="33"/>
          <w:rFonts w:ascii="仿宋_GB2312" w:hAnsi="仿宋_GB2312" w:eastAsia="仿宋_GB2312"/>
          <w:b/>
          <w:sz w:val="52"/>
        </w:rPr>
      </w:pPr>
    </w:p>
    <w:p>
      <w:pPr>
        <w:snapToGrid w:val="0"/>
        <w:spacing w:line="240" w:lineRule="atLeast"/>
        <w:rPr>
          <w:rStyle w:val="33"/>
          <w:rFonts w:ascii="仿宋_GB2312" w:hAnsi="仿宋_GB2312" w:eastAsia="仿宋_GB2312"/>
        </w:rPr>
      </w:pPr>
    </w:p>
    <w:p/>
    <w:p/>
    <w:p>
      <w:pPr>
        <w:pStyle w:val="9"/>
      </w:pPr>
    </w:p>
    <w:p>
      <w:pPr>
        <w:pStyle w:val="4"/>
        <w:tabs>
          <w:tab w:val="left" w:pos="0"/>
        </w:tabs>
        <w:snapToGrid w:val="0"/>
        <w:spacing w:before="0" w:after="0" w:line="240" w:lineRule="atLeast"/>
        <w:rPr>
          <w:rFonts w:ascii="仿宋_GB2312" w:hAnsi="仿宋_GB2312" w:eastAsia="仿宋_GB2312" w:cs="仿宋_GB2312"/>
          <w:sz w:val="44"/>
          <w:szCs w:val="44"/>
        </w:rPr>
      </w:pPr>
      <w:bookmarkStart w:id="956" w:name="_Toc3397"/>
      <w:r>
        <w:rPr>
          <w:rFonts w:hint="eastAsia" w:ascii="仿宋_GB2312" w:hAnsi="仿宋_GB2312" w:eastAsia="仿宋_GB2312" w:cs="仿宋_GB2312"/>
          <w:sz w:val="44"/>
          <w:szCs w:val="44"/>
        </w:rPr>
        <w:t>第七章  政府采购合同</w:t>
      </w:r>
      <w:bookmarkEnd w:id="956"/>
    </w:p>
    <w:p>
      <w:pPr>
        <w:snapToGrid w:val="0"/>
        <w:spacing w:line="240" w:lineRule="atLeast"/>
        <w:rPr>
          <w:rStyle w:val="33"/>
          <w:rFonts w:ascii="仿宋_GB2312" w:hAnsi="仿宋_GB2312" w:eastAsia="仿宋_GB2312"/>
          <w:b/>
          <w:kern w:val="44"/>
          <w:sz w:val="32"/>
          <w:szCs w:val="20"/>
        </w:rPr>
      </w:pPr>
    </w:p>
    <w:p>
      <w:pPr>
        <w:snapToGrid w:val="0"/>
        <w:rPr>
          <w:rStyle w:val="33"/>
          <w:rFonts w:ascii="仿宋_GB2312" w:hAnsi="仿宋_GB2312" w:eastAsia="仿宋_GB2312"/>
          <w:sz w:val="24"/>
          <w:u w:val="single"/>
        </w:rPr>
      </w:pPr>
      <w:r>
        <w:rPr>
          <w:rStyle w:val="33"/>
          <w:rFonts w:ascii="仿宋_GB2312" w:hAnsi="仿宋_GB2312" w:eastAsia="仿宋_GB2312"/>
          <w:sz w:val="24"/>
        </w:rPr>
        <w:t>合同编号：</w:t>
      </w:r>
    </w:p>
    <w:p>
      <w:pPr>
        <w:snapToGrid w:val="0"/>
        <w:spacing w:line="480" w:lineRule="auto"/>
        <w:jc w:val="center"/>
        <w:rPr>
          <w:rStyle w:val="33"/>
          <w:rFonts w:ascii="仿宋_GB2312" w:hAnsi="仿宋_GB2312" w:eastAsia="仿宋_GB2312"/>
          <w:b/>
          <w:sz w:val="28"/>
          <w:szCs w:val="28"/>
        </w:rPr>
      </w:pPr>
    </w:p>
    <w:p>
      <w:pPr>
        <w:snapToGrid w:val="0"/>
        <w:spacing w:line="480" w:lineRule="auto"/>
        <w:jc w:val="center"/>
        <w:rPr>
          <w:rStyle w:val="33"/>
          <w:rFonts w:ascii="仿宋_GB2312" w:hAnsi="仿宋_GB2312" w:eastAsia="仿宋_GB2312"/>
          <w:b/>
          <w:sz w:val="44"/>
          <w:szCs w:val="44"/>
        </w:rPr>
      </w:pPr>
      <w:r>
        <w:rPr>
          <w:rStyle w:val="33"/>
          <w:rFonts w:ascii="仿宋_GB2312" w:hAnsi="仿宋_GB2312" w:eastAsia="仿宋_GB2312"/>
          <w:b/>
          <w:sz w:val="44"/>
          <w:szCs w:val="44"/>
        </w:rPr>
        <w:t>政府采购合同草案</w:t>
      </w:r>
    </w:p>
    <w:p>
      <w:pPr>
        <w:snapToGrid w:val="0"/>
        <w:spacing w:line="480" w:lineRule="auto"/>
        <w:jc w:val="center"/>
        <w:rPr>
          <w:rStyle w:val="33"/>
          <w:rFonts w:ascii="仿宋_GB2312" w:hAnsi="仿宋_GB2312" w:eastAsia="仿宋_GB2312"/>
          <w:b/>
          <w:sz w:val="24"/>
        </w:rPr>
      </w:pPr>
      <w:r>
        <w:rPr>
          <w:rStyle w:val="33"/>
          <w:rFonts w:ascii="仿宋_GB2312" w:hAnsi="仿宋_GB2312" w:eastAsia="仿宋_GB2312"/>
          <w:b/>
          <w:sz w:val="24"/>
        </w:rPr>
        <w:t>（货物类）</w:t>
      </w:r>
    </w:p>
    <w:p>
      <w:pPr>
        <w:pStyle w:val="80"/>
        <w:snapToGrid w:val="0"/>
        <w:ind w:firstLine="0"/>
        <w:rPr>
          <w:rStyle w:val="33"/>
          <w:rFonts w:ascii="仿宋_GB2312" w:hAnsi="仿宋_GB2312" w:eastAsia="仿宋_GB2312"/>
          <w:szCs w:val="24"/>
        </w:rPr>
      </w:pPr>
    </w:p>
    <w:p>
      <w:pPr>
        <w:pStyle w:val="80"/>
        <w:snapToGrid w:val="0"/>
        <w:ind w:firstLine="0"/>
        <w:rPr>
          <w:rStyle w:val="33"/>
          <w:rFonts w:ascii="仿宋_GB2312" w:hAnsi="仿宋_GB2312" w:eastAsia="仿宋_GB2312"/>
          <w:szCs w:val="24"/>
        </w:rPr>
      </w:pPr>
    </w:p>
    <w:p>
      <w:pPr>
        <w:pStyle w:val="80"/>
        <w:snapToGrid w:val="0"/>
        <w:ind w:firstLine="0"/>
        <w:rPr>
          <w:rStyle w:val="33"/>
          <w:rFonts w:ascii="仿宋_GB2312" w:hAnsi="仿宋_GB2312" w:eastAsia="仿宋_GB2312"/>
          <w:szCs w:val="24"/>
        </w:rPr>
      </w:pPr>
    </w:p>
    <w:p>
      <w:pPr>
        <w:pStyle w:val="80"/>
        <w:snapToGrid w:val="0"/>
        <w:ind w:firstLine="0"/>
        <w:jc w:val="center"/>
        <w:rPr>
          <w:rStyle w:val="33"/>
          <w:rFonts w:ascii="仿宋_GB2312" w:hAnsi="仿宋_GB2312" w:eastAsia="仿宋_GB2312"/>
          <w:b/>
          <w:szCs w:val="24"/>
        </w:rPr>
      </w:pPr>
      <w:r>
        <w:rPr>
          <w:rStyle w:val="33"/>
          <w:rFonts w:ascii="仿宋_GB2312" w:hAnsi="仿宋_GB2312" w:eastAsia="仿宋_GB2312"/>
          <w:b/>
          <w:szCs w:val="24"/>
        </w:rPr>
        <w:t>第一部分 合同书</w:t>
      </w:r>
    </w:p>
    <w:p>
      <w:pPr>
        <w:pStyle w:val="80"/>
        <w:snapToGrid w:val="0"/>
        <w:ind w:firstLine="0"/>
        <w:rPr>
          <w:rStyle w:val="33"/>
          <w:rFonts w:ascii="仿宋_GB2312" w:hAnsi="仿宋_GB2312" w:eastAsia="仿宋_GB2312"/>
          <w:szCs w:val="24"/>
        </w:rPr>
      </w:pPr>
    </w:p>
    <w:p>
      <w:pPr>
        <w:pStyle w:val="80"/>
        <w:snapToGrid w:val="0"/>
        <w:ind w:firstLine="0"/>
        <w:rPr>
          <w:rStyle w:val="33"/>
          <w:rFonts w:ascii="仿宋_GB2312" w:hAnsi="仿宋_GB2312" w:eastAsia="仿宋_GB2312"/>
          <w:szCs w:val="24"/>
        </w:rPr>
      </w:pPr>
    </w:p>
    <w:p>
      <w:pPr>
        <w:snapToGrid w:val="0"/>
        <w:spacing w:before="120" w:line="240" w:lineRule="atLeast"/>
        <w:rPr>
          <w:rStyle w:val="33"/>
          <w:rFonts w:ascii="仿宋_GB2312" w:hAnsi="仿宋_GB2312" w:eastAsia="仿宋_GB2312"/>
          <w:sz w:val="24"/>
        </w:rPr>
      </w:pPr>
    </w:p>
    <w:p>
      <w:pPr>
        <w:snapToGrid w:val="0"/>
        <w:spacing w:before="120" w:line="240" w:lineRule="atLeast"/>
        <w:ind w:left="960"/>
        <w:rPr>
          <w:rStyle w:val="33"/>
          <w:rFonts w:ascii="仿宋_GB2312" w:hAnsi="仿宋_GB2312" w:eastAsia="仿宋_GB2312"/>
          <w:sz w:val="24"/>
        </w:rPr>
      </w:pPr>
      <w:r>
        <w:rPr>
          <w:rStyle w:val="33"/>
          <w:rFonts w:ascii="仿宋_GB2312" w:hAnsi="仿宋_GB2312" w:eastAsia="仿宋_GB2312"/>
          <w:sz w:val="24"/>
        </w:rPr>
        <w:t>项目名称：</w:t>
      </w:r>
    </w:p>
    <w:p>
      <w:pPr>
        <w:pStyle w:val="96"/>
        <w:snapToGrid w:val="0"/>
        <w:spacing w:before="120" w:line="240" w:lineRule="atLeast"/>
        <w:rPr>
          <w:rStyle w:val="33"/>
          <w:rFonts w:hAnsi="仿宋_GB2312"/>
          <w:szCs w:val="24"/>
        </w:rPr>
      </w:pPr>
    </w:p>
    <w:p>
      <w:pPr>
        <w:pStyle w:val="96"/>
        <w:snapToGrid w:val="0"/>
        <w:spacing w:before="120" w:line="240" w:lineRule="atLeast"/>
        <w:rPr>
          <w:rStyle w:val="33"/>
          <w:rFonts w:hAnsi="仿宋_GB2312"/>
          <w:szCs w:val="24"/>
        </w:rPr>
      </w:pPr>
    </w:p>
    <w:p>
      <w:pPr>
        <w:snapToGrid w:val="0"/>
        <w:rPr>
          <w:rStyle w:val="33"/>
          <w:rFonts w:ascii="仿宋_GB2312" w:hAnsi="仿宋_GB2312" w:eastAsia="仿宋_GB2312"/>
        </w:rPr>
      </w:pPr>
    </w:p>
    <w:p>
      <w:pPr>
        <w:snapToGrid w:val="0"/>
        <w:spacing w:before="120" w:line="240" w:lineRule="atLeast"/>
        <w:ind w:left="960"/>
        <w:rPr>
          <w:rStyle w:val="33"/>
          <w:rFonts w:ascii="仿宋_GB2312" w:hAnsi="仿宋_GB2312" w:eastAsia="仿宋_GB2312"/>
          <w:sz w:val="24"/>
          <w:u w:val="single"/>
        </w:rPr>
      </w:pPr>
      <w:r>
        <w:rPr>
          <w:rStyle w:val="33"/>
          <w:rFonts w:ascii="仿宋_GB2312" w:hAnsi="仿宋_GB2312" w:eastAsia="仿宋_GB2312"/>
          <w:sz w:val="24"/>
        </w:rPr>
        <w:t>甲方：</w:t>
      </w:r>
    </w:p>
    <w:p>
      <w:pPr>
        <w:snapToGrid w:val="0"/>
        <w:spacing w:before="120" w:line="240" w:lineRule="atLeast"/>
        <w:rPr>
          <w:rStyle w:val="33"/>
          <w:rFonts w:ascii="仿宋_GB2312" w:hAnsi="仿宋_GB2312" w:eastAsia="仿宋_GB2312"/>
          <w:sz w:val="24"/>
        </w:rPr>
      </w:pPr>
    </w:p>
    <w:p>
      <w:pPr>
        <w:snapToGrid w:val="0"/>
        <w:spacing w:before="120" w:line="240" w:lineRule="atLeast"/>
        <w:ind w:left="960"/>
        <w:rPr>
          <w:rStyle w:val="33"/>
          <w:rFonts w:ascii="仿宋_GB2312" w:hAnsi="仿宋_GB2312" w:eastAsia="仿宋_GB2312"/>
          <w:sz w:val="24"/>
          <w:u w:val="single"/>
        </w:rPr>
      </w:pPr>
      <w:r>
        <w:rPr>
          <w:rStyle w:val="33"/>
          <w:rFonts w:ascii="仿宋_GB2312" w:hAnsi="仿宋_GB2312" w:eastAsia="仿宋_GB2312"/>
          <w:sz w:val="24"/>
        </w:rPr>
        <w:t>乙方：</w:t>
      </w:r>
    </w:p>
    <w:p>
      <w:pPr>
        <w:snapToGrid w:val="0"/>
        <w:spacing w:before="120" w:line="240" w:lineRule="atLeast"/>
        <w:rPr>
          <w:rStyle w:val="33"/>
          <w:rFonts w:ascii="仿宋_GB2312" w:hAnsi="仿宋_GB2312" w:eastAsia="仿宋_GB2312"/>
          <w:sz w:val="24"/>
        </w:rPr>
      </w:pPr>
    </w:p>
    <w:p>
      <w:pPr>
        <w:snapToGrid w:val="0"/>
        <w:spacing w:before="120" w:line="240" w:lineRule="atLeast"/>
        <w:ind w:firstLine="960" w:firstLineChars="400"/>
        <w:rPr>
          <w:rStyle w:val="33"/>
          <w:rFonts w:ascii="仿宋_GB2312" w:hAnsi="仿宋_GB2312" w:eastAsia="仿宋_GB2312"/>
          <w:sz w:val="24"/>
          <w:u w:val="single"/>
        </w:rPr>
      </w:pPr>
      <w:r>
        <w:rPr>
          <w:rStyle w:val="33"/>
          <w:rFonts w:ascii="仿宋_GB2312" w:hAnsi="仿宋_GB2312" w:eastAsia="仿宋_GB2312"/>
          <w:sz w:val="24"/>
        </w:rPr>
        <w:t>签订地：</w:t>
      </w:r>
    </w:p>
    <w:p>
      <w:pPr>
        <w:snapToGrid w:val="0"/>
        <w:spacing w:before="120" w:line="240" w:lineRule="atLeast"/>
        <w:rPr>
          <w:rStyle w:val="33"/>
          <w:rFonts w:ascii="仿宋_GB2312" w:hAnsi="仿宋_GB2312" w:eastAsia="仿宋_GB2312"/>
          <w:sz w:val="24"/>
        </w:rPr>
      </w:pPr>
    </w:p>
    <w:p>
      <w:pPr>
        <w:snapToGrid w:val="0"/>
        <w:spacing w:before="120" w:line="240" w:lineRule="atLeast"/>
        <w:ind w:firstLine="960" w:firstLineChars="400"/>
        <w:rPr>
          <w:rStyle w:val="33"/>
          <w:rFonts w:ascii="仿宋_GB2312" w:hAnsi="仿宋_GB2312" w:eastAsia="仿宋_GB2312"/>
          <w:sz w:val="24"/>
          <w:u w:val="single"/>
        </w:rPr>
      </w:pPr>
      <w:r>
        <w:rPr>
          <w:rStyle w:val="33"/>
          <w:rFonts w:ascii="仿宋_GB2312" w:hAnsi="仿宋_GB2312" w:eastAsia="仿宋_GB2312"/>
          <w:sz w:val="24"/>
        </w:rPr>
        <w:t>签订日期：年月日</w:t>
      </w:r>
    </w:p>
    <w:p>
      <w:pPr>
        <w:snapToGrid w:val="0"/>
        <w:spacing w:line="600" w:lineRule="exact"/>
        <w:ind w:firstLine="640"/>
        <w:jc w:val="center"/>
        <w:rPr>
          <w:rStyle w:val="33"/>
          <w:rFonts w:ascii="仿宋_GB2312" w:hAnsi="仿宋_GB2312" w:eastAsia="仿宋_GB2312"/>
          <w:sz w:val="24"/>
        </w:rPr>
        <w:sectPr>
          <w:headerReference r:id="rId17" w:type="default"/>
          <w:footerReference r:id="rId18" w:type="default"/>
          <w:pgSz w:w="11907" w:h="16840"/>
          <w:pgMar w:top="1247" w:right="1814" w:bottom="1247" w:left="1814" w:header="851" w:footer="850" w:gutter="0"/>
          <w:cols w:space="0" w:num="1"/>
          <w:docGrid w:linePitch="462" w:charSpace="0"/>
        </w:sectPr>
      </w:pPr>
    </w:p>
    <w:p>
      <w:pPr>
        <w:snapToGrid w:val="0"/>
        <w:spacing w:line="560" w:lineRule="exact"/>
        <w:ind w:firstLine="480" w:firstLineChars="200"/>
        <w:jc w:val="center"/>
        <w:rPr>
          <w:rStyle w:val="33"/>
          <w:rFonts w:ascii="仿宋_GB2312" w:hAnsi="仿宋_GB2312" w:eastAsia="仿宋_GB2312"/>
          <w:sz w:val="24"/>
        </w:rPr>
      </w:pPr>
      <w:r>
        <w:rPr>
          <w:rStyle w:val="33"/>
          <w:rFonts w:ascii="仿宋_GB2312" w:hAnsi="仿宋_GB2312" w:eastAsia="仿宋_GB2312"/>
          <w:sz w:val="24"/>
          <w:lang w:val="zh-CN"/>
        </w:rPr>
        <w:t>年月日</w:t>
      </w:r>
      <w:r>
        <w:rPr>
          <w:rStyle w:val="33"/>
          <w:rFonts w:ascii="仿宋_GB2312" w:hAnsi="仿宋_GB2312" w:eastAsia="仿宋_GB2312"/>
          <w:sz w:val="24"/>
        </w:rPr>
        <w:t>，</w:t>
      </w:r>
      <w:r>
        <w:rPr>
          <w:rStyle w:val="33"/>
          <w:rFonts w:ascii="仿宋_GB2312" w:hAnsi="仿宋_GB2312" w:eastAsia="仿宋_GB2312"/>
          <w:sz w:val="24"/>
          <w:u w:val="single" w:color="000000"/>
        </w:rPr>
        <w:t xml:space="preserve">   （采购人名称）   </w:t>
      </w:r>
      <w:r>
        <w:rPr>
          <w:rStyle w:val="33"/>
          <w:rFonts w:ascii="仿宋_GB2312" w:hAnsi="仿宋_GB2312" w:eastAsia="仿宋_GB2312"/>
          <w:sz w:val="24"/>
        </w:rPr>
        <w:t>以</w:t>
      </w:r>
      <w:r>
        <w:rPr>
          <w:rStyle w:val="33"/>
          <w:rFonts w:ascii="仿宋_GB2312" w:hAnsi="仿宋_GB2312" w:eastAsia="仿宋_GB2312"/>
          <w:sz w:val="24"/>
          <w:u w:val="single" w:color="000000"/>
        </w:rPr>
        <w:t xml:space="preserve">   （政府采购方式）  </w:t>
      </w:r>
      <w:r>
        <w:rPr>
          <w:rStyle w:val="33"/>
          <w:rFonts w:ascii="仿宋_GB2312" w:hAnsi="仿宋_GB2312" w:eastAsia="仿宋_GB2312"/>
          <w:sz w:val="24"/>
        </w:rPr>
        <w:t>对</w:t>
      </w:r>
      <w:r>
        <w:rPr>
          <w:rStyle w:val="33"/>
          <w:rFonts w:ascii="仿宋_GB2312" w:hAnsi="仿宋_GB2312" w:eastAsia="仿宋_GB2312"/>
          <w:sz w:val="24"/>
          <w:u w:val="single" w:color="000000"/>
        </w:rPr>
        <w:t xml:space="preserve">   （同前页项目名称）   </w:t>
      </w:r>
      <w:r>
        <w:rPr>
          <w:rStyle w:val="33"/>
          <w:rFonts w:ascii="仿宋_GB2312" w:hAnsi="仿宋_GB2312" w:eastAsia="仿宋_GB2312"/>
          <w:sz w:val="24"/>
        </w:rPr>
        <w:t>项目进行了采购。经</w:t>
      </w:r>
      <w:r>
        <w:rPr>
          <w:rStyle w:val="33"/>
          <w:rFonts w:ascii="仿宋_GB2312" w:hAnsi="仿宋_GB2312" w:eastAsia="仿宋_GB2312"/>
          <w:sz w:val="24"/>
          <w:u w:val="single" w:color="000000"/>
        </w:rPr>
        <w:t xml:space="preserve">   （相关评定主体名称）   </w:t>
      </w:r>
      <w:r>
        <w:rPr>
          <w:rStyle w:val="33"/>
          <w:rFonts w:ascii="仿宋_GB2312" w:hAnsi="仿宋_GB2312" w:eastAsia="仿宋_GB2312"/>
          <w:sz w:val="24"/>
        </w:rPr>
        <w:t>评定，</w:t>
      </w:r>
      <w:r>
        <w:rPr>
          <w:rStyle w:val="33"/>
          <w:rFonts w:ascii="仿宋_GB2312" w:hAnsi="仿宋_GB2312" w:eastAsia="仿宋_GB2312"/>
          <w:sz w:val="24"/>
          <w:u w:val="single" w:color="000000"/>
        </w:rPr>
        <w:t xml:space="preserve">   （中标供应商名称）</w:t>
      </w:r>
      <w:r>
        <w:rPr>
          <w:rStyle w:val="33"/>
          <w:rFonts w:ascii="仿宋_GB2312" w:hAnsi="仿宋_GB2312" w:eastAsia="仿宋_GB2312"/>
          <w:sz w:val="24"/>
        </w:rPr>
        <w:t>为该项目中标供应商。现于中标通知书发出之日起三十日内，按照采购文件确定的事项签订本合同。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lang w:val="zh-CN"/>
        </w:rPr>
        <w:t>根据《中华人民共和国合同法》、《中华人民共和国政府采购法》等相关法律法规之规定，按照平等、自愿、公平和诚实信用的原则，经</w:t>
      </w:r>
      <w:r>
        <w:rPr>
          <w:rStyle w:val="33"/>
          <w:rFonts w:ascii="仿宋_GB2312" w:hAnsi="仿宋_GB2312" w:eastAsia="仿宋_GB2312"/>
          <w:sz w:val="24"/>
          <w:u w:val="single" w:color="000000"/>
        </w:rPr>
        <w:t xml:space="preserve">   （采购人名称）   </w:t>
      </w:r>
      <w:r>
        <w:rPr>
          <w:rStyle w:val="33"/>
          <w:rFonts w:ascii="仿宋_GB2312" w:hAnsi="仿宋_GB2312" w:eastAsia="仿宋_GB2312"/>
          <w:sz w:val="24"/>
          <w:lang w:val="zh-CN"/>
        </w:rPr>
        <w:t>(以下简称：甲方)和</w:t>
      </w:r>
      <w:r>
        <w:rPr>
          <w:rStyle w:val="33"/>
          <w:rFonts w:ascii="仿宋_GB2312" w:hAnsi="仿宋_GB2312" w:eastAsia="仿宋_GB2312"/>
          <w:sz w:val="24"/>
          <w:u w:val="single" w:color="000000"/>
        </w:rPr>
        <w:t xml:space="preserve">   （中标供应商名称）   </w:t>
      </w:r>
      <w:r>
        <w:rPr>
          <w:rStyle w:val="33"/>
          <w:rFonts w:ascii="仿宋_GB2312" w:hAnsi="仿宋_GB2312" w:eastAsia="仿宋_GB2312"/>
          <w:sz w:val="24"/>
          <w:lang w:val="zh-CN"/>
        </w:rPr>
        <w:t>(以下简称：乙方)协商一致，约定以下合同</w:t>
      </w:r>
      <w:r>
        <w:rPr>
          <w:rStyle w:val="33"/>
          <w:rFonts w:ascii="仿宋_GB2312" w:hAnsi="仿宋_GB2312" w:eastAsia="仿宋_GB2312"/>
          <w:sz w:val="24"/>
        </w:rPr>
        <w:t>条款，以兹共同遵守、全面履行。</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1.1 合同组成部分</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1.1.1 本合同及其补充合同、变更协议；</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1.1.2 中标通知书；</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1.1.3 投标文件（含澄清或者说明文件）；</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1.1.4 招标文件（含澄清或者修改文件）；</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1.1.5 其他相关采购文件。</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1.2 货物</w:t>
      </w:r>
    </w:p>
    <w:p>
      <w:pPr>
        <w:snapToGrid w:val="0"/>
        <w:spacing w:line="560" w:lineRule="exact"/>
        <w:ind w:firstLine="480" w:firstLineChars="200"/>
        <w:jc w:val="left"/>
        <w:rPr>
          <w:rStyle w:val="33"/>
          <w:rFonts w:ascii="仿宋_GB2312" w:hAnsi="仿宋_GB2312" w:eastAsia="仿宋_GB2312"/>
          <w:sz w:val="24"/>
          <w:u w:val="single"/>
        </w:rPr>
      </w:pPr>
      <w:r>
        <w:rPr>
          <w:rStyle w:val="33"/>
          <w:rFonts w:ascii="仿宋_GB2312" w:hAnsi="仿宋_GB2312" w:eastAsia="仿宋_GB2312"/>
          <w:sz w:val="24"/>
        </w:rPr>
        <w:t>1.2.1 货物称：；</w:t>
      </w:r>
    </w:p>
    <w:p>
      <w:pPr>
        <w:snapToGrid w:val="0"/>
        <w:spacing w:line="560" w:lineRule="exact"/>
        <w:ind w:firstLine="480" w:firstLineChars="200"/>
        <w:jc w:val="left"/>
        <w:rPr>
          <w:rStyle w:val="33"/>
          <w:rFonts w:ascii="仿宋_GB2312" w:hAnsi="仿宋_GB2312" w:eastAsia="仿宋_GB2312"/>
          <w:sz w:val="24"/>
          <w:u w:val="single"/>
        </w:rPr>
      </w:pPr>
      <w:r>
        <w:rPr>
          <w:rStyle w:val="33"/>
          <w:rFonts w:ascii="仿宋_GB2312" w:hAnsi="仿宋_GB2312" w:eastAsia="仿宋_GB2312"/>
          <w:sz w:val="24"/>
        </w:rPr>
        <w:t>1.2.2 货物量：；</w:t>
      </w:r>
    </w:p>
    <w:p>
      <w:pPr>
        <w:snapToGrid w:val="0"/>
        <w:spacing w:line="560" w:lineRule="exact"/>
        <w:ind w:firstLine="480" w:firstLineChars="200"/>
        <w:jc w:val="left"/>
        <w:rPr>
          <w:rStyle w:val="33"/>
          <w:rFonts w:ascii="仿宋_GB2312" w:hAnsi="仿宋_GB2312" w:eastAsia="仿宋_GB2312"/>
          <w:sz w:val="24"/>
        </w:rPr>
      </w:pPr>
      <w:r>
        <w:rPr>
          <w:rStyle w:val="33"/>
          <w:rFonts w:ascii="仿宋_GB2312" w:hAnsi="仿宋_GB2312" w:eastAsia="仿宋_GB2312"/>
          <w:sz w:val="24"/>
        </w:rPr>
        <w:t>1.2.3 货物量：</w:t>
      </w:r>
      <w:r>
        <w:rPr>
          <w:rStyle w:val="33"/>
          <w:rFonts w:ascii="仿宋_GB2312" w:hAnsi="仿宋_GB2312" w:eastAsia="仿宋_GB2312"/>
          <w:sz w:val="24"/>
          <w:u w:val="single" w:color="000000"/>
        </w:rPr>
        <w:t xml:space="preserve">　　　　　　　　　                      　      </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1.3 价款</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本合同总价为：￥元（大写：元人民币）。</w:t>
      </w:r>
    </w:p>
    <w:p>
      <w:pPr>
        <w:snapToGrid w:val="0"/>
        <w:spacing w:line="560" w:lineRule="exact"/>
        <w:ind w:firstLine="480" w:firstLineChars="200"/>
        <w:rPr>
          <w:rStyle w:val="33"/>
          <w:rFonts w:ascii="仿宋_GB2312" w:hAnsi="仿宋_GB2312" w:eastAsia="仿宋_GB2312"/>
          <w:sz w:val="24"/>
          <w:u w:val="single"/>
        </w:rPr>
      </w:pPr>
      <w:r>
        <w:rPr>
          <w:rStyle w:val="33"/>
          <w:rFonts w:ascii="仿宋_GB2312" w:hAnsi="仿宋_GB2312" w:eastAsia="仿宋_GB2312"/>
          <w:sz w:val="24"/>
        </w:rPr>
        <w:t>分项价格：</w:t>
      </w:r>
    </w:p>
    <w:tbl>
      <w:tblPr>
        <w:tblStyle w:val="24"/>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jc w:val="center"/>
              <w:rPr>
                <w:rStyle w:val="33"/>
                <w:rFonts w:ascii="仿宋_GB2312" w:hAnsi="仿宋_GB2312" w:eastAsia="仿宋_GB2312"/>
                <w:kern w:val="2"/>
                <w:sz w:val="24"/>
                <w:szCs w:val="24"/>
              </w:rPr>
            </w:pPr>
            <w:r>
              <w:rPr>
                <w:rStyle w:val="33"/>
                <w:rFonts w:ascii="仿宋_GB2312" w:hAnsi="仿宋_GB2312" w:eastAsia="仿宋_GB2312"/>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r>
              <w:rPr>
                <w:rStyle w:val="33"/>
                <w:rFonts w:ascii="仿宋_GB2312" w:hAnsi="仿宋_GB2312" w:eastAsia="仿宋_GB2312"/>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jc w:val="center"/>
              <w:rPr>
                <w:rStyle w:val="33"/>
                <w:rFonts w:ascii="仿宋_GB2312" w:hAnsi="仿宋_GB2312" w:eastAsia="仿宋_GB2312"/>
                <w:kern w:val="2"/>
                <w:sz w:val="24"/>
                <w:szCs w:val="24"/>
              </w:rPr>
            </w:pPr>
            <w:r>
              <w:rPr>
                <w:rStyle w:val="33"/>
                <w:rFonts w:ascii="仿宋_GB2312" w:hAnsi="仿宋_GB2312" w:eastAsia="仿宋_GB2312"/>
                <w:kern w:val="2"/>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r>
              <w:rPr>
                <w:rStyle w:val="33"/>
                <w:rFonts w:ascii="仿宋_GB2312" w:hAnsi="仿宋_GB2312" w:eastAsia="仿宋_GB2312"/>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7"/>
              <w:snapToGrid w:val="0"/>
              <w:spacing w:line="560" w:lineRule="exact"/>
              <w:ind w:firstLine="200"/>
              <w:jc w:val="center"/>
              <w:rPr>
                <w:rStyle w:val="33"/>
                <w:rFonts w:ascii="仿宋_GB2312" w:hAnsi="仿宋_GB2312" w:eastAsia="仿宋_GB2312"/>
                <w:kern w:val="2"/>
                <w:sz w:val="24"/>
                <w:szCs w:val="24"/>
              </w:rPr>
            </w:pPr>
          </w:p>
        </w:tc>
      </w:tr>
    </w:tbl>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1.4 付款方式和发票开具方式</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1.4.1 付款方式：；</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1.4.2 发票开具方式：。</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1.5 货物交付期限、地点和方式</w:t>
      </w:r>
    </w:p>
    <w:p>
      <w:pPr>
        <w:snapToGrid w:val="0"/>
        <w:spacing w:line="560" w:lineRule="exact"/>
        <w:ind w:firstLine="480" w:firstLineChars="200"/>
        <w:jc w:val="left"/>
        <w:rPr>
          <w:rStyle w:val="33"/>
          <w:rFonts w:ascii="仿宋_GB2312" w:hAnsi="仿宋_GB2312" w:eastAsia="仿宋_GB2312"/>
          <w:sz w:val="24"/>
          <w:u w:val="single"/>
        </w:rPr>
      </w:pPr>
      <w:r>
        <w:rPr>
          <w:rStyle w:val="33"/>
          <w:rFonts w:ascii="仿宋_GB2312" w:hAnsi="仿宋_GB2312" w:eastAsia="仿宋_GB2312"/>
          <w:sz w:val="24"/>
        </w:rPr>
        <w:t>1.5.1 交付限：；</w:t>
      </w:r>
    </w:p>
    <w:p>
      <w:pPr>
        <w:snapToGrid w:val="0"/>
        <w:spacing w:line="560" w:lineRule="exact"/>
        <w:ind w:firstLine="480" w:firstLineChars="200"/>
        <w:jc w:val="left"/>
        <w:rPr>
          <w:rStyle w:val="33"/>
          <w:rFonts w:ascii="仿宋_GB2312" w:hAnsi="仿宋_GB2312" w:eastAsia="仿宋_GB2312"/>
          <w:sz w:val="24"/>
        </w:rPr>
      </w:pPr>
      <w:r>
        <w:rPr>
          <w:rStyle w:val="33"/>
          <w:rFonts w:ascii="仿宋_GB2312" w:hAnsi="仿宋_GB2312" w:eastAsia="仿宋_GB2312"/>
          <w:sz w:val="24"/>
        </w:rPr>
        <w:t>1.5.2 交付点：；</w:t>
      </w:r>
    </w:p>
    <w:p>
      <w:pPr>
        <w:snapToGrid w:val="0"/>
        <w:spacing w:line="560" w:lineRule="exact"/>
        <w:ind w:firstLine="480" w:firstLineChars="200"/>
        <w:jc w:val="left"/>
        <w:rPr>
          <w:rStyle w:val="33"/>
          <w:rFonts w:ascii="仿宋_GB2312" w:hAnsi="仿宋_GB2312" w:eastAsia="仿宋_GB2312"/>
          <w:sz w:val="24"/>
        </w:rPr>
      </w:pPr>
      <w:r>
        <w:rPr>
          <w:rStyle w:val="33"/>
          <w:rFonts w:ascii="仿宋_GB2312" w:hAnsi="仿宋_GB2312" w:eastAsia="仿宋_GB2312"/>
          <w:sz w:val="24"/>
        </w:rPr>
        <w:t>1.5.3 交付式：</w:t>
      </w:r>
      <w:r>
        <w:rPr>
          <w:rStyle w:val="33"/>
          <w:rFonts w:ascii="仿宋_GB2312" w:hAnsi="仿宋_GB2312" w:eastAsia="仿宋_GB2312"/>
          <w:sz w:val="24"/>
          <w:u w:val="single" w:color="000000"/>
        </w:rPr>
        <w:t xml:space="preserve">　　　　　　　　　                      　      </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1.6 违约责任</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1.7 合同争议的解决</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本合同履行过程中发生的任何争议，双方当事人均可通过和解或者调解解决；不愿和解、调解或者和解、调解不成的，可以选择下列第种方式解决：</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1.7.1 将争议提交仲裁委员会依申请仲裁时其现行有效的仲裁规则裁决；</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1.7.2 向</w:t>
      </w:r>
      <w:r>
        <w:rPr>
          <w:rStyle w:val="33"/>
          <w:rFonts w:ascii="仿宋_GB2312" w:hAnsi="仿宋_GB2312" w:eastAsia="仿宋_GB2312"/>
          <w:sz w:val="24"/>
          <w:u w:val="single" w:color="000000"/>
        </w:rPr>
        <w:t xml:space="preserve">   （被告住所地、合同履行地、合同签订地、原告住所地、标的物所在地等与争议有实际联系的地点中选出的人民法院名称）    </w:t>
      </w:r>
      <w:r>
        <w:rPr>
          <w:rStyle w:val="33"/>
          <w:rFonts w:ascii="仿宋_GB2312" w:hAnsi="仿宋_GB2312" w:eastAsia="仿宋_GB2312"/>
          <w:sz w:val="24"/>
        </w:rPr>
        <w:t>人民法院起诉。</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1.8 合同生效</w:t>
      </w:r>
    </w:p>
    <w:p>
      <w:pPr>
        <w:snapToGrid w:val="0"/>
        <w:spacing w:line="560" w:lineRule="exact"/>
        <w:ind w:firstLine="480" w:firstLineChars="200"/>
        <w:rPr>
          <w:rStyle w:val="33"/>
          <w:rFonts w:ascii="仿宋_GB2312" w:hAnsi="仿宋_GB2312" w:eastAsia="仿宋_GB2312"/>
          <w:b/>
          <w:sz w:val="24"/>
        </w:rPr>
      </w:pPr>
      <w:r>
        <w:rPr>
          <w:rStyle w:val="33"/>
          <w:rFonts w:ascii="仿宋_GB2312" w:hAnsi="仿宋_GB2312" w:eastAsia="仿宋_GB2312"/>
          <w:sz w:val="24"/>
        </w:rPr>
        <w:t>本合同自双方当事人盖章或者签字时生效。</w:t>
      </w:r>
    </w:p>
    <w:p>
      <w:pPr>
        <w:snapToGrid w:val="0"/>
        <w:spacing w:line="560" w:lineRule="exact"/>
        <w:rPr>
          <w:rStyle w:val="33"/>
          <w:rFonts w:ascii="仿宋_GB2312" w:hAnsi="仿宋_GB2312" w:eastAsia="仿宋_GB2312"/>
          <w:sz w:val="24"/>
          <w:lang w:val="zh-CN"/>
        </w:rPr>
      </w:pP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b/>
          <w:sz w:val="24"/>
          <w:lang w:val="zh-CN"/>
        </w:rPr>
        <w:t>甲方</w:t>
      </w:r>
      <w:r>
        <w:rPr>
          <w:rStyle w:val="33"/>
          <w:rFonts w:ascii="仿宋_GB2312" w:hAnsi="仿宋_GB2312" w:eastAsia="仿宋_GB2312"/>
          <w:sz w:val="24"/>
          <w:lang w:val="zh-CN"/>
        </w:rPr>
        <w:t xml:space="preserve">：                             </w:t>
      </w:r>
      <w:r>
        <w:rPr>
          <w:rStyle w:val="33"/>
          <w:rFonts w:ascii="仿宋_GB2312" w:hAnsi="仿宋_GB2312" w:eastAsia="仿宋_GB2312"/>
          <w:b/>
          <w:sz w:val="24"/>
          <w:lang w:val="zh-CN"/>
        </w:rPr>
        <w:t xml:space="preserve">      乙方</w:t>
      </w:r>
      <w:r>
        <w:rPr>
          <w:rStyle w:val="33"/>
          <w:rFonts w:ascii="仿宋_GB2312" w:hAnsi="仿宋_GB2312" w:eastAsia="仿宋_GB2312"/>
          <w:sz w:val="24"/>
          <w:lang w:val="zh-CN"/>
        </w:rPr>
        <w:t>：</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统一社会信用代码：                        统一社会信用代码或身份证号码：</w:t>
      </w:r>
    </w:p>
    <w:p>
      <w:pPr>
        <w:snapToGrid w:val="0"/>
        <w:spacing w:line="560" w:lineRule="exact"/>
        <w:rPr>
          <w:rStyle w:val="33"/>
          <w:rFonts w:ascii="仿宋_GB2312" w:hAnsi="仿宋_GB2312" w:eastAsia="仿宋_GB2312"/>
          <w:sz w:val="24"/>
          <w:lang w:val="zh-CN"/>
        </w:rPr>
      </w:pP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住所：                                   住所：</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法定代表人或                             法定代表人</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 xml:space="preserve">授权代表（签字）：                        或授权代表（签字）: </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联系人：                                 联系人：</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约定送达地址：                           约定送达地址：</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邮政编码：                               邮政编码：</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 xml:space="preserve">电话:                                    电话: </w:t>
      </w:r>
    </w:p>
    <w:p>
      <w:pPr>
        <w:snapToGrid w:val="0"/>
        <w:spacing w:line="560" w:lineRule="exact"/>
        <w:rPr>
          <w:rStyle w:val="33"/>
          <w:rFonts w:ascii="仿宋_GB2312" w:hAnsi="仿宋_GB2312" w:eastAsia="仿宋_GB2312"/>
          <w:sz w:val="24"/>
          <w:lang w:val="zh-CN"/>
        </w:rPr>
      </w:pPr>
      <w:r>
        <w:rPr>
          <w:rStyle w:val="33"/>
          <w:rFonts w:ascii="仿宋_GB2312" w:hAnsi="仿宋_GB2312" w:eastAsia="仿宋_GB2312"/>
          <w:sz w:val="24"/>
          <w:lang w:val="zh-CN"/>
        </w:rPr>
        <w:t>传真:                                    传真:</w:t>
      </w:r>
    </w:p>
    <w:p>
      <w:pPr>
        <w:snapToGrid w:val="0"/>
        <w:spacing w:line="560" w:lineRule="exact"/>
        <w:rPr>
          <w:rStyle w:val="33"/>
          <w:rFonts w:ascii="仿宋_GB2312" w:hAnsi="仿宋_GB2312" w:eastAsia="仿宋_GB2312"/>
          <w:sz w:val="24"/>
        </w:rPr>
      </w:pPr>
      <w:r>
        <w:rPr>
          <w:rStyle w:val="33"/>
          <w:rFonts w:ascii="仿宋_GB2312" w:hAnsi="仿宋_GB2312" w:eastAsia="仿宋_GB2312"/>
          <w:sz w:val="24"/>
          <w:lang w:val="zh-CN"/>
        </w:rPr>
        <w:t>电子邮箱：                               电子邮箱：</w:t>
      </w:r>
    </w:p>
    <w:p>
      <w:pPr>
        <w:snapToGrid w:val="0"/>
        <w:spacing w:line="560" w:lineRule="exact"/>
        <w:rPr>
          <w:rStyle w:val="33"/>
          <w:rFonts w:ascii="仿宋_GB2312" w:hAnsi="仿宋_GB2312" w:eastAsia="仿宋_GB2312"/>
          <w:sz w:val="24"/>
        </w:rPr>
      </w:pPr>
      <w:r>
        <w:rPr>
          <w:rStyle w:val="33"/>
          <w:rFonts w:ascii="仿宋_GB2312" w:hAnsi="仿宋_GB2312" w:eastAsia="仿宋_GB2312"/>
          <w:sz w:val="24"/>
        </w:rPr>
        <w:t xml:space="preserve">开户银行：                               开户银行： </w:t>
      </w:r>
    </w:p>
    <w:p>
      <w:pPr>
        <w:snapToGrid w:val="0"/>
        <w:spacing w:line="560" w:lineRule="exact"/>
        <w:rPr>
          <w:rStyle w:val="33"/>
          <w:rFonts w:ascii="仿宋_GB2312" w:hAnsi="仿宋_GB2312" w:eastAsia="仿宋_GB2312"/>
          <w:sz w:val="24"/>
        </w:rPr>
      </w:pPr>
      <w:r>
        <w:rPr>
          <w:rStyle w:val="33"/>
          <w:rFonts w:ascii="仿宋_GB2312" w:hAnsi="仿宋_GB2312" w:eastAsia="仿宋_GB2312"/>
          <w:sz w:val="24"/>
        </w:rPr>
        <w:t xml:space="preserve">开户名称：                               开户名称： </w:t>
      </w:r>
    </w:p>
    <w:p>
      <w:pPr>
        <w:snapToGrid w:val="0"/>
        <w:spacing w:line="560" w:lineRule="exact"/>
        <w:rPr>
          <w:rStyle w:val="33"/>
          <w:rFonts w:ascii="仿宋_GB2312" w:hAnsi="仿宋_GB2312" w:eastAsia="仿宋_GB2312"/>
          <w:sz w:val="24"/>
        </w:rPr>
      </w:pPr>
      <w:r>
        <w:rPr>
          <w:rStyle w:val="33"/>
          <w:rFonts w:ascii="仿宋_GB2312" w:hAnsi="仿宋_GB2312" w:eastAsia="仿宋_GB2312"/>
          <w:sz w:val="24"/>
        </w:rPr>
        <w:t>开户账号：开户账号：</w:t>
      </w:r>
    </w:p>
    <w:p>
      <w:pPr>
        <w:snapToGrid w:val="0"/>
        <w:spacing w:line="560" w:lineRule="exact"/>
        <w:jc w:val="left"/>
        <w:rPr>
          <w:rStyle w:val="33"/>
          <w:rFonts w:ascii="仿宋_GB2312" w:hAnsi="仿宋_GB2312" w:eastAsia="仿宋_GB2312"/>
          <w:b/>
        </w:rPr>
      </w:pPr>
    </w:p>
    <w:p>
      <w:pPr>
        <w:snapToGrid w:val="0"/>
        <w:spacing w:line="560" w:lineRule="exact"/>
        <w:jc w:val="left"/>
        <w:rPr>
          <w:rStyle w:val="33"/>
          <w:rFonts w:ascii="仿宋_GB2312" w:hAnsi="仿宋_GB2312" w:eastAsia="仿宋_GB2312"/>
          <w:b/>
        </w:rPr>
      </w:pPr>
    </w:p>
    <w:p>
      <w:pPr>
        <w:snapToGrid w:val="0"/>
        <w:spacing w:line="560" w:lineRule="exact"/>
        <w:jc w:val="left"/>
        <w:rPr>
          <w:rStyle w:val="33"/>
          <w:rFonts w:ascii="仿宋_GB2312" w:hAnsi="仿宋_GB2312" w:eastAsia="仿宋_GB2312"/>
          <w:b/>
          <w:kern w:val="0"/>
          <w:sz w:val="24"/>
        </w:rPr>
      </w:pPr>
    </w:p>
    <w:p>
      <w:pPr>
        <w:pStyle w:val="80"/>
        <w:snapToGrid w:val="0"/>
        <w:spacing w:line="560" w:lineRule="exact"/>
        <w:ind w:firstLine="200"/>
        <w:jc w:val="center"/>
        <w:rPr>
          <w:rStyle w:val="33"/>
          <w:rFonts w:ascii="仿宋_GB2312" w:hAnsi="仿宋_GB2312" w:eastAsia="仿宋_GB2312"/>
          <w:b/>
          <w:szCs w:val="24"/>
        </w:rPr>
      </w:pPr>
      <w:r>
        <w:rPr>
          <w:rStyle w:val="33"/>
          <w:rFonts w:ascii="仿宋_GB2312" w:hAnsi="仿宋_GB2312" w:eastAsia="仿宋_GB2312"/>
          <w:b/>
          <w:szCs w:val="24"/>
        </w:rPr>
        <w:t>第二部分 合同一般条款</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 定义</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本合同中的下列词语应按以下内容进行解释：</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2.1.1 “合同”系指采购人和中标供应商签订的载明双方当事人所达成的协议，并包括所有的附件、附录和构成合同的其他文件。</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2.1.2 “合同价”系指根据合同约定，中标供应商在完全履行合同义务后，采购人应支付给中标供应商的价格。</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2.1.4 “甲方”系指与中标供应商签署合同的采购人；采购人委托采购代理机构代表其与乙方签订合同的，采购人的授权委托书作为合同附件。</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2.1.6 “现场”系指合同约定货物将要运至或者安装的地点。</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2.2 技术规范</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2.3 知识产权</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2.3.2具有知识产权的计算机软件等货物的知识产权归属，详见</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2.4 包装和装运</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2.4.1除</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2.4.2 装运货物的要求和通知，详见</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2.5 履约检查和问题反馈</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2.5.2 合同履行期间，甲方有权将履行过程中出现的问题反馈给乙方，双方当事人应以书面形式约定需要完善和改进的内容。</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2.6 结算方式和付款条件</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详见</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2.7 技术资料和保密义务</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2.7.1 乙方有权依据合同约定和项目需要，向甲方了解有关情况，调阅有关资料等，甲方应予积极配合；</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2.7.2 乙方有义务妥善保管和保护由甲方提供的前款信息和资料等；</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2.8 质量保证</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2.8.1 乙方应建立和完善履行合同的内部质量保证体系，并提供相关内部规章制度给甲方，以便甲方进行监督检查；</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2.8.2 乙方应保证履行合同的人员数量和素质、软件和硬件设备的配置、场地、环境和设施等满足全面履行合同的要求，并应接受甲方的监督检查。</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2.9 货物的风险负担</w:t>
      </w:r>
    </w:p>
    <w:p>
      <w:pPr>
        <w:snapToGrid w:val="0"/>
        <w:spacing w:line="560" w:lineRule="exact"/>
        <w:ind w:firstLine="480" w:firstLineChars="200"/>
        <w:rPr>
          <w:rStyle w:val="33"/>
          <w:rFonts w:ascii="仿宋_GB2312" w:hAnsi="仿宋_GB2312" w:eastAsia="仿宋_GB2312"/>
          <w:b/>
          <w:sz w:val="24"/>
        </w:rPr>
      </w:pPr>
      <w:r>
        <w:rPr>
          <w:rStyle w:val="33"/>
          <w:rFonts w:ascii="仿宋_GB2312" w:hAnsi="仿宋_GB2312" w:eastAsia="仿宋_GB2312"/>
          <w:sz w:val="24"/>
        </w:rPr>
        <w:t>货物或者在途货物或者交付给第一承运人后的货物毁损、灭失的风险负担详见</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2.10 延迟交货</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2.11 合同变更</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2.11.2 合同继续履行将损害国家利益和社会公共利益的，双方当事人应当以书面形式变更合同。有过错的一方应当承担赔偿责任，双方当事人都有过错的，各自承担相应的责任。</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2.12 合同转让和分包</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2.13 不可抗力</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2.13.1如果任何一方遭遇法律规定的不可抗力，致使合同履行受阻时，履行合同的期限应予延长，延长的期限应相当于不可抗力所影响的时间；</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2.13.2 因不可抗力致使不能实现合同目的的，当事人可以解除合同；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2.13.3 因不可抗力致使合同有变更必要的，双方当事人应在</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约定时间内以书面形式变更合同；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2.13.4受不可抗力影响的一方在不可抗力发生后，应在</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约定时间内以书面形式通知对方当事人，并在</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约定时间内，将有关部门出具的证明文件送达对方当事人。</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2.14 税费</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与合同有关的一切税费，均按照中华人民共和国法律的相关规定。</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2.15 乙方破产</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2.16 合同中止、终止</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2.16.1 双方当事人不得擅自中止或者终止合同；</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2.16.2合同继续履行将损害国家利益和社会公共利益的，双方当事人应当中止或者终止合同。有过错的一方应当承担赔偿责任，双方当事人都有过错的，各自承担相应的责任。</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2.17 检验和验收</w:t>
      </w:r>
    </w:p>
    <w:p>
      <w:pPr>
        <w:tabs>
          <w:tab w:val="left" w:pos="360"/>
          <w:tab w:val="left" w:pos="540"/>
          <w:tab w:val="left" w:pos="1080"/>
        </w:tabs>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2.17.1货物交付前，乙方应对货物的质量、数量等方面进行详细、全面的检验，并向甲方出具证明货物符合合同约定的文件；货物交付时，乙方在</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约定时间内组织验收，并可依法邀请相关方参加，验收应出具验收书。</w:t>
      </w:r>
    </w:p>
    <w:p>
      <w:pPr>
        <w:tabs>
          <w:tab w:val="left" w:pos="360"/>
          <w:tab w:val="left" w:pos="540"/>
          <w:tab w:val="left" w:pos="1080"/>
        </w:tabs>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2.17.3 检验和验收标准、程序等具体内容以及前述验收书的效力详见</w:t>
      </w:r>
      <w:r>
        <w:rPr>
          <w:rStyle w:val="33"/>
          <w:rFonts w:ascii="仿宋_GB2312" w:hAnsi="仿宋_GB2312" w:eastAsia="仿宋_GB2312"/>
          <w:b/>
          <w:i/>
          <w:sz w:val="24"/>
          <w:u w:val="single" w:color="000000"/>
        </w:rPr>
        <w:t>合同专用条款</w:t>
      </w:r>
      <w:r>
        <w:rPr>
          <w:rStyle w:val="33"/>
          <w:rFonts w:ascii="仿宋_GB2312" w:hAnsi="仿宋_GB2312" w:eastAsia="仿宋_GB2312"/>
          <w:i/>
          <w:sz w:val="24"/>
        </w:rPr>
        <w:t>。</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2.18 通知和送达</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2.19 计量单位</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除技术规范中另有规定外,合同的计量单位均使用国家法定计量单位。</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2.20 合同使用的文字和适用的法律</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2.20.1 合同使用汉语书就、变更和解释；</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2.20.2 合同适用中华人民共和国法律。</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2.21 履约保证金</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2.21.1 采购文件要求乙方提交履约保证金的，乙方应按</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约定的方式，以支票、汇票、本票或者金融机构、担保机构出具的保函等非现金形式，提交不超过合同价</w:t>
      </w:r>
      <w:r>
        <w:rPr>
          <w:rStyle w:val="33"/>
          <w:rFonts w:hint="eastAsia" w:ascii="仿宋_GB2312" w:hAnsi="仿宋_GB2312" w:eastAsia="仿宋_GB2312"/>
          <w:sz w:val="24"/>
        </w:rPr>
        <w:t>10</w:t>
      </w:r>
      <w:r>
        <w:rPr>
          <w:rStyle w:val="33"/>
          <w:rFonts w:ascii="仿宋_GB2312" w:hAnsi="仿宋_GB2312" w:eastAsia="仿宋_GB2312"/>
          <w:sz w:val="24"/>
        </w:rPr>
        <w:t>%的履约保证金；</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2.21.2  履约保证金在</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约定期间内或者货物质量保证期内不予退还或者应完全有效，前述约定期间届满或者货物质量保证期届满之日起个工作日内，甲方应将履约保证金退还乙方；</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560" w:lineRule="exact"/>
        <w:ind w:firstLine="482" w:firstLineChars="200"/>
        <w:rPr>
          <w:rStyle w:val="33"/>
          <w:rFonts w:ascii="仿宋_GB2312" w:hAnsi="仿宋_GB2312" w:eastAsia="仿宋_GB2312"/>
          <w:b/>
          <w:sz w:val="24"/>
        </w:rPr>
      </w:pPr>
      <w:r>
        <w:rPr>
          <w:rStyle w:val="33"/>
          <w:rFonts w:ascii="仿宋_GB2312" w:hAnsi="仿宋_GB2312" w:eastAsia="仿宋_GB2312"/>
          <w:b/>
          <w:sz w:val="24"/>
        </w:rPr>
        <w:t>2.22 合同份数</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合同份数按</w:t>
      </w:r>
      <w:r>
        <w:rPr>
          <w:rStyle w:val="33"/>
          <w:rFonts w:ascii="仿宋_GB2312" w:hAnsi="仿宋_GB2312" w:eastAsia="仿宋_GB2312"/>
          <w:b/>
          <w:i/>
          <w:sz w:val="24"/>
          <w:u w:val="single" w:color="000000"/>
        </w:rPr>
        <w:t>合同专用条款</w:t>
      </w:r>
      <w:r>
        <w:rPr>
          <w:rStyle w:val="33"/>
          <w:rFonts w:ascii="仿宋_GB2312" w:hAnsi="仿宋_GB2312" w:eastAsia="仿宋_GB2312"/>
          <w:sz w:val="24"/>
        </w:rPr>
        <w:t>规定，每份均具有同等法律效力。</w:t>
      </w:r>
    </w:p>
    <w:p>
      <w:pPr>
        <w:pStyle w:val="80"/>
        <w:snapToGrid w:val="0"/>
        <w:spacing w:line="560" w:lineRule="exact"/>
        <w:ind w:firstLine="0"/>
        <w:jc w:val="center"/>
        <w:rPr>
          <w:rStyle w:val="33"/>
          <w:rFonts w:ascii="仿宋_GB2312" w:hAnsi="仿宋_GB2312" w:eastAsia="仿宋_GB2312"/>
          <w:szCs w:val="24"/>
        </w:rPr>
      </w:pPr>
      <w:r>
        <w:rPr>
          <w:rStyle w:val="33"/>
          <w:rFonts w:ascii="仿宋_GB2312" w:hAnsi="仿宋_GB2312" w:eastAsia="仿宋_GB2312"/>
          <w:szCs w:val="24"/>
        </w:rPr>
        <w:br w:type="page"/>
      </w:r>
    </w:p>
    <w:p>
      <w:pPr>
        <w:pStyle w:val="80"/>
        <w:snapToGrid w:val="0"/>
        <w:spacing w:line="560" w:lineRule="exact"/>
        <w:ind w:firstLine="0"/>
        <w:jc w:val="center"/>
        <w:rPr>
          <w:rStyle w:val="33"/>
          <w:rFonts w:ascii="仿宋_GB2312" w:hAnsi="仿宋_GB2312" w:eastAsia="仿宋_GB2312"/>
          <w:b/>
          <w:szCs w:val="24"/>
        </w:rPr>
      </w:pPr>
      <w:r>
        <w:rPr>
          <w:rStyle w:val="33"/>
          <w:rFonts w:ascii="仿宋_GB2312" w:hAnsi="仿宋_GB2312" w:eastAsia="仿宋_GB2312"/>
          <w:b/>
          <w:szCs w:val="24"/>
        </w:rPr>
        <w:t>第三部分  合同专用条款</w:t>
      </w:r>
    </w:p>
    <w:p>
      <w:pPr>
        <w:snapToGrid w:val="0"/>
        <w:spacing w:line="560" w:lineRule="exact"/>
        <w:ind w:firstLine="480" w:firstLineChars="200"/>
        <w:rPr>
          <w:rStyle w:val="33"/>
          <w:rFonts w:ascii="仿宋_GB2312" w:hAnsi="仿宋_GB2312" w:eastAsia="仿宋_GB2312"/>
          <w:sz w:val="24"/>
        </w:rPr>
      </w:pPr>
      <w:r>
        <w:rPr>
          <w:rStyle w:val="33"/>
          <w:rFonts w:ascii="仿宋_GB2312" w:hAns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jc w:val="center"/>
              <w:rPr>
                <w:rStyle w:val="33"/>
                <w:rFonts w:ascii="仿宋_GB2312" w:hAnsi="仿宋_GB2312" w:eastAsia="仿宋_GB2312"/>
                <w:b/>
                <w:sz w:val="24"/>
              </w:rPr>
            </w:pPr>
            <w:r>
              <w:rPr>
                <w:rStyle w:val="33"/>
                <w:rFonts w:ascii="仿宋_GB2312" w:hAnsi="仿宋_GB2312" w:eastAsia="仿宋_GB2312"/>
                <w:b/>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jc w:val="center"/>
              <w:rPr>
                <w:rStyle w:val="33"/>
                <w:rFonts w:ascii="仿宋_GB2312" w:hAnsi="仿宋_GB2312" w:eastAsia="仿宋_GB2312"/>
                <w:b/>
                <w:sz w:val="24"/>
              </w:rPr>
            </w:pPr>
            <w:r>
              <w:rPr>
                <w:rStyle w:val="33"/>
                <w:rFonts w:ascii="仿宋_GB2312" w:hAnsi="仿宋_GB2312" w:eastAsia="仿宋_GB2312"/>
                <w:b/>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3"/>
                <w:rFonts w:ascii="仿宋_GB2312" w:hAnsi="仿宋_GB2312" w:eastAsia="仿宋_GB2312"/>
                <w:sz w:val="24"/>
              </w:rPr>
            </w:pPr>
          </w:p>
        </w:tc>
      </w:tr>
    </w:tbl>
    <w:p>
      <w:pPr>
        <w:snapToGrid w:val="0"/>
        <w:spacing w:after="156" w:line="560" w:lineRule="exact"/>
        <w:ind w:firstLine="480"/>
        <w:rPr>
          <w:rStyle w:val="33"/>
          <w:rFonts w:ascii="仿宋_GB2312" w:hAnsi="仿宋_GB2312" w:eastAsia="仿宋_GB2312"/>
        </w:rPr>
      </w:pPr>
    </w:p>
    <w:p>
      <w:pPr>
        <w:pStyle w:val="32"/>
        <w:snapToGrid w:val="0"/>
        <w:spacing w:before="0" w:line="240" w:lineRule="atLeast"/>
        <w:ind w:left="1080" w:leftChars="257" w:hanging="540"/>
        <w:rPr>
          <w:rStyle w:val="33"/>
          <w:rFonts w:ascii="仿宋_GB2312" w:hAnsi="仿宋_GB2312" w:eastAsia="仿宋_GB2312"/>
          <w:sz w:val="24"/>
        </w:rPr>
      </w:pPr>
    </w:p>
    <w:p>
      <w:pPr>
        <w:snapToGrid w:val="0"/>
        <w:rPr>
          <w:rStyle w:val="33"/>
          <w:rFonts w:ascii="仿宋_GB2312" w:hAnsi="仿宋_GB2312" w:eastAsia="仿宋_GB2312"/>
        </w:rPr>
      </w:pPr>
    </w:p>
    <w:p>
      <w:pPr>
        <w:snapToGrid w:val="0"/>
        <w:spacing w:line="240" w:lineRule="atLeast"/>
        <w:rPr>
          <w:rStyle w:val="33"/>
          <w:rFonts w:ascii="仿宋_GB2312" w:hAnsi="仿宋_GB2312" w:eastAsia="仿宋_GB2312"/>
        </w:rPr>
      </w:pPr>
    </w:p>
    <w:p>
      <w:pPr>
        <w:pStyle w:val="30"/>
        <w:snapToGrid w:val="0"/>
        <w:spacing w:line="240" w:lineRule="atLeast"/>
        <w:ind w:left="1080" w:leftChars="257" w:hanging="540"/>
        <w:rPr>
          <w:rStyle w:val="33"/>
          <w:rFonts w:ascii="仿宋_GB2312" w:hAnsi="仿宋_GB2312" w:eastAsia="仿宋_GB2312"/>
          <w:sz w:val="28"/>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Light">
    <w:altName w:val="宋体"/>
    <w:panose1 w:val="020B0502040204020203"/>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6"/>
                            <w:jc w:val="center"/>
                          </w:pPr>
                          <w:r>
                            <w:fldChar w:fldCharType="begin"/>
                          </w:r>
                          <w:r>
                            <w:instrText xml:space="preserve">PAGE   \* MERGEFORMAT</w:instrText>
                          </w:r>
                          <w:r>
                            <w:fldChar w:fldCharType="separate"/>
                          </w:r>
                          <w:r>
                            <w:rPr>
                              <w:lang w:val="zh-CN"/>
                            </w:rP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MCn1jzQEAAJsDAAAOAAAAZHJzL2Uyb0RvYy54bWytU0tu2zAQ3RfI&#10;HQjuY9n5IREsBy2MBAWKtkDaA9DUyCLAHzi0JV+gvUFX3XTfc/kcGVKy8+kmi26o4XD45r3H0fy2&#10;N5ptIaBytuKzyZQzsNLVyq4r/v3b3ek1ZxiFrYV2Fiq+A+S3i5N3886XcOZap2sIjEAslp2veBuj&#10;L4sCZQtG4MR5sHTYuGBEpG1YF3UQHaEbXZxNp1dF50Ltg5OASNnlcMhHxPAWQNc0SsLSyY0BGwfU&#10;AFpEkoSt8sgXmW3TgIxfmgYhMl1xUhrzSk0oXqW1WMxFuQ7Ct0qOFMRbKLzSZISy1PQItRRRsE1Q&#10;/0AZJYND18SJdKYYhGRHSMVs+sqbh1Z4yFrIavRH0/H/wcrP26+BqZom4YozKwy9+P7Xz/3vv/s/&#10;PxjlyKDOY0l1D54qY//B9VR8yCMlk+6+CSZ9SRGjc7J3d7QX+shkujS7uDm/5EzS0ezi+vIm2188&#10;XfYB4z04w1JQ8UCvl00V208YiQiVHkpSL+vulNb5BbV9kaDCIQN5BMbbScfAN0WxX/WjuJWrd6St&#10;ozGouKWp50x/tORymphDEA7BagxSR/TvN5FoZHYJdYAiqmlDb5ZJj/OVhuL5Plc9/VO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AugUXRAAAAAwEAAA8AAAAAAAAAAQAgAAAAIgAAAGRycy9kb3du&#10;cmV2LnhtbFBLAQIUABQAAAAIAIdO4kDMCn1jzQEAAJsDAAAOAAAAAAAAAAEAIAAAACABAABkcnMv&#10;ZTJvRG9jLnhtbFBLBQYAAAAABgAGAFkBAABfBQAAAAA=&#10;">
              <v:fill on="f" focussize="0,0"/>
              <v:stroke on="f"/>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pPr>
      <w:pStyle w:val="16"/>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33"/>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ytv8cBAACc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UnMbuhKWBX37+uPz6c/n9nS1X&#10;SZ/eY0Vl954K4/AOBtqaOY4UTLSHNtj0JUKM8qTu+aquGiKT6dJ6tV6XlJKUmx3CLx6u+4DxvQLL&#10;klHzQOPLqorTR4xj6VySXnNwp43JIzTunwBhjhGVd2C6nZiMHScrDvthoreH5kzsetqDmjtae87M&#10;B0cyp5WZjTAb+8lIL6K/PUZqI3eXUEcoYpUcGlrmNy1Y2orHfq56+Km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oytv8cBAACc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mc:Fallback>
      </mc:AlternateContent>
    </w:r>
    <w:r>
      <w:rPr>
        <w:rStyle w:val="3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6"/>
                            <w:jc w:val="center"/>
                            <w:rPr>
                              <w:rStyle w:val="33"/>
                            </w:rPr>
                          </w:pPr>
                        </w:p>
                        <w:p>
                          <w:pPr>
                            <w:tabs>
                              <w:tab w:val="center" w:pos="4153"/>
                              <w:tab w:val="right" w:pos="8306"/>
                            </w:tabs>
                            <w:jc w:val="center"/>
                            <w:rPr>
                              <w:rStyle w:val="33"/>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60288;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pPr>
                      <w:pStyle w:val="16"/>
                      <w:jc w:val="center"/>
                      <w:rPr>
                        <w:rStyle w:val="33"/>
                      </w:rPr>
                    </w:pPr>
                  </w:p>
                  <w:p>
                    <w:pPr>
                      <w:tabs>
                        <w:tab w:val="center" w:pos="4153"/>
                        <w:tab w:val="right" w:pos="8306"/>
                      </w:tabs>
                      <w:jc w:val="center"/>
                      <w:rPr>
                        <w:rStyle w:val="33"/>
                      </w:rPr>
                    </w:pPr>
                  </w:p>
                </w:txbxContent>
              </v:textbox>
            </v:shape>
          </w:pict>
        </mc:Fallback>
      </mc:AlternateContent>
    </w:r>
  </w:p>
  <w:p>
    <w:pPr>
      <w:pStyle w:val="16"/>
      <w:ind w:right="360"/>
      <w:jc w:val="right"/>
      <w:rPr>
        <w:rStyle w:val="3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68"/>
      </w:rPr>
    </w:pPr>
  </w:p>
  <w:p>
    <w:pPr>
      <w:pStyle w:val="16"/>
      <w:rPr>
        <w:rStyle w:val="3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33"/>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y3Pc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ay3PccBAACd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r>
      <w:rPr>
        <w:rStyle w:val="3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jc w:val="center"/>
                            <w:rPr>
                              <w:rStyle w:val="33"/>
                            </w:rPr>
                          </w:pPr>
                        </w:p>
                        <w:p>
                          <w:pPr>
                            <w:tabs>
                              <w:tab w:val="center" w:pos="4153"/>
                              <w:tab w:val="right" w:pos="8306"/>
                            </w:tabs>
                            <w:jc w:val="center"/>
                            <w:rPr>
                              <w:rStyle w:val="33"/>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pPr>
                      <w:pStyle w:val="16"/>
                      <w:jc w:val="center"/>
                      <w:rPr>
                        <w:rStyle w:val="33"/>
                      </w:rPr>
                    </w:pPr>
                  </w:p>
                  <w:p>
                    <w:pPr>
                      <w:tabs>
                        <w:tab w:val="center" w:pos="4153"/>
                        <w:tab w:val="right" w:pos="8306"/>
                      </w:tabs>
                      <w:jc w:val="center"/>
                      <w:rPr>
                        <w:rStyle w:val="33"/>
                      </w:rPr>
                    </w:pPr>
                  </w:p>
                </w:txbxContent>
              </v:textbox>
            </v:shape>
          </w:pict>
        </mc:Fallback>
      </mc:AlternateContent>
    </w:r>
  </w:p>
  <w:p>
    <w:pPr>
      <w:pStyle w:val="16"/>
      <w:jc w:val="center"/>
      <w:rPr>
        <w:rStyle w:val="33"/>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33"/>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7eTscBAACd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q7eTscBAACd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67</w:t>
                    </w:r>
                    <w:r>
                      <w:fldChar w:fldCharType="end"/>
                    </w:r>
                  </w:p>
                </w:txbxContent>
              </v:textbox>
            </v:shape>
          </w:pict>
        </mc:Fallback>
      </mc:AlternateContent>
    </w:r>
    <w:r>
      <w:rPr>
        <w:rStyle w:val="33"/>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6"/>
                            <w:jc w:val="center"/>
                            <w:rPr>
                              <w:rStyle w:val="33"/>
                            </w:rPr>
                          </w:pPr>
                        </w:p>
                        <w:p>
                          <w:pPr>
                            <w:tabs>
                              <w:tab w:val="center" w:pos="4153"/>
                              <w:tab w:val="right" w:pos="8306"/>
                            </w:tabs>
                            <w:jc w:val="center"/>
                            <w:rPr>
                              <w:rStyle w:val="33"/>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438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pPr>
                      <w:pStyle w:val="16"/>
                      <w:jc w:val="center"/>
                      <w:rPr>
                        <w:rStyle w:val="33"/>
                      </w:rPr>
                    </w:pPr>
                  </w:p>
                  <w:p>
                    <w:pPr>
                      <w:tabs>
                        <w:tab w:val="center" w:pos="4153"/>
                        <w:tab w:val="right" w:pos="8306"/>
                      </w:tabs>
                      <w:jc w:val="center"/>
                      <w:rPr>
                        <w:rStyle w:val="33"/>
                      </w:rPr>
                    </w:pPr>
                  </w:p>
                </w:txbxContent>
              </v:textbox>
            </v:shape>
          </w:pict>
        </mc:Fallback>
      </mc:AlternateContent>
    </w:r>
  </w:p>
  <w:p>
    <w:pPr>
      <w:pStyle w:val="16"/>
      <w:ind w:right="360"/>
      <w:jc w:val="right"/>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Style w:val="3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Style w:val="3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Style w:val="3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BD3E44A8"/>
    <w:multiLevelType w:val="singleLevel"/>
    <w:tmpl w:val="BD3E44A8"/>
    <w:lvl w:ilvl="0" w:tentative="0">
      <w:start w:val="2"/>
      <w:numFmt w:val="decimal"/>
      <w:suff w:val="nothing"/>
      <w:lvlText w:val="%1、"/>
      <w:lvlJc w:val="left"/>
    </w:lvl>
  </w:abstractNum>
  <w:abstractNum w:abstractNumId="2">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3">
    <w:nsid w:val="E6DD8D23"/>
    <w:multiLevelType w:val="singleLevel"/>
    <w:tmpl w:val="E6DD8D23"/>
    <w:lvl w:ilvl="0" w:tentative="0">
      <w:start w:val="1"/>
      <w:numFmt w:val="chineseCounting"/>
      <w:suff w:val="nothing"/>
      <w:lvlText w:val="%1、"/>
      <w:lvlJc w:val="left"/>
      <w:pPr>
        <w:textAlignment w:val="baseline"/>
      </w:pPr>
    </w:lvl>
  </w:abstractNum>
  <w:abstractNum w:abstractNumId="4">
    <w:nsid w:val="EA58F7FF"/>
    <w:multiLevelType w:val="singleLevel"/>
    <w:tmpl w:val="EA58F7FF"/>
    <w:lvl w:ilvl="0" w:tentative="0">
      <w:start w:val="8"/>
      <w:numFmt w:val="decimal"/>
      <w:suff w:val="nothing"/>
      <w:lvlText w:val="%1、"/>
      <w:lvlJc w:val="left"/>
      <w:pPr>
        <w:ind w:left="30"/>
      </w:pPr>
    </w:lvl>
  </w:abstractNum>
  <w:abstractNum w:abstractNumId="5">
    <w:nsid w:val="0A12E0F5"/>
    <w:multiLevelType w:val="singleLevel"/>
    <w:tmpl w:val="0A12E0F5"/>
    <w:lvl w:ilvl="0" w:tentative="0">
      <w:start w:val="1"/>
      <w:numFmt w:val="chineseCounting"/>
      <w:suff w:val="nothing"/>
      <w:lvlText w:val="%1、"/>
      <w:lvlJc w:val="left"/>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7">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8">
    <w:nsid w:val="3EBB3C91"/>
    <w:multiLevelType w:val="multilevel"/>
    <w:tmpl w:val="3EBB3C91"/>
    <w:lvl w:ilvl="0" w:tentative="0">
      <w:start w:val="1"/>
      <w:numFmt w:val="chineseCountingThousand"/>
      <w:suff w:val="space"/>
      <w:lvlText w:val="%1. "/>
      <w:lvlJc w:val="left"/>
      <w:pPr>
        <w:ind w:left="907" w:hanging="907"/>
        <w:textAlignment w:val="baseline"/>
      </w:pPr>
    </w:lvl>
    <w:lvl w:ilvl="1" w:tentative="0">
      <w:start w:val="1"/>
      <w:numFmt w:val="decimal"/>
      <w:suff w:val="space"/>
      <w:lvlText w:val="%1.%2 "/>
      <w:lvlJc w:val="left"/>
      <w:pPr>
        <w:ind w:left="794" w:hanging="794"/>
        <w:textAlignment w:val="baseline"/>
      </w:pPr>
    </w:lvl>
    <w:lvl w:ilvl="2" w:tentative="0">
      <w:start w:val="0"/>
      <w:numFmt w:val="decimal"/>
      <w:lvlText w:val=""/>
      <w:lvlJc w:val="left"/>
      <w:pPr>
        <w:tabs>
          <w:tab w:val="left" w:pos="360"/>
        </w:tabs>
        <w:textAlignment w:val="baseline"/>
      </w:pPr>
    </w:lvl>
    <w:lvl w:ilvl="3" w:tentative="0">
      <w:start w:val="0"/>
      <w:numFmt w:val="decimal"/>
      <w:lvlText w:val=""/>
      <w:lvlJc w:val="left"/>
      <w:pPr>
        <w:tabs>
          <w:tab w:val="left" w:pos="360"/>
        </w:tabs>
        <w:textAlignment w:val="baseline"/>
      </w:pPr>
    </w:lvl>
    <w:lvl w:ilvl="4" w:tentative="0">
      <w:start w:val="0"/>
      <w:numFmt w:val="decimal"/>
      <w:pStyle w:val="107"/>
      <w:lvlText w:val=""/>
      <w:lvlJc w:val="left"/>
      <w:pPr>
        <w:textAlignment w:val="baseline"/>
      </w:pPr>
    </w:lvl>
    <w:lvl w:ilvl="5" w:tentative="0">
      <w:start w:val="0"/>
      <w:numFmt w:val="decimal"/>
      <w:lvlText w:val=""/>
      <w:lvlJc w:val="left"/>
      <w:pPr>
        <w:textAlignment w:val="baseline"/>
      </w:pPr>
    </w:lvl>
    <w:lvl w:ilvl="6" w:tentative="0">
      <w:start w:val="0"/>
      <w:numFmt w:val="decimal"/>
      <w:lvlText w:val=""/>
      <w:lvlJc w:val="left"/>
      <w:pPr>
        <w:textAlignment w:val="baseline"/>
      </w:pPr>
    </w:lvl>
    <w:lvl w:ilvl="7" w:tentative="0">
      <w:start w:val="0"/>
      <w:numFmt w:val="decimal"/>
      <w:lvlText w:val=""/>
      <w:lvlJc w:val="left"/>
      <w:pPr>
        <w:textAlignment w:val="baseline"/>
      </w:pPr>
    </w:lvl>
    <w:lvl w:ilvl="8" w:tentative="0">
      <w:start w:val="0"/>
      <w:numFmt w:val="decimal"/>
      <w:lvlText w:val=""/>
      <w:lvlJc w:val="left"/>
      <w:pPr>
        <w:textAlignment w:val="baseline"/>
      </w:p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F419CC3"/>
    <w:multiLevelType w:val="singleLevel"/>
    <w:tmpl w:val="4F419CC3"/>
    <w:lvl w:ilvl="0" w:tentative="0">
      <w:start w:val="1"/>
      <w:numFmt w:val="decimal"/>
      <w:suff w:val="nothing"/>
      <w:lvlText w:val="%1、"/>
      <w:lvlJc w:val="left"/>
      <w:pPr>
        <w:textAlignment w:val="baseline"/>
      </w:pPr>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8"/>
  </w:num>
  <w:num w:numId="2">
    <w:abstractNumId w:val="7"/>
  </w:num>
  <w:num w:numId="3">
    <w:abstractNumId w:val="12"/>
  </w:num>
  <w:num w:numId="4">
    <w:abstractNumId w:val="2"/>
  </w:num>
  <w:num w:numId="5">
    <w:abstractNumId w:val="6"/>
  </w:num>
  <w:num w:numId="6">
    <w:abstractNumId w:val="4"/>
  </w:num>
  <w:num w:numId="7">
    <w:abstractNumId w:val="3"/>
  </w:num>
  <w:num w:numId="8">
    <w:abstractNumId w:val="0"/>
  </w:num>
  <w:num w:numId="9">
    <w:abstractNumId w:val="11"/>
  </w:num>
  <w:num w:numId="10">
    <w:abstractNumId w:val="10"/>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DlhZWYxYzUxMjlkMDAwNmUxMDhiZDQxMzZmYjcifQ=="/>
    <w:docVar w:name="KSO_WPS_MARK_KEY" w:val="16f9c8dd-6cd6-4ba2-8705-52dfb6aabb50"/>
  </w:docVars>
  <w:rsids>
    <w:rsidRoot w:val="001E498D"/>
    <w:rsid w:val="000028C6"/>
    <w:rsid w:val="000101B1"/>
    <w:rsid w:val="0002117A"/>
    <w:rsid w:val="000403E5"/>
    <w:rsid w:val="00041D3B"/>
    <w:rsid w:val="00071D6B"/>
    <w:rsid w:val="000C24F0"/>
    <w:rsid w:val="000E3547"/>
    <w:rsid w:val="000E7B1F"/>
    <w:rsid w:val="000E7CC6"/>
    <w:rsid w:val="000F10D4"/>
    <w:rsid w:val="001013F9"/>
    <w:rsid w:val="00107796"/>
    <w:rsid w:val="00147BF3"/>
    <w:rsid w:val="00156697"/>
    <w:rsid w:val="00165F19"/>
    <w:rsid w:val="00170DDD"/>
    <w:rsid w:val="001855C9"/>
    <w:rsid w:val="0018603E"/>
    <w:rsid w:val="00192A5D"/>
    <w:rsid w:val="00193AB9"/>
    <w:rsid w:val="001D1344"/>
    <w:rsid w:val="001D542C"/>
    <w:rsid w:val="001E465D"/>
    <w:rsid w:val="001E498D"/>
    <w:rsid w:val="00222B10"/>
    <w:rsid w:val="00223BB9"/>
    <w:rsid w:val="002341EB"/>
    <w:rsid w:val="00252A98"/>
    <w:rsid w:val="002620BC"/>
    <w:rsid w:val="0028031D"/>
    <w:rsid w:val="00295656"/>
    <w:rsid w:val="00296320"/>
    <w:rsid w:val="002A0C86"/>
    <w:rsid w:val="002A6DFB"/>
    <w:rsid w:val="002C4449"/>
    <w:rsid w:val="002C4D3E"/>
    <w:rsid w:val="002F1503"/>
    <w:rsid w:val="002F1514"/>
    <w:rsid w:val="002F4EE9"/>
    <w:rsid w:val="00300399"/>
    <w:rsid w:val="00305CE7"/>
    <w:rsid w:val="00326621"/>
    <w:rsid w:val="003312E8"/>
    <w:rsid w:val="003435A0"/>
    <w:rsid w:val="00345B78"/>
    <w:rsid w:val="00354937"/>
    <w:rsid w:val="00362A8E"/>
    <w:rsid w:val="003A4D80"/>
    <w:rsid w:val="003B1DF2"/>
    <w:rsid w:val="003B29BD"/>
    <w:rsid w:val="003C4685"/>
    <w:rsid w:val="003C737C"/>
    <w:rsid w:val="003E39EA"/>
    <w:rsid w:val="003E4448"/>
    <w:rsid w:val="00407B8A"/>
    <w:rsid w:val="0042543D"/>
    <w:rsid w:val="00431283"/>
    <w:rsid w:val="00432CEC"/>
    <w:rsid w:val="004550B5"/>
    <w:rsid w:val="00470873"/>
    <w:rsid w:val="00473546"/>
    <w:rsid w:val="00490A06"/>
    <w:rsid w:val="00494AA9"/>
    <w:rsid w:val="004A0A60"/>
    <w:rsid w:val="004B04AC"/>
    <w:rsid w:val="004B514A"/>
    <w:rsid w:val="004C2E79"/>
    <w:rsid w:val="004D05E0"/>
    <w:rsid w:val="004E616D"/>
    <w:rsid w:val="004F10BC"/>
    <w:rsid w:val="004F1F7F"/>
    <w:rsid w:val="004F45F5"/>
    <w:rsid w:val="00501EE6"/>
    <w:rsid w:val="00511E61"/>
    <w:rsid w:val="0051539E"/>
    <w:rsid w:val="00535E02"/>
    <w:rsid w:val="00547B7E"/>
    <w:rsid w:val="005671B3"/>
    <w:rsid w:val="00575F4C"/>
    <w:rsid w:val="005A2D05"/>
    <w:rsid w:val="005B62F9"/>
    <w:rsid w:val="005C58D0"/>
    <w:rsid w:val="005D510C"/>
    <w:rsid w:val="005D5A2E"/>
    <w:rsid w:val="005E5226"/>
    <w:rsid w:val="005F3C15"/>
    <w:rsid w:val="005F481F"/>
    <w:rsid w:val="00601F67"/>
    <w:rsid w:val="00633E59"/>
    <w:rsid w:val="00646D2B"/>
    <w:rsid w:val="00653EFA"/>
    <w:rsid w:val="00656459"/>
    <w:rsid w:val="00660722"/>
    <w:rsid w:val="00663349"/>
    <w:rsid w:val="006659CE"/>
    <w:rsid w:val="006C5B02"/>
    <w:rsid w:val="006D2A7C"/>
    <w:rsid w:val="006F2363"/>
    <w:rsid w:val="00702D6B"/>
    <w:rsid w:val="00707AF2"/>
    <w:rsid w:val="00733E26"/>
    <w:rsid w:val="0074285C"/>
    <w:rsid w:val="007464AD"/>
    <w:rsid w:val="00752106"/>
    <w:rsid w:val="007542E5"/>
    <w:rsid w:val="0076785D"/>
    <w:rsid w:val="00797745"/>
    <w:rsid w:val="007D19BE"/>
    <w:rsid w:val="007F5056"/>
    <w:rsid w:val="007F52E7"/>
    <w:rsid w:val="00802250"/>
    <w:rsid w:val="00803BCC"/>
    <w:rsid w:val="00807842"/>
    <w:rsid w:val="00807EC2"/>
    <w:rsid w:val="008136FD"/>
    <w:rsid w:val="00827421"/>
    <w:rsid w:val="00832699"/>
    <w:rsid w:val="00847DE1"/>
    <w:rsid w:val="00853D63"/>
    <w:rsid w:val="00861F07"/>
    <w:rsid w:val="00862C7E"/>
    <w:rsid w:val="0087479C"/>
    <w:rsid w:val="00882531"/>
    <w:rsid w:val="00887FA7"/>
    <w:rsid w:val="008935FB"/>
    <w:rsid w:val="008B522A"/>
    <w:rsid w:val="008C357E"/>
    <w:rsid w:val="008C5246"/>
    <w:rsid w:val="008C7CE9"/>
    <w:rsid w:val="008D7721"/>
    <w:rsid w:val="008E6503"/>
    <w:rsid w:val="0094422C"/>
    <w:rsid w:val="009535D7"/>
    <w:rsid w:val="00997495"/>
    <w:rsid w:val="009B187A"/>
    <w:rsid w:val="009D25DB"/>
    <w:rsid w:val="009D5876"/>
    <w:rsid w:val="00A00C83"/>
    <w:rsid w:val="00A0109B"/>
    <w:rsid w:val="00A06E69"/>
    <w:rsid w:val="00A25FFC"/>
    <w:rsid w:val="00A34F33"/>
    <w:rsid w:val="00A36813"/>
    <w:rsid w:val="00A45928"/>
    <w:rsid w:val="00A47B33"/>
    <w:rsid w:val="00A47C6B"/>
    <w:rsid w:val="00A53B71"/>
    <w:rsid w:val="00A5432E"/>
    <w:rsid w:val="00A67DF6"/>
    <w:rsid w:val="00A71AD1"/>
    <w:rsid w:val="00A74DAA"/>
    <w:rsid w:val="00A91D00"/>
    <w:rsid w:val="00AB5FE9"/>
    <w:rsid w:val="00AB7A64"/>
    <w:rsid w:val="00AE3FB7"/>
    <w:rsid w:val="00AE513F"/>
    <w:rsid w:val="00AE73A3"/>
    <w:rsid w:val="00AF1228"/>
    <w:rsid w:val="00B02B2C"/>
    <w:rsid w:val="00B34535"/>
    <w:rsid w:val="00B51117"/>
    <w:rsid w:val="00B54585"/>
    <w:rsid w:val="00B74666"/>
    <w:rsid w:val="00B76409"/>
    <w:rsid w:val="00B81459"/>
    <w:rsid w:val="00B864A0"/>
    <w:rsid w:val="00BA2F1A"/>
    <w:rsid w:val="00BA5B3D"/>
    <w:rsid w:val="00BC6F82"/>
    <w:rsid w:val="00BC757B"/>
    <w:rsid w:val="00C071C1"/>
    <w:rsid w:val="00C14698"/>
    <w:rsid w:val="00C14FA3"/>
    <w:rsid w:val="00C35D2F"/>
    <w:rsid w:val="00C375DA"/>
    <w:rsid w:val="00C64F02"/>
    <w:rsid w:val="00C70E1C"/>
    <w:rsid w:val="00CA66D4"/>
    <w:rsid w:val="00CA681D"/>
    <w:rsid w:val="00CB72BD"/>
    <w:rsid w:val="00CE7C6C"/>
    <w:rsid w:val="00CF3752"/>
    <w:rsid w:val="00D34B7D"/>
    <w:rsid w:val="00D40272"/>
    <w:rsid w:val="00D42B17"/>
    <w:rsid w:val="00D5064D"/>
    <w:rsid w:val="00D702CC"/>
    <w:rsid w:val="00D70859"/>
    <w:rsid w:val="00D85668"/>
    <w:rsid w:val="00D968C7"/>
    <w:rsid w:val="00DA5635"/>
    <w:rsid w:val="00DD626E"/>
    <w:rsid w:val="00DD64A9"/>
    <w:rsid w:val="00DE4930"/>
    <w:rsid w:val="00DE58E3"/>
    <w:rsid w:val="00E17139"/>
    <w:rsid w:val="00E224F5"/>
    <w:rsid w:val="00E25321"/>
    <w:rsid w:val="00E51380"/>
    <w:rsid w:val="00E52AB3"/>
    <w:rsid w:val="00E55449"/>
    <w:rsid w:val="00E7108F"/>
    <w:rsid w:val="00E955FA"/>
    <w:rsid w:val="00EA4F77"/>
    <w:rsid w:val="00EB06E1"/>
    <w:rsid w:val="00EB6297"/>
    <w:rsid w:val="00ED2FD8"/>
    <w:rsid w:val="00ED4093"/>
    <w:rsid w:val="00EE0862"/>
    <w:rsid w:val="00F32C4C"/>
    <w:rsid w:val="00F367B4"/>
    <w:rsid w:val="00F5004C"/>
    <w:rsid w:val="00F50CDF"/>
    <w:rsid w:val="00F60C37"/>
    <w:rsid w:val="00F70087"/>
    <w:rsid w:val="00F9057D"/>
    <w:rsid w:val="00FB1A71"/>
    <w:rsid w:val="00FE456E"/>
    <w:rsid w:val="00FF047E"/>
    <w:rsid w:val="00FF31AD"/>
    <w:rsid w:val="00FF3B48"/>
    <w:rsid w:val="0100390C"/>
    <w:rsid w:val="010C5239"/>
    <w:rsid w:val="010F3B4F"/>
    <w:rsid w:val="01177D87"/>
    <w:rsid w:val="01255120"/>
    <w:rsid w:val="012B158A"/>
    <w:rsid w:val="012C2504"/>
    <w:rsid w:val="013E2C5D"/>
    <w:rsid w:val="01460EC2"/>
    <w:rsid w:val="014A2DD9"/>
    <w:rsid w:val="014C6FDC"/>
    <w:rsid w:val="014D6750"/>
    <w:rsid w:val="01541EA9"/>
    <w:rsid w:val="015778D1"/>
    <w:rsid w:val="015E6884"/>
    <w:rsid w:val="0179546C"/>
    <w:rsid w:val="017A5E13"/>
    <w:rsid w:val="017D4F5C"/>
    <w:rsid w:val="01822903"/>
    <w:rsid w:val="01881A58"/>
    <w:rsid w:val="0189567D"/>
    <w:rsid w:val="01981D96"/>
    <w:rsid w:val="01A6400B"/>
    <w:rsid w:val="01A6481F"/>
    <w:rsid w:val="01A7301F"/>
    <w:rsid w:val="01A93FA3"/>
    <w:rsid w:val="01AB5FCD"/>
    <w:rsid w:val="01B05D8D"/>
    <w:rsid w:val="01B253E7"/>
    <w:rsid w:val="01C901A1"/>
    <w:rsid w:val="01CC2855"/>
    <w:rsid w:val="01CD59BB"/>
    <w:rsid w:val="01CE432B"/>
    <w:rsid w:val="01D17056"/>
    <w:rsid w:val="01E46D89"/>
    <w:rsid w:val="01E66D08"/>
    <w:rsid w:val="01E744CD"/>
    <w:rsid w:val="01EE5E5A"/>
    <w:rsid w:val="01EF1CDE"/>
    <w:rsid w:val="01F8432C"/>
    <w:rsid w:val="01F871B8"/>
    <w:rsid w:val="01F9035B"/>
    <w:rsid w:val="020D2655"/>
    <w:rsid w:val="020F4B3E"/>
    <w:rsid w:val="02176F73"/>
    <w:rsid w:val="02195B1F"/>
    <w:rsid w:val="02313D43"/>
    <w:rsid w:val="023E1565"/>
    <w:rsid w:val="02453081"/>
    <w:rsid w:val="025759BB"/>
    <w:rsid w:val="02586F40"/>
    <w:rsid w:val="025D08EA"/>
    <w:rsid w:val="0268552C"/>
    <w:rsid w:val="026C6D7F"/>
    <w:rsid w:val="026E4B27"/>
    <w:rsid w:val="027B7ED4"/>
    <w:rsid w:val="02873BB9"/>
    <w:rsid w:val="0288217D"/>
    <w:rsid w:val="02922C89"/>
    <w:rsid w:val="029307AF"/>
    <w:rsid w:val="0295695D"/>
    <w:rsid w:val="02961BA2"/>
    <w:rsid w:val="02A17900"/>
    <w:rsid w:val="02AD361F"/>
    <w:rsid w:val="02AD5588"/>
    <w:rsid w:val="02B96468"/>
    <w:rsid w:val="02BF30B9"/>
    <w:rsid w:val="02D33AFF"/>
    <w:rsid w:val="02D8427D"/>
    <w:rsid w:val="02EC2C40"/>
    <w:rsid w:val="02ED6112"/>
    <w:rsid w:val="02F254D6"/>
    <w:rsid w:val="02FF7BF3"/>
    <w:rsid w:val="03125217"/>
    <w:rsid w:val="031958EC"/>
    <w:rsid w:val="031B72EB"/>
    <w:rsid w:val="032B2294"/>
    <w:rsid w:val="032E069F"/>
    <w:rsid w:val="034B2E38"/>
    <w:rsid w:val="034E5E1A"/>
    <w:rsid w:val="035D3297"/>
    <w:rsid w:val="03624FA9"/>
    <w:rsid w:val="036912A9"/>
    <w:rsid w:val="036A373E"/>
    <w:rsid w:val="0374413D"/>
    <w:rsid w:val="0381011E"/>
    <w:rsid w:val="038A55B4"/>
    <w:rsid w:val="038C76D9"/>
    <w:rsid w:val="038E6361"/>
    <w:rsid w:val="03990047"/>
    <w:rsid w:val="03A26A11"/>
    <w:rsid w:val="03B15112"/>
    <w:rsid w:val="03B44E81"/>
    <w:rsid w:val="03BB1D6C"/>
    <w:rsid w:val="03C15B18"/>
    <w:rsid w:val="03D270B5"/>
    <w:rsid w:val="03D8225B"/>
    <w:rsid w:val="03E312C3"/>
    <w:rsid w:val="03EC1B08"/>
    <w:rsid w:val="03F60FF6"/>
    <w:rsid w:val="040A0B1F"/>
    <w:rsid w:val="041162AA"/>
    <w:rsid w:val="042A6EF2"/>
    <w:rsid w:val="04317DAF"/>
    <w:rsid w:val="04406715"/>
    <w:rsid w:val="04440342"/>
    <w:rsid w:val="044A30F0"/>
    <w:rsid w:val="044B1A22"/>
    <w:rsid w:val="04542266"/>
    <w:rsid w:val="04545D1C"/>
    <w:rsid w:val="04671EF4"/>
    <w:rsid w:val="046C11B5"/>
    <w:rsid w:val="04727855"/>
    <w:rsid w:val="04763EE5"/>
    <w:rsid w:val="04816F04"/>
    <w:rsid w:val="0482010A"/>
    <w:rsid w:val="048A77E4"/>
    <w:rsid w:val="049820AD"/>
    <w:rsid w:val="049C7DEF"/>
    <w:rsid w:val="049E1D8E"/>
    <w:rsid w:val="04AF5A6D"/>
    <w:rsid w:val="04B13C43"/>
    <w:rsid w:val="04B2316F"/>
    <w:rsid w:val="04C02524"/>
    <w:rsid w:val="04EB209A"/>
    <w:rsid w:val="04EE6171"/>
    <w:rsid w:val="04F862D0"/>
    <w:rsid w:val="04FF229E"/>
    <w:rsid w:val="04FF31C0"/>
    <w:rsid w:val="05025778"/>
    <w:rsid w:val="05041B11"/>
    <w:rsid w:val="051536FE"/>
    <w:rsid w:val="051A51B8"/>
    <w:rsid w:val="051E0F24"/>
    <w:rsid w:val="051E6A56"/>
    <w:rsid w:val="05271915"/>
    <w:rsid w:val="05281683"/>
    <w:rsid w:val="052C7443"/>
    <w:rsid w:val="05300469"/>
    <w:rsid w:val="05354804"/>
    <w:rsid w:val="053973EC"/>
    <w:rsid w:val="053E4A03"/>
    <w:rsid w:val="05410997"/>
    <w:rsid w:val="0543026B"/>
    <w:rsid w:val="05445D91"/>
    <w:rsid w:val="054E1290"/>
    <w:rsid w:val="05500BDA"/>
    <w:rsid w:val="05575AC4"/>
    <w:rsid w:val="05654685"/>
    <w:rsid w:val="056A2153"/>
    <w:rsid w:val="056D52E8"/>
    <w:rsid w:val="056E3CB0"/>
    <w:rsid w:val="05764EB3"/>
    <w:rsid w:val="057E74F5"/>
    <w:rsid w:val="058439C4"/>
    <w:rsid w:val="059D3E1F"/>
    <w:rsid w:val="059E4E29"/>
    <w:rsid w:val="05A76A4C"/>
    <w:rsid w:val="05AF5900"/>
    <w:rsid w:val="05BC0F26"/>
    <w:rsid w:val="05BC6E05"/>
    <w:rsid w:val="05C72C4A"/>
    <w:rsid w:val="05C96B03"/>
    <w:rsid w:val="05CD48B0"/>
    <w:rsid w:val="05D22B0D"/>
    <w:rsid w:val="05D435B9"/>
    <w:rsid w:val="05D62E8D"/>
    <w:rsid w:val="05D84E57"/>
    <w:rsid w:val="05E11832"/>
    <w:rsid w:val="05E2187E"/>
    <w:rsid w:val="05E7509A"/>
    <w:rsid w:val="05EA2DDC"/>
    <w:rsid w:val="05ED71BF"/>
    <w:rsid w:val="05F41975"/>
    <w:rsid w:val="05F82D81"/>
    <w:rsid w:val="05F92040"/>
    <w:rsid w:val="05FA332B"/>
    <w:rsid w:val="06021ED4"/>
    <w:rsid w:val="060317A8"/>
    <w:rsid w:val="060D2CD4"/>
    <w:rsid w:val="06106F28"/>
    <w:rsid w:val="06132258"/>
    <w:rsid w:val="06146E15"/>
    <w:rsid w:val="061816F7"/>
    <w:rsid w:val="061D5149"/>
    <w:rsid w:val="062260D2"/>
    <w:rsid w:val="062F07EF"/>
    <w:rsid w:val="063E0A32"/>
    <w:rsid w:val="06450DBC"/>
    <w:rsid w:val="064C408F"/>
    <w:rsid w:val="064D79A3"/>
    <w:rsid w:val="064F2C3F"/>
    <w:rsid w:val="06606BFB"/>
    <w:rsid w:val="0663705B"/>
    <w:rsid w:val="066A4DF7"/>
    <w:rsid w:val="06710E08"/>
    <w:rsid w:val="06764528"/>
    <w:rsid w:val="067803E8"/>
    <w:rsid w:val="067C6879"/>
    <w:rsid w:val="067F4A0F"/>
    <w:rsid w:val="068B1253"/>
    <w:rsid w:val="06937267"/>
    <w:rsid w:val="069570A1"/>
    <w:rsid w:val="069A4E33"/>
    <w:rsid w:val="06A36CA6"/>
    <w:rsid w:val="06B70F10"/>
    <w:rsid w:val="06BC7CDC"/>
    <w:rsid w:val="06BD20B9"/>
    <w:rsid w:val="06DA7590"/>
    <w:rsid w:val="06E11AE9"/>
    <w:rsid w:val="06E33D11"/>
    <w:rsid w:val="06E52E40"/>
    <w:rsid w:val="06ED28C5"/>
    <w:rsid w:val="06F219E5"/>
    <w:rsid w:val="06F7755F"/>
    <w:rsid w:val="07036611"/>
    <w:rsid w:val="07052E57"/>
    <w:rsid w:val="0710199B"/>
    <w:rsid w:val="07185F16"/>
    <w:rsid w:val="07230354"/>
    <w:rsid w:val="072B0FB7"/>
    <w:rsid w:val="07310556"/>
    <w:rsid w:val="074402CA"/>
    <w:rsid w:val="07456CFC"/>
    <w:rsid w:val="0759183B"/>
    <w:rsid w:val="076D5A73"/>
    <w:rsid w:val="076E4C7C"/>
    <w:rsid w:val="07865AD4"/>
    <w:rsid w:val="07886409"/>
    <w:rsid w:val="078B66FD"/>
    <w:rsid w:val="078E5795"/>
    <w:rsid w:val="079528D4"/>
    <w:rsid w:val="07990616"/>
    <w:rsid w:val="07A019A5"/>
    <w:rsid w:val="07A931B2"/>
    <w:rsid w:val="07B0784E"/>
    <w:rsid w:val="07B2221A"/>
    <w:rsid w:val="07B54D24"/>
    <w:rsid w:val="07BF6F7B"/>
    <w:rsid w:val="07E04497"/>
    <w:rsid w:val="07E21FBD"/>
    <w:rsid w:val="07EB26D5"/>
    <w:rsid w:val="07EE1C05"/>
    <w:rsid w:val="07F00F1B"/>
    <w:rsid w:val="07F65A68"/>
    <w:rsid w:val="07FD3C87"/>
    <w:rsid w:val="0809687F"/>
    <w:rsid w:val="081D2FF5"/>
    <w:rsid w:val="082779D0"/>
    <w:rsid w:val="08280402"/>
    <w:rsid w:val="082B7EE0"/>
    <w:rsid w:val="08406CE4"/>
    <w:rsid w:val="08440BF2"/>
    <w:rsid w:val="085602B5"/>
    <w:rsid w:val="085A5FF7"/>
    <w:rsid w:val="086831F4"/>
    <w:rsid w:val="086E1AA3"/>
    <w:rsid w:val="087528A5"/>
    <w:rsid w:val="0878647D"/>
    <w:rsid w:val="087A4AA2"/>
    <w:rsid w:val="088849AC"/>
    <w:rsid w:val="088E7A4F"/>
    <w:rsid w:val="08AC25CB"/>
    <w:rsid w:val="08AD77A8"/>
    <w:rsid w:val="08BC0A60"/>
    <w:rsid w:val="08C14056"/>
    <w:rsid w:val="08C956CA"/>
    <w:rsid w:val="08C96CD9"/>
    <w:rsid w:val="08CA400A"/>
    <w:rsid w:val="08CB37D2"/>
    <w:rsid w:val="08D35625"/>
    <w:rsid w:val="08EB6C4F"/>
    <w:rsid w:val="08F021B5"/>
    <w:rsid w:val="08F16230"/>
    <w:rsid w:val="08F24482"/>
    <w:rsid w:val="08F655F4"/>
    <w:rsid w:val="08FA50E4"/>
    <w:rsid w:val="08FD4BD5"/>
    <w:rsid w:val="09011E62"/>
    <w:rsid w:val="090C377F"/>
    <w:rsid w:val="091331F6"/>
    <w:rsid w:val="091C5660"/>
    <w:rsid w:val="092236CB"/>
    <w:rsid w:val="092403B3"/>
    <w:rsid w:val="092C1781"/>
    <w:rsid w:val="093D3223"/>
    <w:rsid w:val="095C516D"/>
    <w:rsid w:val="0964265D"/>
    <w:rsid w:val="09646A02"/>
    <w:rsid w:val="0973412B"/>
    <w:rsid w:val="098A290C"/>
    <w:rsid w:val="098B3F8E"/>
    <w:rsid w:val="098F153F"/>
    <w:rsid w:val="09975029"/>
    <w:rsid w:val="09A16889"/>
    <w:rsid w:val="09AF3F98"/>
    <w:rsid w:val="09B7212F"/>
    <w:rsid w:val="09BC125E"/>
    <w:rsid w:val="09C851E3"/>
    <w:rsid w:val="09F57F79"/>
    <w:rsid w:val="09FC4E8C"/>
    <w:rsid w:val="0A053D41"/>
    <w:rsid w:val="0A0835ED"/>
    <w:rsid w:val="0A083D37"/>
    <w:rsid w:val="0A12632D"/>
    <w:rsid w:val="0A4522B3"/>
    <w:rsid w:val="0A4D2BC6"/>
    <w:rsid w:val="0A522CFE"/>
    <w:rsid w:val="0A570314"/>
    <w:rsid w:val="0A5F4E8C"/>
    <w:rsid w:val="0A6D57BF"/>
    <w:rsid w:val="0A797736"/>
    <w:rsid w:val="0A7B521B"/>
    <w:rsid w:val="0A7D421F"/>
    <w:rsid w:val="0A83110A"/>
    <w:rsid w:val="0A8710A0"/>
    <w:rsid w:val="0A8B7110"/>
    <w:rsid w:val="0A8C616C"/>
    <w:rsid w:val="0A8D26BC"/>
    <w:rsid w:val="0A9B6453"/>
    <w:rsid w:val="0AA33109"/>
    <w:rsid w:val="0AA61168"/>
    <w:rsid w:val="0AA95014"/>
    <w:rsid w:val="0AAF26AF"/>
    <w:rsid w:val="0AB17A25"/>
    <w:rsid w:val="0AC14B2C"/>
    <w:rsid w:val="0AC40224"/>
    <w:rsid w:val="0ADC1CF6"/>
    <w:rsid w:val="0AE2228D"/>
    <w:rsid w:val="0AE4180A"/>
    <w:rsid w:val="0AF03C53"/>
    <w:rsid w:val="0AF70EFA"/>
    <w:rsid w:val="0AFB3396"/>
    <w:rsid w:val="0AFB5144"/>
    <w:rsid w:val="0AFE4859"/>
    <w:rsid w:val="0AFF69E2"/>
    <w:rsid w:val="0B086C7F"/>
    <w:rsid w:val="0B09103A"/>
    <w:rsid w:val="0B1526A9"/>
    <w:rsid w:val="0B1D1B0D"/>
    <w:rsid w:val="0B1F250C"/>
    <w:rsid w:val="0B2939DC"/>
    <w:rsid w:val="0B2B35D4"/>
    <w:rsid w:val="0B2C2952"/>
    <w:rsid w:val="0B2C354F"/>
    <w:rsid w:val="0B350656"/>
    <w:rsid w:val="0B386398"/>
    <w:rsid w:val="0B3E09AD"/>
    <w:rsid w:val="0B415AD9"/>
    <w:rsid w:val="0B440899"/>
    <w:rsid w:val="0B4958E5"/>
    <w:rsid w:val="0B5F56D3"/>
    <w:rsid w:val="0B6A0E7D"/>
    <w:rsid w:val="0B6A207E"/>
    <w:rsid w:val="0B74633D"/>
    <w:rsid w:val="0B847D5D"/>
    <w:rsid w:val="0B896BF3"/>
    <w:rsid w:val="0B9335CE"/>
    <w:rsid w:val="0B947F51"/>
    <w:rsid w:val="0B957346"/>
    <w:rsid w:val="0B971160"/>
    <w:rsid w:val="0BA21357"/>
    <w:rsid w:val="0BA31A63"/>
    <w:rsid w:val="0BA8707A"/>
    <w:rsid w:val="0BB53545"/>
    <w:rsid w:val="0BBA4EF0"/>
    <w:rsid w:val="0BBF7133"/>
    <w:rsid w:val="0BC17BE9"/>
    <w:rsid w:val="0BC639A4"/>
    <w:rsid w:val="0BD53BD5"/>
    <w:rsid w:val="0BD936D7"/>
    <w:rsid w:val="0BDC2034"/>
    <w:rsid w:val="0BDC6D23"/>
    <w:rsid w:val="0BE20DFC"/>
    <w:rsid w:val="0BE34556"/>
    <w:rsid w:val="0BEB51B8"/>
    <w:rsid w:val="0BFF2A12"/>
    <w:rsid w:val="0C02257A"/>
    <w:rsid w:val="0C0977F3"/>
    <w:rsid w:val="0C0B7609"/>
    <w:rsid w:val="0C0E5F13"/>
    <w:rsid w:val="0C0F43C2"/>
    <w:rsid w:val="0C1069CD"/>
    <w:rsid w:val="0C1914D3"/>
    <w:rsid w:val="0C191D25"/>
    <w:rsid w:val="0C1C1816"/>
    <w:rsid w:val="0C1C7A68"/>
    <w:rsid w:val="0C1D26CE"/>
    <w:rsid w:val="0C1F4E62"/>
    <w:rsid w:val="0C216678"/>
    <w:rsid w:val="0C2A5CE1"/>
    <w:rsid w:val="0C2B3807"/>
    <w:rsid w:val="0C31440E"/>
    <w:rsid w:val="0C3D6E4B"/>
    <w:rsid w:val="0C4D5E73"/>
    <w:rsid w:val="0C4D667A"/>
    <w:rsid w:val="0C541136"/>
    <w:rsid w:val="0C5E1E2E"/>
    <w:rsid w:val="0C5F27D7"/>
    <w:rsid w:val="0C607954"/>
    <w:rsid w:val="0C632FA1"/>
    <w:rsid w:val="0C684A5B"/>
    <w:rsid w:val="0C721436"/>
    <w:rsid w:val="0C727688"/>
    <w:rsid w:val="0C78295D"/>
    <w:rsid w:val="0C8A49D1"/>
    <w:rsid w:val="0CA77331"/>
    <w:rsid w:val="0CA80250"/>
    <w:rsid w:val="0CD45C4C"/>
    <w:rsid w:val="0CD91B6B"/>
    <w:rsid w:val="0CE1517F"/>
    <w:rsid w:val="0CEF0CD8"/>
    <w:rsid w:val="0CF5098E"/>
    <w:rsid w:val="0D003E10"/>
    <w:rsid w:val="0D166092"/>
    <w:rsid w:val="0D1E259E"/>
    <w:rsid w:val="0D241C18"/>
    <w:rsid w:val="0D354F2F"/>
    <w:rsid w:val="0D4C1C87"/>
    <w:rsid w:val="0D540303"/>
    <w:rsid w:val="0D5648B3"/>
    <w:rsid w:val="0D5A43A4"/>
    <w:rsid w:val="0D613B83"/>
    <w:rsid w:val="0D637BFF"/>
    <w:rsid w:val="0D661A8E"/>
    <w:rsid w:val="0D6A4AD7"/>
    <w:rsid w:val="0D722B71"/>
    <w:rsid w:val="0D814026"/>
    <w:rsid w:val="0D841421"/>
    <w:rsid w:val="0D887821"/>
    <w:rsid w:val="0D9D24E2"/>
    <w:rsid w:val="0DA24987"/>
    <w:rsid w:val="0DA33F9D"/>
    <w:rsid w:val="0DA87805"/>
    <w:rsid w:val="0DA9178F"/>
    <w:rsid w:val="0DAD0977"/>
    <w:rsid w:val="0DAE1A5B"/>
    <w:rsid w:val="0DBD3EEF"/>
    <w:rsid w:val="0DCE7FF7"/>
    <w:rsid w:val="0DE10621"/>
    <w:rsid w:val="0DE45DFB"/>
    <w:rsid w:val="0DF55F75"/>
    <w:rsid w:val="0DF90060"/>
    <w:rsid w:val="0E086175"/>
    <w:rsid w:val="0E1C78AB"/>
    <w:rsid w:val="0E252C04"/>
    <w:rsid w:val="0E303356"/>
    <w:rsid w:val="0E4A285A"/>
    <w:rsid w:val="0E4F1A2E"/>
    <w:rsid w:val="0E5E4367"/>
    <w:rsid w:val="0E606AEF"/>
    <w:rsid w:val="0E621B57"/>
    <w:rsid w:val="0E72571D"/>
    <w:rsid w:val="0E785550"/>
    <w:rsid w:val="0E805763"/>
    <w:rsid w:val="0E9C154E"/>
    <w:rsid w:val="0E9D28E3"/>
    <w:rsid w:val="0E9D6C3E"/>
    <w:rsid w:val="0E9F2F5A"/>
    <w:rsid w:val="0EA16002"/>
    <w:rsid w:val="0EB35DB3"/>
    <w:rsid w:val="0EC0198D"/>
    <w:rsid w:val="0ECB1C73"/>
    <w:rsid w:val="0ECF0DC1"/>
    <w:rsid w:val="0ED90E73"/>
    <w:rsid w:val="0EE20DEB"/>
    <w:rsid w:val="0EEC54CF"/>
    <w:rsid w:val="0EEE30D9"/>
    <w:rsid w:val="0EF837E0"/>
    <w:rsid w:val="0F046CBD"/>
    <w:rsid w:val="0F087049"/>
    <w:rsid w:val="0F096081"/>
    <w:rsid w:val="0F097C3C"/>
    <w:rsid w:val="0F097D1A"/>
    <w:rsid w:val="0F0F11BE"/>
    <w:rsid w:val="0F105A0D"/>
    <w:rsid w:val="0F12788F"/>
    <w:rsid w:val="0F1A7D1A"/>
    <w:rsid w:val="0F1D490D"/>
    <w:rsid w:val="0F305B60"/>
    <w:rsid w:val="0F5115BA"/>
    <w:rsid w:val="0F530D8B"/>
    <w:rsid w:val="0F730E1D"/>
    <w:rsid w:val="0F943A3F"/>
    <w:rsid w:val="0F9D2C6D"/>
    <w:rsid w:val="0FA755CE"/>
    <w:rsid w:val="0FB10210"/>
    <w:rsid w:val="0FB6788B"/>
    <w:rsid w:val="0FBD0980"/>
    <w:rsid w:val="0FBE3179"/>
    <w:rsid w:val="0FBF07CB"/>
    <w:rsid w:val="0FD50659"/>
    <w:rsid w:val="0FDD2696"/>
    <w:rsid w:val="0FE00DB6"/>
    <w:rsid w:val="0FF3789E"/>
    <w:rsid w:val="0FFB73E3"/>
    <w:rsid w:val="100B0E80"/>
    <w:rsid w:val="101271B8"/>
    <w:rsid w:val="101C3B92"/>
    <w:rsid w:val="1021564D"/>
    <w:rsid w:val="10222810"/>
    <w:rsid w:val="102B58EA"/>
    <w:rsid w:val="10464D42"/>
    <w:rsid w:val="10505F32"/>
    <w:rsid w:val="105F73D7"/>
    <w:rsid w:val="10697DCB"/>
    <w:rsid w:val="106B17E1"/>
    <w:rsid w:val="106C2D6C"/>
    <w:rsid w:val="107E46C3"/>
    <w:rsid w:val="108D4A90"/>
    <w:rsid w:val="108F43C6"/>
    <w:rsid w:val="1097590F"/>
    <w:rsid w:val="109776BD"/>
    <w:rsid w:val="109A0F5B"/>
    <w:rsid w:val="109B6F8A"/>
    <w:rsid w:val="10A02A15"/>
    <w:rsid w:val="10AC13E7"/>
    <w:rsid w:val="10BB784F"/>
    <w:rsid w:val="10C101C4"/>
    <w:rsid w:val="10CF3CDD"/>
    <w:rsid w:val="10D3559F"/>
    <w:rsid w:val="10D97CD5"/>
    <w:rsid w:val="10DB3A4D"/>
    <w:rsid w:val="10E2302E"/>
    <w:rsid w:val="11020BEC"/>
    <w:rsid w:val="11056D1C"/>
    <w:rsid w:val="1112798D"/>
    <w:rsid w:val="11196AA4"/>
    <w:rsid w:val="11262678"/>
    <w:rsid w:val="112B3E8A"/>
    <w:rsid w:val="113D64B6"/>
    <w:rsid w:val="11535CDA"/>
    <w:rsid w:val="11537A88"/>
    <w:rsid w:val="115841B0"/>
    <w:rsid w:val="115B7B56"/>
    <w:rsid w:val="115D165F"/>
    <w:rsid w:val="115F642C"/>
    <w:rsid w:val="11651569"/>
    <w:rsid w:val="117874EE"/>
    <w:rsid w:val="11813B7D"/>
    <w:rsid w:val="11897B42"/>
    <w:rsid w:val="11943BFC"/>
    <w:rsid w:val="119836EC"/>
    <w:rsid w:val="11993644"/>
    <w:rsid w:val="11A87BD6"/>
    <w:rsid w:val="11AD50B9"/>
    <w:rsid w:val="11D42AAF"/>
    <w:rsid w:val="11D64215"/>
    <w:rsid w:val="11D71B96"/>
    <w:rsid w:val="11D73EF0"/>
    <w:rsid w:val="11D75BF2"/>
    <w:rsid w:val="11DD6C27"/>
    <w:rsid w:val="11E4095D"/>
    <w:rsid w:val="11E903EC"/>
    <w:rsid w:val="11F54030"/>
    <w:rsid w:val="11F7608E"/>
    <w:rsid w:val="11FC4304"/>
    <w:rsid w:val="120447CD"/>
    <w:rsid w:val="121511E1"/>
    <w:rsid w:val="121D1E44"/>
    <w:rsid w:val="121E0096"/>
    <w:rsid w:val="121F59ED"/>
    <w:rsid w:val="12323791"/>
    <w:rsid w:val="123478B9"/>
    <w:rsid w:val="12366B3F"/>
    <w:rsid w:val="12380A2C"/>
    <w:rsid w:val="1242340B"/>
    <w:rsid w:val="12505D75"/>
    <w:rsid w:val="12520F1B"/>
    <w:rsid w:val="12555A81"/>
    <w:rsid w:val="125D2461"/>
    <w:rsid w:val="12631F4C"/>
    <w:rsid w:val="12654BF4"/>
    <w:rsid w:val="12676BE9"/>
    <w:rsid w:val="12695089"/>
    <w:rsid w:val="126B01DF"/>
    <w:rsid w:val="12704669"/>
    <w:rsid w:val="127903BC"/>
    <w:rsid w:val="127A04B4"/>
    <w:rsid w:val="127F48AC"/>
    <w:rsid w:val="129640A3"/>
    <w:rsid w:val="12A0590F"/>
    <w:rsid w:val="12A1781C"/>
    <w:rsid w:val="12A32349"/>
    <w:rsid w:val="12A60FF7"/>
    <w:rsid w:val="12BA6F0F"/>
    <w:rsid w:val="12BE3627"/>
    <w:rsid w:val="12BE4663"/>
    <w:rsid w:val="12C619A5"/>
    <w:rsid w:val="12CA0CE2"/>
    <w:rsid w:val="12DE5A77"/>
    <w:rsid w:val="12ED3F63"/>
    <w:rsid w:val="12F55521"/>
    <w:rsid w:val="12F9465F"/>
    <w:rsid w:val="130152C1"/>
    <w:rsid w:val="131277AE"/>
    <w:rsid w:val="13187EB7"/>
    <w:rsid w:val="13194016"/>
    <w:rsid w:val="131F5146"/>
    <w:rsid w:val="132316DC"/>
    <w:rsid w:val="13235EC7"/>
    <w:rsid w:val="13337C0F"/>
    <w:rsid w:val="133518D6"/>
    <w:rsid w:val="133B07D3"/>
    <w:rsid w:val="13434C8C"/>
    <w:rsid w:val="13665DFB"/>
    <w:rsid w:val="136C2427"/>
    <w:rsid w:val="136D3851"/>
    <w:rsid w:val="137E6912"/>
    <w:rsid w:val="13824654"/>
    <w:rsid w:val="138F134B"/>
    <w:rsid w:val="13953C6C"/>
    <w:rsid w:val="139F6FB4"/>
    <w:rsid w:val="13A54F19"/>
    <w:rsid w:val="13AD5814"/>
    <w:rsid w:val="13AF4537"/>
    <w:rsid w:val="13B1440C"/>
    <w:rsid w:val="13B6135A"/>
    <w:rsid w:val="13B660AC"/>
    <w:rsid w:val="13C06F2A"/>
    <w:rsid w:val="13C24A51"/>
    <w:rsid w:val="13C31004"/>
    <w:rsid w:val="13C54541"/>
    <w:rsid w:val="13C609E5"/>
    <w:rsid w:val="13D11138"/>
    <w:rsid w:val="13D1738A"/>
    <w:rsid w:val="13E7095B"/>
    <w:rsid w:val="13E70AFC"/>
    <w:rsid w:val="13E833C6"/>
    <w:rsid w:val="13EB3FA7"/>
    <w:rsid w:val="13F56BD4"/>
    <w:rsid w:val="13F970F6"/>
    <w:rsid w:val="13FF7A53"/>
    <w:rsid w:val="14076907"/>
    <w:rsid w:val="140F4A69"/>
    <w:rsid w:val="14117786"/>
    <w:rsid w:val="14226FD6"/>
    <w:rsid w:val="14357918"/>
    <w:rsid w:val="143F42F3"/>
    <w:rsid w:val="144C07BE"/>
    <w:rsid w:val="144D4C62"/>
    <w:rsid w:val="14582515"/>
    <w:rsid w:val="14642583"/>
    <w:rsid w:val="14667AD2"/>
    <w:rsid w:val="146E1A2F"/>
    <w:rsid w:val="148D1503"/>
    <w:rsid w:val="148E0DD7"/>
    <w:rsid w:val="148F527B"/>
    <w:rsid w:val="149503B7"/>
    <w:rsid w:val="14956609"/>
    <w:rsid w:val="14A47356"/>
    <w:rsid w:val="14A95C11"/>
    <w:rsid w:val="14B52807"/>
    <w:rsid w:val="14B5313E"/>
    <w:rsid w:val="14BF03E7"/>
    <w:rsid w:val="14C12F5A"/>
    <w:rsid w:val="14CD5DA3"/>
    <w:rsid w:val="14D07990"/>
    <w:rsid w:val="14D57D09"/>
    <w:rsid w:val="14DD7BC0"/>
    <w:rsid w:val="14ED0282"/>
    <w:rsid w:val="14F450DE"/>
    <w:rsid w:val="150124ED"/>
    <w:rsid w:val="15063063"/>
    <w:rsid w:val="15145780"/>
    <w:rsid w:val="1514752E"/>
    <w:rsid w:val="151A123E"/>
    <w:rsid w:val="152C7D4F"/>
    <w:rsid w:val="152E67CC"/>
    <w:rsid w:val="153D4CD7"/>
    <w:rsid w:val="15414EA2"/>
    <w:rsid w:val="15432B93"/>
    <w:rsid w:val="154C316C"/>
    <w:rsid w:val="15562895"/>
    <w:rsid w:val="156724B3"/>
    <w:rsid w:val="156C55BC"/>
    <w:rsid w:val="157601E9"/>
    <w:rsid w:val="157F6CF7"/>
    <w:rsid w:val="158A5A42"/>
    <w:rsid w:val="158C3568"/>
    <w:rsid w:val="15A40E9E"/>
    <w:rsid w:val="15A9411A"/>
    <w:rsid w:val="15AE2543"/>
    <w:rsid w:val="15B20664"/>
    <w:rsid w:val="15B825AF"/>
    <w:rsid w:val="15C61483"/>
    <w:rsid w:val="15D54F0F"/>
    <w:rsid w:val="15E1596F"/>
    <w:rsid w:val="15E16C1D"/>
    <w:rsid w:val="15E2175B"/>
    <w:rsid w:val="15E2762C"/>
    <w:rsid w:val="15EC04AB"/>
    <w:rsid w:val="15F31A4A"/>
    <w:rsid w:val="15F86E50"/>
    <w:rsid w:val="1602148C"/>
    <w:rsid w:val="16083311"/>
    <w:rsid w:val="160C2D19"/>
    <w:rsid w:val="161016BC"/>
    <w:rsid w:val="1626576B"/>
    <w:rsid w:val="16292E19"/>
    <w:rsid w:val="162F652B"/>
    <w:rsid w:val="16302145"/>
    <w:rsid w:val="16337E88"/>
    <w:rsid w:val="16461969"/>
    <w:rsid w:val="164B51D1"/>
    <w:rsid w:val="16504596"/>
    <w:rsid w:val="165D60D0"/>
    <w:rsid w:val="1666200B"/>
    <w:rsid w:val="167069E6"/>
    <w:rsid w:val="16777D74"/>
    <w:rsid w:val="167C182F"/>
    <w:rsid w:val="167F2C0C"/>
    <w:rsid w:val="1691797F"/>
    <w:rsid w:val="16994579"/>
    <w:rsid w:val="169A1ACA"/>
    <w:rsid w:val="169A3A63"/>
    <w:rsid w:val="16A205AB"/>
    <w:rsid w:val="16A30ED4"/>
    <w:rsid w:val="16B43B1A"/>
    <w:rsid w:val="16C94348"/>
    <w:rsid w:val="16CE38EF"/>
    <w:rsid w:val="16D451C7"/>
    <w:rsid w:val="16D90A2F"/>
    <w:rsid w:val="16E72A95"/>
    <w:rsid w:val="16EB0762"/>
    <w:rsid w:val="16EE4272"/>
    <w:rsid w:val="16FD4EBE"/>
    <w:rsid w:val="16FE43FF"/>
    <w:rsid w:val="170C24A1"/>
    <w:rsid w:val="170C2DAF"/>
    <w:rsid w:val="170F61FF"/>
    <w:rsid w:val="17123F41"/>
    <w:rsid w:val="171525D8"/>
    <w:rsid w:val="17155DC3"/>
    <w:rsid w:val="171956E6"/>
    <w:rsid w:val="171E4F25"/>
    <w:rsid w:val="17215F32"/>
    <w:rsid w:val="172A4DE7"/>
    <w:rsid w:val="172E2ABE"/>
    <w:rsid w:val="173C253E"/>
    <w:rsid w:val="17463BEB"/>
    <w:rsid w:val="17546308"/>
    <w:rsid w:val="176D42A5"/>
    <w:rsid w:val="176E561B"/>
    <w:rsid w:val="177D7E5B"/>
    <w:rsid w:val="17914E66"/>
    <w:rsid w:val="17997A04"/>
    <w:rsid w:val="179B18E5"/>
    <w:rsid w:val="179E3A27"/>
    <w:rsid w:val="17A54092"/>
    <w:rsid w:val="17B42410"/>
    <w:rsid w:val="17BE61BE"/>
    <w:rsid w:val="17CE60BA"/>
    <w:rsid w:val="17CF1E32"/>
    <w:rsid w:val="17DD454F"/>
    <w:rsid w:val="17E27374"/>
    <w:rsid w:val="17E92EF4"/>
    <w:rsid w:val="17EB31A5"/>
    <w:rsid w:val="18043EF7"/>
    <w:rsid w:val="182C613E"/>
    <w:rsid w:val="18311EFC"/>
    <w:rsid w:val="183F2B14"/>
    <w:rsid w:val="183F3123"/>
    <w:rsid w:val="18493992"/>
    <w:rsid w:val="186535A0"/>
    <w:rsid w:val="187351CA"/>
    <w:rsid w:val="187F73B4"/>
    <w:rsid w:val="18870773"/>
    <w:rsid w:val="188D1AD1"/>
    <w:rsid w:val="18910B4E"/>
    <w:rsid w:val="18935F44"/>
    <w:rsid w:val="189A5F9C"/>
    <w:rsid w:val="189C7113"/>
    <w:rsid w:val="18A233A8"/>
    <w:rsid w:val="18A3049A"/>
    <w:rsid w:val="18C87584"/>
    <w:rsid w:val="18D9724E"/>
    <w:rsid w:val="18DD5A10"/>
    <w:rsid w:val="18E01BD1"/>
    <w:rsid w:val="18F67194"/>
    <w:rsid w:val="18F97C07"/>
    <w:rsid w:val="18FA1FCB"/>
    <w:rsid w:val="190238B3"/>
    <w:rsid w:val="19031D93"/>
    <w:rsid w:val="190434B5"/>
    <w:rsid w:val="190832EF"/>
    <w:rsid w:val="191119A5"/>
    <w:rsid w:val="19124EAA"/>
    <w:rsid w:val="1917583F"/>
    <w:rsid w:val="191A0E8B"/>
    <w:rsid w:val="192F4936"/>
    <w:rsid w:val="19324427"/>
    <w:rsid w:val="1934019F"/>
    <w:rsid w:val="193630B9"/>
    <w:rsid w:val="19404D95"/>
    <w:rsid w:val="19404FED"/>
    <w:rsid w:val="1946517E"/>
    <w:rsid w:val="194A1770"/>
    <w:rsid w:val="194B54E8"/>
    <w:rsid w:val="194D300E"/>
    <w:rsid w:val="197607B7"/>
    <w:rsid w:val="1977008B"/>
    <w:rsid w:val="198033E4"/>
    <w:rsid w:val="199450E1"/>
    <w:rsid w:val="199649B5"/>
    <w:rsid w:val="19B7492C"/>
    <w:rsid w:val="19BC31A5"/>
    <w:rsid w:val="19C402EB"/>
    <w:rsid w:val="19C9392B"/>
    <w:rsid w:val="19CC031C"/>
    <w:rsid w:val="19CF6011"/>
    <w:rsid w:val="19F33272"/>
    <w:rsid w:val="1A0C111B"/>
    <w:rsid w:val="1A107C62"/>
    <w:rsid w:val="1A1B69E7"/>
    <w:rsid w:val="1A21482A"/>
    <w:rsid w:val="1A250E18"/>
    <w:rsid w:val="1A46165B"/>
    <w:rsid w:val="1A47032F"/>
    <w:rsid w:val="1A4B1C44"/>
    <w:rsid w:val="1A514E93"/>
    <w:rsid w:val="1A52255D"/>
    <w:rsid w:val="1A564145"/>
    <w:rsid w:val="1A5C4991"/>
    <w:rsid w:val="1A62677B"/>
    <w:rsid w:val="1A713C05"/>
    <w:rsid w:val="1A834F02"/>
    <w:rsid w:val="1A89276C"/>
    <w:rsid w:val="1AA475A6"/>
    <w:rsid w:val="1AB33345"/>
    <w:rsid w:val="1AC252C2"/>
    <w:rsid w:val="1AC45140"/>
    <w:rsid w:val="1AD0039B"/>
    <w:rsid w:val="1AE41750"/>
    <w:rsid w:val="1AE81C09"/>
    <w:rsid w:val="1AF372DE"/>
    <w:rsid w:val="1AF40203"/>
    <w:rsid w:val="1B156B89"/>
    <w:rsid w:val="1B18764C"/>
    <w:rsid w:val="1B24448A"/>
    <w:rsid w:val="1B266C07"/>
    <w:rsid w:val="1B3E1125"/>
    <w:rsid w:val="1B41511C"/>
    <w:rsid w:val="1B4B0D11"/>
    <w:rsid w:val="1B4B17D0"/>
    <w:rsid w:val="1B511656"/>
    <w:rsid w:val="1B544B28"/>
    <w:rsid w:val="1B570174"/>
    <w:rsid w:val="1B6B291B"/>
    <w:rsid w:val="1B76304C"/>
    <w:rsid w:val="1B7F1499"/>
    <w:rsid w:val="1B872D5F"/>
    <w:rsid w:val="1B900699"/>
    <w:rsid w:val="1B984FC9"/>
    <w:rsid w:val="1BB517D4"/>
    <w:rsid w:val="1BCB46BE"/>
    <w:rsid w:val="1BCC0B62"/>
    <w:rsid w:val="1BD5335F"/>
    <w:rsid w:val="1BE35EAC"/>
    <w:rsid w:val="1BE41145"/>
    <w:rsid w:val="1BE45DF5"/>
    <w:rsid w:val="1BE70AFA"/>
    <w:rsid w:val="1BE81A04"/>
    <w:rsid w:val="1BF65BDF"/>
    <w:rsid w:val="1BFC6A34"/>
    <w:rsid w:val="1C0A51E7"/>
    <w:rsid w:val="1C213172"/>
    <w:rsid w:val="1C237871"/>
    <w:rsid w:val="1C274548"/>
    <w:rsid w:val="1C292C52"/>
    <w:rsid w:val="1C402773"/>
    <w:rsid w:val="1C407F2D"/>
    <w:rsid w:val="1C4328A7"/>
    <w:rsid w:val="1C4A6A0D"/>
    <w:rsid w:val="1C536C8F"/>
    <w:rsid w:val="1C580648"/>
    <w:rsid w:val="1C5A20CE"/>
    <w:rsid w:val="1C5F19D6"/>
    <w:rsid w:val="1C600572"/>
    <w:rsid w:val="1C625023"/>
    <w:rsid w:val="1C6A15DA"/>
    <w:rsid w:val="1C6B7BBD"/>
    <w:rsid w:val="1C715266"/>
    <w:rsid w:val="1C760840"/>
    <w:rsid w:val="1C766D20"/>
    <w:rsid w:val="1C782A98"/>
    <w:rsid w:val="1C7D6144"/>
    <w:rsid w:val="1C802646"/>
    <w:rsid w:val="1C8B44EB"/>
    <w:rsid w:val="1C961170"/>
    <w:rsid w:val="1C9934A5"/>
    <w:rsid w:val="1C9F1DD3"/>
    <w:rsid w:val="1CA4563B"/>
    <w:rsid w:val="1CB678AD"/>
    <w:rsid w:val="1CBC0BD7"/>
    <w:rsid w:val="1CBE7CFF"/>
    <w:rsid w:val="1CC701B1"/>
    <w:rsid w:val="1CD3624C"/>
    <w:rsid w:val="1CE03D74"/>
    <w:rsid w:val="1CEC2B3E"/>
    <w:rsid w:val="1CFC7225"/>
    <w:rsid w:val="1CFF0AC4"/>
    <w:rsid w:val="1D0A79CD"/>
    <w:rsid w:val="1D185917"/>
    <w:rsid w:val="1D29685A"/>
    <w:rsid w:val="1D2D73DF"/>
    <w:rsid w:val="1D3C3AC6"/>
    <w:rsid w:val="1D474743"/>
    <w:rsid w:val="1D545655"/>
    <w:rsid w:val="1D5726AE"/>
    <w:rsid w:val="1D58387D"/>
    <w:rsid w:val="1D81772B"/>
    <w:rsid w:val="1D8334A3"/>
    <w:rsid w:val="1D864D41"/>
    <w:rsid w:val="1D8E3656"/>
    <w:rsid w:val="1D935319"/>
    <w:rsid w:val="1D9E6D84"/>
    <w:rsid w:val="1DA376A1"/>
    <w:rsid w:val="1DA866AC"/>
    <w:rsid w:val="1DBB0E8E"/>
    <w:rsid w:val="1DC67833"/>
    <w:rsid w:val="1DD14E45"/>
    <w:rsid w:val="1DD45AAC"/>
    <w:rsid w:val="1DD53B49"/>
    <w:rsid w:val="1DD75A59"/>
    <w:rsid w:val="1DDB6B70"/>
    <w:rsid w:val="1DEE340D"/>
    <w:rsid w:val="1DF91F58"/>
    <w:rsid w:val="1DFC735A"/>
    <w:rsid w:val="1E0D7210"/>
    <w:rsid w:val="1E1265D5"/>
    <w:rsid w:val="1E171E3D"/>
    <w:rsid w:val="1E2217C0"/>
    <w:rsid w:val="1E26092A"/>
    <w:rsid w:val="1E276524"/>
    <w:rsid w:val="1E2C09AB"/>
    <w:rsid w:val="1E441E67"/>
    <w:rsid w:val="1E4D1157"/>
    <w:rsid w:val="1E57048B"/>
    <w:rsid w:val="1E607C07"/>
    <w:rsid w:val="1E6C21B8"/>
    <w:rsid w:val="1E8A4A5B"/>
    <w:rsid w:val="1E90231B"/>
    <w:rsid w:val="1E960FB4"/>
    <w:rsid w:val="1EA440DC"/>
    <w:rsid w:val="1EAD7C1D"/>
    <w:rsid w:val="1EC51899"/>
    <w:rsid w:val="1EDA3596"/>
    <w:rsid w:val="1EE118F9"/>
    <w:rsid w:val="1EF048D8"/>
    <w:rsid w:val="1F0310C6"/>
    <w:rsid w:val="1F074249"/>
    <w:rsid w:val="1F0E0A8C"/>
    <w:rsid w:val="1F104F65"/>
    <w:rsid w:val="1F10520A"/>
    <w:rsid w:val="1F130B6C"/>
    <w:rsid w:val="1F1A5BD9"/>
    <w:rsid w:val="1F1D16D5"/>
    <w:rsid w:val="1F2524D6"/>
    <w:rsid w:val="1F2A78B0"/>
    <w:rsid w:val="1F2C1918"/>
    <w:rsid w:val="1F305F3A"/>
    <w:rsid w:val="1F3708AF"/>
    <w:rsid w:val="1F4358E2"/>
    <w:rsid w:val="1F4D7A2E"/>
    <w:rsid w:val="1F5350F7"/>
    <w:rsid w:val="1F647304"/>
    <w:rsid w:val="1F664E2A"/>
    <w:rsid w:val="1F685441"/>
    <w:rsid w:val="1F6966C8"/>
    <w:rsid w:val="1F7E6397"/>
    <w:rsid w:val="1F8C1C29"/>
    <w:rsid w:val="1F9A0F77"/>
    <w:rsid w:val="1F9E5448"/>
    <w:rsid w:val="1F9F2E3E"/>
    <w:rsid w:val="1FB75686"/>
    <w:rsid w:val="1FBF3608"/>
    <w:rsid w:val="1FCA53B9"/>
    <w:rsid w:val="1FCD3968"/>
    <w:rsid w:val="1FCD4EA9"/>
    <w:rsid w:val="1FEA15B7"/>
    <w:rsid w:val="1FF95C9E"/>
    <w:rsid w:val="1FFD23DC"/>
    <w:rsid w:val="20001562"/>
    <w:rsid w:val="200B0E11"/>
    <w:rsid w:val="202645B9"/>
    <w:rsid w:val="202A6545"/>
    <w:rsid w:val="20315438"/>
    <w:rsid w:val="20331C4E"/>
    <w:rsid w:val="203D4A86"/>
    <w:rsid w:val="203E75C4"/>
    <w:rsid w:val="20672C08"/>
    <w:rsid w:val="207D6E6A"/>
    <w:rsid w:val="207E28CB"/>
    <w:rsid w:val="2091615E"/>
    <w:rsid w:val="209B4A89"/>
    <w:rsid w:val="20A35C0A"/>
    <w:rsid w:val="20B3400B"/>
    <w:rsid w:val="20B55D8D"/>
    <w:rsid w:val="20CB216E"/>
    <w:rsid w:val="20DB1848"/>
    <w:rsid w:val="20E6394D"/>
    <w:rsid w:val="20EC289F"/>
    <w:rsid w:val="20F52909"/>
    <w:rsid w:val="20F81C4A"/>
    <w:rsid w:val="20F841A8"/>
    <w:rsid w:val="20F84E56"/>
    <w:rsid w:val="20FF3D0D"/>
    <w:rsid w:val="21011291"/>
    <w:rsid w:val="210448FA"/>
    <w:rsid w:val="2108447D"/>
    <w:rsid w:val="210B5C89"/>
    <w:rsid w:val="21130FE1"/>
    <w:rsid w:val="211F1734"/>
    <w:rsid w:val="21221225"/>
    <w:rsid w:val="21294361"/>
    <w:rsid w:val="21302711"/>
    <w:rsid w:val="21307160"/>
    <w:rsid w:val="214B15E9"/>
    <w:rsid w:val="214D3105"/>
    <w:rsid w:val="21505D92"/>
    <w:rsid w:val="215215BA"/>
    <w:rsid w:val="215533A8"/>
    <w:rsid w:val="21617F9F"/>
    <w:rsid w:val="21691CF5"/>
    <w:rsid w:val="217403FC"/>
    <w:rsid w:val="21892DA5"/>
    <w:rsid w:val="21893052"/>
    <w:rsid w:val="218B5D0C"/>
    <w:rsid w:val="2190005E"/>
    <w:rsid w:val="219C0FF9"/>
    <w:rsid w:val="21A14DBB"/>
    <w:rsid w:val="21C1459A"/>
    <w:rsid w:val="21CC54E6"/>
    <w:rsid w:val="21E14C3C"/>
    <w:rsid w:val="21E20569"/>
    <w:rsid w:val="21E42CFC"/>
    <w:rsid w:val="21FB4D2A"/>
    <w:rsid w:val="22002FFB"/>
    <w:rsid w:val="22010E3A"/>
    <w:rsid w:val="22032E04"/>
    <w:rsid w:val="22180E4E"/>
    <w:rsid w:val="221E19EC"/>
    <w:rsid w:val="221E7C3E"/>
    <w:rsid w:val="222608A0"/>
    <w:rsid w:val="22261559"/>
    <w:rsid w:val="222B46FB"/>
    <w:rsid w:val="22347461"/>
    <w:rsid w:val="22372AAE"/>
    <w:rsid w:val="22423AE5"/>
    <w:rsid w:val="22535CA8"/>
    <w:rsid w:val="225C10DE"/>
    <w:rsid w:val="225D3CBA"/>
    <w:rsid w:val="22794E74"/>
    <w:rsid w:val="22837AA1"/>
    <w:rsid w:val="22872919"/>
    <w:rsid w:val="22973B7B"/>
    <w:rsid w:val="22A068A5"/>
    <w:rsid w:val="22A719E1"/>
    <w:rsid w:val="22A85759"/>
    <w:rsid w:val="22B3482A"/>
    <w:rsid w:val="22C24A6D"/>
    <w:rsid w:val="22C35FAF"/>
    <w:rsid w:val="22C5630B"/>
    <w:rsid w:val="22CA26D5"/>
    <w:rsid w:val="22D03653"/>
    <w:rsid w:val="22D447A0"/>
    <w:rsid w:val="22E96F31"/>
    <w:rsid w:val="22ED19C5"/>
    <w:rsid w:val="22F14835"/>
    <w:rsid w:val="23013D14"/>
    <w:rsid w:val="23090C5F"/>
    <w:rsid w:val="23241284"/>
    <w:rsid w:val="23245D10"/>
    <w:rsid w:val="233966AA"/>
    <w:rsid w:val="233A4645"/>
    <w:rsid w:val="23490CEA"/>
    <w:rsid w:val="234B6811"/>
    <w:rsid w:val="234B77EF"/>
    <w:rsid w:val="23515DF1"/>
    <w:rsid w:val="2360424D"/>
    <w:rsid w:val="23614286"/>
    <w:rsid w:val="237111B7"/>
    <w:rsid w:val="23733FB9"/>
    <w:rsid w:val="23736D29"/>
    <w:rsid w:val="23751ADF"/>
    <w:rsid w:val="237815D0"/>
    <w:rsid w:val="238162D6"/>
    <w:rsid w:val="23825FAA"/>
    <w:rsid w:val="23841D23"/>
    <w:rsid w:val="23846319"/>
    <w:rsid w:val="238C0BD7"/>
    <w:rsid w:val="238D3ABD"/>
    <w:rsid w:val="23957A8C"/>
    <w:rsid w:val="239A0F9A"/>
    <w:rsid w:val="239A1546"/>
    <w:rsid w:val="239F5091"/>
    <w:rsid w:val="23A44173"/>
    <w:rsid w:val="23C11DE1"/>
    <w:rsid w:val="23C640E9"/>
    <w:rsid w:val="23D65BD5"/>
    <w:rsid w:val="23DE58D7"/>
    <w:rsid w:val="23DE722E"/>
    <w:rsid w:val="23E26A49"/>
    <w:rsid w:val="23F3690E"/>
    <w:rsid w:val="23FF1EA6"/>
    <w:rsid w:val="24032826"/>
    <w:rsid w:val="24097863"/>
    <w:rsid w:val="24160A97"/>
    <w:rsid w:val="241C01E1"/>
    <w:rsid w:val="242332EA"/>
    <w:rsid w:val="24273408"/>
    <w:rsid w:val="243E45C7"/>
    <w:rsid w:val="24457704"/>
    <w:rsid w:val="2446347C"/>
    <w:rsid w:val="245D6E4F"/>
    <w:rsid w:val="24651B54"/>
    <w:rsid w:val="247450D6"/>
    <w:rsid w:val="247E1544"/>
    <w:rsid w:val="2483022C"/>
    <w:rsid w:val="24A42491"/>
    <w:rsid w:val="24A531E4"/>
    <w:rsid w:val="24AC1531"/>
    <w:rsid w:val="24AC3163"/>
    <w:rsid w:val="24AE61DE"/>
    <w:rsid w:val="24B16B47"/>
    <w:rsid w:val="24B46637"/>
    <w:rsid w:val="24BD373E"/>
    <w:rsid w:val="24C04FDC"/>
    <w:rsid w:val="24C06D8A"/>
    <w:rsid w:val="24C50845"/>
    <w:rsid w:val="24D26ABE"/>
    <w:rsid w:val="24D9609E"/>
    <w:rsid w:val="24E64C68"/>
    <w:rsid w:val="24E94533"/>
    <w:rsid w:val="24F869EB"/>
    <w:rsid w:val="24FF4B61"/>
    <w:rsid w:val="25000C34"/>
    <w:rsid w:val="250273A3"/>
    <w:rsid w:val="25171F9F"/>
    <w:rsid w:val="25186BC6"/>
    <w:rsid w:val="251F0933"/>
    <w:rsid w:val="251F6BB5"/>
    <w:rsid w:val="25375729"/>
    <w:rsid w:val="253E2BAD"/>
    <w:rsid w:val="2542088D"/>
    <w:rsid w:val="25424563"/>
    <w:rsid w:val="25496D80"/>
    <w:rsid w:val="25605E29"/>
    <w:rsid w:val="25624280"/>
    <w:rsid w:val="25714529"/>
    <w:rsid w:val="257858B7"/>
    <w:rsid w:val="257D4C7B"/>
    <w:rsid w:val="2581269E"/>
    <w:rsid w:val="2597246A"/>
    <w:rsid w:val="25A25862"/>
    <w:rsid w:val="25A267B3"/>
    <w:rsid w:val="25A95A70"/>
    <w:rsid w:val="25AB6308"/>
    <w:rsid w:val="25B032A3"/>
    <w:rsid w:val="25B32976"/>
    <w:rsid w:val="25C36D80"/>
    <w:rsid w:val="25CD5C03"/>
    <w:rsid w:val="25CF1A3E"/>
    <w:rsid w:val="25DA20CE"/>
    <w:rsid w:val="25E91641"/>
    <w:rsid w:val="25F05565"/>
    <w:rsid w:val="25F52A64"/>
    <w:rsid w:val="25F61138"/>
    <w:rsid w:val="25F64D7E"/>
    <w:rsid w:val="25F83A47"/>
    <w:rsid w:val="26046B85"/>
    <w:rsid w:val="261849C2"/>
    <w:rsid w:val="262159B8"/>
    <w:rsid w:val="26221C5B"/>
    <w:rsid w:val="262B0B7B"/>
    <w:rsid w:val="263B0E41"/>
    <w:rsid w:val="263E265D"/>
    <w:rsid w:val="26445799"/>
    <w:rsid w:val="264834DB"/>
    <w:rsid w:val="265E771A"/>
    <w:rsid w:val="26600825"/>
    <w:rsid w:val="26655E3B"/>
    <w:rsid w:val="26797B39"/>
    <w:rsid w:val="267D46AE"/>
    <w:rsid w:val="26845778"/>
    <w:rsid w:val="268D36A3"/>
    <w:rsid w:val="269623EB"/>
    <w:rsid w:val="26976211"/>
    <w:rsid w:val="269949FD"/>
    <w:rsid w:val="26A30712"/>
    <w:rsid w:val="26A526DC"/>
    <w:rsid w:val="26A81E91"/>
    <w:rsid w:val="26AF70B6"/>
    <w:rsid w:val="26B07F89"/>
    <w:rsid w:val="26BD1FB9"/>
    <w:rsid w:val="26C56DC4"/>
    <w:rsid w:val="26CA3EF0"/>
    <w:rsid w:val="26D27C3A"/>
    <w:rsid w:val="26D33D4A"/>
    <w:rsid w:val="26D82000"/>
    <w:rsid w:val="26ED1194"/>
    <w:rsid w:val="26ED7B97"/>
    <w:rsid w:val="2700535F"/>
    <w:rsid w:val="27007912"/>
    <w:rsid w:val="270E7904"/>
    <w:rsid w:val="27221F7E"/>
    <w:rsid w:val="2735397F"/>
    <w:rsid w:val="27366C18"/>
    <w:rsid w:val="273B4A29"/>
    <w:rsid w:val="27426BA2"/>
    <w:rsid w:val="27466B1F"/>
    <w:rsid w:val="274719E5"/>
    <w:rsid w:val="274B3515"/>
    <w:rsid w:val="274C0DA9"/>
    <w:rsid w:val="275E2425"/>
    <w:rsid w:val="276F6846"/>
    <w:rsid w:val="277327DA"/>
    <w:rsid w:val="27736336"/>
    <w:rsid w:val="27796FF1"/>
    <w:rsid w:val="277A751E"/>
    <w:rsid w:val="277E6DF1"/>
    <w:rsid w:val="278616BD"/>
    <w:rsid w:val="27902C48"/>
    <w:rsid w:val="2792431A"/>
    <w:rsid w:val="279369D8"/>
    <w:rsid w:val="279B3ADF"/>
    <w:rsid w:val="27A57658"/>
    <w:rsid w:val="27A6495D"/>
    <w:rsid w:val="27AC1848"/>
    <w:rsid w:val="27AE736E"/>
    <w:rsid w:val="27B071AE"/>
    <w:rsid w:val="27BB64AE"/>
    <w:rsid w:val="27C76682"/>
    <w:rsid w:val="27CB43C4"/>
    <w:rsid w:val="27CE17BE"/>
    <w:rsid w:val="27D40731"/>
    <w:rsid w:val="27D81831"/>
    <w:rsid w:val="27D83CA6"/>
    <w:rsid w:val="27F356C9"/>
    <w:rsid w:val="27FC27CF"/>
    <w:rsid w:val="2815563F"/>
    <w:rsid w:val="281556C9"/>
    <w:rsid w:val="282910EA"/>
    <w:rsid w:val="283D6944"/>
    <w:rsid w:val="284B72B3"/>
    <w:rsid w:val="28521FEA"/>
    <w:rsid w:val="285C7A9D"/>
    <w:rsid w:val="285D4160"/>
    <w:rsid w:val="286640ED"/>
    <w:rsid w:val="287E7C22"/>
    <w:rsid w:val="28887BBF"/>
    <w:rsid w:val="288D0383"/>
    <w:rsid w:val="288E230B"/>
    <w:rsid w:val="289C366A"/>
    <w:rsid w:val="289D4DFF"/>
    <w:rsid w:val="28AA222B"/>
    <w:rsid w:val="28AD1D1C"/>
    <w:rsid w:val="28B30176"/>
    <w:rsid w:val="28C17575"/>
    <w:rsid w:val="28CB22D7"/>
    <w:rsid w:val="28CD1A76"/>
    <w:rsid w:val="28E12450"/>
    <w:rsid w:val="28E201F5"/>
    <w:rsid w:val="28E21F19"/>
    <w:rsid w:val="28E314DB"/>
    <w:rsid w:val="28E877B5"/>
    <w:rsid w:val="28EB5F3E"/>
    <w:rsid w:val="28F0225C"/>
    <w:rsid w:val="290165BA"/>
    <w:rsid w:val="2912392D"/>
    <w:rsid w:val="291D0C4F"/>
    <w:rsid w:val="2920429C"/>
    <w:rsid w:val="292C302D"/>
    <w:rsid w:val="29340DE0"/>
    <w:rsid w:val="293601CE"/>
    <w:rsid w:val="294A709A"/>
    <w:rsid w:val="296028EA"/>
    <w:rsid w:val="29695C42"/>
    <w:rsid w:val="29732D00"/>
    <w:rsid w:val="297C7618"/>
    <w:rsid w:val="297D524A"/>
    <w:rsid w:val="29830F29"/>
    <w:rsid w:val="298B7548"/>
    <w:rsid w:val="298C1931"/>
    <w:rsid w:val="298C410A"/>
    <w:rsid w:val="29903387"/>
    <w:rsid w:val="299108C6"/>
    <w:rsid w:val="29911611"/>
    <w:rsid w:val="299A404E"/>
    <w:rsid w:val="29A03915"/>
    <w:rsid w:val="29B175E9"/>
    <w:rsid w:val="29B3470A"/>
    <w:rsid w:val="29BA649E"/>
    <w:rsid w:val="29BF09D7"/>
    <w:rsid w:val="29C27140"/>
    <w:rsid w:val="29C70BBB"/>
    <w:rsid w:val="29CA2459"/>
    <w:rsid w:val="29CE5454"/>
    <w:rsid w:val="29D67050"/>
    <w:rsid w:val="29DA269C"/>
    <w:rsid w:val="29DB0335"/>
    <w:rsid w:val="29DF5F05"/>
    <w:rsid w:val="29E21551"/>
    <w:rsid w:val="29F446EB"/>
    <w:rsid w:val="2A005E7B"/>
    <w:rsid w:val="2A067D0E"/>
    <w:rsid w:val="2A071261"/>
    <w:rsid w:val="2A145997"/>
    <w:rsid w:val="2A2C6C70"/>
    <w:rsid w:val="2A3760CC"/>
    <w:rsid w:val="2A383867"/>
    <w:rsid w:val="2A4A58B4"/>
    <w:rsid w:val="2A770FD1"/>
    <w:rsid w:val="2A8E6E14"/>
    <w:rsid w:val="2A92010F"/>
    <w:rsid w:val="2AA35184"/>
    <w:rsid w:val="2AB0164F"/>
    <w:rsid w:val="2AC5435F"/>
    <w:rsid w:val="2AC92CF4"/>
    <w:rsid w:val="2AD25A69"/>
    <w:rsid w:val="2ADB2B70"/>
    <w:rsid w:val="2ADC0869"/>
    <w:rsid w:val="2AEA46C5"/>
    <w:rsid w:val="2AEF2177"/>
    <w:rsid w:val="2AF567AF"/>
    <w:rsid w:val="2AF97CB5"/>
    <w:rsid w:val="2B05199B"/>
    <w:rsid w:val="2B057BED"/>
    <w:rsid w:val="2B0936F2"/>
    <w:rsid w:val="2B0D6AA1"/>
    <w:rsid w:val="2B117049"/>
    <w:rsid w:val="2B1E0CAF"/>
    <w:rsid w:val="2B2774E7"/>
    <w:rsid w:val="2B2A3061"/>
    <w:rsid w:val="2B301859"/>
    <w:rsid w:val="2B3109E2"/>
    <w:rsid w:val="2B343AE7"/>
    <w:rsid w:val="2B5533E2"/>
    <w:rsid w:val="2B575F75"/>
    <w:rsid w:val="2B595843"/>
    <w:rsid w:val="2B5A2397"/>
    <w:rsid w:val="2B5E554F"/>
    <w:rsid w:val="2B7753CE"/>
    <w:rsid w:val="2B7958FE"/>
    <w:rsid w:val="2B801021"/>
    <w:rsid w:val="2B803EF6"/>
    <w:rsid w:val="2B8243F3"/>
    <w:rsid w:val="2B837289"/>
    <w:rsid w:val="2B91773F"/>
    <w:rsid w:val="2B9B22FF"/>
    <w:rsid w:val="2B9D399D"/>
    <w:rsid w:val="2B9D6077"/>
    <w:rsid w:val="2BA32F62"/>
    <w:rsid w:val="2BAA2542"/>
    <w:rsid w:val="2BC25ADE"/>
    <w:rsid w:val="2BCE4483"/>
    <w:rsid w:val="2BD66E93"/>
    <w:rsid w:val="2BEF1AC5"/>
    <w:rsid w:val="2BF13CCD"/>
    <w:rsid w:val="2BF534BB"/>
    <w:rsid w:val="2C0945A2"/>
    <w:rsid w:val="2C0B172B"/>
    <w:rsid w:val="2C11747E"/>
    <w:rsid w:val="2C183950"/>
    <w:rsid w:val="2C205FFD"/>
    <w:rsid w:val="2C374F2F"/>
    <w:rsid w:val="2C387B4E"/>
    <w:rsid w:val="2C3B319A"/>
    <w:rsid w:val="2C3D6F12"/>
    <w:rsid w:val="2C477D91"/>
    <w:rsid w:val="2C4874F0"/>
    <w:rsid w:val="2C541DB0"/>
    <w:rsid w:val="2C55108D"/>
    <w:rsid w:val="2C5D1234"/>
    <w:rsid w:val="2C736DD8"/>
    <w:rsid w:val="2C770547"/>
    <w:rsid w:val="2C7F3F24"/>
    <w:rsid w:val="2C844B41"/>
    <w:rsid w:val="2C8C52A9"/>
    <w:rsid w:val="2C9B0B68"/>
    <w:rsid w:val="2C9C00DD"/>
    <w:rsid w:val="2CA62D0A"/>
    <w:rsid w:val="2CAE7E10"/>
    <w:rsid w:val="2CB6543B"/>
    <w:rsid w:val="2CB83BB2"/>
    <w:rsid w:val="2CBC077F"/>
    <w:rsid w:val="2CCE3CC1"/>
    <w:rsid w:val="2CE476DF"/>
    <w:rsid w:val="2CEE645F"/>
    <w:rsid w:val="2CF55A3F"/>
    <w:rsid w:val="2CFC4DC2"/>
    <w:rsid w:val="2CFD072A"/>
    <w:rsid w:val="2D0068BE"/>
    <w:rsid w:val="2D0F2CDA"/>
    <w:rsid w:val="2D1979A7"/>
    <w:rsid w:val="2D3364F8"/>
    <w:rsid w:val="2D3D3906"/>
    <w:rsid w:val="2D4634D1"/>
    <w:rsid w:val="2D483CEA"/>
    <w:rsid w:val="2D6432F0"/>
    <w:rsid w:val="2D8E56EA"/>
    <w:rsid w:val="2DA23BA6"/>
    <w:rsid w:val="2DA73464"/>
    <w:rsid w:val="2DAE369B"/>
    <w:rsid w:val="2DCE06C5"/>
    <w:rsid w:val="2DCF44E2"/>
    <w:rsid w:val="2DDE6026"/>
    <w:rsid w:val="2DEC6FC8"/>
    <w:rsid w:val="2DF14458"/>
    <w:rsid w:val="2DF36F65"/>
    <w:rsid w:val="2DF50A02"/>
    <w:rsid w:val="2DF937A8"/>
    <w:rsid w:val="2E111921"/>
    <w:rsid w:val="2E1A6963"/>
    <w:rsid w:val="2E1B541D"/>
    <w:rsid w:val="2E2C723F"/>
    <w:rsid w:val="2E310CF9"/>
    <w:rsid w:val="2E36630F"/>
    <w:rsid w:val="2E3A195C"/>
    <w:rsid w:val="2E3C058D"/>
    <w:rsid w:val="2E474078"/>
    <w:rsid w:val="2E525E2F"/>
    <w:rsid w:val="2E530917"/>
    <w:rsid w:val="2E5370D9"/>
    <w:rsid w:val="2E573862"/>
    <w:rsid w:val="2E5A4062"/>
    <w:rsid w:val="2E5F0C01"/>
    <w:rsid w:val="2E65597D"/>
    <w:rsid w:val="2E6609A2"/>
    <w:rsid w:val="2E6E7857"/>
    <w:rsid w:val="2E74730E"/>
    <w:rsid w:val="2E7C6418"/>
    <w:rsid w:val="2E7D624D"/>
    <w:rsid w:val="2E955EBE"/>
    <w:rsid w:val="2E9D7B2B"/>
    <w:rsid w:val="2EA63495"/>
    <w:rsid w:val="2EA80C57"/>
    <w:rsid w:val="2EAB54FE"/>
    <w:rsid w:val="2EC41B6D"/>
    <w:rsid w:val="2EC92CDF"/>
    <w:rsid w:val="2ECE46D3"/>
    <w:rsid w:val="2ED45485"/>
    <w:rsid w:val="2EDA313F"/>
    <w:rsid w:val="2EE22E29"/>
    <w:rsid w:val="2EF97A69"/>
    <w:rsid w:val="2F063050"/>
    <w:rsid w:val="2F087F46"/>
    <w:rsid w:val="2F0B32F8"/>
    <w:rsid w:val="2F193C67"/>
    <w:rsid w:val="2F210D6D"/>
    <w:rsid w:val="2F230642"/>
    <w:rsid w:val="2F3C7955"/>
    <w:rsid w:val="2F413E9A"/>
    <w:rsid w:val="2F414F6C"/>
    <w:rsid w:val="2F432A92"/>
    <w:rsid w:val="2F4D1B62"/>
    <w:rsid w:val="2F5E28BE"/>
    <w:rsid w:val="2F6173BC"/>
    <w:rsid w:val="2F661B80"/>
    <w:rsid w:val="2F6B655C"/>
    <w:rsid w:val="2F6F607B"/>
    <w:rsid w:val="2F887613"/>
    <w:rsid w:val="2F9B28CE"/>
    <w:rsid w:val="2F9C03F4"/>
    <w:rsid w:val="2F9E1473"/>
    <w:rsid w:val="2FA71273"/>
    <w:rsid w:val="2FA74051"/>
    <w:rsid w:val="2FB6205F"/>
    <w:rsid w:val="2FC00AE0"/>
    <w:rsid w:val="2FC605EB"/>
    <w:rsid w:val="2FCF4325"/>
    <w:rsid w:val="2FDB7B56"/>
    <w:rsid w:val="2FDC4E2A"/>
    <w:rsid w:val="2FE11064"/>
    <w:rsid w:val="2FE242D3"/>
    <w:rsid w:val="2FE8636E"/>
    <w:rsid w:val="2FF71FFE"/>
    <w:rsid w:val="2FFB02B2"/>
    <w:rsid w:val="300D4E4E"/>
    <w:rsid w:val="30106CC8"/>
    <w:rsid w:val="30112B90"/>
    <w:rsid w:val="301C1C7F"/>
    <w:rsid w:val="301D771F"/>
    <w:rsid w:val="301E3B7E"/>
    <w:rsid w:val="3022738F"/>
    <w:rsid w:val="30230C05"/>
    <w:rsid w:val="30332B06"/>
    <w:rsid w:val="3034062C"/>
    <w:rsid w:val="305807BF"/>
    <w:rsid w:val="305B26DB"/>
    <w:rsid w:val="30647164"/>
    <w:rsid w:val="30711881"/>
    <w:rsid w:val="307123C1"/>
    <w:rsid w:val="30755179"/>
    <w:rsid w:val="307D6477"/>
    <w:rsid w:val="30803872"/>
    <w:rsid w:val="308B0B94"/>
    <w:rsid w:val="308B1EC6"/>
    <w:rsid w:val="308C0468"/>
    <w:rsid w:val="309F68B4"/>
    <w:rsid w:val="309F7E37"/>
    <w:rsid w:val="30B2336D"/>
    <w:rsid w:val="30BB2AFC"/>
    <w:rsid w:val="30D413E9"/>
    <w:rsid w:val="30D836AE"/>
    <w:rsid w:val="30D8545C"/>
    <w:rsid w:val="30E67B79"/>
    <w:rsid w:val="30E87D95"/>
    <w:rsid w:val="30F304E8"/>
    <w:rsid w:val="30F85AFE"/>
    <w:rsid w:val="310340D6"/>
    <w:rsid w:val="310D5099"/>
    <w:rsid w:val="31112FFC"/>
    <w:rsid w:val="311D7312"/>
    <w:rsid w:val="31215055"/>
    <w:rsid w:val="31224929"/>
    <w:rsid w:val="312A7162"/>
    <w:rsid w:val="3139239E"/>
    <w:rsid w:val="314152E9"/>
    <w:rsid w:val="314552F4"/>
    <w:rsid w:val="314C3EC5"/>
    <w:rsid w:val="315A1A07"/>
    <w:rsid w:val="315C7A9A"/>
    <w:rsid w:val="315F2658"/>
    <w:rsid w:val="315F5822"/>
    <w:rsid w:val="316513E5"/>
    <w:rsid w:val="31680BFC"/>
    <w:rsid w:val="317C36D9"/>
    <w:rsid w:val="318F6462"/>
    <w:rsid w:val="31BD2FCF"/>
    <w:rsid w:val="31C01A76"/>
    <w:rsid w:val="31C3610C"/>
    <w:rsid w:val="31CC3212"/>
    <w:rsid w:val="31CD6F8B"/>
    <w:rsid w:val="31DD52F7"/>
    <w:rsid w:val="31E93F71"/>
    <w:rsid w:val="31F461F3"/>
    <w:rsid w:val="31FB6CFB"/>
    <w:rsid w:val="32037827"/>
    <w:rsid w:val="320C7AB3"/>
    <w:rsid w:val="322B427E"/>
    <w:rsid w:val="322D258F"/>
    <w:rsid w:val="32317519"/>
    <w:rsid w:val="32451CDF"/>
    <w:rsid w:val="325925CC"/>
    <w:rsid w:val="326A2A2B"/>
    <w:rsid w:val="326E4FA1"/>
    <w:rsid w:val="327D234B"/>
    <w:rsid w:val="329158C3"/>
    <w:rsid w:val="32B12408"/>
    <w:rsid w:val="32B617CD"/>
    <w:rsid w:val="32BB5035"/>
    <w:rsid w:val="32C1089D"/>
    <w:rsid w:val="32D3412D"/>
    <w:rsid w:val="32D40E9D"/>
    <w:rsid w:val="32D62101"/>
    <w:rsid w:val="32DD31FD"/>
    <w:rsid w:val="32ED628D"/>
    <w:rsid w:val="32F01183"/>
    <w:rsid w:val="32F4136F"/>
    <w:rsid w:val="32F56799"/>
    <w:rsid w:val="32FA3DAF"/>
    <w:rsid w:val="32FC7B27"/>
    <w:rsid w:val="32FD564D"/>
    <w:rsid w:val="32FF13C6"/>
    <w:rsid w:val="330712A3"/>
    <w:rsid w:val="330B7D6A"/>
    <w:rsid w:val="33137852"/>
    <w:rsid w:val="331567AA"/>
    <w:rsid w:val="33184290"/>
    <w:rsid w:val="331D7A9E"/>
    <w:rsid w:val="331F7372"/>
    <w:rsid w:val="33234A54"/>
    <w:rsid w:val="333F5C66"/>
    <w:rsid w:val="3341553A"/>
    <w:rsid w:val="33596D28"/>
    <w:rsid w:val="336D27D3"/>
    <w:rsid w:val="33743B62"/>
    <w:rsid w:val="337A3D8F"/>
    <w:rsid w:val="337D1038"/>
    <w:rsid w:val="337E1B30"/>
    <w:rsid w:val="337E22EA"/>
    <w:rsid w:val="33884F17"/>
    <w:rsid w:val="339A10EE"/>
    <w:rsid w:val="339B5F8C"/>
    <w:rsid w:val="33AA49D3"/>
    <w:rsid w:val="33AC4A66"/>
    <w:rsid w:val="33B01021"/>
    <w:rsid w:val="33B61ACD"/>
    <w:rsid w:val="33CE30CC"/>
    <w:rsid w:val="33DB773D"/>
    <w:rsid w:val="33E37B7D"/>
    <w:rsid w:val="33E86ED3"/>
    <w:rsid w:val="33EB09B8"/>
    <w:rsid w:val="33F26834"/>
    <w:rsid w:val="33F85C2A"/>
    <w:rsid w:val="340A0ADC"/>
    <w:rsid w:val="340C64CF"/>
    <w:rsid w:val="341B222F"/>
    <w:rsid w:val="34227DA3"/>
    <w:rsid w:val="34243C07"/>
    <w:rsid w:val="342509B8"/>
    <w:rsid w:val="342C40ED"/>
    <w:rsid w:val="3437693D"/>
    <w:rsid w:val="343E5A03"/>
    <w:rsid w:val="344E3CA3"/>
    <w:rsid w:val="345A1857"/>
    <w:rsid w:val="346A0DEF"/>
    <w:rsid w:val="34764B2E"/>
    <w:rsid w:val="347A672E"/>
    <w:rsid w:val="3491604D"/>
    <w:rsid w:val="349911CD"/>
    <w:rsid w:val="349D2C44"/>
    <w:rsid w:val="349D49F2"/>
    <w:rsid w:val="349E076A"/>
    <w:rsid w:val="34A30995"/>
    <w:rsid w:val="34A35D81"/>
    <w:rsid w:val="34AA2E36"/>
    <w:rsid w:val="34B1049E"/>
    <w:rsid w:val="34B34216"/>
    <w:rsid w:val="34BA37F6"/>
    <w:rsid w:val="34CC177B"/>
    <w:rsid w:val="34CE1050"/>
    <w:rsid w:val="34CF54B7"/>
    <w:rsid w:val="34D673D9"/>
    <w:rsid w:val="34EA300E"/>
    <w:rsid w:val="34ED1748"/>
    <w:rsid w:val="34F30AB6"/>
    <w:rsid w:val="35013260"/>
    <w:rsid w:val="35042CC3"/>
    <w:rsid w:val="35076200"/>
    <w:rsid w:val="350E272A"/>
    <w:rsid w:val="353A3B27"/>
    <w:rsid w:val="35402E38"/>
    <w:rsid w:val="354402E0"/>
    <w:rsid w:val="354A3140"/>
    <w:rsid w:val="35645510"/>
    <w:rsid w:val="356D03A3"/>
    <w:rsid w:val="35727C2D"/>
    <w:rsid w:val="35892D19"/>
    <w:rsid w:val="358B6F41"/>
    <w:rsid w:val="358C1A4D"/>
    <w:rsid w:val="358E07DF"/>
    <w:rsid w:val="358F4699"/>
    <w:rsid w:val="359027A9"/>
    <w:rsid w:val="35942299"/>
    <w:rsid w:val="3595319A"/>
    <w:rsid w:val="359A73B9"/>
    <w:rsid w:val="359E6C74"/>
    <w:rsid w:val="35A9270C"/>
    <w:rsid w:val="35BE4DEE"/>
    <w:rsid w:val="35BF7503"/>
    <w:rsid w:val="35C10BB4"/>
    <w:rsid w:val="35D4276C"/>
    <w:rsid w:val="35D72186"/>
    <w:rsid w:val="35DC59EE"/>
    <w:rsid w:val="35E62305"/>
    <w:rsid w:val="35ED19A9"/>
    <w:rsid w:val="35EF7A5E"/>
    <w:rsid w:val="3600792F"/>
    <w:rsid w:val="36054F45"/>
    <w:rsid w:val="36134755"/>
    <w:rsid w:val="3619454C"/>
    <w:rsid w:val="361C6ADA"/>
    <w:rsid w:val="36213401"/>
    <w:rsid w:val="362342C0"/>
    <w:rsid w:val="362C0724"/>
    <w:rsid w:val="363E20E5"/>
    <w:rsid w:val="36447442"/>
    <w:rsid w:val="3649781D"/>
    <w:rsid w:val="364C4ED5"/>
    <w:rsid w:val="364C66D0"/>
    <w:rsid w:val="36514B54"/>
    <w:rsid w:val="36527A5E"/>
    <w:rsid w:val="365B4B65"/>
    <w:rsid w:val="365D6B2F"/>
    <w:rsid w:val="366003CD"/>
    <w:rsid w:val="36617CA1"/>
    <w:rsid w:val="3666511F"/>
    <w:rsid w:val="366854D4"/>
    <w:rsid w:val="366A20E8"/>
    <w:rsid w:val="366B33B5"/>
    <w:rsid w:val="36800E26"/>
    <w:rsid w:val="368A369C"/>
    <w:rsid w:val="36A52284"/>
    <w:rsid w:val="36AA39B8"/>
    <w:rsid w:val="36AC3612"/>
    <w:rsid w:val="36BA5D2F"/>
    <w:rsid w:val="36BD137C"/>
    <w:rsid w:val="36BE1399"/>
    <w:rsid w:val="36BF65F8"/>
    <w:rsid w:val="36C344B8"/>
    <w:rsid w:val="36CC15BF"/>
    <w:rsid w:val="36D466C5"/>
    <w:rsid w:val="36D81FBC"/>
    <w:rsid w:val="36E33962"/>
    <w:rsid w:val="36E35853"/>
    <w:rsid w:val="36E62284"/>
    <w:rsid w:val="36F01751"/>
    <w:rsid w:val="36F823B4"/>
    <w:rsid w:val="36FA437E"/>
    <w:rsid w:val="36FD67A6"/>
    <w:rsid w:val="37014028"/>
    <w:rsid w:val="37101456"/>
    <w:rsid w:val="37101585"/>
    <w:rsid w:val="37296A11"/>
    <w:rsid w:val="372D065C"/>
    <w:rsid w:val="373051B9"/>
    <w:rsid w:val="3733141E"/>
    <w:rsid w:val="3743102C"/>
    <w:rsid w:val="3744384B"/>
    <w:rsid w:val="37620175"/>
    <w:rsid w:val="3763760A"/>
    <w:rsid w:val="376B527C"/>
    <w:rsid w:val="377A6184"/>
    <w:rsid w:val="37906A90"/>
    <w:rsid w:val="3793032E"/>
    <w:rsid w:val="379522F8"/>
    <w:rsid w:val="379D4E7C"/>
    <w:rsid w:val="37A20571"/>
    <w:rsid w:val="37A4253C"/>
    <w:rsid w:val="37AA2247"/>
    <w:rsid w:val="37BC0EA3"/>
    <w:rsid w:val="37C87FD8"/>
    <w:rsid w:val="37C91941"/>
    <w:rsid w:val="37D1563F"/>
    <w:rsid w:val="37D96E1D"/>
    <w:rsid w:val="37E42938"/>
    <w:rsid w:val="37EF0C54"/>
    <w:rsid w:val="38003C16"/>
    <w:rsid w:val="38082FEA"/>
    <w:rsid w:val="38084878"/>
    <w:rsid w:val="38116DC1"/>
    <w:rsid w:val="3814146F"/>
    <w:rsid w:val="3814321D"/>
    <w:rsid w:val="381F3748"/>
    <w:rsid w:val="3827513D"/>
    <w:rsid w:val="382A0C93"/>
    <w:rsid w:val="38360FFB"/>
    <w:rsid w:val="38392C84"/>
    <w:rsid w:val="384B50F9"/>
    <w:rsid w:val="385742E2"/>
    <w:rsid w:val="38732073"/>
    <w:rsid w:val="38765C86"/>
    <w:rsid w:val="387F7B7E"/>
    <w:rsid w:val="3882200B"/>
    <w:rsid w:val="388C65D7"/>
    <w:rsid w:val="3894508B"/>
    <w:rsid w:val="38961E84"/>
    <w:rsid w:val="389F4F03"/>
    <w:rsid w:val="38A1667D"/>
    <w:rsid w:val="38A30A45"/>
    <w:rsid w:val="38A41E64"/>
    <w:rsid w:val="38A65E3F"/>
    <w:rsid w:val="38A856BD"/>
    <w:rsid w:val="38A926B2"/>
    <w:rsid w:val="38B262D2"/>
    <w:rsid w:val="38B3559A"/>
    <w:rsid w:val="38B36EDA"/>
    <w:rsid w:val="38B54006"/>
    <w:rsid w:val="38B92017"/>
    <w:rsid w:val="38CC58A6"/>
    <w:rsid w:val="38CE1D29"/>
    <w:rsid w:val="38CF7F70"/>
    <w:rsid w:val="38E6581B"/>
    <w:rsid w:val="38EE7F12"/>
    <w:rsid w:val="39072D82"/>
    <w:rsid w:val="3910336A"/>
    <w:rsid w:val="3911678C"/>
    <w:rsid w:val="39151F0C"/>
    <w:rsid w:val="39180AEB"/>
    <w:rsid w:val="391A2AB5"/>
    <w:rsid w:val="39225E0E"/>
    <w:rsid w:val="392555B8"/>
    <w:rsid w:val="392E6561"/>
    <w:rsid w:val="393578EF"/>
    <w:rsid w:val="393873DF"/>
    <w:rsid w:val="393A301B"/>
    <w:rsid w:val="393B1A26"/>
    <w:rsid w:val="39450E69"/>
    <w:rsid w:val="39465D70"/>
    <w:rsid w:val="3954081F"/>
    <w:rsid w:val="395810AB"/>
    <w:rsid w:val="395838F5"/>
    <w:rsid w:val="396C52DB"/>
    <w:rsid w:val="396D19F9"/>
    <w:rsid w:val="39727B1D"/>
    <w:rsid w:val="39811C35"/>
    <w:rsid w:val="399901D9"/>
    <w:rsid w:val="399E7844"/>
    <w:rsid w:val="39A700C1"/>
    <w:rsid w:val="39B822CE"/>
    <w:rsid w:val="39C561B9"/>
    <w:rsid w:val="39DE5F88"/>
    <w:rsid w:val="39E15381"/>
    <w:rsid w:val="39E42F5C"/>
    <w:rsid w:val="39EE7AC7"/>
    <w:rsid w:val="39F23A32"/>
    <w:rsid w:val="39F2758E"/>
    <w:rsid w:val="3A011E34"/>
    <w:rsid w:val="3A0A11C0"/>
    <w:rsid w:val="3A0E1EEE"/>
    <w:rsid w:val="3A1143F9"/>
    <w:rsid w:val="3A137505"/>
    <w:rsid w:val="3A1B6104"/>
    <w:rsid w:val="3A1E0383"/>
    <w:rsid w:val="3A1E1C6B"/>
    <w:rsid w:val="3A231E3E"/>
    <w:rsid w:val="3A233BEC"/>
    <w:rsid w:val="3A28309C"/>
    <w:rsid w:val="3A300F0F"/>
    <w:rsid w:val="3A3873F5"/>
    <w:rsid w:val="3A410516"/>
    <w:rsid w:val="3A46708E"/>
    <w:rsid w:val="3A472868"/>
    <w:rsid w:val="3A485400"/>
    <w:rsid w:val="3A4B6C9E"/>
    <w:rsid w:val="3A4C4D04"/>
    <w:rsid w:val="3A525A4A"/>
    <w:rsid w:val="3A560296"/>
    <w:rsid w:val="3A5634F8"/>
    <w:rsid w:val="3A573A14"/>
    <w:rsid w:val="3A695377"/>
    <w:rsid w:val="3A6968B7"/>
    <w:rsid w:val="3A6C5593"/>
    <w:rsid w:val="3A7C154E"/>
    <w:rsid w:val="3A7E6650"/>
    <w:rsid w:val="3A80103E"/>
    <w:rsid w:val="3A850402"/>
    <w:rsid w:val="3A886145"/>
    <w:rsid w:val="3A923034"/>
    <w:rsid w:val="3A9533F8"/>
    <w:rsid w:val="3AAD5BAB"/>
    <w:rsid w:val="3AB74334"/>
    <w:rsid w:val="3AB76AC9"/>
    <w:rsid w:val="3AB85DF5"/>
    <w:rsid w:val="3AD032DE"/>
    <w:rsid w:val="3AD50DEA"/>
    <w:rsid w:val="3ADC0D82"/>
    <w:rsid w:val="3AE04F23"/>
    <w:rsid w:val="3AE5554F"/>
    <w:rsid w:val="3AE81100"/>
    <w:rsid w:val="3AED355F"/>
    <w:rsid w:val="3AEF3B8E"/>
    <w:rsid w:val="3AF65C7A"/>
    <w:rsid w:val="3B0C28D2"/>
    <w:rsid w:val="3B1F4441"/>
    <w:rsid w:val="3B2E2848"/>
    <w:rsid w:val="3B304812"/>
    <w:rsid w:val="3B327074"/>
    <w:rsid w:val="3B350EB3"/>
    <w:rsid w:val="3B3D2A8B"/>
    <w:rsid w:val="3B3F4242"/>
    <w:rsid w:val="3B4D1C93"/>
    <w:rsid w:val="3B6224F2"/>
    <w:rsid w:val="3B666D3A"/>
    <w:rsid w:val="3B693880"/>
    <w:rsid w:val="3B696E35"/>
    <w:rsid w:val="3B77090F"/>
    <w:rsid w:val="3B7B5536"/>
    <w:rsid w:val="3B8F779C"/>
    <w:rsid w:val="3B9D3E59"/>
    <w:rsid w:val="3BA90120"/>
    <w:rsid w:val="3BAE7D6F"/>
    <w:rsid w:val="3BB16FD5"/>
    <w:rsid w:val="3BB30FD4"/>
    <w:rsid w:val="3BBD597A"/>
    <w:rsid w:val="3BC15068"/>
    <w:rsid w:val="3BC57915"/>
    <w:rsid w:val="3BCA1F2B"/>
    <w:rsid w:val="3BD04904"/>
    <w:rsid w:val="3BD15045"/>
    <w:rsid w:val="3BD41801"/>
    <w:rsid w:val="3BF13876"/>
    <w:rsid w:val="3BFA41C9"/>
    <w:rsid w:val="3C007309"/>
    <w:rsid w:val="3C023F1E"/>
    <w:rsid w:val="3C15125B"/>
    <w:rsid w:val="3C172AFD"/>
    <w:rsid w:val="3C1E0B0E"/>
    <w:rsid w:val="3C227ED9"/>
    <w:rsid w:val="3C231EF3"/>
    <w:rsid w:val="3C2679C3"/>
    <w:rsid w:val="3C3025F0"/>
    <w:rsid w:val="3C321EED"/>
    <w:rsid w:val="3C3245BA"/>
    <w:rsid w:val="3C340BC9"/>
    <w:rsid w:val="3C3E0F23"/>
    <w:rsid w:val="3C401D09"/>
    <w:rsid w:val="3C430575"/>
    <w:rsid w:val="3C447E49"/>
    <w:rsid w:val="3C4904F0"/>
    <w:rsid w:val="3C505382"/>
    <w:rsid w:val="3C526A0A"/>
    <w:rsid w:val="3C544530"/>
    <w:rsid w:val="3C756255"/>
    <w:rsid w:val="3C7A6136"/>
    <w:rsid w:val="3C7E77FF"/>
    <w:rsid w:val="3C8525A2"/>
    <w:rsid w:val="3CAD59EE"/>
    <w:rsid w:val="3CB274A9"/>
    <w:rsid w:val="3CBF5952"/>
    <w:rsid w:val="3CCB2319"/>
    <w:rsid w:val="3CE21B3C"/>
    <w:rsid w:val="3CEA1D29"/>
    <w:rsid w:val="3CF11D7F"/>
    <w:rsid w:val="3CF7157A"/>
    <w:rsid w:val="3CFE2AF4"/>
    <w:rsid w:val="3D006466"/>
    <w:rsid w:val="3D094027"/>
    <w:rsid w:val="3D0A644B"/>
    <w:rsid w:val="3D0D6C88"/>
    <w:rsid w:val="3D186854"/>
    <w:rsid w:val="3D201B51"/>
    <w:rsid w:val="3D2A5291"/>
    <w:rsid w:val="3D3B2B6E"/>
    <w:rsid w:val="3D3E03F6"/>
    <w:rsid w:val="3D436353"/>
    <w:rsid w:val="3D462638"/>
    <w:rsid w:val="3D474095"/>
    <w:rsid w:val="3D4D693E"/>
    <w:rsid w:val="3D4E702A"/>
    <w:rsid w:val="3D5F13DF"/>
    <w:rsid w:val="3D661CAD"/>
    <w:rsid w:val="3D73347A"/>
    <w:rsid w:val="3D766728"/>
    <w:rsid w:val="3D842BF3"/>
    <w:rsid w:val="3D8C7CFA"/>
    <w:rsid w:val="3D915310"/>
    <w:rsid w:val="3D9E7BC4"/>
    <w:rsid w:val="3DA85E6F"/>
    <w:rsid w:val="3DAE22C9"/>
    <w:rsid w:val="3DB86D41"/>
    <w:rsid w:val="3DD31485"/>
    <w:rsid w:val="3DDC2A2F"/>
    <w:rsid w:val="3DE33063"/>
    <w:rsid w:val="3DF8538F"/>
    <w:rsid w:val="3DFA4C63"/>
    <w:rsid w:val="3E032837"/>
    <w:rsid w:val="3E083824"/>
    <w:rsid w:val="3E0E6961"/>
    <w:rsid w:val="3E181CA3"/>
    <w:rsid w:val="3E1F0B6E"/>
    <w:rsid w:val="3E1F46CA"/>
    <w:rsid w:val="3E216694"/>
    <w:rsid w:val="3E2A0CA9"/>
    <w:rsid w:val="3E3707BC"/>
    <w:rsid w:val="3E444130"/>
    <w:rsid w:val="3E50373C"/>
    <w:rsid w:val="3E506F79"/>
    <w:rsid w:val="3E5548F4"/>
    <w:rsid w:val="3E573E64"/>
    <w:rsid w:val="3E5E1696"/>
    <w:rsid w:val="3E622809"/>
    <w:rsid w:val="3E7E6A93"/>
    <w:rsid w:val="3E7E7642"/>
    <w:rsid w:val="3E834C59"/>
    <w:rsid w:val="3E8D48FE"/>
    <w:rsid w:val="3E9D652A"/>
    <w:rsid w:val="3EA231F0"/>
    <w:rsid w:val="3EA37ED3"/>
    <w:rsid w:val="3EA51073"/>
    <w:rsid w:val="3EA73EF9"/>
    <w:rsid w:val="3EAE5A4E"/>
    <w:rsid w:val="3EB76FF8"/>
    <w:rsid w:val="3EBC016B"/>
    <w:rsid w:val="3ECA2888"/>
    <w:rsid w:val="3EE83EC6"/>
    <w:rsid w:val="3EF7518D"/>
    <w:rsid w:val="3F182E77"/>
    <w:rsid w:val="3F1B4E72"/>
    <w:rsid w:val="3F240641"/>
    <w:rsid w:val="3F2F5037"/>
    <w:rsid w:val="3F356429"/>
    <w:rsid w:val="3F365061"/>
    <w:rsid w:val="3F3D74FE"/>
    <w:rsid w:val="3F446ADE"/>
    <w:rsid w:val="3F4B69CA"/>
    <w:rsid w:val="3F4E210F"/>
    <w:rsid w:val="3F577E93"/>
    <w:rsid w:val="3F601AA5"/>
    <w:rsid w:val="3F6031EC"/>
    <w:rsid w:val="3F7171A7"/>
    <w:rsid w:val="3F8073EA"/>
    <w:rsid w:val="3F845447"/>
    <w:rsid w:val="3F857477"/>
    <w:rsid w:val="3F921CB4"/>
    <w:rsid w:val="3F9411FA"/>
    <w:rsid w:val="3FA23805"/>
    <w:rsid w:val="3FA727A7"/>
    <w:rsid w:val="3FAC527E"/>
    <w:rsid w:val="3FD94515"/>
    <w:rsid w:val="3FE1750C"/>
    <w:rsid w:val="3FE749A5"/>
    <w:rsid w:val="3FE85EB1"/>
    <w:rsid w:val="3FEE6A4A"/>
    <w:rsid w:val="3FF006FF"/>
    <w:rsid w:val="3FF027C2"/>
    <w:rsid w:val="3FFB2F15"/>
    <w:rsid w:val="400268DC"/>
    <w:rsid w:val="4011502A"/>
    <w:rsid w:val="4012098A"/>
    <w:rsid w:val="401665BA"/>
    <w:rsid w:val="401D2E8B"/>
    <w:rsid w:val="402326DA"/>
    <w:rsid w:val="402802E6"/>
    <w:rsid w:val="402C1320"/>
    <w:rsid w:val="40493C80"/>
    <w:rsid w:val="404C551E"/>
    <w:rsid w:val="405109F0"/>
    <w:rsid w:val="405F16F6"/>
    <w:rsid w:val="40642868"/>
    <w:rsid w:val="40691DAD"/>
    <w:rsid w:val="406B0BF8"/>
    <w:rsid w:val="4071024B"/>
    <w:rsid w:val="407F3C98"/>
    <w:rsid w:val="40800F8F"/>
    <w:rsid w:val="40866C82"/>
    <w:rsid w:val="4090392C"/>
    <w:rsid w:val="40953E43"/>
    <w:rsid w:val="409E3FCC"/>
    <w:rsid w:val="40AA668E"/>
    <w:rsid w:val="40B82B3A"/>
    <w:rsid w:val="40B927BA"/>
    <w:rsid w:val="40C15F0C"/>
    <w:rsid w:val="40CA7A55"/>
    <w:rsid w:val="40DA2CCA"/>
    <w:rsid w:val="40E220E9"/>
    <w:rsid w:val="40E35E83"/>
    <w:rsid w:val="40E67721"/>
    <w:rsid w:val="40E8793D"/>
    <w:rsid w:val="4101455B"/>
    <w:rsid w:val="41030592"/>
    <w:rsid w:val="41135328"/>
    <w:rsid w:val="41251E00"/>
    <w:rsid w:val="4135212A"/>
    <w:rsid w:val="413A44CD"/>
    <w:rsid w:val="41440C3D"/>
    <w:rsid w:val="414A48CD"/>
    <w:rsid w:val="414A5AB4"/>
    <w:rsid w:val="414C2F34"/>
    <w:rsid w:val="414E5273"/>
    <w:rsid w:val="416219AA"/>
    <w:rsid w:val="416461DC"/>
    <w:rsid w:val="41670862"/>
    <w:rsid w:val="416971BC"/>
    <w:rsid w:val="416D1BF0"/>
    <w:rsid w:val="417D580C"/>
    <w:rsid w:val="41807B75"/>
    <w:rsid w:val="41872CB2"/>
    <w:rsid w:val="41A531CD"/>
    <w:rsid w:val="41AA4833"/>
    <w:rsid w:val="41AC096A"/>
    <w:rsid w:val="41BB6E00"/>
    <w:rsid w:val="41C22B8E"/>
    <w:rsid w:val="41C5682F"/>
    <w:rsid w:val="41CA7043"/>
    <w:rsid w:val="41DB2FFE"/>
    <w:rsid w:val="41DD0B24"/>
    <w:rsid w:val="41DD6D76"/>
    <w:rsid w:val="41E54AD9"/>
    <w:rsid w:val="41EC2E2A"/>
    <w:rsid w:val="41F03EDF"/>
    <w:rsid w:val="41F95335"/>
    <w:rsid w:val="41FE3D6E"/>
    <w:rsid w:val="42003216"/>
    <w:rsid w:val="42010CB6"/>
    <w:rsid w:val="42132798"/>
    <w:rsid w:val="42162288"/>
    <w:rsid w:val="42186000"/>
    <w:rsid w:val="421B792B"/>
    <w:rsid w:val="42221C2E"/>
    <w:rsid w:val="422F399C"/>
    <w:rsid w:val="423B7BF9"/>
    <w:rsid w:val="424D1B5C"/>
    <w:rsid w:val="42530DE6"/>
    <w:rsid w:val="425608D6"/>
    <w:rsid w:val="426C1EA8"/>
    <w:rsid w:val="426D5E92"/>
    <w:rsid w:val="427629E8"/>
    <w:rsid w:val="427A45C5"/>
    <w:rsid w:val="427E042B"/>
    <w:rsid w:val="427F1D1C"/>
    <w:rsid w:val="428A0145"/>
    <w:rsid w:val="428F4EAC"/>
    <w:rsid w:val="429318DA"/>
    <w:rsid w:val="429338D8"/>
    <w:rsid w:val="42986031"/>
    <w:rsid w:val="429A561E"/>
    <w:rsid w:val="429C453B"/>
    <w:rsid w:val="42A014F7"/>
    <w:rsid w:val="42A94EAA"/>
    <w:rsid w:val="42B5168B"/>
    <w:rsid w:val="42B5384F"/>
    <w:rsid w:val="42B71B0E"/>
    <w:rsid w:val="42BC4BDD"/>
    <w:rsid w:val="42CD2946"/>
    <w:rsid w:val="42D75B53"/>
    <w:rsid w:val="42DD579E"/>
    <w:rsid w:val="42DF08CC"/>
    <w:rsid w:val="42F34200"/>
    <w:rsid w:val="42F345ED"/>
    <w:rsid w:val="42F425C9"/>
    <w:rsid w:val="42F8373B"/>
    <w:rsid w:val="43041F26"/>
    <w:rsid w:val="43087E22"/>
    <w:rsid w:val="43170066"/>
    <w:rsid w:val="43197CCC"/>
    <w:rsid w:val="431A078E"/>
    <w:rsid w:val="432B77D9"/>
    <w:rsid w:val="43301127"/>
    <w:rsid w:val="4339622E"/>
    <w:rsid w:val="43454BD3"/>
    <w:rsid w:val="43513ADF"/>
    <w:rsid w:val="4359242C"/>
    <w:rsid w:val="43740B9D"/>
    <w:rsid w:val="437E6337"/>
    <w:rsid w:val="43863241"/>
    <w:rsid w:val="438D20D6"/>
    <w:rsid w:val="43B41F28"/>
    <w:rsid w:val="43B43B06"/>
    <w:rsid w:val="43B741A5"/>
    <w:rsid w:val="43BE4985"/>
    <w:rsid w:val="43C71A8C"/>
    <w:rsid w:val="43D15248"/>
    <w:rsid w:val="43D20803"/>
    <w:rsid w:val="43D9531B"/>
    <w:rsid w:val="43DE7F78"/>
    <w:rsid w:val="43E268C5"/>
    <w:rsid w:val="43E805ED"/>
    <w:rsid w:val="43F35D0B"/>
    <w:rsid w:val="440525B4"/>
    <w:rsid w:val="44095C00"/>
    <w:rsid w:val="44157432"/>
    <w:rsid w:val="441723B0"/>
    <w:rsid w:val="442962A2"/>
    <w:rsid w:val="4436451B"/>
    <w:rsid w:val="443A6A7D"/>
    <w:rsid w:val="44450C02"/>
    <w:rsid w:val="44543CB4"/>
    <w:rsid w:val="445847E7"/>
    <w:rsid w:val="446612A5"/>
    <w:rsid w:val="44676DCB"/>
    <w:rsid w:val="4475773A"/>
    <w:rsid w:val="448657BE"/>
    <w:rsid w:val="4487121B"/>
    <w:rsid w:val="449343C4"/>
    <w:rsid w:val="449D4329"/>
    <w:rsid w:val="44A37A4F"/>
    <w:rsid w:val="44B35952"/>
    <w:rsid w:val="44B440E5"/>
    <w:rsid w:val="44B506F8"/>
    <w:rsid w:val="44CA1935"/>
    <w:rsid w:val="44D75CFE"/>
    <w:rsid w:val="44E7216D"/>
    <w:rsid w:val="44ED5522"/>
    <w:rsid w:val="44F46F9A"/>
    <w:rsid w:val="44F600CF"/>
    <w:rsid w:val="450308A1"/>
    <w:rsid w:val="450B3BFA"/>
    <w:rsid w:val="4513485D"/>
    <w:rsid w:val="451A4083"/>
    <w:rsid w:val="45206203"/>
    <w:rsid w:val="45294080"/>
    <w:rsid w:val="452D3B70"/>
    <w:rsid w:val="45322F35"/>
    <w:rsid w:val="453C17D8"/>
    <w:rsid w:val="45435142"/>
    <w:rsid w:val="45442C68"/>
    <w:rsid w:val="454A2974"/>
    <w:rsid w:val="45554E75"/>
    <w:rsid w:val="45630A81"/>
    <w:rsid w:val="45683092"/>
    <w:rsid w:val="456B78E7"/>
    <w:rsid w:val="45703A5D"/>
    <w:rsid w:val="45705B8C"/>
    <w:rsid w:val="457511EA"/>
    <w:rsid w:val="45803E76"/>
    <w:rsid w:val="45884AA7"/>
    <w:rsid w:val="458D12E4"/>
    <w:rsid w:val="45902501"/>
    <w:rsid w:val="4597548E"/>
    <w:rsid w:val="4599319D"/>
    <w:rsid w:val="459B0F98"/>
    <w:rsid w:val="45A36E43"/>
    <w:rsid w:val="45A802F4"/>
    <w:rsid w:val="45AA51C1"/>
    <w:rsid w:val="45B00CD7"/>
    <w:rsid w:val="45B222C8"/>
    <w:rsid w:val="45C83899"/>
    <w:rsid w:val="45DB306C"/>
    <w:rsid w:val="45F36B68"/>
    <w:rsid w:val="45FA3A5B"/>
    <w:rsid w:val="46026DAB"/>
    <w:rsid w:val="46037D67"/>
    <w:rsid w:val="46072613"/>
    <w:rsid w:val="461134F5"/>
    <w:rsid w:val="461D04D7"/>
    <w:rsid w:val="4629258A"/>
    <w:rsid w:val="462A00B0"/>
    <w:rsid w:val="462A6302"/>
    <w:rsid w:val="463E583C"/>
    <w:rsid w:val="463E78FB"/>
    <w:rsid w:val="46492C2C"/>
    <w:rsid w:val="464A0752"/>
    <w:rsid w:val="465335A8"/>
    <w:rsid w:val="46643883"/>
    <w:rsid w:val="466A4950"/>
    <w:rsid w:val="46794B93"/>
    <w:rsid w:val="46872820"/>
    <w:rsid w:val="46875F12"/>
    <w:rsid w:val="4689127A"/>
    <w:rsid w:val="468E5C78"/>
    <w:rsid w:val="469320F9"/>
    <w:rsid w:val="46974AE4"/>
    <w:rsid w:val="469E7EAD"/>
    <w:rsid w:val="46A05B8E"/>
    <w:rsid w:val="46A9448A"/>
    <w:rsid w:val="46B207D1"/>
    <w:rsid w:val="46B850EA"/>
    <w:rsid w:val="46BA1434"/>
    <w:rsid w:val="46C329DE"/>
    <w:rsid w:val="46CD4936"/>
    <w:rsid w:val="46D324F5"/>
    <w:rsid w:val="46D36999"/>
    <w:rsid w:val="46D5626E"/>
    <w:rsid w:val="46D65CA1"/>
    <w:rsid w:val="46DA7AC9"/>
    <w:rsid w:val="46DC6FD5"/>
    <w:rsid w:val="46E11E01"/>
    <w:rsid w:val="46EB783F"/>
    <w:rsid w:val="46EE5581"/>
    <w:rsid w:val="46EF1E94"/>
    <w:rsid w:val="46F32B98"/>
    <w:rsid w:val="46F93B86"/>
    <w:rsid w:val="46FA3F26"/>
    <w:rsid w:val="46FB6AC0"/>
    <w:rsid w:val="46FD7572"/>
    <w:rsid w:val="47086643"/>
    <w:rsid w:val="4710374A"/>
    <w:rsid w:val="471274C2"/>
    <w:rsid w:val="4720547A"/>
    <w:rsid w:val="472B496A"/>
    <w:rsid w:val="47324E7F"/>
    <w:rsid w:val="473860EE"/>
    <w:rsid w:val="4738745C"/>
    <w:rsid w:val="47392CA0"/>
    <w:rsid w:val="474822D5"/>
    <w:rsid w:val="47486475"/>
    <w:rsid w:val="4755438F"/>
    <w:rsid w:val="475A2C17"/>
    <w:rsid w:val="47613FA5"/>
    <w:rsid w:val="47655D22"/>
    <w:rsid w:val="47676207"/>
    <w:rsid w:val="47790274"/>
    <w:rsid w:val="477C2B8D"/>
    <w:rsid w:val="47842BDA"/>
    <w:rsid w:val="478A5A6E"/>
    <w:rsid w:val="478B2DD0"/>
    <w:rsid w:val="478E5334"/>
    <w:rsid w:val="479A3013"/>
    <w:rsid w:val="479C7BE4"/>
    <w:rsid w:val="47A518B5"/>
    <w:rsid w:val="47A70ACD"/>
    <w:rsid w:val="47A72F7B"/>
    <w:rsid w:val="47AD621F"/>
    <w:rsid w:val="47C30E2B"/>
    <w:rsid w:val="47C40DA9"/>
    <w:rsid w:val="47C87B80"/>
    <w:rsid w:val="47D32C18"/>
    <w:rsid w:val="47DE721D"/>
    <w:rsid w:val="47F14D97"/>
    <w:rsid w:val="47F60B91"/>
    <w:rsid w:val="47F746F8"/>
    <w:rsid w:val="47FB0846"/>
    <w:rsid w:val="47FD25A8"/>
    <w:rsid w:val="48067E5D"/>
    <w:rsid w:val="480A63EB"/>
    <w:rsid w:val="48185219"/>
    <w:rsid w:val="482B7F99"/>
    <w:rsid w:val="485715CA"/>
    <w:rsid w:val="485F3CCF"/>
    <w:rsid w:val="486051F0"/>
    <w:rsid w:val="487349DB"/>
    <w:rsid w:val="4876236F"/>
    <w:rsid w:val="48821AB8"/>
    <w:rsid w:val="489B7043"/>
    <w:rsid w:val="489D18CF"/>
    <w:rsid w:val="48A10987"/>
    <w:rsid w:val="48A56114"/>
    <w:rsid w:val="48A57EC2"/>
    <w:rsid w:val="48A95C04"/>
    <w:rsid w:val="48AD21F9"/>
    <w:rsid w:val="48AE549F"/>
    <w:rsid w:val="48BA4CEE"/>
    <w:rsid w:val="48D24BFF"/>
    <w:rsid w:val="48EA53DD"/>
    <w:rsid w:val="48EC1126"/>
    <w:rsid w:val="48F8026F"/>
    <w:rsid w:val="490571EF"/>
    <w:rsid w:val="49066BB2"/>
    <w:rsid w:val="490B56CE"/>
    <w:rsid w:val="490B5F77"/>
    <w:rsid w:val="490F0EB7"/>
    <w:rsid w:val="49390FD8"/>
    <w:rsid w:val="49476F18"/>
    <w:rsid w:val="49477E00"/>
    <w:rsid w:val="495F2766"/>
    <w:rsid w:val="496B4C67"/>
    <w:rsid w:val="497563B8"/>
    <w:rsid w:val="49771F9E"/>
    <w:rsid w:val="498F2B04"/>
    <w:rsid w:val="49A407C7"/>
    <w:rsid w:val="49AE1382"/>
    <w:rsid w:val="49B465FE"/>
    <w:rsid w:val="49BE56DF"/>
    <w:rsid w:val="49C10D2B"/>
    <w:rsid w:val="49C53A6E"/>
    <w:rsid w:val="49CA4084"/>
    <w:rsid w:val="4A0133DD"/>
    <w:rsid w:val="4A031344"/>
    <w:rsid w:val="4A0D3F70"/>
    <w:rsid w:val="4A0F592C"/>
    <w:rsid w:val="4A176B9D"/>
    <w:rsid w:val="4A263005"/>
    <w:rsid w:val="4A2B43F6"/>
    <w:rsid w:val="4A332A3B"/>
    <w:rsid w:val="4A442D1A"/>
    <w:rsid w:val="4A547DF1"/>
    <w:rsid w:val="4A5676C5"/>
    <w:rsid w:val="4A657908"/>
    <w:rsid w:val="4A6C155A"/>
    <w:rsid w:val="4A6C513B"/>
    <w:rsid w:val="4A6C6EE9"/>
    <w:rsid w:val="4A7B76BB"/>
    <w:rsid w:val="4A934476"/>
    <w:rsid w:val="4A9E2E1A"/>
    <w:rsid w:val="4AA73BE3"/>
    <w:rsid w:val="4AC12096"/>
    <w:rsid w:val="4AC22FAD"/>
    <w:rsid w:val="4ACB5916"/>
    <w:rsid w:val="4ADA4B68"/>
    <w:rsid w:val="4ADA6F59"/>
    <w:rsid w:val="4AE90539"/>
    <w:rsid w:val="4AFD030C"/>
    <w:rsid w:val="4B016F44"/>
    <w:rsid w:val="4B02784D"/>
    <w:rsid w:val="4B055F73"/>
    <w:rsid w:val="4B096ADE"/>
    <w:rsid w:val="4B0C381C"/>
    <w:rsid w:val="4B0C674D"/>
    <w:rsid w:val="4B0E3C4B"/>
    <w:rsid w:val="4B0F27DE"/>
    <w:rsid w:val="4B134FD7"/>
    <w:rsid w:val="4B296B88"/>
    <w:rsid w:val="4B3A2B43"/>
    <w:rsid w:val="4B3D2633"/>
    <w:rsid w:val="4B3F45FD"/>
    <w:rsid w:val="4B440C59"/>
    <w:rsid w:val="4B46685F"/>
    <w:rsid w:val="4B516F12"/>
    <w:rsid w:val="4B5736F5"/>
    <w:rsid w:val="4B661B8A"/>
    <w:rsid w:val="4B6B563B"/>
    <w:rsid w:val="4B6F1CA9"/>
    <w:rsid w:val="4B79113C"/>
    <w:rsid w:val="4B895879"/>
    <w:rsid w:val="4B8B15F1"/>
    <w:rsid w:val="4B912494"/>
    <w:rsid w:val="4BA567E0"/>
    <w:rsid w:val="4BAD77B9"/>
    <w:rsid w:val="4BC52D55"/>
    <w:rsid w:val="4BCB5654"/>
    <w:rsid w:val="4BE86C1B"/>
    <w:rsid w:val="4BE87730"/>
    <w:rsid w:val="4C037553"/>
    <w:rsid w:val="4C0C71C4"/>
    <w:rsid w:val="4C13176B"/>
    <w:rsid w:val="4C2A705C"/>
    <w:rsid w:val="4C356537"/>
    <w:rsid w:val="4C365A00"/>
    <w:rsid w:val="4C376FCA"/>
    <w:rsid w:val="4C444363"/>
    <w:rsid w:val="4C453E95"/>
    <w:rsid w:val="4C465CDB"/>
    <w:rsid w:val="4C4919D8"/>
    <w:rsid w:val="4C56262D"/>
    <w:rsid w:val="4C5916EF"/>
    <w:rsid w:val="4C687B84"/>
    <w:rsid w:val="4C6A44A6"/>
    <w:rsid w:val="4C75199E"/>
    <w:rsid w:val="4C8D6214"/>
    <w:rsid w:val="4C8F5111"/>
    <w:rsid w:val="4C92075D"/>
    <w:rsid w:val="4C9257BF"/>
    <w:rsid w:val="4C941D10"/>
    <w:rsid w:val="4C964FB1"/>
    <w:rsid w:val="4C9A6081"/>
    <w:rsid w:val="4CA169F0"/>
    <w:rsid w:val="4CAA1F4A"/>
    <w:rsid w:val="4CB4635D"/>
    <w:rsid w:val="4CBB4158"/>
    <w:rsid w:val="4CBD7ED0"/>
    <w:rsid w:val="4CD76E32"/>
    <w:rsid w:val="4CE30FB8"/>
    <w:rsid w:val="4CE82836"/>
    <w:rsid w:val="4CF947B8"/>
    <w:rsid w:val="4D0B66C7"/>
    <w:rsid w:val="4D0E4287"/>
    <w:rsid w:val="4D18287E"/>
    <w:rsid w:val="4D184E75"/>
    <w:rsid w:val="4D185106"/>
    <w:rsid w:val="4D1D25F4"/>
    <w:rsid w:val="4D233217"/>
    <w:rsid w:val="4D2829DB"/>
    <w:rsid w:val="4D37681A"/>
    <w:rsid w:val="4D380240"/>
    <w:rsid w:val="4D3A507C"/>
    <w:rsid w:val="4D453A21"/>
    <w:rsid w:val="4D5B457F"/>
    <w:rsid w:val="4D5B4FF3"/>
    <w:rsid w:val="4D5C626B"/>
    <w:rsid w:val="4D6B16DA"/>
    <w:rsid w:val="4D7033A0"/>
    <w:rsid w:val="4D8A2025"/>
    <w:rsid w:val="4D8B71FA"/>
    <w:rsid w:val="4D956757"/>
    <w:rsid w:val="4DAA036B"/>
    <w:rsid w:val="4DAB1AD6"/>
    <w:rsid w:val="4DBC39F6"/>
    <w:rsid w:val="4DC42B98"/>
    <w:rsid w:val="4DC451AF"/>
    <w:rsid w:val="4DC46A96"/>
    <w:rsid w:val="4DCD7C9F"/>
    <w:rsid w:val="4DD87712"/>
    <w:rsid w:val="4DE17BEE"/>
    <w:rsid w:val="4DE23EF0"/>
    <w:rsid w:val="4DF612AF"/>
    <w:rsid w:val="4DFB2243"/>
    <w:rsid w:val="4E034F54"/>
    <w:rsid w:val="4E035471"/>
    <w:rsid w:val="4E094A4F"/>
    <w:rsid w:val="4E124C95"/>
    <w:rsid w:val="4E1F0742"/>
    <w:rsid w:val="4E2773F3"/>
    <w:rsid w:val="4E2D4EDE"/>
    <w:rsid w:val="4E30022D"/>
    <w:rsid w:val="4E3B72FE"/>
    <w:rsid w:val="4E465C3F"/>
    <w:rsid w:val="4E4B1EE0"/>
    <w:rsid w:val="4E52122F"/>
    <w:rsid w:val="4E573A0C"/>
    <w:rsid w:val="4E584A95"/>
    <w:rsid w:val="4E59507E"/>
    <w:rsid w:val="4E601178"/>
    <w:rsid w:val="4E683D29"/>
    <w:rsid w:val="4E6A31F9"/>
    <w:rsid w:val="4E710F2D"/>
    <w:rsid w:val="4E7B177A"/>
    <w:rsid w:val="4E7B5776"/>
    <w:rsid w:val="4E7D72DC"/>
    <w:rsid w:val="4E970E09"/>
    <w:rsid w:val="4E9E163B"/>
    <w:rsid w:val="4EA13D74"/>
    <w:rsid w:val="4EA5677D"/>
    <w:rsid w:val="4EA57C75"/>
    <w:rsid w:val="4EA604F0"/>
    <w:rsid w:val="4EAC1FAA"/>
    <w:rsid w:val="4EAD5D22"/>
    <w:rsid w:val="4EB40E5E"/>
    <w:rsid w:val="4EC15329"/>
    <w:rsid w:val="4EC247F4"/>
    <w:rsid w:val="4ED022FF"/>
    <w:rsid w:val="4ED4421D"/>
    <w:rsid w:val="4ED570B4"/>
    <w:rsid w:val="4ED96B17"/>
    <w:rsid w:val="4EDA720A"/>
    <w:rsid w:val="4EE873EE"/>
    <w:rsid w:val="4EF676C9"/>
    <w:rsid w:val="4EF8746D"/>
    <w:rsid w:val="4F142C6E"/>
    <w:rsid w:val="4F1E2B87"/>
    <w:rsid w:val="4F244236"/>
    <w:rsid w:val="4F294AE8"/>
    <w:rsid w:val="4F365FD5"/>
    <w:rsid w:val="4F3855EC"/>
    <w:rsid w:val="4F385A0C"/>
    <w:rsid w:val="4F3B1580"/>
    <w:rsid w:val="4F3B50DC"/>
    <w:rsid w:val="4F3E6D84"/>
    <w:rsid w:val="4F4246BC"/>
    <w:rsid w:val="4F493C9D"/>
    <w:rsid w:val="4F527210"/>
    <w:rsid w:val="4F672375"/>
    <w:rsid w:val="4F683FFB"/>
    <w:rsid w:val="4F6E6A85"/>
    <w:rsid w:val="4F7A3E56"/>
    <w:rsid w:val="4F7A5C04"/>
    <w:rsid w:val="4F7E71A3"/>
    <w:rsid w:val="4F80507E"/>
    <w:rsid w:val="4F8D1DA8"/>
    <w:rsid w:val="4F9111A0"/>
    <w:rsid w:val="4FA669F9"/>
    <w:rsid w:val="4FB31251"/>
    <w:rsid w:val="4FB37368"/>
    <w:rsid w:val="4FC32FB6"/>
    <w:rsid w:val="4FC652ED"/>
    <w:rsid w:val="4FCA2A5E"/>
    <w:rsid w:val="4FCC09B6"/>
    <w:rsid w:val="4FCD667C"/>
    <w:rsid w:val="4FD25A40"/>
    <w:rsid w:val="4FD5108C"/>
    <w:rsid w:val="4FE22C4F"/>
    <w:rsid w:val="4FE453AA"/>
    <w:rsid w:val="4FE865F2"/>
    <w:rsid w:val="4FF07444"/>
    <w:rsid w:val="4FF27E90"/>
    <w:rsid w:val="4FF324C9"/>
    <w:rsid w:val="4FFF435B"/>
    <w:rsid w:val="500F68BB"/>
    <w:rsid w:val="5015592D"/>
    <w:rsid w:val="50210776"/>
    <w:rsid w:val="5023004A"/>
    <w:rsid w:val="50322F22"/>
    <w:rsid w:val="503A2CAD"/>
    <w:rsid w:val="503C12E2"/>
    <w:rsid w:val="503E6C32"/>
    <w:rsid w:val="504B4305"/>
    <w:rsid w:val="50526B81"/>
    <w:rsid w:val="506F4EFF"/>
    <w:rsid w:val="50731F86"/>
    <w:rsid w:val="507E56FC"/>
    <w:rsid w:val="50834F8C"/>
    <w:rsid w:val="50866BA4"/>
    <w:rsid w:val="50894DDF"/>
    <w:rsid w:val="508A1E77"/>
    <w:rsid w:val="508C4B1B"/>
    <w:rsid w:val="50936E91"/>
    <w:rsid w:val="50981BCD"/>
    <w:rsid w:val="509C7F86"/>
    <w:rsid w:val="50AB003F"/>
    <w:rsid w:val="50AE32A3"/>
    <w:rsid w:val="50C86E43"/>
    <w:rsid w:val="50CC5E28"/>
    <w:rsid w:val="50D126CA"/>
    <w:rsid w:val="50D650BC"/>
    <w:rsid w:val="50E3052A"/>
    <w:rsid w:val="50E73E45"/>
    <w:rsid w:val="50E966D9"/>
    <w:rsid w:val="50F80318"/>
    <w:rsid w:val="50FD4D3F"/>
    <w:rsid w:val="510809D0"/>
    <w:rsid w:val="51120033"/>
    <w:rsid w:val="5115392F"/>
    <w:rsid w:val="51156D74"/>
    <w:rsid w:val="51181B78"/>
    <w:rsid w:val="511B3417"/>
    <w:rsid w:val="511D10F8"/>
    <w:rsid w:val="51371036"/>
    <w:rsid w:val="513B5867"/>
    <w:rsid w:val="513F0082"/>
    <w:rsid w:val="51400D55"/>
    <w:rsid w:val="51415B08"/>
    <w:rsid w:val="51511345"/>
    <w:rsid w:val="51532BB1"/>
    <w:rsid w:val="51575EBA"/>
    <w:rsid w:val="5176689F"/>
    <w:rsid w:val="51790BFB"/>
    <w:rsid w:val="51792ABD"/>
    <w:rsid w:val="5181771E"/>
    <w:rsid w:val="518B3BA2"/>
    <w:rsid w:val="518D17A8"/>
    <w:rsid w:val="519032CB"/>
    <w:rsid w:val="519311FF"/>
    <w:rsid w:val="51B573C7"/>
    <w:rsid w:val="51C55131"/>
    <w:rsid w:val="51DD691E"/>
    <w:rsid w:val="51E11F6A"/>
    <w:rsid w:val="51EC28B5"/>
    <w:rsid w:val="51FD3240"/>
    <w:rsid w:val="5201123C"/>
    <w:rsid w:val="52164189"/>
    <w:rsid w:val="521D6D1B"/>
    <w:rsid w:val="52382573"/>
    <w:rsid w:val="5244074B"/>
    <w:rsid w:val="524644C3"/>
    <w:rsid w:val="52573C41"/>
    <w:rsid w:val="525962B0"/>
    <w:rsid w:val="525A5DF9"/>
    <w:rsid w:val="525B1B01"/>
    <w:rsid w:val="52694B43"/>
    <w:rsid w:val="527A2248"/>
    <w:rsid w:val="527F3531"/>
    <w:rsid w:val="528079D5"/>
    <w:rsid w:val="52850B82"/>
    <w:rsid w:val="529174F0"/>
    <w:rsid w:val="52943481"/>
    <w:rsid w:val="529671F9"/>
    <w:rsid w:val="529E42FF"/>
    <w:rsid w:val="52A34B6B"/>
    <w:rsid w:val="52A35FE1"/>
    <w:rsid w:val="52A51274"/>
    <w:rsid w:val="52A72D99"/>
    <w:rsid w:val="52BE0313"/>
    <w:rsid w:val="52C04276"/>
    <w:rsid w:val="52C33688"/>
    <w:rsid w:val="52CA5E0F"/>
    <w:rsid w:val="52D17641"/>
    <w:rsid w:val="53126C6E"/>
    <w:rsid w:val="531557AC"/>
    <w:rsid w:val="531C1B02"/>
    <w:rsid w:val="532102E4"/>
    <w:rsid w:val="532C190B"/>
    <w:rsid w:val="532F28D3"/>
    <w:rsid w:val="533410AE"/>
    <w:rsid w:val="53392AA6"/>
    <w:rsid w:val="533B3627"/>
    <w:rsid w:val="53492790"/>
    <w:rsid w:val="534F73A8"/>
    <w:rsid w:val="53500846"/>
    <w:rsid w:val="53530C46"/>
    <w:rsid w:val="535852CF"/>
    <w:rsid w:val="535F3D7C"/>
    <w:rsid w:val="53620907"/>
    <w:rsid w:val="53632DD1"/>
    <w:rsid w:val="536F7A4A"/>
    <w:rsid w:val="53872ABE"/>
    <w:rsid w:val="538A03E0"/>
    <w:rsid w:val="53911CEA"/>
    <w:rsid w:val="539F330A"/>
    <w:rsid w:val="53A01F83"/>
    <w:rsid w:val="53A3345F"/>
    <w:rsid w:val="53B5495C"/>
    <w:rsid w:val="53B67427"/>
    <w:rsid w:val="53B91FC1"/>
    <w:rsid w:val="53BC2C8F"/>
    <w:rsid w:val="53CE70EE"/>
    <w:rsid w:val="53E2021C"/>
    <w:rsid w:val="53EC463D"/>
    <w:rsid w:val="53EF4CDC"/>
    <w:rsid w:val="53F1045F"/>
    <w:rsid w:val="53F3316E"/>
    <w:rsid w:val="53F71503"/>
    <w:rsid w:val="53F918B8"/>
    <w:rsid w:val="53FE46D3"/>
    <w:rsid w:val="54041F40"/>
    <w:rsid w:val="54047617"/>
    <w:rsid w:val="540841C5"/>
    <w:rsid w:val="54107360"/>
    <w:rsid w:val="541A5C08"/>
    <w:rsid w:val="541C372E"/>
    <w:rsid w:val="541F321E"/>
    <w:rsid w:val="54280B35"/>
    <w:rsid w:val="54462559"/>
    <w:rsid w:val="545033D7"/>
    <w:rsid w:val="54554E92"/>
    <w:rsid w:val="545D5F6F"/>
    <w:rsid w:val="54683AEA"/>
    <w:rsid w:val="546D21DB"/>
    <w:rsid w:val="546E2BC6"/>
    <w:rsid w:val="5470098D"/>
    <w:rsid w:val="54764F44"/>
    <w:rsid w:val="54866D88"/>
    <w:rsid w:val="548B74FF"/>
    <w:rsid w:val="548F5C80"/>
    <w:rsid w:val="54992FD0"/>
    <w:rsid w:val="54996B2C"/>
    <w:rsid w:val="54AA3C68"/>
    <w:rsid w:val="54B97065"/>
    <w:rsid w:val="54BA4CF5"/>
    <w:rsid w:val="54C47921"/>
    <w:rsid w:val="54CB1DA5"/>
    <w:rsid w:val="54D14FFA"/>
    <w:rsid w:val="54D16921"/>
    <w:rsid w:val="54EA103B"/>
    <w:rsid w:val="54ED6E78"/>
    <w:rsid w:val="54F3727C"/>
    <w:rsid w:val="54F57348"/>
    <w:rsid w:val="55036206"/>
    <w:rsid w:val="550D0FCA"/>
    <w:rsid w:val="55180399"/>
    <w:rsid w:val="55202DAA"/>
    <w:rsid w:val="552A1E7A"/>
    <w:rsid w:val="55302DCC"/>
    <w:rsid w:val="55376345"/>
    <w:rsid w:val="55417CD4"/>
    <w:rsid w:val="55676C2B"/>
    <w:rsid w:val="556821EE"/>
    <w:rsid w:val="55741347"/>
    <w:rsid w:val="55764AD3"/>
    <w:rsid w:val="557B26D6"/>
    <w:rsid w:val="557D659C"/>
    <w:rsid w:val="557F2952"/>
    <w:rsid w:val="55805F3E"/>
    <w:rsid w:val="55943272"/>
    <w:rsid w:val="559A7000"/>
    <w:rsid w:val="55A755C8"/>
    <w:rsid w:val="55AA193E"/>
    <w:rsid w:val="55AB2A15"/>
    <w:rsid w:val="55B93084"/>
    <w:rsid w:val="55C50039"/>
    <w:rsid w:val="55C5177C"/>
    <w:rsid w:val="55CA71B9"/>
    <w:rsid w:val="55CF657E"/>
    <w:rsid w:val="55D122F6"/>
    <w:rsid w:val="55D64927"/>
    <w:rsid w:val="55D818D6"/>
    <w:rsid w:val="55D8236C"/>
    <w:rsid w:val="55DF0EB7"/>
    <w:rsid w:val="55E2074E"/>
    <w:rsid w:val="55E22755"/>
    <w:rsid w:val="55E47A9A"/>
    <w:rsid w:val="55E53FF3"/>
    <w:rsid w:val="55EC0647"/>
    <w:rsid w:val="55EC7130"/>
    <w:rsid w:val="55EF09CE"/>
    <w:rsid w:val="55F13D53"/>
    <w:rsid w:val="55FA103F"/>
    <w:rsid w:val="56102E1E"/>
    <w:rsid w:val="56290384"/>
    <w:rsid w:val="562B5EAA"/>
    <w:rsid w:val="562C39D0"/>
    <w:rsid w:val="56310E5D"/>
    <w:rsid w:val="564153D6"/>
    <w:rsid w:val="56416B64"/>
    <w:rsid w:val="56440B81"/>
    <w:rsid w:val="56503B63"/>
    <w:rsid w:val="56574EF1"/>
    <w:rsid w:val="565D3B8A"/>
    <w:rsid w:val="566B62FC"/>
    <w:rsid w:val="56757125"/>
    <w:rsid w:val="567809C3"/>
    <w:rsid w:val="567F61F6"/>
    <w:rsid w:val="5681223E"/>
    <w:rsid w:val="568E1AA6"/>
    <w:rsid w:val="569A4DDE"/>
    <w:rsid w:val="56A44A50"/>
    <w:rsid w:val="56A95021"/>
    <w:rsid w:val="56AA4127"/>
    <w:rsid w:val="56AE2637"/>
    <w:rsid w:val="56BA1ABE"/>
    <w:rsid w:val="56BF65F2"/>
    <w:rsid w:val="56D025AE"/>
    <w:rsid w:val="56DC0F52"/>
    <w:rsid w:val="56E71677"/>
    <w:rsid w:val="56F00EA2"/>
    <w:rsid w:val="56F86233"/>
    <w:rsid w:val="5701615B"/>
    <w:rsid w:val="570D16E1"/>
    <w:rsid w:val="572727F5"/>
    <w:rsid w:val="57284198"/>
    <w:rsid w:val="572B1EDA"/>
    <w:rsid w:val="573269D3"/>
    <w:rsid w:val="57392849"/>
    <w:rsid w:val="573E79FE"/>
    <w:rsid w:val="574C257C"/>
    <w:rsid w:val="574D3BFE"/>
    <w:rsid w:val="575C6D34"/>
    <w:rsid w:val="575E5E0B"/>
    <w:rsid w:val="57724075"/>
    <w:rsid w:val="577E084B"/>
    <w:rsid w:val="57A51C8C"/>
    <w:rsid w:val="57A647C2"/>
    <w:rsid w:val="57C2283E"/>
    <w:rsid w:val="57C367DE"/>
    <w:rsid w:val="57CC7219"/>
    <w:rsid w:val="57D936E4"/>
    <w:rsid w:val="57DE6F4C"/>
    <w:rsid w:val="57E6775E"/>
    <w:rsid w:val="57EA7AE7"/>
    <w:rsid w:val="57EE3633"/>
    <w:rsid w:val="57EF0AE9"/>
    <w:rsid w:val="57F0761C"/>
    <w:rsid w:val="57F74FF2"/>
    <w:rsid w:val="57FC241C"/>
    <w:rsid w:val="58020E8D"/>
    <w:rsid w:val="580746F5"/>
    <w:rsid w:val="580819E7"/>
    <w:rsid w:val="58093FC9"/>
    <w:rsid w:val="580F5357"/>
    <w:rsid w:val="5811486A"/>
    <w:rsid w:val="581432B4"/>
    <w:rsid w:val="581C18BC"/>
    <w:rsid w:val="581D1822"/>
    <w:rsid w:val="5822508B"/>
    <w:rsid w:val="5827795C"/>
    <w:rsid w:val="583C205C"/>
    <w:rsid w:val="58482237"/>
    <w:rsid w:val="584B45E2"/>
    <w:rsid w:val="58690F0C"/>
    <w:rsid w:val="586F538A"/>
    <w:rsid w:val="5875340D"/>
    <w:rsid w:val="58774527"/>
    <w:rsid w:val="587873A1"/>
    <w:rsid w:val="587E629E"/>
    <w:rsid w:val="58813029"/>
    <w:rsid w:val="5886561A"/>
    <w:rsid w:val="5895585D"/>
    <w:rsid w:val="589F0489"/>
    <w:rsid w:val="58A261CC"/>
    <w:rsid w:val="58A7385D"/>
    <w:rsid w:val="58A9755A"/>
    <w:rsid w:val="58BE1257"/>
    <w:rsid w:val="58C02527"/>
    <w:rsid w:val="58C16652"/>
    <w:rsid w:val="58C820B8"/>
    <w:rsid w:val="58D238EE"/>
    <w:rsid w:val="58D537FD"/>
    <w:rsid w:val="58E76170"/>
    <w:rsid w:val="5904092F"/>
    <w:rsid w:val="591069ED"/>
    <w:rsid w:val="593212FE"/>
    <w:rsid w:val="593603E8"/>
    <w:rsid w:val="5939268C"/>
    <w:rsid w:val="593E1FA0"/>
    <w:rsid w:val="593E7CA2"/>
    <w:rsid w:val="594F0101"/>
    <w:rsid w:val="5953657E"/>
    <w:rsid w:val="59574B49"/>
    <w:rsid w:val="595A2602"/>
    <w:rsid w:val="59671962"/>
    <w:rsid w:val="59714055"/>
    <w:rsid w:val="59797DB3"/>
    <w:rsid w:val="597E2303"/>
    <w:rsid w:val="598558D1"/>
    <w:rsid w:val="598A738C"/>
    <w:rsid w:val="599414E6"/>
    <w:rsid w:val="5996188C"/>
    <w:rsid w:val="59986115"/>
    <w:rsid w:val="599D6926"/>
    <w:rsid w:val="599E6993"/>
    <w:rsid w:val="59A0095D"/>
    <w:rsid w:val="59A246D5"/>
    <w:rsid w:val="59A57D21"/>
    <w:rsid w:val="59A611A9"/>
    <w:rsid w:val="59C721A6"/>
    <w:rsid w:val="59C97EB4"/>
    <w:rsid w:val="59CC1752"/>
    <w:rsid w:val="59DB2BDF"/>
    <w:rsid w:val="59EF3692"/>
    <w:rsid w:val="59FA7FB5"/>
    <w:rsid w:val="5A171F68"/>
    <w:rsid w:val="5A1A7EC3"/>
    <w:rsid w:val="5A1D1FAE"/>
    <w:rsid w:val="5A1E411E"/>
    <w:rsid w:val="5A2F5BBD"/>
    <w:rsid w:val="5A317807"/>
    <w:rsid w:val="5A36665F"/>
    <w:rsid w:val="5A3B2434"/>
    <w:rsid w:val="5A4C63EF"/>
    <w:rsid w:val="5A5B11FE"/>
    <w:rsid w:val="5A7173A7"/>
    <w:rsid w:val="5A951B44"/>
    <w:rsid w:val="5AA060DB"/>
    <w:rsid w:val="5AA8669B"/>
    <w:rsid w:val="5AA867D6"/>
    <w:rsid w:val="5ABF12B7"/>
    <w:rsid w:val="5AC24B9D"/>
    <w:rsid w:val="5AC32182"/>
    <w:rsid w:val="5AC972FC"/>
    <w:rsid w:val="5ACC3AF7"/>
    <w:rsid w:val="5ACE5056"/>
    <w:rsid w:val="5ADE798F"/>
    <w:rsid w:val="5ADF54B5"/>
    <w:rsid w:val="5AEB5C08"/>
    <w:rsid w:val="5AF727FF"/>
    <w:rsid w:val="5B043C4D"/>
    <w:rsid w:val="5B0942E0"/>
    <w:rsid w:val="5B0D2A8C"/>
    <w:rsid w:val="5B221B8D"/>
    <w:rsid w:val="5B223606"/>
    <w:rsid w:val="5B24111A"/>
    <w:rsid w:val="5B2522B9"/>
    <w:rsid w:val="5B2829B8"/>
    <w:rsid w:val="5B3475AF"/>
    <w:rsid w:val="5B3F7D02"/>
    <w:rsid w:val="5B467DB9"/>
    <w:rsid w:val="5B48305A"/>
    <w:rsid w:val="5B4A6DD2"/>
    <w:rsid w:val="5B5D6FE2"/>
    <w:rsid w:val="5B5E287E"/>
    <w:rsid w:val="5B613801"/>
    <w:rsid w:val="5B7114D5"/>
    <w:rsid w:val="5B8A1E92"/>
    <w:rsid w:val="5B8A2CF2"/>
    <w:rsid w:val="5B8B1FBD"/>
    <w:rsid w:val="5B960EA4"/>
    <w:rsid w:val="5BAF17EE"/>
    <w:rsid w:val="5BB10BFF"/>
    <w:rsid w:val="5BBB1A7E"/>
    <w:rsid w:val="5BBF646E"/>
    <w:rsid w:val="5BC81CBC"/>
    <w:rsid w:val="5BCA11D2"/>
    <w:rsid w:val="5BCB199C"/>
    <w:rsid w:val="5BCF1086"/>
    <w:rsid w:val="5BD312C9"/>
    <w:rsid w:val="5BD52C24"/>
    <w:rsid w:val="5BEA4111"/>
    <w:rsid w:val="5BF43487"/>
    <w:rsid w:val="5BF67E8B"/>
    <w:rsid w:val="5C090A3C"/>
    <w:rsid w:val="5C0A6562"/>
    <w:rsid w:val="5C142F3C"/>
    <w:rsid w:val="5C190D1D"/>
    <w:rsid w:val="5C1B3309"/>
    <w:rsid w:val="5C2869E8"/>
    <w:rsid w:val="5C2C72B3"/>
    <w:rsid w:val="5C403D31"/>
    <w:rsid w:val="5C426BCA"/>
    <w:rsid w:val="5C433822"/>
    <w:rsid w:val="5C634BE5"/>
    <w:rsid w:val="5C6C3A01"/>
    <w:rsid w:val="5C734107"/>
    <w:rsid w:val="5C877BB2"/>
    <w:rsid w:val="5C966047"/>
    <w:rsid w:val="5CAE4BE3"/>
    <w:rsid w:val="5CB20F6B"/>
    <w:rsid w:val="5CBA3AE4"/>
    <w:rsid w:val="5CBA7F88"/>
    <w:rsid w:val="5CBF10FA"/>
    <w:rsid w:val="5CBF559E"/>
    <w:rsid w:val="5CC26E3C"/>
    <w:rsid w:val="5CC74453"/>
    <w:rsid w:val="5CCB7A9F"/>
    <w:rsid w:val="5CCD43A1"/>
    <w:rsid w:val="5CD75B6F"/>
    <w:rsid w:val="5CE60D7D"/>
    <w:rsid w:val="5CED210B"/>
    <w:rsid w:val="5CEE378D"/>
    <w:rsid w:val="5CEE5391"/>
    <w:rsid w:val="5CFA46BD"/>
    <w:rsid w:val="5CFC40FC"/>
    <w:rsid w:val="5D0336DD"/>
    <w:rsid w:val="5D066D29"/>
    <w:rsid w:val="5D0E014F"/>
    <w:rsid w:val="5D121B72"/>
    <w:rsid w:val="5D156F6C"/>
    <w:rsid w:val="5D1A1043"/>
    <w:rsid w:val="5D281BE7"/>
    <w:rsid w:val="5D3109D1"/>
    <w:rsid w:val="5D311CA4"/>
    <w:rsid w:val="5D383336"/>
    <w:rsid w:val="5D5C103F"/>
    <w:rsid w:val="5D69550A"/>
    <w:rsid w:val="5D6F5336"/>
    <w:rsid w:val="5D702CF7"/>
    <w:rsid w:val="5D752101"/>
    <w:rsid w:val="5D7A14C5"/>
    <w:rsid w:val="5D845EA0"/>
    <w:rsid w:val="5D872550"/>
    <w:rsid w:val="5D891708"/>
    <w:rsid w:val="5D923F17"/>
    <w:rsid w:val="5DA87DE0"/>
    <w:rsid w:val="5DB22A0D"/>
    <w:rsid w:val="5DB3569D"/>
    <w:rsid w:val="5DB546BA"/>
    <w:rsid w:val="5DB9023F"/>
    <w:rsid w:val="5DBD0B12"/>
    <w:rsid w:val="5DC32E6C"/>
    <w:rsid w:val="5DC50992"/>
    <w:rsid w:val="5DC731D6"/>
    <w:rsid w:val="5DC82230"/>
    <w:rsid w:val="5DDB5388"/>
    <w:rsid w:val="5DEC695E"/>
    <w:rsid w:val="5DF259F2"/>
    <w:rsid w:val="5DFF528E"/>
    <w:rsid w:val="5E0A7E98"/>
    <w:rsid w:val="5E164104"/>
    <w:rsid w:val="5E1831B8"/>
    <w:rsid w:val="5E201E8C"/>
    <w:rsid w:val="5E227E9E"/>
    <w:rsid w:val="5E250365"/>
    <w:rsid w:val="5E2558D5"/>
    <w:rsid w:val="5E341FF8"/>
    <w:rsid w:val="5E361890"/>
    <w:rsid w:val="5E3B3BD6"/>
    <w:rsid w:val="5E453881"/>
    <w:rsid w:val="5E457D25"/>
    <w:rsid w:val="5E4C4C10"/>
    <w:rsid w:val="5E525F9E"/>
    <w:rsid w:val="5E581806"/>
    <w:rsid w:val="5E6768BD"/>
    <w:rsid w:val="5E6D7873"/>
    <w:rsid w:val="5E72408D"/>
    <w:rsid w:val="5E75725F"/>
    <w:rsid w:val="5E8C7702"/>
    <w:rsid w:val="5EA27886"/>
    <w:rsid w:val="5EAC56AE"/>
    <w:rsid w:val="5EB033F0"/>
    <w:rsid w:val="5EB95AB6"/>
    <w:rsid w:val="5EBC04CF"/>
    <w:rsid w:val="5EBF5ED8"/>
    <w:rsid w:val="5ECA3D86"/>
    <w:rsid w:val="5ECC3FA2"/>
    <w:rsid w:val="5ECE1AC8"/>
    <w:rsid w:val="5ED115B9"/>
    <w:rsid w:val="5ED67C1B"/>
    <w:rsid w:val="5ED74E21"/>
    <w:rsid w:val="5EEE216B"/>
    <w:rsid w:val="5EFA466C"/>
    <w:rsid w:val="5F011E9E"/>
    <w:rsid w:val="5F065D64"/>
    <w:rsid w:val="5F155949"/>
    <w:rsid w:val="5F244F09"/>
    <w:rsid w:val="5F275CDD"/>
    <w:rsid w:val="5F277029"/>
    <w:rsid w:val="5F2E2567"/>
    <w:rsid w:val="5F381638"/>
    <w:rsid w:val="5F394280"/>
    <w:rsid w:val="5F454486"/>
    <w:rsid w:val="5F4678B1"/>
    <w:rsid w:val="5F4B6A61"/>
    <w:rsid w:val="5F597DD2"/>
    <w:rsid w:val="5F6917F1"/>
    <w:rsid w:val="5F736417"/>
    <w:rsid w:val="5F7454D4"/>
    <w:rsid w:val="5F747793"/>
    <w:rsid w:val="5F797C86"/>
    <w:rsid w:val="5F7C69C2"/>
    <w:rsid w:val="5F7D13C2"/>
    <w:rsid w:val="5F7E6A88"/>
    <w:rsid w:val="5F7F1015"/>
    <w:rsid w:val="5F824687"/>
    <w:rsid w:val="5F86389A"/>
    <w:rsid w:val="5F9C5723"/>
    <w:rsid w:val="5FB32BAC"/>
    <w:rsid w:val="5FC11DD9"/>
    <w:rsid w:val="5FCF1FF6"/>
    <w:rsid w:val="5FCF3D4A"/>
    <w:rsid w:val="5FD72F2B"/>
    <w:rsid w:val="5FE349C2"/>
    <w:rsid w:val="5FE570CA"/>
    <w:rsid w:val="5FE5719F"/>
    <w:rsid w:val="5FE62E42"/>
    <w:rsid w:val="5FF732A1"/>
    <w:rsid w:val="5FF73A57"/>
    <w:rsid w:val="5FFE2157"/>
    <w:rsid w:val="5FFE462F"/>
    <w:rsid w:val="6000516C"/>
    <w:rsid w:val="60061947"/>
    <w:rsid w:val="60102251"/>
    <w:rsid w:val="601B6F8F"/>
    <w:rsid w:val="60227119"/>
    <w:rsid w:val="60267DFE"/>
    <w:rsid w:val="602C4B7C"/>
    <w:rsid w:val="602E676C"/>
    <w:rsid w:val="60301761"/>
    <w:rsid w:val="60335F84"/>
    <w:rsid w:val="6038094B"/>
    <w:rsid w:val="603C13ED"/>
    <w:rsid w:val="60477D84"/>
    <w:rsid w:val="604E7B4F"/>
    <w:rsid w:val="605129B1"/>
    <w:rsid w:val="606140DA"/>
    <w:rsid w:val="6061410F"/>
    <w:rsid w:val="607466A0"/>
    <w:rsid w:val="608143A4"/>
    <w:rsid w:val="60885CA7"/>
    <w:rsid w:val="608C1C3B"/>
    <w:rsid w:val="608D150F"/>
    <w:rsid w:val="60932FCA"/>
    <w:rsid w:val="60956D42"/>
    <w:rsid w:val="609D79A4"/>
    <w:rsid w:val="60AE3D69"/>
    <w:rsid w:val="60B04029"/>
    <w:rsid w:val="60B5355E"/>
    <w:rsid w:val="60BA0D35"/>
    <w:rsid w:val="60C45564"/>
    <w:rsid w:val="60C87CD4"/>
    <w:rsid w:val="60CC64DC"/>
    <w:rsid w:val="60D333C6"/>
    <w:rsid w:val="60D81B4F"/>
    <w:rsid w:val="60E07891"/>
    <w:rsid w:val="60E14399"/>
    <w:rsid w:val="60E5134B"/>
    <w:rsid w:val="60EE6452"/>
    <w:rsid w:val="60F35816"/>
    <w:rsid w:val="60F556F3"/>
    <w:rsid w:val="60FC05BC"/>
    <w:rsid w:val="61060DE4"/>
    <w:rsid w:val="6107086D"/>
    <w:rsid w:val="6110461A"/>
    <w:rsid w:val="61113EEE"/>
    <w:rsid w:val="61194C67"/>
    <w:rsid w:val="61291238"/>
    <w:rsid w:val="612B3202"/>
    <w:rsid w:val="613B124A"/>
    <w:rsid w:val="613D5037"/>
    <w:rsid w:val="61427FE8"/>
    <w:rsid w:val="614F319D"/>
    <w:rsid w:val="61501544"/>
    <w:rsid w:val="615269E1"/>
    <w:rsid w:val="615F6A83"/>
    <w:rsid w:val="616B6C89"/>
    <w:rsid w:val="616C7377"/>
    <w:rsid w:val="61786783"/>
    <w:rsid w:val="61895441"/>
    <w:rsid w:val="619743F4"/>
    <w:rsid w:val="61B431F8"/>
    <w:rsid w:val="61B67676"/>
    <w:rsid w:val="61D4389A"/>
    <w:rsid w:val="61D77119"/>
    <w:rsid w:val="61E33ADD"/>
    <w:rsid w:val="61ED6B42"/>
    <w:rsid w:val="62087822"/>
    <w:rsid w:val="6220263B"/>
    <w:rsid w:val="622E391E"/>
    <w:rsid w:val="623B7475"/>
    <w:rsid w:val="623E2728"/>
    <w:rsid w:val="62481B92"/>
    <w:rsid w:val="624B78EB"/>
    <w:rsid w:val="624F35E2"/>
    <w:rsid w:val="62603D9C"/>
    <w:rsid w:val="6268220F"/>
    <w:rsid w:val="62682234"/>
    <w:rsid w:val="626B6BE5"/>
    <w:rsid w:val="62865B2F"/>
    <w:rsid w:val="6287034C"/>
    <w:rsid w:val="629152E7"/>
    <w:rsid w:val="6295268F"/>
    <w:rsid w:val="62960B4F"/>
    <w:rsid w:val="6299063F"/>
    <w:rsid w:val="62A514DE"/>
    <w:rsid w:val="62A824CA"/>
    <w:rsid w:val="62A82630"/>
    <w:rsid w:val="62AF1C11"/>
    <w:rsid w:val="62AF7E63"/>
    <w:rsid w:val="62B400C5"/>
    <w:rsid w:val="62BE475E"/>
    <w:rsid w:val="62C66B3B"/>
    <w:rsid w:val="62CC631F"/>
    <w:rsid w:val="62CE0F03"/>
    <w:rsid w:val="62D17DD9"/>
    <w:rsid w:val="62DE677A"/>
    <w:rsid w:val="62DF4C5B"/>
    <w:rsid w:val="62E713AB"/>
    <w:rsid w:val="62FA476C"/>
    <w:rsid w:val="63035108"/>
    <w:rsid w:val="6306497D"/>
    <w:rsid w:val="63113943"/>
    <w:rsid w:val="631842CA"/>
    <w:rsid w:val="631D75F9"/>
    <w:rsid w:val="63332842"/>
    <w:rsid w:val="63381C06"/>
    <w:rsid w:val="6367429A"/>
    <w:rsid w:val="636C365E"/>
    <w:rsid w:val="636E5628"/>
    <w:rsid w:val="63865A3C"/>
    <w:rsid w:val="63892462"/>
    <w:rsid w:val="639A01CB"/>
    <w:rsid w:val="639C03E7"/>
    <w:rsid w:val="63A55CB7"/>
    <w:rsid w:val="63BC01E3"/>
    <w:rsid w:val="63E241D4"/>
    <w:rsid w:val="63E43B3C"/>
    <w:rsid w:val="63EB6C79"/>
    <w:rsid w:val="63F55D49"/>
    <w:rsid w:val="640146EE"/>
    <w:rsid w:val="64025D70"/>
    <w:rsid w:val="641B77E7"/>
    <w:rsid w:val="64243AAC"/>
    <w:rsid w:val="64260530"/>
    <w:rsid w:val="64340620"/>
    <w:rsid w:val="643503EE"/>
    <w:rsid w:val="643E4FFA"/>
    <w:rsid w:val="64477A57"/>
    <w:rsid w:val="646A3E60"/>
    <w:rsid w:val="646C600B"/>
    <w:rsid w:val="6477050C"/>
    <w:rsid w:val="647E189B"/>
    <w:rsid w:val="64806A5A"/>
    <w:rsid w:val="6486074F"/>
    <w:rsid w:val="64892429"/>
    <w:rsid w:val="64902E42"/>
    <w:rsid w:val="64B634FA"/>
    <w:rsid w:val="64BF71EB"/>
    <w:rsid w:val="64C164CD"/>
    <w:rsid w:val="64D140C0"/>
    <w:rsid w:val="64E86202"/>
    <w:rsid w:val="64F34037"/>
    <w:rsid w:val="64F63B27"/>
    <w:rsid w:val="64F660FC"/>
    <w:rsid w:val="64FB280D"/>
    <w:rsid w:val="64FC31D0"/>
    <w:rsid w:val="64FF0C2E"/>
    <w:rsid w:val="650268CB"/>
    <w:rsid w:val="650348C5"/>
    <w:rsid w:val="650913DC"/>
    <w:rsid w:val="6518088E"/>
    <w:rsid w:val="65281757"/>
    <w:rsid w:val="6531690D"/>
    <w:rsid w:val="6535701B"/>
    <w:rsid w:val="65476131"/>
    <w:rsid w:val="65597553"/>
    <w:rsid w:val="65624D19"/>
    <w:rsid w:val="656303C1"/>
    <w:rsid w:val="656A39B2"/>
    <w:rsid w:val="656F1575"/>
    <w:rsid w:val="6571504D"/>
    <w:rsid w:val="65803B72"/>
    <w:rsid w:val="658D3C0A"/>
    <w:rsid w:val="65993900"/>
    <w:rsid w:val="659D0447"/>
    <w:rsid w:val="659F04FA"/>
    <w:rsid w:val="65A26AC8"/>
    <w:rsid w:val="65A711BC"/>
    <w:rsid w:val="65B3660F"/>
    <w:rsid w:val="65B71508"/>
    <w:rsid w:val="65CD2ADA"/>
    <w:rsid w:val="65FF4893"/>
    <w:rsid w:val="66042274"/>
    <w:rsid w:val="66085219"/>
    <w:rsid w:val="6609788A"/>
    <w:rsid w:val="66100C18"/>
    <w:rsid w:val="661C75BD"/>
    <w:rsid w:val="661C7C67"/>
    <w:rsid w:val="66220804"/>
    <w:rsid w:val="66285CFA"/>
    <w:rsid w:val="662B2DF7"/>
    <w:rsid w:val="662C28C3"/>
    <w:rsid w:val="66304E17"/>
    <w:rsid w:val="66380733"/>
    <w:rsid w:val="66383A27"/>
    <w:rsid w:val="66413542"/>
    <w:rsid w:val="664D3C1B"/>
    <w:rsid w:val="664F7D1A"/>
    <w:rsid w:val="66666B19"/>
    <w:rsid w:val="66833198"/>
    <w:rsid w:val="668533B4"/>
    <w:rsid w:val="668B64F1"/>
    <w:rsid w:val="668C2B1A"/>
    <w:rsid w:val="66A95618"/>
    <w:rsid w:val="66B21CD0"/>
    <w:rsid w:val="66C50691"/>
    <w:rsid w:val="66C537B1"/>
    <w:rsid w:val="66C7577B"/>
    <w:rsid w:val="66D954AE"/>
    <w:rsid w:val="66E70F2E"/>
    <w:rsid w:val="66E856F1"/>
    <w:rsid w:val="66E91A9B"/>
    <w:rsid w:val="66EC51E2"/>
    <w:rsid w:val="66EF118A"/>
    <w:rsid w:val="66F6114D"/>
    <w:rsid w:val="66F9345B"/>
    <w:rsid w:val="66F978FF"/>
    <w:rsid w:val="6703252B"/>
    <w:rsid w:val="670425C8"/>
    <w:rsid w:val="67187496"/>
    <w:rsid w:val="671B1623"/>
    <w:rsid w:val="671D183F"/>
    <w:rsid w:val="67226E55"/>
    <w:rsid w:val="67243E5D"/>
    <w:rsid w:val="6727446C"/>
    <w:rsid w:val="672865F6"/>
    <w:rsid w:val="672E75A8"/>
    <w:rsid w:val="67303D65"/>
    <w:rsid w:val="67386679"/>
    <w:rsid w:val="674E7C4A"/>
    <w:rsid w:val="674F751F"/>
    <w:rsid w:val="67530DBD"/>
    <w:rsid w:val="67545A3E"/>
    <w:rsid w:val="67551DF1"/>
    <w:rsid w:val="675D7E8D"/>
    <w:rsid w:val="676915CB"/>
    <w:rsid w:val="676C3E80"/>
    <w:rsid w:val="676E5BF7"/>
    <w:rsid w:val="67707AEE"/>
    <w:rsid w:val="67766DE4"/>
    <w:rsid w:val="677D0530"/>
    <w:rsid w:val="679E06B1"/>
    <w:rsid w:val="67AC2BC3"/>
    <w:rsid w:val="67B419FC"/>
    <w:rsid w:val="67B83316"/>
    <w:rsid w:val="67BB268C"/>
    <w:rsid w:val="67C9107F"/>
    <w:rsid w:val="67D0240D"/>
    <w:rsid w:val="67DF6AF4"/>
    <w:rsid w:val="67F1102B"/>
    <w:rsid w:val="67F337B4"/>
    <w:rsid w:val="67F65BEC"/>
    <w:rsid w:val="67FA392E"/>
    <w:rsid w:val="67FC1826"/>
    <w:rsid w:val="67FD341E"/>
    <w:rsid w:val="68063C28"/>
    <w:rsid w:val="68093B71"/>
    <w:rsid w:val="680B1697"/>
    <w:rsid w:val="680D2999"/>
    <w:rsid w:val="68104546"/>
    <w:rsid w:val="681A3FD0"/>
    <w:rsid w:val="681E0ADC"/>
    <w:rsid w:val="682C0E52"/>
    <w:rsid w:val="68307E79"/>
    <w:rsid w:val="6836496C"/>
    <w:rsid w:val="684C4B79"/>
    <w:rsid w:val="684F0838"/>
    <w:rsid w:val="685726B3"/>
    <w:rsid w:val="68574F28"/>
    <w:rsid w:val="68591555"/>
    <w:rsid w:val="68703BF0"/>
    <w:rsid w:val="6871017A"/>
    <w:rsid w:val="68861AD6"/>
    <w:rsid w:val="688B168E"/>
    <w:rsid w:val="688E4077"/>
    <w:rsid w:val="68A145DE"/>
    <w:rsid w:val="68AA34DB"/>
    <w:rsid w:val="68AE3C3B"/>
    <w:rsid w:val="68D423D1"/>
    <w:rsid w:val="68DC5B73"/>
    <w:rsid w:val="68E1689C"/>
    <w:rsid w:val="68ED6FEF"/>
    <w:rsid w:val="6904528D"/>
    <w:rsid w:val="69070EDD"/>
    <w:rsid w:val="69146C72"/>
    <w:rsid w:val="691A66FD"/>
    <w:rsid w:val="691F21B4"/>
    <w:rsid w:val="69215FCF"/>
    <w:rsid w:val="692844CB"/>
    <w:rsid w:val="692969BF"/>
    <w:rsid w:val="692C7A28"/>
    <w:rsid w:val="692D1AE1"/>
    <w:rsid w:val="69396A04"/>
    <w:rsid w:val="694A5C72"/>
    <w:rsid w:val="69524053"/>
    <w:rsid w:val="695910B8"/>
    <w:rsid w:val="696D1EDE"/>
    <w:rsid w:val="696F3EA8"/>
    <w:rsid w:val="69901A8C"/>
    <w:rsid w:val="69A973BA"/>
    <w:rsid w:val="69BF6E66"/>
    <w:rsid w:val="69C42446"/>
    <w:rsid w:val="69C853A8"/>
    <w:rsid w:val="69CF7DA2"/>
    <w:rsid w:val="69D0788A"/>
    <w:rsid w:val="69D25049"/>
    <w:rsid w:val="69D2533B"/>
    <w:rsid w:val="69DB6DD7"/>
    <w:rsid w:val="69E76134"/>
    <w:rsid w:val="69FD3262"/>
    <w:rsid w:val="6A130CD7"/>
    <w:rsid w:val="6A1938B8"/>
    <w:rsid w:val="6A211646"/>
    <w:rsid w:val="6A266C5C"/>
    <w:rsid w:val="6A29666B"/>
    <w:rsid w:val="6A2A2BAD"/>
    <w:rsid w:val="6A300AC3"/>
    <w:rsid w:val="6A321CEB"/>
    <w:rsid w:val="6A4B66C3"/>
    <w:rsid w:val="6A5135AE"/>
    <w:rsid w:val="6A712145"/>
    <w:rsid w:val="6A7C2FBF"/>
    <w:rsid w:val="6A881D8E"/>
    <w:rsid w:val="6A933BC6"/>
    <w:rsid w:val="6AA5164F"/>
    <w:rsid w:val="6AAB1A7B"/>
    <w:rsid w:val="6ABD522A"/>
    <w:rsid w:val="6AC60C55"/>
    <w:rsid w:val="6AC63F9C"/>
    <w:rsid w:val="6ACD70D8"/>
    <w:rsid w:val="6AD01B22"/>
    <w:rsid w:val="6AD2649C"/>
    <w:rsid w:val="6ADC556D"/>
    <w:rsid w:val="6AED1E93"/>
    <w:rsid w:val="6AFB1E97"/>
    <w:rsid w:val="6AFE295E"/>
    <w:rsid w:val="6B0017D7"/>
    <w:rsid w:val="6B0250C0"/>
    <w:rsid w:val="6B056872"/>
    <w:rsid w:val="6B0845B4"/>
    <w:rsid w:val="6B1436BE"/>
    <w:rsid w:val="6B166CD1"/>
    <w:rsid w:val="6B1D66F9"/>
    <w:rsid w:val="6B247542"/>
    <w:rsid w:val="6B256EA5"/>
    <w:rsid w:val="6B3129AF"/>
    <w:rsid w:val="6B383265"/>
    <w:rsid w:val="6B3F4ACC"/>
    <w:rsid w:val="6B403D4E"/>
    <w:rsid w:val="6B451364"/>
    <w:rsid w:val="6B454EC0"/>
    <w:rsid w:val="6B4D77D6"/>
    <w:rsid w:val="6B532F8C"/>
    <w:rsid w:val="6B546A27"/>
    <w:rsid w:val="6B633598"/>
    <w:rsid w:val="6B674850"/>
    <w:rsid w:val="6B6C1CC9"/>
    <w:rsid w:val="6B6F28FB"/>
    <w:rsid w:val="6B8461A4"/>
    <w:rsid w:val="6B89121E"/>
    <w:rsid w:val="6B8A1238"/>
    <w:rsid w:val="6B8C3C7C"/>
    <w:rsid w:val="6B9F7250"/>
    <w:rsid w:val="6BA147C4"/>
    <w:rsid w:val="6BA57368"/>
    <w:rsid w:val="6BA75B7B"/>
    <w:rsid w:val="6BAA0092"/>
    <w:rsid w:val="6BAF67DE"/>
    <w:rsid w:val="6BC81C79"/>
    <w:rsid w:val="6BD23A2A"/>
    <w:rsid w:val="6BE37BAD"/>
    <w:rsid w:val="6BE4292B"/>
    <w:rsid w:val="6BE73244"/>
    <w:rsid w:val="6BEA30ED"/>
    <w:rsid w:val="6BEB1F0C"/>
    <w:rsid w:val="6BF379BD"/>
    <w:rsid w:val="6BF84629"/>
    <w:rsid w:val="6C066D46"/>
    <w:rsid w:val="6C0F5320"/>
    <w:rsid w:val="6C16300E"/>
    <w:rsid w:val="6C225202"/>
    <w:rsid w:val="6C2C422A"/>
    <w:rsid w:val="6C377D3B"/>
    <w:rsid w:val="6C3F4006"/>
    <w:rsid w:val="6C4533EE"/>
    <w:rsid w:val="6C5828BA"/>
    <w:rsid w:val="6C6A6AA3"/>
    <w:rsid w:val="6C81461E"/>
    <w:rsid w:val="6C832144"/>
    <w:rsid w:val="6C83352C"/>
    <w:rsid w:val="6C8E1CF4"/>
    <w:rsid w:val="6C8E2C44"/>
    <w:rsid w:val="6C9B35C0"/>
    <w:rsid w:val="6C9C4276"/>
    <w:rsid w:val="6CA36342"/>
    <w:rsid w:val="6CB06CB1"/>
    <w:rsid w:val="6CB079FD"/>
    <w:rsid w:val="6CB30A74"/>
    <w:rsid w:val="6CC94B1C"/>
    <w:rsid w:val="6CCA5293"/>
    <w:rsid w:val="6CD04C5E"/>
    <w:rsid w:val="6CD52274"/>
    <w:rsid w:val="6CE60925"/>
    <w:rsid w:val="6CE7161C"/>
    <w:rsid w:val="6CEA4A60"/>
    <w:rsid w:val="6CEE4B95"/>
    <w:rsid w:val="6D050660"/>
    <w:rsid w:val="6D08089B"/>
    <w:rsid w:val="6D0F12D0"/>
    <w:rsid w:val="6D142D9C"/>
    <w:rsid w:val="6D1C4347"/>
    <w:rsid w:val="6D203E37"/>
    <w:rsid w:val="6D254FA9"/>
    <w:rsid w:val="6D26086E"/>
    <w:rsid w:val="6D325918"/>
    <w:rsid w:val="6D447980"/>
    <w:rsid w:val="6D527D69"/>
    <w:rsid w:val="6D540AD7"/>
    <w:rsid w:val="6D5B03F8"/>
    <w:rsid w:val="6D667BEB"/>
    <w:rsid w:val="6D686735"/>
    <w:rsid w:val="6D767F03"/>
    <w:rsid w:val="6D974699"/>
    <w:rsid w:val="6D9945A8"/>
    <w:rsid w:val="6DC36570"/>
    <w:rsid w:val="6DC77A7C"/>
    <w:rsid w:val="6DC955C1"/>
    <w:rsid w:val="6DCC63D6"/>
    <w:rsid w:val="6DCD34FE"/>
    <w:rsid w:val="6DD4077E"/>
    <w:rsid w:val="6DEA7FA1"/>
    <w:rsid w:val="6DED5983"/>
    <w:rsid w:val="6DFA466A"/>
    <w:rsid w:val="6DFD7CD4"/>
    <w:rsid w:val="6E004A28"/>
    <w:rsid w:val="6E0472B5"/>
    <w:rsid w:val="6E07216D"/>
    <w:rsid w:val="6E1312A6"/>
    <w:rsid w:val="6E146DCC"/>
    <w:rsid w:val="6E1B7ABD"/>
    <w:rsid w:val="6E3261A8"/>
    <w:rsid w:val="6E3C044F"/>
    <w:rsid w:val="6E464417"/>
    <w:rsid w:val="6E4B0ABA"/>
    <w:rsid w:val="6E4F4B05"/>
    <w:rsid w:val="6E5042A8"/>
    <w:rsid w:val="6E55366C"/>
    <w:rsid w:val="6E553A16"/>
    <w:rsid w:val="6E5A0AF7"/>
    <w:rsid w:val="6E5A7566"/>
    <w:rsid w:val="6E6649C7"/>
    <w:rsid w:val="6E7A1325"/>
    <w:rsid w:val="6E7A1D49"/>
    <w:rsid w:val="6E7F4B8D"/>
    <w:rsid w:val="6E865F1C"/>
    <w:rsid w:val="6E9C2A09"/>
    <w:rsid w:val="6EA158C7"/>
    <w:rsid w:val="6EA64299"/>
    <w:rsid w:val="6EB74327"/>
    <w:rsid w:val="6EC72090"/>
    <w:rsid w:val="6ECC76A7"/>
    <w:rsid w:val="6ECE6FFD"/>
    <w:rsid w:val="6ED53D21"/>
    <w:rsid w:val="6ED91650"/>
    <w:rsid w:val="6EE45C9F"/>
    <w:rsid w:val="6EF2710D"/>
    <w:rsid w:val="6EF47329"/>
    <w:rsid w:val="6F0239E2"/>
    <w:rsid w:val="6F062BB9"/>
    <w:rsid w:val="6F0B4B07"/>
    <w:rsid w:val="6F0E380B"/>
    <w:rsid w:val="6F102570"/>
    <w:rsid w:val="6F143527"/>
    <w:rsid w:val="6F1654F2"/>
    <w:rsid w:val="6F18533E"/>
    <w:rsid w:val="6F23376B"/>
    <w:rsid w:val="6F305E87"/>
    <w:rsid w:val="6F35349E"/>
    <w:rsid w:val="6F365A33"/>
    <w:rsid w:val="6F3D1075"/>
    <w:rsid w:val="6F4A519B"/>
    <w:rsid w:val="6F4B0F13"/>
    <w:rsid w:val="6F593630"/>
    <w:rsid w:val="6F651FD5"/>
    <w:rsid w:val="6F802E5F"/>
    <w:rsid w:val="6F8C39EF"/>
    <w:rsid w:val="6F8F7796"/>
    <w:rsid w:val="6FA56875"/>
    <w:rsid w:val="6FA73055"/>
    <w:rsid w:val="6FB46AB9"/>
    <w:rsid w:val="6FBE3493"/>
    <w:rsid w:val="6FC22F83"/>
    <w:rsid w:val="6FE07C81"/>
    <w:rsid w:val="6FF173C5"/>
    <w:rsid w:val="6FF772C4"/>
    <w:rsid w:val="6FFD220E"/>
    <w:rsid w:val="700046FC"/>
    <w:rsid w:val="70065F4B"/>
    <w:rsid w:val="700B1CB3"/>
    <w:rsid w:val="70294DB1"/>
    <w:rsid w:val="7032085A"/>
    <w:rsid w:val="7040034C"/>
    <w:rsid w:val="704240C4"/>
    <w:rsid w:val="706109EE"/>
    <w:rsid w:val="70684B0D"/>
    <w:rsid w:val="70763D6E"/>
    <w:rsid w:val="707D5329"/>
    <w:rsid w:val="707F42DA"/>
    <w:rsid w:val="70835157"/>
    <w:rsid w:val="708A15C7"/>
    <w:rsid w:val="7096622F"/>
    <w:rsid w:val="70974410"/>
    <w:rsid w:val="70980188"/>
    <w:rsid w:val="70A61B68"/>
    <w:rsid w:val="70BF3967"/>
    <w:rsid w:val="70C905D5"/>
    <w:rsid w:val="70EF555F"/>
    <w:rsid w:val="70FA243C"/>
    <w:rsid w:val="71053535"/>
    <w:rsid w:val="71107D1F"/>
    <w:rsid w:val="711208E1"/>
    <w:rsid w:val="711C2B67"/>
    <w:rsid w:val="712612F0"/>
    <w:rsid w:val="712C425D"/>
    <w:rsid w:val="712D6B22"/>
    <w:rsid w:val="712E63F7"/>
    <w:rsid w:val="71301DE7"/>
    <w:rsid w:val="71325EE7"/>
    <w:rsid w:val="71570CF2"/>
    <w:rsid w:val="71573B9F"/>
    <w:rsid w:val="7158208C"/>
    <w:rsid w:val="715C11B6"/>
    <w:rsid w:val="716A7703"/>
    <w:rsid w:val="716F0EE9"/>
    <w:rsid w:val="71704C61"/>
    <w:rsid w:val="71724535"/>
    <w:rsid w:val="717F6B19"/>
    <w:rsid w:val="71840EC8"/>
    <w:rsid w:val="718C1A9B"/>
    <w:rsid w:val="718F3339"/>
    <w:rsid w:val="71926073"/>
    <w:rsid w:val="71A23F82"/>
    <w:rsid w:val="71A52B5D"/>
    <w:rsid w:val="71A55ABE"/>
    <w:rsid w:val="71AF41F7"/>
    <w:rsid w:val="71C14166"/>
    <w:rsid w:val="71CB0352"/>
    <w:rsid w:val="71D074AE"/>
    <w:rsid w:val="71F26FF8"/>
    <w:rsid w:val="71FE226D"/>
    <w:rsid w:val="72047965"/>
    <w:rsid w:val="72051CC1"/>
    <w:rsid w:val="72062ED0"/>
    <w:rsid w:val="72143DB2"/>
    <w:rsid w:val="72157BAB"/>
    <w:rsid w:val="72186197"/>
    <w:rsid w:val="7226485E"/>
    <w:rsid w:val="72272391"/>
    <w:rsid w:val="722B7821"/>
    <w:rsid w:val="7248529C"/>
    <w:rsid w:val="724F0D1A"/>
    <w:rsid w:val="726245AA"/>
    <w:rsid w:val="726B5B54"/>
    <w:rsid w:val="72775796"/>
    <w:rsid w:val="72813BD6"/>
    <w:rsid w:val="72833E79"/>
    <w:rsid w:val="729606F7"/>
    <w:rsid w:val="7298446F"/>
    <w:rsid w:val="72AE3C93"/>
    <w:rsid w:val="72B21EB2"/>
    <w:rsid w:val="72B55021"/>
    <w:rsid w:val="72B640B0"/>
    <w:rsid w:val="72BB39D9"/>
    <w:rsid w:val="72C214EC"/>
    <w:rsid w:val="72C63B63"/>
    <w:rsid w:val="72DA05E4"/>
    <w:rsid w:val="72E03F85"/>
    <w:rsid w:val="72E36ADC"/>
    <w:rsid w:val="72E96A79"/>
    <w:rsid w:val="72FA3D9E"/>
    <w:rsid w:val="7306762B"/>
    <w:rsid w:val="73075151"/>
    <w:rsid w:val="7313071C"/>
    <w:rsid w:val="731D6723"/>
    <w:rsid w:val="731E2BC7"/>
    <w:rsid w:val="73320420"/>
    <w:rsid w:val="733221CE"/>
    <w:rsid w:val="73353643"/>
    <w:rsid w:val="733E5017"/>
    <w:rsid w:val="734939BC"/>
    <w:rsid w:val="734B14E2"/>
    <w:rsid w:val="73516604"/>
    <w:rsid w:val="735D0D8C"/>
    <w:rsid w:val="73614861"/>
    <w:rsid w:val="73691968"/>
    <w:rsid w:val="737A5923"/>
    <w:rsid w:val="737E5413"/>
    <w:rsid w:val="738503FF"/>
    <w:rsid w:val="73872957"/>
    <w:rsid w:val="73920EBF"/>
    <w:rsid w:val="739369E5"/>
    <w:rsid w:val="739509AF"/>
    <w:rsid w:val="73AB1F81"/>
    <w:rsid w:val="73AD51C2"/>
    <w:rsid w:val="73AD72AB"/>
    <w:rsid w:val="73BC58F5"/>
    <w:rsid w:val="73BE6204"/>
    <w:rsid w:val="73C35201"/>
    <w:rsid w:val="73CD1C5F"/>
    <w:rsid w:val="73CD4E16"/>
    <w:rsid w:val="73D47729"/>
    <w:rsid w:val="73EA7C2B"/>
    <w:rsid w:val="73F6337A"/>
    <w:rsid w:val="73FB3E46"/>
    <w:rsid w:val="74006BE9"/>
    <w:rsid w:val="7403535B"/>
    <w:rsid w:val="740D49E9"/>
    <w:rsid w:val="74100036"/>
    <w:rsid w:val="74130252"/>
    <w:rsid w:val="7416389E"/>
    <w:rsid w:val="74167C19"/>
    <w:rsid w:val="741713C4"/>
    <w:rsid w:val="74176FCD"/>
    <w:rsid w:val="741B0EB4"/>
    <w:rsid w:val="742B5F1B"/>
    <w:rsid w:val="742C154F"/>
    <w:rsid w:val="742C1725"/>
    <w:rsid w:val="742E508B"/>
    <w:rsid w:val="742F04D1"/>
    <w:rsid w:val="74301763"/>
    <w:rsid w:val="74365914"/>
    <w:rsid w:val="7440702B"/>
    <w:rsid w:val="744A2762"/>
    <w:rsid w:val="74631D9C"/>
    <w:rsid w:val="747518F4"/>
    <w:rsid w:val="74844339"/>
    <w:rsid w:val="748B10E5"/>
    <w:rsid w:val="74951638"/>
    <w:rsid w:val="749D2EA9"/>
    <w:rsid w:val="749D7859"/>
    <w:rsid w:val="74A470FC"/>
    <w:rsid w:val="74AA2238"/>
    <w:rsid w:val="74AB591C"/>
    <w:rsid w:val="74AC4825"/>
    <w:rsid w:val="74AE7F7A"/>
    <w:rsid w:val="74B12E16"/>
    <w:rsid w:val="74C34DE4"/>
    <w:rsid w:val="74C57072"/>
    <w:rsid w:val="74C64682"/>
    <w:rsid w:val="74CC0400"/>
    <w:rsid w:val="74D86DA5"/>
    <w:rsid w:val="74DF2A2A"/>
    <w:rsid w:val="74DF78F6"/>
    <w:rsid w:val="74E00A7D"/>
    <w:rsid w:val="74E920C5"/>
    <w:rsid w:val="74F17E67"/>
    <w:rsid w:val="74F65FDA"/>
    <w:rsid w:val="750951B1"/>
    <w:rsid w:val="750D725B"/>
    <w:rsid w:val="750E3D3A"/>
    <w:rsid w:val="7510653F"/>
    <w:rsid w:val="75124CC1"/>
    <w:rsid w:val="751D6E5D"/>
    <w:rsid w:val="75220020"/>
    <w:rsid w:val="752244C4"/>
    <w:rsid w:val="752F0840"/>
    <w:rsid w:val="7531034E"/>
    <w:rsid w:val="7536081E"/>
    <w:rsid w:val="753F6E24"/>
    <w:rsid w:val="75530D6A"/>
    <w:rsid w:val="75581256"/>
    <w:rsid w:val="7561323F"/>
    <w:rsid w:val="75690430"/>
    <w:rsid w:val="7573247F"/>
    <w:rsid w:val="75994786"/>
    <w:rsid w:val="759A405B"/>
    <w:rsid w:val="75A86778"/>
    <w:rsid w:val="75AA678C"/>
    <w:rsid w:val="75BC20AD"/>
    <w:rsid w:val="75BF475C"/>
    <w:rsid w:val="75D449E7"/>
    <w:rsid w:val="75DE03EB"/>
    <w:rsid w:val="75FB12E5"/>
    <w:rsid w:val="75FC6AC3"/>
    <w:rsid w:val="763719AB"/>
    <w:rsid w:val="76376E35"/>
    <w:rsid w:val="764010A6"/>
    <w:rsid w:val="764013A5"/>
    <w:rsid w:val="76452218"/>
    <w:rsid w:val="764E1171"/>
    <w:rsid w:val="76545B40"/>
    <w:rsid w:val="765468FF"/>
    <w:rsid w:val="7656188F"/>
    <w:rsid w:val="76620C8C"/>
    <w:rsid w:val="76796366"/>
    <w:rsid w:val="767A3EB1"/>
    <w:rsid w:val="768522B1"/>
    <w:rsid w:val="768909D6"/>
    <w:rsid w:val="769F401E"/>
    <w:rsid w:val="76A71134"/>
    <w:rsid w:val="76BD6F8B"/>
    <w:rsid w:val="76C03F95"/>
    <w:rsid w:val="76CA7E93"/>
    <w:rsid w:val="76DD4B47"/>
    <w:rsid w:val="76E16050"/>
    <w:rsid w:val="76E77774"/>
    <w:rsid w:val="76EF787B"/>
    <w:rsid w:val="76F4484A"/>
    <w:rsid w:val="76F93003"/>
    <w:rsid w:val="76FD7DA1"/>
    <w:rsid w:val="7712032A"/>
    <w:rsid w:val="771A18F7"/>
    <w:rsid w:val="77204A34"/>
    <w:rsid w:val="77287A03"/>
    <w:rsid w:val="7730111A"/>
    <w:rsid w:val="77316A08"/>
    <w:rsid w:val="77342D9D"/>
    <w:rsid w:val="774C0A76"/>
    <w:rsid w:val="77505AD0"/>
    <w:rsid w:val="77573E97"/>
    <w:rsid w:val="776808B4"/>
    <w:rsid w:val="77784870"/>
    <w:rsid w:val="777B3A9F"/>
    <w:rsid w:val="777F5BFE"/>
    <w:rsid w:val="77846D70"/>
    <w:rsid w:val="77884E32"/>
    <w:rsid w:val="778E7BEF"/>
    <w:rsid w:val="77A92C7B"/>
    <w:rsid w:val="77AD62C7"/>
    <w:rsid w:val="77B11880"/>
    <w:rsid w:val="77B50568"/>
    <w:rsid w:val="77BC3802"/>
    <w:rsid w:val="77C11FFE"/>
    <w:rsid w:val="77CD0717"/>
    <w:rsid w:val="77D575CC"/>
    <w:rsid w:val="77D777E8"/>
    <w:rsid w:val="77E87135"/>
    <w:rsid w:val="77F40D3E"/>
    <w:rsid w:val="77FC2DAB"/>
    <w:rsid w:val="78061E7B"/>
    <w:rsid w:val="781033CA"/>
    <w:rsid w:val="7816253F"/>
    <w:rsid w:val="78177BE5"/>
    <w:rsid w:val="78194988"/>
    <w:rsid w:val="78207B78"/>
    <w:rsid w:val="7825695E"/>
    <w:rsid w:val="78320EC2"/>
    <w:rsid w:val="783267CC"/>
    <w:rsid w:val="78342545"/>
    <w:rsid w:val="783D1347"/>
    <w:rsid w:val="783E1615"/>
    <w:rsid w:val="784604CA"/>
    <w:rsid w:val="784C4DAF"/>
    <w:rsid w:val="78550019"/>
    <w:rsid w:val="785D5E45"/>
    <w:rsid w:val="78655C17"/>
    <w:rsid w:val="78691C77"/>
    <w:rsid w:val="78694570"/>
    <w:rsid w:val="786A065C"/>
    <w:rsid w:val="786F3DF5"/>
    <w:rsid w:val="786F5A58"/>
    <w:rsid w:val="787259AE"/>
    <w:rsid w:val="788111C7"/>
    <w:rsid w:val="78852DA0"/>
    <w:rsid w:val="788627DB"/>
    <w:rsid w:val="78931961"/>
    <w:rsid w:val="789A5793"/>
    <w:rsid w:val="78A07BDA"/>
    <w:rsid w:val="78B426F9"/>
    <w:rsid w:val="78C935D5"/>
    <w:rsid w:val="78CA4C57"/>
    <w:rsid w:val="78CE44CB"/>
    <w:rsid w:val="78D770B8"/>
    <w:rsid w:val="78D8696C"/>
    <w:rsid w:val="78DA2EBB"/>
    <w:rsid w:val="78DA6EF1"/>
    <w:rsid w:val="78F10F67"/>
    <w:rsid w:val="78F148D9"/>
    <w:rsid w:val="790A1D26"/>
    <w:rsid w:val="79123D20"/>
    <w:rsid w:val="791B27F0"/>
    <w:rsid w:val="79283423"/>
    <w:rsid w:val="792C5D39"/>
    <w:rsid w:val="794964C4"/>
    <w:rsid w:val="794B3FEA"/>
    <w:rsid w:val="794C1FAD"/>
    <w:rsid w:val="794E0F93"/>
    <w:rsid w:val="796E1A86"/>
    <w:rsid w:val="798219D5"/>
    <w:rsid w:val="79852625"/>
    <w:rsid w:val="798B09CB"/>
    <w:rsid w:val="798C63B0"/>
    <w:rsid w:val="79916EE8"/>
    <w:rsid w:val="79953608"/>
    <w:rsid w:val="7997722F"/>
    <w:rsid w:val="79987B22"/>
    <w:rsid w:val="799A20DC"/>
    <w:rsid w:val="799C2A97"/>
    <w:rsid w:val="79B324CF"/>
    <w:rsid w:val="79BC3CB3"/>
    <w:rsid w:val="79CB6B8F"/>
    <w:rsid w:val="79E943F8"/>
    <w:rsid w:val="79F33076"/>
    <w:rsid w:val="79F93A46"/>
    <w:rsid w:val="79FA115A"/>
    <w:rsid w:val="79FA156C"/>
    <w:rsid w:val="7A017EE9"/>
    <w:rsid w:val="7A083C89"/>
    <w:rsid w:val="7A122D59"/>
    <w:rsid w:val="7A137BE9"/>
    <w:rsid w:val="7A195E96"/>
    <w:rsid w:val="7A1F0CB7"/>
    <w:rsid w:val="7A2111EE"/>
    <w:rsid w:val="7A2465E9"/>
    <w:rsid w:val="7A2D1941"/>
    <w:rsid w:val="7A303125"/>
    <w:rsid w:val="7A316FD6"/>
    <w:rsid w:val="7A394D83"/>
    <w:rsid w:val="7A401675"/>
    <w:rsid w:val="7A79705A"/>
    <w:rsid w:val="7A8352DF"/>
    <w:rsid w:val="7A992B33"/>
    <w:rsid w:val="7A9E21F4"/>
    <w:rsid w:val="7AAB04F6"/>
    <w:rsid w:val="7AAD79E7"/>
    <w:rsid w:val="7AB12572"/>
    <w:rsid w:val="7AB14320"/>
    <w:rsid w:val="7ABB0CFB"/>
    <w:rsid w:val="7ABC4A73"/>
    <w:rsid w:val="7AC05AD3"/>
    <w:rsid w:val="7AC36FD2"/>
    <w:rsid w:val="7AC53928"/>
    <w:rsid w:val="7AC676A0"/>
    <w:rsid w:val="7AD1051F"/>
    <w:rsid w:val="7AD412DE"/>
    <w:rsid w:val="7AD87AFF"/>
    <w:rsid w:val="7AD973D3"/>
    <w:rsid w:val="7AED50B5"/>
    <w:rsid w:val="7AF67F85"/>
    <w:rsid w:val="7B02692A"/>
    <w:rsid w:val="7B05641A"/>
    <w:rsid w:val="7B134AFE"/>
    <w:rsid w:val="7B1B79EC"/>
    <w:rsid w:val="7B272834"/>
    <w:rsid w:val="7B310FBD"/>
    <w:rsid w:val="7B3457ED"/>
    <w:rsid w:val="7B445D3D"/>
    <w:rsid w:val="7B4E1B6F"/>
    <w:rsid w:val="7B542EFE"/>
    <w:rsid w:val="7B586ECB"/>
    <w:rsid w:val="7B590514"/>
    <w:rsid w:val="7B6306CC"/>
    <w:rsid w:val="7B6E0463"/>
    <w:rsid w:val="7B7F2681"/>
    <w:rsid w:val="7B892BA7"/>
    <w:rsid w:val="7B8B38CA"/>
    <w:rsid w:val="7B9673E0"/>
    <w:rsid w:val="7B98103C"/>
    <w:rsid w:val="7B9854E0"/>
    <w:rsid w:val="7BA9149B"/>
    <w:rsid w:val="7BC2255D"/>
    <w:rsid w:val="7BC260B9"/>
    <w:rsid w:val="7BDF6C6B"/>
    <w:rsid w:val="7BE83DC3"/>
    <w:rsid w:val="7C06069C"/>
    <w:rsid w:val="7C0861C2"/>
    <w:rsid w:val="7C0B3F04"/>
    <w:rsid w:val="7C1728A9"/>
    <w:rsid w:val="7C1C7E62"/>
    <w:rsid w:val="7C1F350C"/>
    <w:rsid w:val="7C1F52BA"/>
    <w:rsid w:val="7C2514B4"/>
    <w:rsid w:val="7C293B48"/>
    <w:rsid w:val="7C30396B"/>
    <w:rsid w:val="7C3C2310"/>
    <w:rsid w:val="7C4116D4"/>
    <w:rsid w:val="7C4D2DA7"/>
    <w:rsid w:val="7C5036C5"/>
    <w:rsid w:val="7C541671"/>
    <w:rsid w:val="7C5744F5"/>
    <w:rsid w:val="7C5C1DC1"/>
    <w:rsid w:val="7C5F1B5A"/>
    <w:rsid w:val="7C5F5074"/>
    <w:rsid w:val="7C607C0D"/>
    <w:rsid w:val="7C725D31"/>
    <w:rsid w:val="7C78468E"/>
    <w:rsid w:val="7C80044E"/>
    <w:rsid w:val="7C8415C1"/>
    <w:rsid w:val="7C99506C"/>
    <w:rsid w:val="7CB47D2B"/>
    <w:rsid w:val="7CC06A9D"/>
    <w:rsid w:val="7CD664B2"/>
    <w:rsid w:val="7CDC31AB"/>
    <w:rsid w:val="7CE34539"/>
    <w:rsid w:val="7CEA3B1A"/>
    <w:rsid w:val="7CEA5E4F"/>
    <w:rsid w:val="7D080444"/>
    <w:rsid w:val="7D163585"/>
    <w:rsid w:val="7D244B12"/>
    <w:rsid w:val="7D2D6A07"/>
    <w:rsid w:val="7D376633"/>
    <w:rsid w:val="7D3C7206"/>
    <w:rsid w:val="7D3F2DA1"/>
    <w:rsid w:val="7D3F7C39"/>
    <w:rsid w:val="7D5F7656"/>
    <w:rsid w:val="7D717D97"/>
    <w:rsid w:val="7D780F2D"/>
    <w:rsid w:val="7D9F7C1C"/>
    <w:rsid w:val="7DA737B9"/>
    <w:rsid w:val="7DAE0FEB"/>
    <w:rsid w:val="7DAF766D"/>
    <w:rsid w:val="7DB9051B"/>
    <w:rsid w:val="7DC02E14"/>
    <w:rsid w:val="7DC73B51"/>
    <w:rsid w:val="7DC91981"/>
    <w:rsid w:val="7DCE35C2"/>
    <w:rsid w:val="7DD04A69"/>
    <w:rsid w:val="7DD312C9"/>
    <w:rsid w:val="7DD322DC"/>
    <w:rsid w:val="7DDB49C0"/>
    <w:rsid w:val="7DDE6F39"/>
    <w:rsid w:val="7DDF49B4"/>
    <w:rsid w:val="7DDF73F6"/>
    <w:rsid w:val="7DE467BB"/>
    <w:rsid w:val="7DFA4230"/>
    <w:rsid w:val="7DFD5ACF"/>
    <w:rsid w:val="7E04298C"/>
    <w:rsid w:val="7E054FFA"/>
    <w:rsid w:val="7E130606"/>
    <w:rsid w:val="7E170255"/>
    <w:rsid w:val="7E1D1CCD"/>
    <w:rsid w:val="7E294888"/>
    <w:rsid w:val="7E2E3648"/>
    <w:rsid w:val="7E3C3FD3"/>
    <w:rsid w:val="7E3F01F2"/>
    <w:rsid w:val="7E4C70A9"/>
    <w:rsid w:val="7E5238C1"/>
    <w:rsid w:val="7E5A082B"/>
    <w:rsid w:val="7E635833"/>
    <w:rsid w:val="7E745D91"/>
    <w:rsid w:val="7E8244DB"/>
    <w:rsid w:val="7E88183C"/>
    <w:rsid w:val="7E9401E1"/>
    <w:rsid w:val="7E991353"/>
    <w:rsid w:val="7EA57610"/>
    <w:rsid w:val="7EA85A3A"/>
    <w:rsid w:val="7EB20975"/>
    <w:rsid w:val="7EC9775F"/>
    <w:rsid w:val="7ED352FE"/>
    <w:rsid w:val="7ED44A81"/>
    <w:rsid w:val="7EE20D1A"/>
    <w:rsid w:val="7EED5B43"/>
    <w:rsid w:val="7EF173E1"/>
    <w:rsid w:val="7EFF78A5"/>
    <w:rsid w:val="7F00214C"/>
    <w:rsid w:val="7F007624"/>
    <w:rsid w:val="7F0864D9"/>
    <w:rsid w:val="7F1830C3"/>
    <w:rsid w:val="7F1C5172"/>
    <w:rsid w:val="7F1E5CFC"/>
    <w:rsid w:val="7F233313"/>
    <w:rsid w:val="7F2C0419"/>
    <w:rsid w:val="7F2C666B"/>
    <w:rsid w:val="7F4C286A"/>
    <w:rsid w:val="7F572FCC"/>
    <w:rsid w:val="7F606315"/>
    <w:rsid w:val="7F651B7D"/>
    <w:rsid w:val="7F670446"/>
    <w:rsid w:val="7F6B7774"/>
    <w:rsid w:val="7F721BA4"/>
    <w:rsid w:val="7F785270"/>
    <w:rsid w:val="7F800765"/>
    <w:rsid w:val="7F8A5140"/>
    <w:rsid w:val="7F8E7FCC"/>
    <w:rsid w:val="7F914720"/>
    <w:rsid w:val="7F925932"/>
    <w:rsid w:val="7F947746"/>
    <w:rsid w:val="7F9C0EB5"/>
    <w:rsid w:val="7FA936E7"/>
    <w:rsid w:val="7FAE554F"/>
    <w:rsid w:val="7FAF2DF8"/>
    <w:rsid w:val="7FB559E3"/>
    <w:rsid w:val="7FC00B62"/>
    <w:rsid w:val="7FCD462F"/>
    <w:rsid w:val="7FD16E04"/>
    <w:rsid w:val="7FE900B8"/>
    <w:rsid w:val="7FEA3E31"/>
    <w:rsid w:val="7FEE40E6"/>
    <w:rsid w:val="7FFA6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3">
    <w:name w:val="Body Text"/>
    <w:basedOn w:val="1"/>
    <w:next w:val="2"/>
    <w:qFormat/>
    <w:uiPriority w:val="0"/>
    <w:pPr>
      <w:tabs>
        <w:tab w:val="left" w:pos="567"/>
      </w:tabs>
      <w:spacing w:before="120" w:line="22" w:lineRule="atLeast"/>
    </w:pPr>
    <w:rPr>
      <w:rFonts w:ascii="宋体" w:hAnsi="宋体"/>
      <w:sz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index 5"/>
    <w:basedOn w:val="1"/>
    <w:next w:val="1"/>
    <w:semiHidden/>
    <w:qFormat/>
    <w:uiPriority w:val="0"/>
    <w:pPr>
      <w:ind w:left="800" w:leftChars="800"/>
    </w:pPr>
  </w:style>
  <w:style w:type="paragraph" w:styleId="9">
    <w:name w:val="toa heading"/>
    <w:basedOn w:val="1"/>
    <w:next w:val="1"/>
    <w:qFormat/>
    <w:uiPriority w:val="0"/>
    <w:pPr>
      <w:spacing w:before="120"/>
    </w:pPr>
    <w:rPr>
      <w:rFonts w:ascii="Cambria" w:hAnsi="Cambria"/>
      <w:sz w:val="24"/>
    </w:r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7"/>
    <w:qFormat/>
    <w:uiPriority w:val="0"/>
    <w:pPr>
      <w:ind w:firstLine="420" w:firstLineChars="200"/>
    </w:p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toc 8"/>
    <w:basedOn w:val="1"/>
    <w:next w:val="1"/>
    <w:qFormat/>
    <w:uiPriority w:val="0"/>
    <w:pPr>
      <w:ind w:left="2940" w:leftChars="1400"/>
    </w:pPr>
  </w:style>
  <w:style w:type="paragraph" w:styleId="15">
    <w:name w:val="Date"/>
    <w:basedOn w:val="1"/>
    <w:next w:val="1"/>
    <w:link w:val="50"/>
    <w:qFormat/>
    <w:uiPriority w:val="0"/>
    <w:pPr>
      <w:ind w:left="100" w:leftChars="2500"/>
    </w:pPr>
    <w:rPr>
      <w:rFonts w:ascii="仿宋_GB2312" w:hAnsi="宋体" w:eastAsia="仿宋_GB2312"/>
      <w:color w:val="000000"/>
      <w:sz w:val="24"/>
    </w:rPr>
  </w:style>
  <w:style w:type="paragraph" w:styleId="16">
    <w:name w:val="footer"/>
    <w:basedOn w:val="1"/>
    <w:link w:val="54"/>
    <w:qFormat/>
    <w:uiPriority w:val="0"/>
    <w:pPr>
      <w:tabs>
        <w:tab w:val="center" w:pos="4153"/>
        <w:tab w:val="right" w:pos="8306"/>
      </w:tabs>
      <w:snapToGrid w:val="0"/>
      <w:jc w:val="left"/>
    </w:pPr>
    <w:rPr>
      <w:rFonts w:ascii="宋体"/>
      <w:kern w:val="0"/>
      <w:sz w:val="18"/>
      <w:szCs w:val="20"/>
    </w:rPr>
  </w:style>
  <w:style w:type="paragraph" w:styleId="17">
    <w:name w:val="header"/>
    <w:basedOn w:val="1"/>
    <w:link w:val="55"/>
    <w:qFormat/>
    <w:uiPriority w:val="0"/>
    <w:pPr>
      <w:pBdr>
        <w:bottom w:val="single" w:color="000000"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unhideWhenUsed/>
    <w:qFormat/>
    <w:uiPriority w:val="0"/>
    <w:pPr>
      <w:ind w:left="200" w:hanging="200" w:hangingChars="200"/>
      <w:contextualSpacing/>
    </w:pPr>
  </w:style>
  <w:style w:type="paragraph" w:styleId="20">
    <w:name w:val="footnote text"/>
    <w:basedOn w:val="1"/>
    <w:link w:val="116"/>
    <w:qFormat/>
    <w:uiPriority w:val="0"/>
    <w:pPr>
      <w:snapToGrid w:val="0"/>
      <w:jc w:val="left"/>
    </w:pPr>
    <w:rPr>
      <w:sz w:val="18"/>
    </w:rPr>
  </w:style>
  <w:style w:type="paragraph" w:styleId="21">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1"/>
    <w:next w:val="1"/>
    <w:qFormat/>
    <w:uiPriority w:val="39"/>
    <w:pPr>
      <w:ind w:left="420" w:leftChars="200"/>
    </w:pPr>
  </w:style>
  <w:style w:type="paragraph" w:styleId="23">
    <w:name w:val="Normal (Web)"/>
    <w:basedOn w:val="1"/>
    <w:qFormat/>
    <w:uiPriority w:val="0"/>
    <w:pPr>
      <w:spacing w:before="100" w:beforeAutospacing="1" w:after="100" w:afterAutospacing="1"/>
      <w:jc w:val="left"/>
    </w:pPr>
    <w:rPr>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paragraph" w:customStyle="1" w:styleId="29">
    <w:name w:val="Heading3"/>
    <w:basedOn w:val="1"/>
    <w:next w:val="1"/>
    <w:link w:val="37"/>
    <w:qFormat/>
    <w:uiPriority w:val="0"/>
    <w:pPr>
      <w:keepNext/>
      <w:keepLines/>
      <w:spacing w:before="360" w:after="120"/>
      <w:jc w:val="left"/>
    </w:pPr>
    <w:rPr>
      <w:rFonts w:ascii="宋体"/>
      <w:b/>
      <w:kern w:val="0"/>
      <w:sz w:val="24"/>
      <w:szCs w:val="20"/>
      <w:u w:val="single"/>
    </w:rPr>
  </w:style>
  <w:style w:type="paragraph" w:customStyle="1" w:styleId="30">
    <w:name w:val="NormalIndent"/>
    <w:basedOn w:val="1"/>
    <w:qFormat/>
    <w:uiPriority w:val="0"/>
    <w:pPr>
      <w:ind w:firstLine="420"/>
      <w:jc w:val="left"/>
    </w:pPr>
    <w:rPr>
      <w:rFonts w:ascii="宋体"/>
      <w:kern w:val="0"/>
      <w:sz w:val="24"/>
      <w:szCs w:val="20"/>
    </w:rPr>
  </w:style>
  <w:style w:type="paragraph" w:customStyle="1" w:styleId="31">
    <w:name w:val="Heading1"/>
    <w:basedOn w:val="1"/>
    <w:next w:val="1"/>
    <w:link w:val="35"/>
    <w:qFormat/>
    <w:uiPriority w:val="0"/>
    <w:pPr>
      <w:keepNext/>
      <w:keepLines/>
      <w:spacing w:before="240" w:after="120" w:line="300" w:lineRule="auto"/>
      <w:jc w:val="center"/>
    </w:pPr>
    <w:rPr>
      <w:rFonts w:ascii="宋体"/>
      <w:b/>
      <w:kern w:val="44"/>
      <w:sz w:val="32"/>
      <w:szCs w:val="20"/>
    </w:rPr>
  </w:style>
  <w:style w:type="paragraph" w:customStyle="1" w:styleId="32">
    <w:name w:val="Heading2"/>
    <w:basedOn w:val="1"/>
    <w:next w:val="1"/>
    <w:link w:val="36"/>
    <w:qFormat/>
    <w:uiPriority w:val="0"/>
    <w:pPr>
      <w:keepNext/>
      <w:keepLines/>
      <w:spacing w:before="120" w:line="300" w:lineRule="auto"/>
      <w:jc w:val="center"/>
    </w:pPr>
    <w:rPr>
      <w:rFonts w:ascii="Arial" w:hAnsi="Arial" w:eastAsia="黑体"/>
      <w:b/>
      <w:kern w:val="0"/>
      <w:sz w:val="30"/>
      <w:szCs w:val="20"/>
    </w:rPr>
  </w:style>
  <w:style w:type="character" w:customStyle="1" w:styleId="33">
    <w:name w:val="NormalCharacter"/>
    <w:semiHidden/>
    <w:qFormat/>
    <w:uiPriority w:val="0"/>
  </w:style>
  <w:style w:type="table" w:customStyle="1" w:styleId="34">
    <w:name w:val="TableNormal"/>
    <w:semiHidden/>
    <w:qFormat/>
    <w:uiPriority w:val="0"/>
    <w:tblPr>
      <w:tblCellMar>
        <w:top w:w="0" w:type="dxa"/>
        <w:left w:w="0" w:type="dxa"/>
        <w:bottom w:w="0" w:type="dxa"/>
        <w:right w:w="0" w:type="dxa"/>
      </w:tblCellMar>
    </w:tblPr>
  </w:style>
  <w:style w:type="character" w:customStyle="1" w:styleId="35">
    <w:name w:val="UserStyle_0"/>
    <w:link w:val="31"/>
    <w:qFormat/>
    <w:uiPriority w:val="0"/>
    <w:rPr>
      <w:rFonts w:ascii="宋体"/>
      <w:b/>
      <w:kern w:val="44"/>
      <w:sz w:val="32"/>
    </w:rPr>
  </w:style>
  <w:style w:type="character" w:customStyle="1" w:styleId="36">
    <w:name w:val="UserStyle_1"/>
    <w:link w:val="32"/>
    <w:qFormat/>
    <w:uiPriority w:val="0"/>
    <w:rPr>
      <w:rFonts w:ascii="Arial" w:hAnsi="Arial" w:eastAsia="黑体"/>
      <w:b/>
      <w:sz w:val="30"/>
    </w:rPr>
  </w:style>
  <w:style w:type="character" w:customStyle="1" w:styleId="37">
    <w:name w:val="UserStyle_2"/>
    <w:link w:val="29"/>
    <w:qFormat/>
    <w:uiPriority w:val="0"/>
    <w:rPr>
      <w:rFonts w:ascii="宋体"/>
      <w:b/>
      <w:sz w:val="24"/>
      <w:u w:val="single"/>
    </w:rPr>
  </w:style>
  <w:style w:type="paragraph" w:customStyle="1" w:styleId="38">
    <w:name w:val="TOC7"/>
    <w:basedOn w:val="1"/>
    <w:next w:val="1"/>
    <w:qFormat/>
    <w:uiPriority w:val="0"/>
    <w:pPr>
      <w:ind w:left="2520" w:leftChars="1200"/>
    </w:pPr>
  </w:style>
  <w:style w:type="paragraph" w:customStyle="1" w:styleId="39">
    <w:name w:val="AnnotationText"/>
    <w:basedOn w:val="1"/>
    <w:link w:val="40"/>
    <w:qFormat/>
    <w:uiPriority w:val="0"/>
    <w:pPr>
      <w:jc w:val="left"/>
    </w:pPr>
  </w:style>
  <w:style w:type="character" w:customStyle="1" w:styleId="40">
    <w:name w:val="UserStyle_3"/>
    <w:link w:val="39"/>
    <w:qFormat/>
    <w:uiPriority w:val="0"/>
    <w:rPr>
      <w:kern w:val="2"/>
      <w:sz w:val="21"/>
      <w:szCs w:val="24"/>
    </w:rPr>
  </w:style>
  <w:style w:type="paragraph" w:customStyle="1" w:styleId="41">
    <w:name w:val="BodyText"/>
    <w:basedOn w:val="1"/>
    <w:link w:val="42"/>
    <w:qFormat/>
    <w:uiPriority w:val="0"/>
    <w:pPr>
      <w:tabs>
        <w:tab w:val="left" w:pos="567"/>
      </w:tabs>
      <w:spacing w:before="120" w:line="240" w:lineRule="atLeast"/>
    </w:pPr>
    <w:rPr>
      <w:rFonts w:ascii="宋体" w:hAnsi="宋体"/>
      <w:sz w:val="24"/>
    </w:rPr>
  </w:style>
  <w:style w:type="character" w:customStyle="1" w:styleId="42">
    <w:name w:val="UserStyle_4"/>
    <w:link w:val="41"/>
    <w:qFormat/>
    <w:uiPriority w:val="0"/>
    <w:rPr>
      <w:rFonts w:ascii="宋体" w:hAnsi="宋体"/>
      <w:kern w:val="2"/>
      <w:sz w:val="24"/>
      <w:szCs w:val="24"/>
    </w:rPr>
  </w:style>
  <w:style w:type="paragraph" w:customStyle="1" w:styleId="43">
    <w:name w:val="BodyTextIndent"/>
    <w:basedOn w:val="1"/>
    <w:next w:val="44"/>
    <w:qFormat/>
    <w:uiPriority w:val="0"/>
    <w:pPr>
      <w:spacing w:line="360" w:lineRule="auto"/>
      <w:ind w:firstLine="570"/>
    </w:pPr>
    <w:rPr>
      <w:sz w:val="24"/>
    </w:rPr>
  </w:style>
  <w:style w:type="paragraph" w:customStyle="1" w:styleId="44">
    <w:name w:val="BodyText1I2"/>
    <w:basedOn w:val="43"/>
    <w:next w:val="30"/>
    <w:qFormat/>
    <w:uiPriority w:val="0"/>
    <w:pPr>
      <w:ind w:firstLine="420" w:firstLineChars="200"/>
    </w:pPr>
  </w:style>
  <w:style w:type="paragraph" w:customStyle="1" w:styleId="45">
    <w:name w:val="TOC5"/>
    <w:basedOn w:val="1"/>
    <w:next w:val="1"/>
    <w:qFormat/>
    <w:uiPriority w:val="0"/>
    <w:pPr>
      <w:ind w:left="1680" w:leftChars="800"/>
    </w:pPr>
  </w:style>
  <w:style w:type="paragraph" w:customStyle="1" w:styleId="46">
    <w:name w:val="TOC3"/>
    <w:basedOn w:val="1"/>
    <w:next w:val="1"/>
    <w:qFormat/>
    <w:uiPriority w:val="0"/>
    <w:pPr>
      <w:tabs>
        <w:tab w:val="left" w:pos="1260"/>
        <w:tab w:val="right" w:leader="dot" w:pos="8630"/>
      </w:tabs>
      <w:ind w:left="840" w:leftChars="400"/>
    </w:pPr>
  </w:style>
  <w:style w:type="paragraph" w:customStyle="1" w:styleId="47">
    <w:name w:val="PlainText"/>
    <w:basedOn w:val="1"/>
    <w:link w:val="48"/>
    <w:qFormat/>
    <w:uiPriority w:val="0"/>
    <w:rPr>
      <w:rFonts w:ascii="宋体" w:hAnsi="Courier New"/>
      <w:szCs w:val="20"/>
    </w:rPr>
  </w:style>
  <w:style w:type="character" w:customStyle="1" w:styleId="48">
    <w:name w:val="UserStyle_5"/>
    <w:link w:val="47"/>
    <w:qFormat/>
    <w:uiPriority w:val="0"/>
    <w:rPr>
      <w:rFonts w:ascii="宋体" w:hAnsi="Courier New"/>
      <w:kern w:val="2"/>
      <w:sz w:val="21"/>
    </w:rPr>
  </w:style>
  <w:style w:type="paragraph" w:customStyle="1" w:styleId="49">
    <w:name w:val="TOC8"/>
    <w:basedOn w:val="1"/>
    <w:next w:val="1"/>
    <w:qFormat/>
    <w:uiPriority w:val="0"/>
    <w:pPr>
      <w:ind w:left="2940" w:leftChars="1400"/>
    </w:pPr>
  </w:style>
  <w:style w:type="character" w:customStyle="1" w:styleId="50">
    <w:name w:val="日期 字符"/>
    <w:link w:val="15"/>
    <w:qFormat/>
    <w:uiPriority w:val="0"/>
    <w:rPr>
      <w:rFonts w:ascii="仿宋_GB2312" w:hAnsi="宋体" w:eastAsia="仿宋_GB2312"/>
      <w:color w:val="000000"/>
      <w:kern w:val="2"/>
      <w:sz w:val="24"/>
      <w:szCs w:val="24"/>
    </w:rPr>
  </w:style>
  <w:style w:type="paragraph" w:customStyle="1" w:styleId="51">
    <w:name w:val="BodyTextIndent2"/>
    <w:basedOn w:val="1"/>
    <w:qFormat/>
    <w:uiPriority w:val="0"/>
    <w:pPr>
      <w:ind w:firstLine="480" w:firstLineChars="200"/>
    </w:pPr>
    <w:rPr>
      <w:rFonts w:ascii="仿宋_GB2312" w:eastAsia="仿宋_GB2312"/>
      <w:sz w:val="24"/>
    </w:rPr>
  </w:style>
  <w:style w:type="paragraph" w:customStyle="1" w:styleId="52">
    <w:name w:val="Acetate"/>
    <w:basedOn w:val="1"/>
    <w:link w:val="53"/>
    <w:qFormat/>
    <w:uiPriority w:val="0"/>
    <w:rPr>
      <w:sz w:val="18"/>
      <w:szCs w:val="18"/>
    </w:rPr>
  </w:style>
  <w:style w:type="character" w:customStyle="1" w:styleId="53">
    <w:name w:val="UserStyle_7"/>
    <w:link w:val="52"/>
    <w:qFormat/>
    <w:uiPriority w:val="0"/>
    <w:rPr>
      <w:kern w:val="2"/>
      <w:sz w:val="18"/>
      <w:szCs w:val="18"/>
    </w:rPr>
  </w:style>
  <w:style w:type="character" w:customStyle="1" w:styleId="54">
    <w:name w:val="页脚 字符"/>
    <w:link w:val="16"/>
    <w:qFormat/>
    <w:uiPriority w:val="0"/>
    <w:rPr>
      <w:rFonts w:ascii="宋体"/>
      <w:sz w:val="18"/>
    </w:rPr>
  </w:style>
  <w:style w:type="character" w:customStyle="1" w:styleId="55">
    <w:name w:val="页眉 字符"/>
    <w:link w:val="17"/>
    <w:qFormat/>
    <w:uiPriority w:val="0"/>
    <w:rPr>
      <w:kern w:val="2"/>
      <w:sz w:val="18"/>
      <w:szCs w:val="18"/>
    </w:rPr>
  </w:style>
  <w:style w:type="paragraph" w:customStyle="1" w:styleId="56">
    <w:name w:val="TOC1"/>
    <w:basedOn w:val="1"/>
    <w:next w:val="1"/>
    <w:qFormat/>
    <w:uiPriority w:val="0"/>
  </w:style>
  <w:style w:type="paragraph" w:customStyle="1" w:styleId="57">
    <w:name w:val="TOC4"/>
    <w:basedOn w:val="1"/>
    <w:next w:val="1"/>
    <w:qFormat/>
    <w:uiPriority w:val="0"/>
    <w:pPr>
      <w:ind w:left="1260" w:leftChars="600"/>
    </w:pPr>
  </w:style>
  <w:style w:type="paragraph" w:customStyle="1" w:styleId="58">
    <w:name w:val="FootnoteText"/>
    <w:basedOn w:val="1"/>
    <w:qFormat/>
    <w:uiPriority w:val="0"/>
    <w:pPr>
      <w:snapToGrid w:val="0"/>
      <w:jc w:val="left"/>
    </w:pPr>
    <w:rPr>
      <w:sz w:val="18"/>
    </w:rPr>
  </w:style>
  <w:style w:type="paragraph" w:customStyle="1" w:styleId="59">
    <w:name w:val="TOC6"/>
    <w:basedOn w:val="1"/>
    <w:next w:val="1"/>
    <w:qFormat/>
    <w:uiPriority w:val="0"/>
    <w:pPr>
      <w:ind w:left="2100" w:leftChars="1000"/>
    </w:pPr>
  </w:style>
  <w:style w:type="paragraph" w:customStyle="1" w:styleId="60">
    <w:name w:val="BodyTextIndent3"/>
    <w:basedOn w:val="1"/>
    <w:qFormat/>
    <w:uiPriority w:val="0"/>
    <w:pPr>
      <w:spacing w:before="120" w:line="240" w:lineRule="atLeast"/>
      <w:ind w:left="720" w:firstLine="480"/>
      <w:jc w:val="left"/>
    </w:pPr>
    <w:rPr>
      <w:rFonts w:ascii="宋体"/>
      <w:kern w:val="0"/>
      <w:sz w:val="24"/>
      <w:szCs w:val="20"/>
    </w:rPr>
  </w:style>
  <w:style w:type="paragraph" w:customStyle="1" w:styleId="61">
    <w:name w:val="TOC2"/>
    <w:basedOn w:val="1"/>
    <w:next w:val="1"/>
    <w:qFormat/>
    <w:uiPriority w:val="0"/>
    <w:pPr>
      <w:ind w:left="420" w:leftChars="200"/>
    </w:pPr>
  </w:style>
  <w:style w:type="paragraph" w:customStyle="1" w:styleId="62">
    <w:name w:val="TOC9"/>
    <w:basedOn w:val="1"/>
    <w:next w:val="1"/>
    <w:qFormat/>
    <w:uiPriority w:val="0"/>
    <w:pPr>
      <w:ind w:left="3360" w:leftChars="1600"/>
    </w:pPr>
  </w:style>
  <w:style w:type="paragraph" w:customStyle="1" w:styleId="63">
    <w:name w:val="HtmlNormal"/>
    <w:basedOn w:val="1"/>
    <w:qFormat/>
    <w:uiPriority w:val="0"/>
    <w:pPr>
      <w:spacing w:before="100" w:beforeAutospacing="1" w:after="100" w:afterAutospacing="1"/>
      <w:jc w:val="left"/>
    </w:pPr>
    <w:rPr>
      <w:kern w:val="0"/>
      <w:sz w:val="24"/>
    </w:rPr>
  </w:style>
  <w:style w:type="paragraph" w:customStyle="1" w:styleId="64">
    <w:name w:val="Index1"/>
    <w:basedOn w:val="1"/>
    <w:next w:val="1"/>
    <w:semiHidden/>
    <w:qFormat/>
    <w:uiPriority w:val="0"/>
    <w:rPr>
      <w:szCs w:val="20"/>
    </w:rPr>
  </w:style>
  <w:style w:type="paragraph" w:customStyle="1" w:styleId="65">
    <w:name w:val="AnnotationSubject"/>
    <w:basedOn w:val="39"/>
    <w:next w:val="39"/>
    <w:link w:val="66"/>
    <w:qFormat/>
    <w:uiPriority w:val="0"/>
    <w:rPr>
      <w:rFonts w:cs="Times New Roman"/>
      <w:b/>
      <w:bCs/>
    </w:rPr>
  </w:style>
  <w:style w:type="character" w:customStyle="1" w:styleId="66">
    <w:name w:val="UserStyle_10"/>
    <w:link w:val="65"/>
    <w:qFormat/>
    <w:uiPriority w:val="0"/>
    <w:rPr>
      <w:rFonts w:cs="Times New Roman"/>
      <w:b/>
      <w:bCs/>
      <w:kern w:val="2"/>
      <w:sz w:val="21"/>
      <w:szCs w:val="24"/>
    </w:rPr>
  </w:style>
  <w:style w:type="table" w:customStyle="1" w:styleId="67">
    <w:name w:val="TableGrid"/>
    <w:basedOn w:val="34"/>
    <w:qFormat/>
    <w:uiPriority w:val="0"/>
  </w:style>
  <w:style w:type="character" w:customStyle="1" w:styleId="68">
    <w:name w:val="PageNumber"/>
    <w:basedOn w:val="33"/>
    <w:qFormat/>
    <w:uiPriority w:val="0"/>
  </w:style>
  <w:style w:type="character" w:customStyle="1" w:styleId="69">
    <w:name w:val="AnnotationReference"/>
    <w:qFormat/>
    <w:uiPriority w:val="0"/>
    <w:rPr>
      <w:sz w:val="21"/>
      <w:szCs w:val="21"/>
    </w:rPr>
  </w:style>
  <w:style w:type="character" w:customStyle="1" w:styleId="70">
    <w:name w:val="UserStyle_11"/>
    <w:semiHidden/>
    <w:qFormat/>
    <w:uiPriority w:val="0"/>
    <w:rPr>
      <w:kern w:val="2"/>
      <w:sz w:val="18"/>
      <w:szCs w:val="18"/>
    </w:rPr>
  </w:style>
  <w:style w:type="character" w:customStyle="1" w:styleId="71">
    <w:name w:val="UserStyle_12"/>
    <w:semiHidden/>
    <w:qFormat/>
    <w:uiPriority w:val="0"/>
    <w:rPr>
      <w:kern w:val="2"/>
      <w:sz w:val="21"/>
      <w:szCs w:val="24"/>
    </w:rPr>
  </w:style>
  <w:style w:type="character" w:customStyle="1" w:styleId="72">
    <w:name w:val="UserStyle_13"/>
    <w:qFormat/>
    <w:uiPriority w:val="0"/>
    <w:rPr>
      <w:rFonts w:ascii="Calibri" w:hAnsi="Calibri"/>
    </w:rPr>
  </w:style>
  <w:style w:type="character" w:customStyle="1" w:styleId="73">
    <w:name w:val="UserStyle_14"/>
    <w:qFormat/>
    <w:uiPriority w:val="0"/>
    <w:rPr>
      <w:rFonts w:ascii="宋体" w:hAnsi="宋体" w:eastAsia="宋体"/>
      <w:color w:val="FF0000"/>
      <w:sz w:val="20"/>
      <w:szCs w:val="20"/>
    </w:rPr>
  </w:style>
  <w:style w:type="character" w:customStyle="1" w:styleId="74">
    <w:name w:val="UserStyle_15"/>
    <w:qFormat/>
    <w:uiPriority w:val="0"/>
    <w:rPr>
      <w:rFonts w:ascii="Calibri" w:hAnsi="Calibri"/>
    </w:rPr>
  </w:style>
  <w:style w:type="character" w:customStyle="1" w:styleId="75">
    <w:name w:val="UserStyle_16"/>
    <w:qFormat/>
    <w:uiPriority w:val="0"/>
    <w:rPr>
      <w:rFonts w:ascii="宋体" w:hAnsi="宋体" w:eastAsia="宋体"/>
      <w:b/>
      <w:color w:val="FF0000"/>
      <w:sz w:val="20"/>
      <w:szCs w:val="20"/>
    </w:rPr>
  </w:style>
  <w:style w:type="character" w:customStyle="1" w:styleId="76">
    <w:name w:val="UserStyle_17"/>
    <w:qFormat/>
    <w:uiPriority w:val="0"/>
    <w:rPr>
      <w:rFonts w:ascii="Times New Roman" w:hAnsi="Times New Roman"/>
      <w:color w:val="000000"/>
      <w:sz w:val="20"/>
      <w:szCs w:val="20"/>
    </w:rPr>
  </w:style>
  <w:style w:type="character" w:customStyle="1" w:styleId="77">
    <w:name w:val="UserStyle_18"/>
    <w:qFormat/>
    <w:uiPriority w:val="0"/>
    <w:rPr>
      <w:rFonts w:ascii="宋体" w:hAnsi="宋体" w:eastAsia="宋体"/>
      <w:b/>
      <w:color w:val="000000"/>
      <w:sz w:val="20"/>
      <w:szCs w:val="20"/>
    </w:rPr>
  </w:style>
  <w:style w:type="character" w:customStyle="1" w:styleId="78">
    <w:name w:val="UserStyle_19"/>
    <w:qFormat/>
    <w:uiPriority w:val="0"/>
    <w:rPr>
      <w:rFonts w:ascii="宋体" w:hAnsi="宋体" w:eastAsia="宋体"/>
      <w:b/>
      <w:color w:val="FF0000"/>
      <w:sz w:val="22"/>
      <w:szCs w:val="22"/>
    </w:rPr>
  </w:style>
  <w:style w:type="character" w:customStyle="1" w:styleId="79">
    <w:name w:val="UserStyle_20"/>
    <w:link w:val="80"/>
    <w:qFormat/>
    <w:uiPriority w:val="0"/>
    <w:rPr>
      <w:rFonts w:ascii="宋体"/>
      <w:sz w:val="24"/>
    </w:rPr>
  </w:style>
  <w:style w:type="paragraph" w:customStyle="1" w:styleId="80">
    <w:name w:val="UserStyle_21"/>
    <w:basedOn w:val="1"/>
    <w:link w:val="79"/>
    <w:qFormat/>
    <w:uiPriority w:val="0"/>
    <w:pPr>
      <w:ind w:firstLine="420"/>
      <w:jc w:val="left"/>
    </w:pPr>
    <w:rPr>
      <w:rFonts w:ascii="宋体"/>
      <w:kern w:val="0"/>
      <w:sz w:val="24"/>
      <w:szCs w:val="20"/>
    </w:rPr>
  </w:style>
  <w:style w:type="character" w:customStyle="1" w:styleId="81">
    <w:name w:val="UserStyle_22"/>
    <w:qFormat/>
    <w:uiPriority w:val="0"/>
    <w:rPr>
      <w:rFonts w:ascii="宋体" w:hAnsi="宋体" w:eastAsia="宋体"/>
      <w:color w:val="000000"/>
      <w:sz w:val="20"/>
      <w:szCs w:val="20"/>
    </w:rPr>
  </w:style>
  <w:style w:type="character" w:customStyle="1" w:styleId="82">
    <w:name w:val="UserStyle_23"/>
    <w:semiHidden/>
    <w:qFormat/>
    <w:uiPriority w:val="0"/>
    <w:rPr>
      <w:kern w:val="2"/>
      <w:sz w:val="18"/>
      <w:szCs w:val="18"/>
    </w:rPr>
  </w:style>
  <w:style w:type="character" w:customStyle="1" w:styleId="83">
    <w:name w:val="UserStyle_24"/>
    <w:semiHidden/>
    <w:qFormat/>
    <w:uiPriority w:val="0"/>
    <w:rPr>
      <w:rFonts w:cs="Times New Roman"/>
      <w:b/>
      <w:bCs/>
      <w:kern w:val="2"/>
      <w:sz w:val="21"/>
      <w:szCs w:val="24"/>
    </w:rPr>
  </w:style>
  <w:style w:type="character" w:customStyle="1" w:styleId="84">
    <w:name w:val="UserStyle_25"/>
    <w:qFormat/>
    <w:uiPriority w:val="0"/>
    <w:rPr>
      <w:rFonts w:ascii="宋体" w:hAnsi="宋体" w:eastAsia="宋体"/>
      <w:b/>
      <w:color w:val="000000"/>
      <w:sz w:val="22"/>
      <w:szCs w:val="22"/>
    </w:rPr>
  </w:style>
  <w:style w:type="character" w:customStyle="1" w:styleId="85">
    <w:name w:val="UserStyle_26"/>
    <w:qFormat/>
    <w:uiPriority w:val="0"/>
    <w:rPr>
      <w:rFonts w:ascii="方正仿宋简体" w:hAnsi="方正仿宋简体" w:eastAsia="方正仿宋简体"/>
      <w:color w:val="000000"/>
      <w:sz w:val="20"/>
      <w:szCs w:val="20"/>
      <w:vertAlign w:val="subscript"/>
    </w:rPr>
  </w:style>
  <w:style w:type="character" w:customStyle="1" w:styleId="86">
    <w:name w:val="UserStyle_27"/>
    <w:link w:val="87"/>
    <w:qFormat/>
    <w:uiPriority w:val="0"/>
    <w:rPr>
      <w:rFonts w:ascii="宋体" w:hAnsi="Courier New"/>
    </w:rPr>
  </w:style>
  <w:style w:type="paragraph" w:customStyle="1" w:styleId="87">
    <w:name w:val="UserStyle_28"/>
    <w:basedOn w:val="1"/>
    <w:link w:val="86"/>
    <w:qFormat/>
    <w:uiPriority w:val="0"/>
    <w:rPr>
      <w:rFonts w:ascii="宋体" w:hAnsi="Courier New"/>
      <w:kern w:val="0"/>
      <w:sz w:val="20"/>
      <w:szCs w:val="20"/>
    </w:rPr>
  </w:style>
  <w:style w:type="character" w:customStyle="1" w:styleId="88">
    <w:name w:val="UserStyle_29"/>
    <w:qFormat/>
    <w:uiPriority w:val="0"/>
    <w:rPr>
      <w:rFonts w:ascii="宋体" w:hAnsi="宋体" w:eastAsia="宋体"/>
      <w:color w:val="000000"/>
      <w:sz w:val="24"/>
      <w:szCs w:val="24"/>
    </w:rPr>
  </w:style>
  <w:style w:type="character" w:customStyle="1" w:styleId="89">
    <w:name w:val="UserStyle_30"/>
    <w:qFormat/>
    <w:uiPriority w:val="0"/>
    <w:rPr>
      <w:rFonts w:ascii="宋体" w:hAnsi="宋体" w:eastAsia="宋体"/>
      <w:color w:val="000000"/>
      <w:sz w:val="20"/>
      <w:szCs w:val="20"/>
    </w:rPr>
  </w:style>
  <w:style w:type="character" w:customStyle="1" w:styleId="90">
    <w:name w:val="UserStyle_31"/>
    <w:qFormat/>
    <w:uiPriority w:val="0"/>
    <w:rPr>
      <w:rFonts w:ascii="宋体" w:hAnsi="宋体" w:eastAsia="宋体"/>
      <w:color w:val="000000"/>
      <w:sz w:val="20"/>
      <w:szCs w:val="20"/>
    </w:rPr>
  </w:style>
  <w:style w:type="character" w:customStyle="1" w:styleId="91">
    <w:name w:val="UserStyle_32"/>
    <w:basedOn w:val="33"/>
    <w:qFormat/>
    <w:uiPriority w:val="0"/>
  </w:style>
  <w:style w:type="character" w:customStyle="1" w:styleId="92">
    <w:name w:val="UserStyle_33"/>
    <w:qFormat/>
    <w:uiPriority w:val="0"/>
    <w:rPr>
      <w:rFonts w:ascii="方正仿宋简体" w:hAnsi="方正仿宋简体" w:eastAsia="方正仿宋简体"/>
      <w:color w:val="000000"/>
      <w:sz w:val="20"/>
      <w:szCs w:val="20"/>
    </w:rPr>
  </w:style>
  <w:style w:type="character" w:customStyle="1" w:styleId="93">
    <w:name w:val="UserStyle_34"/>
    <w:semiHidden/>
    <w:qFormat/>
    <w:uiPriority w:val="0"/>
    <w:rPr>
      <w:rFonts w:ascii="Times New Roman" w:hAnsi="Times New Roman" w:eastAsia="宋体"/>
      <w:kern w:val="2"/>
      <w:sz w:val="21"/>
      <w:szCs w:val="24"/>
      <w:lang w:val="en-US" w:eastAsia="zh-CN" w:bidi="ar-SA"/>
    </w:rPr>
  </w:style>
  <w:style w:type="paragraph" w:customStyle="1" w:styleId="94">
    <w:name w:val="UserStyle_35"/>
    <w:qFormat/>
    <w:uiPriority w:val="0"/>
    <w:pPr>
      <w:textAlignment w:val="baseline"/>
    </w:pPr>
    <w:rPr>
      <w:rFonts w:ascii="Times New Roman" w:hAnsi="Times New Roman" w:eastAsia="宋体" w:cstheme="minorBidi"/>
      <w:lang w:val="en-US" w:eastAsia="zh-CN" w:bidi="ar-SA"/>
    </w:rPr>
  </w:style>
  <w:style w:type="paragraph" w:customStyle="1" w:styleId="95">
    <w:name w:val="UserStyle_36"/>
    <w:basedOn w:val="1"/>
    <w:qFormat/>
    <w:uiPriority w:val="0"/>
    <w:pPr>
      <w:snapToGrid w:val="0"/>
      <w:spacing w:after="200"/>
      <w:ind w:firstLine="420" w:firstLineChars="200"/>
      <w:jc w:val="left"/>
    </w:pPr>
    <w:rPr>
      <w:rFonts w:ascii="Tahoma" w:hAnsi="Tahoma" w:eastAsia="微软雅黑"/>
      <w:kern w:val="0"/>
      <w:sz w:val="22"/>
    </w:rPr>
  </w:style>
  <w:style w:type="paragraph" w:customStyle="1" w:styleId="96">
    <w:name w:val="UserStyle_37"/>
    <w:basedOn w:val="1"/>
    <w:next w:val="1"/>
    <w:qFormat/>
    <w:uiPriority w:val="0"/>
    <w:pPr>
      <w:spacing w:line="360" w:lineRule="auto"/>
    </w:pPr>
    <w:rPr>
      <w:rFonts w:ascii="仿宋_GB2312" w:eastAsia="仿宋_GB2312"/>
      <w:sz w:val="24"/>
      <w:szCs w:val="20"/>
    </w:rPr>
  </w:style>
  <w:style w:type="paragraph" w:customStyle="1" w:styleId="97">
    <w:name w:val="UserStyle_38"/>
    <w:basedOn w:val="1"/>
    <w:qFormat/>
    <w:uiPriority w:val="0"/>
    <w:pPr>
      <w:tabs>
        <w:tab w:val="left" w:pos="360"/>
      </w:tabs>
    </w:pPr>
    <w:rPr>
      <w:sz w:val="24"/>
    </w:rPr>
  </w:style>
  <w:style w:type="paragraph" w:customStyle="1" w:styleId="98">
    <w:name w:val="UserStyle_39"/>
    <w:basedOn w:val="1"/>
    <w:qFormat/>
    <w:uiPriority w:val="0"/>
    <w:pPr>
      <w:spacing w:line="360" w:lineRule="auto"/>
      <w:jc w:val="left"/>
    </w:pPr>
    <w:rPr>
      <w:rFonts w:ascii="宋体" w:hAnsi="宋体" w:cs="Times New Roman"/>
      <w:b/>
      <w:bCs/>
      <w:sz w:val="24"/>
    </w:rPr>
  </w:style>
  <w:style w:type="paragraph" w:customStyle="1" w:styleId="99">
    <w:name w:val="UserStyle_40"/>
    <w:basedOn w:val="1"/>
    <w:qFormat/>
    <w:uiPriority w:val="0"/>
    <w:pPr>
      <w:spacing w:line="560" w:lineRule="exact"/>
      <w:ind w:firstLine="723" w:firstLineChars="200"/>
      <w:jc w:val="center"/>
    </w:pPr>
    <w:rPr>
      <w:rFonts w:ascii="仿宋_GB2312" w:eastAsia="仿宋_GB2312"/>
      <w:b/>
      <w:sz w:val="36"/>
    </w:rPr>
  </w:style>
  <w:style w:type="paragraph" w:customStyle="1" w:styleId="100">
    <w:name w:val="UserStyle_41"/>
    <w:qFormat/>
    <w:uiPriority w:val="0"/>
    <w:pPr>
      <w:textAlignment w:val="baseline"/>
    </w:pPr>
    <w:rPr>
      <w:rFonts w:ascii="宋体" w:hAnsi="宋体" w:eastAsia="宋体" w:cstheme="minorBidi"/>
      <w:sz w:val="24"/>
      <w:szCs w:val="24"/>
      <w:lang w:val="en-US" w:eastAsia="zh-CN" w:bidi="ar-SA"/>
    </w:rPr>
  </w:style>
  <w:style w:type="paragraph" w:customStyle="1" w:styleId="101">
    <w:name w:val="UserStyle_42"/>
    <w:basedOn w:val="1"/>
    <w:qFormat/>
    <w:uiPriority w:val="0"/>
    <w:pPr>
      <w:ind w:firstLine="420" w:firstLineChars="200"/>
      <w:jc w:val="left"/>
    </w:pPr>
    <w:rPr>
      <w:kern w:val="0"/>
      <w:sz w:val="24"/>
    </w:rPr>
  </w:style>
  <w:style w:type="paragraph" w:customStyle="1" w:styleId="102">
    <w:name w:val="UserStyle_43"/>
    <w:basedOn w:val="1"/>
    <w:qFormat/>
    <w:uiPriority w:val="0"/>
    <w:pPr>
      <w:spacing w:before="60" w:after="120" w:line="440" w:lineRule="atLeast"/>
      <w:ind w:firstLine="480"/>
    </w:pPr>
    <w:rPr>
      <w:sz w:val="24"/>
    </w:rPr>
  </w:style>
  <w:style w:type="paragraph" w:customStyle="1" w:styleId="103">
    <w:name w:val="UserStyle_44"/>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04">
    <w:name w:val="UserStyle_45"/>
    <w:basedOn w:val="1"/>
    <w:qFormat/>
    <w:uiPriority w:val="0"/>
    <w:pPr>
      <w:spacing w:line="360" w:lineRule="auto"/>
      <w:ind w:firstLine="200" w:firstLineChars="200"/>
    </w:pPr>
  </w:style>
  <w:style w:type="paragraph" w:customStyle="1" w:styleId="105">
    <w:name w:val="179"/>
    <w:basedOn w:val="1"/>
    <w:qFormat/>
    <w:uiPriority w:val="0"/>
    <w:pPr>
      <w:ind w:firstLine="420" w:firstLineChars="200"/>
    </w:pPr>
  </w:style>
  <w:style w:type="paragraph" w:customStyle="1" w:styleId="106">
    <w:name w:val="UserStyle_4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107">
    <w:name w:val="UserStyle_47"/>
    <w:basedOn w:val="1"/>
    <w:next w:val="106"/>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108">
    <w:name w:val="UserStyle_48"/>
    <w:basedOn w:val="1"/>
    <w:qFormat/>
    <w:uiPriority w:val="0"/>
    <w:pPr>
      <w:spacing w:before="120" w:after="120" w:line="360" w:lineRule="auto"/>
      <w:jc w:val="center"/>
    </w:pPr>
    <w:rPr>
      <w:rFonts w:eastAsia="仿宋_GB2312"/>
      <w:b/>
      <w:sz w:val="24"/>
    </w:rPr>
  </w:style>
  <w:style w:type="character" w:customStyle="1" w:styleId="109">
    <w:name w:val="font21"/>
    <w:basedOn w:val="26"/>
    <w:qFormat/>
    <w:uiPriority w:val="0"/>
    <w:rPr>
      <w:rFonts w:hint="eastAsia" w:ascii="宋体" w:hAnsi="宋体" w:eastAsia="宋体" w:cs="宋体"/>
      <w:color w:val="000000"/>
      <w:sz w:val="21"/>
      <w:szCs w:val="21"/>
      <w:u w:val="none"/>
    </w:rPr>
  </w:style>
  <w:style w:type="character" w:customStyle="1" w:styleId="110">
    <w:name w:val="font41"/>
    <w:basedOn w:val="26"/>
    <w:qFormat/>
    <w:uiPriority w:val="0"/>
    <w:rPr>
      <w:rFonts w:hint="eastAsia" w:ascii="宋体" w:hAnsi="宋体" w:eastAsia="宋体" w:cs="宋体"/>
      <w:color w:val="000000"/>
      <w:sz w:val="21"/>
      <w:szCs w:val="21"/>
      <w:u w:val="none"/>
    </w:rPr>
  </w:style>
  <w:style w:type="paragraph" w:customStyle="1" w:styleId="11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12">
    <w:name w:val="列出段落1"/>
    <w:basedOn w:val="1"/>
    <w:qFormat/>
    <w:uiPriority w:val="0"/>
    <w:pPr>
      <w:ind w:firstLine="420" w:firstLineChars="200"/>
      <w:jc w:val="left"/>
    </w:pPr>
    <w:rPr>
      <w:kern w:val="0"/>
      <w:sz w:val="24"/>
      <w:szCs w:val="20"/>
    </w:rPr>
  </w:style>
  <w:style w:type="paragraph" w:customStyle="1" w:styleId="113">
    <w:name w:val="一级标题"/>
    <w:basedOn w:val="4"/>
    <w:next w:val="1"/>
    <w:qFormat/>
    <w:uiPriority w:val="0"/>
    <w:pPr>
      <w:spacing w:line="360" w:lineRule="auto"/>
    </w:pPr>
    <w:rPr>
      <w:rFonts w:hAnsi="宋体"/>
      <w:lang w:bidi="ug-CN"/>
    </w:rPr>
  </w:style>
  <w:style w:type="paragraph" w:customStyle="1" w:styleId="114">
    <w:name w:val="图例"/>
    <w:basedOn w:val="1"/>
    <w:qFormat/>
    <w:uiPriority w:val="0"/>
    <w:pPr>
      <w:spacing w:line="360" w:lineRule="auto"/>
      <w:jc w:val="center"/>
    </w:pPr>
    <w:rPr>
      <w:rFonts w:eastAsia="仿宋_GB2312"/>
      <w:b/>
      <w:bCs/>
      <w:sz w:val="24"/>
    </w:rPr>
  </w:style>
  <w:style w:type="paragraph" w:customStyle="1" w:styleId="115">
    <w:name w:val="Char"/>
    <w:basedOn w:val="1"/>
    <w:qFormat/>
    <w:uiPriority w:val="0"/>
    <w:pPr>
      <w:tabs>
        <w:tab w:val="left" w:pos="360"/>
      </w:tabs>
    </w:pPr>
    <w:rPr>
      <w:sz w:val="24"/>
    </w:rPr>
  </w:style>
  <w:style w:type="character" w:customStyle="1" w:styleId="116">
    <w:name w:val="脚注文本 字符"/>
    <w:basedOn w:val="26"/>
    <w:link w:val="20"/>
    <w:qFormat/>
    <w:uiPriority w:val="0"/>
    <w:rPr>
      <w:rFonts w:cstheme="minorBidi"/>
      <w:kern w:val="2"/>
      <w:sz w:val="18"/>
      <w:szCs w:val="24"/>
    </w:rPr>
  </w:style>
  <w:style w:type="paragraph" w:styleId="117">
    <w:name w:val="List Paragraph"/>
    <w:basedOn w:val="1"/>
    <w:unhideWhenUsed/>
    <w:qFormat/>
    <w:uiPriority w:val="99"/>
    <w:pPr>
      <w:ind w:firstLine="420" w:firstLineChars="200"/>
    </w:pPr>
  </w:style>
  <w:style w:type="paragraph" w:customStyle="1" w:styleId="118">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paragraph" w:customStyle="1" w:styleId="119">
    <w:name w:val="List Paragraph1"/>
    <w:basedOn w:val="1"/>
    <w:qFormat/>
    <w:uiPriority w:val="0"/>
    <w:pPr>
      <w:ind w:firstLine="420" w:firstLineChars="200"/>
    </w:pPr>
  </w:style>
  <w:style w:type="character" w:customStyle="1" w:styleId="120">
    <w:name w:val="font11"/>
    <w:basedOn w:val="26"/>
    <w:qFormat/>
    <w:uiPriority w:val="0"/>
    <w:rPr>
      <w:rFonts w:hint="eastAsia" w:ascii="宋体" w:hAnsi="宋体" w:eastAsia="宋体" w:cs="宋体"/>
      <w:color w:val="000000"/>
      <w:sz w:val="24"/>
      <w:szCs w:val="24"/>
      <w:u w:val="none"/>
    </w:rPr>
  </w:style>
  <w:style w:type="character" w:customStyle="1" w:styleId="121">
    <w:name w:val="font31"/>
    <w:basedOn w:val="26"/>
    <w:qFormat/>
    <w:uiPriority w:val="0"/>
    <w:rPr>
      <w:rFonts w:hint="eastAsia" w:ascii="宋体" w:hAnsi="宋体" w:eastAsia="宋体" w:cs="宋体"/>
      <w:b/>
      <w:bCs/>
      <w:color w:val="000000"/>
      <w:sz w:val="24"/>
      <w:szCs w:val="24"/>
      <w:u w:val="none"/>
    </w:rPr>
  </w:style>
  <w:style w:type="paragraph" w:customStyle="1" w:styleId="122">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A8641-74CD-40F9-9209-631C9809D6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38500</Words>
  <Characters>41269</Characters>
  <Lines>361</Lines>
  <Paragraphs>101</Paragraphs>
  <TotalTime>68</TotalTime>
  <ScaleCrop>false</ScaleCrop>
  <LinksUpToDate>false</LinksUpToDate>
  <CharactersWithSpaces>43855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2024-06-12T17:20:00Z</dcterms:created>
  <dc:creator>Administrator</dc:creator>
  <cp:lastModifiedBy>Administrator</cp:lastModifiedBy>
  <cp:lastPrinted>2024-06-24T09:52:00Z</cp:lastPrinted>
  <dcterms:modified xsi:type="dcterms:W3CDTF">2024-06-27T09:44:40Z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9EB6CA7958164151864E48FB7EA5777F_13</vt:lpwstr>
  </property>
</Properties>
</file>