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0066">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麦盖提县日照高级中学（第五中学）课桌椅等教学设备采购项目四次公开招标公告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麦盖提县政府采购中心受麦盖提县教育局的委托，对麦盖提县日照高级中学（第五中学）课桌椅等教学设备采购项目四次进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1.项目编号：KSMGTX(GK)2024-02-04号</w:t>
      </w:r>
    </w:p>
    <w:p w14:paraId="6BF12E34">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麦盖提县日照高级中学（第五中学）课桌椅等教学设备采购项目四次</w:t>
      </w:r>
    </w:p>
    <w:p w14:paraId="0E905FDC">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350.84万元（叁佰伍拾万零捌仟肆佰元整）</w:t>
      </w:r>
    </w:p>
    <w:p w14:paraId="70B9FA53">
      <w:pPr>
        <w:pStyle w:val="5"/>
        <w:pageBreakBefore w:val="0"/>
        <w:kinsoku/>
        <w:wordWrap/>
        <w:overflowPunct/>
        <w:topLinePunct w:val="0"/>
        <w:bidi w:val="0"/>
        <w:snapToGrid/>
        <w:spacing w:line="380" w:lineRule="exact"/>
        <w:ind w:left="3119" w:leftChars="228" w:hanging="2640" w:hangingChars="1100"/>
        <w:textAlignment w:val="auto"/>
        <w:rPr>
          <w:rFonts w:hint="default" w:ascii="微软雅黑" w:hAnsi="微软雅黑" w:eastAsia="微软雅黑" w:cs="微软雅黑"/>
          <w:color w:val="auto"/>
          <w:highlight w:val="none"/>
          <w:lang w:val="en-US"/>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b/>
          <w:bCs/>
          <w:color w:val="000000"/>
          <w:highlight w:val="none"/>
          <w:lang w:val="en-US" w:eastAsia="zh-CN"/>
        </w:rPr>
        <w:t>第二标段：</w:t>
      </w:r>
      <w:r>
        <w:rPr>
          <w:rFonts w:hint="eastAsia" w:ascii="微软雅黑" w:hAnsi="微软雅黑" w:eastAsia="微软雅黑" w:cs="微软雅黑"/>
          <w:color w:val="000000"/>
          <w:highlight w:val="none"/>
          <w:lang w:val="en-US" w:eastAsia="zh-CN"/>
        </w:rPr>
        <w:t>班班通55套、打印机1批、教师办公电脑100台、校园广播系统1套，预算金额：278.84万元</w:t>
      </w:r>
    </w:p>
    <w:p w14:paraId="666354BA">
      <w:pPr>
        <w:pStyle w:val="5"/>
        <w:pageBreakBefore w:val="0"/>
        <w:kinsoku/>
        <w:wordWrap/>
        <w:overflowPunct/>
        <w:topLinePunct w:val="0"/>
        <w:bidi w:val="0"/>
        <w:snapToGrid/>
        <w:spacing w:line="380" w:lineRule="exact"/>
        <w:ind w:firstLine="1681" w:firstLineChars="7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b/>
          <w:bCs/>
          <w:color w:val="000000"/>
          <w:highlight w:val="none"/>
          <w:lang w:val="en-US" w:eastAsia="zh-CN"/>
        </w:rPr>
        <w:t>第三标段：</w:t>
      </w:r>
      <w:r>
        <w:rPr>
          <w:rFonts w:hint="eastAsia" w:ascii="微软雅黑" w:hAnsi="微软雅黑" w:eastAsia="微软雅黑" w:cs="微软雅黑"/>
          <w:color w:val="000000"/>
          <w:highlight w:val="none"/>
          <w:lang w:val="en-US" w:eastAsia="zh-CN"/>
        </w:rPr>
        <w:t>淋浴设施设备（空气能）4组，预算金额：72万元</w:t>
      </w:r>
    </w:p>
    <w:p w14:paraId="5777EE21">
      <w:pPr>
        <w:pStyle w:val="5"/>
        <w:pageBreakBefore w:val="0"/>
        <w:kinsoku/>
        <w:wordWrap/>
        <w:overflowPunct/>
        <w:topLinePunct w:val="0"/>
        <w:bidi w:val="0"/>
        <w:snapToGrid/>
        <w:spacing w:line="380" w:lineRule="exact"/>
        <w:ind w:firstLine="2880" w:firstLineChars="1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（详见招标文件）</w:t>
      </w:r>
    </w:p>
    <w:p w14:paraId="1C17D37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0" w:name="_Toc35393799"/>
      <w:bookmarkStart w:id="1" w:name="_Toc28359013"/>
      <w:bookmarkStart w:id="2" w:name="_Toc28359090"/>
      <w:bookmarkStart w:id="3" w:name="_Toc35393630"/>
      <w:r>
        <w:rPr>
          <w:rFonts w:hint="eastAsia" w:ascii="微软雅黑" w:hAnsi="微软雅黑" w:eastAsia="微软雅黑" w:cs="微软雅黑"/>
          <w:b/>
          <w:bCs/>
          <w:color w:val="auto"/>
          <w:highlight w:val="none"/>
        </w:rPr>
        <w:t>二、投标供应商资格要求：</w:t>
      </w:r>
      <w:bookmarkEnd w:id="0"/>
      <w:bookmarkEnd w:id="1"/>
      <w:bookmarkEnd w:id="2"/>
      <w:bookmarkEnd w:id="3"/>
    </w:p>
    <w:p w14:paraId="3FE4D2F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10月15日-2024年10月15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4" w:name="_Toc30400"/>
      <w:bookmarkStart w:id="5" w:name="_Toc35393625"/>
      <w:bookmarkStart w:id="6" w:name="_Toc20863"/>
      <w:bookmarkStart w:id="7" w:name="_Toc28359084"/>
      <w:bookmarkStart w:id="8" w:name="_Toc35393794"/>
      <w:bookmarkStart w:id="9" w:name="_Toc28359007"/>
      <w:bookmarkStart w:id="10" w:name="_Toc23672"/>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（2）获取采购文件时间：2024年10月15日至2024年10月22日。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4</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11月05日11</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11月05日11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4"/>
      <w:bookmarkEnd w:id="5"/>
      <w:bookmarkEnd w:id="6"/>
      <w:bookmarkEnd w:id="7"/>
      <w:bookmarkEnd w:id="8"/>
      <w:bookmarkEnd w:id="9"/>
      <w:bookmarkEnd w:id="10"/>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11"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12" w:name="_Toc35393636"/>
      <w:bookmarkStart w:id="13" w:name="_Toc28359095"/>
      <w:bookmarkStart w:id="14" w:name="_Toc28359018"/>
      <w:bookmarkStart w:id="15" w:name="_Toc35393805"/>
      <w:r>
        <w:rPr>
          <w:rFonts w:hint="eastAsia" w:ascii="微软雅黑" w:hAnsi="微软雅黑" w:eastAsia="微软雅黑" w:cs="微软雅黑"/>
          <w:b/>
          <w:bCs/>
          <w:color w:val="auto"/>
          <w:kern w:val="0"/>
          <w:sz w:val="24"/>
          <w:highlight w:val="none"/>
        </w:rPr>
        <w:t>凡对本次采购提出询问，请按以下方式联系。</w:t>
      </w:r>
      <w:bookmarkEnd w:id="11"/>
      <w:bookmarkEnd w:id="12"/>
      <w:bookmarkEnd w:id="13"/>
      <w:bookmarkEnd w:id="14"/>
      <w:bookmarkEnd w:id="15"/>
    </w:p>
    <w:tbl>
      <w:tblPr>
        <w:tblStyle w:val="7"/>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3"/>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十五</w:t>
      </w:r>
      <w:bookmarkStart w:id="16" w:name="_GoBack"/>
      <w:bookmarkEnd w:id="16"/>
      <w:r>
        <w:rPr>
          <w:rFonts w:hint="eastAsia" w:ascii="微软雅黑" w:hAnsi="微软雅黑" w:eastAsia="微软雅黑" w:cs="微软雅黑"/>
          <w:b/>
          <w:color w:val="auto"/>
          <w:sz w:val="24"/>
          <w:szCs w:val="24"/>
          <w:highlight w:val="none"/>
        </w:rPr>
        <w:t>日</w:t>
      </w:r>
    </w:p>
    <w:p w14:paraId="249D5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0E1782B"/>
    <w:rsid w:val="010873ED"/>
    <w:rsid w:val="025E7F48"/>
    <w:rsid w:val="05D76357"/>
    <w:rsid w:val="0DE620DB"/>
    <w:rsid w:val="13433B2C"/>
    <w:rsid w:val="150E0F39"/>
    <w:rsid w:val="1B612213"/>
    <w:rsid w:val="1D581445"/>
    <w:rsid w:val="2069704D"/>
    <w:rsid w:val="209E05F3"/>
    <w:rsid w:val="2265761B"/>
    <w:rsid w:val="244137AE"/>
    <w:rsid w:val="26123616"/>
    <w:rsid w:val="26D922E9"/>
    <w:rsid w:val="2F3960B7"/>
    <w:rsid w:val="31D43E75"/>
    <w:rsid w:val="356674DA"/>
    <w:rsid w:val="37E16F41"/>
    <w:rsid w:val="3F964E60"/>
    <w:rsid w:val="428613F0"/>
    <w:rsid w:val="43AC4C52"/>
    <w:rsid w:val="469D2768"/>
    <w:rsid w:val="4B53748E"/>
    <w:rsid w:val="4D8832D3"/>
    <w:rsid w:val="501D55AD"/>
    <w:rsid w:val="515B3813"/>
    <w:rsid w:val="5FA1405D"/>
    <w:rsid w:val="63073ED4"/>
    <w:rsid w:val="65913850"/>
    <w:rsid w:val="66442670"/>
    <w:rsid w:val="69D75FA8"/>
    <w:rsid w:val="6C7D068A"/>
    <w:rsid w:val="70B14318"/>
    <w:rsid w:val="73681C54"/>
    <w:rsid w:val="740A2C53"/>
    <w:rsid w:val="74A23383"/>
    <w:rsid w:val="75DE1BBF"/>
    <w:rsid w:val="77BE3200"/>
    <w:rsid w:val="7B332F87"/>
    <w:rsid w:val="7BE47335"/>
    <w:rsid w:val="7CE7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2087</Words>
  <Characters>2395</Characters>
  <Lines>0</Lines>
  <Paragraphs>0</Paragraphs>
  <TotalTime>0</TotalTime>
  <ScaleCrop>false</ScaleCrop>
  <LinksUpToDate>false</LinksUpToDate>
  <CharactersWithSpaces>2443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2024-07-29T11:13:00Z</dcterms:created>
  <dc:creator>Administrator</dc:creator>
  <cp:lastModifiedBy>Administrator</cp:lastModifiedBy>
  <dcterms:modified xsi:type="dcterms:W3CDTF">2024-10-15T09:34:07Z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E16C25AD03904FB38B1032946449E3A1_12</vt:lpwstr>
  </property>
</Properties>
</file>