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9A83B">
      <w:pPr>
        <w:tabs>
          <w:tab w:val="left" w:pos="6300"/>
        </w:tabs>
        <w:spacing w:line="240" w:lineRule="atLeast"/>
        <w:jc w:val="center"/>
        <w:outlineLvl w:val="9"/>
        <w:rPr>
          <w:rFonts w:hint="eastAsia" w:ascii="宋体" w:hAnsi="宋体" w:eastAsia="宋体" w:cs="宋体"/>
          <w:b/>
          <w:color w:val="auto"/>
          <w:kern w:val="44"/>
          <w:sz w:val="40"/>
          <w:szCs w:val="22"/>
          <w:highlight w:val="none"/>
          <w:lang w:eastAsia="zh-CN"/>
        </w:rPr>
      </w:pPr>
      <w:bookmarkStart w:id="0" w:name="_Toc13057"/>
      <w:bookmarkStart w:id="1" w:name="_Toc1934"/>
      <w:bookmarkStart w:id="2" w:name="_Toc31636"/>
      <w:bookmarkStart w:id="3" w:name="_Toc3501"/>
      <w:bookmarkStart w:id="4" w:name="_Toc13297"/>
      <w:bookmarkStart w:id="5" w:name="_Toc22083"/>
      <w:bookmarkStart w:id="6" w:name="_Toc17321"/>
      <w:bookmarkStart w:id="7" w:name="_Toc12442"/>
      <w:bookmarkStart w:id="8" w:name="_Toc11880"/>
      <w:bookmarkStart w:id="9" w:name="_Toc16093"/>
      <w:bookmarkStart w:id="10" w:name="_Toc4177"/>
      <w:bookmarkStart w:id="11" w:name="_Toc31645"/>
      <w:bookmarkStart w:id="12" w:name="_Toc29241"/>
      <w:bookmarkStart w:id="13" w:name="_Toc27286"/>
      <w:bookmarkStart w:id="14" w:name="_Toc219175639"/>
      <w:bookmarkStart w:id="15" w:name="_Toc507399907"/>
      <w:bookmarkStart w:id="16" w:name="_Toc7971"/>
      <w:bookmarkStart w:id="17" w:name="_Toc216582826"/>
      <w:bookmarkStart w:id="18" w:name="_Toc515647832"/>
      <w:bookmarkStart w:id="19" w:name="_Toc32647"/>
      <w:bookmarkStart w:id="20" w:name="_Toc218935355"/>
    </w:p>
    <w:p w14:paraId="58543B02">
      <w:pPr>
        <w:spacing w:line="240" w:lineRule="atLeast"/>
        <w:jc w:val="center"/>
        <w:outlineLvl w:val="9"/>
        <w:rPr>
          <w:rFonts w:hint="eastAsia" w:ascii="宋体" w:hAnsi="宋体" w:eastAsia="宋体" w:cs="宋体"/>
          <w:b/>
          <w:bCs w:val="0"/>
          <w:color w:val="auto"/>
          <w:sz w:val="22"/>
          <w:szCs w:val="22"/>
          <w:highlight w:val="none"/>
        </w:rPr>
      </w:pPr>
      <w:r>
        <w:rPr>
          <w:rFonts w:hint="eastAsia" w:ascii="宋体" w:hAnsi="宋体" w:cs="宋体"/>
          <w:b/>
          <w:bCs w:val="0"/>
          <w:color w:val="auto"/>
          <w:kern w:val="2"/>
          <w:sz w:val="48"/>
          <w:szCs w:val="48"/>
          <w:highlight w:val="none"/>
          <w:lang w:val="en-US" w:eastAsia="zh-CN" w:bidi="ar-SA"/>
        </w:rPr>
        <w:t>泽普县维吾尔医医院等级保护测评及网络安全设备采购项目</w:t>
      </w:r>
    </w:p>
    <w:p w14:paraId="7C735956">
      <w:pPr>
        <w:spacing w:line="240" w:lineRule="atLeast"/>
        <w:jc w:val="center"/>
        <w:outlineLvl w:val="9"/>
        <w:rPr>
          <w:rFonts w:hint="eastAsia" w:ascii="宋体" w:hAnsi="宋体" w:eastAsia="宋体" w:cs="宋体"/>
          <w:b/>
          <w:bCs w:val="0"/>
          <w:color w:val="auto"/>
          <w:sz w:val="22"/>
          <w:szCs w:val="22"/>
          <w:highlight w:val="none"/>
        </w:rPr>
      </w:pPr>
    </w:p>
    <w:p w14:paraId="5C7090B4">
      <w:pPr>
        <w:spacing w:line="240" w:lineRule="atLeast"/>
        <w:jc w:val="center"/>
        <w:outlineLvl w:val="9"/>
        <w:rPr>
          <w:rFonts w:hint="eastAsia" w:ascii="宋体" w:hAnsi="宋体" w:eastAsia="宋体" w:cs="宋体"/>
          <w:b/>
          <w:bCs w:val="0"/>
          <w:color w:val="auto"/>
          <w:sz w:val="22"/>
          <w:szCs w:val="22"/>
          <w:highlight w:val="none"/>
        </w:rPr>
      </w:pPr>
    </w:p>
    <w:p w14:paraId="3D13741E">
      <w:pPr>
        <w:spacing w:line="240" w:lineRule="atLeast"/>
        <w:jc w:val="center"/>
        <w:outlineLvl w:val="9"/>
        <w:rPr>
          <w:rFonts w:hint="eastAsia" w:ascii="宋体" w:hAnsi="宋体" w:eastAsia="宋体" w:cs="宋体"/>
          <w:b/>
          <w:bCs w:val="0"/>
          <w:color w:val="auto"/>
          <w:sz w:val="72"/>
          <w:szCs w:val="72"/>
          <w:highlight w:val="none"/>
        </w:rPr>
      </w:pPr>
      <w:r>
        <w:rPr>
          <w:rFonts w:hint="eastAsia" w:ascii="宋体" w:hAnsi="宋体" w:cs="宋体"/>
          <w:b/>
          <w:bCs w:val="0"/>
          <w:color w:val="auto"/>
          <w:sz w:val="72"/>
          <w:szCs w:val="72"/>
          <w:highlight w:val="none"/>
          <w:lang w:val="en-US" w:eastAsia="zh-CN"/>
        </w:rPr>
        <w:t xml:space="preserve">招 标 </w:t>
      </w:r>
      <w:r>
        <w:rPr>
          <w:rFonts w:hint="eastAsia" w:ascii="宋体" w:hAnsi="宋体" w:eastAsia="宋体" w:cs="宋体"/>
          <w:b/>
          <w:bCs w:val="0"/>
          <w:color w:val="auto"/>
          <w:sz w:val="72"/>
          <w:szCs w:val="72"/>
          <w:highlight w:val="none"/>
        </w:rPr>
        <w:t>文</w:t>
      </w:r>
      <w:r>
        <w:rPr>
          <w:rFonts w:hint="eastAsia" w:ascii="宋体" w:hAnsi="宋体" w:cs="宋体"/>
          <w:b/>
          <w:bCs w:val="0"/>
          <w:color w:val="auto"/>
          <w:sz w:val="72"/>
          <w:szCs w:val="72"/>
          <w:highlight w:val="none"/>
          <w:lang w:val="en-US" w:eastAsia="zh-CN"/>
        </w:rPr>
        <w:t xml:space="preserve"> </w:t>
      </w:r>
      <w:r>
        <w:rPr>
          <w:rFonts w:hint="eastAsia" w:ascii="宋体" w:hAnsi="宋体" w:eastAsia="宋体" w:cs="宋体"/>
          <w:b/>
          <w:bCs w:val="0"/>
          <w:color w:val="auto"/>
          <w:sz w:val="72"/>
          <w:szCs w:val="72"/>
          <w:highlight w:val="none"/>
        </w:rPr>
        <w:t>件</w:t>
      </w:r>
    </w:p>
    <w:p w14:paraId="547AB09B">
      <w:pPr>
        <w:spacing w:line="240" w:lineRule="atLeast"/>
        <w:jc w:val="center"/>
        <w:outlineLvl w:val="9"/>
        <w:rPr>
          <w:rFonts w:hint="eastAsia" w:ascii="宋体" w:hAnsi="宋体" w:eastAsia="宋体" w:cs="宋体"/>
          <w:b/>
          <w:bCs w:val="0"/>
          <w:color w:val="auto"/>
          <w:sz w:val="18"/>
          <w:szCs w:val="18"/>
          <w:highlight w:val="none"/>
        </w:rPr>
      </w:pPr>
    </w:p>
    <w:p w14:paraId="3B689F76">
      <w:pPr>
        <w:outlineLvl w:val="9"/>
        <w:rPr>
          <w:rFonts w:hint="eastAsia" w:ascii="宋体" w:hAnsi="宋体" w:eastAsia="宋体" w:cs="宋体"/>
          <w:highlight w:val="none"/>
        </w:rPr>
      </w:pPr>
    </w:p>
    <w:p w14:paraId="6AC059F7">
      <w:pPr>
        <w:outlineLvl w:val="9"/>
        <w:rPr>
          <w:rFonts w:hint="eastAsia" w:ascii="宋体" w:hAnsi="宋体" w:eastAsia="宋体" w:cs="宋体"/>
          <w:highlight w:val="none"/>
        </w:rPr>
      </w:pPr>
    </w:p>
    <w:p w14:paraId="31C1C873">
      <w:pPr>
        <w:spacing w:line="240" w:lineRule="atLeast"/>
        <w:jc w:val="center"/>
        <w:outlineLvl w:val="9"/>
        <w:rPr>
          <w:rFonts w:hint="eastAsia" w:ascii="宋体" w:hAnsi="宋体" w:eastAsia="宋体" w:cs="宋体"/>
          <w:b/>
          <w:bCs w:val="0"/>
          <w:color w:val="auto"/>
          <w:sz w:val="48"/>
          <w:szCs w:val="48"/>
          <w:highlight w:val="none"/>
        </w:rPr>
      </w:pPr>
      <w:r>
        <w:rPr>
          <w:rFonts w:hint="eastAsia" w:ascii="宋体" w:hAnsi="宋体" w:eastAsia="宋体" w:cs="宋体"/>
          <w:b/>
          <w:bCs w:val="0"/>
          <w:color w:val="auto"/>
          <w:sz w:val="40"/>
          <w:szCs w:val="40"/>
          <w:highlight w:val="none"/>
        </w:rPr>
        <w:t>项目编号：ZPDL(2024)069</w:t>
      </w:r>
      <w:r>
        <w:rPr>
          <w:rFonts w:hint="eastAsia" w:ascii="宋体" w:hAnsi="宋体" w:eastAsia="宋体" w:cs="宋体"/>
          <w:b/>
          <w:bCs w:val="0"/>
          <w:color w:val="auto"/>
          <w:sz w:val="48"/>
          <w:szCs w:val="48"/>
          <w:highlight w:val="none"/>
        </w:rPr>
        <w:t xml:space="preserve">  </w:t>
      </w:r>
    </w:p>
    <w:p w14:paraId="0FB1A0DD">
      <w:pPr>
        <w:pStyle w:val="7"/>
        <w:rPr>
          <w:rFonts w:hint="eastAsia"/>
        </w:rPr>
      </w:pPr>
    </w:p>
    <w:p w14:paraId="7E8412B7">
      <w:pPr>
        <w:pStyle w:val="8"/>
        <w:rPr>
          <w:rFonts w:hint="eastAsia"/>
        </w:rPr>
      </w:pPr>
    </w:p>
    <w:p w14:paraId="5051DE90">
      <w:pPr>
        <w:pStyle w:val="7"/>
        <w:rPr>
          <w:rFonts w:hint="eastAsia"/>
        </w:rPr>
      </w:pPr>
    </w:p>
    <w:p w14:paraId="17828EFC">
      <w:pPr>
        <w:spacing w:line="240" w:lineRule="atLeast"/>
        <w:ind w:firstLine="1120" w:firstLineChars="400"/>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采</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购</w:t>
      </w:r>
      <w:r>
        <w:rPr>
          <w:rFonts w:hint="eastAsia" w:ascii="宋体" w:hAnsi="宋体" w:eastAsia="宋体" w:cs="宋体"/>
          <w:b/>
          <w:color w:val="auto"/>
          <w:sz w:val="28"/>
          <w:szCs w:val="28"/>
          <w:highlight w:val="none"/>
          <w:lang w:val="en-US" w:eastAsia="zh-CN"/>
        </w:rPr>
        <w:t xml:space="preserve"> 人</w:t>
      </w:r>
      <w:r>
        <w:rPr>
          <w:rFonts w:hint="eastAsia" w:ascii="宋体" w:hAnsi="宋体" w:eastAsia="宋体" w:cs="宋体"/>
          <w:b/>
          <w:color w:val="auto"/>
          <w:sz w:val="28"/>
          <w:szCs w:val="28"/>
          <w:highlight w:val="none"/>
        </w:rPr>
        <w:t>：</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val="en-US" w:eastAsia="zh-CN"/>
        </w:rPr>
        <w:t>泽普县维吾尔医医院</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rPr>
        <w:t xml:space="preserve">   </w:t>
      </w:r>
    </w:p>
    <w:p w14:paraId="6E9A6DEF">
      <w:pPr>
        <w:ind w:firstLine="1120" w:firstLineChars="400"/>
        <w:outlineLvl w:val="9"/>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联</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系</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人：</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努尔阿米娜·麦图迪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rPr>
        <w:t xml:space="preserve">      </w:t>
      </w:r>
    </w:p>
    <w:p w14:paraId="394BB14D">
      <w:pPr>
        <w:spacing w:line="360" w:lineRule="auto"/>
        <w:ind w:firstLine="1120" w:firstLineChars="400"/>
        <w:outlineLvl w:val="9"/>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t>联系电话：</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13579075405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lang w:val="en-US" w:eastAsia="zh-CN"/>
        </w:rPr>
        <w:t xml:space="preserve">  </w:t>
      </w:r>
    </w:p>
    <w:p w14:paraId="31540FB8">
      <w:pPr>
        <w:pStyle w:val="7"/>
        <w:outlineLvl w:val="9"/>
        <w:rPr>
          <w:rFonts w:hint="eastAsia" w:ascii="宋体" w:hAnsi="宋体" w:eastAsia="宋体" w:cs="宋体"/>
          <w:color w:val="auto"/>
          <w:sz w:val="28"/>
          <w:szCs w:val="28"/>
          <w:highlight w:val="none"/>
        </w:rPr>
      </w:pPr>
    </w:p>
    <w:p w14:paraId="5CB1145C">
      <w:pPr>
        <w:spacing w:line="240" w:lineRule="atLeast"/>
        <w:ind w:firstLine="1120" w:firstLineChars="400"/>
        <w:outlineLvl w:val="9"/>
        <w:rPr>
          <w:rFonts w:hint="eastAsia" w:ascii="宋体" w:hAnsi="宋体" w:eastAsia="宋体" w:cs="宋体"/>
          <w:b/>
          <w:color w:val="auto"/>
          <w:sz w:val="28"/>
          <w:szCs w:val="28"/>
          <w:highlight w:val="none"/>
          <w:u w:val="single"/>
          <w:lang w:val="en-US" w:eastAsia="zh-CN"/>
        </w:rPr>
      </w:pPr>
      <w:r>
        <w:rPr>
          <w:rFonts w:hint="eastAsia" w:ascii="宋体" w:hAnsi="宋体" w:eastAsia="宋体" w:cs="宋体"/>
          <w:b/>
          <w:color w:val="auto"/>
          <w:sz w:val="28"/>
          <w:szCs w:val="28"/>
          <w:highlight w:val="none"/>
        </w:rPr>
        <w:t>代理机构：</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cs="宋体"/>
          <w:b/>
          <w:color w:val="auto"/>
          <w:sz w:val="28"/>
          <w:szCs w:val="28"/>
          <w:highlight w:val="none"/>
          <w:u w:val="single"/>
          <w:lang w:eastAsia="zh-CN"/>
        </w:rPr>
        <w:t>喀什联胜项目管理有限责任公司</w:t>
      </w:r>
      <w:r>
        <w:rPr>
          <w:rFonts w:hint="eastAsia" w:ascii="宋体" w:hAnsi="宋体" w:eastAsia="宋体" w:cs="宋体"/>
          <w:b/>
          <w:color w:val="auto"/>
          <w:sz w:val="28"/>
          <w:szCs w:val="28"/>
          <w:highlight w:val="none"/>
          <w:u w:val="single"/>
          <w:lang w:val="en-US" w:eastAsia="zh-CN"/>
        </w:rPr>
        <w:t xml:space="preserve"> </w:t>
      </w:r>
    </w:p>
    <w:p w14:paraId="147F00C9">
      <w:pPr>
        <w:spacing w:line="240" w:lineRule="atLeast"/>
        <w:ind w:firstLine="1120" w:firstLineChars="400"/>
        <w:outlineLvl w:val="9"/>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联</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系</w:t>
      </w:r>
      <w:r>
        <w:rPr>
          <w:rFonts w:hint="eastAsia" w:ascii="宋体" w:hAnsi="宋体" w:eastAsia="宋体" w:cs="宋体"/>
          <w:b/>
          <w:color w:val="auto"/>
          <w:sz w:val="28"/>
          <w:szCs w:val="28"/>
          <w:highlight w:val="none"/>
          <w:lang w:val="en-US" w:eastAsia="zh-CN"/>
        </w:rPr>
        <w:t xml:space="preserve"> </w:t>
      </w:r>
      <w:r>
        <w:rPr>
          <w:rFonts w:hint="eastAsia" w:ascii="宋体" w:hAnsi="宋体" w:eastAsia="宋体" w:cs="宋体"/>
          <w:b/>
          <w:color w:val="auto"/>
          <w:sz w:val="28"/>
          <w:szCs w:val="28"/>
          <w:highlight w:val="none"/>
        </w:rPr>
        <w:t>人：</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eastAsia="zh-CN"/>
        </w:rPr>
        <w:t>巩丽</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w:t>
      </w:r>
    </w:p>
    <w:p w14:paraId="484F30DE">
      <w:pPr>
        <w:spacing w:line="240" w:lineRule="atLeast"/>
        <w:ind w:firstLine="1120" w:firstLineChars="400"/>
        <w:outlineLvl w:val="9"/>
        <w:rPr>
          <w:rFonts w:hint="eastAsia" w:ascii="宋体" w:hAnsi="宋体" w:eastAsia="宋体" w:cs="宋体"/>
          <w:b/>
          <w:bCs/>
          <w:color w:val="auto"/>
          <w:sz w:val="32"/>
          <w:szCs w:val="40"/>
          <w:highlight w:val="none"/>
        </w:rPr>
      </w:pPr>
      <w:r>
        <w:rPr>
          <w:rFonts w:hint="eastAsia" w:ascii="宋体" w:hAnsi="宋体" w:eastAsia="宋体" w:cs="宋体"/>
          <w:b/>
          <w:color w:val="auto"/>
          <w:sz w:val="28"/>
          <w:szCs w:val="28"/>
          <w:highlight w:val="none"/>
        </w:rPr>
        <w:t>联系电话：</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eastAsia="zh-CN"/>
        </w:rPr>
        <w:t>19190038815</w:t>
      </w:r>
      <w:r>
        <w:rPr>
          <w:rFonts w:hint="eastAsia" w:ascii="宋体" w:hAnsi="宋体" w:eastAsia="宋体" w:cs="宋体"/>
          <w:b/>
          <w:color w:val="auto"/>
          <w:sz w:val="28"/>
          <w:szCs w:val="28"/>
          <w:highlight w:val="none"/>
          <w:u w:val="single"/>
        </w:rPr>
        <w:t xml:space="preserve">    </w:t>
      </w:r>
      <w:r>
        <w:rPr>
          <w:rFonts w:hint="eastAsia" w:ascii="宋体" w:hAnsi="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w:t>
      </w:r>
    </w:p>
    <w:p w14:paraId="5D88CCD8">
      <w:pPr>
        <w:spacing w:line="240" w:lineRule="atLeast"/>
        <w:jc w:val="center"/>
        <w:outlineLvl w:val="9"/>
        <w:rPr>
          <w:rFonts w:hint="eastAsia" w:ascii="宋体" w:hAnsi="宋体" w:eastAsia="宋体" w:cs="宋体"/>
          <w:b/>
          <w:color w:val="auto"/>
          <w:sz w:val="20"/>
          <w:szCs w:val="20"/>
          <w:highlight w:val="none"/>
        </w:rPr>
      </w:pPr>
    </w:p>
    <w:p w14:paraId="45AE100F">
      <w:pPr>
        <w:spacing w:line="240" w:lineRule="atLeast"/>
        <w:jc w:val="center"/>
        <w:outlineLvl w:val="9"/>
        <w:rPr>
          <w:rFonts w:hint="eastAsia" w:ascii="宋体" w:hAnsi="宋体" w:eastAsia="宋体" w:cs="宋体"/>
          <w:b/>
          <w:color w:val="auto"/>
          <w:sz w:val="28"/>
          <w:szCs w:val="28"/>
          <w:highlight w:val="none"/>
          <w:lang w:val="en-US" w:eastAsia="zh-CN"/>
        </w:rPr>
        <w:sectPr>
          <w:head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ascii="宋体" w:hAnsi="宋体" w:eastAsia="宋体" w:cs="宋体"/>
          <w:b/>
          <w:color w:val="auto"/>
          <w:sz w:val="28"/>
          <w:szCs w:val="28"/>
          <w:highlight w:val="none"/>
        </w:rPr>
        <w:t>日期：20</w:t>
      </w:r>
      <w:r>
        <w:rPr>
          <w:rFonts w:hint="eastAsia" w:ascii="宋体" w:hAnsi="宋体" w:eastAsia="宋体" w:cs="宋体"/>
          <w:b/>
          <w:color w:val="auto"/>
          <w:sz w:val="28"/>
          <w:szCs w:val="28"/>
          <w:highlight w:val="none"/>
          <w:lang w:val="en-US" w:eastAsia="zh-CN"/>
        </w:rPr>
        <w:t>2</w:t>
      </w:r>
      <w:r>
        <w:rPr>
          <w:rFonts w:hint="eastAsia" w:ascii="宋体" w:hAnsi="宋体" w:cs="宋体"/>
          <w:b/>
          <w:color w:val="auto"/>
          <w:sz w:val="28"/>
          <w:szCs w:val="28"/>
          <w:highlight w:val="none"/>
          <w:lang w:val="en-US" w:eastAsia="zh-CN"/>
        </w:rPr>
        <w:t>4</w:t>
      </w:r>
      <w:r>
        <w:rPr>
          <w:rFonts w:hint="eastAsia" w:ascii="宋体" w:hAnsi="宋体" w:eastAsia="宋体" w:cs="宋体"/>
          <w:b/>
          <w:color w:val="auto"/>
          <w:sz w:val="28"/>
          <w:szCs w:val="28"/>
          <w:highlight w:val="none"/>
        </w:rPr>
        <w:t>年</w:t>
      </w:r>
      <w:r>
        <w:rPr>
          <w:rFonts w:hint="eastAsia" w:ascii="宋体" w:hAnsi="宋体" w:cs="宋体"/>
          <w:b/>
          <w:color w:val="auto"/>
          <w:sz w:val="28"/>
          <w:szCs w:val="28"/>
          <w:highlight w:val="none"/>
          <w:lang w:val="en-US" w:eastAsia="zh-CN"/>
        </w:rPr>
        <w:t>10</w:t>
      </w:r>
      <w:r>
        <w:rPr>
          <w:rFonts w:hint="eastAsia" w:ascii="宋体" w:hAnsi="宋体" w:eastAsia="宋体" w:cs="宋体"/>
          <w:b/>
          <w:color w:val="auto"/>
          <w:sz w:val="28"/>
          <w:szCs w:val="28"/>
          <w:highlight w:val="none"/>
          <w:lang w:val="en-US" w:eastAsia="zh-CN"/>
        </w:rPr>
        <w:t>月</w:t>
      </w:r>
    </w:p>
    <w:p w14:paraId="5954E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color w:val="auto"/>
          <w:sz w:val="24"/>
          <w:szCs w:val="24"/>
          <w:highlight w:val="none"/>
        </w:rPr>
      </w:pPr>
      <w:bookmarkStart w:id="21" w:name="_Toc8627"/>
      <w:bookmarkStart w:id="22" w:name="_Toc216582804"/>
      <w:bookmarkStart w:id="23" w:name="_Toc17230"/>
      <w:bookmarkStart w:id="24" w:name="_Toc22782"/>
      <w:bookmarkStart w:id="25" w:name="_Toc25253"/>
      <w:bookmarkStart w:id="26" w:name="_Toc11115"/>
      <w:bookmarkStart w:id="27" w:name="_Toc515647798"/>
      <w:bookmarkStart w:id="28" w:name="_Toc1148"/>
      <w:bookmarkStart w:id="29" w:name="_Toc16548"/>
      <w:r>
        <w:rPr>
          <w:rFonts w:hint="eastAsia" w:ascii="宋体" w:hAnsi="宋体" w:eastAsia="宋体" w:cs="宋体"/>
          <w:b/>
          <w:bCs/>
          <w:color w:val="auto"/>
          <w:sz w:val="24"/>
          <w:szCs w:val="24"/>
          <w:highlight w:val="none"/>
        </w:rPr>
        <w:t>目   录</w:t>
      </w:r>
    </w:p>
    <w:p w14:paraId="4F42622E">
      <w:pPr>
        <w:pStyle w:val="15"/>
        <w:tabs>
          <w:tab w:val="right" w:leader="dot" w:pos="8311"/>
        </w:tabs>
      </w:pPr>
      <w:r>
        <w:rPr>
          <w:rFonts w:hint="eastAsia" w:ascii="宋体" w:hAnsi="宋体" w:eastAsia="宋体" w:cs="宋体"/>
          <w:b w:val="0"/>
          <w:bCs w:val="0"/>
          <w:sz w:val="21"/>
          <w:szCs w:val="21"/>
          <w:highlight w:val="none"/>
        </w:rPr>
        <w:fldChar w:fldCharType="begin"/>
      </w:r>
      <w:r>
        <w:rPr>
          <w:rFonts w:hint="eastAsia" w:ascii="宋体" w:hAnsi="宋体" w:eastAsia="宋体" w:cs="宋体"/>
          <w:b w:val="0"/>
          <w:bCs w:val="0"/>
          <w:sz w:val="21"/>
          <w:szCs w:val="21"/>
          <w:highlight w:val="none"/>
        </w:rPr>
        <w:instrText xml:space="preserve">TOC \o "1-3" \h \u </w:instrText>
      </w:r>
      <w:r>
        <w:rPr>
          <w:rFonts w:hint="eastAsia" w:ascii="宋体" w:hAnsi="宋体" w:eastAsia="宋体" w:cs="宋体"/>
          <w:b w:val="0"/>
          <w:bCs w:val="0"/>
          <w:sz w:val="21"/>
          <w:szCs w:val="21"/>
          <w:highlight w:val="none"/>
        </w:rPr>
        <w:fldChar w:fldCharType="separate"/>
      </w: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_Toc19483 </w:instrText>
      </w:r>
      <w:r>
        <w:rPr>
          <w:rFonts w:hint="eastAsia" w:ascii="宋体" w:hAnsi="宋体" w:eastAsia="宋体" w:cs="宋体"/>
          <w:bCs w:val="0"/>
          <w:szCs w:val="21"/>
          <w:highlight w:val="none"/>
        </w:rPr>
        <w:fldChar w:fldCharType="separate"/>
      </w:r>
      <w:r>
        <w:rPr>
          <w:rFonts w:hint="eastAsia" w:ascii="宋体" w:hAnsi="宋体" w:eastAsia="宋体" w:cs="宋体"/>
          <w:bCs/>
          <w:szCs w:val="32"/>
          <w:highlight w:val="none"/>
        </w:rPr>
        <w:t>第1章</w:t>
      </w:r>
      <w:r>
        <w:rPr>
          <w:rFonts w:hint="eastAsia" w:ascii="宋体" w:hAnsi="宋体" w:eastAsia="宋体" w:cs="宋体"/>
          <w:bCs/>
          <w:szCs w:val="32"/>
          <w:highlight w:val="none"/>
          <w:lang w:val="en-US" w:eastAsia="zh-CN"/>
        </w:rPr>
        <w:t xml:space="preserve">  </w:t>
      </w:r>
      <w:r>
        <w:rPr>
          <w:rFonts w:hint="eastAsia" w:ascii="宋体" w:hAnsi="宋体" w:eastAsia="宋体" w:cs="宋体"/>
          <w:bCs/>
          <w:szCs w:val="32"/>
          <w:highlight w:val="none"/>
          <w:lang w:eastAsia="zh-CN"/>
        </w:rPr>
        <w:t>供应商</w:t>
      </w:r>
      <w:r>
        <w:rPr>
          <w:rFonts w:hint="eastAsia" w:ascii="宋体" w:hAnsi="宋体" w:eastAsia="宋体" w:cs="宋体"/>
          <w:bCs/>
          <w:szCs w:val="32"/>
          <w:highlight w:val="none"/>
        </w:rPr>
        <w:t>须知</w:t>
      </w:r>
      <w:r>
        <w:tab/>
      </w:r>
      <w:r>
        <w:fldChar w:fldCharType="begin"/>
      </w:r>
      <w:r>
        <w:instrText xml:space="preserve"> PAGEREF _Toc19483 \h </w:instrText>
      </w:r>
      <w:r>
        <w:fldChar w:fldCharType="separate"/>
      </w:r>
      <w:r>
        <w:t>4</w:t>
      </w:r>
      <w:r>
        <w:fldChar w:fldCharType="end"/>
      </w:r>
      <w:r>
        <w:rPr>
          <w:rFonts w:hint="eastAsia" w:ascii="宋体" w:hAnsi="宋体" w:eastAsia="宋体" w:cs="宋体"/>
          <w:bCs w:val="0"/>
          <w:szCs w:val="21"/>
          <w:highlight w:val="none"/>
        </w:rPr>
        <w:fldChar w:fldCharType="end"/>
      </w:r>
    </w:p>
    <w:p w14:paraId="033E2DFC">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_Toc23277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一   总 则</w:t>
      </w:r>
      <w:r>
        <w:tab/>
      </w:r>
      <w:r>
        <w:fldChar w:fldCharType="begin"/>
      </w:r>
      <w:r>
        <w:instrText xml:space="preserve"> PAGEREF _Toc23277 \h </w:instrText>
      </w:r>
      <w:r>
        <w:fldChar w:fldCharType="separate"/>
      </w:r>
      <w:r>
        <w:t>4</w:t>
      </w:r>
      <w:r>
        <w:fldChar w:fldCharType="end"/>
      </w:r>
      <w:r>
        <w:rPr>
          <w:rFonts w:hint="eastAsia" w:ascii="宋体" w:hAnsi="宋体" w:eastAsia="宋体" w:cs="宋体"/>
          <w:bCs w:val="0"/>
          <w:szCs w:val="21"/>
          <w:highlight w:val="none"/>
        </w:rPr>
        <w:fldChar w:fldCharType="end"/>
      </w:r>
    </w:p>
    <w:p w14:paraId="7C4EB762">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_Toc13962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二   招标文件</w:t>
      </w:r>
      <w:r>
        <w:tab/>
      </w:r>
      <w:r>
        <w:fldChar w:fldCharType="begin"/>
      </w:r>
      <w:r>
        <w:instrText xml:space="preserve"> PAGEREF _Toc13962 \h </w:instrText>
      </w:r>
      <w:r>
        <w:fldChar w:fldCharType="separate"/>
      </w:r>
      <w:r>
        <w:t>5</w:t>
      </w:r>
      <w:r>
        <w:fldChar w:fldCharType="end"/>
      </w:r>
      <w:r>
        <w:rPr>
          <w:rFonts w:hint="eastAsia" w:ascii="宋体" w:hAnsi="宋体" w:eastAsia="宋体" w:cs="宋体"/>
          <w:bCs w:val="0"/>
          <w:szCs w:val="21"/>
          <w:highlight w:val="none"/>
        </w:rPr>
        <w:fldChar w:fldCharType="end"/>
      </w:r>
    </w:p>
    <w:p w14:paraId="6EA28572">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_Toc4142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三   投标文件的编制</w:t>
      </w:r>
      <w:r>
        <w:tab/>
      </w:r>
      <w:r>
        <w:fldChar w:fldCharType="begin"/>
      </w:r>
      <w:r>
        <w:instrText xml:space="preserve"> PAGEREF _Toc4142 \h </w:instrText>
      </w:r>
      <w:r>
        <w:fldChar w:fldCharType="separate"/>
      </w:r>
      <w:r>
        <w:t>6</w:t>
      </w:r>
      <w:r>
        <w:fldChar w:fldCharType="end"/>
      </w:r>
      <w:r>
        <w:rPr>
          <w:rFonts w:hint="eastAsia" w:ascii="宋体" w:hAnsi="宋体" w:eastAsia="宋体" w:cs="宋体"/>
          <w:bCs w:val="0"/>
          <w:szCs w:val="21"/>
          <w:highlight w:val="none"/>
        </w:rPr>
        <w:fldChar w:fldCharType="end"/>
      </w:r>
    </w:p>
    <w:p w14:paraId="58AE5F83">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_Toc1063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四   投标文件的递交</w:t>
      </w:r>
      <w:r>
        <w:tab/>
      </w:r>
      <w:r>
        <w:fldChar w:fldCharType="begin"/>
      </w:r>
      <w:r>
        <w:instrText xml:space="preserve"> PAGEREF _Toc1063 \h </w:instrText>
      </w:r>
      <w:r>
        <w:fldChar w:fldCharType="separate"/>
      </w:r>
      <w:r>
        <w:t>8</w:t>
      </w:r>
      <w:r>
        <w:fldChar w:fldCharType="end"/>
      </w:r>
      <w:r>
        <w:rPr>
          <w:rFonts w:hint="eastAsia" w:ascii="宋体" w:hAnsi="宋体" w:eastAsia="宋体" w:cs="宋体"/>
          <w:bCs w:val="0"/>
          <w:szCs w:val="21"/>
          <w:highlight w:val="none"/>
        </w:rPr>
        <w:fldChar w:fldCharType="end"/>
      </w:r>
    </w:p>
    <w:p w14:paraId="0A29B3AB">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_Toc5789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五   开标及评标</w:t>
      </w:r>
      <w:r>
        <w:tab/>
      </w:r>
      <w:r>
        <w:fldChar w:fldCharType="begin"/>
      </w:r>
      <w:r>
        <w:instrText xml:space="preserve"> PAGEREF _Toc5789 \h </w:instrText>
      </w:r>
      <w:r>
        <w:fldChar w:fldCharType="separate"/>
      </w:r>
      <w:r>
        <w:t>9</w:t>
      </w:r>
      <w:r>
        <w:fldChar w:fldCharType="end"/>
      </w:r>
      <w:r>
        <w:rPr>
          <w:rFonts w:hint="eastAsia" w:ascii="宋体" w:hAnsi="宋体" w:eastAsia="宋体" w:cs="宋体"/>
          <w:bCs w:val="0"/>
          <w:szCs w:val="21"/>
          <w:highlight w:val="none"/>
        </w:rPr>
        <w:fldChar w:fldCharType="end"/>
      </w:r>
    </w:p>
    <w:p w14:paraId="1724D424">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_Toc11151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六   确定中标</w:t>
      </w:r>
      <w:r>
        <w:tab/>
      </w:r>
      <w:r>
        <w:fldChar w:fldCharType="begin"/>
      </w:r>
      <w:r>
        <w:instrText xml:space="preserve"> PAGEREF _Toc11151 \h </w:instrText>
      </w:r>
      <w:r>
        <w:fldChar w:fldCharType="separate"/>
      </w:r>
      <w:r>
        <w:t>14</w:t>
      </w:r>
      <w:r>
        <w:fldChar w:fldCharType="end"/>
      </w:r>
      <w:r>
        <w:rPr>
          <w:rFonts w:hint="eastAsia" w:ascii="宋体" w:hAnsi="宋体" w:eastAsia="宋体" w:cs="宋体"/>
          <w:bCs w:val="0"/>
          <w:szCs w:val="21"/>
          <w:highlight w:val="none"/>
        </w:rPr>
        <w:fldChar w:fldCharType="end"/>
      </w:r>
    </w:p>
    <w:p w14:paraId="21E395B4">
      <w:pPr>
        <w:pStyle w:val="15"/>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_Toc28433 </w:instrText>
      </w:r>
      <w:r>
        <w:rPr>
          <w:rFonts w:hint="eastAsia" w:ascii="宋体" w:hAnsi="宋体" w:eastAsia="宋体" w:cs="宋体"/>
          <w:bCs w:val="0"/>
          <w:szCs w:val="21"/>
          <w:highlight w:val="none"/>
        </w:rPr>
        <w:fldChar w:fldCharType="separate"/>
      </w:r>
      <w:r>
        <w:rPr>
          <w:rFonts w:hint="eastAsia" w:ascii="宋体" w:hAnsi="宋体" w:eastAsia="宋体" w:cs="宋体"/>
          <w:bCs/>
          <w:szCs w:val="32"/>
          <w:highlight w:val="none"/>
          <w:lang w:val="en-US" w:eastAsia="zh-CN"/>
        </w:rPr>
        <w:t>第2章  投标文件格式</w:t>
      </w:r>
      <w:r>
        <w:tab/>
      </w:r>
      <w:r>
        <w:fldChar w:fldCharType="begin"/>
      </w:r>
      <w:r>
        <w:instrText xml:space="preserve"> PAGEREF _Toc28433 \h </w:instrText>
      </w:r>
      <w:r>
        <w:fldChar w:fldCharType="separate"/>
      </w:r>
      <w:r>
        <w:t>19</w:t>
      </w:r>
      <w:r>
        <w:fldChar w:fldCharType="end"/>
      </w:r>
      <w:r>
        <w:rPr>
          <w:rFonts w:hint="eastAsia" w:ascii="宋体" w:hAnsi="宋体" w:eastAsia="宋体" w:cs="宋体"/>
          <w:bCs w:val="0"/>
          <w:szCs w:val="21"/>
          <w:highlight w:val="none"/>
        </w:rPr>
        <w:fldChar w:fldCharType="end"/>
      </w:r>
    </w:p>
    <w:p w14:paraId="090C15EB">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_Toc31132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第一部分 开标一览表及资格证明文件</w:t>
      </w:r>
      <w:r>
        <w:tab/>
      </w:r>
      <w:r>
        <w:fldChar w:fldCharType="begin"/>
      </w:r>
      <w:r>
        <w:instrText xml:space="preserve"> PAGEREF _Toc31132 \h </w:instrText>
      </w:r>
      <w:r>
        <w:fldChar w:fldCharType="separate"/>
      </w:r>
      <w:r>
        <w:t>19</w:t>
      </w:r>
      <w:r>
        <w:fldChar w:fldCharType="end"/>
      </w:r>
      <w:r>
        <w:rPr>
          <w:rFonts w:hint="eastAsia" w:ascii="宋体" w:hAnsi="宋体" w:eastAsia="宋体" w:cs="宋体"/>
          <w:bCs w:val="0"/>
          <w:szCs w:val="21"/>
          <w:highlight w:val="none"/>
        </w:rPr>
        <w:fldChar w:fldCharType="end"/>
      </w:r>
    </w:p>
    <w:p w14:paraId="5B4BAD6E">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_Toc18239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1.开标一览表；</w:t>
      </w:r>
      <w:r>
        <w:tab/>
      </w:r>
      <w:r>
        <w:fldChar w:fldCharType="begin"/>
      </w:r>
      <w:r>
        <w:instrText xml:space="preserve"> PAGEREF _Toc18239 \h </w:instrText>
      </w:r>
      <w:r>
        <w:fldChar w:fldCharType="separate"/>
      </w:r>
      <w:r>
        <w:t>20</w:t>
      </w:r>
      <w:r>
        <w:fldChar w:fldCharType="end"/>
      </w:r>
      <w:r>
        <w:rPr>
          <w:rFonts w:hint="eastAsia" w:ascii="宋体" w:hAnsi="宋体" w:eastAsia="宋体" w:cs="宋体"/>
          <w:bCs w:val="0"/>
          <w:szCs w:val="21"/>
          <w:highlight w:val="none"/>
        </w:rPr>
        <w:fldChar w:fldCharType="end"/>
      </w:r>
    </w:p>
    <w:p w14:paraId="5A1297B1">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_Toc23230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2.具有有效的营业执照；</w:t>
      </w:r>
      <w:r>
        <w:tab/>
      </w:r>
      <w:r>
        <w:fldChar w:fldCharType="begin"/>
      </w:r>
      <w:r>
        <w:instrText xml:space="preserve"> PAGEREF _Toc23230 \h </w:instrText>
      </w:r>
      <w:r>
        <w:fldChar w:fldCharType="separate"/>
      </w:r>
      <w:r>
        <w:t>20</w:t>
      </w:r>
      <w:r>
        <w:fldChar w:fldCharType="end"/>
      </w:r>
      <w:r>
        <w:rPr>
          <w:rFonts w:hint="eastAsia" w:ascii="宋体" w:hAnsi="宋体" w:eastAsia="宋体" w:cs="宋体"/>
          <w:bCs w:val="0"/>
          <w:szCs w:val="21"/>
          <w:highlight w:val="none"/>
        </w:rPr>
        <w:fldChar w:fldCharType="end"/>
      </w:r>
    </w:p>
    <w:p w14:paraId="4A51E548">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_Toc7806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3.供应商需具备由公安部第三研究所颁发的网络安全等级测评与检测评估机构服务认证证书;</w:t>
      </w:r>
      <w:r>
        <w:tab/>
      </w:r>
      <w:r>
        <w:fldChar w:fldCharType="begin"/>
      </w:r>
      <w:r>
        <w:instrText xml:space="preserve"> PAGEREF _Toc7806 \h </w:instrText>
      </w:r>
      <w:r>
        <w:fldChar w:fldCharType="separate"/>
      </w:r>
      <w:r>
        <w:t>20</w:t>
      </w:r>
      <w:r>
        <w:fldChar w:fldCharType="end"/>
      </w:r>
      <w:r>
        <w:rPr>
          <w:rFonts w:hint="eastAsia" w:ascii="宋体" w:hAnsi="宋体" w:eastAsia="宋体" w:cs="宋体"/>
          <w:bCs w:val="0"/>
          <w:szCs w:val="21"/>
          <w:highlight w:val="none"/>
        </w:rPr>
        <w:fldChar w:fldCharType="end"/>
      </w:r>
    </w:p>
    <w:p w14:paraId="25A05EF4">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_Toc15925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4.法定代表人资格证明；</w:t>
      </w:r>
      <w:r>
        <w:tab/>
      </w:r>
      <w:r>
        <w:fldChar w:fldCharType="begin"/>
      </w:r>
      <w:r>
        <w:instrText xml:space="preserve"> PAGEREF _Toc15925 \h </w:instrText>
      </w:r>
      <w:r>
        <w:fldChar w:fldCharType="separate"/>
      </w:r>
      <w:r>
        <w:t>21</w:t>
      </w:r>
      <w:r>
        <w:fldChar w:fldCharType="end"/>
      </w:r>
      <w:r>
        <w:rPr>
          <w:rFonts w:hint="eastAsia" w:ascii="宋体" w:hAnsi="宋体" w:eastAsia="宋体" w:cs="宋体"/>
          <w:bCs w:val="0"/>
          <w:szCs w:val="21"/>
          <w:highlight w:val="none"/>
        </w:rPr>
        <w:fldChar w:fldCharType="end"/>
      </w:r>
    </w:p>
    <w:p w14:paraId="19DCA0E6">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_Toc11547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5.提供近两年内任意一年的财务审计报告（</w:t>
      </w:r>
      <w:r>
        <w:rPr>
          <w:rFonts w:hint="eastAsia" w:hAnsi="宋体" w:cs="宋体"/>
          <w:bCs/>
          <w:kern w:val="2"/>
          <w:szCs w:val="24"/>
          <w:lang w:val="en-US" w:eastAsia="zh-CN" w:bidi="ar-SA"/>
        </w:rPr>
        <w:t>成立未满十二个月的新公司可提供近三个月内任意一个月的银行资信证明</w:t>
      </w:r>
      <w:r>
        <w:rPr>
          <w:rFonts w:hint="eastAsia" w:ascii="宋体" w:hAnsi="宋体" w:eastAsia="宋体" w:cs="宋体"/>
          <w:bCs/>
          <w:kern w:val="2"/>
          <w:szCs w:val="24"/>
          <w:lang w:val="en-US" w:eastAsia="zh-CN" w:bidi="ar-SA"/>
        </w:rPr>
        <w:t>）；</w:t>
      </w:r>
      <w:r>
        <w:tab/>
      </w:r>
      <w:r>
        <w:fldChar w:fldCharType="begin"/>
      </w:r>
      <w:r>
        <w:instrText xml:space="preserve"> PAGEREF _Toc11547 \h </w:instrText>
      </w:r>
      <w:r>
        <w:fldChar w:fldCharType="separate"/>
      </w:r>
      <w:r>
        <w:t>22</w:t>
      </w:r>
      <w:r>
        <w:fldChar w:fldCharType="end"/>
      </w:r>
      <w:r>
        <w:rPr>
          <w:rFonts w:hint="eastAsia" w:ascii="宋体" w:hAnsi="宋体" w:eastAsia="宋体" w:cs="宋体"/>
          <w:bCs w:val="0"/>
          <w:szCs w:val="21"/>
          <w:highlight w:val="none"/>
        </w:rPr>
        <w:fldChar w:fldCharType="end"/>
      </w:r>
    </w:p>
    <w:p w14:paraId="13294305">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_Toc2424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6.依法缴纳近六个月内任意一个月社会保险证明；</w:t>
      </w:r>
      <w:r>
        <w:tab/>
      </w:r>
      <w:r>
        <w:fldChar w:fldCharType="begin"/>
      </w:r>
      <w:r>
        <w:instrText xml:space="preserve"> PAGEREF _Toc2424 \h </w:instrText>
      </w:r>
      <w:r>
        <w:fldChar w:fldCharType="separate"/>
      </w:r>
      <w:r>
        <w:t>22</w:t>
      </w:r>
      <w:r>
        <w:fldChar w:fldCharType="end"/>
      </w:r>
      <w:r>
        <w:rPr>
          <w:rFonts w:hint="eastAsia" w:ascii="宋体" w:hAnsi="宋体" w:eastAsia="宋体" w:cs="宋体"/>
          <w:bCs w:val="0"/>
          <w:szCs w:val="21"/>
          <w:highlight w:val="none"/>
        </w:rPr>
        <w:fldChar w:fldCharType="end"/>
      </w:r>
    </w:p>
    <w:p w14:paraId="33E8A7EA">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_Toc32676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7.依法缴纳近六个月内任意一个月税收证明；</w:t>
      </w:r>
      <w:r>
        <w:tab/>
      </w:r>
      <w:r>
        <w:fldChar w:fldCharType="begin"/>
      </w:r>
      <w:r>
        <w:instrText xml:space="preserve"> PAGEREF _Toc32676 \h </w:instrText>
      </w:r>
      <w:r>
        <w:fldChar w:fldCharType="separate"/>
      </w:r>
      <w:r>
        <w:t>22</w:t>
      </w:r>
      <w:r>
        <w:fldChar w:fldCharType="end"/>
      </w:r>
      <w:r>
        <w:rPr>
          <w:rFonts w:hint="eastAsia" w:ascii="宋体" w:hAnsi="宋体" w:eastAsia="宋体" w:cs="宋体"/>
          <w:bCs w:val="0"/>
          <w:szCs w:val="21"/>
          <w:highlight w:val="none"/>
        </w:rPr>
        <w:fldChar w:fldCharType="end"/>
      </w:r>
    </w:p>
    <w:p w14:paraId="4A188D06">
      <w:pPr>
        <w:pStyle w:val="11"/>
        <w:tabs>
          <w:tab w:val="right" w:leader="dot" w:pos="8311"/>
        </w:tabs>
        <w:rPr>
          <w:rFonts w:hint="eastAsia" w:ascii="宋体" w:hAnsi="宋体" w:eastAsia="宋体" w:cs="宋体"/>
          <w:bCs/>
          <w:kern w:val="2"/>
          <w:szCs w:val="24"/>
          <w:lang w:val="en-US" w:eastAsia="zh-CN" w:bidi="ar-SA"/>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_Toc10247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8.根据《财政部关于在政府采购活动中查询及使用信用记录有关问题的通知》（财库﹝2016﹞125号）的要求，凡拟参加本次招标项目的供应商，如在“信用中国”网站（https://www.creditchina.gov.cn/）被列入失信被执行人、重大税收违法失信主体名单（信用服务-重点领域严重失信主体名单查询-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采购代理机构或采购人查询为准）；</w:t>
      </w:r>
    </w:p>
    <w:p w14:paraId="005C020D">
      <w:pPr>
        <w:pStyle w:val="11"/>
        <w:tabs>
          <w:tab w:val="right" w:leader="dot" w:pos="8311"/>
        </w:tabs>
      </w:pPr>
      <w:r>
        <w:rPr>
          <w:rFonts w:hint="eastAsia" w:ascii="宋体" w:hAnsi="宋体" w:eastAsia="宋体" w:cs="宋体"/>
          <w:bCs/>
          <w:kern w:val="2"/>
          <w:szCs w:val="24"/>
          <w:lang w:val="en-US" w:eastAsia="zh-CN" w:bidi="ar-SA"/>
        </w:rPr>
        <w:t>；</w:t>
      </w:r>
      <w:r>
        <w:tab/>
      </w:r>
      <w:r>
        <w:fldChar w:fldCharType="begin"/>
      </w:r>
      <w:r>
        <w:instrText xml:space="preserve"> PAGEREF _Toc10247 \h </w:instrText>
      </w:r>
      <w:r>
        <w:fldChar w:fldCharType="separate"/>
      </w:r>
      <w:r>
        <w:t>22</w:t>
      </w:r>
      <w:r>
        <w:fldChar w:fldCharType="end"/>
      </w:r>
      <w:r>
        <w:rPr>
          <w:rFonts w:hint="eastAsia" w:ascii="宋体" w:hAnsi="宋体" w:eastAsia="宋体" w:cs="宋体"/>
          <w:bCs w:val="0"/>
          <w:szCs w:val="21"/>
          <w:highlight w:val="none"/>
        </w:rPr>
        <w:fldChar w:fldCharType="end"/>
      </w:r>
    </w:p>
    <w:p w14:paraId="07D09FA5">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_Toc18461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9.参加政府采购活动前3年内在经营活动中没有重大违法记录的书面声明；</w:t>
      </w:r>
      <w:r>
        <w:tab/>
      </w:r>
      <w:r>
        <w:fldChar w:fldCharType="begin"/>
      </w:r>
      <w:r>
        <w:instrText xml:space="preserve"> PAGEREF _Toc18461 \h </w:instrText>
      </w:r>
      <w:r>
        <w:fldChar w:fldCharType="separate"/>
      </w:r>
      <w:r>
        <w:t>22</w:t>
      </w:r>
      <w:r>
        <w:fldChar w:fldCharType="end"/>
      </w:r>
      <w:r>
        <w:rPr>
          <w:rFonts w:hint="eastAsia" w:ascii="宋体" w:hAnsi="宋体" w:eastAsia="宋体" w:cs="宋体"/>
          <w:bCs w:val="0"/>
          <w:szCs w:val="21"/>
          <w:highlight w:val="none"/>
        </w:rPr>
        <w:fldChar w:fldCharType="end"/>
      </w:r>
    </w:p>
    <w:p w14:paraId="1337A62F">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_Toc11853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10.缴纳投标保证金的有效凭证；</w:t>
      </w:r>
      <w:r>
        <w:tab/>
      </w:r>
      <w:r>
        <w:fldChar w:fldCharType="begin"/>
      </w:r>
      <w:r>
        <w:instrText xml:space="preserve"> PAGEREF _Toc11853 \h </w:instrText>
      </w:r>
      <w:r>
        <w:fldChar w:fldCharType="separate"/>
      </w:r>
      <w:r>
        <w:t>23</w:t>
      </w:r>
      <w:r>
        <w:fldChar w:fldCharType="end"/>
      </w:r>
      <w:r>
        <w:rPr>
          <w:rFonts w:hint="eastAsia" w:ascii="宋体" w:hAnsi="宋体" w:eastAsia="宋体" w:cs="宋体"/>
          <w:bCs w:val="0"/>
          <w:szCs w:val="21"/>
          <w:highlight w:val="none"/>
        </w:rPr>
        <w:fldChar w:fldCharType="end"/>
      </w:r>
    </w:p>
    <w:p w14:paraId="010860C1">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_Toc12754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11.银行开户许可证复印件或银行基本账户信息(包含：银行账号及开户行名称）；</w:t>
      </w:r>
      <w:r>
        <w:tab/>
      </w:r>
      <w:r>
        <w:fldChar w:fldCharType="begin"/>
      </w:r>
      <w:r>
        <w:instrText xml:space="preserve"> PAGEREF _Toc12754 \h </w:instrText>
      </w:r>
      <w:r>
        <w:fldChar w:fldCharType="separate"/>
      </w:r>
      <w:r>
        <w:t>23</w:t>
      </w:r>
      <w:r>
        <w:fldChar w:fldCharType="end"/>
      </w:r>
      <w:r>
        <w:rPr>
          <w:rFonts w:hint="eastAsia" w:ascii="宋体" w:hAnsi="宋体" w:eastAsia="宋体" w:cs="宋体"/>
          <w:bCs w:val="0"/>
          <w:szCs w:val="21"/>
          <w:highlight w:val="none"/>
        </w:rPr>
        <w:fldChar w:fldCharType="end"/>
      </w:r>
    </w:p>
    <w:p w14:paraId="01D6A6EA">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_Toc10421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12.供应商可提供有利于投标的其他资格证明材料。</w:t>
      </w:r>
      <w:r>
        <w:tab/>
      </w:r>
      <w:r>
        <w:fldChar w:fldCharType="begin"/>
      </w:r>
      <w:r>
        <w:instrText xml:space="preserve"> PAGEREF _Toc10421 \h </w:instrText>
      </w:r>
      <w:r>
        <w:fldChar w:fldCharType="separate"/>
      </w:r>
      <w:r>
        <w:t>23</w:t>
      </w:r>
      <w:r>
        <w:fldChar w:fldCharType="end"/>
      </w:r>
      <w:r>
        <w:rPr>
          <w:rFonts w:hint="eastAsia" w:ascii="宋体" w:hAnsi="宋体" w:eastAsia="宋体" w:cs="宋体"/>
          <w:bCs w:val="0"/>
          <w:szCs w:val="21"/>
          <w:highlight w:val="none"/>
        </w:rPr>
        <w:fldChar w:fldCharType="end"/>
      </w:r>
    </w:p>
    <w:p w14:paraId="7726C1FE">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_Toc5289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rPr>
        <w:t>第二部分  商务及技术文件</w:t>
      </w:r>
      <w:r>
        <w:tab/>
      </w:r>
      <w:r>
        <w:fldChar w:fldCharType="begin"/>
      </w:r>
      <w:r>
        <w:instrText xml:space="preserve"> PAGEREF _Toc5289 \h </w:instrText>
      </w:r>
      <w:r>
        <w:fldChar w:fldCharType="separate"/>
      </w:r>
      <w:r>
        <w:t>24</w:t>
      </w:r>
      <w:r>
        <w:fldChar w:fldCharType="end"/>
      </w:r>
      <w:r>
        <w:rPr>
          <w:rFonts w:hint="eastAsia" w:ascii="宋体" w:hAnsi="宋体" w:eastAsia="宋体" w:cs="宋体"/>
          <w:bCs w:val="0"/>
          <w:szCs w:val="21"/>
          <w:highlight w:val="none"/>
        </w:rPr>
        <w:fldChar w:fldCharType="end"/>
      </w:r>
    </w:p>
    <w:p w14:paraId="57E0F449">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_Toc8226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1.投标书</w:t>
      </w:r>
      <w:r>
        <w:tab/>
      </w:r>
      <w:r>
        <w:fldChar w:fldCharType="begin"/>
      </w:r>
      <w:r>
        <w:instrText xml:space="preserve"> PAGEREF _Toc8226 \h </w:instrText>
      </w:r>
      <w:r>
        <w:fldChar w:fldCharType="separate"/>
      </w:r>
      <w:r>
        <w:t>25</w:t>
      </w:r>
      <w:r>
        <w:fldChar w:fldCharType="end"/>
      </w:r>
      <w:r>
        <w:rPr>
          <w:rFonts w:hint="eastAsia" w:ascii="宋体" w:hAnsi="宋体" w:eastAsia="宋体" w:cs="宋体"/>
          <w:bCs w:val="0"/>
          <w:szCs w:val="21"/>
          <w:highlight w:val="none"/>
        </w:rPr>
        <w:fldChar w:fldCharType="end"/>
      </w:r>
    </w:p>
    <w:p w14:paraId="1AF0C96B">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_Toc3113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2.投标分项报价表</w:t>
      </w:r>
      <w:r>
        <w:tab/>
      </w:r>
      <w:r>
        <w:fldChar w:fldCharType="begin"/>
      </w:r>
      <w:r>
        <w:instrText xml:space="preserve"> PAGEREF _Toc3113 \h </w:instrText>
      </w:r>
      <w:r>
        <w:fldChar w:fldCharType="separate"/>
      </w:r>
      <w:r>
        <w:t>26</w:t>
      </w:r>
      <w:r>
        <w:fldChar w:fldCharType="end"/>
      </w:r>
      <w:r>
        <w:rPr>
          <w:rFonts w:hint="eastAsia" w:ascii="宋体" w:hAnsi="宋体" w:eastAsia="宋体" w:cs="宋体"/>
          <w:bCs w:val="0"/>
          <w:szCs w:val="21"/>
          <w:highlight w:val="none"/>
        </w:rPr>
        <w:fldChar w:fldCharType="end"/>
      </w:r>
    </w:p>
    <w:p w14:paraId="696999B1">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_Toc26475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3.货物说明一览表</w:t>
      </w:r>
      <w:r>
        <w:tab/>
      </w:r>
      <w:r>
        <w:fldChar w:fldCharType="begin"/>
      </w:r>
      <w:r>
        <w:instrText xml:space="preserve"> PAGEREF _Toc26475 \h </w:instrText>
      </w:r>
      <w:r>
        <w:fldChar w:fldCharType="separate"/>
      </w:r>
      <w:r>
        <w:t>28</w:t>
      </w:r>
      <w:r>
        <w:fldChar w:fldCharType="end"/>
      </w:r>
      <w:r>
        <w:rPr>
          <w:rFonts w:hint="eastAsia" w:ascii="宋体" w:hAnsi="宋体" w:eastAsia="宋体" w:cs="宋体"/>
          <w:bCs w:val="0"/>
          <w:szCs w:val="21"/>
          <w:highlight w:val="none"/>
        </w:rPr>
        <w:fldChar w:fldCharType="end"/>
      </w:r>
    </w:p>
    <w:p w14:paraId="46407814">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_Toc22416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4.技术规格偏离表</w:t>
      </w:r>
      <w:r>
        <w:tab/>
      </w:r>
      <w:r>
        <w:fldChar w:fldCharType="begin"/>
      </w:r>
      <w:r>
        <w:instrText xml:space="preserve"> PAGEREF _Toc22416 \h </w:instrText>
      </w:r>
      <w:r>
        <w:fldChar w:fldCharType="separate"/>
      </w:r>
      <w:r>
        <w:t>29</w:t>
      </w:r>
      <w:r>
        <w:fldChar w:fldCharType="end"/>
      </w:r>
      <w:r>
        <w:rPr>
          <w:rFonts w:hint="eastAsia" w:ascii="宋体" w:hAnsi="宋体" w:eastAsia="宋体" w:cs="宋体"/>
          <w:bCs w:val="0"/>
          <w:szCs w:val="21"/>
          <w:highlight w:val="none"/>
        </w:rPr>
        <w:fldChar w:fldCharType="end"/>
      </w:r>
    </w:p>
    <w:p w14:paraId="124D7EFC">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_Toc8596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5.商务条款偏离表</w:t>
      </w:r>
      <w:r>
        <w:tab/>
      </w:r>
      <w:r>
        <w:fldChar w:fldCharType="begin"/>
      </w:r>
      <w:r>
        <w:instrText xml:space="preserve"> PAGEREF _Toc8596 \h </w:instrText>
      </w:r>
      <w:r>
        <w:fldChar w:fldCharType="separate"/>
      </w:r>
      <w:r>
        <w:t>30</w:t>
      </w:r>
      <w:r>
        <w:fldChar w:fldCharType="end"/>
      </w:r>
      <w:r>
        <w:rPr>
          <w:rFonts w:hint="eastAsia" w:ascii="宋体" w:hAnsi="宋体" w:eastAsia="宋体" w:cs="宋体"/>
          <w:bCs w:val="0"/>
          <w:szCs w:val="21"/>
          <w:highlight w:val="none"/>
        </w:rPr>
        <w:fldChar w:fldCharType="end"/>
      </w:r>
    </w:p>
    <w:p w14:paraId="706961BA">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_Toc21412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6-1中小企业声明函</w:t>
      </w:r>
      <w:r>
        <w:tab/>
      </w:r>
      <w:r>
        <w:fldChar w:fldCharType="begin"/>
      </w:r>
      <w:r>
        <w:instrText xml:space="preserve"> PAGEREF _Toc21412 \h </w:instrText>
      </w:r>
      <w:r>
        <w:fldChar w:fldCharType="separate"/>
      </w:r>
      <w:r>
        <w:t>31</w:t>
      </w:r>
      <w:r>
        <w:fldChar w:fldCharType="end"/>
      </w:r>
      <w:r>
        <w:rPr>
          <w:rFonts w:hint="eastAsia" w:ascii="宋体" w:hAnsi="宋体" w:eastAsia="宋体" w:cs="宋体"/>
          <w:bCs w:val="0"/>
          <w:szCs w:val="21"/>
          <w:highlight w:val="none"/>
        </w:rPr>
        <w:fldChar w:fldCharType="end"/>
      </w:r>
    </w:p>
    <w:p w14:paraId="24DA7C42">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_Toc11981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6-2 残疾人福利性单位声明函</w:t>
      </w:r>
      <w:r>
        <w:tab/>
      </w:r>
      <w:r>
        <w:fldChar w:fldCharType="begin"/>
      </w:r>
      <w:r>
        <w:instrText xml:space="preserve"> PAGEREF _Toc11981 \h </w:instrText>
      </w:r>
      <w:r>
        <w:fldChar w:fldCharType="separate"/>
      </w:r>
      <w:r>
        <w:t>34</w:t>
      </w:r>
      <w:r>
        <w:fldChar w:fldCharType="end"/>
      </w:r>
      <w:r>
        <w:rPr>
          <w:rFonts w:hint="eastAsia" w:ascii="宋体" w:hAnsi="宋体" w:eastAsia="宋体" w:cs="宋体"/>
          <w:bCs w:val="0"/>
          <w:szCs w:val="21"/>
          <w:highlight w:val="none"/>
        </w:rPr>
        <w:fldChar w:fldCharType="end"/>
      </w:r>
    </w:p>
    <w:p w14:paraId="4ECD12BB">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_Toc9267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7.供应商关联单位的说明（格式自拟）</w:t>
      </w:r>
      <w:r>
        <w:tab/>
      </w:r>
      <w:r>
        <w:fldChar w:fldCharType="begin"/>
      </w:r>
      <w:r>
        <w:instrText xml:space="preserve"> PAGEREF _Toc9267 \h </w:instrText>
      </w:r>
      <w:r>
        <w:fldChar w:fldCharType="separate"/>
      </w:r>
      <w:r>
        <w:t>34</w:t>
      </w:r>
      <w:r>
        <w:fldChar w:fldCharType="end"/>
      </w:r>
      <w:r>
        <w:rPr>
          <w:rFonts w:hint="eastAsia" w:ascii="宋体" w:hAnsi="宋体" w:eastAsia="宋体" w:cs="宋体"/>
          <w:bCs w:val="0"/>
          <w:szCs w:val="21"/>
          <w:highlight w:val="none"/>
        </w:rPr>
        <w:fldChar w:fldCharType="end"/>
      </w:r>
    </w:p>
    <w:p w14:paraId="46529EA3">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_Toc24203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8.供应商可提供有利于投标的其他证明材料</w:t>
      </w:r>
      <w:r>
        <w:tab/>
      </w:r>
      <w:r>
        <w:fldChar w:fldCharType="begin"/>
      </w:r>
      <w:r>
        <w:instrText xml:space="preserve"> PAGEREF _Toc24203 \h </w:instrText>
      </w:r>
      <w:r>
        <w:fldChar w:fldCharType="separate"/>
      </w:r>
      <w:r>
        <w:t>34</w:t>
      </w:r>
      <w:r>
        <w:fldChar w:fldCharType="end"/>
      </w:r>
      <w:r>
        <w:rPr>
          <w:rFonts w:hint="eastAsia" w:ascii="宋体" w:hAnsi="宋体" w:eastAsia="宋体" w:cs="宋体"/>
          <w:bCs w:val="0"/>
          <w:szCs w:val="21"/>
          <w:highlight w:val="none"/>
        </w:rPr>
        <w:fldChar w:fldCharType="end"/>
      </w:r>
    </w:p>
    <w:p w14:paraId="786BE511">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_Toc4694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9.投标文件格式范本</w:t>
      </w:r>
      <w:r>
        <w:tab/>
      </w:r>
      <w:r>
        <w:fldChar w:fldCharType="begin"/>
      </w:r>
      <w:r>
        <w:instrText xml:space="preserve"> PAGEREF _Toc4694 \h </w:instrText>
      </w:r>
      <w:r>
        <w:fldChar w:fldCharType="separate"/>
      </w:r>
      <w:r>
        <w:t>35</w:t>
      </w:r>
      <w:r>
        <w:fldChar w:fldCharType="end"/>
      </w:r>
      <w:r>
        <w:rPr>
          <w:rFonts w:hint="eastAsia" w:ascii="宋体" w:hAnsi="宋体" w:eastAsia="宋体" w:cs="宋体"/>
          <w:bCs w:val="0"/>
          <w:szCs w:val="21"/>
          <w:highlight w:val="none"/>
        </w:rPr>
        <w:fldChar w:fldCharType="end"/>
      </w:r>
    </w:p>
    <w:p w14:paraId="5EC66D21">
      <w:pPr>
        <w:pStyle w:val="15"/>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_Toc3564 </w:instrText>
      </w:r>
      <w:r>
        <w:rPr>
          <w:rFonts w:hint="eastAsia" w:ascii="宋体" w:hAnsi="宋体" w:eastAsia="宋体" w:cs="宋体"/>
          <w:bCs w:val="0"/>
          <w:szCs w:val="21"/>
          <w:highlight w:val="none"/>
        </w:rPr>
        <w:fldChar w:fldCharType="separate"/>
      </w:r>
      <w:r>
        <w:rPr>
          <w:rFonts w:hint="eastAsia" w:ascii="宋体" w:hAnsi="宋体" w:eastAsia="宋体" w:cs="宋体"/>
          <w:bCs/>
          <w:szCs w:val="32"/>
          <w:highlight w:val="none"/>
          <w:lang w:val="en-US" w:eastAsia="zh-CN"/>
        </w:rPr>
        <w:t>第3章  投标邀请</w:t>
      </w:r>
      <w:r>
        <w:tab/>
      </w:r>
      <w:r>
        <w:fldChar w:fldCharType="begin"/>
      </w:r>
      <w:r>
        <w:instrText xml:space="preserve"> PAGEREF _Toc3564 \h </w:instrText>
      </w:r>
      <w:r>
        <w:fldChar w:fldCharType="separate"/>
      </w:r>
      <w:r>
        <w:t>37</w:t>
      </w:r>
      <w:r>
        <w:fldChar w:fldCharType="end"/>
      </w:r>
      <w:r>
        <w:rPr>
          <w:rFonts w:hint="eastAsia" w:ascii="宋体" w:hAnsi="宋体" w:eastAsia="宋体" w:cs="宋体"/>
          <w:bCs w:val="0"/>
          <w:szCs w:val="21"/>
          <w:highlight w:val="none"/>
        </w:rPr>
        <w:fldChar w:fldCharType="end"/>
      </w:r>
    </w:p>
    <w:p w14:paraId="180C82A2">
      <w:pPr>
        <w:pStyle w:val="15"/>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_Toc26642 </w:instrText>
      </w:r>
      <w:r>
        <w:rPr>
          <w:rFonts w:hint="eastAsia" w:ascii="宋体" w:hAnsi="宋体" w:eastAsia="宋体" w:cs="宋体"/>
          <w:bCs w:val="0"/>
          <w:szCs w:val="21"/>
          <w:highlight w:val="none"/>
        </w:rPr>
        <w:fldChar w:fldCharType="separate"/>
      </w:r>
      <w:r>
        <w:rPr>
          <w:rFonts w:hint="eastAsia" w:ascii="宋体" w:hAnsi="宋体" w:eastAsia="宋体" w:cs="宋体"/>
          <w:bCs/>
          <w:szCs w:val="32"/>
          <w:highlight w:val="none"/>
          <w:lang w:val="en-US" w:eastAsia="zh-CN"/>
        </w:rPr>
        <w:t>第4章  供应商须知资料表</w:t>
      </w:r>
      <w:r>
        <w:tab/>
      </w:r>
      <w:r>
        <w:fldChar w:fldCharType="begin"/>
      </w:r>
      <w:r>
        <w:instrText xml:space="preserve"> PAGEREF _Toc26642 \h </w:instrText>
      </w:r>
      <w:r>
        <w:fldChar w:fldCharType="separate"/>
      </w:r>
      <w:r>
        <w:t>41</w:t>
      </w:r>
      <w:r>
        <w:fldChar w:fldCharType="end"/>
      </w:r>
      <w:r>
        <w:rPr>
          <w:rFonts w:hint="eastAsia" w:ascii="宋体" w:hAnsi="宋体" w:eastAsia="宋体" w:cs="宋体"/>
          <w:bCs w:val="0"/>
          <w:szCs w:val="21"/>
          <w:highlight w:val="none"/>
        </w:rPr>
        <w:fldChar w:fldCharType="end"/>
      </w:r>
    </w:p>
    <w:p w14:paraId="4E9F2C40">
      <w:pPr>
        <w:pStyle w:val="15"/>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_Toc29683 </w:instrText>
      </w:r>
      <w:r>
        <w:rPr>
          <w:rFonts w:hint="eastAsia" w:ascii="宋体" w:hAnsi="宋体" w:eastAsia="宋体" w:cs="宋体"/>
          <w:bCs w:val="0"/>
          <w:szCs w:val="21"/>
          <w:highlight w:val="none"/>
        </w:rPr>
        <w:fldChar w:fldCharType="separate"/>
      </w:r>
      <w:r>
        <w:rPr>
          <w:rFonts w:hint="eastAsia" w:ascii="宋体" w:hAnsi="宋体" w:eastAsia="宋体" w:cs="宋体"/>
          <w:bCs/>
          <w:szCs w:val="32"/>
          <w:highlight w:val="none"/>
          <w:lang w:val="en-US" w:eastAsia="zh-CN"/>
        </w:rPr>
        <w:t>第5章  货物需求及项目要求</w:t>
      </w:r>
      <w:r>
        <w:tab/>
      </w:r>
      <w:r>
        <w:fldChar w:fldCharType="begin"/>
      </w:r>
      <w:r>
        <w:instrText xml:space="preserve"> PAGEREF _Toc29683 \h </w:instrText>
      </w:r>
      <w:r>
        <w:fldChar w:fldCharType="separate"/>
      </w:r>
      <w:r>
        <w:t>45</w:t>
      </w:r>
      <w:r>
        <w:fldChar w:fldCharType="end"/>
      </w:r>
      <w:r>
        <w:rPr>
          <w:rFonts w:hint="eastAsia" w:ascii="宋体" w:hAnsi="宋体" w:eastAsia="宋体" w:cs="宋体"/>
          <w:bCs w:val="0"/>
          <w:szCs w:val="21"/>
          <w:highlight w:val="none"/>
        </w:rPr>
        <w:fldChar w:fldCharType="end"/>
      </w:r>
    </w:p>
    <w:p w14:paraId="63A1FE45">
      <w:pPr>
        <w:pStyle w:val="17"/>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_Toc24835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lang w:val="en-US" w:eastAsia="zh-CN"/>
        </w:rPr>
        <w:t>一、货物需求：</w:t>
      </w:r>
      <w:r>
        <w:tab/>
      </w:r>
      <w:r>
        <w:fldChar w:fldCharType="begin"/>
      </w:r>
      <w:r>
        <w:instrText xml:space="preserve"> PAGEREF _Toc24835 \h </w:instrText>
      </w:r>
      <w:r>
        <w:fldChar w:fldCharType="separate"/>
      </w:r>
      <w:r>
        <w:t>45</w:t>
      </w:r>
      <w:r>
        <w:fldChar w:fldCharType="end"/>
      </w:r>
      <w:r>
        <w:rPr>
          <w:rFonts w:hint="eastAsia" w:ascii="宋体" w:hAnsi="宋体" w:eastAsia="宋体" w:cs="宋体"/>
          <w:bCs w:val="0"/>
          <w:szCs w:val="21"/>
          <w:highlight w:val="none"/>
        </w:rPr>
        <w:fldChar w:fldCharType="end"/>
      </w:r>
    </w:p>
    <w:p w14:paraId="03BD21BB">
      <w:pPr>
        <w:pStyle w:val="11"/>
        <w:tabs>
          <w:tab w:val="right" w:leader="dot" w:pos="8311"/>
        </w:tabs>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_Toc2217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标项1：</w:t>
      </w:r>
      <w:r>
        <w:tab/>
      </w:r>
      <w:r>
        <w:fldChar w:fldCharType="begin"/>
      </w:r>
      <w:r>
        <w:instrText xml:space="preserve"> PAGEREF _Toc2217 \h </w:instrText>
      </w:r>
      <w:r>
        <w:fldChar w:fldCharType="separate"/>
      </w:r>
      <w:r>
        <w:t>45</w:t>
      </w:r>
      <w:r>
        <w:fldChar w:fldCharType="end"/>
      </w:r>
      <w:r>
        <w:rPr>
          <w:rFonts w:hint="eastAsia" w:ascii="宋体" w:hAnsi="宋体" w:eastAsia="宋体" w:cs="宋体"/>
          <w:bCs w:val="0"/>
          <w:szCs w:val="21"/>
          <w:highlight w:val="none"/>
        </w:rPr>
        <w:fldChar w:fldCharType="end"/>
      </w:r>
    </w:p>
    <w:p w14:paraId="3CB0AE43">
      <w:pPr>
        <w:pStyle w:val="17"/>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_Toc19346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lang w:val="en-US" w:eastAsia="zh-CN"/>
        </w:rPr>
        <w:t>二、项目要求：</w:t>
      </w:r>
      <w:r>
        <w:tab/>
      </w:r>
      <w:r>
        <w:rPr>
          <w:rFonts w:hint="eastAsia"/>
          <w:lang w:val="en-US" w:eastAsia="zh-CN"/>
        </w:rPr>
        <w:t>4</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7</w:t>
      </w:r>
    </w:p>
    <w:p w14:paraId="41D2AC0A">
      <w:pPr>
        <w:pStyle w:val="11"/>
        <w:tabs>
          <w:tab w:val="right" w:leader="dot" w:pos="8311"/>
        </w:tabs>
        <w:rPr>
          <w:rFonts w:hint="default" w:ascii="宋体" w:hAnsi="宋体" w:eastAsia="宋体" w:cs="宋体"/>
          <w:bCs/>
          <w:kern w:val="2"/>
          <w:szCs w:val="24"/>
          <w:lang w:val="en-US" w:eastAsia="zh-CN" w:bidi="ar-SA"/>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_Toc13207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（一）所招产品的质量要求</w:t>
      </w:r>
      <w:r>
        <w:tab/>
      </w:r>
      <w:r>
        <w:rPr>
          <w:rFonts w:hint="eastAsia"/>
          <w:lang w:val="en-US" w:eastAsia="zh-CN"/>
        </w:rPr>
        <w:t>47</w:t>
      </w:r>
    </w:p>
    <w:p w14:paraId="5CECCDB6">
      <w:pPr>
        <w:pStyle w:val="11"/>
        <w:tabs>
          <w:tab w:val="right" w:leader="dot" w:pos="8311"/>
        </w:tabs>
        <w:rPr>
          <w:rFonts w:hint="eastAsia" w:eastAsia="宋体"/>
          <w:lang w:val="en-US" w:eastAsia="zh-CN"/>
        </w:rPr>
      </w:pPr>
      <w:r>
        <w:rPr>
          <w:rFonts w:hint="eastAsia"/>
          <w:lang w:val="en-US" w:eastAsia="zh-CN"/>
        </w:rPr>
        <w:t>（二）项目规模和内容</w:t>
      </w:r>
      <w:r>
        <w:tab/>
      </w:r>
      <w:r>
        <w:rPr>
          <w:rFonts w:hint="eastAsia"/>
          <w:lang w:val="en-US" w:eastAsia="zh-CN"/>
        </w:rPr>
        <w:t>4</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7</w:t>
      </w:r>
    </w:p>
    <w:p w14:paraId="5E6CF374">
      <w:pPr>
        <w:pStyle w:val="11"/>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_Toc15578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highlight w:val="none"/>
          <w:lang w:val="en-US" w:eastAsia="zh-CN" w:bidi="ar-SA"/>
        </w:rPr>
        <w:t>（</w:t>
      </w:r>
      <w:r>
        <w:rPr>
          <w:rFonts w:hint="eastAsia" w:ascii="宋体" w:hAnsi="宋体" w:cs="宋体"/>
          <w:bCs/>
          <w:kern w:val="2"/>
          <w:szCs w:val="24"/>
          <w:highlight w:val="none"/>
          <w:lang w:val="en-US" w:eastAsia="zh-CN" w:bidi="ar-SA"/>
        </w:rPr>
        <w:t>三</w:t>
      </w:r>
      <w:r>
        <w:rPr>
          <w:rFonts w:hint="eastAsia" w:ascii="宋体" w:hAnsi="宋体" w:eastAsia="宋体" w:cs="宋体"/>
          <w:bCs/>
          <w:kern w:val="2"/>
          <w:szCs w:val="24"/>
          <w:highlight w:val="none"/>
          <w:lang w:val="en-US" w:eastAsia="zh-CN" w:bidi="ar-SA"/>
        </w:rPr>
        <w:t>）项目的交货期和</w:t>
      </w:r>
      <w:r>
        <w:rPr>
          <w:rFonts w:hint="eastAsia" w:hAnsi="宋体" w:cs="宋体"/>
          <w:bCs/>
          <w:kern w:val="2"/>
          <w:szCs w:val="24"/>
          <w:highlight w:val="none"/>
          <w:lang w:val="en-US" w:eastAsia="zh-CN" w:bidi="ar-SA"/>
        </w:rPr>
        <w:t>交货地点</w:t>
      </w:r>
      <w:r>
        <w:tab/>
      </w:r>
      <w:r>
        <w:rPr>
          <w:rFonts w:hint="eastAsia"/>
          <w:lang w:val="en-US" w:eastAsia="zh-CN"/>
        </w:rPr>
        <w:t>4</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7</w:t>
      </w:r>
    </w:p>
    <w:p w14:paraId="1F1977B6">
      <w:pPr>
        <w:pStyle w:val="11"/>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_Toc22860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highlight w:val="none"/>
          <w:lang w:val="en-US" w:eastAsia="zh-CN" w:bidi="ar-SA"/>
        </w:rPr>
        <w:t>（</w:t>
      </w:r>
      <w:r>
        <w:rPr>
          <w:rFonts w:hint="eastAsia" w:ascii="宋体" w:hAnsi="宋体" w:cs="宋体"/>
          <w:bCs/>
          <w:kern w:val="2"/>
          <w:szCs w:val="24"/>
          <w:highlight w:val="none"/>
          <w:lang w:val="en-US" w:eastAsia="zh-CN" w:bidi="ar-SA"/>
        </w:rPr>
        <w:t>四</w:t>
      </w:r>
      <w:r>
        <w:rPr>
          <w:rFonts w:hint="eastAsia" w:ascii="宋体" w:hAnsi="宋体" w:eastAsia="宋体" w:cs="宋体"/>
          <w:bCs/>
          <w:kern w:val="2"/>
          <w:szCs w:val="24"/>
          <w:highlight w:val="none"/>
          <w:lang w:val="en-US" w:eastAsia="zh-CN" w:bidi="ar-SA"/>
        </w:rPr>
        <w:t>）付款方式</w:t>
      </w:r>
      <w:r>
        <w:rPr>
          <w:rFonts w:hint="eastAsia" w:hAnsi="宋体" w:cs="宋体"/>
          <w:bCs/>
          <w:kern w:val="2"/>
          <w:szCs w:val="24"/>
          <w:highlight w:val="none"/>
          <w:lang w:val="en-US" w:eastAsia="zh-CN" w:bidi="ar-SA"/>
        </w:rPr>
        <w:t>和质保期</w:t>
      </w:r>
      <w:r>
        <w:tab/>
      </w:r>
      <w:r>
        <w:rPr>
          <w:rFonts w:hint="eastAsia"/>
          <w:lang w:val="en-US" w:eastAsia="zh-CN"/>
        </w:rPr>
        <w:t>4</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7</w:t>
      </w:r>
    </w:p>
    <w:p w14:paraId="3D1BC962">
      <w:pPr>
        <w:pStyle w:val="11"/>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_Toc9905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highlight w:val="none"/>
          <w:lang w:val="en-US" w:eastAsia="zh-CN" w:bidi="ar-SA"/>
        </w:rPr>
        <w:t>（</w:t>
      </w:r>
      <w:r>
        <w:rPr>
          <w:rFonts w:hint="eastAsia" w:ascii="宋体" w:hAnsi="宋体" w:cs="宋体"/>
          <w:bCs/>
          <w:kern w:val="2"/>
          <w:szCs w:val="24"/>
          <w:highlight w:val="none"/>
          <w:lang w:val="en-US" w:eastAsia="zh-CN" w:bidi="ar-SA"/>
        </w:rPr>
        <w:t>五</w:t>
      </w:r>
      <w:r>
        <w:rPr>
          <w:rFonts w:hint="eastAsia" w:ascii="宋体" w:hAnsi="宋体" w:eastAsia="宋体" w:cs="宋体"/>
          <w:bCs/>
          <w:kern w:val="2"/>
          <w:szCs w:val="24"/>
          <w:highlight w:val="none"/>
          <w:lang w:val="en-US" w:eastAsia="zh-CN" w:bidi="ar-SA"/>
        </w:rPr>
        <w:t>）售后服务</w:t>
      </w:r>
      <w:r>
        <w:tab/>
      </w:r>
      <w:r>
        <w:rPr>
          <w:rFonts w:hint="eastAsia"/>
          <w:lang w:val="en-US" w:eastAsia="zh-CN"/>
        </w:rPr>
        <w:t>4</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7</w:t>
      </w:r>
    </w:p>
    <w:p w14:paraId="5E0AEAE6">
      <w:pPr>
        <w:pStyle w:val="11"/>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_Toc13312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w:t>
      </w:r>
      <w:r>
        <w:rPr>
          <w:rFonts w:hint="eastAsia" w:ascii="宋体" w:hAnsi="宋体" w:cs="宋体"/>
          <w:bCs/>
          <w:kern w:val="2"/>
          <w:szCs w:val="24"/>
          <w:lang w:val="en-US" w:eastAsia="zh-CN" w:bidi="ar-SA"/>
        </w:rPr>
        <w:t>六</w:t>
      </w:r>
      <w:r>
        <w:rPr>
          <w:rFonts w:hint="eastAsia" w:ascii="宋体" w:hAnsi="宋体" w:eastAsia="宋体" w:cs="宋体"/>
          <w:bCs/>
          <w:kern w:val="2"/>
          <w:szCs w:val="24"/>
          <w:lang w:val="en-US" w:eastAsia="zh-CN" w:bidi="ar-SA"/>
        </w:rPr>
        <w:t>）实施方案及培训方案</w:t>
      </w:r>
      <w:r>
        <w:tab/>
      </w:r>
      <w:r>
        <w:rPr>
          <w:rFonts w:hint="eastAsia"/>
          <w:lang w:val="en-US" w:eastAsia="zh-CN"/>
        </w:rPr>
        <w:t>4</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8</w:t>
      </w:r>
    </w:p>
    <w:p w14:paraId="121266E0">
      <w:pPr>
        <w:pStyle w:val="11"/>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_Toc21134 </w:instrText>
      </w:r>
      <w:r>
        <w:rPr>
          <w:rFonts w:hint="eastAsia" w:ascii="宋体" w:hAnsi="宋体" w:eastAsia="宋体" w:cs="宋体"/>
          <w:bCs w:val="0"/>
          <w:szCs w:val="21"/>
          <w:highlight w:val="none"/>
        </w:rPr>
        <w:fldChar w:fldCharType="separate"/>
      </w:r>
      <w:r>
        <w:rPr>
          <w:rFonts w:hint="eastAsia" w:ascii="宋体" w:hAnsi="宋体" w:eastAsia="宋体" w:cs="宋体"/>
          <w:bCs/>
          <w:kern w:val="2"/>
          <w:szCs w:val="24"/>
          <w:lang w:val="en-US" w:eastAsia="zh-CN" w:bidi="ar-SA"/>
        </w:rPr>
        <w:t>（</w:t>
      </w:r>
      <w:r>
        <w:rPr>
          <w:rFonts w:hint="eastAsia" w:ascii="宋体" w:hAnsi="宋体" w:cs="宋体"/>
          <w:bCs/>
          <w:kern w:val="2"/>
          <w:szCs w:val="24"/>
          <w:lang w:val="en-US" w:eastAsia="zh-CN" w:bidi="ar-SA"/>
        </w:rPr>
        <w:t>七</w:t>
      </w:r>
      <w:r>
        <w:rPr>
          <w:rFonts w:hint="eastAsia" w:ascii="宋体" w:hAnsi="宋体" w:eastAsia="宋体" w:cs="宋体"/>
          <w:bCs/>
          <w:kern w:val="2"/>
          <w:szCs w:val="24"/>
          <w:lang w:val="en-US" w:eastAsia="zh-CN" w:bidi="ar-SA"/>
        </w:rPr>
        <w:t>）验收：</w:t>
      </w:r>
      <w:r>
        <w:tab/>
      </w:r>
      <w:r>
        <w:rPr>
          <w:rFonts w:hint="eastAsia"/>
          <w:lang w:val="en-US" w:eastAsia="zh-CN"/>
        </w:rPr>
        <w:t>4</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9</w:t>
      </w:r>
    </w:p>
    <w:p w14:paraId="68E91CA5">
      <w:pPr>
        <w:pStyle w:val="15"/>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_Toc28328 </w:instrText>
      </w:r>
      <w:r>
        <w:rPr>
          <w:rFonts w:hint="eastAsia" w:ascii="宋体" w:hAnsi="宋体" w:eastAsia="宋体" w:cs="宋体"/>
          <w:bCs w:val="0"/>
          <w:szCs w:val="21"/>
          <w:highlight w:val="none"/>
        </w:rPr>
        <w:fldChar w:fldCharType="separate"/>
      </w:r>
      <w:r>
        <w:rPr>
          <w:rFonts w:hint="eastAsia" w:ascii="宋体" w:hAnsi="宋体" w:eastAsia="宋体" w:cs="宋体"/>
          <w:bCs/>
          <w:szCs w:val="32"/>
          <w:highlight w:val="none"/>
          <w:lang w:val="en-US" w:eastAsia="zh-CN"/>
        </w:rPr>
        <w:t>第6章  评标方法和标准</w:t>
      </w:r>
      <w:r>
        <w:tab/>
      </w:r>
      <w:r>
        <w:rPr>
          <w:rFonts w:hint="eastAsia"/>
          <w:lang w:val="en-US" w:eastAsia="zh-CN"/>
        </w:rPr>
        <w:t>5</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1</w:t>
      </w:r>
    </w:p>
    <w:p w14:paraId="6FB532D3">
      <w:pPr>
        <w:pStyle w:val="17"/>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_Toc4474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lang w:val="en-US" w:eastAsia="zh-CN"/>
        </w:rPr>
        <w:t>初步评审—资格性审查表</w:t>
      </w:r>
      <w:r>
        <w:tab/>
      </w:r>
      <w:r>
        <w:rPr>
          <w:rFonts w:hint="eastAsia"/>
          <w:lang w:val="en-US" w:eastAsia="zh-CN"/>
        </w:rPr>
        <w:t>5</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6</w:t>
      </w:r>
    </w:p>
    <w:p w14:paraId="0AA8BDE0">
      <w:pPr>
        <w:pStyle w:val="17"/>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_Toc26705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lang w:val="en-US" w:eastAsia="zh-CN"/>
        </w:rPr>
        <w:t>初步评审—符合性审查表</w:t>
      </w:r>
      <w:r>
        <w:tab/>
      </w:r>
      <w:r>
        <w:rPr>
          <w:rFonts w:hint="eastAsia"/>
          <w:lang w:val="en-US" w:eastAsia="zh-CN"/>
        </w:rPr>
        <w:t>5</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7</w:t>
      </w:r>
    </w:p>
    <w:p w14:paraId="7F15B1C5">
      <w:pPr>
        <w:pStyle w:val="17"/>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_Toc30680 </w:instrText>
      </w:r>
      <w:r>
        <w:rPr>
          <w:rFonts w:hint="eastAsia" w:ascii="宋体" w:hAnsi="宋体" w:eastAsia="宋体" w:cs="宋体"/>
          <w:bCs w:val="0"/>
          <w:szCs w:val="21"/>
          <w:highlight w:val="none"/>
        </w:rPr>
        <w:fldChar w:fldCharType="separate"/>
      </w:r>
      <w:r>
        <w:rPr>
          <w:rFonts w:hint="eastAsia" w:ascii="宋体" w:hAnsi="宋体" w:eastAsia="宋体" w:cs="宋体"/>
          <w:szCs w:val="28"/>
          <w:highlight w:val="none"/>
          <w:lang w:val="en-US" w:eastAsia="zh-CN"/>
        </w:rPr>
        <w:t>综合评分表</w:t>
      </w:r>
      <w:r>
        <w:tab/>
      </w:r>
      <w:r>
        <w:rPr>
          <w:rFonts w:hint="eastAsia"/>
          <w:lang w:val="en-US" w:eastAsia="zh-CN"/>
        </w:rPr>
        <w:t>5</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8</w:t>
      </w:r>
    </w:p>
    <w:p w14:paraId="13E3BA3B">
      <w:pPr>
        <w:pStyle w:val="15"/>
        <w:tabs>
          <w:tab w:val="right" w:leader="dot" w:pos="8311"/>
        </w:tabs>
        <w:rPr>
          <w:rFonts w:hint="eastAsia" w:eastAsia="宋体"/>
          <w:lang w:val="en-US" w:eastAsia="zh-CN"/>
        </w:rPr>
      </w:pPr>
      <w:r>
        <w:rPr>
          <w:rFonts w:hint="eastAsia" w:ascii="宋体" w:hAnsi="宋体" w:eastAsia="宋体" w:cs="宋体"/>
          <w:bCs w:val="0"/>
          <w:szCs w:val="21"/>
          <w:highlight w:val="none"/>
        </w:rPr>
        <w:fldChar w:fldCharType="begin"/>
      </w:r>
      <w:r>
        <w:rPr>
          <w:rFonts w:hint="eastAsia" w:ascii="宋体" w:hAnsi="宋体" w:eastAsia="宋体" w:cs="宋体"/>
          <w:bCs w:val="0"/>
          <w:szCs w:val="21"/>
          <w:highlight w:val="none"/>
        </w:rPr>
        <w:instrText xml:space="preserve"> HYPERLINK \l _Toc22348 </w:instrText>
      </w:r>
      <w:r>
        <w:rPr>
          <w:rFonts w:hint="eastAsia" w:ascii="宋体" w:hAnsi="宋体" w:eastAsia="宋体" w:cs="宋体"/>
          <w:bCs w:val="0"/>
          <w:szCs w:val="21"/>
          <w:highlight w:val="none"/>
        </w:rPr>
        <w:fldChar w:fldCharType="separate"/>
      </w:r>
      <w:r>
        <w:rPr>
          <w:rFonts w:hint="eastAsia" w:ascii="宋体" w:hAnsi="宋体" w:eastAsia="宋体" w:cs="宋体"/>
          <w:bCs/>
          <w:szCs w:val="32"/>
          <w:highlight w:val="none"/>
          <w:lang w:val="en-US" w:eastAsia="zh-CN"/>
        </w:rPr>
        <w:t>第</w:t>
      </w:r>
      <w:r>
        <w:rPr>
          <w:rFonts w:hint="eastAsia" w:hAnsi="宋体" w:cs="宋体"/>
          <w:bCs/>
          <w:szCs w:val="32"/>
          <w:highlight w:val="none"/>
          <w:lang w:val="en-US" w:eastAsia="zh-CN"/>
        </w:rPr>
        <w:t>7</w:t>
      </w:r>
      <w:r>
        <w:rPr>
          <w:rFonts w:hint="eastAsia" w:ascii="宋体" w:hAnsi="宋体" w:eastAsia="宋体" w:cs="宋体"/>
          <w:bCs/>
          <w:szCs w:val="32"/>
          <w:highlight w:val="none"/>
          <w:lang w:val="en-US" w:eastAsia="zh-CN"/>
        </w:rPr>
        <w:t xml:space="preserve">章  </w:t>
      </w:r>
      <w:r>
        <w:rPr>
          <w:rFonts w:hint="eastAsia" w:hAnsi="宋体" w:cs="宋体"/>
          <w:bCs/>
          <w:szCs w:val="32"/>
          <w:highlight w:val="none"/>
          <w:lang w:val="en-US" w:eastAsia="zh-CN"/>
        </w:rPr>
        <w:t>政府采购合同</w:t>
      </w:r>
      <w:r>
        <w:tab/>
      </w:r>
      <w:r>
        <w:rPr>
          <w:rFonts w:hint="eastAsia"/>
          <w:lang w:val="en-US" w:eastAsia="zh-CN"/>
        </w:rPr>
        <w:t>6</w:t>
      </w:r>
      <w:r>
        <w:rPr>
          <w:rFonts w:hint="eastAsia" w:ascii="宋体" w:hAnsi="宋体" w:eastAsia="宋体" w:cs="宋体"/>
          <w:bCs w:val="0"/>
          <w:szCs w:val="21"/>
          <w:highlight w:val="none"/>
        </w:rPr>
        <w:fldChar w:fldCharType="end"/>
      </w:r>
      <w:r>
        <w:rPr>
          <w:rFonts w:hint="eastAsia" w:ascii="宋体" w:hAnsi="宋体" w:cs="宋体"/>
          <w:bCs w:val="0"/>
          <w:szCs w:val="21"/>
          <w:highlight w:val="none"/>
          <w:lang w:val="en-US" w:eastAsia="zh-CN"/>
        </w:rPr>
        <w:t>1</w:t>
      </w:r>
    </w:p>
    <w:p w14:paraId="1546AB07">
      <w:pPr>
        <w:pStyle w:val="16"/>
        <w:keepNext w:val="0"/>
        <w:keepLines w:val="0"/>
        <w:pageBreakBefore w:val="0"/>
        <w:widowControl w:val="0"/>
        <w:kinsoku/>
        <w:wordWrap/>
        <w:overflowPunct/>
        <w:topLinePunct w:val="0"/>
        <w:autoSpaceDE/>
        <w:autoSpaceDN/>
        <w:bidi w:val="0"/>
        <w:adjustRightInd/>
        <w:spacing w:line="360" w:lineRule="exact"/>
        <w:textAlignment w:val="auto"/>
        <w:rPr>
          <w:rFonts w:hint="eastAsia"/>
          <w:highlight w:val="none"/>
        </w:rPr>
      </w:pPr>
      <w:r>
        <w:rPr>
          <w:rFonts w:hint="eastAsia" w:ascii="宋体" w:hAnsi="宋体" w:eastAsia="宋体" w:cs="宋体"/>
          <w:bCs w:val="0"/>
          <w:szCs w:val="21"/>
          <w:highlight w:val="none"/>
        </w:rPr>
        <w:fldChar w:fldCharType="end"/>
      </w:r>
    </w:p>
    <w:p w14:paraId="663A8BA2">
      <w:pPr>
        <w:spacing w:line="240" w:lineRule="atLeast"/>
        <w:jc w:val="center"/>
        <w:rPr>
          <w:rFonts w:hint="eastAsia" w:ascii="宋体" w:hAnsi="宋体" w:eastAsia="宋体" w:cs="宋体"/>
          <w:color w:val="auto"/>
          <w:sz w:val="32"/>
          <w:szCs w:val="32"/>
          <w:highlight w:val="none"/>
        </w:rPr>
      </w:pPr>
    </w:p>
    <w:p w14:paraId="362CE059">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445359FB">
      <w:pPr>
        <w:pStyle w:val="16"/>
        <w:rPr>
          <w:rFonts w:hint="eastAsia"/>
          <w:highlight w:val="none"/>
        </w:rPr>
      </w:pPr>
    </w:p>
    <w:p w14:paraId="687D5E78">
      <w:pPr>
        <w:spacing w:line="240" w:lineRule="atLeast"/>
        <w:jc w:val="center"/>
        <w:rPr>
          <w:rFonts w:hint="eastAsia" w:ascii="宋体" w:hAnsi="宋体" w:eastAsia="宋体" w:cs="宋体"/>
          <w:color w:val="auto"/>
          <w:sz w:val="32"/>
          <w:szCs w:val="32"/>
          <w:highlight w:val="none"/>
        </w:rPr>
      </w:pPr>
    </w:p>
    <w:p w14:paraId="57E9EB38">
      <w:pPr>
        <w:spacing w:line="240" w:lineRule="atLeast"/>
        <w:jc w:val="center"/>
        <w:rPr>
          <w:rFonts w:hint="eastAsia" w:ascii="宋体" w:hAnsi="宋体" w:eastAsia="宋体" w:cs="宋体"/>
          <w:color w:val="auto"/>
          <w:sz w:val="32"/>
          <w:szCs w:val="32"/>
          <w:highlight w:val="none"/>
        </w:rPr>
      </w:pPr>
    </w:p>
    <w:p w14:paraId="4B6C75D0">
      <w:pPr>
        <w:spacing w:line="240" w:lineRule="atLeast"/>
        <w:jc w:val="center"/>
        <w:rPr>
          <w:rFonts w:hint="eastAsia" w:ascii="宋体" w:hAnsi="宋体" w:eastAsia="宋体" w:cs="宋体"/>
          <w:color w:val="auto"/>
          <w:sz w:val="32"/>
          <w:szCs w:val="32"/>
          <w:highlight w:val="none"/>
        </w:rPr>
      </w:pPr>
    </w:p>
    <w:p w14:paraId="6F01B33A">
      <w:pPr>
        <w:spacing w:line="240" w:lineRule="atLeast"/>
        <w:jc w:val="both"/>
        <w:rPr>
          <w:rFonts w:hint="eastAsia" w:ascii="宋体" w:hAnsi="宋体" w:eastAsia="宋体" w:cs="宋体"/>
          <w:color w:val="auto"/>
          <w:sz w:val="32"/>
          <w:szCs w:val="32"/>
          <w:highlight w:val="none"/>
        </w:rPr>
      </w:pPr>
    </w:p>
    <w:p w14:paraId="0FED32A4">
      <w:pPr>
        <w:pStyle w:val="16"/>
        <w:rPr>
          <w:rFonts w:hint="eastAsia" w:ascii="宋体" w:hAnsi="宋体" w:eastAsia="宋体" w:cs="宋体"/>
          <w:color w:val="auto"/>
          <w:sz w:val="32"/>
          <w:szCs w:val="32"/>
          <w:highlight w:val="none"/>
        </w:rPr>
      </w:pPr>
    </w:p>
    <w:p w14:paraId="63AB1D4D">
      <w:pPr>
        <w:pStyle w:val="9"/>
        <w:rPr>
          <w:rFonts w:hint="eastAsia" w:ascii="宋体" w:hAnsi="宋体" w:eastAsia="宋体" w:cs="宋体"/>
          <w:color w:val="auto"/>
          <w:sz w:val="32"/>
          <w:szCs w:val="32"/>
          <w:highlight w:val="none"/>
        </w:rPr>
      </w:pPr>
    </w:p>
    <w:p w14:paraId="6FE0B126">
      <w:pPr>
        <w:pStyle w:val="19"/>
        <w:rPr>
          <w:rFonts w:hint="eastAsia" w:ascii="宋体" w:hAnsi="宋体" w:eastAsia="宋体" w:cs="宋体"/>
          <w:color w:val="auto"/>
          <w:sz w:val="32"/>
          <w:szCs w:val="32"/>
          <w:highlight w:val="none"/>
        </w:rPr>
      </w:pPr>
    </w:p>
    <w:p w14:paraId="2BE4D64A">
      <w:pPr>
        <w:rPr>
          <w:rFonts w:hint="eastAsia" w:ascii="宋体" w:hAnsi="宋体" w:eastAsia="宋体" w:cs="宋体"/>
          <w:color w:val="auto"/>
          <w:sz w:val="32"/>
          <w:szCs w:val="32"/>
          <w:highlight w:val="none"/>
        </w:rPr>
      </w:pPr>
    </w:p>
    <w:p w14:paraId="79619D71">
      <w:pPr>
        <w:pStyle w:val="16"/>
        <w:rPr>
          <w:rFonts w:hint="eastAsia"/>
          <w:highlight w:val="none"/>
        </w:rPr>
      </w:pPr>
    </w:p>
    <w:p w14:paraId="66ECEF8C">
      <w:pPr>
        <w:spacing w:line="240" w:lineRule="atLeast"/>
        <w:jc w:val="center"/>
        <w:rPr>
          <w:rFonts w:hint="eastAsia" w:ascii="宋体" w:hAnsi="宋体" w:eastAsia="宋体" w:cs="宋体"/>
          <w:color w:val="auto"/>
          <w:sz w:val="32"/>
          <w:szCs w:val="32"/>
          <w:highlight w:val="none"/>
        </w:rPr>
      </w:pPr>
    </w:p>
    <w:p w14:paraId="533CA872">
      <w:pPr>
        <w:spacing w:line="240" w:lineRule="atLeast"/>
        <w:jc w:val="center"/>
        <w:rPr>
          <w:rFonts w:hint="eastAsia" w:ascii="宋体" w:hAnsi="宋体" w:eastAsia="宋体" w:cs="宋体"/>
          <w:color w:val="auto"/>
          <w:sz w:val="32"/>
          <w:szCs w:val="32"/>
          <w:highlight w:val="none"/>
        </w:rPr>
      </w:pPr>
    </w:p>
    <w:p w14:paraId="2F4560B5">
      <w:pPr>
        <w:spacing w:line="240" w:lineRule="atLeast"/>
        <w:jc w:val="center"/>
        <w:outlineLvl w:val="9"/>
        <w:rPr>
          <w:rFonts w:hint="eastAsia" w:ascii="宋体" w:hAnsi="宋体" w:eastAsia="宋体" w:cs="宋体"/>
          <w:b/>
          <w:color w:val="auto"/>
          <w:sz w:val="44"/>
          <w:szCs w:val="44"/>
          <w:highlight w:val="none"/>
          <w:lang w:eastAsia="zh-CN"/>
        </w:rPr>
      </w:pPr>
      <w:r>
        <w:rPr>
          <w:rFonts w:hint="eastAsia" w:ascii="宋体" w:hAnsi="宋体" w:eastAsia="宋体" w:cs="宋体"/>
          <w:color w:val="auto"/>
          <w:sz w:val="44"/>
          <w:szCs w:val="44"/>
          <w:highlight w:val="none"/>
        </w:rPr>
        <w:t xml:space="preserve"> </w:t>
      </w:r>
      <w:r>
        <w:rPr>
          <w:rFonts w:hint="eastAsia" w:ascii="宋体" w:hAnsi="宋体" w:cs="宋体"/>
          <w:b/>
          <w:color w:val="auto"/>
          <w:sz w:val="44"/>
          <w:szCs w:val="44"/>
          <w:highlight w:val="none"/>
          <w:lang w:val="en-US" w:eastAsia="zh-CN"/>
        </w:rPr>
        <w:t>招 标 文 件</w:t>
      </w:r>
    </w:p>
    <w:p w14:paraId="27C6035D">
      <w:pPr>
        <w:spacing w:line="360" w:lineRule="auto"/>
        <w:outlineLvl w:val="9"/>
        <w:rPr>
          <w:rFonts w:hint="eastAsia" w:ascii="宋体" w:hAnsi="宋体" w:eastAsia="宋体" w:cs="宋体"/>
          <w:b/>
          <w:color w:val="auto"/>
          <w:sz w:val="44"/>
          <w:szCs w:val="44"/>
          <w:highlight w:val="none"/>
        </w:rPr>
      </w:pPr>
    </w:p>
    <w:p w14:paraId="1C5BFF66">
      <w:pPr>
        <w:spacing w:line="240" w:lineRule="atLeast"/>
        <w:jc w:val="center"/>
        <w:outlineLvl w:val="9"/>
        <w:rPr>
          <w:rFonts w:hint="eastAsia" w:ascii="宋体" w:hAnsi="宋体" w:eastAsia="宋体" w:cs="宋体"/>
          <w:b/>
          <w:color w:val="auto"/>
          <w:sz w:val="44"/>
          <w:szCs w:val="44"/>
          <w:highlight w:val="yellow"/>
        </w:rPr>
      </w:pPr>
      <w:r>
        <w:rPr>
          <w:rFonts w:hint="eastAsia" w:ascii="宋体" w:hAnsi="宋体" w:eastAsia="宋体" w:cs="宋体"/>
          <w:b/>
          <w:color w:val="auto"/>
          <w:sz w:val="44"/>
          <w:szCs w:val="44"/>
          <w:highlight w:val="none"/>
        </w:rPr>
        <w:t>项目编号：ZPDL(2024)069</w:t>
      </w:r>
    </w:p>
    <w:p w14:paraId="5F706B29">
      <w:pPr>
        <w:spacing w:line="360" w:lineRule="auto"/>
        <w:outlineLvl w:val="9"/>
        <w:rPr>
          <w:rFonts w:hint="eastAsia" w:ascii="宋体" w:hAnsi="宋体" w:eastAsia="宋体" w:cs="宋体"/>
          <w:b/>
          <w:color w:val="auto"/>
          <w:sz w:val="44"/>
          <w:szCs w:val="44"/>
          <w:highlight w:val="none"/>
        </w:rPr>
      </w:pPr>
    </w:p>
    <w:p w14:paraId="71DA23E5">
      <w:pPr>
        <w:pStyle w:val="7"/>
        <w:ind w:firstLine="0"/>
        <w:jc w:val="center"/>
        <w:outlineLvl w:val="9"/>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第 </w:t>
      </w:r>
      <w:r>
        <w:rPr>
          <w:rFonts w:hint="eastAsia" w:ascii="宋体" w:hAnsi="宋体" w:eastAsia="宋体" w:cs="宋体"/>
          <w:b/>
          <w:color w:val="auto"/>
          <w:sz w:val="44"/>
          <w:szCs w:val="44"/>
          <w:highlight w:val="none"/>
          <w:lang w:val="en-US" w:eastAsia="zh-CN"/>
        </w:rPr>
        <w:t>一</w:t>
      </w:r>
      <w:r>
        <w:rPr>
          <w:rFonts w:hint="eastAsia" w:ascii="宋体" w:hAnsi="宋体" w:eastAsia="宋体" w:cs="宋体"/>
          <w:b/>
          <w:color w:val="auto"/>
          <w:sz w:val="44"/>
          <w:szCs w:val="44"/>
          <w:highlight w:val="none"/>
        </w:rPr>
        <w:t xml:space="preserve"> 册</w:t>
      </w:r>
    </w:p>
    <w:p w14:paraId="7BDA6643">
      <w:pPr>
        <w:outlineLvl w:val="9"/>
        <w:rPr>
          <w:rFonts w:hint="eastAsia" w:ascii="宋体" w:hAnsi="宋体" w:eastAsia="宋体" w:cs="宋体"/>
          <w:b/>
          <w:color w:val="auto"/>
          <w:sz w:val="44"/>
          <w:szCs w:val="36"/>
          <w:highlight w:val="none"/>
        </w:rPr>
      </w:pPr>
      <w:r>
        <w:rPr>
          <w:rFonts w:hint="eastAsia" w:ascii="宋体" w:hAnsi="宋体" w:eastAsia="宋体" w:cs="宋体"/>
          <w:b/>
          <w:color w:val="auto"/>
          <w:sz w:val="44"/>
          <w:szCs w:val="36"/>
          <w:highlight w:val="none"/>
        </w:rPr>
        <w:br w:type="page"/>
      </w:r>
    </w:p>
    <w:p w14:paraId="360344C9">
      <w:pPr>
        <w:pStyle w:val="7"/>
        <w:ind w:firstLine="0"/>
        <w:jc w:val="center"/>
        <w:outlineLvl w:val="0"/>
        <w:rPr>
          <w:rFonts w:hint="eastAsia" w:ascii="宋体" w:hAnsi="宋体" w:eastAsia="宋体" w:cs="宋体"/>
          <w:color w:val="auto"/>
          <w:sz w:val="32"/>
          <w:szCs w:val="32"/>
          <w:highlight w:val="none"/>
        </w:rPr>
      </w:pPr>
      <w:bookmarkStart w:id="30" w:name="_Toc19483"/>
      <w:bookmarkStart w:id="31" w:name="_Toc11041"/>
      <w:bookmarkStart w:id="32" w:name="_Toc16201"/>
      <w:r>
        <w:rPr>
          <w:rFonts w:hint="eastAsia" w:ascii="宋体" w:hAnsi="宋体" w:eastAsia="宋体" w:cs="宋体"/>
          <w:b/>
          <w:bCs/>
          <w:color w:val="auto"/>
          <w:sz w:val="32"/>
          <w:szCs w:val="32"/>
          <w:highlight w:val="none"/>
        </w:rPr>
        <w:t>第1章</w:t>
      </w:r>
      <w:bookmarkStart w:id="33" w:name="_Toc515647756"/>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供应商</w:t>
      </w:r>
      <w:r>
        <w:rPr>
          <w:rFonts w:hint="eastAsia" w:ascii="宋体" w:hAnsi="宋体" w:eastAsia="宋体" w:cs="宋体"/>
          <w:b/>
          <w:bCs/>
          <w:color w:val="auto"/>
          <w:sz w:val="32"/>
          <w:szCs w:val="32"/>
          <w:highlight w:val="none"/>
        </w:rPr>
        <w:t>须知</w:t>
      </w:r>
      <w:bookmarkEnd w:id="21"/>
      <w:bookmarkEnd w:id="22"/>
      <w:bookmarkEnd w:id="23"/>
      <w:bookmarkEnd w:id="24"/>
      <w:bookmarkEnd w:id="30"/>
      <w:bookmarkEnd w:id="31"/>
      <w:bookmarkEnd w:id="32"/>
      <w:bookmarkEnd w:id="33"/>
    </w:p>
    <w:p w14:paraId="39A2C8CE">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rPr>
      </w:pPr>
      <w:bookmarkStart w:id="34" w:name="_Toc216582805"/>
      <w:bookmarkStart w:id="35" w:name="_Toc520356143"/>
      <w:bookmarkStart w:id="36" w:name="_Toc515647757"/>
      <w:bookmarkStart w:id="37" w:name="_Toc23277"/>
      <w:bookmarkStart w:id="38" w:name="_Toc21215"/>
      <w:bookmarkStart w:id="39" w:name="_Toc4604"/>
      <w:bookmarkStart w:id="40" w:name="_Toc11227"/>
      <w:bookmarkStart w:id="41" w:name="_Toc4886"/>
      <w:bookmarkStart w:id="42" w:name="_Toc21015"/>
      <w:r>
        <w:rPr>
          <w:rFonts w:hint="eastAsia" w:ascii="宋体" w:hAnsi="宋体" w:eastAsia="宋体" w:cs="宋体"/>
          <w:color w:val="auto"/>
          <w:sz w:val="28"/>
          <w:szCs w:val="28"/>
          <w:highlight w:val="none"/>
        </w:rPr>
        <w:t xml:space="preserve">一   </w:t>
      </w:r>
      <w:bookmarkEnd w:id="34"/>
      <w:bookmarkEnd w:id="35"/>
      <w:bookmarkEnd w:id="36"/>
      <w:r>
        <w:rPr>
          <w:rFonts w:hint="eastAsia" w:ascii="宋体" w:hAnsi="宋体" w:eastAsia="宋体" w:cs="宋体"/>
          <w:color w:val="auto"/>
          <w:sz w:val="28"/>
          <w:szCs w:val="28"/>
          <w:highlight w:val="none"/>
        </w:rPr>
        <w:t>总 则</w:t>
      </w:r>
      <w:bookmarkEnd w:id="37"/>
      <w:bookmarkEnd w:id="38"/>
      <w:bookmarkEnd w:id="39"/>
      <w:bookmarkEnd w:id="40"/>
      <w:bookmarkEnd w:id="41"/>
      <w:bookmarkEnd w:id="42"/>
    </w:p>
    <w:p w14:paraId="6F28C2D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sz w:val="24"/>
          <w:szCs w:val="24"/>
          <w:highlight w:val="none"/>
          <w:u w:val="none"/>
        </w:rPr>
      </w:pPr>
      <w:bookmarkStart w:id="43" w:name="_Toc32623"/>
      <w:bookmarkStart w:id="44" w:name="_Toc520356144"/>
      <w:bookmarkStart w:id="45" w:name="_Toc28967"/>
      <w:bookmarkStart w:id="46" w:name="_Toc31685"/>
      <w:bookmarkStart w:id="47" w:name="_Toc4880"/>
      <w:bookmarkStart w:id="48" w:name="_Toc32189"/>
      <w:bookmarkStart w:id="49" w:name="_Toc333"/>
      <w:bookmarkStart w:id="50" w:name="_Toc11808"/>
      <w:bookmarkStart w:id="51" w:name="_Toc12861"/>
      <w:bookmarkStart w:id="52" w:name="_Toc29554"/>
      <w:bookmarkStart w:id="53" w:name="_Toc515647758"/>
      <w:bookmarkStart w:id="54" w:name="_Toc23985"/>
      <w:bookmarkStart w:id="55" w:name="_Toc15081"/>
      <w:bookmarkStart w:id="56" w:name="_Toc3199"/>
      <w:bookmarkStart w:id="57" w:name="_Toc18221"/>
      <w:bookmarkStart w:id="58" w:name="_Toc32697"/>
      <w:bookmarkStart w:id="59" w:name="_Toc12038"/>
      <w:bookmarkStart w:id="60" w:name="_Toc32450"/>
      <w:bookmarkStart w:id="61" w:name="_Toc30123"/>
      <w:bookmarkStart w:id="62" w:name="_Toc32742"/>
      <w:bookmarkStart w:id="63" w:name="_Toc27367"/>
      <w:bookmarkStart w:id="64" w:name="_Toc16228"/>
      <w:bookmarkStart w:id="65" w:name="_Toc5164"/>
      <w:bookmarkStart w:id="66" w:name="_Toc19435"/>
      <w:bookmarkStart w:id="67" w:name="_Toc23304"/>
      <w:bookmarkStart w:id="68" w:name="_Toc7594"/>
      <w:bookmarkStart w:id="69" w:name="_Toc25783"/>
      <w:bookmarkStart w:id="70" w:name="_Toc22141"/>
      <w:bookmarkStart w:id="71" w:name="_Toc18012"/>
      <w:bookmarkStart w:id="72" w:name="_Toc27969"/>
      <w:bookmarkStart w:id="73" w:name="_Toc28476"/>
      <w:bookmarkStart w:id="74" w:name="_Toc26159"/>
      <w:bookmarkStart w:id="75" w:name="_Toc18135"/>
      <w:bookmarkStart w:id="76" w:name="_Toc9452"/>
      <w:bookmarkStart w:id="77" w:name="_Toc27685"/>
      <w:bookmarkStart w:id="78" w:name="_Toc8320"/>
      <w:bookmarkStart w:id="79" w:name="_Toc15043"/>
      <w:bookmarkStart w:id="80" w:name="_Toc1077"/>
      <w:bookmarkStart w:id="81" w:name="_Toc31147"/>
      <w:r>
        <w:rPr>
          <w:rFonts w:hint="eastAsia" w:ascii="宋体" w:hAnsi="宋体" w:eastAsia="宋体" w:cs="宋体"/>
          <w:b/>
          <w:bCs/>
          <w:color w:val="auto"/>
          <w:kern w:val="2"/>
          <w:sz w:val="24"/>
          <w:szCs w:val="24"/>
          <w:lang w:val="en-US" w:eastAsia="zh-CN" w:bidi="ar-SA"/>
        </w:rPr>
        <w:t>1.</w:t>
      </w:r>
      <w:r>
        <w:rPr>
          <w:rFonts w:hint="eastAsia" w:ascii="宋体" w:hAnsi="宋体" w:eastAsia="宋体" w:cs="宋体"/>
          <w:b/>
          <w:bCs/>
          <w:color w:val="auto"/>
          <w:sz w:val="24"/>
          <w:szCs w:val="24"/>
          <w:highlight w:val="none"/>
          <w:u w:val="none"/>
        </w:rPr>
        <w:t>采购人、采购代理机构及</w:t>
      </w:r>
      <w:bookmarkEnd w:id="43"/>
      <w:bookmarkEnd w:id="44"/>
      <w:bookmarkEnd w:id="45"/>
      <w:bookmarkEnd w:id="46"/>
      <w:bookmarkEnd w:id="47"/>
      <w:bookmarkEnd w:id="48"/>
      <w:bookmarkEnd w:id="49"/>
      <w:bookmarkEnd w:id="50"/>
      <w:bookmarkEnd w:id="51"/>
      <w:bookmarkEnd w:id="52"/>
      <w:bookmarkEnd w:id="53"/>
      <w:bookmarkEnd w:id="54"/>
      <w:r>
        <w:rPr>
          <w:rFonts w:hint="eastAsia" w:ascii="宋体" w:hAnsi="宋体" w:eastAsia="宋体" w:cs="宋体"/>
          <w:b/>
          <w:bCs/>
          <w:color w:val="auto"/>
          <w:sz w:val="24"/>
          <w:szCs w:val="24"/>
          <w:highlight w:val="none"/>
          <w:u w:val="none"/>
          <w:lang w:eastAsia="zh-CN"/>
        </w:rPr>
        <w:t>供应商</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6D85CE0B">
      <w:pPr>
        <w:pageBreakBefore w:val="0"/>
        <w:widowControl w:val="0"/>
        <w:numPr>
          <w:ilvl w:val="0"/>
          <w:numId w:val="0"/>
        </w:numPr>
        <w:tabs>
          <w:tab w:val="left" w:pos="0"/>
        </w:tabs>
        <w:kinsoku/>
        <w:wordWrap/>
        <w:overflowPunct/>
        <w:topLinePunct w:val="0"/>
        <w:bidi w:val="0"/>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 xml:space="preserve">   采购人：是指依法开展政府采购活动的国家机关、事业单位、团体组织。</w:t>
      </w:r>
    </w:p>
    <w:p w14:paraId="01BFC5CF">
      <w:pPr>
        <w:pageBreakBefore w:val="0"/>
        <w:widowControl w:val="0"/>
        <w:tabs>
          <w:tab w:val="left" w:pos="0"/>
        </w:tabs>
        <w:kinsoku/>
        <w:wordWrap/>
        <w:overflowPunct/>
        <w:topLinePunct w:val="0"/>
        <w:bidi w:val="0"/>
        <w:spacing w:line="3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本项目的采购人见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14:paraId="1406FD90">
      <w:pPr>
        <w:pageBreakBefore w:val="0"/>
        <w:widowControl w:val="0"/>
        <w:numPr>
          <w:ilvl w:val="0"/>
          <w:numId w:val="0"/>
        </w:numPr>
        <w:tabs>
          <w:tab w:val="left" w:pos="0"/>
        </w:tabs>
        <w:kinsoku/>
        <w:wordWrap/>
        <w:overflowPunct/>
        <w:topLinePunct w:val="0"/>
        <w:bidi w:val="0"/>
        <w:spacing w:line="360" w:lineRule="exact"/>
        <w:ind w:left="72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 xml:space="preserve">   采购代理机构：是指在集中采购机构或从事采购代理业务的社会中介机构。本项目的采购代理机构见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14:paraId="0B5DFB25">
      <w:pPr>
        <w:pageBreakBefore w:val="0"/>
        <w:widowControl w:val="0"/>
        <w:numPr>
          <w:ilvl w:val="0"/>
          <w:numId w:val="0"/>
        </w:numPr>
        <w:kinsoku/>
        <w:wordWrap/>
        <w:overflowPunct/>
        <w:topLinePunct w:val="0"/>
        <w:bidi w:val="0"/>
        <w:spacing w:line="360" w:lineRule="exact"/>
        <w:ind w:left="96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：是指向采购人提供货物、工程或者服务的法人、非法人组织或者自然人。本项目的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及其投标货物须满足以下条件：</w:t>
      </w:r>
    </w:p>
    <w:p w14:paraId="19F73048">
      <w:pPr>
        <w:pageBreakBefore w:val="0"/>
        <w:widowControl w:val="0"/>
        <w:kinsoku/>
        <w:wordWrap/>
        <w:overflowPunct/>
        <w:topLinePunct w:val="0"/>
        <w:bidi w:val="0"/>
        <w:spacing w:line="360" w:lineRule="exact"/>
        <w:ind w:left="849" w:leftChars="0" w:hanging="849" w:hangingChars="35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在中华人民共和国境内注册，能够独立承担民事责任，有生产或供应能力的本国供应商。</w:t>
      </w:r>
    </w:p>
    <w:p w14:paraId="458F00AB">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具备《中华人民共和国政府采购法》第二十二条关于供应商条件的规定，遵守本项目采购人本级和上级财政部门政府采购的有关规定。</w:t>
      </w:r>
    </w:p>
    <w:p w14:paraId="72E643F6">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   以采购代理机构认可的方式获得了本项目的招标文件。</w:t>
      </w:r>
    </w:p>
    <w:p w14:paraId="419975E8">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符合</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中规定的其他要求。</w:t>
      </w:r>
    </w:p>
    <w:p w14:paraId="49FC854F">
      <w:pPr>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若</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中写明专门面向中小企业采购的，如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为非中小企业且所投产品为非中小企业产品，其投标将被认定为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488CF9CD">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如</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中允许联合体投标，对联合体规定如下：</w:t>
      </w:r>
    </w:p>
    <w:p w14:paraId="3A938D8A">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两个以上供应商可以组成一个投标联合体，以一个</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的身份投标。</w:t>
      </w:r>
    </w:p>
    <w:p w14:paraId="3D44FDE2">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联合体各方均应符合《中华人民共和国政府采购法》第二十二条规定的条件。</w:t>
      </w:r>
    </w:p>
    <w:p w14:paraId="7924E5B0">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采购人根据采购项目对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的特殊要求，联合体中至少应当有一方符合相关规定。</w:t>
      </w:r>
    </w:p>
    <w:p w14:paraId="269746AE">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   联合体各方应签订共同投标协议，明确约定联合体各方承担的工作和相应的责任，并将共同投标协议连同作为投标文件第一部分的内容提交。</w:t>
      </w:r>
    </w:p>
    <w:p w14:paraId="57EF1F0E">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1.4.5   大中型企业、其他自然人、法人或者非法人组织与小型、微型企业组成联合体共同参加投标，共同投标协议中应写明小型、微型企业的协议合同金额占到共同投标协议投标总金额的比例。</w:t>
      </w:r>
    </w:p>
    <w:p w14:paraId="132AD34F">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1.4.6  联合体中有同类资质的供应商按照联合体分工承担相同工作的，按照较低的资质等级确定联合体的资质等级。</w:t>
      </w:r>
    </w:p>
    <w:p w14:paraId="553E0C52">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1.4.7  以联合体形式参加政府采购活动的，联合体各方不得再单独参加或者与其他供应商另外组成联合体参加本项目投标，否则相关投标将被认定为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33C58C0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   对联合体投标的其他资格要求见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14:paraId="6B1834A4">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单位负责人为同一人或者存在直接控股、管理关系的不同供应商，其相关投标将被认定为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4D5FC79B">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1.6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在投标过程中不得向采购人提供、给予任何有价值的物品，影响其正常决策行为。一经发现，其将被认定为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63B341A5">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82" w:name="_Toc10699"/>
      <w:bookmarkStart w:id="83" w:name="_Toc21286"/>
      <w:bookmarkStart w:id="84" w:name="_Toc6957"/>
      <w:bookmarkStart w:id="85" w:name="_Toc1685"/>
      <w:bookmarkStart w:id="86" w:name="_Toc16822"/>
      <w:bookmarkStart w:id="87" w:name="_Toc515647759"/>
      <w:bookmarkStart w:id="88" w:name="_Toc8046"/>
      <w:bookmarkStart w:id="89" w:name="_Toc11068"/>
      <w:bookmarkStart w:id="90" w:name="_Toc16369"/>
      <w:bookmarkStart w:id="91" w:name="_Toc4016"/>
      <w:bookmarkStart w:id="92" w:name="_Toc19970"/>
      <w:bookmarkStart w:id="93" w:name="_Toc1760"/>
      <w:bookmarkStart w:id="94" w:name="_Toc4924"/>
      <w:bookmarkStart w:id="95" w:name="_Toc13065"/>
      <w:bookmarkStart w:id="96" w:name="_Toc4311"/>
      <w:bookmarkStart w:id="97" w:name="_Toc19202"/>
      <w:bookmarkStart w:id="98" w:name="_Toc28008"/>
      <w:bookmarkStart w:id="99" w:name="_Toc27451"/>
      <w:bookmarkStart w:id="100" w:name="_Toc10189"/>
      <w:bookmarkStart w:id="101" w:name="_Toc18986"/>
      <w:bookmarkStart w:id="102" w:name="_Toc12139"/>
      <w:bookmarkStart w:id="103" w:name="_Toc5286"/>
      <w:bookmarkStart w:id="104" w:name="_Toc18713"/>
      <w:bookmarkStart w:id="105" w:name="_Toc27683"/>
      <w:bookmarkStart w:id="106" w:name="_Toc28511"/>
      <w:bookmarkStart w:id="107" w:name="_Toc13272"/>
      <w:bookmarkStart w:id="108" w:name="_Toc1973"/>
      <w:bookmarkStart w:id="109" w:name="_Toc30940"/>
      <w:bookmarkStart w:id="110" w:name="_Toc7800"/>
      <w:bookmarkStart w:id="111" w:name="_Toc4816"/>
      <w:bookmarkStart w:id="112" w:name="_Toc15091"/>
      <w:bookmarkStart w:id="113" w:name="_Toc10433"/>
      <w:bookmarkStart w:id="114" w:name="_Toc31564"/>
      <w:bookmarkStart w:id="115" w:name="_Toc25920"/>
      <w:bookmarkStart w:id="116" w:name="_Toc1403"/>
      <w:bookmarkStart w:id="117" w:name="_Toc690"/>
      <w:bookmarkStart w:id="118" w:name="_Toc27814"/>
      <w:bookmarkStart w:id="119" w:name="_Toc22446"/>
      <w:r>
        <w:rPr>
          <w:rFonts w:hint="eastAsia" w:ascii="宋体" w:hAnsi="宋体" w:eastAsia="宋体" w:cs="宋体"/>
          <w:b/>
          <w:bCs/>
          <w:color w:val="auto"/>
          <w:kern w:val="2"/>
          <w:sz w:val="24"/>
          <w:szCs w:val="24"/>
          <w:u w:val="none"/>
          <w:lang w:val="en-US" w:eastAsia="zh-CN" w:bidi="ar-SA"/>
        </w:rPr>
        <w:t>2.资金来源</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B67028C">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本项目的采购人已获得足以支付本次招标后所签订的合同项下的资金（包括财政性资金和本项目采购中无法与财政性资金分割的非财政性资金）。</w:t>
      </w:r>
    </w:p>
    <w:p w14:paraId="4EFE99F6">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项目预算金额和分项或分包最高限价</w:t>
      </w:r>
      <w:r>
        <w:rPr>
          <w:rFonts w:hint="eastAsia" w:ascii="宋体" w:hAnsi="宋体" w:eastAsia="宋体" w:cs="宋体"/>
          <w:color w:val="auto"/>
          <w:sz w:val="24"/>
          <w:szCs w:val="24"/>
          <w:highlight w:val="none"/>
          <w:u w:val="single"/>
        </w:rPr>
        <w:t>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14:paraId="36EB6787">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报价超过招标文件规定的预算金额或者分项、分包最高限价的，其投标将被认定为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72D850B9">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20" w:name="_Toc15518"/>
      <w:bookmarkStart w:id="121" w:name="_Toc11534"/>
      <w:bookmarkStart w:id="122" w:name="_Toc12313"/>
      <w:bookmarkStart w:id="123" w:name="_Toc29041"/>
      <w:bookmarkStart w:id="124" w:name="_Toc20526"/>
      <w:bookmarkStart w:id="125" w:name="_Toc30737"/>
      <w:bookmarkStart w:id="126" w:name="_Toc22731"/>
      <w:bookmarkStart w:id="127" w:name="_Toc30708"/>
      <w:bookmarkStart w:id="128" w:name="_Toc29504"/>
      <w:bookmarkStart w:id="129" w:name="_Toc30670"/>
      <w:bookmarkStart w:id="130" w:name="_Toc515647760"/>
      <w:bookmarkStart w:id="131" w:name="_Toc6415"/>
      <w:bookmarkStart w:id="132" w:name="_Toc14612"/>
      <w:bookmarkStart w:id="133" w:name="_Toc27479"/>
      <w:bookmarkStart w:id="134" w:name="_Toc13109"/>
      <w:bookmarkStart w:id="135" w:name="_Toc7188"/>
      <w:bookmarkStart w:id="136" w:name="_Toc20044"/>
      <w:bookmarkStart w:id="137" w:name="_Toc12188"/>
      <w:bookmarkStart w:id="138" w:name="_Toc520356145"/>
      <w:bookmarkStart w:id="139" w:name="_Toc6389"/>
      <w:bookmarkStart w:id="140" w:name="_Toc14735"/>
      <w:bookmarkStart w:id="141" w:name="_Toc15368"/>
      <w:bookmarkStart w:id="142" w:name="_Toc22005"/>
      <w:bookmarkStart w:id="143" w:name="_Toc30650"/>
      <w:bookmarkStart w:id="144" w:name="_Toc10963"/>
      <w:bookmarkStart w:id="145" w:name="_Toc5757"/>
      <w:bookmarkStart w:id="146" w:name="_Toc21325"/>
      <w:bookmarkStart w:id="147" w:name="_Toc32114"/>
      <w:bookmarkStart w:id="148" w:name="_Toc903"/>
      <w:bookmarkStart w:id="149" w:name="_Toc27044"/>
      <w:bookmarkStart w:id="150" w:name="_Toc144"/>
      <w:bookmarkStart w:id="151" w:name="_Toc15936"/>
      <w:bookmarkStart w:id="152" w:name="_Toc23959"/>
      <w:bookmarkStart w:id="153" w:name="_Toc5207"/>
      <w:bookmarkStart w:id="154" w:name="_Toc20799"/>
      <w:bookmarkStart w:id="155" w:name="_Toc29481"/>
      <w:bookmarkStart w:id="156" w:name="_Toc31014"/>
      <w:bookmarkStart w:id="157" w:name="_Toc3968"/>
      <w:bookmarkStart w:id="158" w:name="_Toc26559"/>
      <w:r>
        <w:rPr>
          <w:rFonts w:hint="eastAsia" w:ascii="宋体" w:hAnsi="宋体" w:eastAsia="宋体" w:cs="宋体"/>
          <w:b/>
          <w:bCs/>
          <w:color w:val="auto"/>
          <w:kern w:val="2"/>
          <w:sz w:val="24"/>
          <w:szCs w:val="24"/>
          <w:u w:val="none"/>
          <w:lang w:val="en-US" w:eastAsia="zh-CN" w:bidi="ar-SA"/>
        </w:rPr>
        <w:t>3.投标费用</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6CC46723">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不论投标的结果如何，</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应承担所有与准备和参加投标有关的费用。</w:t>
      </w:r>
    </w:p>
    <w:p w14:paraId="6773298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59" w:name="_Toc2389"/>
      <w:bookmarkStart w:id="160" w:name="_Toc32103"/>
      <w:bookmarkStart w:id="161" w:name="_Toc14443"/>
      <w:bookmarkStart w:id="162" w:name="_Toc10109"/>
      <w:bookmarkStart w:id="163" w:name="_Toc1198"/>
      <w:bookmarkStart w:id="164" w:name="_Toc7511"/>
      <w:bookmarkStart w:id="165" w:name="_Toc11355"/>
      <w:bookmarkStart w:id="166" w:name="_Toc5853"/>
      <w:bookmarkStart w:id="167" w:name="_Toc4463"/>
      <w:bookmarkStart w:id="168" w:name="_Toc22687"/>
      <w:bookmarkStart w:id="169" w:name="_Toc26349"/>
      <w:bookmarkStart w:id="170" w:name="_Toc27739"/>
      <w:bookmarkStart w:id="171" w:name="_Toc24881"/>
      <w:bookmarkStart w:id="172" w:name="_Toc13524"/>
      <w:bookmarkStart w:id="173" w:name="_Toc7755"/>
      <w:bookmarkStart w:id="174" w:name="_Toc12920"/>
      <w:bookmarkStart w:id="175" w:name="_Toc2839"/>
      <w:bookmarkStart w:id="176" w:name="_Toc22531"/>
      <w:bookmarkStart w:id="177" w:name="_Toc32017"/>
      <w:bookmarkStart w:id="178" w:name="_Toc16328"/>
      <w:bookmarkStart w:id="179" w:name="_Toc4750"/>
      <w:bookmarkStart w:id="180" w:name="_Toc27687"/>
      <w:bookmarkStart w:id="181" w:name="_Toc15600"/>
      <w:bookmarkStart w:id="182" w:name="_Toc24415"/>
      <w:bookmarkStart w:id="183" w:name="_Toc17308"/>
      <w:bookmarkStart w:id="184" w:name="_Toc13427"/>
      <w:bookmarkStart w:id="185" w:name="_Toc6116"/>
      <w:bookmarkStart w:id="186" w:name="_Toc24859"/>
      <w:bookmarkStart w:id="187" w:name="_Toc13150"/>
      <w:bookmarkStart w:id="188" w:name="_Toc16751"/>
      <w:bookmarkStart w:id="189" w:name="_Toc21641"/>
      <w:bookmarkStart w:id="190" w:name="_Toc6759"/>
      <w:bookmarkStart w:id="191" w:name="_Toc515647761"/>
      <w:bookmarkStart w:id="192" w:name="_Toc25242"/>
      <w:bookmarkStart w:id="193" w:name="_Toc29011"/>
      <w:bookmarkStart w:id="194" w:name="_Toc24310"/>
      <w:bookmarkStart w:id="195" w:name="_Toc21923"/>
      <w:bookmarkStart w:id="196" w:name="_Toc11505"/>
      <w:r>
        <w:rPr>
          <w:rFonts w:hint="eastAsia" w:ascii="宋体" w:hAnsi="宋体" w:eastAsia="宋体" w:cs="宋体"/>
          <w:b/>
          <w:bCs/>
          <w:color w:val="auto"/>
          <w:kern w:val="2"/>
          <w:sz w:val="24"/>
          <w:szCs w:val="24"/>
          <w:u w:val="none"/>
          <w:lang w:val="en-US" w:eastAsia="zh-CN" w:bidi="ar-SA"/>
        </w:rPr>
        <w:t>4.适用法律</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46894A5E">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本项目采购人、采购代理机构、供应商、评标委员会的相关行为均受《中华人民共和国政府采购法》、《中华人民共和国政府采购法实施条例》、《中华人民共和国财政部令第87号--政府采购货物和</w:t>
      </w:r>
      <w:r>
        <w:rPr>
          <w:rFonts w:hint="eastAsia" w:ascii="宋体" w:hAnsi="宋体" w:cs="宋体"/>
          <w:color w:val="auto"/>
          <w:sz w:val="24"/>
          <w:szCs w:val="24"/>
          <w:highlight w:val="none"/>
          <w:lang w:val="en-US" w:eastAsia="zh-CN"/>
        </w:rPr>
        <w:t>服务</w:t>
      </w:r>
      <w:r>
        <w:rPr>
          <w:rFonts w:hint="eastAsia" w:ascii="宋体" w:hAnsi="宋体" w:eastAsia="宋体" w:cs="宋体"/>
          <w:color w:val="auto"/>
          <w:sz w:val="24"/>
          <w:szCs w:val="24"/>
          <w:highlight w:val="none"/>
        </w:rPr>
        <w:t>招标投标管理办法》及本项目本级和上级财政部门政府采购有关规定的约束，其权利受到上述法律法规的保护。</w:t>
      </w:r>
    </w:p>
    <w:p w14:paraId="020D47BF">
      <w:pPr>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p>
    <w:p w14:paraId="19447207">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rPr>
      </w:pPr>
      <w:bookmarkStart w:id="197" w:name="_Toc13962"/>
      <w:bookmarkStart w:id="198" w:name="_Toc4365"/>
      <w:bookmarkStart w:id="199" w:name="_Toc872"/>
      <w:bookmarkStart w:id="200" w:name="_Toc6385"/>
      <w:bookmarkStart w:id="201" w:name="_Toc216582806"/>
      <w:bookmarkStart w:id="202" w:name="_Toc22711"/>
      <w:bookmarkStart w:id="203" w:name="_Toc520356146"/>
      <w:bookmarkStart w:id="204" w:name="_Toc21566"/>
      <w:bookmarkStart w:id="205" w:name="_Toc515647762"/>
      <w:r>
        <w:rPr>
          <w:rFonts w:hint="eastAsia" w:ascii="宋体" w:hAnsi="宋体" w:eastAsia="宋体" w:cs="宋体"/>
          <w:color w:val="auto"/>
          <w:sz w:val="28"/>
          <w:szCs w:val="28"/>
          <w:highlight w:val="none"/>
        </w:rPr>
        <w:t>二   招标文件</w:t>
      </w:r>
      <w:bookmarkEnd w:id="197"/>
      <w:bookmarkEnd w:id="198"/>
      <w:bookmarkEnd w:id="199"/>
      <w:bookmarkEnd w:id="200"/>
      <w:bookmarkEnd w:id="201"/>
      <w:bookmarkEnd w:id="202"/>
      <w:bookmarkEnd w:id="203"/>
      <w:bookmarkEnd w:id="204"/>
      <w:bookmarkEnd w:id="205"/>
    </w:p>
    <w:p w14:paraId="7457B34A">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206" w:name="_Toc18714"/>
      <w:bookmarkStart w:id="207" w:name="_Toc202"/>
      <w:bookmarkStart w:id="208" w:name="_Toc18213"/>
      <w:bookmarkStart w:id="209" w:name="_Toc11277"/>
      <w:bookmarkStart w:id="210" w:name="_Toc30280"/>
      <w:bookmarkStart w:id="211" w:name="_Toc5875"/>
      <w:bookmarkStart w:id="212" w:name="_Toc21734"/>
      <w:bookmarkStart w:id="213" w:name="_Toc6541"/>
      <w:bookmarkStart w:id="214" w:name="_Toc24971"/>
      <w:bookmarkStart w:id="215" w:name="_Toc12831"/>
      <w:bookmarkStart w:id="216" w:name="_Toc3517"/>
      <w:bookmarkStart w:id="217" w:name="_Toc6608"/>
      <w:bookmarkStart w:id="218" w:name="_Toc27186"/>
      <w:bookmarkStart w:id="219" w:name="_Toc25976"/>
      <w:bookmarkStart w:id="220" w:name="_Toc26517"/>
      <w:bookmarkStart w:id="221" w:name="_Toc14084"/>
      <w:bookmarkStart w:id="222" w:name="_Toc31526"/>
      <w:bookmarkStart w:id="223" w:name="_Toc22056"/>
      <w:bookmarkStart w:id="224" w:name="_Toc7177"/>
      <w:bookmarkStart w:id="225" w:name="_Toc31428"/>
      <w:bookmarkStart w:id="226" w:name="_Toc15203"/>
      <w:bookmarkStart w:id="227" w:name="_Toc21275"/>
      <w:bookmarkStart w:id="228" w:name="_Toc19525"/>
      <w:bookmarkStart w:id="229" w:name="_Toc27237"/>
      <w:bookmarkStart w:id="230" w:name="_Toc5479"/>
      <w:bookmarkStart w:id="231" w:name="_Toc1044"/>
      <w:bookmarkStart w:id="232" w:name="_Toc13642"/>
      <w:bookmarkStart w:id="233" w:name="_Toc17343"/>
      <w:bookmarkStart w:id="234" w:name="_Toc27288"/>
      <w:bookmarkStart w:id="235" w:name="_Toc515647763"/>
      <w:bookmarkStart w:id="236" w:name="_Toc12596"/>
      <w:bookmarkStart w:id="237" w:name="_Toc25743"/>
      <w:bookmarkStart w:id="238" w:name="_Toc25621"/>
      <w:bookmarkStart w:id="239" w:name="_Toc29550"/>
      <w:bookmarkStart w:id="240" w:name="_Toc14530"/>
      <w:bookmarkStart w:id="241" w:name="_Toc14447"/>
      <w:bookmarkStart w:id="242" w:name="_Toc520356147"/>
      <w:bookmarkStart w:id="243" w:name="_Toc13816"/>
      <w:bookmarkStart w:id="244" w:name="_Toc2876"/>
      <w:r>
        <w:rPr>
          <w:rFonts w:hint="eastAsia" w:ascii="宋体" w:hAnsi="宋体" w:eastAsia="宋体" w:cs="宋体"/>
          <w:b/>
          <w:bCs/>
          <w:color w:val="auto"/>
          <w:kern w:val="2"/>
          <w:sz w:val="24"/>
          <w:szCs w:val="24"/>
          <w:u w:val="none"/>
          <w:lang w:val="en-US" w:eastAsia="zh-CN" w:bidi="ar-SA"/>
        </w:rPr>
        <w:t>5.招标文件构成</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7C11E62B">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招标文件分为三册共7章，内容如下：</w:t>
      </w:r>
    </w:p>
    <w:p w14:paraId="2B6F7682">
      <w:pPr>
        <w:pageBreakBefore w:val="0"/>
        <w:widowControl w:val="0"/>
        <w:kinsoku/>
        <w:wordWrap/>
        <w:overflowPunct/>
        <w:topLinePunct w:val="0"/>
        <w:bidi w:val="0"/>
        <w:spacing w:line="360" w:lineRule="exact"/>
        <w:ind w:left="0" w:leftChars="0" w:firstLine="60" w:firstLineChars="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第一册</w:t>
      </w:r>
    </w:p>
    <w:p w14:paraId="6591344F">
      <w:pPr>
        <w:pageBreakBefore w:val="0"/>
        <w:widowControl w:val="0"/>
        <w:tabs>
          <w:tab w:val="left" w:pos="0"/>
        </w:tabs>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w:t>
      </w:r>
    </w:p>
    <w:p w14:paraId="1396D961">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2投标文件格式</w:t>
      </w:r>
    </w:p>
    <w:p w14:paraId="396DCA3C">
      <w:pPr>
        <w:pageBreakBefore w:val="0"/>
        <w:widowControl w:val="0"/>
        <w:kinsoku/>
        <w:wordWrap/>
        <w:overflowPunct/>
        <w:topLinePunct w:val="0"/>
        <w:bidi w:val="0"/>
        <w:spacing w:line="360" w:lineRule="exact"/>
        <w:ind w:left="0" w:leftChars="0" w:firstLine="33" w:firstLineChars="1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第二册</w:t>
      </w:r>
    </w:p>
    <w:p w14:paraId="561AFE69">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投标邀请</w:t>
      </w:r>
    </w:p>
    <w:p w14:paraId="164BE7AA">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须知资料表</w:t>
      </w:r>
    </w:p>
    <w:p w14:paraId="08A2CDE0">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 </w:t>
      </w:r>
      <w:r>
        <w:rPr>
          <w:rFonts w:hint="eastAsia" w:ascii="宋体" w:hAnsi="宋体" w:cs="宋体"/>
          <w:color w:val="auto"/>
          <w:sz w:val="24"/>
          <w:szCs w:val="24"/>
          <w:highlight w:val="none"/>
          <w:lang w:val="en-US" w:eastAsia="zh-CN"/>
        </w:rPr>
        <w:t>货物需求及项目要求</w:t>
      </w:r>
      <w:r>
        <w:rPr>
          <w:rFonts w:hint="eastAsia" w:ascii="宋体" w:hAnsi="宋体" w:eastAsia="宋体" w:cs="宋体"/>
          <w:color w:val="auto"/>
          <w:sz w:val="24"/>
          <w:szCs w:val="24"/>
          <w:highlight w:val="none"/>
        </w:rPr>
        <w:t xml:space="preserve"> </w:t>
      </w:r>
    </w:p>
    <w:p w14:paraId="0DE33A4D">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评标方法和标准</w:t>
      </w:r>
    </w:p>
    <w:p w14:paraId="272076BA">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第三册</w:t>
      </w:r>
    </w:p>
    <w:p w14:paraId="7C6D4C18">
      <w:pPr>
        <w:pageBreakBefore w:val="0"/>
        <w:widowControl w:val="0"/>
        <w:kinsoku/>
        <w:wordWrap/>
        <w:overflowPunct/>
        <w:topLinePunct w:val="0"/>
        <w:bidi w:val="0"/>
        <w:spacing w:line="360" w:lineRule="exact"/>
        <w:ind w:left="0" w:leftChars="0" w:firstLine="240" w:firstLineChars="1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政府采购合同格式</w:t>
      </w:r>
    </w:p>
    <w:p w14:paraId="58917AC8">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如本文件的前后内容不一致，以最后描述为准。</w:t>
      </w:r>
    </w:p>
    <w:p w14:paraId="4E7708E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应认真阅读招标文件所有的事项、格式、条款和技术规范等。如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没有按照招标文件要求提交全部资料，或者投标文件没有对招标文件在各方面都做出实质性响应，可能导致其投标将被认定为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56FB95B2">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245" w:name="_Toc520356148"/>
      <w:bookmarkStart w:id="246" w:name="_Toc515904805"/>
      <w:bookmarkStart w:id="247" w:name="_Toc7764"/>
      <w:bookmarkStart w:id="248" w:name="_Toc23221"/>
      <w:bookmarkStart w:id="249" w:name="_Toc21098"/>
      <w:bookmarkStart w:id="250" w:name="_Toc13020"/>
      <w:bookmarkStart w:id="251" w:name="_Toc20823"/>
      <w:bookmarkStart w:id="252" w:name="_Toc15721"/>
      <w:bookmarkStart w:id="253" w:name="_Toc24647"/>
      <w:bookmarkStart w:id="254" w:name="_Toc21165"/>
      <w:bookmarkStart w:id="255" w:name="_Toc24976"/>
      <w:bookmarkStart w:id="256" w:name="_Toc2224"/>
      <w:bookmarkStart w:id="257" w:name="_Toc1117"/>
      <w:bookmarkStart w:id="258" w:name="_Toc4559"/>
      <w:bookmarkStart w:id="259" w:name="_Toc5991"/>
      <w:bookmarkStart w:id="260" w:name="_Toc27465"/>
      <w:bookmarkStart w:id="261" w:name="_Toc10213"/>
      <w:bookmarkStart w:id="262" w:name="_Toc27807"/>
      <w:bookmarkStart w:id="263" w:name="_Toc31486"/>
      <w:bookmarkStart w:id="264" w:name="_Toc25866"/>
      <w:bookmarkStart w:id="265" w:name="_Toc9232"/>
      <w:bookmarkStart w:id="266" w:name="_Toc32213"/>
      <w:bookmarkStart w:id="267" w:name="_Toc20825"/>
      <w:bookmarkStart w:id="268" w:name="_Toc28731"/>
      <w:bookmarkStart w:id="269" w:name="_Toc25187"/>
      <w:bookmarkStart w:id="270" w:name="_Toc20202"/>
      <w:bookmarkStart w:id="271" w:name="_Toc26044"/>
      <w:bookmarkStart w:id="272" w:name="_Toc12996"/>
      <w:bookmarkStart w:id="273" w:name="_Toc20722"/>
      <w:bookmarkStart w:id="274" w:name="_Toc20556"/>
      <w:bookmarkStart w:id="275" w:name="_Toc10034"/>
      <w:bookmarkStart w:id="276" w:name="_Toc20995"/>
      <w:bookmarkStart w:id="277" w:name="_Toc12813"/>
      <w:bookmarkStart w:id="278" w:name="_Toc19551"/>
      <w:bookmarkStart w:id="279" w:name="_Toc20765"/>
      <w:bookmarkStart w:id="280" w:name="_Toc21000"/>
      <w:bookmarkStart w:id="281" w:name="_Toc19275"/>
      <w:bookmarkStart w:id="282" w:name="_Toc29804"/>
      <w:bookmarkStart w:id="283" w:name="_Toc20604"/>
      <w:r>
        <w:rPr>
          <w:rFonts w:hint="eastAsia" w:ascii="宋体" w:hAnsi="宋体" w:eastAsia="宋体" w:cs="宋体"/>
          <w:b/>
          <w:bCs/>
          <w:color w:val="auto"/>
          <w:kern w:val="2"/>
          <w:sz w:val="24"/>
          <w:szCs w:val="24"/>
          <w:u w:val="none"/>
          <w:lang w:val="en-US" w:eastAsia="zh-CN" w:bidi="ar-SA"/>
        </w:rPr>
        <w:t>6.招标文件的澄清</w:t>
      </w:r>
      <w:bookmarkEnd w:id="245"/>
      <w:bookmarkEnd w:id="246"/>
      <w:r>
        <w:rPr>
          <w:rFonts w:hint="eastAsia" w:ascii="宋体" w:hAnsi="宋体" w:eastAsia="宋体" w:cs="宋体"/>
          <w:b/>
          <w:bCs/>
          <w:color w:val="auto"/>
          <w:kern w:val="2"/>
          <w:sz w:val="24"/>
          <w:szCs w:val="24"/>
          <w:u w:val="none"/>
          <w:lang w:val="en-US" w:eastAsia="zh-CN" w:bidi="ar-SA"/>
        </w:rPr>
        <w:t>与修改</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9090A8F">
      <w:pPr>
        <w:pStyle w:val="7"/>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    为了保证对招标文件的澄清和修改满足法律的时限要求，任何要求对招标文件进行澄清的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，均应在投标截止期十五日前，以书面形式将澄清要求通知采购人或采购代理机构。</w:t>
      </w:r>
    </w:p>
    <w:p w14:paraId="00F8A507">
      <w:pPr>
        <w:pStyle w:val="7"/>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bookmarkStart w:id="284" w:name="_Ref467378678"/>
      <w:bookmarkStart w:id="285" w:name="_Toc520356149"/>
      <w:bookmarkStart w:id="286" w:name="_Toc515904806"/>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采购人可主动地或在解答</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提出的澄清问题时对招标文件进行澄清或修改。采购代理机构将以发布澄清（更正）公告的方式，澄清或修改招标文件，澄清或修改内容作为招标文件的组成部分。</w:t>
      </w:r>
    </w:p>
    <w:p w14:paraId="6B21E5E0">
      <w:pPr>
        <w:pStyle w:val="7"/>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澄清或者修改的内容可能影响投标文件编制的，采购代理机构将以书面形式通知所有购买招标文件的潜在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，并对其具有约束力。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在收到上述通知后，应及时向采购代理机构回函确认。</w:t>
      </w:r>
    </w:p>
    <w:bookmarkEnd w:id="284"/>
    <w:bookmarkEnd w:id="285"/>
    <w:bookmarkEnd w:id="286"/>
    <w:p w14:paraId="688A3567">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287" w:name="_Toc32714"/>
      <w:bookmarkStart w:id="288" w:name="_Toc26605"/>
      <w:bookmarkStart w:id="289" w:name="_Toc22962"/>
      <w:bookmarkStart w:id="290" w:name="_Toc30435"/>
      <w:bookmarkStart w:id="291" w:name="_Toc32529"/>
      <w:bookmarkStart w:id="292" w:name="_Toc1275"/>
      <w:bookmarkStart w:id="293" w:name="_Toc21187"/>
      <w:bookmarkStart w:id="294" w:name="_Toc14901"/>
      <w:bookmarkStart w:id="295" w:name="_Toc28126"/>
      <w:bookmarkStart w:id="296" w:name="_Toc20069"/>
      <w:bookmarkStart w:id="297" w:name="_Toc20504"/>
      <w:bookmarkStart w:id="298" w:name="_Toc27811"/>
      <w:bookmarkStart w:id="299" w:name="_Toc10823"/>
      <w:bookmarkStart w:id="300" w:name="_Toc19513"/>
      <w:bookmarkStart w:id="301" w:name="_Toc27410"/>
      <w:bookmarkStart w:id="302" w:name="_Toc7468"/>
      <w:bookmarkStart w:id="303" w:name="_Toc72"/>
      <w:bookmarkStart w:id="304" w:name="_Toc1073"/>
      <w:bookmarkStart w:id="305" w:name="_Toc24028"/>
      <w:bookmarkStart w:id="306" w:name="_Toc28195"/>
      <w:bookmarkStart w:id="307" w:name="_Toc5103"/>
      <w:bookmarkStart w:id="308" w:name="_Toc517"/>
      <w:bookmarkStart w:id="309" w:name="_Toc9691"/>
      <w:bookmarkStart w:id="310" w:name="_Toc9080"/>
      <w:bookmarkStart w:id="311" w:name="_Toc25578"/>
      <w:bookmarkStart w:id="312" w:name="_Toc6199"/>
      <w:bookmarkStart w:id="313" w:name="_Toc14569"/>
      <w:bookmarkStart w:id="314" w:name="_Toc19424"/>
      <w:bookmarkStart w:id="315" w:name="_Toc978"/>
      <w:bookmarkStart w:id="316" w:name="_Toc14645"/>
      <w:bookmarkStart w:id="317" w:name="_Toc6936"/>
      <w:bookmarkStart w:id="318" w:name="_Toc22107"/>
      <w:bookmarkStart w:id="319" w:name="_Toc7919"/>
      <w:bookmarkStart w:id="320" w:name="_Toc25635"/>
      <w:bookmarkStart w:id="321" w:name="_Toc8316"/>
      <w:bookmarkStart w:id="322" w:name="_Toc18300"/>
      <w:bookmarkStart w:id="323" w:name="_Toc11082"/>
      <w:r>
        <w:rPr>
          <w:rFonts w:hint="eastAsia" w:ascii="宋体" w:hAnsi="宋体" w:eastAsia="宋体" w:cs="宋体"/>
          <w:b/>
          <w:bCs/>
          <w:color w:val="auto"/>
          <w:kern w:val="2"/>
          <w:sz w:val="24"/>
          <w:szCs w:val="24"/>
          <w:u w:val="none"/>
          <w:lang w:val="en-US" w:eastAsia="zh-CN" w:bidi="ar-SA"/>
        </w:rPr>
        <w:t>7.投标截止时间的顺延</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48A38810">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为使</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准备投标时有足够的时间对招标文件的澄清或者修改部分进行研究，采购人将依法决定是否顺延投标截止时间。</w:t>
      </w:r>
      <w:bookmarkStart w:id="324" w:name="_Toc516367020"/>
      <w:bookmarkStart w:id="325" w:name="_Toc30808"/>
      <w:bookmarkStart w:id="326" w:name="_Toc520356150"/>
      <w:bookmarkStart w:id="327" w:name="_Toc216582807"/>
      <w:bookmarkStart w:id="328" w:name="_Toc7636"/>
      <w:bookmarkStart w:id="329" w:name="_Toc515647766"/>
    </w:p>
    <w:p w14:paraId="1484910E">
      <w:pPr>
        <w:pageBreakBefore w:val="0"/>
        <w:widowControl w:val="0"/>
        <w:tabs>
          <w:tab w:val="left" w:pos="900"/>
        </w:tabs>
        <w:kinsoku/>
        <w:wordWrap/>
        <w:overflowPunct/>
        <w:topLinePunct w:val="0"/>
        <w:bidi w:val="0"/>
        <w:spacing w:line="360" w:lineRule="exact"/>
        <w:ind w:left="0" w:leftChars="0" w:hanging="540"/>
        <w:textAlignment w:val="auto"/>
        <w:rPr>
          <w:rFonts w:hint="eastAsia" w:ascii="宋体" w:hAnsi="宋体" w:eastAsia="宋体" w:cs="宋体"/>
          <w:color w:val="auto"/>
          <w:sz w:val="24"/>
          <w:szCs w:val="24"/>
          <w:highlight w:val="none"/>
        </w:rPr>
      </w:pPr>
    </w:p>
    <w:p w14:paraId="260B65F4">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rPr>
      </w:pPr>
      <w:bookmarkStart w:id="330" w:name="_Toc4142"/>
      <w:bookmarkStart w:id="331" w:name="_Toc26987"/>
      <w:bookmarkStart w:id="332" w:name="_Toc29522"/>
      <w:bookmarkStart w:id="333" w:name="_Toc25166"/>
      <w:r>
        <w:rPr>
          <w:rFonts w:hint="eastAsia" w:ascii="宋体" w:hAnsi="宋体" w:eastAsia="宋体" w:cs="宋体"/>
          <w:color w:val="auto"/>
          <w:sz w:val="28"/>
          <w:szCs w:val="28"/>
          <w:highlight w:val="none"/>
        </w:rPr>
        <w:t>三   投标文件</w:t>
      </w:r>
      <w:bookmarkEnd w:id="324"/>
      <w:r>
        <w:rPr>
          <w:rFonts w:hint="eastAsia" w:ascii="宋体" w:hAnsi="宋体" w:eastAsia="宋体" w:cs="宋体"/>
          <w:color w:val="auto"/>
          <w:sz w:val="28"/>
          <w:szCs w:val="28"/>
          <w:highlight w:val="none"/>
        </w:rPr>
        <w:t>的编制</w:t>
      </w:r>
      <w:bookmarkEnd w:id="325"/>
      <w:bookmarkEnd w:id="326"/>
      <w:bookmarkEnd w:id="327"/>
      <w:bookmarkEnd w:id="328"/>
      <w:bookmarkEnd w:id="329"/>
      <w:bookmarkEnd w:id="330"/>
      <w:bookmarkEnd w:id="331"/>
      <w:bookmarkEnd w:id="332"/>
      <w:bookmarkEnd w:id="333"/>
    </w:p>
    <w:p w14:paraId="0A4E1832">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334" w:name="_Toc516367021"/>
      <w:bookmarkStart w:id="335" w:name="_Toc10810"/>
      <w:bookmarkStart w:id="336" w:name="_Toc4573"/>
      <w:bookmarkStart w:id="337" w:name="_Toc18295"/>
      <w:bookmarkStart w:id="338" w:name="_Toc15642"/>
      <w:bookmarkStart w:id="339" w:name="_Toc5675"/>
      <w:bookmarkStart w:id="340" w:name="_Toc7980"/>
      <w:bookmarkStart w:id="341" w:name="_Toc7786"/>
      <w:bookmarkStart w:id="342" w:name="_Toc32487"/>
      <w:bookmarkStart w:id="343" w:name="_Toc16526"/>
      <w:bookmarkStart w:id="344" w:name="_Toc23061"/>
      <w:bookmarkStart w:id="345" w:name="_Toc20486"/>
      <w:bookmarkStart w:id="346" w:name="_Toc2539"/>
      <w:bookmarkStart w:id="347" w:name="_Toc2129"/>
      <w:bookmarkStart w:id="348" w:name="_Toc3553"/>
      <w:bookmarkStart w:id="349" w:name="_Toc515647767"/>
      <w:bookmarkStart w:id="350" w:name="_Toc14313"/>
      <w:bookmarkStart w:id="351" w:name="_Toc29965"/>
      <w:bookmarkStart w:id="352" w:name="_Toc14086"/>
      <w:bookmarkStart w:id="353" w:name="_Toc10118"/>
      <w:bookmarkStart w:id="354" w:name="_Toc7224"/>
      <w:bookmarkStart w:id="355" w:name="_Toc1632"/>
      <w:bookmarkStart w:id="356" w:name="_Toc13375"/>
      <w:bookmarkStart w:id="357" w:name="_Toc21289"/>
      <w:bookmarkStart w:id="358" w:name="_Toc14739"/>
      <w:bookmarkStart w:id="359" w:name="_Toc5025"/>
      <w:bookmarkStart w:id="360" w:name="_Toc10748"/>
      <w:bookmarkStart w:id="361" w:name="_Toc30652"/>
      <w:bookmarkStart w:id="362" w:name="_Toc520356151"/>
      <w:bookmarkStart w:id="363" w:name="_Toc5442"/>
      <w:bookmarkStart w:id="364" w:name="_Toc20573"/>
      <w:bookmarkStart w:id="365" w:name="_Toc7120"/>
      <w:bookmarkStart w:id="366" w:name="_Toc30666"/>
      <w:bookmarkStart w:id="367" w:name="_Toc14466"/>
      <w:bookmarkStart w:id="368" w:name="_Toc28980"/>
      <w:bookmarkStart w:id="369" w:name="_Toc2420"/>
      <w:bookmarkStart w:id="370" w:name="_Toc20871"/>
      <w:bookmarkStart w:id="371" w:name="_Toc19317"/>
      <w:bookmarkStart w:id="372" w:name="_Toc180"/>
      <w:bookmarkStart w:id="373" w:name="_Toc9725"/>
      <w:r>
        <w:rPr>
          <w:rFonts w:hint="eastAsia" w:ascii="宋体" w:hAnsi="宋体" w:eastAsia="宋体" w:cs="宋体"/>
          <w:b/>
          <w:bCs/>
          <w:color w:val="auto"/>
          <w:kern w:val="2"/>
          <w:sz w:val="24"/>
          <w:szCs w:val="24"/>
          <w:u w:val="none"/>
          <w:lang w:val="en-US" w:eastAsia="zh-CN" w:bidi="ar-SA"/>
        </w:rPr>
        <w:t>8.投标范围及投标文件中标准和计量单位的使用</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5875AB1A">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项目有分包的，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可对招标文件其中某一个或几个分包服务进行投标，除非在</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中另有规定。</w:t>
      </w:r>
    </w:p>
    <w:p w14:paraId="79A6BF13">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应当对所投分包招标文件中“</w:t>
      </w:r>
      <w:r>
        <w:rPr>
          <w:rFonts w:hint="eastAsia" w:ascii="宋体" w:hAnsi="宋体" w:cs="宋体"/>
          <w:color w:val="auto"/>
          <w:sz w:val="24"/>
          <w:szCs w:val="24"/>
          <w:highlight w:val="none"/>
          <w:lang w:val="en-US" w:eastAsia="zh-CN"/>
        </w:rPr>
        <w:t>货物需求及项目要求</w:t>
      </w:r>
      <w:r>
        <w:rPr>
          <w:rFonts w:hint="eastAsia" w:ascii="宋体" w:hAnsi="宋体" w:eastAsia="宋体" w:cs="宋体"/>
          <w:color w:val="auto"/>
          <w:sz w:val="24"/>
          <w:szCs w:val="24"/>
          <w:highlight w:val="none"/>
        </w:rPr>
        <w:t>”所列的所有内容进行投标，如仅响应某一包中的部分内容，其该包投标将被认定为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3AB9EE7A">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除招标文件中有特殊要求外，投标文件中所使用的计量单位，应采用中华人民共和国法定计量单位。</w:t>
      </w:r>
    </w:p>
    <w:p w14:paraId="46A4D193">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374" w:name="_Toc516367022"/>
      <w:bookmarkStart w:id="375" w:name="_Ref467306195"/>
      <w:bookmarkStart w:id="376" w:name="_Ref467306676"/>
      <w:bookmarkStart w:id="377" w:name="_Toc624"/>
      <w:bookmarkStart w:id="378" w:name="_Toc3144"/>
      <w:bookmarkStart w:id="379" w:name="_Toc11888"/>
      <w:bookmarkStart w:id="380" w:name="_Toc22037"/>
      <w:bookmarkStart w:id="381" w:name="_Toc23658"/>
      <w:bookmarkStart w:id="382" w:name="_Toc25596"/>
      <w:bookmarkStart w:id="383" w:name="_Toc12220"/>
      <w:bookmarkStart w:id="384" w:name="_Toc24338"/>
      <w:bookmarkStart w:id="385" w:name="_Toc8927"/>
      <w:bookmarkStart w:id="386" w:name="_Toc31789"/>
      <w:bookmarkStart w:id="387" w:name="_Toc22897"/>
      <w:bookmarkStart w:id="388" w:name="_Toc10364"/>
      <w:bookmarkStart w:id="389" w:name="_Toc9418"/>
      <w:bookmarkStart w:id="390" w:name="_Toc9101"/>
      <w:bookmarkStart w:id="391" w:name="_Toc10992"/>
      <w:bookmarkStart w:id="392" w:name="_Toc28438"/>
      <w:bookmarkStart w:id="393" w:name="_Toc10516"/>
      <w:bookmarkStart w:id="394" w:name="_Toc23291"/>
      <w:bookmarkStart w:id="395" w:name="_Toc13425"/>
      <w:bookmarkStart w:id="396" w:name="_Toc515647768"/>
      <w:bookmarkStart w:id="397" w:name="_Toc21335"/>
      <w:bookmarkStart w:id="398" w:name="_Toc6152"/>
      <w:bookmarkStart w:id="399" w:name="_Toc18739"/>
      <w:bookmarkStart w:id="400" w:name="_Toc18673"/>
      <w:bookmarkStart w:id="401" w:name="_Toc12343"/>
      <w:bookmarkStart w:id="402" w:name="_Toc29634"/>
      <w:bookmarkStart w:id="403" w:name="_Toc22302"/>
      <w:bookmarkStart w:id="404" w:name="_Toc20101"/>
      <w:bookmarkStart w:id="405" w:name="_Toc15740"/>
      <w:bookmarkStart w:id="406" w:name="_Toc22417"/>
      <w:bookmarkStart w:id="407" w:name="_Toc28307"/>
      <w:bookmarkStart w:id="408" w:name="_Toc22958"/>
      <w:bookmarkStart w:id="409" w:name="_Toc258"/>
      <w:bookmarkStart w:id="410" w:name="_Toc18125"/>
      <w:bookmarkStart w:id="411" w:name="_Toc3591"/>
      <w:bookmarkStart w:id="412" w:name="_Toc520356152"/>
      <w:bookmarkStart w:id="413" w:name="_Toc11847"/>
      <w:bookmarkStart w:id="414" w:name="_Toc4770"/>
      <w:bookmarkStart w:id="415" w:name="_Toc16016"/>
      <w:r>
        <w:rPr>
          <w:rFonts w:hint="eastAsia" w:ascii="宋体" w:hAnsi="宋体" w:eastAsia="宋体" w:cs="宋体"/>
          <w:b/>
          <w:bCs/>
          <w:color w:val="auto"/>
          <w:kern w:val="2"/>
          <w:sz w:val="24"/>
          <w:szCs w:val="24"/>
          <w:u w:val="none"/>
          <w:lang w:val="en-US" w:eastAsia="zh-CN" w:bidi="ar-SA"/>
        </w:rPr>
        <w:t>9.投标文件</w:t>
      </w:r>
      <w:bookmarkEnd w:id="374"/>
      <w:bookmarkEnd w:id="375"/>
      <w:bookmarkEnd w:id="376"/>
      <w:r>
        <w:rPr>
          <w:rFonts w:hint="eastAsia" w:ascii="宋体" w:hAnsi="宋体" w:eastAsia="宋体" w:cs="宋体"/>
          <w:b/>
          <w:bCs/>
          <w:color w:val="auto"/>
          <w:kern w:val="2"/>
          <w:sz w:val="24"/>
          <w:szCs w:val="24"/>
          <w:u w:val="none"/>
          <w:lang w:val="en-US" w:eastAsia="zh-CN" w:bidi="ar-SA"/>
        </w:rPr>
        <w:t>构成</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10370BA0">
      <w:pPr>
        <w:pageBreakBefore w:val="0"/>
        <w:widowControl w:val="0"/>
        <w:tabs>
          <w:tab w:val="left" w:pos="900"/>
          <w:tab w:val="left" w:pos="5580"/>
        </w:tabs>
        <w:kinsoku/>
        <w:wordWrap/>
        <w:overflowPunct/>
        <w:topLinePunct w:val="0"/>
        <w:bidi w:val="0"/>
        <w:spacing w:line="360" w:lineRule="exact"/>
        <w:ind w:left="960" w:leftChars="0" w:hanging="960" w:hangingChars="400"/>
        <w:jc w:val="left"/>
        <w:textAlignment w:val="auto"/>
        <w:rPr>
          <w:rFonts w:hint="eastAsia" w:ascii="宋体" w:hAnsi="宋体" w:eastAsia="宋体" w:cs="宋体"/>
          <w:color w:val="auto"/>
          <w:sz w:val="24"/>
          <w:szCs w:val="24"/>
          <w:highlight w:val="none"/>
          <w:u w:val="single"/>
        </w:rPr>
      </w:pPr>
      <w:bookmarkStart w:id="416" w:name="_Ref467052588"/>
      <w:r>
        <w:rPr>
          <w:rFonts w:hint="eastAsia" w:ascii="宋体" w:hAnsi="宋体" w:eastAsia="宋体" w:cs="宋体"/>
          <w:color w:val="auto"/>
          <w:sz w:val="24"/>
          <w:szCs w:val="24"/>
          <w:highlight w:val="none"/>
        </w:rPr>
        <w:t xml:space="preserve">9.1    </w:t>
      </w:r>
      <w:r>
        <w:rPr>
          <w:rFonts w:hint="eastAsia" w:ascii="宋体" w:hAnsi="宋体" w:eastAsia="宋体" w:cs="宋体"/>
          <w:b/>
          <w:bCs/>
          <w:color w:val="auto"/>
          <w:sz w:val="24"/>
          <w:highlight w:val="none"/>
          <w:u w:val="single"/>
          <w:lang w:eastAsia="zh-CN"/>
        </w:rPr>
        <w:t>供应商应完整地按招标文件提供的投标文件格式及要求编写投标文件，根据平台关联点上传对应佐证资料，投标文件应包括“开标一览表及资格证明文件”和“商务及技术文件”两部分，两部分合并成完整一册上传至政采云平台。供应商应承担上传失误产生的任何后果。</w:t>
      </w:r>
    </w:p>
    <w:p w14:paraId="326B432C">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上述文件应按照招标文件规定的格式填写、签署和盖章。</w:t>
      </w:r>
      <w:bookmarkEnd w:id="416"/>
    </w:p>
    <w:p w14:paraId="2EE740AB">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417" w:name="_Toc12338"/>
      <w:bookmarkStart w:id="418" w:name="_Toc515647769"/>
      <w:bookmarkStart w:id="419" w:name="_Toc2056"/>
      <w:bookmarkStart w:id="420" w:name="_Toc4601"/>
      <w:bookmarkStart w:id="421" w:name="_Toc520356153"/>
      <w:bookmarkStart w:id="422" w:name="_Toc10584"/>
      <w:bookmarkStart w:id="423" w:name="_Toc17150"/>
      <w:bookmarkStart w:id="424" w:name="_Toc30354"/>
      <w:bookmarkStart w:id="425" w:name="_Toc12121"/>
      <w:bookmarkStart w:id="426" w:name="_Toc15151"/>
      <w:bookmarkStart w:id="427" w:name="_Toc10379"/>
      <w:bookmarkStart w:id="428" w:name="_Toc6978"/>
      <w:bookmarkStart w:id="429" w:name="_Toc22195"/>
      <w:bookmarkStart w:id="430" w:name="_Toc17715"/>
      <w:bookmarkStart w:id="431" w:name="_Toc14035"/>
      <w:bookmarkStart w:id="432" w:name="_Toc516367023"/>
      <w:bookmarkStart w:id="433" w:name="_Toc28988"/>
      <w:bookmarkStart w:id="434" w:name="_Toc31364"/>
      <w:bookmarkStart w:id="435" w:name="_Toc23028"/>
      <w:bookmarkStart w:id="436" w:name="_Toc23738"/>
      <w:bookmarkStart w:id="437" w:name="_Toc21989"/>
      <w:bookmarkStart w:id="438" w:name="_Toc8150"/>
      <w:bookmarkStart w:id="439" w:name="_Toc1879"/>
      <w:bookmarkStart w:id="440" w:name="_Toc1845"/>
      <w:bookmarkStart w:id="441" w:name="_Toc29543"/>
      <w:bookmarkStart w:id="442" w:name="_Toc18045"/>
      <w:bookmarkStart w:id="443" w:name="_Toc2503"/>
      <w:bookmarkStart w:id="444" w:name="_Toc15834"/>
      <w:bookmarkStart w:id="445" w:name="_Toc10531"/>
      <w:bookmarkStart w:id="446" w:name="_Toc27840"/>
      <w:bookmarkStart w:id="447" w:name="_Toc11735"/>
      <w:bookmarkStart w:id="448" w:name="_Toc25894"/>
      <w:bookmarkStart w:id="449" w:name="_Toc11889"/>
      <w:bookmarkStart w:id="450" w:name="_Toc30637"/>
      <w:bookmarkStart w:id="451" w:name="_Toc25987"/>
      <w:bookmarkStart w:id="452" w:name="_Toc26648"/>
      <w:bookmarkStart w:id="453" w:name="_Toc20671"/>
      <w:bookmarkStart w:id="454" w:name="_Toc11704"/>
      <w:bookmarkStart w:id="455" w:name="_Toc17390"/>
      <w:bookmarkStart w:id="456" w:name="_Toc10487"/>
      <w:r>
        <w:rPr>
          <w:rFonts w:hint="eastAsia" w:ascii="宋体" w:hAnsi="宋体" w:eastAsia="宋体" w:cs="宋体"/>
          <w:b/>
          <w:bCs/>
          <w:color w:val="auto"/>
          <w:kern w:val="2"/>
          <w:sz w:val="24"/>
          <w:szCs w:val="24"/>
          <w:u w:val="none"/>
          <w:lang w:val="en-US" w:eastAsia="zh-CN" w:bidi="ar-SA"/>
        </w:rPr>
        <w:t>10.证明投标的的合格性和符合招标文件规定的技术文件</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Pr>
          <w:rFonts w:hint="eastAsia" w:ascii="宋体" w:hAnsi="宋体" w:eastAsia="宋体" w:cs="宋体"/>
          <w:b/>
          <w:bCs/>
          <w:color w:val="auto"/>
          <w:kern w:val="2"/>
          <w:sz w:val="24"/>
          <w:szCs w:val="24"/>
          <w:u w:val="none"/>
          <w:lang w:val="en-US" w:eastAsia="zh-CN" w:bidi="ar-SA"/>
        </w:rPr>
        <w:t>。</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6969A86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应提交证明文件，证明其投标内容符合招标文件规定。该证明文件是投标文件的一部分。</w:t>
      </w:r>
    </w:p>
    <w:p w14:paraId="58A03240">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bookmarkStart w:id="457" w:name="_Ref467306244"/>
      <w:r>
        <w:rPr>
          <w:rFonts w:hint="eastAsia" w:ascii="宋体" w:hAnsi="宋体" w:eastAsia="宋体" w:cs="宋体"/>
          <w:color w:val="auto"/>
          <w:sz w:val="24"/>
          <w:szCs w:val="24"/>
          <w:highlight w:val="none"/>
        </w:rPr>
        <w:t>10.2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上款所述的证明文件，可以是文字资料、图纸和数据，</w:t>
      </w:r>
      <w:bookmarkEnd w:id="457"/>
      <w:r>
        <w:rPr>
          <w:rFonts w:hint="eastAsia" w:ascii="宋体" w:hAnsi="宋体" w:eastAsia="宋体" w:cs="宋体"/>
          <w:color w:val="auto"/>
          <w:sz w:val="24"/>
          <w:szCs w:val="24"/>
          <w:highlight w:val="none"/>
        </w:rPr>
        <w:t>它包括：</w:t>
      </w:r>
    </w:p>
    <w:p w14:paraId="2A937D0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设备主要技术指标的详细说明；</w:t>
      </w:r>
    </w:p>
    <w:p w14:paraId="7E090807">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货物从买方开始使用至</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文件规定的保质期内正常、连续地使用所必须的备件和专用工具清单，包括备件和专用工具的货源及现行价格；</w:t>
      </w:r>
    </w:p>
    <w:p w14:paraId="6C1E3EC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对照招标文件技术规格，逐条说明所提供</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及伴随的工程和</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已对招标文件的技术规格做出了实质性的响应，或申明与技术规格条文的偏差和例外。</w:t>
      </w:r>
    </w:p>
    <w:p w14:paraId="4D3865FC">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在投标中可以选用替代牌号或分类号，但这些替代要实质上相当于技术规格的要求。采购人、采购代理机构承诺不以上述参照品牌型号或分类号作为评标时判定其投标是否有效的标准。</w:t>
      </w:r>
    </w:p>
    <w:p w14:paraId="222D848E">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458" w:name="_Toc25118"/>
      <w:bookmarkStart w:id="459" w:name="_Toc24261"/>
      <w:bookmarkStart w:id="460" w:name="_Toc30467"/>
      <w:bookmarkStart w:id="461" w:name="_Toc15951"/>
      <w:bookmarkStart w:id="462" w:name="_Toc26145"/>
      <w:bookmarkStart w:id="463" w:name="_Toc3868"/>
      <w:bookmarkStart w:id="464" w:name="_Toc29204"/>
      <w:bookmarkStart w:id="465" w:name="_Toc21396"/>
      <w:bookmarkStart w:id="466" w:name="_Toc301"/>
      <w:bookmarkStart w:id="467" w:name="_Toc23732"/>
      <w:bookmarkStart w:id="468" w:name="_Toc7366"/>
      <w:bookmarkStart w:id="469" w:name="_Toc515647770"/>
      <w:bookmarkStart w:id="470" w:name="_Toc2690"/>
      <w:bookmarkStart w:id="471" w:name="_Toc710"/>
      <w:bookmarkStart w:id="472" w:name="_Toc24509"/>
      <w:bookmarkStart w:id="473" w:name="_Toc29220"/>
      <w:bookmarkStart w:id="474" w:name="_Toc2600"/>
      <w:bookmarkStart w:id="475" w:name="_Toc30792"/>
      <w:bookmarkStart w:id="476" w:name="_Toc1487"/>
      <w:bookmarkStart w:id="477" w:name="_Toc8434"/>
      <w:bookmarkStart w:id="478" w:name="_Toc25685"/>
      <w:bookmarkStart w:id="479" w:name="_Toc25641"/>
      <w:bookmarkStart w:id="480" w:name="_Toc32306"/>
      <w:bookmarkStart w:id="481" w:name="_Toc28480"/>
      <w:bookmarkStart w:id="482" w:name="_Toc520356155"/>
      <w:bookmarkStart w:id="483" w:name="_Toc15832"/>
      <w:bookmarkStart w:id="484" w:name="_Toc30056"/>
      <w:bookmarkStart w:id="485" w:name="_Toc24468"/>
      <w:bookmarkStart w:id="486" w:name="_Toc15670"/>
      <w:bookmarkStart w:id="487" w:name="_Toc5144"/>
      <w:bookmarkStart w:id="488" w:name="_Toc2248"/>
      <w:bookmarkStart w:id="489" w:name="_Toc21557"/>
      <w:bookmarkStart w:id="490" w:name="_Toc5930"/>
      <w:bookmarkStart w:id="491" w:name="_Toc2311"/>
      <w:bookmarkStart w:id="492" w:name="_Toc6035"/>
      <w:bookmarkStart w:id="493" w:name="_Toc7731"/>
      <w:bookmarkStart w:id="494" w:name="_Toc23231"/>
      <w:bookmarkStart w:id="495" w:name="_Toc11160"/>
      <w:bookmarkStart w:id="496" w:name="_Toc28553"/>
      <w:r>
        <w:rPr>
          <w:rFonts w:hint="eastAsia" w:ascii="宋体" w:hAnsi="宋体" w:eastAsia="宋体" w:cs="宋体"/>
          <w:b/>
          <w:bCs/>
          <w:color w:val="auto"/>
          <w:kern w:val="2"/>
          <w:sz w:val="24"/>
          <w:szCs w:val="24"/>
          <w:u w:val="none"/>
          <w:lang w:val="en-US" w:eastAsia="zh-CN" w:bidi="ar-SA"/>
        </w:rPr>
        <w:t>11.投标报价</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1143810B">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所有投标均以人民币报价。</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的投标报价应遵守《中华人民共和国价格法》。同时，根据《中华人民共和国政府采购法》第二条的规定，为保证公平竞争，如有主体部分的赠与行为，其投标将被认定为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14326817">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应在投标分项报价表上标明投标相关</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的单价（如适用）和总价，并由法定代表人签署。</w:t>
      </w:r>
    </w:p>
    <w:p w14:paraId="0A0047B0">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投标分项报价表上的价格应按下列方式填写；</w:t>
      </w:r>
    </w:p>
    <w:p w14:paraId="37328B32">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所报的各分项投标单价在合同履行过程中是固定不变的，不得以任何理由予以变更。任何包含价格调整要求的投标，其投标将被认定为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084E2085">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每种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只能有一个投标报价。采购人不接受具有附加条件的报价。</w:t>
      </w:r>
    </w:p>
    <w:p w14:paraId="47A90526">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497" w:name="_Toc28730"/>
      <w:bookmarkStart w:id="498" w:name="_Toc2547"/>
      <w:bookmarkStart w:id="499" w:name="_Toc18556"/>
      <w:bookmarkStart w:id="500" w:name="_Toc5799"/>
      <w:bookmarkStart w:id="501" w:name="_Toc13010"/>
      <w:bookmarkStart w:id="502" w:name="_Toc26371"/>
      <w:bookmarkStart w:id="503" w:name="_Toc30256"/>
      <w:bookmarkStart w:id="504" w:name="_Toc29102"/>
      <w:bookmarkStart w:id="505" w:name="_Toc3503"/>
      <w:bookmarkStart w:id="506" w:name="_Toc5791"/>
      <w:bookmarkStart w:id="507" w:name="_Toc8145"/>
      <w:bookmarkStart w:id="508" w:name="_Toc5648"/>
      <w:bookmarkStart w:id="509" w:name="_Toc25003"/>
      <w:bookmarkStart w:id="510" w:name="_Toc3073"/>
      <w:bookmarkStart w:id="511" w:name="_Toc3670"/>
      <w:bookmarkStart w:id="512" w:name="_Toc21719"/>
      <w:bookmarkStart w:id="513" w:name="_Toc520356156"/>
      <w:bookmarkStart w:id="514" w:name="_Toc10897"/>
      <w:bookmarkStart w:id="515" w:name="_Toc24283"/>
      <w:bookmarkStart w:id="516" w:name="_Toc10540"/>
      <w:bookmarkStart w:id="517" w:name="_Toc10329"/>
      <w:bookmarkStart w:id="518" w:name="_Toc515647771"/>
      <w:bookmarkStart w:id="519" w:name="_Toc15349"/>
      <w:bookmarkStart w:id="520" w:name="_Ref467306513"/>
      <w:bookmarkStart w:id="521" w:name="_Toc30071"/>
      <w:bookmarkStart w:id="522" w:name="_Toc17637"/>
      <w:bookmarkStart w:id="523" w:name="_Toc23784"/>
      <w:bookmarkStart w:id="524" w:name="_Toc22618"/>
      <w:bookmarkStart w:id="525" w:name="_Toc23666"/>
      <w:bookmarkStart w:id="526" w:name="_Toc1683"/>
      <w:bookmarkStart w:id="527" w:name="_Toc5503"/>
      <w:bookmarkStart w:id="528" w:name="_Toc4769"/>
      <w:bookmarkStart w:id="529" w:name="_Toc14189"/>
      <w:bookmarkStart w:id="530" w:name="_Toc12354"/>
      <w:bookmarkStart w:id="531" w:name="_Toc30245"/>
      <w:bookmarkStart w:id="532" w:name="_Toc21776"/>
      <w:bookmarkStart w:id="533" w:name="_Toc11514"/>
      <w:bookmarkStart w:id="534" w:name="_Toc17788"/>
      <w:bookmarkStart w:id="535" w:name="_Toc28149"/>
      <w:bookmarkStart w:id="536" w:name="_Toc1693"/>
      <w:r>
        <w:rPr>
          <w:rFonts w:hint="eastAsia" w:ascii="宋体" w:hAnsi="宋体" w:eastAsia="宋体" w:cs="宋体"/>
          <w:b/>
          <w:bCs/>
          <w:color w:val="auto"/>
          <w:kern w:val="2"/>
          <w:sz w:val="24"/>
          <w:szCs w:val="24"/>
          <w:u w:val="none"/>
          <w:lang w:val="en-US" w:eastAsia="zh-CN" w:bidi="ar-SA"/>
        </w:rPr>
        <w:t>12.投标保证金</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4E6D67D8">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bookmarkStart w:id="537" w:name="_Ref467306302"/>
      <w:r>
        <w:rPr>
          <w:rFonts w:hint="eastAsia" w:ascii="宋体" w:hAnsi="宋体" w:eastAsia="宋体" w:cs="宋体"/>
          <w:color w:val="auto"/>
          <w:sz w:val="24"/>
          <w:szCs w:val="24"/>
          <w:highlight w:val="none"/>
        </w:rPr>
        <w:t>12.1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应提交</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中规定的投标保证金</w:t>
      </w:r>
      <w:bookmarkEnd w:id="537"/>
      <w:r>
        <w:rPr>
          <w:rFonts w:hint="eastAsia" w:ascii="宋体" w:hAnsi="宋体" w:eastAsia="宋体" w:cs="宋体"/>
          <w:color w:val="auto"/>
          <w:sz w:val="24"/>
          <w:szCs w:val="24"/>
          <w:highlight w:val="none"/>
        </w:rPr>
        <w:t>，并作为其投标的一部分。</w:t>
      </w:r>
    </w:p>
    <w:p w14:paraId="19480BFC">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存在下列情形的，投标保证金不予退还：</w:t>
      </w:r>
    </w:p>
    <w:p w14:paraId="7D924DCF">
      <w:pPr>
        <w:pStyle w:val="12"/>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（1）在投标有效期内，撤销投标的；</w:t>
      </w:r>
    </w:p>
    <w:p w14:paraId="7058C7D2">
      <w:pPr>
        <w:pStyle w:val="12"/>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（2）中标后不按本须知第30条的规定与采购人签订合同的；</w:t>
      </w:r>
    </w:p>
    <w:p w14:paraId="4B3077A7">
      <w:pPr>
        <w:pStyle w:val="12"/>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（3）中标后不按本须知第31条的规定提交履约保证金的；</w:t>
      </w:r>
    </w:p>
    <w:p w14:paraId="5AB13E10">
      <w:pPr>
        <w:pStyle w:val="12"/>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（4）中标后不按本须知第32条的规定缴纳中标服务费的；</w:t>
      </w:r>
    </w:p>
    <w:p w14:paraId="632133B7">
      <w:pPr>
        <w:pStyle w:val="12"/>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（5）存在其他违法违规行为的。</w:t>
      </w:r>
    </w:p>
    <w:p w14:paraId="522903C1">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bookmarkStart w:id="538" w:name="_Ref467306336"/>
      <w:r>
        <w:rPr>
          <w:rFonts w:hint="eastAsia" w:ascii="宋体" w:hAnsi="宋体" w:eastAsia="宋体" w:cs="宋体"/>
          <w:color w:val="auto"/>
          <w:sz w:val="24"/>
          <w:szCs w:val="24"/>
          <w:highlight w:val="none"/>
        </w:rPr>
        <w:t>12.3</w:t>
      </w:r>
      <w:r>
        <w:rPr>
          <w:rFonts w:hint="eastAsia" w:ascii="宋体" w:hAnsi="宋体" w:eastAsia="宋体" w:cs="宋体"/>
          <w:color w:val="auto"/>
          <w:sz w:val="24"/>
          <w:szCs w:val="24"/>
          <w:highlight w:val="none"/>
        </w:rPr>
        <w:tab/>
      </w:r>
      <w:bookmarkEnd w:id="538"/>
      <w:r>
        <w:rPr>
          <w:rFonts w:hint="eastAsia" w:ascii="宋体" w:hAnsi="宋体" w:eastAsia="宋体" w:cs="宋体"/>
          <w:color w:val="auto"/>
          <w:sz w:val="24"/>
          <w:szCs w:val="24"/>
          <w:highlight w:val="none"/>
        </w:rPr>
        <w:t>政府采购信用担保试点范围内的项目，接受符合财政部门规定的政府采购投标</w:t>
      </w:r>
      <w:r>
        <w:rPr>
          <w:rFonts w:hint="eastAsia" w:ascii="宋体" w:hAnsi="宋体" w:cs="宋体"/>
          <w:color w:val="auto"/>
          <w:sz w:val="24"/>
          <w:szCs w:val="24"/>
          <w:highlight w:val="none"/>
          <w:lang w:val="en-US" w:eastAsia="zh-CN"/>
        </w:rPr>
        <w:t>保函</w:t>
      </w:r>
      <w:r>
        <w:rPr>
          <w:rFonts w:hint="eastAsia" w:ascii="宋体" w:hAnsi="宋体" w:eastAsia="宋体" w:cs="宋体"/>
          <w:color w:val="auto"/>
          <w:sz w:val="24"/>
          <w:szCs w:val="24"/>
          <w:highlight w:val="none"/>
        </w:rPr>
        <w:t>。</w:t>
      </w:r>
    </w:p>
    <w:p w14:paraId="64584C9C">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未按本须知第12.1和12.3条规定提交投标保证金的，其投标将被认定为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4765E330">
      <w:pPr>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12.4.1  采用电汇形式的，一般可以实时入账。</w:t>
      </w:r>
    </w:p>
    <w:p w14:paraId="7EA4BEB3">
      <w:pPr>
        <w:pageBreakBefore w:val="0"/>
        <w:widowControl w:val="0"/>
        <w:kinsoku/>
        <w:wordWrap/>
        <w:overflowPunct/>
        <w:topLinePunct w:val="0"/>
        <w:bidi w:val="0"/>
        <w:spacing w:line="360" w:lineRule="exact"/>
        <w:ind w:left="960" w:leftChars="0" w:hanging="960" w:hangingChars="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12.4.2  采用支票形式的，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则应充分考虑支票入账时间，以确保投标保证金能按时进入指定账户。根据银行信息交换和付款时间，支票从递交至实际入账一般需要4-5个工作日。如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未及时提交支票或支票不符合银行委托收款要求（如污损、折叠、胶装等），导致投标保证金不能按时进入指定账户的，将按照招标文件的第22.2条相关规定处理。</w:t>
      </w:r>
    </w:p>
    <w:p w14:paraId="71C0143E">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   联合体投标的，可以由联合体中的一方或者共同提交投标保证金。以一方名义提交投标保证金的，对联合体各方均具有约束力。</w:t>
      </w:r>
    </w:p>
    <w:p w14:paraId="5ECC2114">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投标保证金的退还</w:t>
      </w:r>
    </w:p>
    <w:p w14:paraId="6D3C23A2">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12.6.1  中标人应在与采购人签订合同之日起5个工作日内，及时联系保证金收受机构办理投标保证金无息退还手续。</w:t>
      </w:r>
    </w:p>
    <w:p w14:paraId="2098A371">
      <w:pPr>
        <w:pageBreakBefore w:val="0"/>
        <w:widowControl w:val="0"/>
        <w:kinsoku/>
        <w:wordWrap/>
        <w:overflowPunct/>
        <w:topLinePunct w:val="0"/>
        <w:bidi w:val="0"/>
        <w:spacing w:line="360" w:lineRule="exact"/>
        <w:ind w:left="960" w:leftChars="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12.6.2  未中标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的投标保证金将在中标通知书发出之日暨中标结果公告公布之日起5个工作日内无息退还。</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应及时联系保证金收受机构办理退还投标保证金手续。</w:t>
      </w:r>
    </w:p>
    <w:p w14:paraId="520893DB">
      <w:pPr>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12.6.3  政府采购投标担</w:t>
      </w:r>
      <w:r>
        <w:rPr>
          <w:rFonts w:hint="eastAsia" w:ascii="宋体" w:hAnsi="宋体" w:eastAsia="宋体" w:cs="宋体"/>
          <w:color w:val="auto"/>
          <w:sz w:val="24"/>
          <w:szCs w:val="24"/>
          <w:highlight w:val="none"/>
          <w:lang w:eastAsia="zh-CN"/>
        </w:rPr>
        <w:t>保函</w:t>
      </w:r>
      <w:r>
        <w:rPr>
          <w:rFonts w:hint="eastAsia" w:ascii="宋体" w:hAnsi="宋体" w:eastAsia="宋体" w:cs="宋体"/>
          <w:color w:val="auto"/>
          <w:sz w:val="24"/>
          <w:szCs w:val="24"/>
          <w:highlight w:val="none"/>
        </w:rPr>
        <w:t>不予退回。</w:t>
      </w:r>
    </w:p>
    <w:p w14:paraId="409FE917">
      <w:pPr>
        <w:pageBreakBefore w:val="0"/>
        <w:widowControl w:val="0"/>
        <w:kinsoku/>
        <w:wordWrap/>
        <w:overflowPunct/>
        <w:topLinePunct w:val="0"/>
        <w:bidi w:val="0"/>
        <w:spacing w:line="360" w:lineRule="exact"/>
        <w:ind w:left="960" w:leftChars="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12.7    因</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自身原因导致无法及时退还的，采购人或采购代理机构将不承担相应责任。</w:t>
      </w:r>
    </w:p>
    <w:p w14:paraId="0F043E4D">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539" w:name="_Toc24700"/>
      <w:bookmarkStart w:id="540" w:name="_Toc31306"/>
      <w:bookmarkStart w:id="541" w:name="_Toc27999"/>
      <w:bookmarkStart w:id="542" w:name="_Toc16509"/>
      <w:bookmarkStart w:id="543" w:name="_Toc19369"/>
      <w:bookmarkStart w:id="544" w:name="_Toc1255"/>
      <w:bookmarkStart w:id="545" w:name="_Toc7349"/>
      <w:bookmarkStart w:id="546" w:name="_Toc7457"/>
      <w:bookmarkStart w:id="547" w:name="_Toc32569"/>
      <w:bookmarkStart w:id="548" w:name="_Toc19931"/>
      <w:bookmarkStart w:id="549" w:name="_Toc520356157"/>
      <w:bookmarkStart w:id="550" w:name="_Toc9333"/>
      <w:bookmarkStart w:id="551" w:name="_Toc26784"/>
      <w:bookmarkStart w:id="552" w:name="_Toc7882"/>
      <w:bookmarkStart w:id="553" w:name="_Toc12947"/>
      <w:bookmarkStart w:id="554" w:name="_Toc19152"/>
      <w:bookmarkStart w:id="555" w:name="_Toc32099"/>
      <w:bookmarkStart w:id="556" w:name="_Toc32262"/>
      <w:bookmarkStart w:id="557" w:name="_Toc27709"/>
      <w:bookmarkStart w:id="558" w:name="_Toc11120"/>
      <w:bookmarkStart w:id="559" w:name="_Toc5678"/>
      <w:bookmarkStart w:id="560" w:name="_Toc23083"/>
      <w:bookmarkStart w:id="561" w:name="_Toc23657"/>
      <w:bookmarkStart w:id="562" w:name="_Toc28650"/>
      <w:bookmarkStart w:id="563" w:name="_Toc17927"/>
      <w:bookmarkStart w:id="564" w:name="_Toc12620"/>
      <w:bookmarkStart w:id="565" w:name="_Toc13507"/>
      <w:bookmarkStart w:id="566" w:name="_Toc4526"/>
      <w:bookmarkStart w:id="567" w:name="_Toc11132"/>
      <w:bookmarkStart w:id="568" w:name="_Toc6811"/>
      <w:bookmarkStart w:id="569" w:name="_Toc16290"/>
      <w:bookmarkStart w:id="570" w:name="_Toc5368"/>
      <w:bookmarkStart w:id="571" w:name="_Toc1719"/>
      <w:bookmarkStart w:id="572" w:name="_Toc25261"/>
      <w:bookmarkStart w:id="573" w:name="_Toc32477"/>
      <w:bookmarkStart w:id="574" w:name="_Toc3015"/>
      <w:bookmarkStart w:id="575" w:name="_Toc23590"/>
      <w:bookmarkStart w:id="576" w:name="_Toc515647772"/>
      <w:bookmarkStart w:id="577" w:name="_Toc30519"/>
      <w:r>
        <w:rPr>
          <w:rFonts w:hint="eastAsia" w:ascii="宋体" w:hAnsi="宋体" w:eastAsia="宋体" w:cs="宋体"/>
          <w:b/>
          <w:bCs/>
          <w:color w:val="auto"/>
          <w:kern w:val="2"/>
          <w:sz w:val="24"/>
          <w:szCs w:val="24"/>
          <w:u w:val="none"/>
          <w:lang w:val="en-US" w:eastAsia="zh-CN" w:bidi="ar-SA"/>
        </w:rPr>
        <w:t>13.投标有效期</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47C34D28">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投标应在</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中规定时间内保持有效。投标有效期不满足要求的投标，其投标将被认定为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0B943CAF">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为保证有充分时间签订合同，采购人或采购代理机构可根据实际情况，在原投标有效期截止之前，要求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延长投标文件的有效期。接受该要求的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将不会被要求和允许修正其投标，且本须知中有关投标保证金的要求须在延长的有效期内继续有效。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可以拒绝延长投标有效期的要求，其投标保证金将及时无息退还。上述要求和答复都应以书面形式提交。</w:t>
      </w:r>
    </w:p>
    <w:p w14:paraId="15BF8400">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578" w:name="_Toc520356158"/>
      <w:bookmarkStart w:id="579" w:name="_Toc21504"/>
      <w:bookmarkStart w:id="580" w:name="_Toc18546"/>
      <w:bookmarkStart w:id="581" w:name="_Toc5874"/>
      <w:bookmarkStart w:id="582" w:name="_Toc29588"/>
      <w:bookmarkStart w:id="583" w:name="_Toc1080"/>
      <w:bookmarkStart w:id="584" w:name="_Toc29619"/>
      <w:bookmarkStart w:id="585" w:name="_Toc12276"/>
      <w:bookmarkStart w:id="586" w:name="_Toc30562"/>
      <w:bookmarkStart w:id="587" w:name="_Toc30127"/>
      <w:bookmarkStart w:id="588" w:name="_Toc29834"/>
      <w:bookmarkStart w:id="589" w:name="_Toc515647773"/>
      <w:bookmarkStart w:id="590" w:name="_Toc10809"/>
      <w:bookmarkStart w:id="591" w:name="_Toc10391"/>
      <w:bookmarkStart w:id="592" w:name="_Toc9672"/>
      <w:bookmarkStart w:id="593" w:name="_Toc10598"/>
      <w:bookmarkStart w:id="594" w:name="_Toc22438"/>
      <w:bookmarkStart w:id="595" w:name="_Toc14417"/>
      <w:bookmarkStart w:id="596" w:name="_Toc16503"/>
      <w:bookmarkStart w:id="597" w:name="_Toc493"/>
      <w:bookmarkStart w:id="598" w:name="_Toc19121"/>
      <w:bookmarkStart w:id="599" w:name="_Toc6304"/>
      <w:bookmarkStart w:id="600" w:name="_Toc17074"/>
      <w:bookmarkStart w:id="601" w:name="_Toc12203"/>
      <w:bookmarkStart w:id="602" w:name="_Toc4425"/>
      <w:bookmarkStart w:id="603" w:name="_Toc11669"/>
      <w:bookmarkStart w:id="604" w:name="_Toc28984"/>
      <w:bookmarkStart w:id="605" w:name="_Toc21080"/>
      <w:bookmarkStart w:id="606" w:name="_Toc24787"/>
      <w:bookmarkStart w:id="607" w:name="_Toc22928"/>
      <w:bookmarkStart w:id="608" w:name="_Toc11178"/>
      <w:bookmarkStart w:id="609" w:name="_Toc6286"/>
      <w:bookmarkStart w:id="610" w:name="_Toc3558"/>
      <w:bookmarkStart w:id="611" w:name="_Toc3325"/>
      <w:bookmarkStart w:id="612" w:name="_Toc31098"/>
      <w:r>
        <w:rPr>
          <w:rFonts w:hint="eastAsia" w:ascii="宋体" w:hAnsi="宋体" w:eastAsia="宋体" w:cs="宋体"/>
          <w:b/>
          <w:bCs/>
          <w:color w:val="auto"/>
          <w:kern w:val="2"/>
          <w:sz w:val="24"/>
          <w:szCs w:val="24"/>
          <w:u w:val="none"/>
          <w:lang w:val="en-US" w:eastAsia="zh-CN" w:bidi="ar-SA"/>
        </w:rPr>
        <w:t>14.投标文件的签署</w:t>
      </w:r>
      <w:bookmarkEnd w:id="578"/>
      <w:r>
        <w:rPr>
          <w:rFonts w:hint="eastAsia" w:ascii="宋体" w:hAnsi="宋体" w:eastAsia="宋体" w:cs="宋体"/>
          <w:b/>
          <w:bCs/>
          <w:color w:val="auto"/>
          <w:kern w:val="2"/>
          <w:sz w:val="24"/>
          <w:szCs w:val="24"/>
          <w:u w:val="none"/>
          <w:lang w:val="en-US" w:eastAsia="zh-CN" w:bidi="ar-SA"/>
        </w:rPr>
        <w:t>及规定</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28552C0C">
      <w:pPr>
        <w:pageBreakBefore w:val="0"/>
        <w:shd w:val="clear"/>
        <w:kinsoku/>
        <w:wordWrap/>
        <w:overflowPunct/>
        <w:topLinePunct w:val="0"/>
        <w:bidi w:val="0"/>
        <w:spacing w:line="360" w:lineRule="exact"/>
        <w:ind w:left="900" w:hanging="900" w:hangingChars="3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供应商应按供应商须知资料表中的规定，准备和</w:t>
      </w:r>
      <w:r>
        <w:rPr>
          <w:rFonts w:hint="eastAsia" w:ascii="宋体" w:hAnsi="宋体" w:eastAsia="宋体" w:cs="宋体"/>
          <w:color w:val="auto"/>
          <w:sz w:val="24"/>
          <w:szCs w:val="24"/>
          <w:highlight w:val="none"/>
          <w:lang w:val="en-US" w:eastAsia="zh-CN"/>
        </w:rPr>
        <w:t>上传</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008CE4DD">
      <w:pPr>
        <w:pStyle w:val="16"/>
        <w:pageBreakBefore w:val="0"/>
        <w:kinsoku/>
        <w:wordWrap/>
        <w:overflowPunct/>
        <w:topLinePunct w:val="0"/>
        <w:bidi w:val="0"/>
        <w:spacing w:line="360" w:lineRule="exact"/>
        <w:rPr>
          <w:rFonts w:hint="eastAsia" w:ascii="宋体" w:hAnsi="宋体" w:eastAsia="宋体" w:cs="宋体"/>
          <w:color w:val="FF0000"/>
          <w:sz w:val="24"/>
          <w:szCs w:val="24"/>
          <w:highlight w:val="none"/>
        </w:rPr>
      </w:pPr>
      <w:bookmarkStart w:id="613" w:name="_Toc16865"/>
      <w:bookmarkStart w:id="614" w:name="_Toc520356159"/>
      <w:bookmarkStart w:id="615" w:name="_Toc515647774"/>
      <w:bookmarkStart w:id="616" w:name="_Toc216582808"/>
      <w:bookmarkStart w:id="617" w:name="_Toc11179"/>
    </w:p>
    <w:p w14:paraId="3BC0C1BC">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lang w:val="en-US" w:eastAsia="zh-CN"/>
        </w:rPr>
      </w:pPr>
      <w:bookmarkStart w:id="618" w:name="_Toc26337"/>
      <w:bookmarkStart w:id="619" w:name="_Toc1143"/>
      <w:bookmarkStart w:id="620" w:name="_Toc1063"/>
      <w:bookmarkStart w:id="621" w:name="_Toc30935"/>
      <w:bookmarkStart w:id="622" w:name="_Toc25125"/>
      <w:r>
        <w:rPr>
          <w:rFonts w:hint="eastAsia" w:ascii="宋体" w:hAnsi="宋体" w:eastAsia="宋体" w:cs="宋体"/>
          <w:color w:val="auto"/>
          <w:sz w:val="28"/>
          <w:szCs w:val="28"/>
          <w:highlight w:val="none"/>
        </w:rPr>
        <w:t>四   投标文件的递交</w:t>
      </w:r>
      <w:bookmarkEnd w:id="613"/>
      <w:bookmarkEnd w:id="614"/>
      <w:bookmarkEnd w:id="615"/>
      <w:bookmarkEnd w:id="616"/>
      <w:bookmarkEnd w:id="617"/>
      <w:bookmarkEnd w:id="618"/>
      <w:bookmarkEnd w:id="619"/>
      <w:bookmarkEnd w:id="620"/>
      <w:bookmarkEnd w:id="621"/>
      <w:bookmarkEnd w:id="622"/>
    </w:p>
    <w:p w14:paraId="0C5C241B">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623" w:name="_Toc5284"/>
      <w:bookmarkStart w:id="624" w:name="_Toc27812"/>
      <w:bookmarkStart w:id="625" w:name="_Toc780"/>
      <w:bookmarkStart w:id="626" w:name="_Toc16904"/>
      <w:bookmarkStart w:id="627" w:name="_Toc22378"/>
      <w:bookmarkStart w:id="628" w:name="_Toc20806"/>
      <w:bookmarkStart w:id="629" w:name="_Toc15282"/>
      <w:bookmarkStart w:id="630" w:name="_Toc18413"/>
      <w:bookmarkStart w:id="631" w:name="_Toc671"/>
      <w:bookmarkStart w:id="632" w:name="_Toc13931"/>
      <w:bookmarkStart w:id="633" w:name="_Toc15871"/>
      <w:bookmarkStart w:id="634" w:name="_Toc7506"/>
      <w:bookmarkStart w:id="635" w:name="_Toc7262"/>
      <w:bookmarkStart w:id="636" w:name="_Toc6497"/>
      <w:bookmarkStart w:id="637" w:name="_Toc31167"/>
      <w:bookmarkStart w:id="638" w:name="_Toc18056"/>
      <w:bookmarkStart w:id="639" w:name="_Toc14772"/>
      <w:bookmarkStart w:id="640" w:name="_Toc28578"/>
      <w:bookmarkStart w:id="641" w:name="_Toc27205"/>
      <w:bookmarkStart w:id="642" w:name="_Toc9344"/>
      <w:bookmarkStart w:id="643" w:name="_Toc27334"/>
      <w:r>
        <w:rPr>
          <w:rFonts w:hint="eastAsia" w:ascii="宋体" w:hAnsi="宋体" w:eastAsia="宋体" w:cs="宋体"/>
          <w:b/>
          <w:bCs/>
          <w:color w:val="auto"/>
          <w:kern w:val="2"/>
          <w:sz w:val="24"/>
          <w:szCs w:val="24"/>
          <w:u w:val="none"/>
          <w:lang w:val="en-US" w:eastAsia="zh-CN" w:bidi="ar-SA"/>
        </w:rPr>
        <w:t>15.投标文件</w:t>
      </w:r>
    </w:p>
    <w:p w14:paraId="1D9DC2F3">
      <w:pPr>
        <w:pStyle w:val="5"/>
        <w:pageBreakBefore w:val="0"/>
        <w:widowControl w:val="0"/>
        <w:numPr>
          <w:ilvl w:val="0"/>
          <w:numId w:val="0"/>
        </w:numPr>
        <w:kinsoku/>
        <w:wordWrap/>
        <w:overflowPunct/>
        <w:topLinePunct w:val="0"/>
        <w:bidi w:val="0"/>
        <w:spacing w:before="0" w:after="0" w:line="360" w:lineRule="exact"/>
        <w:ind w:left="720" w:leftChars="0" w:hanging="720" w:hangingChars="300"/>
        <w:textAlignment w:val="auto"/>
        <w:outlineLvl w:val="2"/>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15.1   为方便评审及进行资格审查，投标单位应完整地按招标文件提供的投标文件格式及要求编写投标文件， 投标单位须在投标截止时间前完成在系统上递交电子投标文件。投标单位的电子投标文件是经过CA证书加密后上传提交的，任何单位或个人均无法在投标截止时间(即投标时间)之前查看或篡改，不存在泄密风险。（严格按照政采云电子投标流程制作并上传电子投标文件）</w:t>
      </w:r>
    </w:p>
    <w:p w14:paraId="1D5EBE15">
      <w:pPr>
        <w:pStyle w:val="5"/>
        <w:pageBreakBefore w:val="0"/>
        <w:widowControl w:val="0"/>
        <w:numPr>
          <w:ilvl w:val="0"/>
          <w:numId w:val="0"/>
        </w:numPr>
        <w:kinsoku/>
        <w:wordWrap/>
        <w:overflowPunct/>
        <w:topLinePunct w:val="0"/>
        <w:bidi w:val="0"/>
        <w:spacing w:before="0" w:after="0" w:line="360" w:lineRule="exact"/>
        <w:ind w:left="720" w:leftChars="0" w:hanging="720" w:hangingChars="300"/>
        <w:textAlignment w:val="auto"/>
        <w:outlineLvl w:val="2"/>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15.2    供应商因自身原因导致电子投标文件无法导入电子评标系统的，该响应文件视为无效文件。</w:t>
      </w:r>
    </w:p>
    <w:p w14:paraId="083740EE">
      <w:pPr>
        <w:pStyle w:val="5"/>
        <w:pageBreakBefore w:val="0"/>
        <w:widowControl w:val="0"/>
        <w:numPr>
          <w:ilvl w:val="0"/>
          <w:numId w:val="0"/>
        </w:numPr>
        <w:kinsoku/>
        <w:wordWrap/>
        <w:overflowPunct/>
        <w:topLinePunct w:val="0"/>
        <w:bidi w:val="0"/>
        <w:spacing w:before="0" w:after="0" w:line="360" w:lineRule="exact"/>
        <w:ind w:left="720" w:leftChars="0" w:hanging="720" w:hangingChars="300"/>
        <w:textAlignment w:val="auto"/>
        <w:outlineLvl w:val="2"/>
        <w:rPr>
          <w:rFonts w:hint="eastAsia"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kern w:val="2"/>
          <w:sz w:val="24"/>
          <w:szCs w:val="24"/>
          <w:highlight w:val="none"/>
          <w:u w:val="none"/>
          <w:lang w:val="en-US" w:eastAsia="zh-CN" w:bidi="ar-SA"/>
        </w:rPr>
        <w:t>15.3   电子投标文件具有法律效力,与其他形式的响应文件在内容和格式上等同，若投标文件与招标文件要求不一致，其内容影响中标结果时，责任由供应商自行承担。</w:t>
      </w:r>
    </w:p>
    <w:p w14:paraId="40CD5AB2">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r>
        <w:rPr>
          <w:rFonts w:hint="eastAsia" w:ascii="宋体" w:hAnsi="宋体" w:eastAsia="宋体" w:cs="宋体"/>
          <w:b/>
          <w:bCs/>
          <w:color w:val="auto"/>
          <w:kern w:val="2"/>
          <w:sz w:val="24"/>
          <w:szCs w:val="24"/>
          <w:u w:val="none"/>
          <w:lang w:val="en-US" w:eastAsia="zh-CN" w:bidi="ar-SA"/>
        </w:rPr>
        <w:t>16.投标截止</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41ACD1D6">
      <w:pPr>
        <w:pageBreakBefore w:val="0"/>
        <w:kinsoku/>
        <w:wordWrap/>
        <w:overflowPunct/>
        <w:topLinePunct w:val="0"/>
        <w:bidi w:val="0"/>
        <w:spacing w:line="360" w:lineRule="exact"/>
        <w:ind w:left="900" w:hanging="900" w:hangingChars="375"/>
        <w:rPr>
          <w:rFonts w:hint="eastAsia" w:ascii="宋体" w:hAnsi="宋体" w:eastAsia="宋体" w:cs="宋体"/>
          <w:color w:val="auto"/>
          <w:sz w:val="24"/>
          <w:szCs w:val="24"/>
          <w:highlight w:val="none"/>
        </w:rPr>
      </w:pPr>
      <w:bookmarkStart w:id="644" w:name="_Toc1356"/>
      <w:bookmarkStart w:id="645" w:name="_Toc7574"/>
      <w:bookmarkStart w:id="646" w:name="_Toc4342"/>
      <w:bookmarkStart w:id="647" w:name="_Toc5300"/>
      <w:bookmarkStart w:id="648" w:name="_Toc9635"/>
      <w:bookmarkStart w:id="649" w:name="_Toc16085"/>
      <w:bookmarkStart w:id="650" w:name="_Toc10568"/>
      <w:bookmarkStart w:id="651" w:name="_Toc29733"/>
      <w:bookmarkStart w:id="652" w:name="_Toc32019"/>
      <w:bookmarkStart w:id="653" w:name="_Toc31990"/>
      <w:bookmarkStart w:id="654" w:name="_Toc3194"/>
      <w:bookmarkStart w:id="655" w:name="_Toc9957"/>
      <w:bookmarkStart w:id="656" w:name="_Toc27841"/>
      <w:bookmarkStart w:id="657" w:name="_Toc24067"/>
      <w:bookmarkStart w:id="658" w:name="_Toc1517"/>
      <w:bookmarkStart w:id="659" w:name="_Toc9352"/>
      <w:r>
        <w:rPr>
          <w:rFonts w:hint="eastAsia" w:ascii="宋体" w:hAnsi="宋体" w:eastAsia="宋体" w:cs="宋体"/>
          <w:color w:val="auto"/>
          <w:sz w:val="24"/>
          <w:szCs w:val="24"/>
          <w:highlight w:val="none"/>
        </w:rPr>
        <w:t>16.1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供应商应在供应商须知资料表中规定的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截止时间前，将</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上传到</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公告中规定的地点。</w:t>
      </w:r>
      <w:r>
        <w:rPr>
          <w:rFonts w:hint="eastAsia" w:ascii="宋体" w:hAnsi="宋体" w:eastAsia="宋体" w:cs="宋体"/>
          <w:b/>
          <w:bCs/>
          <w:color w:val="auto"/>
          <w:sz w:val="24"/>
          <w:highlight w:val="none"/>
          <w:lang w:eastAsia="zh-CN"/>
        </w:rPr>
        <w:t>解密时间</w:t>
      </w:r>
      <w:r>
        <w:rPr>
          <w:rFonts w:hint="eastAsia" w:ascii="宋体" w:hAnsi="宋体" w:eastAsia="宋体" w:cs="宋体"/>
          <w:b/>
          <w:bCs/>
          <w:color w:val="auto"/>
          <w:sz w:val="24"/>
          <w:highlight w:val="none"/>
          <w:lang w:val="en-US" w:eastAsia="zh-CN"/>
        </w:rPr>
        <w:t>30分钟，逾期未解密的视为投标无效。</w:t>
      </w:r>
    </w:p>
    <w:p w14:paraId="2F369CDA">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采购人和采购代理机构有权按本须知的规定，延迟</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截止时间。在此情况下，采购人、采购代理机构和供应商受</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截止时间制约的所有权利和义务均应延长至新的截止时间。</w:t>
      </w:r>
    </w:p>
    <w:p w14:paraId="1A2280C0">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采购人和采购代理机构将拒绝接收在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截止时间后上传的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14:paraId="42D22BBC">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660" w:name="_Toc25564"/>
      <w:bookmarkStart w:id="661" w:name="_Toc23884"/>
      <w:bookmarkStart w:id="662" w:name="_Toc15432"/>
      <w:bookmarkStart w:id="663" w:name="_Toc6793"/>
      <w:bookmarkStart w:id="664" w:name="_Toc2211"/>
      <w:r>
        <w:rPr>
          <w:rFonts w:hint="eastAsia" w:ascii="宋体" w:hAnsi="宋体" w:eastAsia="宋体" w:cs="宋体"/>
          <w:b/>
          <w:bCs/>
          <w:color w:val="auto"/>
          <w:kern w:val="2"/>
          <w:sz w:val="24"/>
          <w:szCs w:val="24"/>
          <w:u w:val="none"/>
          <w:lang w:val="en-US" w:eastAsia="zh-CN" w:bidi="ar-SA"/>
        </w:rPr>
        <w:t>17.投标文件的接收、修改与撤回</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1761B3BD">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截止时间后上传的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的，采购人和采购代理机构将拒绝接收。</w:t>
      </w:r>
    </w:p>
    <w:p w14:paraId="4FA16D73">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上传</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以后，如果供应商要进行修改或撤回</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，供应商对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的修改或撤回通知应按本须知规定编制、标记。采购人和采购代理机构将予以接收，并视为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的组成部分。</w:t>
      </w:r>
    </w:p>
    <w:p w14:paraId="7FD91882">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w:t>
      </w:r>
      <w:r>
        <w:rPr>
          <w:rFonts w:hint="eastAsia" w:ascii="宋体" w:hAnsi="宋体" w:cs="宋体"/>
          <w:color w:val="auto"/>
          <w:sz w:val="24"/>
          <w:szCs w:val="24"/>
          <w:highlight w:val="none"/>
          <w:lang w:val="en-US" w:eastAsia="zh-CN"/>
        </w:rPr>
        <w:t>时间</w:t>
      </w:r>
      <w:r>
        <w:rPr>
          <w:rFonts w:hint="eastAsia" w:ascii="宋体" w:hAnsi="宋体" w:eastAsia="宋体" w:cs="宋体"/>
          <w:color w:val="auto"/>
          <w:sz w:val="24"/>
          <w:szCs w:val="24"/>
          <w:highlight w:val="none"/>
        </w:rPr>
        <w:t>之后，采购人和采购代理机构不接受供应商主动对其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做任何修改。</w:t>
      </w:r>
    </w:p>
    <w:p w14:paraId="57A8B4FE">
      <w:pPr>
        <w:pageBreakBefore w:val="0"/>
        <w:shd w:val="clear"/>
        <w:kinsoku/>
        <w:wordWrap/>
        <w:overflowPunct/>
        <w:topLinePunct w:val="0"/>
        <w:bidi w:val="0"/>
        <w:spacing w:line="360" w:lineRule="exact"/>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采购人和采购代理机构对所接收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概不退回。</w:t>
      </w:r>
    </w:p>
    <w:p w14:paraId="0A3CDF22">
      <w:pPr>
        <w:pageBreakBefore w:val="0"/>
        <w:widowControl w:val="0"/>
        <w:kinsoku/>
        <w:wordWrap/>
        <w:overflowPunct/>
        <w:topLinePunct w:val="0"/>
        <w:bidi w:val="0"/>
        <w:spacing w:before="0" w:line="360" w:lineRule="exact"/>
        <w:ind w:left="0" w:leftChars="0" w:hanging="540"/>
        <w:textAlignment w:val="auto"/>
        <w:outlineLvl w:val="9"/>
        <w:rPr>
          <w:rFonts w:hint="eastAsia" w:ascii="宋体" w:hAnsi="宋体" w:eastAsia="宋体" w:cs="宋体"/>
          <w:color w:val="auto"/>
          <w:sz w:val="24"/>
          <w:szCs w:val="24"/>
          <w:highlight w:val="none"/>
        </w:rPr>
      </w:pPr>
      <w:bookmarkStart w:id="665" w:name="_Toc515647778"/>
      <w:bookmarkStart w:id="666" w:name="_Toc28398"/>
      <w:bookmarkStart w:id="667" w:name="_Toc12436"/>
      <w:bookmarkStart w:id="668" w:name="_Toc7470"/>
      <w:bookmarkStart w:id="669" w:name="_Toc216582809"/>
      <w:bookmarkStart w:id="670" w:name="_Toc520356163"/>
    </w:p>
    <w:p w14:paraId="4B51D1FD">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rPr>
      </w:pPr>
      <w:bookmarkStart w:id="671" w:name="_Toc14202"/>
      <w:bookmarkStart w:id="672" w:name="_Toc5789"/>
      <w:bookmarkStart w:id="673" w:name="_Toc12049"/>
      <w:r>
        <w:rPr>
          <w:rFonts w:hint="eastAsia" w:ascii="宋体" w:hAnsi="宋体" w:eastAsia="宋体" w:cs="宋体"/>
          <w:color w:val="auto"/>
          <w:sz w:val="28"/>
          <w:szCs w:val="28"/>
          <w:highlight w:val="none"/>
        </w:rPr>
        <w:t>五   开标及评标</w:t>
      </w:r>
      <w:bookmarkEnd w:id="665"/>
      <w:bookmarkEnd w:id="666"/>
      <w:bookmarkEnd w:id="667"/>
      <w:bookmarkEnd w:id="668"/>
      <w:bookmarkEnd w:id="669"/>
      <w:bookmarkEnd w:id="670"/>
      <w:bookmarkEnd w:id="671"/>
      <w:bookmarkEnd w:id="672"/>
      <w:bookmarkEnd w:id="673"/>
    </w:p>
    <w:p w14:paraId="4F0B9BF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674" w:name="_Toc32409"/>
      <w:bookmarkStart w:id="675" w:name="_Toc7186"/>
      <w:bookmarkStart w:id="676" w:name="_Toc10643"/>
      <w:bookmarkStart w:id="677" w:name="_Toc520356164"/>
      <w:bookmarkStart w:id="678" w:name="_Toc6337"/>
      <w:bookmarkStart w:id="679" w:name="_Toc2886"/>
      <w:bookmarkStart w:id="680" w:name="_Toc1738"/>
      <w:bookmarkStart w:id="681" w:name="_Toc4423"/>
      <w:bookmarkStart w:id="682" w:name="_Toc4771"/>
      <w:bookmarkStart w:id="683" w:name="_Toc9474"/>
      <w:bookmarkStart w:id="684" w:name="_Toc15632"/>
      <w:bookmarkStart w:id="685" w:name="_Toc24922"/>
      <w:bookmarkStart w:id="686" w:name="_Toc23772"/>
      <w:bookmarkStart w:id="687" w:name="_Toc563"/>
      <w:bookmarkStart w:id="688" w:name="_Toc17685"/>
      <w:bookmarkStart w:id="689" w:name="_Toc30446"/>
      <w:bookmarkStart w:id="690" w:name="_Toc11726"/>
      <w:bookmarkStart w:id="691" w:name="_Toc11144"/>
      <w:bookmarkStart w:id="692" w:name="_Toc28027"/>
      <w:bookmarkStart w:id="693" w:name="_Toc25345"/>
      <w:bookmarkStart w:id="694" w:name="_Toc25562"/>
      <w:bookmarkStart w:id="695" w:name="_Toc23987"/>
      <w:bookmarkStart w:id="696" w:name="_Toc4378"/>
      <w:bookmarkStart w:id="697" w:name="_Toc30405"/>
      <w:bookmarkStart w:id="698" w:name="_Toc515647779"/>
      <w:bookmarkStart w:id="699" w:name="_Toc26366"/>
      <w:bookmarkStart w:id="700" w:name="_Toc4385"/>
      <w:bookmarkStart w:id="701" w:name="_Toc31572"/>
      <w:bookmarkStart w:id="702" w:name="_Toc63"/>
      <w:bookmarkStart w:id="703" w:name="_Toc17546"/>
      <w:bookmarkStart w:id="704" w:name="_Toc28057"/>
      <w:bookmarkStart w:id="705" w:name="_Toc21418"/>
      <w:bookmarkStart w:id="706" w:name="_Toc9432"/>
      <w:bookmarkStart w:id="707" w:name="_Toc10415"/>
      <w:bookmarkStart w:id="708" w:name="_Toc16446"/>
      <w:bookmarkStart w:id="709" w:name="_Toc18631"/>
      <w:bookmarkStart w:id="710" w:name="_Toc1763"/>
      <w:bookmarkStart w:id="711" w:name="_Toc28787"/>
      <w:bookmarkStart w:id="712" w:name="_Toc520356165"/>
      <w:bookmarkStart w:id="713" w:name="_Toc22792"/>
      <w:bookmarkStart w:id="714" w:name="_Toc3080"/>
      <w:bookmarkStart w:id="715" w:name="_Toc10746"/>
      <w:bookmarkStart w:id="716" w:name="_Toc515647780"/>
      <w:bookmarkStart w:id="717" w:name="_Toc10550"/>
      <w:bookmarkStart w:id="718" w:name="_Toc28586"/>
      <w:bookmarkStart w:id="719" w:name="_Toc21372"/>
      <w:bookmarkStart w:id="720" w:name="_Toc4063"/>
      <w:bookmarkStart w:id="721" w:name="_Toc21667"/>
      <w:bookmarkStart w:id="722" w:name="_Toc18228"/>
      <w:bookmarkStart w:id="723" w:name="_Toc19296"/>
      <w:bookmarkStart w:id="724" w:name="_Toc18233"/>
      <w:bookmarkStart w:id="725" w:name="_Toc22770"/>
      <w:bookmarkStart w:id="726" w:name="_Toc5052"/>
      <w:bookmarkStart w:id="727" w:name="_Toc2316"/>
      <w:bookmarkStart w:id="728" w:name="_Toc26266"/>
      <w:bookmarkStart w:id="729" w:name="_Toc16864"/>
      <w:r>
        <w:rPr>
          <w:rFonts w:hint="eastAsia" w:ascii="宋体" w:hAnsi="宋体" w:eastAsia="宋体" w:cs="宋体"/>
          <w:b/>
          <w:bCs/>
          <w:color w:val="auto"/>
          <w:kern w:val="2"/>
          <w:sz w:val="24"/>
          <w:szCs w:val="24"/>
          <w:u w:val="none"/>
          <w:lang w:val="en-US" w:eastAsia="zh-CN" w:bidi="ar-SA"/>
        </w:rPr>
        <w:t>18.开标</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bookmarkEnd w:id="712"/>
    <w:p w14:paraId="20F82FA8">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bookmarkStart w:id="730" w:name="_Toc24046"/>
      <w:bookmarkStart w:id="731" w:name="_Toc24244"/>
      <w:bookmarkStart w:id="732" w:name="_Toc929"/>
      <w:bookmarkStart w:id="733" w:name="_Toc23873"/>
      <w:bookmarkStart w:id="734" w:name="_Toc28437"/>
      <w:bookmarkStart w:id="735" w:name="_Toc13596"/>
      <w:bookmarkStart w:id="736" w:name="_Toc11617"/>
      <w:bookmarkStart w:id="737" w:name="_Toc2931"/>
      <w:bookmarkStart w:id="738" w:name="_Toc8996"/>
      <w:bookmarkStart w:id="739" w:name="_Toc10614"/>
      <w:bookmarkStart w:id="740" w:name="_Toc11014"/>
      <w:bookmarkStart w:id="741" w:name="_Toc1687"/>
      <w:bookmarkStart w:id="742" w:name="_Toc30996"/>
      <w:bookmarkStart w:id="743" w:name="_Toc17081"/>
      <w:bookmarkStart w:id="744" w:name="_Toc4245"/>
      <w:bookmarkStart w:id="745" w:name="_Toc27002"/>
      <w:r>
        <w:rPr>
          <w:rFonts w:hint="eastAsia" w:ascii="宋体" w:hAnsi="宋体" w:eastAsia="宋体" w:cs="宋体"/>
          <w:color w:val="auto"/>
          <w:sz w:val="24"/>
          <w:highlight w:val="none"/>
          <w:lang w:val="en-US" w:eastAsia="zh-CN"/>
        </w:rPr>
        <w:t>18.1</w:t>
      </w:r>
      <w:r>
        <w:rPr>
          <w:rFonts w:hint="eastAsia" w:ascii="宋体" w:hAnsi="宋体" w:eastAsia="宋体" w:cs="宋体"/>
          <w:color w:val="auto"/>
          <w:sz w:val="24"/>
          <w:highlight w:val="none"/>
          <w:lang w:eastAsia="zh-CN"/>
        </w:rPr>
        <w:t>供应商按照须知资料表中规定的开标时间和地点，在规定时间内上传投标文件。</w:t>
      </w:r>
    </w:p>
    <w:p w14:paraId="1BB53052">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18.2</w:t>
      </w:r>
      <w:r>
        <w:rPr>
          <w:rFonts w:hint="eastAsia" w:ascii="宋体" w:hAnsi="宋体" w:eastAsia="宋体" w:cs="宋体"/>
          <w:color w:val="auto"/>
          <w:sz w:val="24"/>
          <w:highlight w:val="none"/>
          <w:lang w:eastAsia="zh-CN"/>
        </w:rPr>
        <w:t>到投标截止时间，对供应商上传的投标文件进行解密，解密时长为30分钟。供应商须在规定时间内使用CA锁在政采云平台解密，解密失败或未在规定时间内解密，将无法参加下一阶段的</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eastAsia="zh-CN"/>
        </w:rPr>
        <w:t xml:space="preserve">，将被认定为无效投标。请供应商提前调试好CA锁，确定在操作时能正常使用。  </w:t>
      </w:r>
    </w:p>
    <w:p w14:paraId="32BDF5BB">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18.3</w:t>
      </w:r>
      <w:r>
        <w:rPr>
          <w:rFonts w:hint="eastAsia" w:ascii="宋体" w:hAnsi="宋体" w:eastAsia="宋体" w:cs="宋体"/>
          <w:color w:val="auto"/>
          <w:sz w:val="24"/>
          <w:highlight w:val="none"/>
          <w:lang w:eastAsia="zh-CN"/>
        </w:rPr>
        <w:t>在开标记录时，代理机构开启签字时段，须供应商使用CA锁在政采云平台进行签字确认报价。</w:t>
      </w:r>
    </w:p>
    <w:p w14:paraId="254631B6">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18.4</w:t>
      </w:r>
      <w:r>
        <w:rPr>
          <w:rFonts w:hint="eastAsia" w:ascii="宋体" w:hAnsi="宋体" w:eastAsia="宋体" w:cs="宋体"/>
          <w:color w:val="auto"/>
          <w:sz w:val="24"/>
          <w:highlight w:val="none"/>
          <w:lang w:eastAsia="zh-CN"/>
        </w:rPr>
        <w:t>采购人登录政采云平台对供应商的资格证明材料进行审查。</w:t>
      </w:r>
    </w:p>
    <w:p w14:paraId="2B2DC7D8">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746" w:name="_Toc3856"/>
      <w:bookmarkStart w:id="747" w:name="_Toc15783"/>
      <w:bookmarkStart w:id="748" w:name="_Toc12552"/>
      <w:bookmarkStart w:id="749" w:name="_Toc14931"/>
      <w:bookmarkStart w:id="750" w:name="_Toc27444"/>
      <w:r>
        <w:rPr>
          <w:rFonts w:hint="eastAsia" w:ascii="宋体" w:hAnsi="宋体" w:eastAsia="宋体" w:cs="宋体"/>
          <w:b/>
          <w:bCs/>
          <w:color w:val="auto"/>
          <w:kern w:val="2"/>
          <w:sz w:val="24"/>
          <w:szCs w:val="24"/>
          <w:u w:val="none"/>
          <w:lang w:val="en-US" w:eastAsia="zh-CN" w:bidi="ar-SA"/>
        </w:rPr>
        <w:t>19.资格审查及组建评标委员会</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14:paraId="2004F48D">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19.1</w:t>
      </w:r>
      <w:r>
        <w:rPr>
          <w:rFonts w:hint="eastAsia" w:ascii="宋体" w:hAnsi="宋体" w:eastAsia="宋体" w:cs="宋体"/>
          <w:color w:val="auto"/>
          <w:sz w:val="24"/>
          <w:szCs w:val="24"/>
          <w:highlight w:val="none"/>
          <w:lang w:eastAsia="zh-CN"/>
        </w:rPr>
        <w:t xml:space="preserve"> 采购人或采购代理机构依据法律法规和招标文件中规定的内容，对供应商资格进行审查，本项目审查内容如下：</w:t>
      </w:r>
    </w:p>
    <w:p w14:paraId="55F1DC0E">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18" w:leftChars="342" w:firstLine="0" w:firstLineChars="0"/>
        <w:jc w:val="both"/>
        <w:textAlignment w:val="baseline"/>
        <w:rPr>
          <w:rFonts w:hint="eastAsia" w:ascii="宋体" w:hAnsi="宋体" w:eastAsia="宋体" w:cs="宋体"/>
          <w:b/>
          <w:bCs/>
          <w:color w:val="auto"/>
          <w:sz w:val="24"/>
          <w:szCs w:val="24"/>
          <w:highlight w:val="none"/>
        </w:rPr>
      </w:pPr>
      <w:r>
        <w:rPr>
          <w:rFonts w:hint="eastAsia" w:ascii="宋体" w:hAnsi="宋体" w:eastAsia="宋体" w:cs="宋体"/>
          <w:b/>
          <w:bCs/>
          <w:i w:val="0"/>
          <w:caps w:val="0"/>
          <w:color w:val="auto"/>
          <w:spacing w:val="0"/>
          <w:w w:val="100"/>
          <w:sz w:val="24"/>
          <w:szCs w:val="24"/>
          <w:highlight w:val="none"/>
        </w:rPr>
        <w:t>本项目</w:t>
      </w:r>
      <w:r>
        <w:rPr>
          <w:rFonts w:hint="eastAsia" w:ascii="宋体" w:hAnsi="宋体" w:eastAsia="宋体" w:cs="宋体"/>
          <w:b/>
          <w:bCs/>
          <w:i w:val="0"/>
          <w:caps w:val="0"/>
          <w:color w:val="auto"/>
          <w:spacing w:val="0"/>
          <w:w w:val="100"/>
          <w:sz w:val="24"/>
          <w:szCs w:val="24"/>
          <w:highlight w:val="none"/>
          <w:lang w:val="en-US" w:eastAsia="zh-CN"/>
        </w:rPr>
        <w:t>资格审查资料须附在投标文件中</w:t>
      </w:r>
      <w:r>
        <w:rPr>
          <w:rFonts w:hint="eastAsia" w:ascii="宋体" w:hAnsi="宋体" w:eastAsia="宋体" w:cs="宋体"/>
          <w:b/>
          <w:bCs/>
          <w:i w:val="0"/>
          <w:caps w:val="0"/>
          <w:color w:val="auto"/>
          <w:spacing w:val="0"/>
          <w:w w:val="100"/>
          <w:sz w:val="24"/>
          <w:szCs w:val="24"/>
          <w:highlight w:val="none"/>
        </w:rPr>
        <w:t>：</w:t>
      </w:r>
    </w:p>
    <w:p w14:paraId="33034A71">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（1）</w:t>
      </w:r>
      <w:r>
        <w:rPr>
          <w:rFonts w:hint="eastAsia" w:ascii="宋体" w:hAnsi="宋体" w:cs="宋体"/>
          <w:b/>
          <w:bCs/>
          <w:color w:val="auto"/>
          <w:sz w:val="24"/>
          <w:szCs w:val="24"/>
          <w:highlight w:val="none"/>
          <w:lang w:val="en-US" w:eastAsia="zh-CN"/>
        </w:rPr>
        <w:t>具有有效的营业执照</w:t>
      </w:r>
      <w:r>
        <w:rPr>
          <w:rFonts w:hint="eastAsia" w:ascii="宋体" w:hAnsi="宋体" w:eastAsia="宋体" w:cs="宋体"/>
          <w:b/>
          <w:bCs/>
          <w:color w:val="auto"/>
          <w:sz w:val="24"/>
          <w:szCs w:val="24"/>
          <w:highlight w:val="none"/>
          <w:lang w:val="en-US" w:eastAsia="zh-CN"/>
        </w:rPr>
        <w:t>；</w:t>
      </w:r>
    </w:p>
    <w:p w14:paraId="0BFCFEE3">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cs="宋体"/>
          <w:b/>
          <w:bCs/>
          <w:color w:val="auto"/>
          <w:kern w:val="2"/>
          <w:sz w:val="24"/>
          <w:szCs w:val="24"/>
          <w:highlight w:val="none"/>
          <w:lang w:val="en-US" w:eastAsia="zh-CN" w:bidi="ar-SA"/>
        </w:rPr>
        <w:t>2</w:t>
      </w:r>
      <w:r>
        <w:rPr>
          <w:rFonts w:hint="eastAsia" w:ascii="宋体" w:hAnsi="宋体" w:eastAsia="宋体" w:cs="宋体"/>
          <w:b/>
          <w:bCs/>
          <w:color w:val="auto"/>
          <w:kern w:val="2"/>
          <w:sz w:val="24"/>
          <w:szCs w:val="24"/>
          <w:highlight w:val="none"/>
          <w:lang w:val="en-US" w:eastAsia="zh-CN" w:bidi="ar-SA"/>
        </w:rPr>
        <w:t>）供应商需具备由公安部第三研究所颁发的网络安全等级测评与检测评估机构服务认证证书;</w:t>
      </w:r>
    </w:p>
    <w:p w14:paraId="48F325C3">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cs="宋体"/>
          <w:b/>
          <w:bCs/>
          <w:color w:val="auto"/>
          <w:kern w:val="2"/>
          <w:sz w:val="24"/>
          <w:szCs w:val="24"/>
          <w:highlight w:val="none"/>
          <w:lang w:val="en-US" w:eastAsia="zh-CN" w:bidi="ar-SA"/>
        </w:rPr>
        <w:t>3</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sz w:val="24"/>
          <w:szCs w:val="24"/>
          <w:highlight w:val="none"/>
          <w:lang w:val="en-US" w:eastAsia="zh-CN"/>
        </w:rPr>
        <w:t>法定代表人资格证明；</w:t>
      </w:r>
    </w:p>
    <w:p w14:paraId="431FE5CD">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w:t>
      </w:r>
      <w:r>
        <w:rPr>
          <w:rFonts w:hint="eastAsia" w:ascii="宋体" w:hAnsi="宋体" w:cs="宋体"/>
          <w:b/>
          <w:bCs/>
          <w:color w:val="auto"/>
          <w:kern w:val="2"/>
          <w:sz w:val="24"/>
          <w:szCs w:val="24"/>
          <w:highlight w:val="none"/>
          <w:lang w:val="en-US" w:eastAsia="zh-CN" w:bidi="ar-SA"/>
        </w:rPr>
        <w:t>4</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sz w:val="24"/>
          <w:szCs w:val="24"/>
          <w:highlight w:val="none"/>
          <w:lang w:val="en-US" w:eastAsia="zh-CN"/>
        </w:rPr>
        <w:t>提供近两年内任意一年的财务审计报告（</w:t>
      </w:r>
      <w:r>
        <w:rPr>
          <w:rFonts w:hint="eastAsia" w:ascii="宋体" w:hAnsi="宋体" w:cs="宋体"/>
          <w:b/>
          <w:bCs/>
          <w:color w:val="auto"/>
          <w:sz w:val="24"/>
          <w:szCs w:val="24"/>
          <w:highlight w:val="none"/>
          <w:lang w:val="en-US" w:eastAsia="zh-CN"/>
        </w:rPr>
        <w:t>成立未满十二个月的新公司可提供近三个月内任意一个月的银行资信证明</w:t>
      </w:r>
      <w:r>
        <w:rPr>
          <w:rFonts w:hint="eastAsia" w:ascii="宋体" w:hAnsi="宋体" w:eastAsia="宋体" w:cs="宋体"/>
          <w:b/>
          <w:bCs/>
          <w:color w:val="auto"/>
          <w:sz w:val="24"/>
          <w:szCs w:val="24"/>
          <w:highlight w:val="none"/>
          <w:lang w:val="en-US" w:eastAsia="zh-CN"/>
        </w:rPr>
        <w:t>）；</w:t>
      </w:r>
    </w:p>
    <w:p w14:paraId="7A4E1F72">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kern w:val="2"/>
          <w:sz w:val="24"/>
          <w:szCs w:val="24"/>
          <w:highlight w:val="none"/>
          <w:lang w:val="en-US" w:eastAsia="zh-CN" w:bidi="ar-SA"/>
        </w:rPr>
        <w:t>（</w:t>
      </w:r>
      <w:r>
        <w:rPr>
          <w:rFonts w:hint="eastAsia" w:ascii="宋体" w:hAnsi="宋体" w:cs="宋体"/>
          <w:b/>
          <w:bCs/>
          <w:i w:val="0"/>
          <w:caps w:val="0"/>
          <w:color w:val="auto"/>
          <w:spacing w:val="0"/>
          <w:w w:val="100"/>
          <w:kern w:val="2"/>
          <w:sz w:val="24"/>
          <w:szCs w:val="24"/>
          <w:highlight w:val="none"/>
          <w:lang w:val="en-US" w:eastAsia="zh-CN" w:bidi="ar-SA"/>
        </w:rPr>
        <w:t>5</w:t>
      </w:r>
      <w:r>
        <w:rPr>
          <w:rFonts w:hint="eastAsia" w:ascii="宋体" w:hAnsi="宋体" w:eastAsia="宋体" w:cs="宋体"/>
          <w:b/>
          <w:bCs/>
          <w:i w:val="0"/>
          <w:caps w:val="0"/>
          <w:color w:val="auto"/>
          <w:spacing w:val="0"/>
          <w:w w:val="100"/>
          <w:kern w:val="2"/>
          <w:sz w:val="24"/>
          <w:szCs w:val="24"/>
          <w:highlight w:val="none"/>
          <w:lang w:val="en-US" w:eastAsia="zh-CN" w:bidi="ar-SA"/>
        </w:rPr>
        <w:t>）</w:t>
      </w:r>
      <w:r>
        <w:rPr>
          <w:rFonts w:hint="eastAsia" w:ascii="宋体" w:hAnsi="宋体" w:eastAsia="宋体" w:cs="宋体"/>
          <w:b/>
          <w:bCs/>
          <w:color w:val="auto"/>
          <w:sz w:val="24"/>
          <w:szCs w:val="24"/>
          <w:highlight w:val="none"/>
          <w:lang w:val="en-US" w:eastAsia="zh-CN"/>
        </w:rPr>
        <w:t>依法缴纳近六个月内任意</w:t>
      </w:r>
      <w:r>
        <w:rPr>
          <w:rFonts w:hint="eastAsia" w:ascii="宋体" w:hAnsi="宋体" w:eastAsia="宋体" w:cs="宋体"/>
          <w:b/>
          <w:bCs/>
          <w:i w:val="0"/>
          <w:caps w:val="0"/>
          <w:color w:val="auto"/>
          <w:spacing w:val="0"/>
          <w:w w:val="100"/>
          <w:sz w:val="24"/>
          <w:szCs w:val="24"/>
          <w:highlight w:val="none"/>
          <w:lang w:val="en-US" w:eastAsia="zh-CN"/>
        </w:rPr>
        <w:t>一个月社会保险证明；</w:t>
      </w:r>
    </w:p>
    <w:p w14:paraId="47468FA6">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6</w:t>
      </w:r>
      <w:r>
        <w:rPr>
          <w:rFonts w:hint="eastAsia" w:ascii="宋体" w:hAnsi="宋体" w:eastAsia="宋体" w:cs="宋体"/>
          <w:b/>
          <w:bCs/>
          <w:i w:val="0"/>
          <w:caps w:val="0"/>
          <w:color w:val="auto"/>
          <w:spacing w:val="0"/>
          <w:w w:val="100"/>
          <w:sz w:val="24"/>
          <w:szCs w:val="24"/>
          <w:highlight w:val="none"/>
          <w:lang w:val="en-US" w:eastAsia="zh-CN"/>
        </w:rPr>
        <w:t>）依法缴纳近六个月内任意一个月税收证明；</w:t>
      </w:r>
    </w:p>
    <w:p w14:paraId="5241111E">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7</w:t>
      </w: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根根据《财政部关于在政府采购活动中查询及使用信用记录有关问题的通知》（财库﹝2016﹞125号）的要求，凡拟参加本次招标项目的供应商，如在“信用中国”网站（https://www.creditchina.gov.cn/）被列入失信被执行人、重大税收违法失信主体名单（信用服务-重点领域严重失信主体名单查询-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采购代理机构或采购人查询为准）；</w:t>
      </w:r>
    </w:p>
    <w:p w14:paraId="3C77F8FA">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8</w:t>
      </w: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参加政府采购活动前3年内在经营活动中没有重大违法记录的书面声明</w:t>
      </w:r>
      <w:r>
        <w:rPr>
          <w:rFonts w:hint="eastAsia" w:ascii="宋体" w:hAnsi="宋体" w:eastAsia="宋体" w:cs="宋体"/>
          <w:b/>
          <w:bCs/>
          <w:i w:val="0"/>
          <w:caps w:val="0"/>
          <w:color w:val="auto"/>
          <w:spacing w:val="0"/>
          <w:w w:val="100"/>
          <w:sz w:val="24"/>
          <w:szCs w:val="24"/>
          <w:highlight w:val="none"/>
          <w:lang w:val="en-US" w:eastAsia="zh-CN"/>
        </w:rPr>
        <w:t>；</w:t>
      </w:r>
    </w:p>
    <w:p w14:paraId="764D80D8">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9</w:t>
      </w:r>
      <w:r>
        <w:rPr>
          <w:rFonts w:hint="eastAsia" w:ascii="宋体" w:hAnsi="宋体" w:eastAsia="宋体" w:cs="宋体"/>
          <w:b/>
          <w:bCs/>
          <w:i w:val="0"/>
          <w:caps w:val="0"/>
          <w:color w:val="auto"/>
          <w:spacing w:val="0"/>
          <w:w w:val="100"/>
          <w:sz w:val="24"/>
          <w:szCs w:val="24"/>
          <w:highlight w:val="none"/>
          <w:lang w:val="en-US" w:eastAsia="zh-CN"/>
        </w:rPr>
        <w:t>）缴纳投标保证金的有效凭证。</w:t>
      </w:r>
    </w:p>
    <w:p w14:paraId="5AB13551">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firstLine="482" w:firstLineChars="20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rPr>
        <w:t>各供应商应注意以下事项：①本项目要求各投标供应商提供“</w:t>
      </w:r>
      <w:r>
        <w:rPr>
          <w:rFonts w:hint="eastAsia" w:ascii="宋体" w:hAnsi="宋体" w:eastAsia="宋体" w:cs="宋体"/>
          <w:b/>
          <w:bCs/>
          <w:i w:val="0"/>
          <w:caps w:val="0"/>
          <w:color w:val="auto"/>
          <w:spacing w:val="0"/>
          <w:w w:val="100"/>
          <w:sz w:val="24"/>
          <w:szCs w:val="24"/>
          <w:highlight w:val="none"/>
          <w:lang w:eastAsia="zh-CN"/>
        </w:rPr>
        <w:t>依法缴纳近六个月内任意一个月税收证明</w:t>
      </w:r>
      <w:r>
        <w:rPr>
          <w:rFonts w:hint="eastAsia" w:ascii="宋体" w:hAnsi="宋体" w:eastAsia="宋体" w:cs="宋体"/>
          <w:b/>
          <w:bCs/>
          <w:i w:val="0"/>
          <w:caps w:val="0"/>
          <w:color w:val="auto"/>
          <w:spacing w:val="0"/>
          <w:w w:val="100"/>
          <w:sz w:val="24"/>
          <w:szCs w:val="24"/>
          <w:highlight w:val="none"/>
        </w:rPr>
        <w:t>”，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w:t>
      </w:r>
      <w:r>
        <w:rPr>
          <w:rFonts w:hint="eastAsia" w:ascii="宋体" w:hAnsi="宋体" w:eastAsia="宋体" w:cs="宋体"/>
          <w:b/>
          <w:bCs/>
          <w:i w:val="0"/>
          <w:caps w:val="0"/>
          <w:color w:val="auto"/>
          <w:spacing w:val="0"/>
          <w:w w:val="100"/>
          <w:sz w:val="24"/>
          <w:szCs w:val="24"/>
          <w:highlight w:val="none"/>
          <w:lang w:eastAsia="zh-CN"/>
        </w:rPr>
        <w:t>。</w:t>
      </w:r>
    </w:p>
    <w:p w14:paraId="2686D086">
      <w:pPr>
        <w:pageBreakBefore w:val="0"/>
        <w:widowControl w:val="0"/>
        <w:kinsoku/>
        <w:wordWrap/>
        <w:overflowPunct/>
        <w:topLinePunct w:val="0"/>
        <w:bidi w:val="0"/>
        <w:spacing w:line="360" w:lineRule="exact"/>
        <w:ind w:left="0" w:lef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i w:val="0"/>
          <w:caps w:val="0"/>
          <w:color w:val="auto"/>
          <w:spacing w:val="0"/>
          <w:w w:val="100"/>
          <w:sz w:val="24"/>
          <w:szCs w:val="24"/>
          <w:highlight w:val="none"/>
        </w:rPr>
        <w:t>未通过资格审查的供应商不进入评标；通过资格审查的供应商少于不足三家的，不得评标。</w:t>
      </w:r>
    </w:p>
    <w:p w14:paraId="0CAF44BB">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19.2   </w:t>
      </w:r>
      <w:r>
        <w:rPr>
          <w:rFonts w:hint="eastAsia" w:ascii="宋体" w:hAnsi="宋体" w:eastAsia="宋体" w:cs="宋体"/>
          <w:color w:val="auto"/>
          <w:sz w:val="24"/>
          <w:szCs w:val="24"/>
          <w:highlight w:val="none"/>
          <w:lang w:eastAsia="zh-CN"/>
        </w:rPr>
        <w:t>采购人或采购代理机构将在开标截止时间至投标截止后 1 小时的期间内查询供应商的信用记录。供应商存在不良信用记录的，其投标将被认定为</w:t>
      </w:r>
      <w:r>
        <w:rPr>
          <w:rFonts w:hint="eastAsia" w:ascii="宋体" w:hAnsi="宋体" w:eastAsia="宋体" w:cs="宋体"/>
          <w:b/>
          <w:bCs/>
          <w:color w:val="auto"/>
          <w:sz w:val="24"/>
          <w:szCs w:val="24"/>
          <w:highlight w:val="none"/>
          <w:lang w:eastAsia="zh-CN"/>
        </w:rPr>
        <w:t>投标无效</w:t>
      </w:r>
      <w:r>
        <w:rPr>
          <w:rFonts w:hint="eastAsia" w:ascii="宋体" w:hAnsi="宋体" w:eastAsia="宋体" w:cs="宋体"/>
          <w:b/>
          <w:bCs/>
          <w:color w:val="auto"/>
          <w:sz w:val="24"/>
          <w:szCs w:val="24"/>
          <w:highlight w:val="none"/>
        </w:rPr>
        <w:t>。</w:t>
      </w:r>
    </w:p>
    <w:p w14:paraId="74618DA9">
      <w:pPr>
        <w:pageBreakBefore w:val="0"/>
        <w:widowControl w:val="0"/>
        <w:kinsoku/>
        <w:wordWrap/>
        <w:overflowPunct/>
        <w:topLinePunct w:val="0"/>
        <w:bidi w:val="0"/>
        <w:spacing w:line="360" w:lineRule="exact"/>
        <w:ind w:left="900" w:leftChars="0" w:hanging="900" w:hangingChars="375"/>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19.2.1 </w:t>
      </w:r>
      <w:r>
        <w:rPr>
          <w:rFonts w:hint="eastAsia" w:ascii="宋体" w:hAnsi="宋体" w:eastAsia="宋体" w:cs="宋体"/>
          <w:color w:val="auto"/>
          <w:sz w:val="24"/>
          <w:szCs w:val="24"/>
          <w:highlight w:val="none"/>
          <w:lang w:eastAsia="zh-CN"/>
        </w:rPr>
        <w:t>不良信用记录指：根据《财政部关于在政府采购活动中查询及使用信用记录有关问题的通知》（财库﹝2016﹞125号）的要求，凡拟参加本次招标项目的供应商，如在“信用中国”网站（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s://www.gsxt.gov.cn/）”列入经营异常名录信息、严重违法失信名单（黑名单）信息的。</w:t>
      </w:r>
    </w:p>
    <w:p w14:paraId="65286EEE">
      <w:pPr>
        <w:pStyle w:val="7"/>
        <w:pageBreakBefore w:val="0"/>
        <w:widowControl w:val="0"/>
        <w:kinsoku/>
        <w:wordWrap/>
        <w:overflowPunct/>
        <w:topLinePunct w:val="0"/>
        <w:bidi w:val="0"/>
        <w:spacing w:line="360" w:lineRule="exact"/>
        <w:ind w:firstLine="960" w:firstLineChars="4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以联合体形式参加投标的，联合体任何成员存在以上不良信用记录的，联合体投标将被认定为投标无效。</w:t>
      </w:r>
    </w:p>
    <w:p w14:paraId="0CF2D034">
      <w:pPr>
        <w:pStyle w:val="7"/>
        <w:pageBreakBefore w:val="0"/>
        <w:widowControl w:val="0"/>
        <w:kinsoku/>
        <w:wordWrap/>
        <w:overflowPunct/>
        <w:topLinePunct w:val="0"/>
        <w:bidi w:val="0"/>
        <w:spacing w:line="360" w:lineRule="exact"/>
        <w:ind w:left="849" w:leftChars="0" w:hanging="849" w:hangingChars="354"/>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19.2.2 查询及记录方式：采购人或采购代理机构经办人将查询网页打印、签字并存档备查。</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不良信用记录以采购人或采购代理机构查询结果为准。</w:t>
      </w:r>
    </w:p>
    <w:p w14:paraId="62C333BC">
      <w:pPr>
        <w:pStyle w:val="7"/>
        <w:pageBreakBefore w:val="0"/>
        <w:widowControl w:val="0"/>
        <w:kinsoku/>
        <w:wordWrap/>
        <w:overflowPunct/>
        <w:topLinePunct w:val="0"/>
        <w:bidi w:val="0"/>
        <w:spacing w:line="360" w:lineRule="exact"/>
        <w:ind w:left="0" w:leftChars="0" w:firstLine="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在本招标文件规定的查询时间之后，网站信息发生的任何变更均不再作为评标依据。</w:t>
      </w:r>
    </w:p>
    <w:p w14:paraId="54CDE398">
      <w:pPr>
        <w:pStyle w:val="7"/>
        <w:pageBreakBefore w:val="0"/>
        <w:widowControl w:val="0"/>
        <w:kinsoku/>
        <w:wordWrap/>
        <w:overflowPunct/>
        <w:topLinePunct w:val="0"/>
        <w:bidi w:val="0"/>
        <w:spacing w:line="360" w:lineRule="exact"/>
        <w:ind w:left="0" w:leftChars="0" w:firstLine="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自行提供的与网站信息不一致的其他证明材料亦不作为资格审查依据。</w:t>
      </w:r>
    </w:p>
    <w:p w14:paraId="48606F1D">
      <w:pPr>
        <w:pageBreakBefore w:val="0"/>
        <w:widowControl w:val="0"/>
        <w:kinsoku/>
        <w:wordWrap/>
        <w:overflowPunct/>
        <w:topLinePunct w:val="0"/>
        <w:bidi w:val="0"/>
        <w:spacing w:line="360" w:lineRule="exact"/>
        <w:ind w:left="849" w:leftChars="0" w:hanging="849" w:hangingChars="354"/>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19.3  </w:t>
      </w:r>
      <w:bookmarkStart w:id="751" w:name="_Toc520356166"/>
      <w:r>
        <w:rPr>
          <w:rFonts w:hint="eastAsia" w:ascii="宋体" w:hAnsi="宋体" w:eastAsia="宋体" w:cs="宋体"/>
          <w:color w:val="auto"/>
          <w:sz w:val="24"/>
          <w:szCs w:val="24"/>
          <w:highlight w:val="none"/>
        </w:rPr>
        <w:t>按照《中华人民共和国政府采购法》、《中华人民共和国政府采购法实施条例》及本项目本级和上级财政部门的有关规定依法组建的评标委员会，负责评标工作。本项目评标委员会由</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人组成</w:t>
      </w:r>
      <w:r>
        <w:rPr>
          <w:rFonts w:hint="eastAsia" w:ascii="宋体" w:hAnsi="宋体" w:cs="宋体"/>
          <w:color w:val="auto"/>
          <w:sz w:val="24"/>
          <w:szCs w:val="24"/>
          <w:highlight w:val="none"/>
          <w:lang w:eastAsia="zh-CN"/>
        </w:rPr>
        <w:t>。</w:t>
      </w:r>
    </w:p>
    <w:p w14:paraId="595451C8">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752" w:name="_Toc27593"/>
      <w:bookmarkStart w:id="753" w:name="_Toc14028"/>
      <w:bookmarkStart w:id="754" w:name="_Toc32378"/>
      <w:bookmarkStart w:id="755" w:name="_Toc16336"/>
      <w:bookmarkStart w:id="756" w:name="_Toc827"/>
      <w:bookmarkStart w:id="757" w:name="_Toc515647781"/>
      <w:bookmarkStart w:id="758" w:name="_Toc22736"/>
      <w:bookmarkStart w:id="759" w:name="_Toc28479"/>
      <w:bookmarkStart w:id="760" w:name="_Toc31534"/>
      <w:bookmarkStart w:id="761" w:name="_Toc331"/>
      <w:bookmarkStart w:id="762" w:name="_Toc14200"/>
      <w:bookmarkStart w:id="763" w:name="_Toc4663"/>
      <w:bookmarkStart w:id="764" w:name="_Toc19094"/>
      <w:bookmarkStart w:id="765" w:name="_Toc6771"/>
      <w:bookmarkStart w:id="766" w:name="_Toc22201"/>
      <w:bookmarkStart w:id="767" w:name="_Toc28762"/>
      <w:bookmarkStart w:id="768" w:name="_Toc25382"/>
      <w:bookmarkStart w:id="769" w:name="_Toc19949"/>
      <w:bookmarkStart w:id="770" w:name="_Toc4062"/>
      <w:bookmarkStart w:id="771" w:name="_Toc13448"/>
      <w:bookmarkStart w:id="772" w:name="_Toc29500"/>
      <w:bookmarkStart w:id="773" w:name="_Toc8432"/>
      <w:bookmarkStart w:id="774" w:name="_Toc22021"/>
      <w:bookmarkStart w:id="775" w:name="_Toc9183"/>
      <w:bookmarkStart w:id="776" w:name="_Toc12543"/>
      <w:bookmarkStart w:id="777" w:name="_Toc8129"/>
      <w:bookmarkStart w:id="778" w:name="_Toc17779"/>
      <w:bookmarkStart w:id="779" w:name="_Toc1091"/>
      <w:bookmarkStart w:id="780" w:name="_Toc22009"/>
      <w:bookmarkStart w:id="781" w:name="_Toc14377"/>
      <w:bookmarkStart w:id="782" w:name="_Toc22105"/>
      <w:bookmarkStart w:id="783" w:name="_Toc10732"/>
      <w:bookmarkStart w:id="784" w:name="_Toc15778"/>
      <w:bookmarkStart w:id="785" w:name="_Toc21185"/>
      <w:bookmarkStart w:id="786" w:name="_Toc13892"/>
      <w:bookmarkStart w:id="787" w:name="_Toc3936"/>
      <w:bookmarkStart w:id="788" w:name="_Toc21876"/>
      <w:bookmarkStart w:id="789" w:name="_Toc7962"/>
      <w:r>
        <w:rPr>
          <w:rFonts w:hint="eastAsia" w:ascii="宋体" w:hAnsi="宋体" w:eastAsia="宋体" w:cs="宋体"/>
          <w:b/>
          <w:bCs/>
          <w:color w:val="auto"/>
          <w:kern w:val="2"/>
          <w:sz w:val="24"/>
          <w:szCs w:val="24"/>
          <w:u w:val="none"/>
          <w:lang w:val="en-US" w:eastAsia="zh-CN" w:bidi="ar-SA"/>
        </w:rPr>
        <w:t>20.投标文件</w:t>
      </w:r>
      <w:bookmarkEnd w:id="751"/>
      <w:r>
        <w:rPr>
          <w:rFonts w:hint="eastAsia" w:ascii="宋体" w:hAnsi="宋体" w:eastAsia="宋体" w:cs="宋体"/>
          <w:b/>
          <w:bCs/>
          <w:color w:val="auto"/>
          <w:kern w:val="2"/>
          <w:sz w:val="24"/>
          <w:szCs w:val="24"/>
          <w:u w:val="none"/>
          <w:lang w:val="en-US" w:eastAsia="zh-CN" w:bidi="ar-SA"/>
        </w:rPr>
        <w:t>符合性审查与澄清</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4BB04FD7">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   符合性审查是指依据招标文件的规定，从投标文件的有效性和完整性对招标文件的响应程度进行审查，以确定是否对招标文件的实质性要求做出响应。</w:t>
      </w:r>
      <w:bookmarkStart w:id="790" w:name="_Hlt522424701"/>
      <w:bookmarkEnd w:id="790"/>
      <w:bookmarkStart w:id="791" w:name="_Toc520356167"/>
    </w:p>
    <w:p w14:paraId="51F6DE4B">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投标文件的澄清</w:t>
      </w:r>
    </w:p>
    <w:p w14:paraId="2C4489D7">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20.2.1  在评标期间，评标委员会将以书面方式要求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对其投标文件中含义不明确、对同类问题表述不一致或者有明显文字和计算错误的内容，以及评标委员会认为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的报价明显低于其他通过符合性检查</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的报价，有可能影响履约的情况作必要的澄清、说明或补正。</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的澄清、说明或补正应在评标委员会规定的时间内以书面方式进行，并不得超出投标文件范围或者改变投标文件的实质性内容。</w:t>
      </w:r>
    </w:p>
    <w:p w14:paraId="783D1470">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20.2.2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的的澄清、说明或补正将作为投标文件的一部分。</w:t>
      </w:r>
    </w:p>
    <w:p w14:paraId="086CFAFF">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20.3  投标文件报价出现前后不一致的，按照下列规定修正：</w:t>
      </w:r>
    </w:p>
    <w:p w14:paraId="55022E9C">
      <w:pPr>
        <w:pageBreakBefore w:val="0"/>
        <w:widowControl w:val="0"/>
        <w:kinsoku/>
        <w:wordWrap/>
        <w:overflowPunct/>
        <w:topLinePunct w:val="0"/>
        <w:bidi w:val="0"/>
        <w:spacing w:line="360" w:lineRule="exact"/>
        <w:ind w:left="1020" w:leftChars="0" w:hanging="1020" w:hangingChars="42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（一）投标文件中开标一览表（报价表）内容与投标文件中相应内容不一致的，以开标一览表（报价表）为准；</w:t>
      </w:r>
    </w:p>
    <w:p w14:paraId="15B02AFA">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　　   （二）大写金额和小写金额</w:t>
      </w:r>
      <w:r>
        <w:rPr>
          <w:rFonts w:hint="eastAsia" w:ascii="宋体" w:hAnsi="宋体" w:eastAsia="宋体" w:cs="宋体"/>
          <w:b w:val="0"/>
          <w:bCs w:val="0"/>
          <w:color w:val="auto"/>
          <w:sz w:val="24"/>
          <w:szCs w:val="24"/>
          <w:highlight w:val="none"/>
        </w:rPr>
        <w:t>不一致的，以大写金额为准；</w:t>
      </w:r>
    </w:p>
    <w:p w14:paraId="26EF8AAE">
      <w:pPr>
        <w:pageBreakBefore w:val="0"/>
        <w:widowControl w:val="0"/>
        <w:kinsoku/>
        <w:wordWrap/>
        <w:overflowPunct/>
        <w:topLinePunct w:val="0"/>
        <w:bidi w:val="0"/>
        <w:spacing w:line="360" w:lineRule="exact"/>
        <w:ind w:left="1020" w:leftChars="0" w:hanging="1020" w:hangingChars="425"/>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（三）单价金额小数点或者百分比有明显错位的，以开标一览表的总价为准，并修改单价；</w:t>
      </w:r>
    </w:p>
    <w:p w14:paraId="37F1E169">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（四）总价金额与按单价汇总金额不一致的，以单价金额计算结果为准。</w:t>
      </w:r>
    </w:p>
    <w:p w14:paraId="13512A84">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同时出现两种以上不一致的，按照前款规定的顺序修正。修正后的报价按照第20.2条的规定经</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确认后产生约束力，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不确认的，其投标将被认定为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。对不同文字文本投标文件的解释发生异议的，以中文文本为准。</w:t>
      </w:r>
    </w:p>
    <w:p w14:paraId="2507BF98">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   如一个分包内只有一种产品，不同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所投产品为同一品牌的，按如下方式处理：</w:t>
      </w:r>
    </w:p>
    <w:p w14:paraId="2091DDF6">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20.4.1  如本项目使用最低评标价法，提供相同品牌产品的不同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以其中通过资格审查、符合性审查且报价最低的参加评标；报价相同的，由采购人或者采购人委托评标委员会按照招标文件中评标办法规定的方式确定一个参加评标的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；未规定的采取随机抽取方式确定，其他投标将被认定为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20595507">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20.4.2  如本项目使用综合评分法，提供相同品牌产品且通过资格审查、符合性审查的不同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，按一家</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计算，评审后得分最高的同品牌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获得中标人推荐资格；评审得分相同的，由采购人或者采购人委托评标委员会按照招标文件中评标办法规定的方式确定一个</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获得中标人推荐资格；未规定的采取随机抽取方式确定，其他同品牌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不作为中标候选人。</w:t>
      </w:r>
    </w:p>
    <w:p w14:paraId="4E24D116">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20.5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所投产品如被列入财政部与国家主管部门颁发的节能产品目录或环境标志产品目录或无线局域网产品目录，应提供相关证明，在评标时予以优先采购，具体优先采购办法见第六章评标方法和标准。</w:t>
      </w:r>
    </w:p>
    <w:p w14:paraId="11832322">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如采购人所采购产品为政府强制采购的节能产品，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所投产品的品牌及型号必须为清单中有效期内产品并提供证明文件，否则其投标将被认定为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1BE31643">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792" w:name="_Toc28839"/>
      <w:bookmarkStart w:id="793" w:name="_Toc30055"/>
      <w:bookmarkStart w:id="794" w:name="_Toc22"/>
      <w:bookmarkStart w:id="795" w:name="_Toc13206"/>
      <w:bookmarkStart w:id="796" w:name="_Toc11608"/>
      <w:bookmarkStart w:id="797" w:name="_Toc28133"/>
      <w:bookmarkStart w:id="798" w:name="_Toc6364"/>
      <w:bookmarkStart w:id="799" w:name="_Toc21482"/>
      <w:bookmarkStart w:id="800" w:name="_Toc27571"/>
      <w:bookmarkStart w:id="801" w:name="_Toc1633"/>
      <w:bookmarkStart w:id="802" w:name="_Toc21658"/>
      <w:bookmarkStart w:id="803" w:name="_Toc18009"/>
      <w:bookmarkStart w:id="804" w:name="_Toc17410"/>
      <w:bookmarkStart w:id="805" w:name="_Toc30789"/>
      <w:bookmarkStart w:id="806" w:name="_Toc19042"/>
      <w:bookmarkStart w:id="807" w:name="_Toc26698"/>
      <w:bookmarkStart w:id="808" w:name="_Toc515647782"/>
      <w:bookmarkStart w:id="809" w:name="_Toc15001"/>
      <w:bookmarkStart w:id="810" w:name="_Toc5106"/>
      <w:bookmarkStart w:id="811" w:name="_Toc6538"/>
      <w:bookmarkStart w:id="812" w:name="_Toc16606"/>
      <w:bookmarkStart w:id="813" w:name="_Toc9877"/>
      <w:bookmarkStart w:id="814" w:name="_Toc18062"/>
      <w:bookmarkStart w:id="815" w:name="_Toc9469"/>
      <w:bookmarkStart w:id="816" w:name="_Toc28830"/>
      <w:bookmarkStart w:id="817" w:name="_Toc630"/>
      <w:bookmarkStart w:id="818" w:name="_Toc21796"/>
      <w:bookmarkStart w:id="819" w:name="_Toc16070"/>
      <w:bookmarkStart w:id="820" w:name="_Toc29434"/>
      <w:bookmarkStart w:id="821" w:name="_Toc29292"/>
      <w:bookmarkStart w:id="822" w:name="_Toc28431"/>
      <w:bookmarkStart w:id="823" w:name="_Toc12161"/>
      <w:bookmarkStart w:id="824" w:name="_Toc21138"/>
      <w:bookmarkStart w:id="825" w:name="_Toc10143"/>
      <w:bookmarkStart w:id="826" w:name="_Toc24344"/>
      <w:bookmarkStart w:id="827" w:name="_Toc14269"/>
      <w:bookmarkStart w:id="828" w:name="_Toc7973"/>
      <w:bookmarkStart w:id="829" w:name="_Toc28852"/>
      <w:r>
        <w:rPr>
          <w:rFonts w:hint="eastAsia" w:ascii="宋体" w:hAnsi="宋体" w:eastAsia="宋体" w:cs="宋体"/>
          <w:b/>
          <w:bCs/>
          <w:color w:val="auto"/>
          <w:kern w:val="2"/>
          <w:sz w:val="24"/>
          <w:szCs w:val="24"/>
          <w:u w:val="none"/>
          <w:lang w:val="en-US" w:eastAsia="zh-CN" w:bidi="ar-SA"/>
        </w:rPr>
        <w:t>2</w:t>
      </w:r>
      <w:r>
        <w:rPr>
          <w:rFonts w:hint="eastAsia" w:hAnsi="宋体" w:cs="宋体"/>
          <w:b/>
          <w:bCs/>
          <w:color w:val="auto"/>
          <w:kern w:val="2"/>
          <w:sz w:val="24"/>
          <w:szCs w:val="24"/>
          <w:u w:val="none"/>
          <w:lang w:val="en-US" w:eastAsia="zh-CN" w:bidi="ar-SA"/>
        </w:rPr>
        <w:t>1.</w:t>
      </w:r>
      <w:r>
        <w:rPr>
          <w:rFonts w:hint="eastAsia" w:ascii="宋体" w:hAnsi="宋体" w:eastAsia="宋体" w:cs="宋体"/>
          <w:b/>
          <w:bCs/>
          <w:color w:val="auto"/>
          <w:kern w:val="2"/>
          <w:sz w:val="24"/>
          <w:szCs w:val="24"/>
          <w:u w:val="none"/>
          <w:lang w:val="en-US" w:eastAsia="zh-CN" w:bidi="ar-SA"/>
        </w:rPr>
        <w:t>投标偏离</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3BA12E3D">
      <w:pPr>
        <w:pageBreakBefore w:val="0"/>
        <w:widowControl w:val="0"/>
        <w:kinsoku/>
        <w:wordWrap/>
        <w:overflowPunct/>
        <w:topLinePunct w:val="0"/>
        <w:bidi w:val="0"/>
        <w:spacing w:line="360" w:lineRule="exact"/>
        <w:ind w:left="640" w:leftChars="0" w:hanging="640" w:hangingChars="267"/>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评标委员会可以接受投标文件中不构成实质性偏离的不正规或不一致。</w:t>
      </w:r>
      <w:bookmarkStart w:id="830" w:name="_Toc515647783"/>
      <w:bookmarkStart w:id="831" w:name="_Toc4950"/>
      <w:bookmarkStart w:id="832" w:name="_Toc6092"/>
      <w:r>
        <w:rPr>
          <w:rFonts w:hint="eastAsia" w:ascii="宋体" w:hAnsi="宋体" w:eastAsia="宋体" w:cs="宋体"/>
          <w:color w:val="auto"/>
          <w:sz w:val="24"/>
          <w:szCs w:val="24"/>
          <w:highlight w:val="none"/>
          <w:lang w:eastAsia="zh-CN"/>
        </w:rPr>
        <w:t>本项目接受偏离，投标供应商提供参数中出现正偏离加分、负偏离扣</w:t>
      </w:r>
      <w:r>
        <w:rPr>
          <w:rFonts w:hint="eastAsia" w:ascii="宋体" w:hAnsi="宋体" w:eastAsia="宋体" w:cs="宋体"/>
          <w:color w:val="auto"/>
          <w:sz w:val="24"/>
          <w:szCs w:val="24"/>
          <w:highlight w:val="none"/>
          <w:lang w:val="en-US" w:eastAsia="zh-CN"/>
        </w:rPr>
        <w:t>分。</w:t>
      </w:r>
    </w:p>
    <w:p w14:paraId="6CD0A432">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833" w:name="_Toc665"/>
      <w:bookmarkStart w:id="834" w:name="_Toc6553"/>
      <w:bookmarkStart w:id="835" w:name="_Toc25728"/>
      <w:bookmarkStart w:id="836" w:name="_Toc11798"/>
      <w:bookmarkStart w:id="837" w:name="_Toc7356"/>
      <w:bookmarkStart w:id="838" w:name="_Toc23335"/>
      <w:bookmarkStart w:id="839" w:name="_Toc8254"/>
      <w:bookmarkStart w:id="840" w:name="_Toc19922"/>
      <w:bookmarkStart w:id="841" w:name="_Toc30079"/>
      <w:bookmarkStart w:id="842" w:name="_Toc26389"/>
      <w:bookmarkStart w:id="843" w:name="_Toc21448"/>
      <w:bookmarkStart w:id="844" w:name="_Toc13696"/>
      <w:bookmarkStart w:id="845" w:name="_Toc31860"/>
      <w:bookmarkStart w:id="846" w:name="_Toc26299"/>
      <w:bookmarkStart w:id="847" w:name="_Toc12134"/>
      <w:bookmarkStart w:id="848" w:name="_Toc3291"/>
      <w:bookmarkStart w:id="849" w:name="_Toc31472"/>
      <w:bookmarkStart w:id="850" w:name="_Toc16432"/>
      <w:bookmarkStart w:id="851" w:name="_Toc12294"/>
      <w:bookmarkStart w:id="852" w:name="_Toc20972"/>
      <w:bookmarkStart w:id="853" w:name="_Toc15012"/>
      <w:bookmarkStart w:id="854" w:name="_Toc550"/>
      <w:bookmarkStart w:id="855" w:name="_Toc27144"/>
      <w:bookmarkStart w:id="856" w:name="_Toc23010"/>
      <w:bookmarkStart w:id="857" w:name="_Toc1222"/>
      <w:bookmarkStart w:id="858" w:name="_Toc9594"/>
      <w:bookmarkStart w:id="859" w:name="_Toc7071"/>
      <w:bookmarkStart w:id="860" w:name="_Toc8973"/>
      <w:bookmarkStart w:id="861" w:name="_Toc18096"/>
      <w:bookmarkStart w:id="862" w:name="_Toc1257"/>
      <w:bookmarkStart w:id="863" w:name="_Toc4727"/>
      <w:bookmarkStart w:id="864" w:name="_Toc16573"/>
      <w:bookmarkStart w:id="865" w:name="_Toc28742"/>
      <w:bookmarkStart w:id="866" w:name="_Toc21370"/>
      <w:bookmarkStart w:id="867" w:name="_Toc31842"/>
      <w:r>
        <w:rPr>
          <w:rFonts w:hint="eastAsia" w:ascii="宋体" w:hAnsi="宋体" w:eastAsia="宋体" w:cs="宋体"/>
          <w:b/>
          <w:bCs/>
          <w:color w:val="auto"/>
          <w:kern w:val="2"/>
          <w:sz w:val="24"/>
          <w:szCs w:val="24"/>
          <w:u w:val="none"/>
          <w:lang w:val="en-US" w:eastAsia="zh-CN" w:bidi="ar-SA"/>
        </w:rPr>
        <w:t>22.投标</w:t>
      </w:r>
      <w:bookmarkEnd w:id="830"/>
      <w:r>
        <w:rPr>
          <w:rFonts w:hint="eastAsia" w:ascii="宋体" w:hAnsi="宋体" w:eastAsia="宋体" w:cs="宋体"/>
          <w:b/>
          <w:bCs/>
          <w:color w:val="auto"/>
          <w:kern w:val="2"/>
          <w:sz w:val="24"/>
          <w:szCs w:val="24"/>
          <w:u w:val="none"/>
          <w:lang w:val="en-US" w:eastAsia="zh-CN" w:bidi="ar-SA"/>
        </w:rPr>
        <w:t>无效</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6F82892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不得通过修正或撤销不符合要求的偏离，从而使其投标成为实质上响应的投标。</w:t>
      </w:r>
    </w:p>
    <w:p w14:paraId="21285484">
      <w:pPr>
        <w:pageBreakBefore w:val="0"/>
        <w:widowControl w:val="0"/>
        <w:kinsoku/>
        <w:wordWrap/>
        <w:overflowPunct/>
        <w:topLinePunct w:val="0"/>
        <w:bidi w:val="0"/>
        <w:spacing w:line="360" w:lineRule="exact"/>
        <w:ind w:left="718" w:leftChars="342"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评标委员会决定投标的响应性只根据招标文件要求、投标文件内容及财政主管部门指定相关信息发布媒体。</w:t>
      </w:r>
    </w:p>
    <w:p w14:paraId="6ED97728">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sz w:val="24"/>
          <w:szCs w:val="24"/>
          <w:highlight w:val="none"/>
        </w:rPr>
        <w:tab/>
      </w:r>
      <w:r>
        <w:rPr>
          <w:rFonts w:hint="eastAsia" w:ascii="宋体" w:hAnsi="宋体" w:eastAsia="宋体" w:cs="宋体"/>
          <w:b/>
          <w:bCs/>
          <w:color w:val="auto"/>
          <w:sz w:val="24"/>
          <w:szCs w:val="24"/>
          <w:highlight w:val="none"/>
        </w:rPr>
        <w:t>如发现下列情况之一的，其投标将被认定为投标无效</w:t>
      </w:r>
      <w:r>
        <w:rPr>
          <w:rFonts w:hint="eastAsia" w:ascii="宋体" w:hAnsi="宋体" w:eastAsia="宋体" w:cs="宋体"/>
          <w:color w:val="auto"/>
          <w:sz w:val="24"/>
          <w:szCs w:val="24"/>
          <w:highlight w:val="none"/>
        </w:rPr>
        <w:t>：</w:t>
      </w:r>
    </w:p>
    <w:p w14:paraId="2F8B7C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未按招标文件规定的形式和金额提交投标保证金的；</w:t>
      </w:r>
    </w:p>
    <w:p w14:paraId="510D8B5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未按照招标文件规定要求签署、盖章的；</w:t>
      </w:r>
    </w:p>
    <w:p w14:paraId="436A167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未满足招标文件中技术条款的实质性要求；</w:t>
      </w:r>
    </w:p>
    <w:p w14:paraId="3DCFD65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与其他</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串通投标，或者与</w:t>
      </w:r>
      <w:r>
        <w:rPr>
          <w:rFonts w:hint="eastAsia" w:ascii="宋体" w:hAnsi="宋体" w:eastAsia="宋体" w:cs="宋体"/>
          <w:b/>
          <w:bCs/>
          <w:color w:val="auto"/>
          <w:sz w:val="24"/>
          <w:szCs w:val="24"/>
          <w:highlight w:val="none"/>
          <w:lang w:eastAsia="zh-CN"/>
        </w:rPr>
        <w:t>采购人</w:t>
      </w:r>
      <w:r>
        <w:rPr>
          <w:rFonts w:hint="eastAsia" w:ascii="宋体" w:hAnsi="宋体" w:eastAsia="宋体" w:cs="宋体"/>
          <w:b/>
          <w:bCs/>
          <w:color w:val="auto"/>
          <w:sz w:val="24"/>
          <w:szCs w:val="24"/>
          <w:highlight w:val="none"/>
        </w:rPr>
        <w:t>串通投标；</w:t>
      </w:r>
      <w:r>
        <w:rPr>
          <w:rFonts w:hint="eastAsia" w:ascii="宋体" w:hAnsi="宋体" w:eastAsia="宋体" w:cs="宋体"/>
          <w:b/>
          <w:bCs/>
          <w:color w:val="auto"/>
          <w:sz w:val="24"/>
          <w:szCs w:val="24"/>
          <w:highlight w:val="none"/>
          <w:lang w:val="en-US" w:eastAsia="zh-CN"/>
        </w:rPr>
        <w:t xml:space="preserve">    </w:t>
      </w:r>
    </w:p>
    <w:p w14:paraId="72D8EC4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属于招标文件规定的其他投标无效情形；</w:t>
      </w:r>
    </w:p>
    <w:p w14:paraId="05857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538" w:leftChars="256"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评标委员会认为</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的报价明显低于其他通过符合性检查</w:t>
      </w:r>
      <w:r>
        <w:rPr>
          <w:rFonts w:hint="eastAsia" w:ascii="宋体" w:hAnsi="宋体" w:eastAsia="宋体" w:cs="宋体"/>
          <w:b/>
          <w:bCs/>
          <w:color w:val="auto"/>
          <w:sz w:val="24"/>
          <w:szCs w:val="24"/>
          <w:highlight w:val="none"/>
          <w:lang w:eastAsia="zh-CN"/>
        </w:rPr>
        <w:t>供应</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商</w:t>
      </w:r>
      <w:r>
        <w:rPr>
          <w:rFonts w:hint="eastAsia" w:ascii="宋体" w:hAnsi="宋体" w:eastAsia="宋体" w:cs="宋体"/>
          <w:b/>
          <w:bCs/>
          <w:color w:val="auto"/>
          <w:sz w:val="24"/>
          <w:szCs w:val="24"/>
          <w:highlight w:val="none"/>
        </w:rPr>
        <w:t>的报价，有可能影响履约的，且</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未按照规定证明其报价合理性的；</w:t>
      </w:r>
    </w:p>
    <w:p w14:paraId="5606F042">
      <w:pPr>
        <w:pageBreakBefore w:val="0"/>
        <w:widowControl w:val="0"/>
        <w:numPr>
          <w:ilvl w:val="0"/>
          <w:numId w:val="0"/>
        </w:numPr>
        <w:kinsoku/>
        <w:wordWrap/>
        <w:overflowPunct/>
        <w:topLinePunct w:val="0"/>
        <w:bidi w:val="0"/>
        <w:spacing w:line="360" w:lineRule="exact"/>
        <w:ind w:left="-180"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投标文件含有采购人不能接受的附加条件的；</w:t>
      </w:r>
    </w:p>
    <w:p w14:paraId="766323B8">
      <w:pPr>
        <w:pageBreakBefore w:val="0"/>
        <w:widowControl w:val="0"/>
        <w:numPr>
          <w:ilvl w:val="0"/>
          <w:numId w:val="0"/>
        </w:numPr>
        <w:tabs>
          <w:tab w:val="left" w:pos="0"/>
        </w:tabs>
        <w:kinsoku/>
        <w:wordWrap/>
        <w:overflowPunct/>
        <w:topLinePunct w:val="0"/>
        <w:bidi w:val="0"/>
        <w:spacing w:line="360" w:lineRule="exact"/>
        <w:ind w:left="-180"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不符合法规和招标文件中规定的其他实质性要求的。</w:t>
      </w:r>
    </w:p>
    <w:p w14:paraId="13D88714">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   有下列情形之一的，属于恶意串通，对供应商依照政府采购法第七十七条第一款的规定追究法律责任，对采购人、采购代理机构及其工作人员依照政府采购法第七十二条的规定追究法律责任：</w:t>
      </w:r>
    </w:p>
    <w:p w14:paraId="1D88D258">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（1）供应商直接或者间接从采购人或者采购代理机构处获得其他供应商的相关情况并修改其投标文件或者投标文件；</w:t>
      </w:r>
    </w:p>
    <w:p w14:paraId="20FD8EAD">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（2）供应商按照采购人或者采购代理机构的授意撤换、修改投标文件或者投标文件；</w:t>
      </w:r>
    </w:p>
    <w:p w14:paraId="62F540E1">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（3）供应商之间协商报价、技术方案等投标文件或者投标文件的实质性内容；</w:t>
      </w:r>
    </w:p>
    <w:p w14:paraId="32325393">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（4）属于同一集团、协会、商会等组织成员的供应商按照该组织要求协同参加政府采购活动；</w:t>
      </w:r>
    </w:p>
    <w:p w14:paraId="09974F12">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（5）供应商之间事先约定由某一特定供应商中标、成交；</w:t>
      </w:r>
    </w:p>
    <w:p w14:paraId="46C9D0ED">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（6）供应商之间商定部分供应商放弃参加政府采购活动或者放弃中标、成交；</w:t>
      </w:r>
    </w:p>
    <w:p w14:paraId="0BD87CBD">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（7）供应商与采购人或者采购代理机构之间、供应商相互之间，为谋求特定供应商中标、成交或者排斥其他供应商的其他串通行为。</w:t>
      </w:r>
    </w:p>
    <w:bookmarkEnd w:id="791"/>
    <w:p w14:paraId="0F06050C">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868" w:name="_Toc15400"/>
      <w:bookmarkStart w:id="869" w:name="_Toc13652"/>
      <w:bookmarkStart w:id="870" w:name="_Toc32146"/>
      <w:bookmarkStart w:id="871" w:name="_Toc9811"/>
      <w:bookmarkStart w:id="872" w:name="_Toc7488"/>
      <w:bookmarkStart w:id="873" w:name="_Toc296"/>
      <w:bookmarkStart w:id="874" w:name="_Toc16915"/>
      <w:bookmarkStart w:id="875" w:name="_Toc23184"/>
      <w:bookmarkStart w:id="876" w:name="_Toc13922"/>
      <w:bookmarkStart w:id="877" w:name="_Toc29792"/>
      <w:bookmarkStart w:id="878" w:name="_Toc22941"/>
      <w:bookmarkStart w:id="879" w:name="_Toc24349"/>
      <w:bookmarkStart w:id="880" w:name="_Toc6696"/>
      <w:bookmarkStart w:id="881" w:name="_Toc20498"/>
      <w:bookmarkStart w:id="882" w:name="_Toc515647784"/>
      <w:bookmarkStart w:id="883" w:name="_Toc25837"/>
      <w:bookmarkStart w:id="884" w:name="_Toc25606"/>
      <w:bookmarkStart w:id="885" w:name="_Toc3877"/>
      <w:bookmarkStart w:id="886" w:name="_Toc28738"/>
      <w:bookmarkStart w:id="887" w:name="_Toc22267"/>
      <w:bookmarkStart w:id="888" w:name="_Toc20639"/>
      <w:bookmarkStart w:id="889" w:name="_Toc26997"/>
      <w:bookmarkStart w:id="890" w:name="_Toc4328"/>
      <w:bookmarkStart w:id="891" w:name="_Toc13566"/>
      <w:bookmarkStart w:id="892" w:name="_Toc22981"/>
      <w:bookmarkStart w:id="893" w:name="_Toc7299"/>
      <w:bookmarkStart w:id="894" w:name="_Toc29754"/>
      <w:bookmarkStart w:id="895" w:name="_Toc18290"/>
      <w:bookmarkStart w:id="896" w:name="_Toc19116"/>
      <w:bookmarkStart w:id="897" w:name="_Toc28464"/>
      <w:bookmarkStart w:id="898" w:name="_Toc29015"/>
      <w:bookmarkStart w:id="899" w:name="_Toc27075"/>
      <w:bookmarkStart w:id="900" w:name="_Toc2833"/>
      <w:bookmarkStart w:id="901" w:name="_Toc13750"/>
      <w:bookmarkStart w:id="902" w:name="_Toc9523"/>
      <w:r>
        <w:rPr>
          <w:rFonts w:hint="eastAsia" w:ascii="宋体" w:hAnsi="宋体" w:eastAsia="宋体" w:cs="宋体"/>
          <w:b/>
          <w:bCs/>
          <w:color w:val="auto"/>
          <w:kern w:val="2"/>
          <w:sz w:val="24"/>
          <w:szCs w:val="24"/>
          <w:u w:val="none"/>
          <w:lang w:val="en-US" w:eastAsia="zh-CN" w:bidi="ar-SA"/>
        </w:rPr>
        <w:t>23.比较与评价</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3637B3AD">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经符合性审查合格的投标文件，评标委员会将根据招标文件确定的评标方法和标准，对其技术部分和商务部分作进一步的比较和评价。</w:t>
      </w:r>
    </w:p>
    <w:p w14:paraId="1740E404">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23.2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评标严格按照招标文件的要求和条件进行。根据实际情况，在</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中规定采用下列一种评标方法，详细评标标准见招标文件第六章：</w:t>
      </w:r>
    </w:p>
    <w:p w14:paraId="7AE9EB36">
      <w:pPr>
        <w:pStyle w:val="12"/>
        <w:pageBreakBefore w:val="0"/>
        <w:widowControl w:val="0"/>
        <w:kinsoku/>
        <w:wordWrap/>
        <w:overflowPunct/>
        <w:topLinePunct w:val="0"/>
        <w:bidi w:val="0"/>
        <w:spacing w:line="360" w:lineRule="exact"/>
        <w:ind w:left="239" w:leftChars="114" w:firstLine="31" w:firstLineChars="1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（1）最低评标价法，是指投标文件满足招标文件全部实质性要求，且投标报价最低的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为中标候选人的评标方法。</w:t>
      </w:r>
    </w:p>
    <w:p w14:paraId="2BE4F3BE">
      <w:pPr>
        <w:pStyle w:val="12"/>
        <w:pageBreakBefore w:val="0"/>
        <w:widowControl w:val="0"/>
        <w:kinsoku/>
        <w:wordWrap/>
        <w:overflowPunct/>
        <w:topLinePunct w:val="0"/>
        <w:bidi w:val="0"/>
        <w:spacing w:line="360" w:lineRule="exact"/>
        <w:ind w:left="239" w:leftChars="114" w:firstLine="33" w:firstLineChars="1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（2）综合评分法，是指投标文件满足招标文件全部实质性要求，且按照评审因素的量化指标评审得分最高的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为中标候选人的评标方法。</w:t>
      </w:r>
    </w:p>
    <w:p w14:paraId="5C1C6511">
      <w:pPr>
        <w:pStyle w:val="16"/>
        <w:keepNext w:val="0"/>
        <w:keepLines w:val="0"/>
        <w:pageBreakBefore w:val="0"/>
        <w:kinsoku/>
        <w:wordWrap/>
        <w:overflowPunct/>
        <w:topLinePunct w:val="0"/>
        <w:autoSpaceDE/>
        <w:autoSpaceDN/>
        <w:bidi w:val="0"/>
        <w:adjustRightInd/>
        <w:spacing w:line="360" w:lineRule="exact"/>
        <w:rPr>
          <w:rFonts w:hint="default"/>
          <w:highlight w:val="none"/>
          <w:lang w:val="en-US" w:eastAsia="zh-CN"/>
        </w:rPr>
      </w:pPr>
      <w:r>
        <w:rPr>
          <w:rFonts w:hint="eastAsia" w:ascii="宋体" w:hAnsi="宋体" w:cs="宋体"/>
          <w:b/>
          <w:bCs/>
          <w:color w:val="auto"/>
          <w:sz w:val="24"/>
          <w:szCs w:val="24"/>
          <w:highlight w:val="none"/>
          <w:u w:val="none"/>
          <w:lang w:val="en-US" w:eastAsia="zh-CN"/>
        </w:rPr>
        <w:t>本项目</w:t>
      </w:r>
      <w:r>
        <w:rPr>
          <w:rFonts w:hint="eastAsia" w:ascii="宋体" w:hAnsi="宋体" w:eastAsia="宋体" w:cs="宋体"/>
          <w:b/>
          <w:bCs/>
          <w:color w:val="auto"/>
          <w:sz w:val="24"/>
          <w:szCs w:val="24"/>
          <w:highlight w:val="none"/>
          <w:u w:val="none"/>
        </w:rPr>
        <w:t>采用综合评分法</w:t>
      </w:r>
      <w:r>
        <w:rPr>
          <w:rFonts w:hint="eastAsia" w:ascii="宋体" w:hAnsi="宋体" w:eastAsia="宋体" w:cs="宋体"/>
          <w:b/>
          <w:bCs/>
          <w:color w:val="auto"/>
          <w:sz w:val="24"/>
          <w:szCs w:val="24"/>
          <w:highlight w:val="none"/>
          <w:u w:val="none"/>
          <w:lang w:eastAsia="zh-CN"/>
        </w:rPr>
        <w:t>：价格占30%，商务占</w:t>
      </w:r>
      <w:r>
        <w:rPr>
          <w:rFonts w:hint="eastAsia" w:ascii="宋体" w:hAnsi="宋体" w:cs="宋体"/>
          <w:b/>
          <w:bCs/>
          <w:color w:val="auto"/>
          <w:sz w:val="24"/>
          <w:szCs w:val="24"/>
          <w:highlight w:val="none"/>
          <w:u w:val="none"/>
          <w:lang w:val="en-US" w:eastAsia="zh-CN"/>
        </w:rPr>
        <w:t>17</w:t>
      </w:r>
      <w:r>
        <w:rPr>
          <w:rFonts w:hint="eastAsia" w:ascii="宋体" w:hAnsi="宋体" w:eastAsia="宋体" w:cs="宋体"/>
          <w:b/>
          <w:bCs/>
          <w:color w:val="auto"/>
          <w:sz w:val="24"/>
          <w:szCs w:val="24"/>
          <w:highlight w:val="none"/>
          <w:u w:val="none"/>
          <w:lang w:eastAsia="zh-CN"/>
        </w:rPr>
        <w:t>%，技术占</w:t>
      </w:r>
      <w:r>
        <w:rPr>
          <w:rFonts w:hint="eastAsia" w:ascii="宋体" w:hAnsi="宋体" w:cs="宋体"/>
          <w:b/>
          <w:bCs/>
          <w:color w:val="auto"/>
          <w:sz w:val="24"/>
          <w:szCs w:val="24"/>
          <w:highlight w:val="none"/>
          <w:u w:val="none"/>
          <w:lang w:val="en-US" w:eastAsia="zh-CN"/>
        </w:rPr>
        <w:t>53</w:t>
      </w:r>
      <w:r>
        <w:rPr>
          <w:rFonts w:hint="eastAsia" w:ascii="宋体" w:hAnsi="宋体" w:eastAsia="宋体" w:cs="宋体"/>
          <w:b/>
          <w:bCs/>
          <w:color w:val="auto"/>
          <w:sz w:val="24"/>
          <w:szCs w:val="24"/>
          <w:highlight w:val="none"/>
          <w:u w:val="none"/>
          <w:lang w:eastAsia="zh-CN"/>
        </w:rPr>
        <w:t>%</w:t>
      </w:r>
      <w:r>
        <w:rPr>
          <w:rFonts w:hint="eastAsia" w:ascii="宋体" w:hAnsi="宋体" w:eastAsia="宋体" w:cs="宋体"/>
          <w:b/>
          <w:bCs/>
          <w:i w:val="0"/>
          <w:caps w:val="0"/>
          <w:color w:val="auto"/>
          <w:spacing w:val="0"/>
          <w:w w:val="100"/>
          <w:sz w:val="24"/>
          <w:szCs w:val="24"/>
          <w:highlight w:val="none"/>
          <w:u w:val="none"/>
          <w:lang w:val="en-US" w:eastAsia="zh-CN"/>
        </w:rPr>
        <w:t>。</w:t>
      </w:r>
    </w:p>
    <w:p w14:paraId="270E6799">
      <w:pPr>
        <w:keepNext w:val="0"/>
        <w:keepLines w:val="0"/>
        <w:pageBreakBefore w:val="0"/>
        <w:widowControl/>
        <w:kinsoku/>
        <w:wordWrap/>
        <w:overflowPunct/>
        <w:topLinePunct w:val="0"/>
        <w:autoSpaceDE/>
        <w:autoSpaceDN/>
        <w:bidi w:val="0"/>
        <w:adjustRightInd/>
        <w:spacing w:line="360" w:lineRule="exact"/>
        <w:jc w:val="left"/>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u w:val="none"/>
          <w:lang w:val="en-US" w:eastAsia="zh-CN" w:bidi="ar-SA"/>
        </w:rPr>
        <w:t>23.3   本项目专门面向中小企业采购。根据《财政部关于进一步加大政府采购支持中小企业力度的通知》财库〔2022〕19号、《政府采购促进中小企业发展管理办法》（财库[2020]46号）、《财政部司法部关于政府采购支持监狱企业发展有关问 题 的通知》（财库〔2014〕68号）、《三部门联合发布关于促进残疾人就业政府采购政策的通知》（财库〔2017〕141号）的规定，其中小型、微型及小微企业在投标文件中提交了《中小企业声明函》、《残疾人福利性单位声明函》或省级以上监狱管理局、戒毒管理局（含新疆生产建设兵团）出具的属于监狱企业的证明文件的供应商，其报价</w:t>
      </w:r>
      <w:r>
        <w:rPr>
          <w:rFonts w:hint="eastAsia" w:ascii="宋体" w:hAnsi="宋体" w:cs="宋体"/>
          <w:b/>
          <w:bCs/>
          <w:color w:val="auto"/>
          <w:kern w:val="2"/>
          <w:sz w:val="24"/>
          <w:szCs w:val="24"/>
          <w:highlight w:val="none"/>
          <w:u w:val="none"/>
          <w:lang w:val="en-US" w:eastAsia="zh-CN" w:bidi="ar-SA"/>
        </w:rPr>
        <w:t>不进行扣除。</w:t>
      </w:r>
    </w:p>
    <w:p w14:paraId="5CAF4D3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903" w:name="_Toc16770"/>
      <w:bookmarkStart w:id="904" w:name="_Toc31166"/>
      <w:bookmarkStart w:id="905" w:name="_Toc19066"/>
      <w:bookmarkStart w:id="906" w:name="_Toc515647785"/>
      <w:bookmarkStart w:id="907" w:name="_Toc26540"/>
      <w:bookmarkStart w:id="908" w:name="_Toc23789"/>
      <w:bookmarkStart w:id="909" w:name="_Toc30602"/>
      <w:bookmarkStart w:id="910" w:name="_Toc31084"/>
      <w:bookmarkStart w:id="911" w:name="_Toc9378"/>
      <w:bookmarkStart w:id="912" w:name="_Toc6053"/>
      <w:bookmarkStart w:id="913" w:name="_Toc9199"/>
      <w:bookmarkStart w:id="914" w:name="_Toc16371"/>
      <w:bookmarkStart w:id="915" w:name="_Toc20853"/>
      <w:bookmarkStart w:id="916" w:name="_Toc14346"/>
      <w:bookmarkStart w:id="917" w:name="_Toc27067"/>
      <w:bookmarkStart w:id="918" w:name="_Toc22891"/>
      <w:bookmarkStart w:id="919" w:name="_Toc31662"/>
      <w:bookmarkStart w:id="920" w:name="_Toc7858"/>
      <w:bookmarkStart w:id="921" w:name="_Toc15370"/>
      <w:bookmarkStart w:id="922" w:name="_Toc28349"/>
      <w:bookmarkStart w:id="923" w:name="_Toc12703"/>
      <w:bookmarkStart w:id="924" w:name="_Toc20227"/>
      <w:bookmarkStart w:id="925" w:name="_Toc20064"/>
      <w:bookmarkStart w:id="926" w:name="_Toc1505"/>
      <w:bookmarkStart w:id="927" w:name="_Toc29851"/>
      <w:bookmarkStart w:id="928" w:name="_Toc30532"/>
      <w:bookmarkStart w:id="929" w:name="_Toc21133"/>
      <w:bookmarkStart w:id="930" w:name="_Toc30099"/>
      <w:bookmarkStart w:id="931" w:name="_Toc7770"/>
      <w:bookmarkStart w:id="932" w:name="_Toc19228"/>
      <w:bookmarkStart w:id="933" w:name="_Toc19218"/>
      <w:bookmarkStart w:id="934" w:name="_Toc23302"/>
      <w:bookmarkStart w:id="935" w:name="_Toc21815"/>
      <w:bookmarkStart w:id="936" w:name="_Toc29970"/>
      <w:bookmarkStart w:id="937" w:name="_Toc14038"/>
      <w:bookmarkStart w:id="938" w:name="_Toc6001"/>
      <w:bookmarkStart w:id="939" w:name="_Toc3136"/>
      <w:bookmarkStart w:id="940" w:name="_Toc30004"/>
      <w:r>
        <w:rPr>
          <w:rFonts w:hint="eastAsia" w:ascii="宋体" w:hAnsi="宋体" w:eastAsia="宋体" w:cs="宋体"/>
          <w:b/>
          <w:bCs/>
          <w:color w:val="auto"/>
          <w:kern w:val="2"/>
          <w:sz w:val="24"/>
          <w:szCs w:val="24"/>
          <w:u w:val="none"/>
          <w:lang w:val="en-US" w:eastAsia="zh-CN" w:bidi="ar-SA"/>
        </w:rPr>
        <w:t>24.废标</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001CA5EE">
      <w:pPr>
        <w:pageBreakBefore w:val="0"/>
        <w:widowControl w:val="0"/>
        <w:kinsoku/>
        <w:wordWrap/>
        <w:overflowPunct/>
        <w:topLinePunct w:val="0"/>
        <w:bidi w:val="0"/>
        <w:spacing w:line="360" w:lineRule="exact"/>
        <w:ind w:left="60" w:leftChars="0" w:hanging="60" w:hangingChars="25"/>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24.1</w:t>
      </w:r>
      <w:r>
        <w:rPr>
          <w:rFonts w:hint="eastAsia" w:ascii="宋体" w:hAnsi="宋体" w:eastAsia="宋体" w:cs="宋体"/>
          <w:b/>
          <w:bCs/>
          <w:color w:val="auto"/>
          <w:sz w:val="24"/>
          <w:szCs w:val="24"/>
          <w:highlight w:val="none"/>
        </w:rPr>
        <w:t>出现下列情形之一，将导致项目废标：</w:t>
      </w:r>
      <w:r>
        <w:rPr>
          <w:rFonts w:hint="eastAsia" w:ascii="宋体" w:hAnsi="宋体" w:eastAsia="宋体" w:cs="宋体"/>
          <w:color w:val="auto"/>
          <w:sz w:val="24"/>
          <w:szCs w:val="24"/>
          <w:highlight w:val="none"/>
        </w:rPr>
        <w:t xml:space="preserve"> </w:t>
      </w:r>
    </w:p>
    <w:p w14:paraId="23B87FFA">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b/>
          <w:bCs/>
          <w:color w:val="auto"/>
          <w:sz w:val="24"/>
          <w:szCs w:val="24"/>
          <w:highlight w:val="none"/>
        </w:rPr>
        <w:t>（1）符合专业条件的供应商或者对招标文件做实质性响应的供应商不足三家；</w:t>
      </w:r>
    </w:p>
    <w:p w14:paraId="4CBE8402">
      <w:pPr>
        <w:pageBreakBefore w:val="0"/>
        <w:widowControl w:val="0"/>
        <w:kinsoku/>
        <w:wordWrap/>
        <w:overflowPunct/>
        <w:topLinePunct w:val="0"/>
        <w:bidi w:val="0"/>
        <w:spacing w:line="360" w:lineRule="exact"/>
        <w:ind w:left="904" w:leftChars="0" w:hanging="904" w:hangingChars="375"/>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t>（2）出现影响采购公正的违法、违规行为的；</w:t>
      </w:r>
    </w:p>
    <w:p w14:paraId="275C2E5E">
      <w:pPr>
        <w:pageBreakBefore w:val="0"/>
        <w:widowControl w:val="0"/>
        <w:kinsoku/>
        <w:wordWrap/>
        <w:overflowPunct/>
        <w:topLinePunct w:val="0"/>
        <w:bidi w:val="0"/>
        <w:spacing w:line="360" w:lineRule="exact"/>
        <w:ind w:left="0" w:leftChars="0" w:firstLine="843" w:firstLineChars="35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的报价均超过了采购预算，采购人不能支付的；</w:t>
      </w:r>
    </w:p>
    <w:p w14:paraId="3B6619CE">
      <w:pPr>
        <w:pageBreakBefore w:val="0"/>
        <w:widowControl w:val="0"/>
        <w:kinsoku/>
        <w:wordWrap/>
        <w:overflowPunct/>
        <w:topLinePunct w:val="0"/>
        <w:bidi w:val="0"/>
        <w:spacing w:line="360" w:lineRule="exact"/>
        <w:ind w:left="0" w:leftChars="0" w:firstLine="843" w:firstLineChars="35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（4）因重大变故，采购任务取消的。  </w:t>
      </w:r>
      <w:r>
        <w:rPr>
          <w:rFonts w:hint="eastAsia" w:ascii="宋体" w:hAnsi="宋体" w:eastAsia="宋体" w:cs="宋体"/>
          <w:color w:val="auto"/>
          <w:sz w:val="24"/>
          <w:szCs w:val="24"/>
          <w:highlight w:val="none"/>
        </w:rPr>
        <w:t xml:space="preserve"> </w:t>
      </w:r>
    </w:p>
    <w:p w14:paraId="5BD04643">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941" w:name="_Toc25957"/>
      <w:bookmarkStart w:id="942" w:name="_Toc23725"/>
      <w:bookmarkStart w:id="943" w:name="_Toc21778"/>
      <w:bookmarkStart w:id="944" w:name="_Toc31603"/>
      <w:bookmarkStart w:id="945" w:name="_Toc3793"/>
      <w:bookmarkStart w:id="946" w:name="_Toc515647786"/>
      <w:bookmarkStart w:id="947" w:name="_Toc7431"/>
      <w:bookmarkStart w:id="948" w:name="_Toc3431"/>
      <w:bookmarkStart w:id="949" w:name="_Toc29239"/>
      <w:bookmarkStart w:id="950" w:name="_Toc27007"/>
      <w:bookmarkStart w:id="951" w:name="_Toc5674"/>
      <w:bookmarkStart w:id="952" w:name="_Toc25501"/>
      <w:bookmarkStart w:id="953" w:name="_Toc11150"/>
      <w:bookmarkStart w:id="954" w:name="_Toc25775"/>
      <w:bookmarkStart w:id="955" w:name="_Toc11422"/>
      <w:bookmarkStart w:id="956" w:name="_Toc13385"/>
      <w:bookmarkStart w:id="957" w:name="_Toc30848"/>
      <w:bookmarkStart w:id="958" w:name="_Toc7061"/>
      <w:bookmarkStart w:id="959" w:name="_Toc7638"/>
      <w:bookmarkStart w:id="960" w:name="_Toc13885"/>
      <w:bookmarkStart w:id="961" w:name="_Toc12958"/>
      <w:bookmarkStart w:id="962" w:name="_Toc27604"/>
      <w:bookmarkStart w:id="963" w:name="_Toc31289"/>
      <w:bookmarkStart w:id="964" w:name="_Toc29646"/>
      <w:bookmarkStart w:id="965" w:name="_Toc10983"/>
      <w:bookmarkStart w:id="966" w:name="_Toc21380"/>
      <w:bookmarkStart w:id="967" w:name="_Toc5328"/>
      <w:bookmarkStart w:id="968" w:name="_Toc993"/>
      <w:bookmarkStart w:id="969" w:name="_Toc9864"/>
      <w:bookmarkStart w:id="970" w:name="_Toc29790"/>
      <w:bookmarkStart w:id="971" w:name="_Toc11460"/>
      <w:bookmarkStart w:id="972" w:name="_Toc10657"/>
      <w:bookmarkStart w:id="973" w:name="_Toc21697"/>
      <w:bookmarkStart w:id="974" w:name="_Toc17702"/>
      <w:bookmarkStart w:id="975" w:name="_Toc31160"/>
      <w:bookmarkStart w:id="976" w:name="_Toc9805"/>
      <w:bookmarkStart w:id="977" w:name="_Toc24972"/>
      <w:bookmarkStart w:id="978" w:name="_Toc4013"/>
      <w:bookmarkStart w:id="979" w:name="_Toc520356169"/>
      <w:r>
        <w:rPr>
          <w:rFonts w:hint="eastAsia" w:ascii="宋体" w:hAnsi="宋体" w:eastAsia="宋体" w:cs="宋体"/>
          <w:b/>
          <w:bCs/>
          <w:color w:val="auto"/>
          <w:kern w:val="2"/>
          <w:sz w:val="24"/>
          <w:szCs w:val="24"/>
          <w:u w:val="none"/>
          <w:lang w:val="en-US" w:eastAsia="zh-CN" w:bidi="ar-SA"/>
        </w:rPr>
        <w:t>25.保密原则</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1C4DC2D4">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评标将在严格保密的情况下进行。</w:t>
      </w:r>
    </w:p>
    <w:p w14:paraId="5A875B5D">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政府采购评审专家应当遵守评审工作纪律，不得泄露评审文件、评审情况和评审中获悉的商业秘密。</w:t>
      </w:r>
    </w:p>
    <w:p w14:paraId="75474983">
      <w:pPr>
        <w:pageBreakBefore w:val="0"/>
        <w:widowControl w:val="0"/>
        <w:kinsoku/>
        <w:wordWrap/>
        <w:overflowPunct/>
        <w:topLinePunct w:val="0"/>
        <w:bidi w:val="0"/>
        <w:spacing w:line="360" w:lineRule="exact"/>
        <w:ind w:left="0" w:leftChars="0" w:hanging="540"/>
        <w:textAlignment w:val="auto"/>
        <w:rPr>
          <w:rFonts w:hint="eastAsia" w:ascii="宋体" w:hAnsi="宋体" w:eastAsia="宋体" w:cs="宋体"/>
          <w:color w:val="auto"/>
          <w:sz w:val="24"/>
          <w:szCs w:val="24"/>
          <w:highlight w:val="none"/>
        </w:rPr>
      </w:pPr>
    </w:p>
    <w:p w14:paraId="0748FB2C">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rPr>
      </w:pPr>
      <w:bookmarkStart w:id="980" w:name="_Toc12143"/>
      <w:bookmarkStart w:id="981" w:name="_Toc10537"/>
      <w:bookmarkStart w:id="982" w:name="_Toc23904"/>
      <w:bookmarkStart w:id="983" w:name="_Toc21721"/>
      <w:bookmarkStart w:id="984" w:name="_Toc11151"/>
      <w:bookmarkStart w:id="985" w:name="_Toc515647787"/>
      <w:bookmarkStart w:id="986" w:name="_Toc216582810"/>
      <w:bookmarkStart w:id="987" w:name="_Toc31410"/>
      <w:r>
        <w:rPr>
          <w:rFonts w:hint="eastAsia" w:ascii="宋体" w:hAnsi="宋体" w:eastAsia="宋体" w:cs="宋体"/>
          <w:color w:val="auto"/>
          <w:sz w:val="28"/>
          <w:szCs w:val="28"/>
          <w:highlight w:val="none"/>
        </w:rPr>
        <w:t xml:space="preserve">六   </w:t>
      </w:r>
      <w:bookmarkEnd w:id="979"/>
      <w:r>
        <w:rPr>
          <w:rFonts w:hint="eastAsia" w:ascii="宋体" w:hAnsi="宋体" w:eastAsia="宋体" w:cs="宋体"/>
          <w:color w:val="auto"/>
          <w:sz w:val="28"/>
          <w:szCs w:val="28"/>
          <w:highlight w:val="none"/>
        </w:rPr>
        <w:t>确定中标</w:t>
      </w:r>
      <w:bookmarkEnd w:id="980"/>
      <w:bookmarkEnd w:id="981"/>
      <w:bookmarkEnd w:id="982"/>
      <w:bookmarkEnd w:id="983"/>
      <w:bookmarkEnd w:id="984"/>
      <w:bookmarkEnd w:id="985"/>
      <w:bookmarkEnd w:id="986"/>
      <w:bookmarkEnd w:id="987"/>
    </w:p>
    <w:p w14:paraId="6A1A671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988" w:name="_Toc24563"/>
      <w:bookmarkStart w:id="989" w:name="_Toc154"/>
      <w:bookmarkStart w:id="990" w:name="_Toc470"/>
      <w:bookmarkStart w:id="991" w:name="_Toc30510"/>
      <w:bookmarkStart w:id="992" w:name="_Toc22284"/>
      <w:bookmarkStart w:id="993" w:name="_Toc30160"/>
      <w:bookmarkStart w:id="994" w:name="_Toc27501"/>
      <w:bookmarkStart w:id="995" w:name="_Toc22747"/>
      <w:bookmarkStart w:id="996" w:name="_Toc28179"/>
      <w:bookmarkStart w:id="997" w:name="_Toc515647788"/>
      <w:bookmarkStart w:id="998" w:name="_Toc23617"/>
      <w:bookmarkStart w:id="999" w:name="_Toc20762"/>
      <w:bookmarkStart w:id="1000" w:name="_Toc3604"/>
      <w:bookmarkStart w:id="1001" w:name="_Toc26456"/>
      <w:bookmarkStart w:id="1002" w:name="_Toc520356170"/>
      <w:bookmarkStart w:id="1003" w:name="_Toc32446"/>
      <w:bookmarkStart w:id="1004" w:name="_Toc1312"/>
      <w:bookmarkStart w:id="1005" w:name="_Toc4705"/>
      <w:bookmarkStart w:id="1006" w:name="_Toc17072"/>
      <w:bookmarkStart w:id="1007" w:name="_Toc12384"/>
      <w:bookmarkStart w:id="1008" w:name="_Toc13936"/>
      <w:bookmarkStart w:id="1009" w:name="_Ref467307010"/>
      <w:bookmarkStart w:id="1010" w:name="_Toc15675"/>
      <w:bookmarkStart w:id="1011" w:name="_Toc22054"/>
      <w:bookmarkStart w:id="1012" w:name="_Toc6381"/>
      <w:bookmarkStart w:id="1013" w:name="_Toc663"/>
      <w:bookmarkStart w:id="1014" w:name="_Toc20567"/>
      <w:bookmarkStart w:id="1015" w:name="_Toc29156"/>
      <w:bookmarkStart w:id="1016" w:name="_Toc14800"/>
      <w:bookmarkStart w:id="1017" w:name="_Toc24864"/>
      <w:bookmarkStart w:id="1018" w:name="_Toc30741"/>
      <w:bookmarkStart w:id="1019" w:name="_Toc20061"/>
      <w:bookmarkStart w:id="1020" w:name="_Toc31710"/>
      <w:bookmarkStart w:id="1021" w:name="_Toc28102"/>
      <w:bookmarkStart w:id="1022" w:name="_Toc28816"/>
      <w:bookmarkStart w:id="1023" w:name="_Toc24833"/>
      <w:bookmarkStart w:id="1024" w:name="_Toc23762"/>
      <w:bookmarkStart w:id="1025" w:name="_Toc27888"/>
      <w:bookmarkStart w:id="1026" w:name="_Toc12168"/>
      <w:r>
        <w:rPr>
          <w:rFonts w:hint="eastAsia" w:ascii="宋体" w:hAnsi="宋体" w:eastAsia="宋体" w:cs="宋体"/>
          <w:b/>
          <w:bCs/>
          <w:color w:val="auto"/>
          <w:kern w:val="2"/>
          <w:sz w:val="24"/>
          <w:szCs w:val="24"/>
          <w:u w:val="none"/>
          <w:lang w:val="en-US" w:eastAsia="zh-CN" w:bidi="ar-SA"/>
        </w:rPr>
        <w:t>26.中标候选人的确定原则及标准</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5D759445">
      <w:pPr>
        <w:pageBreakBefore w:val="0"/>
        <w:widowControl w:val="0"/>
        <w:kinsoku/>
        <w:wordWrap/>
        <w:overflowPunct/>
        <w:topLinePunct w:val="0"/>
        <w:bidi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对实质上响应招标文件的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按下列方法进行排序，确定投标候选人：</w:t>
      </w:r>
    </w:p>
    <w:p w14:paraId="538FD89A">
      <w:pPr>
        <w:pageBreakBefore w:val="0"/>
        <w:widowControl w:val="0"/>
        <w:kinsoku/>
        <w:wordWrap/>
        <w:overflowPunct/>
        <w:topLinePunct w:val="0"/>
        <w:bidi w:val="0"/>
        <w:spacing w:line="360" w:lineRule="exact"/>
        <w:ind w:left="0" w:leftChars="0" w:firstLine="480" w:firstLineChars="200"/>
        <w:textAlignment w:val="auto"/>
        <w:rPr>
          <w:rFonts w:hint="eastAsia" w:ascii="宋体" w:hAnsi="宋体" w:eastAsia="宋体" w:cs="宋体"/>
          <w:color w:val="auto"/>
          <w:sz w:val="24"/>
          <w:szCs w:val="24"/>
          <w:highlight w:val="none"/>
        </w:rPr>
      </w:pPr>
      <w:bookmarkStart w:id="1027" w:name="_Toc520356171"/>
      <w:bookmarkStart w:id="1028" w:name="_Toc515647789"/>
      <w:r>
        <w:rPr>
          <w:rFonts w:hint="eastAsia" w:ascii="宋体" w:hAnsi="宋体" w:eastAsia="宋体" w:cs="宋体"/>
          <w:color w:val="auto"/>
          <w:sz w:val="24"/>
          <w:szCs w:val="24"/>
          <w:highlight w:val="none"/>
        </w:rPr>
        <w:t>（1）采用最低评标价法的，除了算术修正和落实政府采购政策需进行的价格扣除外，不对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的投标价格进行任何调整。评标结果按修正和扣除后的投标报价由低到高顺序排列。报价相同的处理方式详见招标文件第6章。</w:t>
      </w:r>
    </w:p>
    <w:p w14:paraId="2562A6FA">
      <w:pPr>
        <w:pageBreakBefore w:val="0"/>
        <w:widowControl w:val="0"/>
        <w:kinsoku/>
        <w:wordWrap/>
        <w:overflowPunct/>
        <w:topLinePunct w:val="0"/>
        <w:bidi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（2）采用综合评分法的，评标结果按评审后得分由高到低顺序排列。得分相同的，按修正和扣除后的投标报价由低到高顺序排列。得分与投标报价均相同的处理方式详见招标文件第6章。</w:t>
      </w:r>
    </w:p>
    <w:p w14:paraId="0F7AB508">
      <w:pPr>
        <w:keepNext w:val="0"/>
        <w:keepLines w:val="0"/>
        <w:pageBreakBefore w:val="0"/>
        <w:widowControl w:val="0"/>
        <w:kinsoku/>
        <w:wordWrap/>
        <w:overflowPunct/>
        <w:topLinePunct w:val="0"/>
        <w:autoSpaceDE/>
        <w:autoSpaceDN/>
        <w:bidi w:val="0"/>
        <w:adjustRightInd/>
        <w:snapToGrid w:val="0"/>
        <w:spacing w:line="360" w:lineRule="exact"/>
        <w:jc w:val="left"/>
        <w:rPr>
          <w:rFonts w:hint="default" w:ascii="Times New Roman" w:hAnsi="Times New Roman" w:eastAsia="宋体" w:cs="Times New Roman"/>
          <w:kern w:val="2"/>
          <w:sz w:val="18"/>
          <w:szCs w:val="24"/>
          <w:highlight w:val="none"/>
          <w:lang w:val="en-US" w:eastAsia="zh-CN" w:bidi="ar-SA"/>
        </w:rPr>
      </w:pPr>
      <w:bookmarkStart w:id="1029" w:name="_Toc17933"/>
      <w:bookmarkStart w:id="1030" w:name="_Toc16846"/>
      <w:bookmarkStart w:id="1031" w:name="_Toc17164"/>
      <w:bookmarkStart w:id="1032" w:name="_Toc30756"/>
      <w:bookmarkStart w:id="1033" w:name="_Toc13041"/>
      <w:bookmarkStart w:id="1034" w:name="_Toc3274"/>
      <w:bookmarkStart w:id="1035" w:name="_Toc14795"/>
      <w:bookmarkStart w:id="1036" w:name="_Toc976"/>
      <w:bookmarkStart w:id="1037" w:name="_Toc25274"/>
      <w:bookmarkStart w:id="1038" w:name="_Toc27172"/>
      <w:bookmarkStart w:id="1039" w:name="_Toc15364"/>
      <w:bookmarkStart w:id="1040" w:name="_Toc21768"/>
      <w:bookmarkStart w:id="1041" w:name="_Toc29803"/>
      <w:bookmarkStart w:id="1042" w:name="_Toc4911"/>
      <w:bookmarkStart w:id="1043" w:name="_Toc11247"/>
      <w:bookmarkStart w:id="1044" w:name="_Toc24948"/>
      <w:bookmarkStart w:id="1045" w:name="_Toc1644"/>
      <w:bookmarkStart w:id="1046" w:name="_Toc2803"/>
      <w:bookmarkStart w:id="1047" w:name="_Toc11969"/>
      <w:bookmarkStart w:id="1048" w:name="_Toc15604"/>
      <w:bookmarkStart w:id="1049" w:name="_Toc17200"/>
      <w:bookmarkStart w:id="1050" w:name="_Toc14558"/>
      <w:bookmarkStart w:id="1051" w:name="_Toc721"/>
      <w:bookmarkStart w:id="1052" w:name="_Toc9422"/>
      <w:bookmarkStart w:id="1053" w:name="_Toc12678"/>
      <w:bookmarkStart w:id="1054" w:name="_Toc28791"/>
      <w:bookmarkStart w:id="1055" w:name="_Toc21913"/>
      <w:bookmarkStart w:id="1056" w:name="_Toc20982"/>
      <w:bookmarkStart w:id="1057" w:name="_Toc2108"/>
      <w:bookmarkStart w:id="1058" w:name="_Toc22737"/>
      <w:bookmarkStart w:id="1059" w:name="_Toc28294"/>
      <w:bookmarkStart w:id="1060" w:name="_Toc15710"/>
      <w:bookmarkStart w:id="1061" w:name="_Toc3720"/>
      <w:bookmarkStart w:id="1062" w:name="_Toc21306"/>
      <w:bookmarkStart w:id="1063" w:name="_Toc24237"/>
      <w:r>
        <w:rPr>
          <w:rFonts w:hint="eastAsia" w:ascii="宋体" w:hAnsi="宋体" w:eastAsia="宋体" w:cs="宋体"/>
          <w:b/>
          <w:bCs/>
          <w:color w:val="auto"/>
          <w:kern w:val="2"/>
          <w:sz w:val="24"/>
          <w:szCs w:val="24"/>
          <w:highlight w:val="none"/>
          <w:u w:val="none"/>
          <w:lang w:val="en-US" w:eastAsia="zh-CN" w:bidi="ar-SA"/>
        </w:rPr>
        <w:t>本项目采用综合评分法：价格占30%，商务占</w:t>
      </w:r>
      <w:r>
        <w:rPr>
          <w:rFonts w:hint="eastAsia" w:ascii="宋体" w:hAnsi="宋体" w:cs="宋体"/>
          <w:b/>
          <w:bCs/>
          <w:color w:val="auto"/>
          <w:kern w:val="2"/>
          <w:sz w:val="24"/>
          <w:szCs w:val="24"/>
          <w:highlight w:val="none"/>
          <w:u w:val="none"/>
          <w:lang w:val="en-US" w:eastAsia="zh-CN" w:bidi="ar-SA"/>
        </w:rPr>
        <w:t>17</w:t>
      </w:r>
      <w:r>
        <w:rPr>
          <w:rFonts w:hint="eastAsia" w:ascii="宋体" w:hAnsi="宋体" w:eastAsia="宋体" w:cs="宋体"/>
          <w:b/>
          <w:bCs/>
          <w:color w:val="auto"/>
          <w:kern w:val="2"/>
          <w:sz w:val="24"/>
          <w:szCs w:val="24"/>
          <w:highlight w:val="none"/>
          <w:u w:val="none"/>
          <w:lang w:val="en-US" w:eastAsia="zh-CN" w:bidi="ar-SA"/>
        </w:rPr>
        <w:t>%，技术占</w:t>
      </w:r>
      <w:r>
        <w:rPr>
          <w:rFonts w:hint="eastAsia" w:ascii="宋体" w:hAnsi="宋体" w:cs="宋体"/>
          <w:b/>
          <w:bCs/>
          <w:color w:val="auto"/>
          <w:kern w:val="2"/>
          <w:sz w:val="24"/>
          <w:szCs w:val="24"/>
          <w:highlight w:val="none"/>
          <w:u w:val="none"/>
          <w:lang w:val="en-US" w:eastAsia="zh-CN" w:bidi="ar-SA"/>
        </w:rPr>
        <w:t>53</w:t>
      </w:r>
      <w:r>
        <w:rPr>
          <w:rFonts w:hint="eastAsia" w:ascii="宋体" w:hAnsi="宋体" w:eastAsia="宋体" w:cs="宋体"/>
          <w:b/>
          <w:bCs/>
          <w:color w:val="auto"/>
          <w:kern w:val="2"/>
          <w:sz w:val="24"/>
          <w:szCs w:val="24"/>
          <w:highlight w:val="none"/>
          <w:u w:val="none"/>
          <w:lang w:val="en-US" w:eastAsia="zh-CN" w:bidi="ar-SA"/>
        </w:rPr>
        <w:t>%</w:t>
      </w:r>
      <w:r>
        <w:rPr>
          <w:rFonts w:hint="eastAsia" w:ascii="宋体" w:hAnsi="宋体" w:eastAsia="宋体" w:cs="宋体"/>
          <w:b/>
          <w:bCs/>
          <w:i w:val="0"/>
          <w:caps w:val="0"/>
          <w:color w:val="auto"/>
          <w:spacing w:val="0"/>
          <w:w w:val="100"/>
          <w:kern w:val="2"/>
          <w:sz w:val="24"/>
          <w:szCs w:val="24"/>
          <w:highlight w:val="none"/>
          <w:u w:val="none"/>
          <w:lang w:val="en-US" w:eastAsia="zh-CN" w:bidi="ar-SA"/>
        </w:rPr>
        <w:t>。</w:t>
      </w:r>
    </w:p>
    <w:p w14:paraId="098406EF">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highlight w:val="none"/>
          <w:u w:val="none"/>
          <w:lang w:val="en-US" w:eastAsia="zh-CN" w:bidi="ar-SA"/>
        </w:rPr>
      </w:pPr>
      <w:bookmarkStart w:id="1064" w:name="_Toc17588"/>
      <w:bookmarkStart w:id="1065" w:name="_Toc13291"/>
      <w:bookmarkStart w:id="1066" w:name="_Toc31774"/>
      <w:r>
        <w:rPr>
          <w:rFonts w:hint="eastAsia" w:ascii="宋体" w:hAnsi="宋体" w:eastAsia="宋体" w:cs="宋体"/>
          <w:b/>
          <w:bCs/>
          <w:color w:val="auto"/>
          <w:kern w:val="2"/>
          <w:sz w:val="24"/>
          <w:szCs w:val="24"/>
          <w:highlight w:val="none"/>
          <w:u w:val="none"/>
          <w:lang w:val="en-US" w:eastAsia="zh-CN" w:bidi="ar-SA"/>
        </w:rPr>
        <w:t>27.确定中标候选人和</w:t>
      </w:r>
      <w:bookmarkEnd w:id="1029"/>
      <w:r>
        <w:rPr>
          <w:rFonts w:hint="eastAsia" w:ascii="宋体" w:hAnsi="宋体" w:eastAsia="宋体" w:cs="宋体"/>
          <w:b/>
          <w:bCs/>
          <w:color w:val="auto"/>
          <w:kern w:val="2"/>
          <w:sz w:val="24"/>
          <w:szCs w:val="24"/>
          <w:highlight w:val="none"/>
          <w:u w:val="none"/>
          <w:lang w:val="en-US" w:eastAsia="zh-CN" w:bidi="ar-SA"/>
        </w:rPr>
        <w:t>中标人</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bookmarkEnd w:id="1027"/>
    <w:bookmarkEnd w:id="1028"/>
    <w:p w14:paraId="78419C09">
      <w:pPr>
        <w:pageBreakBefore w:val="0"/>
        <w:widowControl w:val="0"/>
        <w:kinsoku/>
        <w:wordWrap/>
        <w:overflowPunct/>
        <w:topLinePunct w:val="0"/>
        <w:bidi w:val="0"/>
        <w:spacing w:line="360" w:lineRule="exact"/>
        <w:ind w:left="479" w:leftChars="228" w:firstLine="60" w:firstLineChars="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评标委员会将根据评标标准，按</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须知资料表中</w:t>
      </w:r>
      <w:r>
        <w:rPr>
          <w:rFonts w:hint="eastAsia" w:ascii="宋体" w:hAnsi="宋体" w:eastAsia="宋体" w:cs="宋体"/>
          <w:color w:val="auto"/>
          <w:sz w:val="24"/>
          <w:szCs w:val="24"/>
          <w:highlight w:val="none"/>
        </w:rPr>
        <w:t>规定数量推荐中标候</w:t>
      </w:r>
    </w:p>
    <w:p w14:paraId="75024879">
      <w:pPr>
        <w:pageBreakBefore w:val="0"/>
        <w:widowControl w:val="0"/>
        <w:kinsoku/>
        <w:wordWrap/>
        <w:overflowPunct/>
        <w:topLinePunct w:val="0"/>
        <w:bidi w:val="0"/>
        <w:spacing w:line="360" w:lineRule="exact"/>
        <w:ind w:left="479" w:leftChars="228" w:firstLine="60" w:firstLineChars="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选人；或根据采购人的委托，直接确定中标人。</w:t>
      </w:r>
    </w:p>
    <w:p w14:paraId="432B30B0">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067" w:name="_Toc9701"/>
      <w:bookmarkStart w:id="1068" w:name="_Toc21208"/>
      <w:bookmarkStart w:id="1069" w:name="_Toc10338"/>
      <w:bookmarkStart w:id="1070" w:name="_Toc6340"/>
      <w:bookmarkStart w:id="1071" w:name="_Toc28562"/>
      <w:bookmarkStart w:id="1072" w:name="_Toc32455"/>
      <w:bookmarkStart w:id="1073" w:name="_Toc9640"/>
      <w:bookmarkStart w:id="1074" w:name="_Toc8389"/>
      <w:bookmarkStart w:id="1075" w:name="_Toc2533"/>
      <w:bookmarkStart w:id="1076" w:name="_Toc30775"/>
      <w:bookmarkStart w:id="1077" w:name="_Toc45"/>
      <w:bookmarkStart w:id="1078" w:name="_Toc27580"/>
      <w:bookmarkStart w:id="1079" w:name="_Toc18980"/>
      <w:bookmarkStart w:id="1080" w:name="_Toc7156"/>
      <w:bookmarkStart w:id="1081" w:name="_Toc13309"/>
      <w:bookmarkStart w:id="1082" w:name="_Toc3328"/>
      <w:bookmarkStart w:id="1083" w:name="_Toc1353"/>
      <w:bookmarkStart w:id="1084" w:name="_Toc21618"/>
      <w:bookmarkStart w:id="1085" w:name="_Toc7550"/>
      <w:bookmarkStart w:id="1086" w:name="_Toc18821"/>
      <w:bookmarkStart w:id="1087" w:name="_Toc515647790"/>
      <w:bookmarkStart w:id="1088" w:name="_Toc28014"/>
      <w:bookmarkStart w:id="1089" w:name="_Toc19007"/>
      <w:bookmarkStart w:id="1090" w:name="_Toc21889"/>
      <w:bookmarkStart w:id="1091" w:name="_Toc7266"/>
      <w:bookmarkStart w:id="1092" w:name="_Toc20705"/>
      <w:bookmarkStart w:id="1093" w:name="_Toc31043"/>
      <w:bookmarkStart w:id="1094" w:name="_Toc20001"/>
      <w:bookmarkStart w:id="1095" w:name="_Toc18824"/>
      <w:bookmarkStart w:id="1096" w:name="_Toc16282"/>
      <w:bookmarkStart w:id="1097" w:name="_Toc7630"/>
      <w:bookmarkStart w:id="1098" w:name="_Toc24959"/>
      <w:bookmarkStart w:id="1099" w:name="_Toc5507"/>
      <w:bookmarkStart w:id="1100" w:name="_Toc24276"/>
      <w:bookmarkStart w:id="1101" w:name="_Toc15888"/>
      <w:bookmarkStart w:id="1102" w:name="_Toc14335"/>
      <w:bookmarkStart w:id="1103" w:name="_Toc17591"/>
      <w:bookmarkStart w:id="1104" w:name="_Toc1269"/>
      <w:r>
        <w:rPr>
          <w:rFonts w:hint="eastAsia" w:ascii="宋体" w:hAnsi="宋体" w:eastAsia="宋体" w:cs="宋体"/>
          <w:b/>
          <w:bCs/>
          <w:color w:val="auto"/>
          <w:kern w:val="2"/>
          <w:sz w:val="24"/>
          <w:szCs w:val="24"/>
          <w:u w:val="none"/>
          <w:lang w:val="en-US" w:eastAsia="zh-CN" w:bidi="ar-SA"/>
        </w:rPr>
        <w:t>28.采购任务取消</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5555BE1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因重大变故采购任务取消时，采购人有权拒绝任何</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中标，且对受影响的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不承担任何责任。</w:t>
      </w:r>
      <w:bookmarkStart w:id="1105" w:name="_Toc520356174"/>
    </w:p>
    <w:p w14:paraId="1C4DF723">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106" w:name="_Toc515647791"/>
      <w:bookmarkStart w:id="1107" w:name="_Toc17151"/>
      <w:bookmarkStart w:id="1108" w:name="_Toc17841"/>
      <w:bookmarkStart w:id="1109" w:name="_Toc1178"/>
      <w:bookmarkStart w:id="1110" w:name="_Toc8475"/>
      <w:bookmarkStart w:id="1111" w:name="_Toc10717"/>
      <w:bookmarkStart w:id="1112" w:name="_Toc5820"/>
      <w:bookmarkStart w:id="1113" w:name="_Toc31066"/>
      <w:bookmarkStart w:id="1114" w:name="_Toc21583"/>
      <w:bookmarkStart w:id="1115" w:name="_Toc16437"/>
      <w:bookmarkStart w:id="1116" w:name="_Toc4099"/>
      <w:bookmarkStart w:id="1117" w:name="_Toc515"/>
      <w:bookmarkStart w:id="1118" w:name="_Toc27996"/>
      <w:bookmarkStart w:id="1119" w:name="_Toc1676"/>
      <w:bookmarkStart w:id="1120" w:name="_Toc30149"/>
      <w:bookmarkStart w:id="1121" w:name="_Toc13576"/>
      <w:bookmarkStart w:id="1122" w:name="_Toc25281"/>
      <w:bookmarkStart w:id="1123" w:name="_Toc9886"/>
      <w:bookmarkStart w:id="1124" w:name="_Toc8834"/>
      <w:bookmarkStart w:id="1125" w:name="_Toc4169"/>
      <w:bookmarkStart w:id="1126" w:name="_Toc16182"/>
      <w:bookmarkStart w:id="1127" w:name="_Toc17202"/>
      <w:bookmarkStart w:id="1128" w:name="_Toc8140"/>
      <w:bookmarkStart w:id="1129" w:name="_Toc10358"/>
      <w:bookmarkStart w:id="1130" w:name="_Toc31099"/>
      <w:bookmarkStart w:id="1131" w:name="_Toc1818"/>
      <w:bookmarkStart w:id="1132" w:name="_Toc137"/>
      <w:bookmarkStart w:id="1133" w:name="_Toc20363"/>
      <w:bookmarkStart w:id="1134" w:name="_Toc15667"/>
      <w:bookmarkStart w:id="1135" w:name="_Toc27654"/>
      <w:bookmarkStart w:id="1136" w:name="_Toc30931"/>
      <w:bookmarkStart w:id="1137" w:name="_Toc12348"/>
      <w:bookmarkStart w:id="1138" w:name="_Toc2362"/>
      <w:bookmarkStart w:id="1139" w:name="_Toc30170"/>
      <w:bookmarkStart w:id="1140" w:name="_Toc19910"/>
      <w:bookmarkStart w:id="1141" w:name="_Toc14221"/>
      <w:bookmarkStart w:id="1142" w:name="_Toc19557"/>
      <w:bookmarkStart w:id="1143" w:name="_Toc28882"/>
      <w:r>
        <w:rPr>
          <w:rFonts w:hint="eastAsia" w:ascii="宋体" w:hAnsi="宋体" w:eastAsia="宋体" w:cs="宋体"/>
          <w:b/>
          <w:bCs/>
          <w:color w:val="auto"/>
          <w:kern w:val="2"/>
          <w:sz w:val="24"/>
          <w:szCs w:val="24"/>
          <w:u w:val="none"/>
          <w:lang w:val="en-US" w:eastAsia="zh-CN" w:bidi="ar-SA"/>
        </w:rPr>
        <w:t>29.中标通知书</w:t>
      </w:r>
      <w:bookmarkEnd w:id="1105"/>
      <w:r>
        <w:rPr>
          <w:rFonts w:hint="eastAsia" w:ascii="宋体" w:hAnsi="宋体" w:eastAsia="宋体" w:cs="宋体"/>
          <w:b/>
          <w:bCs/>
          <w:color w:val="auto"/>
          <w:kern w:val="2"/>
          <w:sz w:val="24"/>
          <w:szCs w:val="24"/>
          <w:u w:val="none"/>
          <w:lang w:val="en-US" w:eastAsia="zh-CN" w:bidi="ar-SA"/>
        </w:rPr>
        <w:t>和招标结果通知书</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50E054B6">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在投标有效期内，中标人确定后，采购人或者采购代理机构发布中标公告，同时以书面形式向中标人发出中标通知书。</w:t>
      </w:r>
    </w:p>
    <w:p w14:paraId="74503011">
      <w:pPr>
        <w:pageBreakBefore w:val="0"/>
        <w:widowControl w:val="0"/>
        <w:kinsoku/>
        <w:wordWrap/>
        <w:overflowPunct/>
        <w:topLinePunct w:val="0"/>
        <w:bidi w:val="0"/>
        <w:spacing w:line="360" w:lineRule="exact"/>
        <w:ind w:left="900" w:leftChars="0" w:hanging="900" w:hangingChars="3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中标通知书是合同的组成部分。</w:t>
      </w:r>
    </w:p>
    <w:p w14:paraId="3B0127F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29.3    招标结果通知书和中标通知书同时发出。招标结果通知书中将告知未通过资格审查的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未通过的原因；采用综合评分法评审的，还将告知未中标人本人的评审得分和排序。</w:t>
      </w:r>
    </w:p>
    <w:p w14:paraId="05F2438A">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144" w:name="_Toc3425"/>
      <w:bookmarkStart w:id="1145" w:name="_Toc29299"/>
      <w:bookmarkStart w:id="1146" w:name="_Toc13873"/>
      <w:bookmarkStart w:id="1147" w:name="_Toc14551"/>
      <w:bookmarkStart w:id="1148" w:name="_Ref467307204"/>
      <w:bookmarkStart w:id="1149" w:name="_Toc520356175"/>
      <w:bookmarkStart w:id="1150" w:name="_Toc24666"/>
      <w:bookmarkStart w:id="1151" w:name="_Toc1010"/>
      <w:bookmarkStart w:id="1152" w:name="_Toc14896"/>
      <w:bookmarkStart w:id="1153" w:name="_Toc15266"/>
      <w:bookmarkStart w:id="1154" w:name="_Ref467307062"/>
      <w:bookmarkStart w:id="1155" w:name="_Toc9133"/>
      <w:bookmarkStart w:id="1156" w:name="_Toc9417"/>
      <w:bookmarkStart w:id="1157" w:name="_Toc29831"/>
      <w:bookmarkStart w:id="1158" w:name="_Toc3557"/>
      <w:bookmarkStart w:id="1159" w:name="_Ref467306978"/>
      <w:bookmarkStart w:id="1160" w:name="_Toc4466"/>
      <w:bookmarkStart w:id="1161" w:name="_Toc15018"/>
      <w:bookmarkStart w:id="1162" w:name="_Toc13210"/>
      <w:bookmarkStart w:id="1163" w:name="_Toc8670"/>
      <w:bookmarkStart w:id="1164" w:name="_Toc16468"/>
      <w:bookmarkStart w:id="1165" w:name="_Toc515647792"/>
      <w:bookmarkStart w:id="1166" w:name="_Toc1386"/>
      <w:bookmarkStart w:id="1167" w:name="_Ref467306377"/>
      <w:bookmarkStart w:id="1168" w:name="_Toc14106"/>
      <w:bookmarkStart w:id="1169" w:name="_Toc732"/>
      <w:bookmarkStart w:id="1170" w:name="_Toc9945"/>
      <w:bookmarkStart w:id="1171" w:name="_Toc830"/>
      <w:bookmarkStart w:id="1172" w:name="_Toc27901"/>
      <w:bookmarkStart w:id="1173" w:name="_Toc7779"/>
      <w:bookmarkStart w:id="1174" w:name="_Toc11340"/>
      <w:bookmarkStart w:id="1175" w:name="_Toc19580"/>
      <w:bookmarkStart w:id="1176" w:name="_Toc4716"/>
      <w:bookmarkStart w:id="1177" w:name="_Toc10132"/>
      <w:bookmarkStart w:id="1178" w:name="_Toc23522"/>
      <w:bookmarkStart w:id="1179" w:name="_Toc6885"/>
      <w:bookmarkStart w:id="1180" w:name="_Toc26201"/>
      <w:bookmarkStart w:id="1181" w:name="_Toc29255"/>
      <w:bookmarkStart w:id="1182" w:name="_Toc26465"/>
      <w:bookmarkStart w:id="1183" w:name="_Toc7584"/>
      <w:bookmarkStart w:id="1184" w:name="_Toc790"/>
      <w:bookmarkStart w:id="1185" w:name="_Toc26598"/>
      <w:bookmarkStart w:id="1186" w:name="_Toc30068"/>
      <w:r>
        <w:rPr>
          <w:rFonts w:hint="eastAsia" w:ascii="宋体" w:hAnsi="宋体" w:eastAsia="宋体" w:cs="宋体"/>
          <w:b/>
          <w:bCs/>
          <w:color w:val="auto"/>
          <w:kern w:val="2"/>
          <w:sz w:val="24"/>
          <w:szCs w:val="24"/>
          <w:u w:val="none"/>
          <w:lang w:val="en-US" w:eastAsia="zh-CN" w:bidi="ar-SA"/>
        </w:rPr>
        <w:t>30.签订合同</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14:paraId="0CCCC7DC">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中标人应当自发出中标通知书之日起</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日内，与采购人签订合同。</w:t>
      </w:r>
    </w:p>
    <w:p w14:paraId="731DC175">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30.2</w:t>
      </w:r>
      <w:r>
        <w:rPr>
          <w:rFonts w:hint="eastAsia" w:ascii="宋体" w:hAnsi="宋体" w:eastAsia="宋体" w:cs="宋体"/>
          <w:color w:val="auto"/>
          <w:sz w:val="24"/>
          <w:szCs w:val="24"/>
          <w:highlight w:val="none"/>
        </w:rPr>
        <w:tab/>
      </w:r>
      <w:bookmarkStart w:id="1187" w:name="_Ref467306425"/>
      <w:bookmarkStart w:id="1188" w:name="_Toc520356176"/>
      <w:bookmarkStart w:id="1189" w:name="_Ref467307090"/>
      <w:r>
        <w:rPr>
          <w:rFonts w:hint="eastAsia" w:ascii="宋体" w:hAnsi="宋体" w:eastAsia="宋体" w:cs="宋体"/>
          <w:color w:val="auto"/>
          <w:sz w:val="24"/>
          <w:szCs w:val="24"/>
          <w:highlight w:val="none"/>
        </w:rPr>
        <w:t>招标文件、中标人的投标文件及其澄清文件等，均为签订合同的依据。</w:t>
      </w:r>
    </w:p>
    <w:p w14:paraId="1C4D23B9">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30.3   中标人拒绝与采购人签订合同的，采购人可以按照评审报告推荐的中标候选人名单排序，确定下一中标候选人为中标人，也可以重新开展政府采购活动。</w:t>
      </w:r>
    </w:p>
    <w:p w14:paraId="5DC9E2BA">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30.4   当出现法规规定的</w:t>
      </w:r>
      <w:r>
        <w:rPr>
          <w:rFonts w:hint="eastAsia" w:ascii="宋体" w:hAnsi="宋体" w:eastAsia="宋体" w:cs="宋体"/>
          <w:b/>
          <w:color w:val="auto"/>
          <w:sz w:val="24"/>
          <w:szCs w:val="24"/>
          <w:highlight w:val="none"/>
        </w:rPr>
        <w:t>中标无效或中标结果无效</w:t>
      </w:r>
      <w:r>
        <w:rPr>
          <w:rFonts w:hint="eastAsia" w:ascii="宋体" w:hAnsi="宋体" w:eastAsia="宋体" w:cs="宋体"/>
          <w:color w:val="auto"/>
          <w:sz w:val="24"/>
          <w:szCs w:val="24"/>
          <w:highlight w:val="none"/>
        </w:rPr>
        <w:t>情形时，采购人可与排名下一位的中标候选人另行签订合同，或依法重新开展采购活动。</w:t>
      </w:r>
    </w:p>
    <w:p w14:paraId="7DC16CEE">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190" w:name="_Toc29712"/>
      <w:bookmarkStart w:id="1191" w:name="_Toc17960"/>
      <w:bookmarkStart w:id="1192" w:name="_Toc15755"/>
      <w:bookmarkStart w:id="1193" w:name="_Toc32158"/>
      <w:bookmarkStart w:id="1194" w:name="_Toc28788"/>
      <w:bookmarkStart w:id="1195" w:name="_Toc8189"/>
      <w:bookmarkStart w:id="1196" w:name="_Toc21692"/>
      <w:bookmarkStart w:id="1197" w:name="_Toc16092"/>
      <w:bookmarkStart w:id="1198" w:name="_Toc4460"/>
      <w:bookmarkStart w:id="1199" w:name="_Toc4849"/>
      <w:bookmarkStart w:id="1200" w:name="_Toc15498"/>
      <w:bookmarkStart w:id="1201" w:name="_Toc11387"/>
      <w:bookmarkStart w:id="1202" w:name="_Toc31991"/>
      <w:bookmarkStart w:id="1203" w:name="_Toc14080"/>
      <w:bookmarkStart w:id="1204" w:name="_Toc21321"/>
      <w:bookmarkStart w:id="1205" w:name="_Toc23223"/>
      <w:bookmarkStart w:id="1206" w:name="_Toc8801"/>
      <w:bookmarkStart w:id="1207" w:name="_Toc30509"/>
      <w:bookmarkStart w:id="1208" w:name="_Toc11467"/>
      <w:bookmarkStart w:id="1209" w:name="_Toc9468"/>
      <w:bookmarkStart w:id="1210" w:name="_Toc5902"/>
      <w:bookmarkStart w:id="1211" w:name="_Toc515647793"/>
      <w:bookmarkStart w:id="1212" w:name="_Toc22555"/>
      <w:bookmarkStart w:id="1213" w:name="_Toc11471"/>
      <w:bookmarkStart w:id="1214" w:name="_Toc4216"/>
      <w:bookmarkStart w:id="1215" w:name="_Toc13252"/>
      <w:bookmarkStart w:id="1216" w:name="_Toc26902"/>
      <w:bookmarkStart w:id="1217" w:name="_Toc7041"/>
      <w:bookmarkStart w:id="1218" w:name="_Toc15750"/>
      <w:bookmarkStart w:id="1219" w:name="_Toc32131"/>
      <w:bookmarkStart w:id="1220" w:name="_Toc10991"/>
      <w:bookmarkStart w:id="1221" w:name="_Toc29887"/>
      <w:bookmarkStart w:id="1222" w:name="_Toc23943"/>
      <w:bookmarkStart w:id="1223" w:name="_Toc31190"/>
      <w:bookmarkStart w:id="1224" w:name="_Toc20991"/>
      <w:bookmarkStart w:id="1225" w:name="_Toc32530"/>
      <w:bookmarkStart w:id="1226" w:name="_Toc8579"/>
      <w:bookmarkStart w:id="1227" w:name="_Toc14349"/>
      <w:r>
        <w:rPr>
          <w:rFonts w:hint="eastAsia" w:ascii="宋体" w:hAnsi="宋体" w:eastAsia="宋体" w:cs="宋体"/>
          <w:b/>
          <w:bCs/>
          <w:color w:val="auto"/>
          <w:kern w:val="2"/>
          <w:sz w:val="24"/>
          <w:szCs w:val="24"/>
          <w:u w:val="none"/>
          <w:lang w:val="en-US" w:eastAsia="zh-CN" w:bidi="ar-SA"/>
        </w:rPr>
        <w:t>31.履约保证金</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4F64F5F2">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中标人应按照</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规定向采购人缴纳履约保证金。</w:t>
      </w:r>
    </w:p>
    <w:p w14:paraId="66C8ACC7">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31.2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政府采购利用担保试点范围内的项目，除31.1规定的情形外，中标人也可以按照财政部门的规定，向采购人提供合格的履约担</w:t>
      </w:r>
      <w:r>
        <w:rPr>
          <w:rFonts w:hint="eastAsia" w:ascii="宋体" w:hAnsi="宋体" w:eastAsia="宋体" w:cs="宋体"/>
          <w:color w:val="auto"/>
          <w:sz w:val="24"/>
          <w:szCs w:val="24"/>
          <w:highlight w:val="none"/>
          <w:lang w:eastAsia="zh-CN"/>
        </w:rPr>
        <w:t>保函。</w:t>
      </w:r>
    </w:p>
    <w:p w14:paraId="323E046F">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228" w:name="_Toc14539"/>
      <w:bookmarkStart w:id="1229" w:name="_Toc1705"/>
      <w:bookmarkStart w:id="1230" w:name="_Toc17827"/>
      <w:bookmarkStart w:id="1231" w:name="_Toc15461"/>
      <w:bookmarkStart w:id="1232" w:name="_Toc30817"/>
      <w:bookmarkStart w:id="1233" w:name="_Toc2081"/>
      <w:bookmarkStart w:id="1234" w:name="_Toc30327"/>
      <w:bookmarkStart w:id="1235" w:name="_Toc14040"/>
      <w:bookmarkStart w:id="1236" w:name="_Toc17667"/>
      <w:bookmarkStart w:id="1237" w:name="_Toc9993"/>
      <w:bookmarkStart w:id="1238" w:name="_Toc8906"/>
      <w:bookmarkStart w:id="1239" w:name="_Toc5520"/>
      <w:bookmarkStart w:id="1240" w:name="_Toc31793"/>
      <w:bookmarkStart w:id="1241" w:name="_Toc24979"/>
      <w:bookmarkStart w:id="1242" w:name="_Toc15314"/>
      <w:bookmarkStart w:id="1243" w:name="_Toc515647794"/>
      <w:bookmarkStart w:id="1244" w:name="_Toc20540"/>
      <w:bookmarkStart w:id="1245" w:name="_Toc9967"/>
      <w:bookmarkStart w:id="1246" w:name="_Toc23284"/>
      <w:bookmarkStart w:id="1247" w:name="_Toc3090"/>
      <w:bookmarkStart w:id="1248" w:name="_Toc13005"/>
      <w:bookmarkStart w:id="1249" w:name="_Toc13048"/>
      <w:bookmarkStart w:id="1250" w:name="_Toc16406"/>
      <w:bookmarkStart w:id="1251" w:name="_Toc21246"/>
      <w:bookmarkStart w:id="1252" w:name="_Toc17256"/>
      <w:bookmarkStart w:id="1253" w:name="_Toc21835"/>
      <w:bookmarkStart w:id="1254" w:name="_Toc13043"/>
      <w:bookmarkStart w:id="1255" w:name="_Toc26497"/>
      <w:bookmarkStart w:id="1256" w:name="_Toc15732"/>
      <w:bookmarkStart w:id="1257" w:name="_Toc29408"/>
      <w:bookmarkStart w:id="1258" w:name="_Toc13784"/>
      <w:bookmarkStart w:id="1259" w:name="_Toc25342"/>
      <w:bookmarkStart w:id="1260" w:name="_Toc1144"/>
      <w:bookmarkStart w:id="1261" w:name="_Toc1364"/>
      <w:bookmarkStart w:id="1262" w:name="_Toc26472"/>
      <w:bookmarkStart w:id="1263" w:name="_Toc16136"/>
      <w:bookmarkStart w:id="1264" w:name="_Toc17462"/>
      <w:bookmarkStart w:id="1265" w:name="_Toc25385"/>
      <w:r>
        <w:rPr>
          <w:rFonts w:hint="eastAsia" w:ascii="宋体" w:hAnsi="宋体" w:eastAsia="宋体" w:cs="宋体"/>
          <w:b/>
          <w:bCs/>
          <w:color w:val="auto"/>
          <w:kern w:val="2"/>
          <w:sz w:val="24"/>
          <w:szCs w:val="24"/>
          <w:u w:val="none"/>
          <w:lang w:val="en-US" w:eastAsia="zh-CN" w:bidi="ar-SA"/>
        </w:rPr>
        <w:t>32.中标服务费</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0A35CB6F">
      <w:pPr>
        <w:pageBreakBefore w:val="0"/>
        <w:widowControl w:val="0"/>
        <w:kinsoku/>
        <w:wordWrap/>
        <w:overflowPunct/>
        <w:topLinePunct w:val="0"/>
        <w:bidi w:val="0"/>
        <w:spacing w:line="360" w:lineRule="exact"/>
        <w:ind w:left="420" w:leftChars="0" w:hanging="420" w:hanging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中标人须按照</w:t>
      </w:r>
      <w:r>
        <w:rPr>
          <w:rFonts w:hint="eastAsia" w:ascii="宋体" w:hAnsi="宋体" w:eastAsia="宋体" w:cs="宋体"/>
          <w:color w:val="auto"/>
          <w:sz w:val="24"/>
          <w:szCs w:val="24"/>
          <w:highlight w:val="none"/>
          <w:u w:val="single"/>
        </w:rPr>
        <w:t>投标须知资料表</w:t>
      </w:r>
      <w:r>
        <w:rPr>
          <w:rFonts w:hint="eastAsia" w:ascii="宋体" w:hAnsi="宋体" w:eastAsia="宋体" w:cs="宋体"/>
          <w:color w:val="auto"/>
          <w:sz w:val="24"/>
          <w:szCs w:val="24"/>
          <w:highlight w:val="none"/>
        </w:rPr>
        <w:t>规定，向采购代理机构支付中标服务费。</w:t>
      </w:r>
    </w:p>
    <w:p w14:paraId="312A8D6E">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266" w:name="_Toc29584"/>
      <w:bookmarkStart w:id="1267" w:name="_Toc26840"/>
      <w:bookmarkStart w:id="1268" w:name="_Toc8477"/>
      <w:bookmarkStart w:id="1269" w:name="_Toc23574"/>
      <w:bookmarkStart w:id="1270" w:name="_Toc4947"/>
      <w:bookmarkStart w:id="1271" w:name="_Toc10747"/>
      <w:bookmarkStart w:id="1272" w:name="_Toc7265"/>
      <w:bookmarkStart w:id="1273" w:name="_Toc9363"/>
      <w:bookmarkStart w:id="1274" w:name="_Toc31423"/>
      <w:bookmarkStart w:id="1275" w:name="_Toc1224"/>
      <w:bookmarkStart w:id="1276" w:name="_Toc28372"/>
      <w:bookmarkStart w:id="1277" w:name="_Toc515647795"/>
      <w:bookmarkStart w:id="1278" w:name="_Toc14442"/>
      <w:bookmarkStart w:id="1279" w:name="_Toc24977"/>
      <w:bookmarkStart w:id="1280" w:name="_Toc4845"/>
      <w:bookmarkStart w:id="1281" w:name="_Toc31379"/>
      <w:bookmarkStart w:id="1282" w:name="_Toc16905"/>
      <w:bookmarkStart w:id="1283" w:name="_Toc24525"/>
      <w:bookmarkStart w:id="1284" w:name="_Toc23477"/>
      <w:bookmarkStart w:id="1285" w:name="_Toc7158"/>
      <w:bookmarkStart w:id="1286" w:name="_Toc16900"/>
      <w:bookmarkStart w:id="1287" w:name="_Toc25076"/>
      <w:bookmarkStart w:id="1288" w:name="_Toc3584"/>
      <w:bookmarkStart w:id="1289" w:name="_Toc7049"/>
      <w:bookmarkStart w:id="1290" w:name="_Toc20843"/>
      <w:bookmarkStart w:id="1291" w:name="_Toc2245"/>
      <w:bookmarkStart w:id="1292" w:name="_Toc14969"/>
      <w:bookmarkStart w:id="1293" w:name="_Toc11984"/>
      <w:bookmarkStart w:id="1294" w:name="_Toc2419"/>
      <w:bookmarkStart w:id="1295" w:name="_Toc25669"/>
      <w:bookmarkStart w:id="1296" w:name="_Toc25232"/>
      <w:bookmarkStart w:id="1297" w:name="_Toc16617"/>
      <w:bookmarkStart w:id="1298" w:name="_Toc23330"/>
      <w:bookmarkStart w:id="1299" w:name="_Toc3053"/>
      <w:bookmarkStart w:id="1300" w:name="_Toc5216"/>
      <w:bookmarkStart w:id="1301" w:name="_Toc6923"/>
      <w:bookmarkStart w:id="1302" w:name="_Toc365"/>
      <w:bookmarkStart w:id="1303" w:name="_Toc10756"/>
      <w:r>
        <w:rPr>
          <w:rFonts w:hint="eastAsia" w:ascii="宋体" w:hAnsi="宋体" w:eastAsia="宋体" w:cs="宋体"/>
          <w:b/>
          <w:bCs/>
          <w:color w:val="auto"/>
          <w:kern w:val="2"/>
          <w:sz w:val="24"/>
          <w:szCs w:val="24"/>
          <w:u w:val="none"/>
          <w:lang w:val="en-US" w:eastAsia="zh-CN" w:bidi="ar-SA"/>
        </w:rPr>
        <w:t>33.政府采购信用担保</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p>
    <w:p w14:paraId="452BB6AB">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本项目是否属于信用担保试点范围见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14:paraId="7DA5CA23">
      <w:pPr>
        <w:pageBreakBefore w:val="0"/>
        <w:widowControl w:val="0"/>
        <w:kinsoku/>
        <w:wordWrap/>
        <w:overflowPunct/>
        <w:topLinePunct w:val="0"/>
        <w:bidi w:val="0"/>
        <w:spacing w:line="360" w:lineRule="exact"/>
        <w:ind w:left="849" w:leftChars="0" w:hanging="849" w:hangingChars="35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如属于政府采购信用担保试点范围内，中小型企业</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可以自由按照财政部门的规定，采用投标担保、履约担保和融资担保。</w:t>
      </w:r>
    </w:p>
    <w:p w14:paraId="603FFED0">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33.2.1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递交的投标担</w:t>
      </w:r>
      <w:r>
        <w:rPr>
          <w:rFonts w:hint="eastAsia" w:ascii="宋体" w:hAnsi="宋体" w:eastAsia="宋体" w:cs="宋体"/>
          <w:color w:val="auto"/>
          <w:sz w:val="24"/>
          <w:szCs w:val="24"/>
          <w:highlight w:val="none"/>
          <w:lang w:eastAsia="zh-CN"/>
        </w:rPr>
        <w:t>保函</w:t>
      </w:r>
      <w:r>
        <w:rPr>
          <w:rFonts w:hint="eastAsia" w:ascii="宋体" w:hAnsi="宋体" w:eastAsia="宋体" w:cs="宋体"/>
          <w:color w:val="auto"/>
          <w:sz w:val="24"/>
          <w:szCs w:val="24"/>
          <w:highlight w:val="none"/>
        </w:rPr>
        <w:t>和履约担</w:t>
      </w:r>
      <w:r>
        <w:rPr>
          <w:rFonts w:hint="eastAsia" w:ascii="宋体" w:hAnsi="宋体" w:eastAsia="宋体" w:cs="宋体"/>
          <w:color w:val="auto"/>
          <w:sz w:val="24"/>
          <w:szCs w:val="24"/>
          <w:highlight w:val="none"/>
          <w:lang w:eastAsia="zh-CN"/>
        </w:rPr>
        <w:t>保函</w:t>
      </w:r>
      <w:r>
        <w:rPr>
          <w:rFonts w:hint="eastAsia" w:ascii="宋体" w:hAnsi="宋体" w:eastAsia="宋体" w:cs="宋体"/>
          <w:color w:val="auto"/>
          <w:sz w:val="24"/>
          <w:szCs w:val="24"/>
          <w:highlight w:val="none"/>
        </w:rPr>
        <w:t>应符合本招标文件的规定。</w:t>
      </w:r>
    </w:p>
    <w:p w14:paraId="230625C5">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33.2.2 中标人可以采取融资担保的形式为政府采购项目履约进行融资。</w:t>
      </w:r>
    </w:p>
    <w:p w14:paraId="1DCE17AB">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33.2.3 合格的政府采购专业信用担保机构名单见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14:paraId="062450F4">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304" w:name="_Toc19633"/>
      <w:bookmarkStart w:id="1305" w:name="_Toc11013"/>
      <w:bookmarkStart w:id="1306" w:name="_Toc5262"/>
      <w:bookmarkStart w:id="1307" w:name="_Toc23999"/>
      <w:bookmarkStart w:id="1308" w:name="_Toc15505"/>
      <w:bookmarkStart w:id="1309" w:name="_Toc12158"/>
      <w:bookmarkStart w:id="1310" w:name="_Toc2133"/>
      <w:bookmarkStart w:id="1311" w:name="_Toc23161"/>
      <w:bookmarkStart w:id="1312" w:name="_Toc623"/>
      <w:bookmarkStart w:id="1313" w:name="_Toc16669"/>
      <w:bookmarkStart w:id="1314" w:name="_Toc27009"/>
      <w:bookmarkStart w:id="1315" w:name="_Toc18611"/>
      <w:bookmarkStart w:id="1316" w:name="_Toc20767"/>
      <w:bookmarkStart w:id="1317" w:name="_Toc10305"/>
      <w:bookmarkStart w:id="1318" w:name="_Toc1970"/>
      <w:bookmarkStart w:id="1319" w:name="_Toc3713"/>
      <w:bookmarkStart w:id="1320" w:name="_Toc11772"/>
      <w:bookmarkStart w:id="1321" w:name="_Toc5770"/>
      <w:bookmarkStart w:id="1322" w:name="_Toc18954"/>
      <w:bookmarkStart w:id="1323" w:name="_Toc3616"/>
      <w:bookmarkStart w:id="1324" w:name="_Toc11707"/>
      <w:bookmarkStart w:id="1325" w:name="_Toc31425"/>
      <w:bookmarkStart w:id="1326" w:name="_Toc5750"/>
      <w:bookmarkStart w:id="1327" w:name="_Toc25791"/>
      <w:bookmarkStart w:id="1328" w:name="_Toc11552"/>
      <w:bookmarkStart w:id="1329" w:name="_Toc32379"/>
      <w:bookmarkStart w:id="1330" w:name="_Toc21937"/>
      <w:bookmarkStart w:id="1331" w:name="_Toc28193"/>
      <w:bookmarkStart w:id="1332" w:name="_Toc31178"/>
      <w:bookmarkStart w:id="1333" w:name="_Toc8291"/>
      <w:bookmarkStart w:id="1334" w:name="_Toc515647796"/>
      <w:bookmarkStart w:id="1335" w:name="_Toc3656"/>
      <w:bookmarkStart w:id="1336" w:name="_Toc7459"/>
      <w:bookmarkStart w:id="1337" w:name="_Toc22695"/>
      <w:bookmarkStart w:id="1338" w:name="_Toc29108"/>
      <w:bookmarkStart w:id="1339" w:name="_Toc7880"/>
      <w:bookmarkStart w:id="1340" w:name="_Toc22315"/>
      <w:bookmarkStart w:id="1341" w:name="_Toc22463"/>
      <w:r>
        <w:rPr>
          <w:rFonts w:hint="eastAsia" w:ascii="宋体" w:hAnsi="宋体" w:eastAsia="宋体" w:cs="宋体"/>
          <w:b/>
          <w:bCs/>
          <w:color w:val="auto"/>
          <w:kern w:val="2"/>
          <w:sz w:val="24"/>
          <w:szCs w:val="24"/>
          <w:u w:val="none"/>
          <w:lang w:val="en-US" w:eastAsia="zh-CN" w:bidi="ar-SA"/>
        </w:rPr>
        <w:t>34.廉洁自律规定</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0EAAB05D">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采购代理机构工作人员不得以不正当手段获取政府采购代理业务，不得与采购人、供应商恶意串通操纵政府采购活动。</w:t>
      </w:r>
    </w:p>
    <w:p w14:paraId="3BB8F201">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   采购代理机构工作人员不得接受采购人或者供应商组织的宴请、旅游、娱乐，不得收受礼品、现金、有价证券等，不得向采购人或者供应商报销应当由个人承担的费用。</w:t>
      </w:r>
    </w:p>
    <w:p w14:paraId="631FF5CA">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34.3   为强化采购代理机构内部监督机制，供应商可按</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须知资料表中的</w:t>
      </w:r>
      <w:r>
        <w:rPr>
          <w:rFonts w:hint="eastAsia" w:ascii="宋体" w:hAnsi="宋体" w:eastAsia="宋体" w:cs="宋体"/>
          <w:color w:val="auto"/>
          <w:sz w:val="24"/>
          <w:szCs w:val="24"/>
          <w:highlight w:val="none"/>
        </w:rPr>
        <w:t>监督电话和邮箱，反映采购代理机构的廉洁自律等问题。</w:t>
      </w:r>
    </w:p>
    <w:p w14:paraId="54E3E4D9">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342" w:name="_Toc31701"/>
      <w:bookmarkStart w:id="1343" w:name="_Toc12422"/>
      <w:bookmarkStart w:id="1344" w:name="_Toc3585"/>
      <w:bookmarkStart w:id="1345" w:name="_Toc17326"/>
      <w:bookmarkStart w:id="1346" w:name="_Toc27794"/>
      <w:bookmarkStart w:id="1347" w:name="_Toc4757"/>
      <w:bookmarkStart w:id="1348" w:name="_Toc11250"/>
      <w:bookmarkStart w:id="1349" w:name="_Toc30045"/>
      <w:bookmarkStart w:id="1350" w:name="_Toc23695"/>
      <w:bookmarkStart w:id="1351" w:name="_Toc27045"/>
      <w:bookmarkStart w:id="1352" w:name="_Toc19338"/>
      <w:bookmarkStart w:id="1353" w:name="_Toc17682"/>
      <w:bookmarkStart w:id="1354" w:name="_Toc25480"/>
      <w:bookmarkStart w:id="1355" w:name="_Toc5069"/>
      <w:bookmarkStart w:id="1356" w:name="_Toc6587"/>
      <w:bookmarkStart w:id="1357" w:name="_Toc32400"/>
      <w:bookmarkStart w:id="1358" w:name="_Toc17079"/>
      <w:bookmarkStart w:id="1359" w:name="_Toc3319"/>
      <w:bookmarkStart w:id="1360" w:name="_Toc20945"/>
      <w:bookmarkStart w:id="1361" w:name="_Toc31630"/>
      <w:bookmarkStart w:id="1362" w:name="_Toc29018"/>
      <w:bookmarkStart w:id="1363" w:name="_Toc29732"/>
      <w:bookmarkStart w:id="1364" w:name="_Toc29594"/>
      <w:bookmarkStart w:id="1365" w:name="_Toc15644"/>
      <w:bookmarkStart w:id="1366" w:name="_Toc515647797"/>
      <w:bookmarkStart w:id="1367" w:name="_Toc20284"/>
      <w:bookmarkStart w:id="1368" w:name="_Toc27260"/>
      <w:bookmarkStart w:id="1369" w:name="_Toc11586"/>
      <w:bookmarkStart w:id="1370" w:name="_Toc13914"/>
      <w:bookmarkStart w:id="1371" w:name="_Toc5448"/>
      <w:bookmarkStart w:id="1372" w:name="_Toc26971"/>
      <w:bookmarkStart w:id="1373" w:name="_Toc30009"/>
      <w:bookmarkStart w:id="1374" w:name="_Toc26102"/>
      <w:bookmarkStart w:id="1375" w:name="_Toc20413"/>
      <w:bookmarkStart w:id="1376" w:name="_Toc9421"/>
      <w:bookmarkStart w:id="1377" w:name="_Toc4826"/>
      <w:bookmarkStart w:id="1378" w:name="_Toc23126"/>
      <w:bookmarkStart w:id="1379" w:name="_Toc13513"/>
      <w:r>
        <w:rPr>
          <w:rFonts w:hint="eastAsia" w:ascii="宋体" w:hAnsi="宋体" w:eastAsia="宋体" w:cs="宋体"/>
          <w:b/>
          <w:bCs/>
          <w:color w:val="auto"/>
          <w:kern w:val="2"/>
          <w:sz w:val="24"/>
          <w:szCs w:val="24"/>
          <w:u w:val="none"/>
          <w:lang w:val="en-US" w:eastAsia="zh-CN" w:bidi="ar-SA"/>
        </w:rPr>
        <w:t>35.人员回避</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14:paraId="41AC3598">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认为采购人员及其相关人员有法律法规所列与其他供应商有利害关系的，可以向采购人或采购代理机构书面提出回避申请，并说明理由。</w:t>
      </w:r>
    </w:p>
    <w:p w14:paraId="7C39E99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380" w:name="_Toc926"/>
      <w:bookmarkStart w:id="1381" w:name="_Toc29119"/>
      <w:bookmarkStart w:id="1382" w:name="_Toc8352"/>
      <w:bookmarkStart w:id="1383" w:name="_Toc5309"/>
      <w:bookmarkStart w:id="1384" w:name="_Toc30368"/>
      <w:bookmarkStart w:id="1385" w:name="_Toc12470"/>
      <w:bookmarkStart w:id="1386" w:name="_Toc14457"/>
      <w:bookmarkStart w:id="1387" w:name="_Toc26773"/>
      <w:bookmarkStart w:id="1388" w:name="_Toc427"/>
      <w:bookmarkStart w:id="1389" w:name="_Toc7870"/>
      <w:bookmarkStart w:id="1390" w:name="_Toc10042"/>
      <w:bookmarkStart w:id="1391" w:name="_Toc15029"/>
      <w:bookmarkStart w:id="1392" w:name="_Toc27972"/>
      <w:bookmarkStart w:id="1393" w:name="_Toc22831"/>
      <w:bookmarkStart w:id="1394" w:name="_Toc25174"/>
      <w:bookmarkStart w:id="1395" w:name="_Toc8024"/>
      <w:bookmarkStart w:id="1396" w:name="_Toc6387"/>
      <w:bookmarkStart w:id="1397" w:name="_Toc27328"/>
      <w:bookmarkStart w:id="1398" w:name="_Toc26015"/>
      <w:bookmarkStart w:id="1399" w:name="_Toc1948"/>
      <w:bookmarkStart w:id="1400" w:name="_Toc15630"/>
      <w:bookmarkStart w:id="1401" w:name="_Toc11645"/>
      <w:bookmarkStart w:id="1402" w:name="_Toc1162"/>
      <w:bookmarkStart w:id="1403" w:name="_Toc21766"/>
      <w:bookmarkStart w:id="1404" w:name="_Toc21912"/>
      <w:bookmarkStart w:id="1405" w:name="_Toc27421"/>
      <w:bookmarkStart w:id="1406" w:name="_Toc6634"/>
      <w:bookmarkStart w:id="1407" w:name="_Toc9357"/>
      <w:bookmarkStart w:id="1408" w:name="_Toc12880"/>
      <w:bookmarkStart w:id="1409" w:name="_Toc30943"/>
      <w:bookmarkStart w:id="1410" w:name="_Toc23530"/>
      <w:bookmarkStart w:id="1411" w:name="_Toc1324"/>
      <w:bookmarkStart w:id="1412" w:name="_Toc12727"/>
      <w:bookmarkStart w:id="1413" w:name="_Toc29720"/>
      <w:r>
        <w:rPr>
          <w:rFonts w:hint="eastAsia" w:ascii="宋体" w:hAnsi="宋体" w:eastAsia="宋体" w:cs="宋体"/>
          <w:b/>
          <w:bCs/>
          <w:color w:val="auto"/>
          <w:kern w:val="2"/>
          <w:sz w:val="24"/>
          <w:szCs w:val="24"/>
          <w:u w:val="none"/>
          <w:lang w:val="en-US" w:eastAsia="zh-CN" w:bidi="ar-SA"/>
        </w:rPr>
        <w:t>36.质疑与接收</w:t>
      </w:r>
      <w:bookmarkEnd w:id="25"/>
      <w:bookmarkEnd w:id="26"/>
      <w:bookmarkEnd w:id="27"/>
      <w:bookmarkEnd w:id="28"/>
      <w:bookmarkEnd w:id="2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14:paraId="24E43BBE">
      <w:pPr>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14:paraId="33E7C762">
      <w:pPr>
        <w:pStyle w:val="24"/>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  供应商对本项目提出质疑，必须按照相关法律法规的要求和程序，提供的质疑材料必须具备事实依据和法律依据。质疑函应当包含具体的质疑事项及事实依据，不得进行虚假及恶意质疑，如所提供的质疑材料出现恶意诋毁或与事实不符等现象，我公司将该企业的行为上报相应主管部门。</w:t>
      </w:r>
    </w:p>
    <w:p w14:paraId="4F6F2008">
      <w:pPr>
        <w:pStyle w:val="24"/>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36.3  投诉的事项应当包含投诉的请求和法律依据，投诉的事项不得超出所质疑事项的范围。投诉人有捏造事实、提供虚假材料、以非法手段取得证明材料的行为之一的，属于虚假、恶意投诉，由财政部门列入不良行为记录名单，禁止其1至3年内参加政府采购活动。证据来源的合法性存在明显疑问，投诉人无法证明其取得方式合法的，视为以非法手段取得证明材料。</w:t>
      </w:r>
    </w:p>
    <w:p w14:paraId="264483C6">
      <w:pPr>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36.4 质疑供应商应按照财政部制定的《政府采购质疑函范本》格式（可从财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14:paraId="31E45B0A">
      <w:pPr>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36.5  采购代理机构质疑函接收部门、联系电话和通讯地址, 见</w:t>
      </w:r>
      <w:r>
        <w:rPr>
          <w:rFonts w:hint="eastAsia" w:ascii="宋体" w:hAnsi="宋体" w:eastAsia="宋体" w:cs="宋体"/>
          <w:color w:val="auto"/>
          <w:sz w:val="24"/>
          <w:szCs w:val="24"/>
          <w:highlight w:val="none"/>
          <w:u w:val="single"/>
        </w:rPr>
        <w:t>供应商须知资料表。</w:t>
      </w:r>
    </w:p>
    <w:p w14:paraId="3417C562">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36.6   供应商认为采购文件、采购过程和中标结果使自己的权益受到损害的，可以在知道或者应知其权益受到损害之日起7个工作日内，以书面形式向采购方提出质疑。供应商应知其权益受到损害之日，是指：</w:t>
      </w:r>
    </w:p>
    <w:p w14:paraId="69564186">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（一）对可以质疑的采购文件提出质疑的，为收到采购文件之日或者采购文件公告期限届满之日；</w:t>
      </w:r>
    </w:p>
    <w:p w14:paraId="532A077B">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（二）对采购过程提出质疑的，为各采购程序环节结束之日；</w:t>
      </w:r>
    </w:p>
    <w:p w14:paraId="52FFE5FA">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（三）对中标结果提出质疑的，为中标结果公告期限届满之日。</w:t>
      </w:r>
    </w:p>
    <w:p w14:paraId="6B8942E2">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 xml:space="preserve">36.7   </w:t>
      </w:r>
      <w:r>
        <w:rPr>
          <w:rFonts w:hint="eastAsia" w:ascii="宋体" w:hAnsi="宋体" w:eastAsia="宋体" w:cs="宋体"/>
          <w:b w:val="0"/>
          <w:bCs w:val="0"/>
          <w:color w:val="auto"/>
          <w:sz w:val="24"/>
          <w:szCs w:val="24"/>
          <w:highlight w:val="none"/>
          <w:lang w:val="en-US" w:eastAsia="zh-CN"/>
        </w:rPr>
        <w:t>供应商有权提出一次质疑，不能多次提出。</w:t>
      </w:r>
    </w:p>
    <w:p w14:paraId="5C05E7C7">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36.8   </w:t>
      </w:r>
      <w:r>
        <w:rPr>
          <w:rFonts w:hint="eastAsia" w:ascii="宋体" w:hAnsi="宋体" w:eastAsia="宋体" w:cs="宋体"/>
          <w:b w:val="0"/>
          <w:bCs w:val="0"/>
          <w:color w:val="auto"/>
          <w:sz w:val="24"/>
          <w:szCs w:val="24"/>
          <w:highlight w:val="none"/>
        </w:rPr>
        <w:t>对可以质</w:t>
      </w:r>
      <w:r>
        <w:rPr>
          <w:rFonts w:hint="eastAsia" w:ascii="宋体" w:hAnsi="宋体" w:eastAsia="宋体" w:cs="宋体"/>
          <w:color w:val="auto"/>
          <w:sz w:val="24"/>
          <w:szCs w:val="24"/>
          <w:highlight w:val="none"/>
        </w:rPr>
        <w:t>疑的采购文件提出质疑的，质疑人为参与本项目的报价方或潜在报价方。可质疑的文件为采购公告以及采购文件（包括属于其组成部分的澄清、修改、补充文件和评审标准、合同文本等）。</w:t>
      </w:r>
    </w:p>
    <w:p w14:paraId="25C5C717">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  对采购过程和中标结果提出质疑的，质疑人为直接参与本项目的报价方。采购过程,即从采购项目信息公告发布起到中标结果公告止，包括采购文件的发出、提交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开启、评审等各个采购程序环节。</w:t>
      </w:r>
    </w:p>
    <w:p w14:paraId="22A99963">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 xml:space="preserve">  提出质疑应当符合下列条件：</w:t>
      </w:r>
    </w:p>
    <w:p w14:paraId="460CB7C6">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（一）质疑主体应当符合有关规定；</w:t>
      </w:r>
    </w:p>
    <w:p w14:paraId="5413EF92">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（二）在质疑法定期限内提出；</w:t>
      </w:r>
    </w:p>
    <w:p w14:paraId="6C3F1834">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（三）属于可以提出质疑的政府采购事项受理范围和本项目采购人的管辖权范围；</w:t>
      </w:r>
    </w:p>
    <w:p w14:paraId="4B30716A">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（四）政府采购法律、法规、规章规定的其他条件。</w:t>
      </w:r>
    </w:p>
    <w:p w14:paraId="42B49F64">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 xml:space="preserve">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14:paraId="6DC1C5B9">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 xml:space="preserve">  质疑人所提供的证明材料应当具有真实性、合法性以及与质疑事项的关联性和证明力，否则不能作为认定该质疑事项成立的依据。</w:t>
      </w:r>
    </w:p>
    <w:p w14:paraId="0EEC9C31">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 xml:space="preserve"> 质疑人提出质疑时应当提交质疑函。质疑函包括下列内容：</w:t>
      </w:r>
    </w:p>
    <w:p w14:paraId="5555B08F">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（一）提出质疑的质疑人的名称、地址、邮编、联系人及联系电话等；</w:t>
      </w:r>
    </w:p>
    <w:p w14:paraId="2E2EEE71">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（二）质疑项目的名称、编号；</w:t>
      </w:r>
    </w:p>
    <w:p w14:paraId="780F0A58">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（三）质疑事项；</w:t>
      </w:r>
    </w:p>
    <w:p w14:paraId="5394A631">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（四）事实依据和证明材料；</w:t>
      </w:r>
    </w:p>
    <w:p w14:paraId="56A79426">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（五）法律依据；</w:t>
      </w:r>
    </w:p>
    <w:p w14:paraId="09330401">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（六）提出质疑的日期。</w:t>
      </w:r>
    </w:p>
    <w:p w14:paraId="6DB449F3">
      <w:pPr>
        <w:pageBreakBefore w:val="0"/>
        <w:widowControl w:val="0"/>
        <w:kinsoku/>
        <w:wordWrap/>
        <w:overflowPunct/>
        <w:topLinePunct w:val="0"/>
        <w:bidi w:val="0"/>
        <w:spacing w:line="360" w:lineRule="exact"/>
        <w:ind w:left="718" w:leftChars="342"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质疑函采用实名制。质疑人为自然人的应当由本人签字，并附有效身份证明文件；质疑人为法人或者非法人组织的应当由法定代表人或者负责人签字并加盖公章，并附有效身份证明文件。</w:t>
      </w:r>
    </w:p>
    <w:p w14:paraId="4DDB9D07">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 xml:space="preserve">  质疑人可以委托代理人进行质疑。代理人应当提交授权委托书。授权委托书应当载明委托代理的具体权限、期限和相关事项。</w:t>
      </w:r>
    </w:p>
    <w:p w14:paraId="2D8A8A57">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质疑的审查和受理</w:t>
      </w:r>
    </w:p>
    <w:p w14:paraId="7D5081C5">
      <w:pPr>
        <w:pageBreakBefore w:val="0"/>
        <w:widowControl w:val="0"/>
        <w:kinsoku/>
        <w:wordWrap/>
        <w:overflowPunct/>
        <w:topLinePunct w:val="0"/>
        <w:bidi w:val="0"/>
        <w:spacing w:line="360" w:lineRule="exact"/>
        <w:ind w:left="718" w:leftChars="342" w:firstLine="0" w:firstLine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采购方在收到质疑函后应当及时审查是否符合质疑受理条件，对符合质疑受理条件的，及时予以受理。</w:t>
      </w:r>
    </w:p>
    <w:p w14:paraId="722D8F7F">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对不符合质疑受理条件的，分别按照下列不同情形予以处理：</w:t>
      </w:r>
    </w:p>
    <w:p w14:paraId="4B2C8775">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（一）质疑函内容不符合规定的，告知质疑人进行修改并重新提出质疑。修改后质疑事项仍不具体、不明确或者最终递交质疑函的时间超过质疑法定期限的，不予受理；</w:t>
      </w:r>
    </w:p>
    <w:p w14:paraId="59B8C1C3">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（二）质疑主体不符合有关规定的，告知质疑人不予受理；</w:t>
      </w:r>
    </w:p>
    <w:p w14:paraId="0CB9FA4B">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（三）超过质疑法定期限提出质疑的，告知质疑人不予受理；</w:t>
      </w:r>
    </w:p>
    <w:p w14:paraId="00CE7759">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（四）对不属于可以提出质疑的政府采购事项提出质疑的，告知质疑人不予受理；</w:t>
      </w:r>
    </w:p>
    <w:p w14:paraId="360A9449">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（五）质疑不属于本项目采购方管辖的，告知质疑人向有管辖权的采购人提出质疑；</w:t>
      </w:r>
    </w:p>
    <w:p w14:paraId="24ED44B3">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（六）质疑不符合其他条件的，告知质疑人不予受理。</w:t>
      </w:r>
    </w:p>
    <w:p w14:paraId="3199C68C">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质疑的处理和答复</w:t>
      </w:r>
    </w:p>
    <w:p w14:paraId="0B31288C">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  采购方受理质疑后，将及时把质疑函发送给被质疑人，并要求其在一定限期内提交书面答复，同时提供有关证据、依据和相关材料。</w:t>
      </w:r>
    </w:p>
    <w:p w14:paraId="34035D5F">
      <w:pPr>
        <w:pageBreakBefore w:val="0"/>
        <w:widowControl w:val="0"/>
        <w:kinsoku/>
        <w:wordWrap/>
        <w:overflowPunct/>
        <w:topLinePunct w:val="0"/>
        <w:bidi w:val="0"/>
        <w:spacing w:line="360" w:lineRule="exact"/>
        <w:ind w:left="960" w:leftChars="0" w:hanging="960" w:hangingChars="4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 xml:space="preserve">  对于质疑事项中涉及的问题较多、情况比较复杂的，为了全面查清事实、取得充分的证据，采购方认为有必要时，可以进行调查取证或者组织质证。</w:t>
      </w:r>
    </w:p>
    <w:p w14:paraId="56F29D57">
      <w:pPr>
        <w:pageBreakBefore w:val="0"/>
        <w:widowControl w:val="0"/>
        <w:kinsoku/>
        <w:wordWrap/>
        <w:overflowPunct/>
        <w:topLinePunct w:val="0"/>
        <w:bidi w:val="0"/>
        <w:spacing w:line="360" w:lineRule="exact"/>
        <w:ind w:left="960" w:leftChars="0" w:hanging="960" w:hangingChars="4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 xml:space="preserve">  对评审过程、中标结果提出质疑的，采购方可以组织原评审委员会协助答复质疑。</w:t>
      </w:r>
    </w:p>
    <w:p w14:paraId="083FCD3E">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质疑处理过程中，质疑人书面申请撤回质疑的，将终止质疑处理程序。</w:t>
      </w:r>
    </w:p>
    <w:p w14:paraId="01706FD7">
      <w:pPr>
        <w:pageBreakBefore w:val="0"/>
        <w:widowControl w:val="0"/>
        <w:kinsoku/>
        <w:wordWrap/>
        <w:overflowPunct/>
        <w:topLinePunct w:val="0"/>
        <w:bidi w:val="0"/>
        <w:spacing w:line="360" w:lineRule="exact"/>
        <w:ind w:left="960" w:leftChars="0" w:hanging="960" w:hangingChars="4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4B4F83C4">
      <w:pPr>
        <w:pageBreakBefore w:val="0"/>
        <w:widowControl w:val="0"/>
        <w:kinsoku/>
        <w:wordWrap/>
        <w:overflowPunct/>
        <w:topLinePunct w:val="0"/>
        <w:bidi w:val="0"/>
        <w:spacing w:line="360" w:lineRule="exact"/>
        <w:ind w:left="720" w:leftChars="0" w:hanging="720" w:hangingChars="3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14:paraId="1FDC413D">
      <w:pPr>
        <w:pageBreakBefore w:val="0"/>
        <w:widowControl w:val="0"/>
        <w:kinsoku/>
        <w:wordWrap/>
        <w:overflowPunct/>
        <w:topLinePunct w:val="0"/>
        <w:bidi w:val="0"/>
        <w:spacing w:line="360" w:lineRule="exact"/>
        <w:ind w:left="0" w:leftChars="0"/>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采购方将在正式受理质疑后7个工作日内作出答复。</w:t>
      </w:r>
      <w:r>
        <w:rPr>
          <w:rFonts w:hint="eastAsia" w:ascii="宋体" w:hAnsi="宋体" w:eastAsia="宋体" w:cs="宋体"/>
          <w:color w:val="auto"/>
          <w:sz w:val="24"/>
          <w:szCs w:val="24"/>
          <w:highlight w:val="none"/>
          <w:lang w:val="en-US" w:eastAsia="zh-CN"/>
        </w:rPr>
        <w:t xml:space="preserve"> </w:t>
      </w:r>
    </w:p>
    <w:p w14:paraId="66F46722">
      <w:pPr>
        <w:pStyle w:val="24"/>
        <w:pageBreakBefore w:val="0"/>
        <w:widowControl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质疑答复应当包括下列内容：</w:t>
      </w:r>
    </w:p>
    <w:p w14:paraId="5F7C2750">
      <w:pPr>
        <w:pStyle w:val="24"/>
        <w:pageBreakBefore w:val="0"/>
        <w:widowControl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（一）质疑人的姓名或者名称；</w:t>
      </w:r>
    </w:p>
    <w:p w14:paraId="777E34BF">
      <w:pPr>
        <w:pStyle w:val="24"/>
        <w:pageBreakBefore w:val="0"/>
        <w:widowControl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（二）收到质疑函的日期、质疑项目名称及编号；</w:t>
      </w:r>
    </w:p>
    <w:p w14:paraId="4AAA7E4C">
      <w:pPr>
        <w:pStyle w:val="24"/>
        <w:pageBreakBefore w:val="0"/>
        <w:widowControl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（三）质疑事项、质疑答复的具体内容、事实依据和法律依据；</w:t>
      </w:r>
    </w:p>
    <w:p w14:paraId="42AB5165">
      <w:pPr>
        <w:pStyle w:val="24"/>
        <w:pageBreakBefore w:val="0"/>
        <w:widowControl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（四）告知质疑供应商依法投诉的权利；</w:t>
      </w:r>
    </w:p>
    <w:p w14:paraId="0C78D6CA">
      <w:pPr>
        <w:pStyle w:val="24"/>
        <w:pageBreakBefore w:val="0"/>
        <w:widowControl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（五）质疑答复人名称；</w:t>
      </w:r>
    </w:p>
    <w:p w14:paraId="4A9A6B03">
      <w:pPr>
        <w:pStyle w:val="24"/>
        <w:pageBreakBefore w:val="0"/>
        <w:widowControl w:val="0"/>
        <w:kinsoku/>
        <w:wordWrap/>
        <w:overflowPunct/>
        <w:topLinePunct w:val="0"/>
        <w:bidi w:val="0"/>
        <w:spacing w:line="360" w:lineRule="exact"/>
        <w:ind w:left="0" w:leftChars="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（六）答复质疑的日期。</w:t>
      </w:r>
    </w:p>
    <w:p w14:paraId="2571AA7A">
      <w:pPr>
        <w:rPr>
          <w:rFonts w:hint="eastAsia" w:ascii="宋体" w:hAnsi="宋体" w:eastAsia="宋体" w:cs="宋体"/>
          <w:b/>
          <w:bCs/>
          <w:color w:val="auto"/>
          <w:sz w:val="24"/>
          <w:szCs w:val="24"/>
          <w:highlight w:val="none"/>
        </w:rPr>
      </w:pPr>
      <w:bookmarkStart w:id="1414" w:name="_Toc30855"/>
      <w:bookmarkStart w:id="1415" w:name="_Toc11297"/>
      <w:bookmarkStart w:id="1416" w:name="_Toc2799"/>
      <w:bookmarkStart w:id="1417" w:name="_Toc13021"/>
      <w:bookmarkStart w:id="1418" w:name="_Toc3696"/>
      <w:bookmarkStart w:id="1419" w:name="_Toc6493"/>
      <w:bookmarkStart w:id="1420" w:name="_Toc16553"/>
      <w:bookmarkStart w:id="1421" w:name="_Toc23411"/>
      <w:bookmarkStart w:id="1422" w:name="_Toc30512"/>
      <w:bookmarkStart w:id="1423" w:name="_Toc25636"/>
      <w:bookmarkStart w:id="1424" w:name="_Toc27146"/>
      <w:bookmarkStart w:id="1425" w:name="_Toc1819"/>
      <w:bookmarkStart w:id="1426" w:name="_Toc11973"/>
      <w:bookmarkStart w:id="1427" w:name="_Toc30093"/>
      <w:bookmarkStart w:id="1428" w:name="_Toc9437"/>
      <w:bookmarkStart w:id="1429" w:name="_Toc18518"/>
      <w:bookmarkStart w:id="1430" w:name="_Toc2072"/>
      <w:bookmarkStart w:id="1431" w:name="_Toc27096"/>
      <w:bookmarkStart w:id="1432" w:name="_Toc8353"/>
      <w:bookmarkStart w:id="1433" w:name="_Toc27601"/>
      <w:bookmarkStart w:id="1434" w:name="_Toc12088"/>
      <w:bookmarkStart w:id="1435" w:name="_Toc22908"/>
      <w:bookmarkStart w:id="1436" w:name="_Toc2500"/>
      <w:bookmarkStart w:id="1437" w:name="_Toc1369"/>
      <w:bookmarkStart w:id="1438" w:name="_Toc24946"/>
      <w:r>
        <w:rPr>
          <w:rFonts w:hint="eastAsia" w:ascii="宋体" w:hAnsi="宋体" w:eastAsia="宋体" w:cs="宋体"/>
          <w:b/>
          <w:bCs/>
          <w:color w:val="auto"/>
          <w:sz w:val="24"/>
          <w:szCs w:val="24"/>
          <w:highlight w:val="none"/>
        </w:rPr>
        <w:br w:type="page"/>
      </w:r>
    </w:p>
    <w:p w14:paraId="05E43DCB">
      <w:pPr>
        <w:pageBreakBefore w:val="0"/>
        <w:kinsoku/>
        <w:wordWrap/>
        <w:overflowPunct/>
        <w:topLinePunct w:val="0"/>
        <w:bidi w:val="0"/>
        <w:spacing w:line="360" w:lineRule="exact"/>
        <w:ind w:left="0" w:leftChars="0"/>
        <w:jc w:val="center"/>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质疑函范本</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14:paraId="1E6D43E3">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一、质疑供应商基本信息</w:t>
      </w:r>
    </w:p>
    <w:p w14:paraId="2AD8F648">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r>
        <w:rPr>
          <w:rFonts w:hint="eastAsia" w:ascii="宋体" w:hAnsi="宋体" w:eastAsia="宋体" w:cs="宋体"/>
          <w:color w:val="auto"/>
          <w:sz w:val="24"/>
          <w:szCs w:val="24"/>
          <w:highlight w:val="none"/>
          <w:u w:val="single"/>
        </w:rPr>
        <w:t xml:space="preserve">                                        </w:t>
      </w:r>
    </w:p>
    <w:p w14:paraId="036EA706">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14:paraId="651F76C3">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6515072B">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single"/>
        </w:rPr>
        <w:t xml:space="preserve">                                          </w:t>
      </w:r>
    </w:p>
    <w:p w14:paraId="4825344E">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7D440D1D">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14:paraId="4B33661B">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14:paraId="7465D255">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single"/>
        </w:rPr>
        <w:t xml:space="preserve">                                      </w:t>
      </w:r>
    </w:p>
    <w:p w14:paraId="2CB98C77">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single"/>
        </w:rPr>
        <w:t xml:space="preserve">                 </w:t>
      </w:r>
    </w:p>
    <w:p w14:paraId="4EE71610">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single"/>
        </w:rPr>
        <w:t xml:space="preserve">                                         </w:t>
      </w:r>
    </w:p>
    <w:p w14:paraId="4B122AE9">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采购文件获取日期：</w:t>
      </w:r>
      <w:r>
        <w:rPr>
          <w:rFonts w:hint="eastAsia" w:ascii="宋体" w:hAnsi="宋体" w:eastAsia="宋体" w:cs="宋体"/>
          <w:color w:val="auto"/>
          <w:sz w:val="24"/>
          <w:szCs w:val="24"/>
          <w:highlight w:val="none"/>
          <w:u w:val="single"/>
        </w:rPr>
        <w:t xml:space="preserve">                                           </w:t>
      </w:r>
    </w:p>
    <w:p w14:paraId="3A5170D3">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14:paraId="256F337A">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single"/>
        </w:rPr>
        <w:t xml:space="preserve">                                         </w:t>
      </w:r>
    </w:p>
    <w:p w14:paraId="71F2D980">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single"/>
        </w:rPr>
        <w:t xml:space="preserve">                                          </w:t>
      </w:r>
    </w:p>
    <w:p w14:paraId="0C45E32E">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p>
    <w:p w14:paraId="6400AA91">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p>
    <w:p w14:paraId="33145CB4">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single"/>
        </w:rPr>
        <w:t xml:space="preserve">                                                     </w:t>
      </w:r>
    </w:p>
    <w:p w14:paraId="1E8BDCCD">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30C55237">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3FF683BE">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14:paraId="53891EC4">
      <w:pPr>
        <w:pageBreakBefore w:val="0"/>
        <w:kinsoku/>
        <w:wordWrap/>
        <w:overflowPunct/>
        <w:topLinePunct w:val="0"/>
        <w:bidi w:val="0"/>
        <w:adjustRightInd w:val="0"/>
        <w:snapToGrid w:val="0"/>
        <w:spacing w:line="360" w:lineRule="exact"/>
        <w:ind w:left="0" w:leftChars="0"/>
        <w:textAlignment w:val="auto"/>
        <w:outlineLvl w:val="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single"/>
        </w:rPr>
        <w:t xml:space="preserve">                                               </w:t>
      </w:r>
    </w:p>
    <w:p w14:paraId="423ABA73">
      <w:pPr>
        <w:pageBreakBefore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1F6AD93A">
      <w:pPr>
        <w:pageBreakBefore w:val="0"/>
        <w:kinsoku/>
        <w:wordWrap/>
        <w:overflowPunct/>
        <w:topLinePunct w:val="0"/>
        <w:bidi w:val="0"/>
        <w:spacing w:line="360" w:lineRule="exact"/>
        <w:ind w:left="0" w:leftChars="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4EE25289">
      <w:pPr>
        <w:pageBreakBefore w:val="0"/>
        <w:kinsoku/>
        <w:wordWrap/>
        <w:overflowPunct/>
        <w:topLinePunct w:val="0"/>
        <w:bidi w:val="0"/>
        <w:spacing w:line="360" w:lineRule="exact"/>
        <w:ind w:left="0" w:leftChars="0"/>
        <w:textAlignment w:val="auto"/>
        <w:outlineLvl w:val="9"/>
        <w:rPr>
          <w:rFonts w:hint="eastAsia" w:ascii="宋体" w:hAnsi="宋体" w:eastAsia="宋体" w:cs="宋体"/>
          <w:b/>
          <w:color w:val="auto"/>
          <w:sz w:val="24"/>
          <w:szCs w:val="24"/>
          <w:highlight w:val="none"/>
        </w:rPr>
      </w:pPr>
    </w:p>
    <w:p w14:paraId="658D265B">
      <w:pPr>
        <w:pageBreakBefore w:val="0"/>
        <w:kinsoku/>
        <w:wordWrap/>
        <w:overflowPunct/>
        <w:topLinePunct w:val="0"/>
        <w:bidi w:val="0"/>
        <w:spacing w:line="360" w:lineRule="exact"/>
        <w:ind w:left="0" w:leftChars="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1FB2D28B">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40761F5D">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14:paraId="48ACCED0">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2B883960">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27F4E8E9">
      <w:pPr>
        <w:pageBreakBefore w:val="0"/>
        <w:widowControl/>
        <w:kinsoku/>
        <w:wordWrap/>
        <w:overflowPunct/>
        <w:topLinePunct w:val="0"/>
        <w:bidi w:val="0"/>
        <w:spacing w:line="360" w:lineRule="exact"/>
        <w:ind w:left="0" w:leftChars="0" w:firstLine="480" w:firstLineChars="2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1246D2AB">
      <w:pPr>
        <w:pageBreakBefore w:val="0"/>
        <w:widowControl/>
        <w:kinsoku/>
        <w:wordWrap/>
        <w:overflowPunct/>
        <w:topLinePunct w:val="0"/>
        <w:bidi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63E69EE4">
      <w:pPr>
        <w:pStyle w:val="7"/>
        <w:spacing w:line="400" w:lineRule="exact"/>
        <w:ind w:firstLine="0"/>
        <w:rPr>
          <w:rFonts w:hint="eastAsia" w:ascii="宋体" w:hAnsi="宋体" w:eastAsia="宋体" w:cs="宋体"/>
          <w:color w:val="auto"/>
          <w:kern w:val="2"/>
          <w:sz w:val="21"/>
          <w:szCs w:val="21"/>
          <w:highlight w:val="none"/>
        </w:rPr>
      </w:pPr>
      <w:r>
        <w:rPr>
          <w:rFonts w:hint="eastAsia" w:ascii="宋体" w:hAnsi="宋体" w:eastAsia="宋体" w:cs="宋体"/>
          <w:b/>
          <w:color w:val="auto"/>
          <w:szCs w:val="24"/>
          <w:highlight w:val="none"/>
        </w:rPr>
        <w:br w:type="page"/>
      </w:r>
    </w:p>
    <w:p w14:paraId="661539EC">
      <w:pPr>
        <w:pStyle w:val="7"/>
        <w:ind w:firstLine="0"/>
        <w:jc w:val="center"/>
        <w:outlineLvl w:val="0"/>
        <w:rPr>
          <w:rFonts w:hint="eastAsia" w:ascii="宋体" w:hAnsi="宋体" w:eastAsia="宋体" w:cs="宋体"/>
          <w:b/>
          <w:bCs/>
          <w:color w:val="auto"/>
          <w:sz w:val="32"/>
          <w:szCs w:val="32"/>
          <w:highlight w:val="none"/>
        </w:rPr>
      </w:pPr>
      <w:bookmarkStart w:id="1439" w:name="_Toc29770"/>
      <w:bookmarkStart w:id="1440" w:name="_Toc31373"/>
      <w:bookmarkStart w:id="1441" w:name="_Toc515647802"/>
      <w:bookmarkStart w:id="1442" w:name="_Toc728"/>
      <w:bookmarkStart w:id="1443" w:name="_Toc3574"/>
      <w:bookmarkStart w:id="1444" w:name="_Toc9181"/>
      <w:bookmarkStart w:id="1445" w:name="_Toc28433"/>
      <w:bookmarkStart w:id="1446" w:name="_Toc216582812"/>
      <w:bookmarkStart w:id="1447" w:name="_Toc702"/>
      <w:r>
        <w:rPr>
          <w:rFonts w:hint="eastAsia" w:ascii="宋体" w:hAnsi="宋体" w:eastAsia="宋体" w:cs="宋体"/>
          <w:b/>
          <w:bCs/>
          <w:color w:val="auto"/>
          <w:sz w:val="32"/>
          <w:szCs w:val="32"/>
          <w:highlight w:val="none"/>
          <w:lang w:val="en-US" w:eastAsia="zh-CN"/>
        </w:rPr>
        <w:t>第2章  投标文件格式</w:t>
      </w:r>
      <w:bookmarkEnd w:id="1439"/>
      <w:bookmarkEnd w:id="1440"/>
      <w:bookmarkEnd w:id="1441"/>
      <w:bookmarkEnd w:id="1442"/>
      <w:bookmarkEnd w:id="1443"/>
      <w:bookmarkEnd w:id="1444"/>
      <w:bookmarkEnd w:id="1445"/>
      <w:bookmarkEnd w:id="1446"/>
      <w:bookmarkEnd w:id="1447"/>
    </w:p>
    <w:p w14:paraId="1F10B8CC">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rPr>
      </w:pPr>
      <w:bookmarkStart w:id="1448" w:name="_Toc31132"/>
      <w:bookmarkStart w:id="1449" w:name="_Toc22572"/>
      <w:bookmarkStart w:id="1450" w:name="_Toc17114"/>
      <w:bookmarkStart w:id="1451" w:name="_Toc18974"/>
      <w:bookmarkStart w:id="1452" w:name="_Toc32123"/>
      <w:bookmarkStart w:id="1453" w:name="_Toc18694"/>
      <w:bookmarkStart w:id="1454" w:name="_Toc32079"/>
      <w:bookmarkStart w:id="1455" w:name="_Toc515647803"/>
      <w:bookmarkStart w:id="1456" w:name="_Toc32566"/>
      <w:bookmarkStart w:id="1457" w:name="_Toc16568"/>
      <w:bookmarkStart w:id="1458" w:name="_Toc522"/>
      <w:bookmarkStart w:id="1459" w:name="_Toc14118"/>
      <w:bookmarkStart w:id="1460" w:name="_Toc515647804"/>
      <w:bookmarkStart w:id="1461" w:name="_Toc30630"/>
      <w:bookmarkStart w:id="1462" w:name="_Toc21614"/>
      <w:bookmarkStart w:id="1463" w:name="_Toc30524"/>
      <w:bookmarkStart w:id="1464" w:name="_Toc11138"/>
      <w:bookmarkStart w:id="1465" w:name="_Toc29091"/>
      <w:bookmarkStart w:id="1466" w:name="_Toc13595"/>
      <w:bookmarkStart w:id="1467" w:name="_Toc16750"/>
      <w:bookmarkStart w:id="1468" w:name="_Toc3620"/>
      <w:bookmarkStart w:id="1469" w:name="_Toc216582813"/>
      <w:bookmarkStart w:id="1470" w:name="_Toc520356217"/>
      <w:bookmarkStart w:id="1471" w:name="_Toc480942349"/>
      <w:bookmarkStart w:id="1472" w:name="_Ref467988698"/>
      <w:r>
        <w:rPr>
          <w:rFonts w:hint="eastAsia" w:ascii="宋体" w:hAnsi="宋体" w:eastAsia="宋体" w:cs="宋体"/>
          <w:color w:val="auto"/>
          <w:sz w:val="28"/>
          <w:szCs w:val="28"/>
          <w:highlight w:val="none"/>
        </w:rPr>
        <w:t>第一部分 开标一览表及资格证明文件</w:t>
      </w:r>
      <w:bookmarkEnd w:id="1448"/>
      <w:bookmarkEnd w:id="1449"/>
      <w:bookmarkEnd w:id="1450"/>
      <w:bookmarkEnd w:id="1451"/>
      <w:bookmarkEnd w:id="1452"/>
      <w:bookmarkEnd w:id="1453"/>
      <w:bookmarkEnd w:id="1454"/>
      <w:bookmarkEnd w:id="1455"/>
      <w:bookmarkEnd w:id="1456"/>
    </w:p>
    <w:p w14:paraId="2B2D17D3">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开标一览表</w:t>
      </w:r>
      <w:r>
        <w:rPr>
          <w:rFonts w:hint="eastAsia" w:ascii="宋体" w:hAnsi="宋体" w:eastAsia="宋体" w:cs="宋体"/>
          <w:color w:val="auto"/>
          <w:sz w:val="24"/>
          <w:szCs w:val="24"/>
          <w:highlight w:val="none"/>
          <w:lang w:eastAsia="zh-CN"/>
        </w:rPr>
        <w:t>；</w:t>
      </w:r>
    </w:p>
    <w:p w14:paraId="398E3C5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eastAsia="zh-CN"/>
        </w:rPr>
        <w:t>具有有效的营业执照</w:t>
      </w:r>
      <w:r>
        <w:rPr>
          <w:rFonts w:hint="eastAsia" w:ascii="宋体" w:hAnsi="宋体" w:eastAsia="宋体" w:cs="宋体"/>
          <w:color w:val="auto"/>
          <w:sz w:val="24"/>
          <w:szCs w:val="24"/>
          <w:highlight w:val="none"/>
          <w:lang w:eastAsia="zh-CN"/>
        </w:rPr>
        <w:t>；</w:t>
      </w:r>
    </w:p>
    <w:p w14:paraId="513C9DE4">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.供应商需具备由公安部第三研究所颁发的网络安全等级测评与检测评估机构服务认证证书</w:t>
      </w:r>
      <w:r>
        <w:rPr>
          <w:rFonts w:hint="eastAsia" w:ascii="宋体" w:hAnsi="宋体" w:cs="宋体"/>
          <w:color w:val="auto"/>
          <w:sz w:val="24"/>
          <w:szCs w:val="24"/>
          <w:highlight w:val="none"/>
          <w:lang w:val="en-US" w:eastAsia="zh-CN"/>
        </w:rPr>
        <w:t>；</w:t>
      </w:r>
    </w:p>
    <w:p w14:paraId="62B4031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法定代表人资格证明；</w:t>
      </w:r>
    </w:p>
    <w:p w14:paraId="3F2E0320">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.提供近两年内任意一年的财务审计报告（</w:t>
      </w:r>
      <w:r>
        <w:rPr>
          <w:rFonts w:hint="eastAsia" w:ascii="宋体" w:hAnsi="宋体" w:cs="宋体"/>
          <w:color w:val="auto"/>
          <w:sz w:val="24"/>
          <w:szCs w:val="24"/>
          <w:highlight w:val="none"/>
          <w:lang w:val="en-US" w:eastAsia="zh-CN"/>
        </w:rPr>
        <w:t>成立未满十二个月的新公司可提供近三个月内任意一个月的银行资信证明</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w:t>
      </w:r>
    </w:p>
    <w:p w14:paraId="479D76C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依法缴纳近六个月内任意一个月社会保险证明；</w:t>
      </w:r>
    </w:p>
    <w:p w14:paraId="753BFB51">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依法缴纳近六个月内任意一个月税收证明；</w:t>
      </w:r>
    </w:p>
    <w:p w14:paraId="4C325586">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根据《财政部关于在政府采购活动中查询及使用信用记录有关问题的通知》（财库﹝2016﹞125号）的要求，凡拟参加本次招标项目的供应商，如在“信用中国”网站（https://www.creditchina.gov.cn/）被列入失信被执行人、重大税收违法失信主体名单（信用服务-重点领域严重失信主体名单查询-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采购代理机构或采购人查询为准）；</w:t>
      </w:r>
    </w:p>
    <w:p w14:paraId="5D6EC6E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eastAsia="zh-CN"/>
        </w:rPr>
        <w:t>参加政府采购活动前3年内在经营活动中没有重大违法记录的书面声明</w:t>
      </w:r>
      <w:r>
        <w:rPr>
          <w:rFonts w:hint="eastAsia" w:ascii="宋体" w:hAnsi="宋体" w:eastAsia="宋体" w:cs="宋体"/>
          <w:color w:val="auto"/>
          <w:sz w:val="24"/>
          <w:szCs w:val="24"/>
          <w:highlight w:val="none"/>
          <w:lang w:eastAsia="zh-CN"/>
        </w:rPr>
        <w:t>；</w:t>
      </w:r>
    </w:p>
    <w:p w14:paraId="124F200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缴纳投标保证金的有效凭证；</w:t>
      </w:r>
    </w:p>
    <w:p w14:paraId="58AF848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银行开户许可证复印件或银行基本账户信息(包含：银行账号及开户行名称）；</w:t>
      </w:r>
    </w:p>
    <w:p w14:paraId="6A905D1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.供应商可提供有利于投标的其他资格证明材料。</w:t>
      </w:r>
    </w:p>
    <w:p w14:paraId="59815877">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color w:val="auto"/>
          <w:sz w:val="21"/>
          <w:szCs w:val="21"/>
          <w:highlight w:val="none"/>
        </w:rPr>
      </w:pPr>
    </w:p>
    <w:p w14:paraId="44C37C78">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各供应商应注意以下事项：①本项目要求各投标供应商提供“</w:t>
      </w:r>
      <w:r>
        <w:rPr>
          <w:rFonts w:hint="eastAsia" w:ascii="宋体" w:hAnsi="宋体" w:eastAsia="宋体" w:cs="宋体"/>
          <w:b/>
          <w:bCs/>
          <w:color w:val="auto"/>
          <w:sz w:val="21"/>
          <w:szCs w:val="21"/>
          <w:highlight w:val="none"/>
          <w:lang w:eastAsia="zh-CN"/>
        </w:rPr>
        <w:t>依法缴纳近六个月内任意一个月税收证明</w:t>
      </w:r>
      <w:r>
        <w:rPr>
          <w:rFonts w:hint="eastAsia" w:ascii="宋体" w:hAnsi="宋体" w:eastAsia="宋体" w:cs="宋体"/>
          <w:b/>
          <w:bCs/>
          <w:color w:val="auto"/>
          <w:sz w:val="21"/>
          <w:szCs w:val="21"/>
          <w:highlight w:val="none"/>
        </w:rPr>
        <w:t>”，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w:t>
      </w:r>
    </w:p>
    <w:p w14:paraId="31150D5A">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bookmarkEnd w:id="1457"/>
    <w:bookmarkEnd w:id="1458"/>
    <w:bookmarkEnd w:id="1459"/>
    <w:bookmarkEnd w:id="1460"/>
    <w:bookmarkEnd w:id="1461"/>
    <w:bookmarkEnd w:id="1462"/>
    <w:bookmarkEnd w:id="1463"/>
    <w:bookmarkEnd w:id="1464"/>
    <w:bookmarkEnd w:id="1465"/>
    <w:bookmarkEnd w:id="1466"/>
    <w:bookmarkEnd w:id="1467"/>
    <w:bookmarkEnd w:id="1468"/>
    <w:p w14:paraId="4F721C2B">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473" w:name="_Toc18239"/>
      <w:bookmarkStart w:id="1474" w:name="_Toc22726"/>
      <w:bookmarkStart w:id="1475" w:name="_Toc12356"/>
      <w:r>
        <w:rPr>
          <w:rFonts w:hint="eastAsia" w:ascii="宋体" w:hAnsi="宋体" w:eastAsia="宋体" w:cs="宋体"/>
          <w:b/>
          <w:bCs/>
          <w:color w:val="auto"/>
          <w:kern w:val="2"/>
          <w:sz w:val="24"/>
          <w:szCs w:val="24"/>
          <w:u w:val="none"/>
          <w:lang w:val="en-US" w:eastAsia="zh-CN" w:bidi="ar-SA"/>
        </w:rPr>
        <w:t>1.开标一览表；</w:t>
      </w:r>
      <w:bookmarkEnd w:id="1473"/>
      <w:bookmarkEnd w:id="1474"/>
      <w:bookmarkEnd w:id="1475"/>
    </w:p>
    <w:p w14:paraId="79D090AB">
      <w:pPr>
        <w:pStyle w:val="7"/>
        <w:tabs>
          <w:tab w:val="left" w:pos="5580"/>
        </w:tabs>
        <w:spacing w:line="400" w:lineRule="exact"/>
        <w:ind w:left="1080" w:leftChars="257" w:hanging="540"/>
        <w:jc w:val="center"/>
        <w:rPr>
          <w:rFonts w:hint="eastAsia" w:ascii="宋体" w:hAnsi="宋体" w:eastAsia="宋体" w:cs="宋体"/>
          <w:color w:val="auto"/>
          <w:highlight w:val="none"/>
        </w:rPr>
      </w:pPr>
      <w:bookmarkStart w:id="1476" w:name="_Hlt520356241"/>
      <w:bookmarkEnd w:id="1476"/>
      <w:bookmarkStart w:id="1477" w:name="_Toc494296984"/>
      <w:r>
        <w:rPr>
          <w:rFonts w:hint="eastAsia" w:ascii="宋体" w:hAnsi="宋体" w:eastAsia="宋体" w:cs="宋体"/>
          <w:b/>
          <w:color w:val="auto"/>
          <w:highlight w:val="none"/>
        </w:rPr>
        <w:t>开标一览表</w:t>
      </w:r>
      <w:bookmarkEnd w:id="1477"/>
    </w:p>
    <w:p w14:paraId="57E88FE0">
      <w:pPr>
        <w:tabs>
          <w:tab w:val="left" w:pos="1800"/>
          <w:tab w:val="left" w:pos="5580"/>
        </w:tabs>
        <w:spacing w:line="400" w:lineRule="exact"/>
        <w:ind w:left="1080" w:leftChars="257" w:right="-867" w:rightChars="-413"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项目编号：                          </w:t>
      </w:r>
    </w:p>
    <w:p w14:paraId="76437C93">
      <w:pPr>
        <w:tabs>
          <w:tab w:val="left" w:pos="1800"/>
          <w:tab w:val="left" w:pos="5580"/>
        </w:tabs>
        <w:spacing w:line="400" w:lineRule="exact"/>
        <w:ind w:left="1080" w:leftChars="257" w:right="-867" w:rightChars="-413" w:hanging="54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报价单位：人民币</w:t>
      </w:r>
      <w:r>
        <w:rPr>
          <w:rFonts w:hint="eastAsia" w:ascii="宋体" w:hAnsi="宋体" w:eastAsia="宋体" w:cs="宋体"/>
          <w:color w:val="auto"/>
          <w:sz w:val="24"/>
          <w:highlight w:val="none"/>
          <w:lang w:eastAsia="zh-CN"/>
        </w:rPr>
        <w:t>（</w:t>
      </w:r>
      <w:r>
        <w:rPr>
          <w:rFonts w:hint="eastAsia" w:ascii="宋体" w:hAnsi="宋体" w:eastAsia="宋体" w:cs="宋体"/>
          <w:b/>
          <w:color w:val="auto"/>
          <w:sz w:val="24"/>
          <w:highlight w:val="none"/>
        </w:rPr>
        <w:t>元</w:t>
      </w:r>
      <w:r>
        <w:rPr>
          <w:rFonts w:hint="eastAsia" w:ascii="宋体" w:hAnsi="宋体" w:eastAsia="宋体" w:cs="宋体"/>
          <w:color w:val="auto"/>
          <w:sz w:val="24"/>
          <w:highlight w:val="none"/>
          <w:lang w:eastAsia="zh-CN"/>
        </w:rPr>
        <w:t>）</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color w:val="auto"/>
          <w:sz w:val="24"/>
          <w:highlight w:val="none"/>
          <w:lang w:val="en-US" w:eastAsia="zh-CN"/>
        </w:rPr>
        <w:t>包号：</w:t>
      </w:r>
    </w:p>
    <w:tbl>
      <w:tblPr>
        <w:tblStyle w:val="21"/>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96"/>
        <w:gridCol w:w="1666"/>
        <w:gridCol w:w="1675"/>
        <w:gridCol w:w="1147"/>
        <w:gridCol w:w="1496"/>
        <w:gridCol w:w="1496"/>
      </w:tblGrid>
      <w:tr w14:paraId="261F1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jc w:val="center"/>
        </w:trPr>
        <w:tc>
          <w:tcPr>
            <w:tcW w:w="1496" w:type="dxa"/>
            <w:vAlign w:val="center"/>
          </w:tcPr>
          <w:p w14:paraId="3F560D6D">
            <w:pPr>
              <w:tabs>
                <w:tab w:val="left" w:pos="5580"/>
              </w:tabs>
              <w:spacing w:line="40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项目名称</w:t>
            </w:r>
          </w:p>
        </w:tc>
        <w:tc>
          <w:tcPr>
            <w:tcW w:w="1666" w:type="dxa"/>
            <w:vAlign w:val="center"/>
          </w:tcPr>
          <w:p w14:paraId="653C5B87">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投标总价</w:t>
            </w:r>
          </w:p>
        </w:tc>
        <w:tc>
          <w:tcPr>
            <w:tcW w:w="1675" w:type="dxa"/>
            <w:vAlign w:val="center"/>
          </w:tcPr>
          <w:p w14:paraId="389944A7">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投标保证金</w:t>
            </w:r>
          </w:p>
        </w:tc>
        <w:tc>
          <w:tcPr>
            <w:tcW w:w="1147" w:type="dxa"/>
            <w:vAlign w:val="center"/>
          </w:tcPr>
          <w:p w14:paraId="1FF76178">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交货期</w:t>
            </w:r>
          </w:p>
        </w:tc>
        <w:tc>
          <w:tcPr>
            <w:tcW w:w="1496" w:type="dxa"/>
            <w:vAlign w:val="center"/>
          </w:tcPr>
          <w:p w14:paraId="5D21F499">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交货地点</w:t>
            </w:r>
          </w:p>
        </w:tc>
        <w:tc>
          <w:tcPr>
            <w:tcW w:w="1496" w:type="dxa"/>
            <w:vAlign w:val="center"/>
          </w:tcPr>
          <w:p w14:paraId="67BECD60">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质保期</w:t>
            </w:r>
          </w:p>
        </w:tc>
      </w:tr>
      <w:tr w14:paraId="0697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34" w:hRule="atLeast"/>
          <w:jc w:val="center"/>
        </w:trPr>
        <w:tc>
          <w:tcPr>
            <w:tcW w:w="1496" w:type="dxa"/>
            <w:vAlign w:val="center"/>
          </w:tcPr>
          <w:p w14:paraId="5BB72C82">
            <w:pPr>
              <w:tabs>
                <w:tab w:val="left" w:pos="5580"/>
              </w:tabs>
              <w:spacing w:line="400" w:lineRule="exact"/>
              <w:jc w:val="center"/>
              <w:rPr>
                <w:rFonts w:hint="eastAsia" w:ascii="宋体" w:hAnsi="宋体" w:eastAsia="宋体" w:cs="宋体"/>
                <w:color w:val="auto"/>
                <w:sz w:val="24"/>
                <w:highlight w:val="none"/>
                <w:lang w:val="en-US" w:eastAsia="zh-CN"/>
              </w:rPr>
            </w:pPr>
          </w:p>
        </w:tc>
        <w:tc>
          <w:tcPr>
            <w:tcW w:w="1666" w:type="dxa"/>
            <w:vAlign w:val="center"/>
          </w:tcPr>
          <w:p w14:paraId="60CB2BB1">
            <w:pPr>
              <w:tabs>
                <w:tab w:val="left" w:pos="5580"/>
              </w:tabs>
              <w:spacing w:line="400" w:lineRule="exact"/>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大写：</w:t>
            </w:r>
          </w:p>
          <w:p w14:paraId="2718EB73">
            <w:pPr>
              <w:tabs>
                <w:tab w:val="left" w:pos="5580"/>
              </w:tabs>
              <w:spacing w:line="400" w:lineRule="exact"/>
              <w:jc w:val="both"/>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小写：</w:t>
            </w:r>
          </w:p>
        </w:tc>
        <w:tc>
          <w:tcPr>
            <w:tcW w:w="1675" w:type="dxa"/>
            <w:vAlign w:val="center"/>
          </w:tcPr>
          <w:p w14:paraId="7649AD1A">
            <w:pPr>
              <w:tabs>
                <w:tab w:val="left" w:pos="5580"/>
              </w:tabs>
              <w:spacing w:line="400" w:lineRule="exact"/>
              <w:jc w:val="center"/>
              <w:rPr>
                <w:rFonts w:hint="eastAsia" w:ascii="宋体" w:hAnsi="宋体" w:eastAsia="宋体" w:cs="宋体"/>
                <w:color w:val="auto"/>
                <w:sz w:val="24"/>
                <w:highlight w:val="none"/>
                <w:lang w:val="en-US" w:eastAsia="zh-CN"/>
              </w:rPr>
            </w:pPr>
          </w:p>
        </w:tc>
        <w:tc>
          <w:tcPr>
            <w:tcW w:w="1147" w:type="dxa"/>
            <w:vAlign w:val="center"/>
          </w:tcPr>
          <w:p w14:paraId="4E74C37A">
            <w:pPr>
              <w:tabs>
                <w:tab w:val="left" w:pos="5580"/>
              </w:tabs>
              <w:spacing w:line="400" w:lineRule="exact"/>
              <w:jc w:val="center"/>
              <w:rPr>
                <w:rFonts w:hint="eastAsia" w:ascii="宋体" w:hAnsi="宋体" w:eastAsia="宋体" w:cs="宋体"/>
                <w:color w:val="auto"/>
                <w:sz w:val="24"/>
                <w:highlight w:val="none"/>
                <w:lang w:val="en-US" w:eastAsia="zh-CN"/>
              </w:rPr>
            </w:pPr>
          </w:p>
        </w:tc>
        <w:tc>
          <w:tcPr>
            <w:tcW w:w="1496" w:type="dxa"/>
            <w:vAlign w:val="center"/>
          </w:tcPr>
          <w:p w14:paraId="6A835469">
            <w:pPr>
              <w:tabs>
                <w:tab w:val="left" w:pos="5580"/>
              </w:tabs>
              <w:spacing w:line="400" w:lineRule="exact"/>
              <w:jc w:val="center"/>
              <w:rPr>
                <w:rFonts w:hint="eastAsia" w:ascii="宋体" w:hAnsi="宋体" w:eastAsia="宋体" w:cs="宋体"/>
                <w:color w:val="auto"/>
                <w:sz w:val="24"/>
                <w:highlight w:val="none"/>
                <w:lang w:val="en-US" w:eastAsia="zh-CN"/>
              </w:rPr>
            </w:pPr>
          </w:p>
        </w:tc>
        <w:tc>
          <w:tcPr>
            <w:tcW w:w="1496" w:type="dxa"/>
            <w:vAlign w:val="center"/>
          </w:tcPr>
          <w:p w14:paraId="7C593E3A">
            <w:pPr>
              <w:tabs>
                <w:tab w:val="left" w:pos="5580"/>
              </w:tabs>
              <w:spacing w:line="400" w:lineRule="exact"/>
              <w:jc w:val="center"/>
              <w:rPr>
                <w:rFonts w:hint="eastAsia" w:ascii="宋体" w:hAnsi="宋体" w:eastAsia="宋体" w:cs="宋体"/>
                <w:color w:val="auto"/>
                <w:sz w:val="24"/>
                <w:highlight w:val="none"/>
                <w:lang w:val="en-US" w:eastAsia="zh-CN"/>
              </w:rPr>
            </w:pPr>
          </w:p>
        </w:tc>
      </w:tr>
    </w:tbl>
    <w:p w14:paraId="0AA69727">
      <w:pPr>
        <w:pStyle w:val="12"/>
        <w:tabs>
          <w:tab w:val="left" w:pos="5580"/>
        </w:tabs>
        <w:spacing w:line="400" w:lineRule="exact"/>
        <w:ind w:left="1080" w:leftChars="257" w:hanging="540"/>
        <w:rPr>
          <w:rFonts w:hint="eastAsia" w:ascii="宋体" w:hAnsi="宋体" w:eastAsia="宋体" w:cs="宋体"/>
          <w:color w:val="auto"/>
          <w:sz w:val="24"/>
          <w:highlight w:val="none"/>
        </w:rPr>
      </w:pPr>
    </w:p>
    <w:p w14:paraId="01506854">
      <w:pPr>
        <w:pStyle w:val="12"/>
        <w:tabs>
          <w:tab w:val="left" w:pos="5580"/>
        </w:tabs>
        <w:spacing w:line="400" w:lineRule="exact"/>
        <w:ind w:left="1080" w:leftChars="257" w:hanging="540"/>
        <w:rPr>
          <w:rFonts w:hint="eastAsia" w:ascii="宋体" w:hAnsi="宋体" w:eastAsia="宋体" w:cs="宋体"/>
          <w:color w:val="auto"/>
          <w:sz w:val="24"/>
          <w:highlight w:val="none"/>
          <w:u w:val="single"/>
        </w:rPr>
      </w:pPr>
    </w:p>
    <w:p w14:paraId="07B34877">
      <w:pPr>
        <w:pStyle w:val="12"/>
        <w:tabs>
          <w:tab w:val="left" w:pos="5580"/>
        </w:tabs>
        <w:spacing w:line="400" w:lineRule="exact"/>
        <w:ind w:left="1080" w:leftChars="257"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r>
        <w:rPr>
          <w:rFonts w:hint="eastAsia" w:ascii="宋体" w:hAnsi="宋体" w:eastAsia="宋体" w:cs="宋体"/>
          <w:color w:val="auto"/>
          <w:sz w:val="24"/>
          <w:highlight w:val="none"/>
          <w:u w:val="single"/>
        </w:rPr>
        <w:t xml:space="preserve">                       </w:t>
      </w:r>
    </w:p>
    <w:p w14:paraId="3A5B57B1">
      <w:pPr>
        <w:pStyle w:val="12"/>
        <w:tabs>
          <w:tab w:val="left" w:pos="5580"/>
        </w:tabs>
        <w:spacing w:line="400" w:lineRule="exact"/>
        <w:ind w:left="1080" w:leftChars="257" w:hanging="54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签字或盖章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ab/>
      </w:r>
    </w:p>
    <w:p w14:paraId="22D2685A">
      <w:pPr>
        <w:pStyle w:val="12"/>
        <w:tabs>
          <w:tab w:val="left" w:pos="5580"/>
        </w:tabs>
        <w:spacing w:line="400" w:lineRule="exact"/>
        <w:ind w:left="1080" w:leftChars="257" w:hanging="540"/>
        <w:rPr>
          <w:rFonts w:hint="eastAsia" w:ascii="宋体" w:hAnsi="宋体" w:eastAsia="宋体" w:cs="宋体"/>
          <w:color w:val="auto"/>
          <w:sz w:val="24"/>
          <w:highlight w:val="none"/>
        </w:rPr>
      </w:pPr>
    </w:p>
    <w:p w14:paraId="2BACECEA">
      <w:pPr>
        <w:pStyle w:val="12"/>
        <w:tabs>
          <w:tab w:val="left" w:pos="5580"/>
        </w:tabs>
        <w:spacing w:line="400" w:lineRule="exact"/>
        <w:ind w:left="741" w:leftChars="353"/>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注:1、此表中，投标总价应和投标分项报价表的总价相一致。</w:t>
      </w:r>
    </w:p>
    <w:p w14:paraId="446FB63D">
      <w:pPr>
        <w:pStyle w:val="12"/>
        <w:tabs>
          <w:tab w:val="left" w:pos="5580"/>
        </w:tabs>
        <w:spacing w:line="400" w:lineRule="exact"/>
        <w:ind w:left="741" w:leftChars="353"/>
        <w:rPr>
          <w:rFonts w:hint="eastAsia" w:ascii="宋体" w:hAnsi="宋体" w:eastAsia="宋体" w:cs="宋体"/>
          <w:b/>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、投标商报价时包含税费等一切与本次项目相关的费用。</w:t>
      </w:r>
    </w:p>
    <w:p w14:paraId="4DEEA0B5">
      <w:pPr>
        <w:pStyle w:val="12"/>
        <w:tabs>
          <w:tab w:val="left" w:pos="5580"/>
        </w:tabs>
        <w:spacing w:line="240" w:lineRule="atLeast"/>
        <w:rPr>
          <w:rFonts w:hint="eastAsia" w:ascii="宋体" w:hAnsi="宋体" w:eastAsia="宋体" w:cs="宋体"/>
          <w:b/>
          <w:color w:val="auto"/>
          <w:sz w:val="24"/>
          <w:highlight w:val="none"/>
        </w:rPr>
      </w:pPr>
    </w:p>
    <w:p w14:paraId="2AE31567">
      <w:pPr>
        <w:pStyle w:val="12"/>
        <w:tabs>
          <w:tab w:val="left" w:pos="5580"/>
        </w:tabs>
        <w:spacing w:line="240" w:lineRule="atLeast"/>
        <w:rPr>
          <w:rFonts w:hint="eastAsia" w:ascii="宋体" w:hAnsi="宋体" w:eastAsia="宋体" w:cs="宋体"/>
          <w:b/>
          <w:color w:val="auto"/>
          <w:sz w:val="24"/>
          <w:highlight w:val="none"/>
        </w:rPr>
      </w:pPr>
    </w:p>
    <w:p w14:paraId="179A71A2">
      <w:pPr>
        <w:pStyle w:val="12"/>
        <w:tabs>
          <w:tab w:val="left" w:pos="5580"/>
        </w:tabs>
        <w:spacing w:line="240" w:lineRule="atLeast"/>
        <w:rPr>
          <w:rFonts w:hint="eastAsia" w:ascii="宋体" w:hAnsi="宋体" w:eastAsia="宋体" w:cs="宋体"/>
          <w:b/>
          <w:color w:val="auto"/>
          <w:sz w:val="24"/>
          <w:highlight w:val="none"/>
        </w:rPr>
      </w:pPr>
    </w:p>
    <w:p w14:paraId="5E601FBA">
      <w:pPr>
        <w:pStyle w:val="12"/>
        <w:tabs>
          <w:tab w:val="left" w:pos="5580"/>
        </w:tabs>
        <w:spacing w:line="240" w:lineRule="atLeast"/>
        <w:rPr>
          <w:rFonts w:hint="eastAsia" w:ascii="宋体" w:hAnsi="宋体" w:eastAsia="宋体" w:cs="宋体"/>
          <w:b/>
          <w:color w:val="auto"/>
          <w:sz w:val="24"/>
          <w:highlight w:val="none"/>
        </w:rPr>
      </w:pPr>
    </w:p>
    <w:p w14:paraId="5402FFA3">
      <w:pPr>
        <w:pStyle w:val="12"/>
        <w:tabs>
          <w:tab w:val="left" w:pos="5580"/>
        </w:tabs>
        <w:spacing w:line="240" w:lineRule="atLeast"/>
        <w:rPr>
          <w:rFonts w:hint="eastAsia" w:ascii="宋体" w:hAnsi="宋体" w:eastAsia="宋体" w:cs="宋体"/>
          <w:b/>
          <w:color w:val="auto"/>
          <w:sz w:val="24"/>
          <w:highlight w:val="none"/>
        </w:rPr>
      </w:pPr>
    </w:p>
    <w:p w14:paraId="6798534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478" w:name="_Toc23230"/>
      <w:bookmarkStart w:id="1479" w:name="_Toc5222"/>
      <w:bookmarkStart w:id="1480" w:name="_Toc3446"/>
      <w:r>
        <w:rPr>
          <w:rFonts w:hint="eastAsia" w:ascii="宋体" w:hAnsi="宋体" w:eastAsia="宋体" w:cs="宋体"/>
          <w:b/>
          <w:bCs/>
          <w:color w:val="auto"/>
          <w:kern w:val="2"/>
          <w:sz w:val="24"/>
          <w:szCs w:val="24"/>
          <w:u w:val="none"/>
          <w:lang w:val="en-US" w:eastAsia="zh-CN" w:bidi="ar-SA"/>
        </w:rPr>
        <w:t>2.具有有效的营业执照；</w:t>
      </w:r>
      <w:bookmarkEnd w:id="1478"/>
      <w:bookmarkEnd w:id="1479"/>
      <w:bookmarkEnd w:id="1480"/>
    </w:p>
    <w:p w14:paraId="6092CDA1">
      <w:pPr>
        <w:pStyle w:val="12"/>
        <w:tabs>
          <w:tab w:val="left" w:pos="5580"/>
        </w:tabs>
        <w:spacing w:line="240" w:lineRule="atLeast"/>
        <w:rPr>
          <w:rFonts w:hint="eastAsia" w:ascii="宋体" w:hAnsi="宋体" w:eastAsia="宋体" w:cs="宋体"/>
          <w:b/>
          <w:color w:val="auto"/>
          <w:sz w:val="24"/>
          <w:highlight w:val="none"/>
        </w:rPr>
      </w:pPr>
    </w:p>
    <w:p w14:paraId="08DA6239">
      <w:pPr>
        <w:pStyle w:val="12"/>
        <w:tabs>
          <w:tab w:val="left" w:pos="5580"/>
        </w:tabs>
        <w:spacing w:line="240" w:lineRule="atLeast"/>
        <w:rPr>
          <w:rFonts w:hint="eastAsia" w:ascii="宋体" w:hAnsi="宋体" w:eastAsia="宋体" w:cs="宋体"/>
          <w:b/>
          <w:color w:val="auto"/>
          <w:sz w:val="24"/>
          <w:highlight w:val="none"/>
        </w:rPr>
      </w:pPr>
    </w:p>
    <w:p w14:paraId="73A6520F">
      <w:pPr>
        <w:pStyle w:val="12"/>
        <w:tabs>
          <w:tab w:val="left" w:pos="5580"/>
        </w:tabs>
        <w:spacing w:line="240" w:lineRule="atLeast"/>
        <w:outlineLvl w:val="9"/>
        <w:rPr>
          <w:rFonts w:hint="eastAsia" w:ascii="宋体" w:hAnsi="宋体" w:eastAsia="宋体" w:cs="宋体"/>
          <w:b/>
          <w:color w:val="auto"/>
          <w:sz w:val="24"/>
          <w:highlight w:val="none"/>
        </w:rPr>
      </w:pPr>
    </w:p>
    <w:p w14:paraId="4F47E97D">
      <w:pPr>
        <w:pStyle w:val="12"/>
        <w:tabs>
          <w:tab w:val="left" w:pos="5580"/>
        </w:tabs>
        <w:spacing w:line="240" w:lineRule="atLeast"/>
        <w:outlineLvl w:val="9"/>
        <w:rPr>
          <w:rFonts w:hint="eastAsia" w:ascii="宋体" w:hAnsi="宋体" w:eastAsia="宋体" w:cs="宋体"/>
          <w:b/>
          <w:color w:val="auto"/>
          <w:sz w:val="24"/>
          <w:highlight w:val="none"/>
        </w:rPr>
      </w:pPr>
    </w:p>
    <w:p w14:paraId="01B6252E">
      <w:pPr>
        <w:pStyle w:val="12"/>
        <w:tabs>
          <w:tab w:val="left" w:pos="5580"/>
        </w:tabs>
        <w:spacing w:line="240" w:lineRule="atLeast"/>
        <w:outlineLvl w:val="9"/>
        <w:rPr>
          <w:rFonts w:hint="eastAsia" w:ascii="宋体" w:hAnsi="宋体" w:eastAsia="宋体" w:cs="宋体"/>
          <w:b/>
          <w:color w:val="auto"/>
          <w:sz w:val="24"/>
          <w:highlight w:val="none"/>
        </w:rPr>
      </w:pPr>
    </w:p>
    <w:p w14:paraId="15BC1EBD">
      <w:pPr>
        <w:pStyle w:val="12"/>
        <w:tabs>
          <w:tab w:val="left" w:pos="5580"/>
        </w:tabs>
        <w:spacing w:line="240" w:lineRule="atLeast"/>
        <w:outlineLvl w:val="9"/>
        <w:rPr>
          <w:rFonts w:hint="eastAsia" w:ascii="宋体" w:hAnsi="宋体" w:eastAsia="宋体" w:cs="宋体"/>
          <w:b/>
          <w:color w:val="auto"/>
          <w:sz w:val="24"/>
          <w:highlight w:val="none"/>
        </w:rPr>
      </w:pPr>
    </w:p>
    <w:p w14:paraId="67584C39">
      <w:pPr>
        <w:outlineLvl w:val="9"/>
        <w:rPr>
          <w:rFonts w:hint="eastAsia" w:ascii="宋体" w:hAnsi="宋体" w:eastAsia="宋体" w:cs="宋体"/>
          <w:color w:val="auto"/>
          <w:sz w:val="28"/>
          <w:szCs w:val="28"/>
          <w:highlight w:val="none"/>
          <w:lang w:val="en-US" w:eastAsia="zh-CN"/>
        </w:rPr>
      </w:pPr>
      <w:bookmarkStart w:id="1481" w:name="_Toc21782"/>
      <w:bookmarkStart w:id="1482" w:name="_Toc7806"/>
      <w:bookmarkStart w:id="1483" w:name="_Toc16610"/>
      <w:r>
        <w:rPr>
          <w:rFonts w:hint="eastAsia" w:ascii="宋体" w:hAnsi="宋体" w:eastAsia="宋体" w:cs="宋体"/>
          <w:b/>
          <w:bCs/>
          <w:color w:val="auto"/>
          <w:kern w:val="2"/>
          <w:sz w:val="24"/>
          <w:szCs w:val="24"/>
          <w:u w:val="none"/>
          <w:lang w:val="en-US" w:eastAsia="zh-CN" w:bidi="ar-SA"/>
        </w:rPr>
        <w:t>3.</w:t>
      </w:r>
      <w:bookmarkEnd w:id="1481"/>
      <w:bookmarkEnd w:id="1482"/>
      <w:r>
        <w:rPr>
          <w:rFonts w:hint="eastAsia" w:ascii="宋体" w:hAnsi="宋体" w:eastAsia="宋体" w:cs="宋体"/>
          <w:b/>
          <w:bCs/>
          <w:color w:val="auto"/>
          <w:kern w:val="2"/>
          <w:sz w:val="24"/>
          <w:szCs w:val="24"/>
          <w:u w:val="none"/>
          <w:lang w:val="en-US" w:eastAsia="zh-CN" w:bidi="ar-SA"/>
        </w:rPr>
        <w:t>供应商需具备由公安部第三研究所颁发的网络安全等级测评与检测评估机构服务认证证书;</w:t>
      </w:r>
    </w:p>
    <w:p w14:paraId="6BFCE05D">
      <w:pPr>
        <w:pStyle w:val="7"/>
        <w:rPr>
          <w:rFonts w:hint="eastAsia" w:ascii="宋体" w:hAnsi="宋体" w:eastAsia="宋体" w:cs="宋体"/>
          <w:color w:val="auto"/>
          <w:sz w:val="28"/>
          <w:szCs w:val="28"/>
          <w:highlight w:val="none"/>
          <w:lang w:val="en-US" w:eastAsia="zh-CN"/>
        </w:rPr>
      </w:pPr>
    </w:p>
    <w:p w14:paraId="71D1BCA0">
      <w:pPr>
        <w:pStyle w:val="8"/>
        <w:rPr>
          <w:rFonts w:hint="eastAsia" w:ascii="宋体" w:hAnsi="宋体" w:eastAsia="宋体" w:cs="宋体"/>
          <w:highlight w:val="none"/>
          <w:lang w:val="en-US" w:eastAsia="zh-CN"/>
        </w:rPr>
      </w:pPr>
    </w:p>
    <w:p w14:paraId="08661209">
      <w:pPr>
        <w:rPr>
          <w:rFonts w:hint="eastAsia" w:ascii="宋体" w:hAnsi="宋体" w:eastAsia="宋体" w:cs="宋体"/>
          <w:highlight w:val="none"/>
        </w:rPr>
      </w:pPr>
      <w:r>
        <w:rPr>
          <w:rFonts w:hint="eastAsia" w:ascii="宋体" w:hAnsi="宋体" w:eastAsia="宋体" w:cs="宋体"/>
          <w:color w:val="auto"/>
          <w:sz w:val="28"/>
          <w:szCs w:val="28"/>
          <w:highlight w:val="none"/>
          <w:lang w:val="en-US" w:eastAsia="zh-CN"/>
        </w:rPr>
        <w:br w:type="page"/>
      </w:r>
    </w:p>
    <w:p w14:paraId="4D47B4F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484" w:name="_Toc2026"/>
      <w:bookmarkStart w:id="1485" w:name="_Toc15925"/>
      <w:r>
        <w:rPr>
          <w:rFonts w:hint="eastAsia" w:ascii="宋体" w:hAnsi="宋体" w:eastAsia="宋体" w:cs="宋体"/>
          <w:b/>
          <w:bCs/>
          <w:color w:val="auto"/>
          <w:kern w:val="2"/>
          <w:sz w:val="24"/>
          <w:szCs w:val="24"/>
          <w:u w:val="none"/>
          <w:lang w:val="en-US" w:eastAsia="zh-CN" w:bidi="ar-SA"/>
        </w:rPr>
        <w:t>4.法定代表人资格证明；</w:t>
      </w:r>
      <w:bookmarkEnd w:id="1483"/>
      <w:bookmarkEnd w:id="1484"/>
      <w:bookmarkEnd w:id="1485"/>
    </w:p>
    <w:p w14:paraId="361A80B8">
      <w:pPr>
        <w:adjustRightInd w:val="0"/>
        <w:snapToGrid w:val="0"/>
        <w:spacing w:before="240" w:beforeLines="100" w:after="240" w:afterLines="100" w:line="360" w:lineRule="auto"/>
        <w:jc w:val="center"/>
        <w:outlineLvl w:val="9"/>
        <w:rPr>
          <w:rFonts w:hint="eastAsia" w:ascii="宋体" w:hAnsi="宋体" w:eastAsia="宋体" w:cs="宋体"/>
          <w:color w:val="auto"/>
          <w:sz w:val="24"/>
          <w:szCs w:val="24"/>
          <w:highlight w:val="none"/>
        </w:rPr>
      </w:pPr>
      <w:bookmarkStart w:id="1486" w:name="_Toc27898"/>
      <w:bookmarkStart w:id="1487" w:name="_Toc617"/>
      <w:r>
        <w:rPr>
          <w:rFonts w:hint="eastAsia" w:ascii="宋体" w:hAnsi="宋体" w:eastAsia="宋体" w:cs="宋体"/>
          <w:b/>
          <w:color w:val="auto"/>
          <w:sz w:val="24"/>
          <w:szCs w:val="24"/>
          <w:highlight w:val="none"/>
        </w:rPr>
        <w:t>法定代表人</w:t>
      </w:r>
      <w:r>
        <w:rPr>
          <w:rFonts w:hint="eastAsia" w:ascii="宋体" w:hAnsi="宋体" w:eastAsia="宋体" w:cs="宋体"/>
          <w:b/>
          <w:color w:val="auto"/>
          <w:sz w:val="24"/>
          <w:szCs w:val="24"/>
          <w:highlight w:val="none"/>
          <w:lang w:val="en-US" w:eastAsia="zh-CN"/>
        </w:rPr>
        <w:t>资格</w:t>
      </w:r>
      <w:r>
        <w:rPr>
          <w:rFonts w:hint="eastAsia" w:ascii="宋体" w:hAnsi="宋体" w:eastAsia="宋体" w:cs="宋体"/>
          <w:b/>
          <w:color w:val="auto"/>
          <w:sz w:val="24"/>
          <w:szCs w:val="24"/>
          <w:highlight w:val="none"/>
        </w:rPr>
        <w:t>证明</w:t>
      </w:r>
      <w:bookmarkEnd w:id="1486"/>
      <w:bookmarkEnd w:id="1487"/>
    </w:p>
    <w:p w14:paraId="12C8041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同志，现任我单位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职务，为法定代表人，特此证明。</w:t>
      </w:r>
    </w:p>
    <w:p w14:paraId="5488EC1F">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9211EA3">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附：代表人性别：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身份证号码：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6526B4D6">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5607C61">
      <w:pPr>
        <w:spacing w:line="360" w:lineRule="auto"/>
        <w:ind w:firstLine="240" w:firstLineChars="1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具有有效的营业执照</w:t>
      </w:r>
    </w:p>
    <w:p w14:paraId="60B1A2E7">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经济性质：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34E181B">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6E8BCDC5">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1、法定代表人为企业事业单位、国家机关、社会团体的主要行政负责人。</w:t>
      </w:r>
    </w:p>
    <w:p w14:paraId="00C79728">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提供身份证正反面。</w:t>
      </w:r>
    </w:p>
    <w:p w14:paraId="45DD3E82">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内容必须填写真实、清楚、涂改无效，不得转让。</w:t>
      </w:r>
    </w:p>
    <w:p w14:paraId="0F20BD6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0" distR="0" simplePos="0" relativeHeight="251659264" behindDoc="0" locked="0" layoutInCell="1" allowOverlap="1">
                <wp:simplePos x="0" y="0"/>
                <wp:positionH relativeFrom="column">
                  <wp:posOffset>154305</wp:posOffset>
                </wp:positionH>
                <wp:positionV relativeFrom="paragraph">
                  <wp:posOffset>10795</wp:posOffset>
                </wp:positionV>
                <wp:extent cx="2333625" cy="1584325"/>
                <wp:effectExtent l="4445" t="4445" r="8890" b="11430"/>
                <wp:wrapNone/>
                <wp:docPr id="1026"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084291EE">
                            <w:pPr>
                              <w:jc w:val="center"/>
                              <w:rPr>
                                <w:rFonts w:hAnsi="宋体"/>
                                <w:szCs w:val="21"/>
                              </w:rPr>
                            </w:pPr>
                          </w:p>
                          <w:p w14:paraId="3408C781">
                            <w:pPr>
                              <w:jc w:val="center"/>
                              <w:rPr>
                                <w:rFonts w:hAnsi="宋体"/>
                                <w:szCs w:val="21"/>
                              </w:rPr>
                            </w:pPr>
                          </w:p>
                          <w:p w14:paraId="19F9974A">
                            <w:pPr>
                              <w:jc w:val="center"/>
                              <w:rPr>
                                <w:rFonts w:hAnsi="宋体"/>
                                <w:szCs w:val="21"/>
                              </w:rPr>
                            </w:pPr>
                          </w:p>
                          <w:p w14:paraId="3ADD9F19">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流程图: 可选过程 14" o:spid="_x0000_s1026" o:spt="176" type="#_x0000_t176" style="position:absolute;left:0pt;margin-left:12.15pt;margin-top:0.85pt;height:124.75pt;width:183.75pt;z-index:251659264;mso-width-relative:page;mso-height-relative:page;" fillcolor="#FFFFFF" filled="t" stroked="t" coordsize="21600,21600" o:gfxdata="UEsDBAoAAAAAAIdO4kAAAAAAAAAAAAAAAAAEAAAAZHJzL1BLAwQUAAAACACHTuJAeVk69dYAAAAI&#10;AQAADwAAAGRycy9kb3ducmV2LnhtbE2PzU7DMBCE70i8g7VI3KjjBPqTxqkQCE5cCJW4OrGJo8br&#10;KHbSwNOznOhxZ0az3xSHxfVsNmPoPEoQqwSYwcbrDlsJx4+Xuy2wEBVq1Xs0Er5NgEN5fVWoXPsz&#10;vpu5ii2jEgy5kmBjHHLOQ2ONU2HlB4PkffnRqUjn2HI9qjOVu56nSbLmTnVIH6wazJM1zamanITl&#10;7afeTa+iqaLdrjef2fz8eORS3t6IZA8smiX+h+EPn9ChJKbaT6gD6yWk9xklSd8AIzvbCVpSk/4g&#10;UuBlwS8HlL9QSwMEFAAAAAgAh07iQJm44uc1AgAAYgQAAA4AAABkcnMvZTJvRG9jLnhtbK1UzY7T&#10;MBC+I/EOlu80abutlqjpCm0pFwSVFh5g6jiJJf9hu017gxNCHHgAXoAbJ67wNMvPWzB2SvcHDnsg&#10;h2Rsz3wz3zfjzM52SpItd14YXdLhIKeEa2YqoZuSvnyxfHBKiQ+gK5BG85Luuadn8/v3Zp0t+Mi0&#10;RlbcEQTRvuhsSdsQbJFlnrVcgR8YyzUe1sYpCLh0TVY56BBdyWyU59OsM66yzjDuPe4u+kN6QHR3&#10;ATR1LRhfGLZRXIce1XEJASn5VlhP56nauuYsPK9rzwORJUWmIb0xCdrr+M7mMygaB7YV7FAC3KWE&#10;W5wUCI1Jj1ALCEA2TvwFpQRzxps6DJhRWU8kKYIshvktbS5asDxxQam9PYru/x8se7ZdOSIqnIR8&#10;NKVEg8Kef//y5sen95cfvxbk8sPnX6/f/fz2FjfI8CQK1llfYNyFXbnDyqMZ2e9qp+IXeZFdEnl/&#10;FJnvAmG4ORqPx9PRhBKGZ8PJ6ckYF4iTXYVb58MTbhSJRklrabrzFlx4JAN3GgJf9eOTFIftUx/6&#10;+D9xsQRvpKiWQsq0cM36XDqyBRyDZXoOKW+4SU26kj6cpOoAZ7vGmcJClUV9vG5SvhsR/jpwnp5/&#10;AcfCFuDbvoCEEN2gUAIZJavlUD3WFQl7iw3QePVoLEbxihLJ8aZGK3kGEPIuniio1KhrbFffoGiF&#10;3XqHMNFcm2qPze9w+pHeqw04zLmxTjQtqj5MRKIfjl5qz+GaxNm+vk4prn4N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5WTr11gAAAAgBAAAPAAAAAAAAAAEAIAAAACIAAABkcnMvZG93bnJldi54&#10;bWxQSwECFAAUAAAACACHTuJAmbji5zUCAABiBAAADgAAAAAAAAABACAAAAAlAQAAZHJzL2Uyb0Rv&#10;Yy54bWxQSwUGAAAAAAYABgBZAQAAzAUAAAAA&#10;">
                <v:fill on="t" focussize="0,0"/>
                <v:stroke color="#000000" joinstyle="miter"/>
                <v:imagedata o:title=""/>
                <o:lock v:ext="edit" aspectratio="f"/>
                <v:textbox>
                  <w:txbxContent>
                    <w:p w14:paraId="084291EE">
                      <w:pPr>
                        <w:jc w:val="center"/>
                        <w:rPr>
                          <w:rFonts w:hAnsi="宋体"/>
                          <w:szCs w:val="21"/>
                        </w:rPr>
                      </w:pPr>
                    </w:p>
                    <w:p w14:paraId="3408C781">
                      <w:pPr>
                        <w:jc w:val="center"/>
                        <w:rPr>
                          <w:rFonts w:hAnsi="宋体"/>
                          <w:szCs w:val="21"/>
                        </w:rPr>
                      </w:pPr>
                    </w:p>
                    <w:p w14:paraId="19F9974A">
                      <w:pPr>
                        <w:jc w:val="center"/>
                        <w:rPr>
                          <w:rFonts w:hAnsi="宋体"/>
                          <w:szCs w:val="21"/>
                        </w:rPr>
                      </w:pPr>
                    </w:p>
                    <w:p w14:paraId="3ADD9F19">
                      <w:pPr>
                        <w:jc w:val="center"/>
                        <w:rPr>
                          <w:szCs w:val="21"/>
                        </w:rPr>
                      </w:pPr>
                      <w:r>
                        <w:rPr>
                          <w:rFonts w:hint="eastAsia" w:hAnsi="宋体"/>
                          <w:szCs w:val="21"/>
                        </w:rPr>
                        <w:t>法定代表人身份证复印件</w:t>
                      </w:r>
                    </w:p>
                  </w:txbxContent>
                </v:textbox>
              </v:shape>
            </w:pict>
          </mc:Fallback>
        </mc:AlternateContent>
      </w:r>
      <w:r>
        <w:rPr>
          <w:rFonts w:hint="eastAsia" w:ascii="宋体" w:hAnsi="宋体" w:eastAsia="宋体" w:cs="宋体"/>
          <w:color w:val="auto"/>
          <w:sz w:val="24"/>
          <w:szCs w:val="24"/>
          <w:highlight w:val="none"/>
        </w:rPr>
        <mc:AlternateContent>
          <mc:Choice Requires="wps">
            <w:drawing>
              <wp:anchor distT="0" distB="0" distL="0" distR="0" simplePos="0" relativeHeight="251659264" behindDoc="0" locked="0" layoutInCell="1" allowOverlap="1">
                <wp:simplePos x="0" y="0"/>
                <wp:positionH relativeFrom="column">
                  <wp:posOffset>2918460</wp:posOffset>
                </wp:positionH>
                <wp:positionV relativeFrom="paragraph">
                  <wp:posOffset>28575</wp:posOffset>
                </wp:positionV>
                <wp:extent cx="2392045" cy="1557020"/>
                <wp:effectExtent l="5080" t="4445" r="10795" b="8255"/>
                <wp:wrapNone/>
                <wp:docPr id="1027" name="圆角矩形 15"/>
                <wp:cNvGraphicFramePr/>
                <a:graphic xmlns:a="http://schemas.openxmlformats.org/drawingml/2006/main">
                  <a:graphicData uri="http://schemas.microsoft.com/office/word/2010/wordprocessingShape">
                    <wps:wsp>
                      <wps:cNvSpPr/>
                      <wps:spPr>
                        <a:xfrm>
                          <a:off x="0" y="0"/>
                          <a:ext cx="2392045" cy="155702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14:paraId="2E34BF75">
                            <w:pPr>
                              <w:jc w:val="center"/>
                              <w:rPr>
                                <w:rFonts w:hAnsi="宋体"/>
                                <w:szCs w:val="21"/>
                              </w:rPr>
                            </w:pPr>
                            <w:r>
                              <w:rPr>
                                <w:rFonts w:hint="eastAsia" w:hAnsi="宋体"/>
                                <w:szCs w:val="21"/>
                              </w:rPr>
                              <w:t xml:space="preserve">  </w:t>
                            </w:r>
                          </w:p>
                          <w:p w14:paraId="650CCF27">
                            <w:pPr>
                              <w:jc w:val="center"/>
                              <w:rPr>
                                <w:rFonts w:hAnsi="宋体"/>
                                <w:szCs w:val="21"/>
                              </w:rPr>
                            </w:pPr>
                          </w:p>
                          <w:p w14:paraId="595F9990">
                            <w:pPr>
                              <w:jc w:val="center"/>
                              <w:rPr>
                                <w:rFonts w:hAnsi="宋体"/>
                                <w:szCs w:val="21"/>
                              </w:rPr>
                            </w:pPr>
                          </w:p>
                          <w:p w14:paraId="66228482">
                            <w:pPr>
                              <w:jc w:val="center"/>
                              <w:rPr>
                                <w:szCs w:val="21"/>
                              </w:rPr>
                            </w:pPr>
                            <w:r>
                              <w:rPr>
                                <w:rFonts w:hint="eastAsia" w:hAnsi="宋体"/>
                                <w:szCs w:val="21"/>
                              </w:rPr>
                              <w:t>法定代表人身份证复印件</w:t>
                            </w:r>
                          </w:p>
                          <w:p w14:paraId="73E7F94E"/>
                          <w:p w14:paraId="274D7439">
                            <w:pPr>
                              <w:pStyle w:val="7"/>
                            </w:pPr>
                          </w:p>
                          <w:p w14:paraId="3FF77E8A">
                            <w:pPr>
                              <w:pStyle w:val="7"/>
                            </w:pPr>
                          </w:p>
                          <w:p w14:paraId="22698F2A">
                            <w:pPr>
                              <w:pStyle w:val="7"/>
                            </w:pPr>
                          </w:p>
                          <w:p w14:paraId="686E3360">
                            <w:pPr>
                              <w:pStyle w:val="7"/>
                            </w:pPr>
                          </w:p>
                        </w:txbxContent>
                      </wps:txbx>
                      <wps:bodyPr wrap="square" upright="1"/>
                    </wps:wsp>
                  </a:graphicData>
                </a:graphic>
              </wp:anchor>
            </w:drawing>
          </mc:Choice>
          <mc:Fallback>
            <w:pict>
              <v:roundrect id="圆角矩形 15" o:spid="_x0000_s1026" o:spt="2" style="position:absolute;left:0pt;margin-left:229.8pt;margin-top:2.25pt;height:122.6pt;width:188.35pt;z-index:251659264;mso-width-relative:page;mso-height-relative:page;" fillcolor="#FFFFFF" filled="t" stroked="t" coordsize="21600,21600" arcsize="0.166666666666667" o:gfxdata="UEsDBAoAAAAAAIdO4kAAAAAAAAAAAAAAAAAEAAAAZHJzL1BLAwQUAAAACACHTuJAxQPyOdoAAAAJ&#10;AQAADwAAAGRycy9kb3ducmV2LnhtbE2PMU/DMBCFdyT+g3VIbNRu04YmjdMBCYmBARIGujnxNYmI&#10;z1HsJqW/Hncq2zu9p/e+y/Zn07MJR9dZkrBcCGBItdUdNRK+ytenLTDnFWnVW0IJv+hgn9/fZSrV&#10;dqZPnArfsFBCLlUSWu+HlHNXt2iUW9gBKXhHOxrlwzk2XI9qDuWm5yshYm5UR2GhVQO+tFj/FCcj&#10;YXqLi8u3jQ5JPFfvorwcSvuxkfLxYSl2wDye/S0MV/yADnlgquyJtGO9hPUmiUP0KoAFfxvFEbBK&#10;wmqdPAPPM/7/g/wPUEsDBBQAAAAIAIdO4kDJv7a+NgIAAHMEAAAOAAAAZHJzL2Uyb0RvYy54bWyt&#10;VEuOEzEQ3SNxB8t70h9IwrTSmQUhbBCMmOEAju3uNvIP20l3LsABWCMhsUEcguOMhmNQdprMBxZZ&#10;0ItOuV31/N6rchbng5Jox50XRte4mOQYcU0NE7qt8fur9ZPnGPlANCPSaF7jPff4fPn40aK3FS9N&#10;ZyTjDgGI9lVva9yFYKss87TjiviJsVzDZmOcIgGWrs2YIz2gK5mVeT7LeuOYdYZy7+Hr6rCJR0R3&#10;CqBpGkH5ytCt4jocUB2XJIAk3wnr8TKxbRpOw9um8TwgWWNQGtIbDoF4E9/ZckGq1hHbCTpSIKdQ&#10;eKBJEaHh0CPUigSCtk78BaUEdcabJkyoUdlBSHIEVBT5A28uO2J50gJWe3s03f8/WPpmd+GQYDAJ&#10;eTnHSBMFPb/+8unX9883X39c//yGiml0qbe+guRLe+HGlYcwSh4ap+IviEFDcnZ/dJYPAVH4WD49&#10;K/NnU4wo7BXT6Twvk/fZbbl1PrziRqEY1NiZrWbvoH/JVrJ77UPyl40UCfuAUaMkdGtHJCpms9k8&#10;8gTEMRmiP5ix0hsp2FpImRau3byQDkFpjdfpGYvvpUmN+hqfTcvInMCwNzBkECoLhnndJm73Kvxd&#10;4Dw9/wKOxFbEdwcCCSGmkUqJwF2KOk7YS81Q2FvoiIa7iCMZxRlGksPVjVHKDETIUzLBEKnBodjK&#10;Q/NiFIbNADAx3Bi2h2no4TqAvI9b4uDMrXWi7aAjRRIS82AWk9HjvYnDfnedjrj9r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UD8jnaAAAACQEAAA8AAAAAAAAAAQAgAAAAIgAAAGRycy9kb3du&#10;cmV2LnhtbFBLAQIUABQAAAAIAIdO4kDJv7a+NgIAAHMEAAAOAAAAAAAAAAEAIAAAACkBAABkcnMv&#10;ZTJvRG9jLnhtbFBLBQYAAAAABgAGAFkBAADRBQAAAAA=&#10;">
                <v:fill on="t" focussize="0,0"/>
                <v:stroke color="#000000" joinstyle="miter"/>
                <v:imagedata o:title=""/>
                <o:lock v:ext="edit" aspectratio="f"/>
                <v:textbox>
                  <w:txbxContent>
                    <w:p w14:paraId="2E34BF75">
                      <w:pPr>
                        <w:jc w:val="center"/>
                        <w:rPr>
                          <w:rFonts w:hAnsi="宋体"/>
                          <w:szCs w:val="21"/>
                        </w:rPr>
                      </w:pPr>
                      <w:r>
                        <w:rPr>
                          <w:rFonts w:hint="eastAsia" w:hAnsi="宋体"/>
                          <w:szCs w:val="21"/>
                        </w:rPr>
                        <w:t xml:space="preserve">  </w:t>
                      </w:r>
                    </w:p>
                    <w:p w14:paraId="650CCF27">
                      <w:pPr>
                        <w:jc w:val="center"/>
                        <w:rPr>
                          <w:rFonts w:hAnsi="宋体"/>
                          <w:szCs w:val="21"/>
                        </w:rPr>
                      </w:pPr>
                    </w:p>
                    <w:p w14:paraId="595F9990">
                      <w:pPr>
                        <w:jc w:val="center"/>
                        <w:rPr>
                          <w:rFonts w:hAnsi="宋体"/>
                          <w:szCs w:val="21"/>
                        </w:rPr>
                      </w:pPr>
                    </w:p>
                    <w:p w14:paraId="66228482">
                      <w:pPr>
                        <w:jc w:val="center"/>
                        <w:rPr>
                          <w:szCs w:val="21"/>
                        </w:rPr>
                      </w:pPr>
                      <w:r>
                        <w:rPr>
                          <w:rFonts w:hint="eastAsia" w:hAnsi="宋体"/>
                          <w:szCs w:val="21"/>
                        </w:rPr>
                        <w:t>法定代表人身份证复印件</w:t>
                      </w:r>
                    </w:p>
                    <w:p w14:paraId="73E7F94E"/>
                    <w:p w14:paraId="274D7439">
                      <w:pPr>
                        <w:pStyle w:val="7"/>
                      </w:pPr>
                    </w:p>
                    <w:p w14:paraId="3FF77E8A">
                      <w:pPr>
                        <w:pStyle w:val="7"/>
                      </w:pPr>
                    </w:p>
                    <w:p w14:paraId="22698F2A">
                      <w:pPr>
                        <w:pStyle w:val="7"/>
                      </w:pPr>
                    </w:p>
                    <w:p w14:paraId="686E3360">
                      <w:pPr>
                        <w:pStyle w:val="7"/>
                      </w:pPr>
                    </w:p>
                  </w:txbxContent>
                </v:textbox>
              </v:roundrect>
            </w:pict>
          </mc:Fallback>
        </mc:AlternateContent>
      </w:r>
    </w:p>
    <w:p w14:paraId="324E828B">
      <w:pPr>
        <w:spacing w:line="360" w:lineRule="auto"/>
        <w:rPr>
          <w:rFonts w:hint="eastAsia" w:ascii="宋体" w:hAnsi="宋体" w:eastAsia="宋体" w:cs="宋体"/>
          <w:color w:val="auto"/>
          <w:sz w:val="24"/>
          <w:szCs w:val="24"/>
          <w:highlight w:val="none"/>
        </w:rPr>
      </w:pPr>
    </w:p>
    <w:p w14:paraId="768E7399">
      <w:pPr>
        <w:spacing w:line="360" w:lineRule="auto"/>
        <w:rPr>
          <w:rFonts w:hint="eastAsia" w:ascii="宋体" w:hAnsi="宋体" w:eastAsia="宋体" w:cs="宋体"/>
          <w:color w:val="auto"/>
          <w:sz w:val="24"/>
          <w:szCs w:val="24"/>
          <w:highlight w:val="none"/>
        </w:rPr>
      </w:pPr>
    </w:p>
    <w:p w14:paraId="6EA77D0D">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auto"/>
          <w:sz w:val="24"/>
          <w:szCs w:val="24"/>
          <w:highlight w:val="none"/>
        </w:rPr>
      </w:pPr>
    </w:p>
    <w:p w14:paraId="15A17486">
      <w:pPr>
        <w:autoSpaceDE w:val="0"/>
        <w:autoSpaceDN w:val="0"/>
        <w:adjustRightInd w:val="0"/>
        <w:spacing w:line="360" w:lineRule="auto"/>
        <w:ind w:right="246"/>
        <w:rPr>
          <w:rFonts w:hint="eastAsia" w:ascii="宋体" w:hAnsi="宋体" w:eastAsia="宋体" w:cs="宋体"/>
          <w:color w:val="auto"/>
          <w:kern w:val="0"/>
          <w:sz w:val="24"/>
          <w:szCs w:val="24"/>
          <w:highlight w:val="none"/>
        </w:rPr>
      </w:pPr>
    </w:p>
    <w:p w14:paraId="13305A5D">
      <w:pPr>
        <w:autoSpaceDE w:val="0"/>
        <w:autoSpaceDN w:val="0"/>
        <w:adjustRightInd w:val="0"/>
        <w:spacing w:line="360" w:lineRule="auto"/>
        <w:ind w:right="246"/>
        <w:rPr>
          <w:rFonts w:hint="eastAsia" w:ascii="宋体" w:hAnsi="宋体" w:eastAsia="宋体" w:cs="宋体"/>
          <w:color w:val="auto"/>
          <w:kern w:val="0"/>
          <w:sz w:val="24"/>
          <w:szCs w:val="24"/>
          <w:highlight w:val="none"/>
        </w:rPr>
      </w:pPr>
    </w:p>
    <w:p w14:paraId="2C97929B">
      <w:pPr>
        <w:autoSpaceDE w:val="0"/>
        <w:autoSpaceDN w:val="0"/>
        <w:adjustRightInd w:val="0"/>
        <w:spacing w:line="360" w:lineRule="auto"/>
        <w:ind w:right="246" w:firstLine="784" w:firstLineChars="327"/>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公</w:t>
      </w:r>
      <w:r>
        <w:rPr>
          <w:rFonts w:hint="eastAsia" w:ascii="宋体" w:hAnsi="宋体" w:eastAsia="宋体" w:cs="宋体"/>
          <w:color w:val="auto"/>
          <w:kern w:val="0"/>
          <w:sz w:val="24"/>
          <w:szCs w:val="24"/>
          <w:highlight w:val="none"/>
        </w:rPr>
        <w:t>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57B2510A">
      <w:pPr>
        <w:adjustRightInd w:val="0"/>
        <w:snapToGrid w:val="0"/>
        <w:spacing w:line="360" w:lineRule="auto"/>
        <w:ind w:firstLine="784" w:firstLineChars="327"/>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签/章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77A4E9CB">
      <w:pPr>
        <w:autoSpaceDE w:val="0"/>
        <w:autoSpaceDN w:val="0"/>
        <w:adjustRightInd w:val="0"/>
        <w:spacing w:line="360" w:lineRule="auto"/>
        <w:ind w:right="246" w:firstLine="784" w:firstLineChars="327"/>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日期：</w:t>
      </w:r>
      <w:r>
        <w:rPr>
          <w:rFonts w:hint="eastAsia" w:ascii="宋体" w:hAnsi="宋体" w:eastAsia="宋体" w:cs="宋体"/>
          <w:color w:val="auto"/>
          <w:kern w:val="0"/>
          <w:sz w:val="24"/>
          <w:szCs w:val="24"/>
          <w:highlight w:val="none"/>
          <w:u w:val="single"/>
          <w:lang w:eastAsia="zh-CN"/>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 xml:space="preserve">        </w:t>
      </w:r>
      <w:r>
        <w:rPr>
          <w:rFonts w:hint="eastAsia" w:ascii="宋体" w:hAnsi="宋体" w:eastAsia="宋体" w:cs="宋体"/>
          <w:color w:val="auto"/>
          <w:kern w:val="0"/>
          <w:sz w:val="24"/>
          <w:szCs w:val="24"/>
          <w:highlight w:val="none"/>
          <w:lang w:eastAsia="zh-CN"/>
        </w:rPr>
        <w:t xml:space="preserve">         </w:t>
      </w:r>
    </w:p>
    <w:p w14:paraId="06303208">
      <w:pPr>
        <w:adjustRightInd w:val="0"/>
        <w:snapToGrid w:val="0"/>
        <w:spacing w:line="400" w:lineRule="exact"/>
        <w:ind w:firstLine="784" w:firstLineChars="327"/>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                                  </w:t>
      </w:r>
    </w:p>
    <w:p w14:paraId="7D36F1FD">
      <w:pPr>
        <w:pStyle w:val="12"/>
        <w:tabs>
          <w:tab w:val="left" w:pos="5580"/>
        </w:tabs>
        <w:spacing w:line="400" w:lineRule="exact"/>
        <w:ind w:left="1080" w:leftChars="257"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t>说明：1.供应商为自然人的，应提供身份证明的复印件。</w:t>
      </w:r>
    </w:p>
    <w:p w14:paraId="20D2B61F">
      <w:pPr>
        <w:pStyle w:val="12"/>
        <w:tabs>
          <w:tab w:val="left" w:pos="5580"/>
        </w:tabs>
        <w:spacing w:line="400" w:lineRule="exact"/>
        <w:ind w:left="1080" w:leftChars="257" w:hanging="540"/>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.联合体投标应提供联合体各方满足以上要求的证明文件。</w:t>
      </w:r>
      <w:bookmarkStart w:id="1488" w:name="_Toc22472"/>
      <w:bookmarkStart w:id="1489" w:name="_Toc21867"/>
      <w:bookmarkStart w:id="1490" w:name="_Toc515647807"/>
      <w:bookmarkStart w:id="1491" w:name="_Toc5436"/>
      <w:bookmarkStart w:id="1492" w:name="_Toc16640"/>
      <w:bookmarkStart w:id="1493" w:name="_Toc6829"/>
      <w:bookmarkStart w:id="1494" w:name="_Toc13107"/>
      <w:bookmarkStart w:id="1495" w:name="_Toc1083"/>
    </w:p>
    <w:p w14:paraId="5547F186">
      <w:pPr>
        <w:rPr>
          <w:rFonts w:hint="eastAsia" w:ascii="宋体" w:hAnsi="宋体" w:eastAsia="宋体" w:cs="宋体"/>
          <w:b/>
          <w:bCs/>
          <w:color w:val="auto"/>
          <w:sz w:val="24"/>
          <w:highlight w:val="none"/>
        </w:rPr>
      </w:pPr>
      <w:bookmarkStart w:id="1496" w:name="_Toc6179"/>
      <w:bookmarkStart w:id="1497" w:name="_Toc24769"/>
      <w:bookmarkStart w:id="1498" w:name="_Toc32380"/>
    </w:p>
    <w:p w14:paraId="5DD7B57D">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bookmarkEnd w:id="1488"/>
    <w:bookmarkEnd w:id="1489"/>
    <w:bookmarkEnd w:id="1490"/>
    <w:bookmarkEnd w:id="1491"/>
    <w:bookmarkEnd w:id="1492"/>
    <w:bookmarkEnd w:id="1493"/>
    <w:bookmarkEnd w:id="1494"/>
    <w:bookmarkEnd w:id="1495"/>
    <w:bookmarkEnd w:id="1496"/>
    <w:bookmarkEnd w:id="1497"/>
    <w:bookmarkEnd w:id="1498"/>
    <w:p w14:paraId="18B0E017">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499" w:name="_Toc11547"/>
      <w:bookmarkStart w:id="1500" w:name="_Toc23487"/>
      <w:bookmarkStart w:id="1501" w:name="_Toc11236"/>
      <w:r>
        <w:rPr>
          <w:rFonts w:hint="eastAsia" w:ascii="宋体" w:hAnsi="宋体" w:eastAsia="宋体" w:cs="宋体"/>
          <w:b/>
          <w:bCs/>
          <w:color w:val="auto"/>
          <w:kern w:val="2"/>
          <w:sz w:val="24"/>
          <w:szCs w:val="24"/>
          <w:u w:val="none"/>
          <w:lang w:val="en-US" w:eastAsia="zh-CN" w:bidi="ar-SA"/>
        </w:rPr>
        <w:t>5.提供近两年内任意一年的财务审计报告（</w:t>
      </w:r>
      <w:r>
        <w:rPr>
          <w:rFonts w:hint="eastAsia" w:hAnsi="宋体" w:cs="宋体"/>
          <w:b/>
          <w:bCs/>
          <w:color w:val="auto"/>
          <w:kern w:val="2"/>
          <w:sz w:val="24"/>
          <w:szCs w:val="24"/>
          <w:u w:val="none"/>
          <w:lang w:val="en-US" w:eastAsia="zh-CN" w:bidi="ar-SA"/>
        </w:rPr>
        <w:t>成立未满十二个月的新公司可提供近三个月内任意一个月的银行资信证明</w:t>
      </w:r>
      <w:r>
        <w:rPr>
          <w:rFonts w:hint="eastAsia" w:ascii="宋体" w:hAnsi="宋体" w:eastAsia="宋体" w:cs="宋体"/>
          <w:b/>
          <w:bCs/>
          <w:color w:val="auto"/>
          <w:kern w:val="2"/>
          <w:sz w:val="24"/>
          <w:szCs w:val="24"/>
          <w:u w:val="none"/>
          <w:lang w:val="en-US" w:eastAsia="zh-CN" w:bidi="ar-SA"/>
        </w:rPr>
        <w:t>）；</w:t>
      </w:r>
      <w:bookmarkEnd w:id="1499"/>
      <w:bookmarkEnd w:id="1500"/>
      <w:bookmarkEnd w:id="1501"/>
    </w:p>
    <w:p w14:paraId="352C9881">
      <w:pPr>
        <w:pStyle w:val="20"/>
        <w:spacing w:line="400" w:lineRule="exact"/>
        <w:ind w:firstLine="0" w:firstLineChars="0"/>
        <w:rPr>
          <w:rFonts w:hint="eastAsia" w:ascii="宋体" w:hAnsi="宋体" w:eastAsia="宋体" w:cs="宋体"/>
          <w:b/>
          <w:color w:val="auto"/>
          <w:kern w:val="0"/>
          <w:szCs w:val="20"/>
          <w:highlight w:val="none"/>
        </w:rPr>
      </w:pPr>
    </w:p>
    <w:p w14:paraId="4D860679">
      <w:pPr>
        <w:pStyle w:val="7"/>
        <w:rPr>
          <w:rFonts w:hint="eastAsia" w:ascii="宋体" w:hAnsi="宋体" w:eastAsia="宋体" w:cs="宋体"/>
          <w:b/>
          <w:color w:val="auto"/>
          <w:kern w:val="0"/>
          <w:szCs w:val="20"/>
          <w:highlight w:val="none"/>
        </w:rPr>
      </w:pPr>
    </w:p>
    <w:p w14:paraId="4A53D181">
      <w:pPr>
        <w:pStyle w:val="8"/>
        <w:rPr>
          <w:rFonts w:hint="eastAsia"/>
        </w:rPr>
      </w:pPr>
    </w:p>
    <w:p w14:paraId="1C1A08E5">
      <w:pPr>
        <w:rPr>
          <w:rFonts w:hint="eastAsia"/>
        </w:rPr>
      </w:pPr>
    </w:p>
    <w:p w14:paraId="6F1EC0D4">
      <w:pPr>
        <w:pStyle w:val="8"/>
        <w:rPr>
          <w:rFonts w:hint="eastAsia" w:ascii="宋体" w:hAnsi="宋体" w:eastAsia="宋体" w:cs="宋体"/>
          <w:highlight w:val="none"/>
        </w:rPr>
      </w:pPr>
    </w:p>
    <w:p w14:paraId="04505F4C">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502" w:name="_Toc2424"/>
      <w:bookmarkStart w:id="1503" w:name="_Toc3143"/>
      <w:bookmarkStart w:id="1504" w:name="_Toc15774"/>
      <w:r>
        <w:rPr>
          <w:rFonts w:hint="eastAsia" w:ascii="宋体" w:hAnsi="宋体" w:eastAsia="宋体" w:cs="宋体"/>
          <w:b/>
          <w:bCs/>
          <w:color w:val="auto"/>
          <w:kern w:val="2"/>
          <w:sz w:val="24"/>
          <w:szCs w:val="24"/>
          <w:u w:val="none"/>
          <w:lang w:val="en-US" w:eastAsia="zh-CN" w:bidi="ar-SA"/>
        </w:rPr>
        <w:t>6.依法缴纳近六个月内任意一个月社会保险证明；</w:t>
      </w:r>
      <w:bookmarkEnd w:id="1502"/>
      <w:bookmarkEnd w:id="1503"/>
      <w:bookmarkEnd w:id="1504"/>
    </w:p>
    <w:p w14:paraId="3DBAD059">
      <w:pPr>
        <w:pStyle w:val="7"/>
        <w:ind w:left="0" w:leftChars="0" w:firstLine="0" w:firstLineChars="0"/>
        <w:rPr>
          <w:rFonts w:hint="eastAsia" w:ascii="宋体" w:hAnsi="宋体" w:eastAsia="宋体" w:cs="宋体"/>
          <w:highlight w:val="none"/>
        </w:rPr>
      </w:pPr>
    </w:p>
    <w:p w14:paraId="37A085F9">
      <w:pPr>
        <w:pStyle w:val="8"/>
        <w:rPr>
          <w:rFonts w:hint="eastAsia" w:ascii="宋体" w:hAnsi="宋体" w:eastAsia="宋体" w:cs="宋体"/>
          <w:highlight w:val="none"/>
        </w:rPr>
      </w:pPr>
    </w:p>
    <w:p w14:paraId="6A8F5223">
      <w:pPr>
        <w:rPr>
          <w:rFonts w:hint="eastAsia"/>
        </w:rPr>
      </w:pPr>
    </w:p>
    <w:p w14:paraId="25EF3EBF">
      <w:pPr>
        <w:rPr>
          <w:rFonts w:hint="eastAsia"/>
        </w:rPr>
      </w:pPr>
    </w:p>
    <w:p w14:paraId="09C93AC3">
      <w:pPr>
        <w:pStyle w:val="7"/>
        <w:rPr>
          <w:rFonts w:hint="eastAsia" w:ascii="宋体" w:hAnsi="宋体" w:eastAsia="宋体" w:cs="宋体"/>
          <w:highlight w:val="none"/>
        </w:rPr>
      </w:pPr>
    </w:p>
    <w:p w14:paraId="11052598">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505" w:name="_Toc16666"/>
      <w:bookmarkStart w:id="1506" w:name="_Toc32676"/>
      <w:bookmarkStart w:id="1507" w:name="_Toc14027"/>
      <w:r>
        <w:rPr>
          <w:rFonts w:hint="eastAsia" w:ascii="宋体" w:hAnsi="宋体" w:eastAsia="宋体" w:cs="宋体"/>
          <w:b/>
          <w:bCs/>
          <w:color w:val="auto"/>
          <w:kern w:val="2"/>
          <w:sz w:val="24"/>
          <w:szCs w:val="24"/>
          <w:u w:val="none"/>
          <w:lang w:val="en-US" w:eastAsia="zh-CN" w:bidi="ar-SA"/>
        </w:rPr>
        <w:t>7.依法缴纳近六个月内任意一个月税收证明；</w:t>
      </w:r>
      <w:bookmarkEnd w:id="1505"/>
      <w:bookmarkEnd w:id="1506"/>
      <w:bookmarkEnd w:id="1507"/>
    </w:p>
    <w:p w14:paraId="5E06E819">
      <w:pPr>
        <w:pStyle w:val="12"/>
        <w:tabs>
          <w:tab w:val="left" w:pos="5580"/>
        </w:tabs>
        <w:spacing w:line="400" w:lineRule="exact"/>
        <w:rPr>
          <w:rFonts w:hint="eastAsia" w:ascii="宋体" w:hAnsi="宋体" w:eastAsia="宋体" w:cs="宋体"/>
          <w:b/>
          <w:color w:val="auto"/>
          <w:kern w:val="0"/>
          <w:sz w:val="24"/>
          <w:highlight w:val="none"/>
        </w:rPr>
      </w:pPr>
    </w:p>
    <w:p w14:paraId="4C8DB513">
      <w:pPr>
        <w:pStyle w:val="12"/>
        <w:tabs>
          <w:tab w:val="left" w:pos="5580"/>
        </w:tabs>
        <w:spacing w:line="400" w:lineRule="exact"/>
        <w:rPr>
          <w:rFonts w:hint="eastAsia" w:ascii="宋体" w:hAnsi="宋体" w:eastAsia="宋体" w:cs="宋体"/>
          <w:b/>
          <w:color w:val="auto"/>
          <w:kern w:val="0"/>
          <w:sz w:val="24"/>
          <w:highlight w:val="none"/>
        </w:rPr>
      </w:pPr>
    </w:p>
    <w:p w14:paraId="0F89B019">
      <w:pPr>
        <w:pStyle w:val="12"/>
        <w:tabs>
          <w:tab w:val="left" w:pos="5580"/>
        </w:tabs>
        <w:spacing w:line="400" w:lineRule="exact"/>
        <w:rPr>
          <w:rFonts w:hint="eastAsia" w:ascii="宋体" w:hAnsi="宋体" w:eastAsia="宋体" w:cs="宋体"/>
          <w:b/>
          <w:color w:val="auto"/>
          <w:kern w:val="0"/>
          <w:sz w:val="24"/>
          <w:highlight w:val="none"/>
        </w:rPr>
      </w:pPr>
    </w:p>
    <w:p w14:paraId="7FCDC1C9">
      <w:pPr>
        <w:pStyle w:val="12"/>
        <w:tabs>
          <w:tab w:val="left" w:pos="5580"/>
        </w:tabs>
        <w:spacing w:line="400" w:lineRule="exact"/>
        <w:rPr>
          <w:rFonts w:hint="eastAsia" w:ascii="宋体" w:hAnsi="宋体" w:eastAsia="宋体" w:cs="宋体"/>
          <w:b/>
          <w:color w:val="auto"/>
          <w:kern w:val="0"/>
          <w:sz w:val="24"/>
          <w:highlight w:val="none"/>
        </w:rPr>
      </w:pPr>
    </w:p>
    <w:p w14:paraId="21AE12AA">
      <w:pPr>
        <w:pStyle w:val="12"/>
        <w:tabs>
          <w:tab w:val="left" w:pos="5580"/>
        </w:tabs>
        <w:spacing w:line="400" w:lineRule="exact"/>
        <w:rPr>
          <w:rFonts w:hint="eastAsia" w:ascii="宋体" w:hAnsi="宋体" w:eastAsia="宋体" w:cs="宋体"/>
          <w:b/>
          <w:color w:val="auto"/>
          <w:kern w:val="0"/>
          <w:sz w:val="24"/>
          <w:highlight w:val="none"/>
        </w:rPr>
      </w:pPr>
      <w:bookmarkStart w:id="1508" w:name="_Toc10247"/>
      <w:bookmarkStart w:id="1509" w:name="_Toc3162"/>
      <w:bookmarkStart w:id="1510" w:name="_Toc12258"/>
      <w:r>
        <w:rPr>
          <w:rFonts w:hint="eastAsia" w:ascii="宋体" w:hAnsi="宋体" w:eastAsia="宋体" w:cs="宋体"/>
          <w:b/>
          <w:bCs/>
          <w:color w:val="auto"/>
          <w:kern w:val="2"/>
          <w:sz w:val="24"/>
          <w:szCs w:val="24"/>
          <w:u w:val="none"/>
          <w:lang w:val="en-US" w:eastAsia="zh-CN" w:bidi="ar-SA"/>
        </w:rPr>
        <w:t>8.</w:t>
      </w:r>
      <w:bookmarkEnd w:id="1508"/>
      <w:bookmarkEnd w:id="1509"/>
      <w:bookmarkEnd w:id="1510"/>
      <w:r>
        <w:rPr>
          <w:rFonts w:hint="eastAsia" w:ascii="宋体" w:hAnsi="宋体" w:eastAsia="宋体" w:cs="宋体"/>
          <w:b/>
          <w:bCs/>
          <w:color w:val="auto"/>
          <w:kern w:val="2"/>
          <w:sz w:val="24"/>
          <w:szCs w:val="24"/>
          <w:u w:val="none"/>
          <w:lang w:val="en-US" w:eastAsia="zh-CN" w:bidi="ar-SA"/>
        </w:rPr>
        <w:t>根据《财政部关于在政府采购活动中查询及使用信用记录有关问题的通知》（财库﹝2016﹞125号）的要求，凡拟参加本次招标项目的供应商，如在“信用中国”网站（https://www.creditchina.gov.cn/）被列入失信被执行人、重大税收违法失信主体名单（信用服务-重点领域严重失信主体名单查询-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采购代理机构或采购人查询为准）；</w:t>
      </w:r>
    </w:p>
    <w:p w14:paraId="42F8722D">
      <w:pPr>
        <w:pStyle w:val="12"/>
        <w:tabs>
          <w:tab w:val="left" w:pos="5580"/>
        </w:tabs>
        <w:spacing w:line="400" w:lineRule="exact"/>
        <w:rPr>
          <w:rFonts w:hint="eastAsia" w:ascii="宋体" w:hAnsi="宋体" w:eastAsia="宋体" w:cs="宋体"/>
          <w:b/>
          <w:color w:val="auto"/>
          <w:kern w:val="0"/>
          <w:sz w:val="24"/>
          <w:highlight w:val="none"/>
        </w:rPr>
      </w:pPr>
    </w:p>
    <w:p w14:paraId="1916C8DB">
      <w:pPr>
        <w:pStyle w:val="12"/>
        <w:tabs>
          <w:tab w:val="left" w:pos="5580"/>
        </w:tabs>
        <w:spacing w:line="400" w:lineRule="exact"/>
        <w:rPr>
          <w:rFonts w:hint="eastAsia" w:ascii="宋体" w:hAnsi="宋体" w:eastAsia="宋体" w:cs="宋体"/>
          <w:b/>
          <w:color w:val="auto"/>
          <w:kern w:val="0"/>
          <w:sz w:val="24"/>
          <w:highlight w:val="none"/>
        </w:rPr>
      </w:pPr>
    </w:p>
    <w:p w14:paraId="32513DCB">
      <w:pPr>
        <w:pStyle w:val="12"/>
        <w:tabs>
          <w:tab w:val="left" w:pos="5580"/>
        </w:tabs>
        <w:spacing w:line="400" w:lineRule="exact"/>
        <w:rPr>
          <w:rFonts w:hint="eastAsia" w:ascii="宋体" w:hAnsi="宋体" w:eastAsia="宋体" w:cs="宋体"/>
          <w:b/>
          <w:color w:val="auto"/>
          <w:kern w:val="0"/>
          <w:sz w:val="24"/>
          <w:highlight w:val="none"/>
        </w:rPr>
      </w:pPr>
    </w:p>
    <w:p w14:paraId="5C17AFA9">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511" w:name="_Toc12315"/>
      <w:bookmarkStart w:id="1512" w:name="_Toc18461"/>
      <w:bookmarkStart w:id="1513" w:name="_Toc20020"/>
      <w:r>
        <w:rPr>
          <w:rFonts w:hint="eastAsia" w:ascii="宋体" w:hAnsi="宋体" w:eastAsia="宋体" w:cs="宋体"/>
          <w:b/>
          <w:bCs/>
          <w:color w:val="auto"/>
          <w:kern w:val="2"/>
          <w:sz w:val="24"/>
          <w:szCs w:val="24"/>
          <w:u w:val="none"/>
          <w:lang w:val="en-US" w:eastAsia="zh-CN" w:bidi="ar-SA"/>
        </w:rPr>
        <w:t>9.参加政府采购活动前3年内在经营活动中没有重大违法记录的书面声明；</w:t>
      </w:r>
      <w:bookmarkEnd w:id="1511"/>
      <w:bookmarkEnd w:id="1512"/>
      <w:bookmarkEnd w:id="1513"/>
    </w:p>
    <w:p w14:paraId="713FEB5E">
      <w:pPr>
        <w:pStyle w:val="12"/>
        <w:tabs>
          <w:tab w:val="left" w:pos="5580"/>
        </w:tabs>
        <w:spacing w:line="400" w:lineRule="exact"/>
        <w:rPr>
          <w:rFonts w:hint="eastAsia" w:ascii="宋体" w:hAnsi="宋体" w:eastAsia="宋体" w:cs="宋体"/>
          <w:b/>
          <w:color w:val="auto"/>
          <w:kern w:val="0"/>
          <w:sz w:val="24"/>
          <w:highlight w:val="none"/>
        </w:rPr>
      </w:pPr>
    </w:p>
    <w:p w14:paraId="2DF18BCF">
      <w:pPr>
        <w:pStyle w:val="12"/>
        <w:tabs>
          <w:tab w:val="left" w:pos="5580"/>
        </w:tabs>
        <w:spacing w:line="400" w:lineRule="exact"/>
        <w:rPr>
          <w:rFonts w:hint="eastAsia" w:ascii="宋体" w:hAnsi="宋体" w:eastAsia="宋体" w:cs="宋体"/>
          <w:b/>
          <w:color w:val="auto"/>
          <w:kern w:val="0"/>
          <w:sz w:val="24"/>
          <w:highlight w:val="none"/>
        </w:rPr>
      </w:pPr>
    </w:p>
    <w:p w14:paraId="7AE42BBC">
      <w:pPr>
        <w:pStyle w:val="12"/>
        <w:tabs>
          <w:tab w:val="left" w:pos="5580"/>
        </w:tabs>
        <w:spacing w:line="400" w:lineRule="exact"/>
        <w:rPr>
          <w:rFonts w:hint="eastAsia" w:ascii="宋体" w:hAnsi="宋体" w:eastAsia="宋体" w:cs="宋体"/>
          <w:b/>
          <w:color w:val="auto"/>
          <w:kern w:val="0"/>
          <w:sz w:val="24"/>
          <w:highlight w:val="none"/>
        </w:rPr>
      </w:pPr>
    </w:p>
    <w:p w14:paraId="7E244B8A">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14:paraId="7A6DBD51">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514" w:name="_Toc11853"/>
      <w:bookmarkStart w:id="1515" w:name="_Toc15341"/>
      <w:bookmarkStart w:id="1516" w:name="_Toc8586"/>
      <w:r>
        <w:rPr>
          <w:rFonts w:hint="eastAsia" w:ascii="宋体" w:hAnsi="宋体" w:eastAsia="宋体" w:cs="宋体"/>
          <w:b/>
          <w:bCs/>
          <w:color w:val="auto"/>
          <w:kern w:val="2"/>
          <w:sz w:val="24"/>
          <w:szCs w:val="24"/>
          <w:u w:val="none"/>
          <w:lang w:val="en-US" w:eastAsia="zh-CN" w:bidi="ar-SA"/>
        </w:rPr>
        <w:t>10.缴纳投标保证金的有效凭证；</w:t>
      </w:r>
      <w:bookmarkEnd w:id="1514"/>
      <w:bookmarkEnd w:id="1515"/>
      <w:bookmarkEnd w:id="1516"/>
    </w:p>
    <w:p w14:paraId="317BE61D">
      <w:pPr>
        <w:shd w:val="clear" w:color="auto" w:fill="auto"/>
        <w:snapToGrid w:val="0"/>
        <w:spacing w:before="0" w:beforeAutospacing="0" w:after="0" w:afterAutospacing="0" w:line="360" w:lineRule="exact"/>
        <w:jc w:val="both"/>
        <w:textAlignment w:val="baseline"/>
        <w:rPr>
          <w:rFonts w:hint="eastAsia" w:ascii="宋体" w:hAnsi="宋体" w:eastAsia="宋体" w:cs="宋体"/>
          <w:b/>
          <w:bCs/>
          <w:i w:val="0"/>
          <w:caps w:val="0"/>
          <w:color w:val="auto"/>
          <w:spacing w:val="0"/>
          <w:w w:val="100"/>
          <w:sz w:val="24"/>
          <w:highlight w:val="none"/>
        </w:rPr>
      </w:pPr>
    </w:p>
    <w:p w14:paraId="770D6096">
      <w:pPr>
        <w:shd w:val="clear" w:color="auto" w:fill="auto"/>
        <w:snapToGrid w:val="0"/>
        <w:spacing w:before="0" w:beforeAutospacing="0" w:after="0" w:afterAutospacing="0" w:line="360" w:lineRule="exact"/>
        <w:jc w:val="both"/>
        <w:textAlignment w:val="baseline"/>
        <w:outlineLvl w:val="9"/>
        <w:rPr>
          <w:rFonts w:hint="eastAsia" w:ascii="宋体" w:hAnsi="宋体" w:eastAsia="宋体" w:cs="宋体"/>
          <w:b/>
          <w:bCs/>
          <w:i w:val="0"/>
          <w:caps w:val="0"/>
          <w:color w:val="auto"/>
          <w:spacing w:val="0"/>
          <w:w w:val="100"/>
          <w:sz w:val="24"/>
          <w:highlight w:val="none"/>
        </w:rPr>
      </w:pPr>
      <w:r>
        <w:rPr>
          <w:rFonts w:hint="eastAsia" w:ascii="宋体" w:hAnsi="宋体" w:eastAsia="宋体" w:cs="宋体"/>
          <w:b/>
          <w:bCs/>
          <w:i w:val="0"/>
          <w:caps w:val="0"/>
          <w:color w:val="auto"/>
          <w:spacing w:val="0"/>
          <w:w w:val="100"/>
          <w:sz w:val="24"/>
          <w:highlight w:val="none"/>
        </w:rPr>
        <w:t>（注：</w:t>
      </w:r>
      <w:r>
        <w:rPr>
          <w:rFonts w:hint="eastAsia" w:ascii="宋体" w:hAnsi="宋体" w:eastAsia="宋体" w:cs="宋体"/>
          <w:b/>
          <w:bCs/>
          <w:i w:val="0"/>
          <w:caps w:val="0"/>
          <w:color w:val="auto"/>
          <w:spacing w:val="0"/>
          <w:w w:val="100"/>
          <w:sz w:val="24"/>
          <w:highlight w:val="none"/>
          <w:lang w:val="en-US" w:eastAsia="zh-CN"/>
        </w:rPr>
        <w:t>本项目以缴纳投标保证金的有效凭证复印件加盖公章为准</w:t>
      </w:r>
      <w:r>
        <w:rPr>
          <w:rFonts w:hint="eastAsia" w:ascii="宋体" w:hAnsi="宋体" w:eastAsia="宋体" w:cs="宋体"/>
          <w:b/>
          <w:bCs/>
          <w:i w:val="0"/>
          <w:caps w:val="0"/>
          <w:color w:val="auto"/>
          <w:spacing w:val="0"/>
          <w:w w:val="100"/>
          <w:sz w:val="24"/>
          <w:highlight w:val="none"/>
        </w:rPr>
        <w:t>。）</w:t>
      </w:r>
    </w:p>
    <w:tbl>
      <w:tblPr>
        <w:tblStyle w:val="21"/>
        <w:tblpPr w:leftFromText="180" w:rightFromText="180" w:vertAnchor="text" w:horzAnchor="page" w:tblpX="1967" w:tblpY="235"/>
        <w:tblOverlap w:val="never"/>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0"/>
      </w:tblGrid>
      <w:tr w14:paraId="7B4F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trPr>
        <w:tc>
          <w:tcPr>
            <w:tcW w:w="8080" w:type="dxa"/>
          </w:tcPr>
          <w:p w14:paraId="469635E6">
            <w:pPr>
              <w:shd w:val="clear" w:color="auto" w:fill="auto"/>
              <w:snapToGrid w:val="0"/>
              <w:spacing w:before="0" w:beforeAutospacing="0" w:after="0" w:afterAutospacing="0" w:line="360" w:lineRule="exact"/>
              <w:jc w:val="both"/>
              <w:textAlignment w:val="baseline"/>
              <w:rPr>
                <w:rFonts w:hint="eastAsia" w:ascii="宋体" w:hAnsi="宋体" w:eastAsia="宋体" w:cs="宋体"/>
                <w:b w:val="0"/>
                <w:i w:val="0"/>
                <w:caps w:val="0"/>
                <w:color w:val="auto"/>
                <w:spacing w:val="0"/>
                <w:w w:val="100"/>
                <w:sz w:val="24"/>
                <w:highlight w:val="none"/>
              </w:rPr>
            </w:pPr>
          </w:p>
          <w:p w14:paraId="49BC75BC">
            <w:pPr>
              <w:shd w:val="clear" w:color="auto" w:fill="auto"/>
              <w:snapToGrid w:val="0"/>
              <w:spacing w:before="0" w:beforeAutospacing="0" w:after="0" w:afterAutospacing="0" w:line="360" w:lineRule="exact"/>
              <w:jc w:val="both"/>
              <w:textAlignment w:val="baseline"/>
              <w:rPr>
                <w:rFonts w:hint="eastAsia" w:ascii="宋体" w:hAnsi="宋体" w:eastAsia="宋体" w:cs="宋体"/>
                <w:b w:val="0"/>
                <w:i w:val="0"/>
                <w:caps w:val="0"/>
                <w:color w:val="auto"/>
                <w:spacing w:val="0"/>
                <w:w w:val="100"/>
                <w:sz w:val="24"/>
                <w:highlight w:val="none"/>
              </w:rPr>
            </w:pPr>
          </w:p>
          <w:p w14:paraId="79D3D3B9">
            <w:pPr>
              <w:shd w:val="clear" w:color="auto" w:fill="auto"/>
              <w:snapToGrid w:val="0"/>
              <w:spacing w:before="0" w:beforeAutospacing="0" w:after="0" w:afterAutospacing="0" w:line="360" w:lineRule="exact"/>
              <w:jc w:val="center"/>
              <w:textAlignment w:val="baseline"/>
              <w:rPr>
                <w:rFonts w:hint="eastAsia" w:ascii="宋体" w:hAnsi="宋体" w:eastAsia="宋体" w:cs="宋体"/>
                <w:b w:val="0"/>
                <w:i w:val="0"/>
                <w:caps w:val="0"/>
                <w:color w:val="auto"/>
                <w:spacing w:val="0"/>
                <w:w w:val="100"/>
                <w:sz w:val="24"/>
                <w:highlight w:val="none"/>
                <w:lang w:eastAsia="zh-CN"/>
              </w:rPr>
            </w:pPr>
            <w:r>
              <w:rPr>
                <w:rFonts w:hint="eastAsia" w:ascii="宋体" w:hAnsi="宋体" w:eastAsia="宋体" w:cs="宋体"/>
                <w:b w:val="0"/>
                <w:i w:val="0"/>
                <w:caps w:val="0"/>
                <w:color w:val="auto"/>
                <w:spacing w:val="0"/>
                <w:w w:val="100"/>
                <w:sz w:val="24"/>
                <w:highlight w:val="none"/>
                <w:lang w:eastAsia="zh-CN"/>
              </w:rPr>
              <w:t>缴纳投标保证金的有效凭证</w:t>
            </w:r>
            <w:r>
              <w:rPr>
                <w:rFonts w:hint="eastAsia" w:ascii="宋体" w:hAnsi="宋体" w:eastAsia="宋体" w:cs="宋体"/>
                <w:b w:val="0"/>
                <w:i w:val="0"/>
                <w:caps w:val="0"/>
                <w:color w:val="auto"/>
                <w:spacing w:val="0"/>
                <w:w w:val="100"/>
                <w:sz w:val="24"/>
                <w:highlight w:val="none"/>
              </w:rPr>
              <w:t>复印件</w:t>
            </w:r>
            <w:r>
              <w:rPr>
                <w:rFonts w:hint="eastAsia" w:ascii="宋体" w:hAnsi="宋体" w:eastAsia="宋体" w:cs="宋体"/>
                <w:b w:val="0"/>
                <w:i w:val="0"/>
                <w:caps w:val="0"/>
                <w:color w:val="auto"/>
                <w:spacing w:val="0"/>
                <w:w w:val="100"/>
                <w:sz w:val="24"/>
                <w:highlight w:val="none"/>
                <w:lang w:eastAsia="zh-CN"/>
              </w:rPr>
              <w:t>（ ☑保函  ☑电汇 ☑支票 ☑对公转账 ☑本票 ☑汇票）</w:t>
            </w:r>
          </w:p>
        </w:tc>
      </w:tr>
    </w:tbl>
    <w:p w14:paraId="6F83F6EE">
      <w:pPr>
        <w:pStyle w:val="12"/>
        <w:tabs>
          <w:tab w:val="left" w:pos="5580"/>
        </w:tabs>
        <w:spacing w:line="400" w:lineRule="exact"/>
        <w:outlineLvl w:val="9"/>
        <w:rPr>
          <w:rFonts w:hint="eastAsia" w:ascii="宋体" w:hAnsi="宋体" w:eastAsia="宋体" w:cs="宋体"/>
          <w:b/>
          <w:color w:val="auto"/>
          <w:kern w:val="0"/>
          <w:sz w:val="24"/>
          <w:highlight w:val="none"/>
          <w:lang w:eastAsia="zh-CN"/>
        </w:rPr>
      </w:pPr>
    </w:p>
    <w:p w14:paraId="26041B35">
      <w:pPr>
        <w:pStyle w:val="12"/>
        <w:tabs>
          <w:tab w:val="left" w:pos="5580"/>
        </w:tabs>
        <w:spacing w:line="400" w:lineRule="exact"/>
        <w:ind w:left="540" w:leftChars="257"/>
        <w:outlineLvl w:val="9"/>
        <w:rPr>
          <w:rFonts w:hint="eastAsia" w:ascii="宋体" w:hAnsi="宋体" w:eastAsia="宋体" w:cs="宋体"/>
          <w:b/>
          <w:color w:val="auto"/>
          <w:kern w:val="0"/>
          <w:sz w:val="24"/>
          <w:highlight w:val="none"/>
        </w:rPr>
      </w:pPr>
    </w:p>
    <w:p w14:paraId="7DB400DA">
      <w:pPr>
        <w:pStyle w:val="12"/>
        <w:tabs>
          <w:tab w:val="left" w:pos="5580"/>
        </w:tabs>
        <w:spacing w:line="400" w:lineRule="exact"/>
        <w:ind w:left="540" w:leftChars="257"/>
        <w:outlineLvl w:val="9"/>
        <w:rPr>
          <w:rFonts w:hint="eastAsia" w:ascii="宋体" w:hAnsi="宋体" w:eastAsia="宋体" w:cs="宋体"/>
          <w:b/>
          <w:color w:val="auto"/>
          <w:kern w:val="0"/>
          <w:sz w:val="24"/>
          <w:highlight w:val="none"/>
        </w:rPr>
      </w:pPr>
    </w:p>
    <w:p w14:paraId="381DD925">
      <w:pPr>
        <w:pStyle w:val="12"/>
        <w:tabs>
          <w:tab w:val="left" w:pos="5580"/>
        </w:tabs>
        <w:spacing w:line="400" w:lineRule="exact"/>
        <w:ind w:left="540" w:leftChars="257"/>
        <w:outlineLvl w:val="9"/>
        <w:rPr>
          <w:rFonts w:hint="eastAsia" w:ascii="宋体" w:hAnsi="宋体" w:eastAsia="宋体" w:cs="宋体"/>
          <w:b/>
          <w:color w:val="auto"/>
          <w:kern w:val="0"/>
          <w:sz w:val="24"/>
          <w:highlight w:val="none"/>
        </w:rPr>
      </w:pPr>
    </w:p>
    <w:p w14:paraId="717CD0BD">
      <w:pPr>
        <w:pStyle w:val="12"/>
        <w:tabs>
          <w:tab w:val="left" w:pos="5580"/>
        </w:tabs>
        <w:spacing w:line="400" w:lineRule="exact"/>
        <w:ind w:left="540" w:leftChars="257"/>
        <w:outlineLvl w:val="9"/>
        <w:rPr>
          <w:rFonts w:hint="eastAsia" w:ascii="宋体" w:hAnsi="宋体" w:eastAsia="宋体" w:cs="宋体"/>
          <w:b/>
          <w:color w:val="auto"/>
          <w:kern w:val="0"/>
          <w:sz w:val="24"/>
          <w:highlight w:val="none"/>
        </w:rPr>
      </w:pPr>
    </w:p>
    <w:p w14:paraId="3CC97B1D">
      <w:pPr>
        <w:pStyle w:val="12"/>
        <w:tabs>
          <w:tab w:val="left" w:pos="5580"/>
        </w:tabs>
        <w:spacing w:line="400" w:lineRule="exact"/>
        <w:outlineLvl w:val="9"/>
        <w:rPr>
          <w:rFonts w:hint="eastAsia" w:ascii="宋体" w:hAnsi="宋体" w:eastAsia="宋体" w:cs="宋体"/>
          <w:b/>
          <w:color w:val="auto"/>
          <w:kern w:val="0"/>
          <w:sz w:val="24"/>
          <w:highlight w:val="none"/>
        </w:rPr>
      </w:pPr>
    </w:p>
    <w:p w14:paraId="2402CF83">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517" w:name="_Toc16032"/>
      <w:bookmarkStart w:id="1518" w:name="_Toc12754"/>
      <w:bookmarkStart w:id="1519" w:name="_Toc14384"/>
      <w:bookmarkStart w:id="1520" w:name="_Toc15346"/>
      <w:bookmarkStart w:id="1521" w:name="_Toc11180"/>
      <w:bookmarkStart w:id="1522" w:name="_Toc22967"/>
      <w:bookmarkStart w:id="1523" w:name="_Toc18263"/>
      <w:bookmarkStart w:id="1524" w:name="_Toc30653"/>
      <w:bookmarkStart w:id="1525" w:name="_Toc515647816"/>
      <w:r>
        <w:rPr>
          <w:rFonts w:hint="eastAsia" w:ascii="宋体" w:hAnsi="宋体" w:eastAsia="宋体" w:cs="宋体"/>
          <w:b/>
          <w:bCs/>
          <w:color w:val="auto"/>
          <w:kern w:val="2"/>
          <w:sz w:val="24"/>
          <w:szCs w:val="24"/>
          <w:u w:val="none"/>
          <w:lang w:val="en-US" w:eastAsia="zh-CN" w:bidi="ar-SA"/>
        </w:rPr>
        <w:t>11.银行开户许可证复印件或银行基本账户信息(包含：银行账号及开户行名称）；</w:t>
      </w:r>
      <w:bookmarkEnd w:id="1517"/>
      <w:bookmarkEnd w:id="1518"/>
      <w:bookmarkEnd w:id="1519"/>
    </w:p>
    <w:p w14:paraId="31079310">
      <w:pPr>
        <w:pStyle w:val="16"/>
        <w:rPr>
          <w:rFonts w:hint="eastAsia" w:ascii="宋体" w:hAnsi="宋体" w:eastAsia="宋体" w:cs="宋体"/>
          <w:color w:val="auto"/>
          <w:highlight w:val="none"/>
        </w:rPr>
      </w:pPr>
    </w:p>
    <w:p w14:paraId="1A1EE9F5">
      <w:pPr>
        <w:pStyle w:val="16"/>
        <w:rPr>
          <w:rFonts w:hint="eastAsia" w:ascii="宋体" w:hAnsi="宋体" w:eastAsia="宋体" w:cs="宋体"/>
          <w:color w:val="auto"/>
          <w:highlight w:val="none"/>
        </w:rPr>
      </w:pPr>
    </w:p>
    <w:p w14:paraId="741F78D1">
      <w:pPr>
        <w:pStyle w:val="16"/>
        <w:rPr>
          <w:rFonts w:hint="eastAsia" w:ascii="宋体" w:hAnsi="宋体" w:eastAsia="宋体" w:cs="宋体"/>
          <w:color w:val="auto"/>
          <w:highlight w:val="none"/>
        </w:rPr>
      </w:pPr>
    </w:p>
    <w:p w14:paraId="3F141888">
      <w:pPr>
        <w:pStyle w:val="16"/>
        <w:rPr>
          <w:rFonts w:hint="eastAsia" w:ascii="宋体" w:hAnsi="宋体" w:eastAsia="宋体" w:cs="宋体"/>
          <w:color w:val="auto"/>
          <w:highlight w:val="none"/>
        </w:rPr>
      </w:pPr>
    </w:p>
    <w:p w14:paraId="3013C8CD">
      <w:pPr>
        <w:pStyle w:val="16"/>
        <w:rPr>
          <w:rFonts w:hint="eastAsia" w:ascii="宋体" w:hAnsi="宋体" w:eastAsia="宋体" w:cs="宋体"/>
          <w:color w:val="auto"/>
          <w:highlight w:val="none"/>
        </w:rPr>
      </w:pPr>
    </w:p>
    <w:p w14:paraId="72AE8B72">
      <w:pPr>
        <w:pStyle w:val="16"/>
        <w:rPr>
          <w:rFonts w:hint="eastAsia" w:ascii="宋体" w:hAnsi="宋体" w:eastAsia="宋体" w:cs="宋体"/>
          <w:color w:val="auto"/>
          <w:highlight w:val="none"/>
        </w:rPr>
      </w:pPr>
    </w:p>
    <w:p w14:paraId="2CF5648E">
      <w:pPr>
        <w:pStyle w:val="16"/>
        <w:bidi w:val="0"/>
        <w:rPr>
          <w:rFonts w:hint="eastAsia" w:ascii="宋体" w:hAnsi="宋体" w:eastAsia="宋体" w:cs="宋体"/>
          <w:highlight w:val="none"/>
        </w:rPr>
      </w:pPr>
    </w:p>
    <w:p w14:paraId="2727EB19">
      <w:pPr>
        <w:pStyle w:val="16"/>
        <w:rPr>
          <w:rFonts w:hint="eastAsia" w:ascii="宋体" w:hAnsi="宋体" w:eastAsia="宋体" w:cs="宋体"/>
          <w:color w:val="auto"/>
          <w:highlight w:val="none"/>
        </w:rPr>
      </w:pPr>
    </w:p>
    <w:p w14:paraId="1A74D5DD">
      <w:pPr>
        <w:pStyle w:val="16"/>
        <w:rPr>
          <w:rFonts w:hint="eastAsia" w:ascii="宋体" w:hAnsi="宋体" w:eastAsia="宋体" w:cs="宋体"/>
          <w:color w:val="auto"/>
          <w:highlight w:val="none"/>
        </w:rPr>
      </w:pPr>
    </w:p>
    <w:p w14:paraId="683CD5E8">
      <w:pPr>
        <w:pStyle w:val="5"/>
        <w:pageBreakBefore w:val="0"/>
        <w:widowControl w:val="0"/>
        <w:numPr>
          <w:ilvl w:val="0"/>
          <w:numId w:val="0"/>
        </w:numPr>
        <w:kinsoku/>
        <w:wordWrap/>
        <w:overflowPunct/>
        <w:topLinePunct w:val="0"/>
        <w:bidi w:val="0"/>
        <w:spacing w:before="0" w:after="0" w:line="360" w:lineRule="exact"/>
        <w:ind w:left="0" w:leftChars="0"/>
        <w:textAlignment w:val="auto"/>
        <w:outlineLvl w:val="2"/>
        <w:rPr>
          <w:rFonts w:hint="eastAsia" w:ascii="宋体" w:hAnsi="宋体" w:eastAsia="宋体" w:cs="宋体"/>
          <w:b/>
          <w:bCs/>
          <w:color w:val="auto"/>
          <w:kern w:val="2"/>
          <w:sz w:val="24"/>
          <w:szCs w:val="24"/>
          <w:u w:val="none"/>
          <w:lang w:val="en-US" w:eastAsia="zh-CN" w:bidi="ar-SA"/>
        </w:rPr>
      </w:pPr>
      <w:bookmarkStart w:id="1526" w:name="_Toc13729"/>
      <w:bookmarkStart w:id="1527" w:name="_Toc10421"/>
      <w:bookmarkStart w:id="1528" w:name="_Toc8478"/>
      <w:r>
        <w:rPr>
          <w:rFonts w:hint="eastAsia" w:ascii="宋体" w:hAnsi="宋体" w:eastAsia="宋体" w:cs="宋体"/>
          <w:b/>
          <w:bCs/>
          <w:color w:val="auto"/>
          <w:kern w:val="2"/>
          <w:sz w:val="24"/>
          <w:szCs w:val="24"/>
          <w:u w:val="none"/>
          <w:lang w:val="en-US" w:eastAsia="zh-CN" w:bidi="ar-SA"/>
        </w:rPr>
        <w:t>12.供应商可提供有利于投标的其他资格证明材料。</w:t>
      </w:r>
      <w:bookmarkEnd w:id="1526"/>
      <w:bookmarkEnd w:id="1527"/>
      <w:bookmarkEnd w:id="1528"/>
    </w:p>
    <w:p w14:paraId="6422E021">
      <w:pPr>
        <w:rPr>
          <w:rFonts w:hint="eastAsia" w:ascii="宋体" w:hAnsi="宋体" w:eastAsia="宋体" w:cs="宋体"/>
          <w:b/>
          <w:color w:val="auto"/>
          <w:kern w:val="0"/>
          <w:sz w:val="24"/>
          <w:szCs w:val="20"/>
          <w:highlight w:val="none"/>
        </w:rPr>
      </w:pPr>
    </w:p>
    <w:p w14:paraId="1FEDD519">
      <w:pPr>
        <w:rPr>
          <w:rFonts w:hint="eastAsia" w:ascii="宋体" w:hAnsi="宋体" w:eastAsia="宋体" w:cs="宋体"/>
          <w:color w:val="auto"/>
          <w:highlight w:val="none"/>
        </w:rPr>
      </w:pPr>
    </w:p>
    <w:p w14:paraId="2329797A">
      <w:pPr>
        <w:pStyle w:val="16"/>
        <w:rPr>
          <w:rFonts w:hint="eastAsia" w:ascii="宋体" w:hAnsi="宋体" w:eastAsia="宋体" w:cs="宋体"/>
          <w:color w:val="auto"/>
          <w:highlight w:val="none"/>
        </w:rPr>
      </w:pPr>
    </w:p>
    <w:p w14:paraId="227A5161">
      <w:pPr>
        <w:rPr>
          <w:rFonts w:hint="eastAsia" w:ascii="宋体" w:hAnsi="宋体" w:eastAsia="宋体" w:cs="宋体"/>
          <w:color w:val="auto"/>
          <w:sz w:val="24"/>
          <w:szCs w:val="24"/>
          <w:highlight w:val="none"/>
        </w:rPr>
      </w:pPr>
    </w:p>
    <w:p w14:paraId="1E84846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4E79394B">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8"/>
          <w:szCs w:val="28"/>
          <w:highlight w:val="none"/>
        </w:rPr>
      </w:pPr>
      <w:bookmarkStart w:id="1529" w:name="_Toc19728"/>
      <w:bookmarkStart w:id="1530" w:name="_Toc5289"/>
      <w:bookmarkStart w:id="1531" w:name="_Toc3922"/>
      <w:r>
        <w:rPr>
          <w:rFonts w:hint="eastAsia" w:ascii="宋体" w:hAnsi="宋体" w:eastAsia="宋体" w:cs="宋体"/>
          <w:color w:val="auto"/>
          <w:sz w:val="28"/>
          <w:szCs w:val="28"/>
          <w:highlight w:val="none"/>
        </w:rPr>
        <w:t>第二部分  商务及技术文件</w:t>
      </w:r>
      <w:bookmarkEnd w:id="1529"/>
      <w:bookmarkEnd w:id="1530"/>
      <w:bookmarkEnd w:id="1531"/>
    </w:p>
    <w:p w14:paraId="56470087">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rPr>
      </w:pPr>
    </w:p>
    <w:p w14:paraId="687283D5">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bookmarkStart w:id="1532" w:name="_Toc515647817"/>
      <w:bookmarkStart w:id="1533" w:name="_Toc14915"/>
      <w:bookmarkStart w:id="1534" w:name="_Toc2041"/>
      <w:r>
        <w:rPr>
          <w:rFonts w:hint="eastAsia" w:ascii="宋体" w:hAnsi="宋体" w:eastAsia="宋体" w:cs="宋体"/>
          <w:color w:val="auto"/>
          <w:kern w:val="0"/>
          <w:sz w:val="24"/>
          <w:szCs w:val="24"/>
          <w:highlight w:val="none"/>
          <w:lang w:val="en-US" w:eastAsia="zh-CN"/>
        </w:rPr>
        <w:t>1.投标书</w:t>
      </w:r>
    </w:p>
    <w:p w14:paraId="6B2015CA">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2.投标分项报价表</w:t>
      </w:r>
    </w:p>
    <w:p w14:paraId="59047593">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3.货物说明一览表</w:t>
      </w:r>
    </w:p>
    <w:p w14:paraId="587C013B">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4.技术规格偏离表</w:t>
      </w:r>
    </w:p>
    <w:p w14:paraId="7C827E41">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5.商务条款偏离表</w:t>
      </w:r>
    </w:p>
    <w:p w14:paraId="3AADAD00">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6-1中小企业声明函</w:t>
      </w:r>
    </w:p>
    <w:p w14:paraId="72D928C7">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6-2 残疾人福利性单位声明函</w:t>
      </w:r>
    </w:p>
    <w:p w14:paraId="594DAD77">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7.供应商关联单位的说明</w:t>
      </w:r>
    </w:p>
    <w:p w14:paraId="75EB6CED">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8.供应商可提供有利于投标的其他证明材料</w:t>
      </w:r>
    </w:p>
    <w:p w14:paraId="3BFC2EA2">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9.投标文件格式范本</w:t>
      </w:r>
    </w:p>
    <w:p w14:paraId="0C8EF128">
      <w:pPr>
        <w:spacing w:line="360" w:lineRule="auto"/>
        <w:rPr>
          <w:rFonts w:hint="eastAsia" w:ascii="宋体" w:hAnsi="宋体" w:eastAsia="宋体" w:cs="宋体"/>
          <w:b/>
          <w:bCs/>
          <w:color w:val="auto"/>
          <w:highlight w:val="none"/>
        </w:rPr>
      </w:pPr>
    </w:p>
    <w:p w14:paraId="087CF979">
      <w:pPr>
        <w:pStyle w:val="7"/>
        <w:rPr>
          <w:rFonts w:hint="eastAsia" w:ascii="宋体" w:hAnsi="宋体" w:eastAsia="宋体" w:cs="宋体"/>
          <w:b/>
          <w:bCs/>
          <w:color w:val="auto"/>
          <w:highlight w:val="none"/>
        </w:rPr>
      </w:pPr>
    </w:p>
    <w:p w14:paraId="58F8F8FF">
      <w:pPr>
        <w:pStyle w:val="7"/>
        <w:rPr>
          <w:rFonts w:hint="eastAsia" w:ascii="宋体" w:hAnsi="宋体" w:eastAsia="宋体" w:cs="宋体"/>
          <w:b/>
          <w:bCs/>
          <w:color w:val="auto"/>
          <w:highlight w:val="none"/>
        </w:rPr>
      </w:pPr>
    </w:p>
    <w:p w14:paraId="30A248A1">
      <w:pPr>
        <w:pStyle w:val="7"/>
        <w:rPr>
          <w:rFonts w:hint="eastAsia" w:ascii="宋体" w:hAnsi="宋体" w:eastAsia="宋体" w:cs="宋体"/>
          <w:b/>
          <w:bCs/>
          <w:color w:val="auto"/>
          <w:highlight w:val="none"/>
        </w:rPr>
      </w:pPr>
    </w:p>
    <w:p w14:paraId="013AAA48">
      <w:pPr>
        <w:pStyle w:val="7"/>
        <w:rPr>
          <w:rFonts w:hint="eastAsia" w:ascii="宋体" w:hAnsi="宋体" w:eastAsia="宋体" w:cs="宋体"/>
          <w:b/>
          <w:bCs/>
          <w:color w:val="auto"/>
          <w:highlight w:val="none"/>
        </w:rPr>
      </w:pPr>
    </w:p>
    <w:p w14:paraId="59BAF331">
      <w:pPr>
        <w:pStyle w:val="7"/>
        <w:rPr>
          <w:rFonts w:hint="eastAsia" w:ascii="宋体" w:hAnsi="宋体" w:eastAsia="宋体" w:cs="宋体"/>
          <w:b/>
          <w:bCs/>
          <w:color w:val="auto"/>
          <w:highlight w:val="none"/>
        </w:rPr>
      </w:pPr>
    </w:p>
    <w:p w14:paraId="076D5062">
      <w:pPr>
        <w:pStyle w:val="7"/>
        <w:rPr>
          <w:rFonts w:hint="eastAsia" w:ascii="宋体" w:hAnsi="宋体" w:eastAsia="宋体" w:cs="宋体"/>
          <w:b/>
          <w:bCs/>
          <w:color w:val="auto"/>
          <w:highlight w:val="none"/>
        </w:rPr>
      </w:pPr>
    </w:p>
    <w:p w14:paraId="49D4B1D6">
      <w:pPr>
        <w:spacing w:line="360" w:lineRule="auto"/>
        <w:rPr>
          <w:rFonts w:hint="eastAsia" w:ascii="宋体" w:hAnsi="宋体" w:eastAsia="宋体" w:cs="宋体"/>
          <w:color w:val="auto"/>
          <w:sz w:val="24"/>
          <w:highlight w:val="none"/>
        </w:rPr>
      </w:pPr>
    </w:p>
    <w:p w14:paraId="565E0A6A">
      <w:pPr>
        <w:pStyle w:val="12"/>
        <w:tabs>
          <w:tab w:val="left" w:pos="5580"/>
        </w:tabs>
        <w:spacing w:line="240" w:lineRule="atLeast"/>
        <w:rPr>
          <w:rFonts w:hint="eastAsia" w:ascii="宋体" w:hAnsi="宋体" w:eastAsia="宋体" w:cs="宋体"/>
          <w:color w:val="auto"/>
          <w:szCs w:val="21"/>
          <w:highlight w:val="none"/>
        </w:rPr>
      </w:pPr>
    </w:p>
    <w:p w14:paraId="73AF680F">
      <w:pPr>
        <w:pStyle w:val="12"/>
        <w:tabs>
          <w:tab w:val="left" w:pos="5580"/>
        </w:tabs>
        <w:spacing w:line="240" w:lineRule="atLeast"/>
        <w:rPr>
          <w:rFonts w:hint="eastAsia" w:ascii="宋体" w:hAnsi="宋体" w:eastAsia="宋体" w:cs="宋体"/>
          <w:color w:val="auto"/>
          <w:szCs w:val="21"/>
          <w:highlight w:val="none"/>
        </w:rPr>
      </w:pPr>
    </w:p>
    <w:p w14:paraId="5A87D3C3">
      <w:pPr>
        <w:pStyle w:val="12"/>
        <w:tabs>
          <w:tab w:val="left" w:pos="5580"/>
        </w:tabs>
        <w:spacing w:line="240" w:lineRule="atLeast"/>
        <w:rPr>
          <w:rFonts w:hint="eastAsia" w:ascii="宋体" w:hAnsi="宋体" w:eastAsia="宋体" w:cs="宋体"/>
          <w:color w:val="auto"/>
          <w:szCs w:val="21"/>
          <w:highlight w:val="none"/>
        </w:rPr>
      </w:pPr>
    </w:p>
    <w:p w14:paraId="0A60301D">
      <w:pPr>
        <w:pStyle w:val="12"/>
        <w:tabs>
          <w:tab w:val="left" w:pos="5580"/>
        </w:tabs>
        <w:spacing w:line="240" w:lineRule="atLeast"/>
        <w:rPr>
          <w:rFonts w:hint="eastAsia" w:ascii="宋体" w:hAnsi="宋体" w:eastAsia="宋体" w:cs="宋体"/>
          <w:color w:val="auto"/>
          <w:szCs w:val="21"/>
          <w:highlight w:val="none"/>
        </w:rPr>
      </w:pPr>
    </w:p>
    <w:p w14:paraId="3B74DAE3">
      <w:pPr>
        <w:pStyle w:val="12"/>
        <w:tabs>
          <w:tab w:val="left" w:pos="5580"/>
        </w:tabs>
        <w:spacing w:line="240" w:lineRule="atLeast"/>
        <w:rPr>
          <w:rFonts w:hint="eastAsia" w:ascii="宋体" w:hAnsi="宋体" w:eastAsia="宋体" w:cs="宋体"/>
          <w:color w:val="auto"/>
          <w:szCs w:val="21"/>
          <w:highlight w:val="none"/>
        </w:rPr>
      </w:pPr>
    </w:p>
    <w:p w14:paraId="7631F014">
      <w:pPr>
        <w:pStyle w:val="12"/>
        <w:tabs>
          <w:tab w:val="left" w:pos="5580"/>
        </w:tabs>
        <w:spacing w:line="240" w:lineRule="atLeast"/>
        <w:rPr>
          <w:rFonts w:hint="eastAsia" w:ascii="宋体" w:hAnsi="宋体" w:eastAsia="宋体" w:cs="宋体"/>
          <w:color w:val="auto"/>
          <w:szCs w:val="21"/>
          <w:highlight w:val="none"/>
        </w:rPr>
      </w:pPr>
    </w:p>
    <w:p w14:paraId="68D52886">
      <w:pPr>
        <w:pStyle w:val="12"/>
        <w:tabs>
          <w:tab w:val="left" w:pos="5580"/>
        </w:tabs>
        <w:spacing w:line="240" w:lineRule="atLeast"/>
        <w:rPr>
          <w:rFonts w:hint="eastAsia" w:ascii="宋体" w:hAnsi="宋体" w:eastAsia="宋体" w:cs="宋体"/>
          <w:color w:val="auto"/>
          <w:szCs w:val="21"/>
          <w:highlight w:val="none"/>
        </w:rPr>
      </w:pPr>
    </w:p>
    <w:p w14:paraId="778D3813">
      <w:pPr>
        <w:pStyle w:val="12"/>
        <w:tabs>
          <w:tab w:val="left" w:pos="5580"/>
        </w:tabs>
        <w:spacing w:line="240" w:lineRule="atLeast"/>
        <w:rPr>
          <w:rFonts w:hint="eastAsia" w:ascii="宋体" w:hAnsi="宋体" w:eastAsia="宋体" w:cs="宋体"/>
          <w:color w:val="auto"/>
          <w:szCs w:val="21"/>
          <w:highlight w:val="none"/>
        </w:rPr>
      </w:pPr>
    </w:p>
    <w:p w14:paraId="694FC717">
      <w:pPr>
        <w:pStyle w:val="12"/>
        <w:tabs>
          <w:tab w:val="left" w:pos="5580"/>
        </w:tabs>
        <w:spacing w:line="240" w:lineRule="atLeast"/>
        <w:rPr>
          <w:rFonts w:hint="eastAsia" w:ascii="宋体" w:hAnsi="宋体" w:eastAsia="宋体" w:cs="宋体"/>
          <w:color w:val="auto"/>
          <w:szCs w:val="21"/>
          <w:highlight w:val="none"/>
        </w:rPr>
      </w:pPr>
    </w:p>
    <w:p w14:paraId="7237AD0F">
      <w:pPr>
        <w:pStyle w:val="12"/>
        <w:tabs>
          <w:tab w:val="left" w:pos="5580"/>
        </w:tabs>
        <w:spacing w:line="240" w:lineRule="atLeast"/>
        <w:rPr>
          <w:rFonts w:hint="eastAsia" w:ascii="宋体" w:hAnsi="宋体" w:eastAsia="宋体" w:cs="宋体"/>
          <w:color w:val="auto"/>
          <w:szCs w:val="21"/>
          <w:highlight w:val="none"/>
        </w:rPr>
      </w:pPr>
    </w:p>
    <w:p w14:paraId="7F226B5F">
      <w:pPr>
        <w:rPr>
          <w:rFonts w:hint="eastAsia" w:ascii="宋体" w:hAnsi="宋体" w:eastAsia="宋体" w:cs="宋体"/>
          <w:b/>
          <w:bCs/>
          <w:color w:val="auto"/>
          <w:sz w:val="24"/>
          <w:szCs w:val="24"/>
          <w:highlight w:val="none"/>
        </w:rPr>
      </w:pPr>
      <w:bookmarkStart w:id="1535" w:name="_Toc25918"/>
      <w:bookmarkStart w:id="1536" w:name="_Toc30408"/>
      <w:bookmarkStart w:id="1537" w:name="_Toc21772"/>
      <w:bookmarkStart w:id="1538" w:name="_Toc29625"/>
      <w:r>
        <w:rPr>
          <w:rFonts w:hint="eastAsia" w:ascii="宋体" w:hAnsi="宋体" w:eastAsia="宋体" w:cs="宋体"/>
          <w:b/>
          <w:bCs/>
          <w:color w:val="auto"/>
          <w:sz w:val="24"/>
          <w:szCs w:val="24"/>
          <w:highlight w:val="none"/>
        </w:rPr>
        <w:br w:type="page"/>
      </w:r>
    </w:p>
    <w:bookmarkEnd w:id="1532"/>
    <w:bookmarkEnd w:id="1533"/>
    <w:bookmarkEnd w:id="1534"/>
    <w:bookmarkEnd w:id="1535"/>
    <w:bookmarkEnd w:id="1536"/>
    <w:bookmarkEnd w:id="1537"/>
    <w:bookmarkEnd w:id="1538"/>
    <w:p w14:paraId="77B26457">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539" w:name="_Toc17248"/>
      <w:bookmarkStart w:id="1540" w:name="_Toc8226"/>
      <w:bookmarkStart w:id="1541" w:name="_Toc7083"/>
      <w:r>
        <w:rPr>
          <w:rFonts w:hint="eastAsia" w:ascii="宋体" w:hAnsi="宋体" w:eastAsia="宋体" w:cs="宋体"/>
          <w:b/>
          <w:bCs/>
          <w:color w:val="auto"/>
          <w:kern w:val="2"/>
          <w:sz w:val="24"/>
          <w:szCs w:val="24"/>
          <w:u w:val="none"/>
          <w:lang w:val="en-US" w:eastAsia="zh-CN" w:bidi="ar-SA"/>
        </w:rPr>
        <w:t>1.投标书</w:t>
      </w:r>
      <w:bookmarkEnd w:id="1539"/>
      <w:bookmarkEnd w:id="1540"/>
      <w:bookmarkEnd w:id="1541"/>
    </w:p>
    <w:p w14:paraId="08FB42DB">
      <w:pPr>
        <w:tabs>
          <w:tab w:val="left" w:pos="5580"/>
        </w:tabs>
        <w:spacing w:line="400" w:lineRule="exact"/>
        <w:ind w:left="1080" w:hanging="108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p>
    <w:p w14:paraId="2358E23E">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p>
    <w:p w14:paraId="339FFE97">
      <w:pPr>
        <w:pStyle w:val="12"/>
        <w:tabs>
          <w:tab w:val="left" w:pos="5580"/>
        </w:tabs>
        <w:spacing w:line="400" w:lineRule="exact"/>
        <w:ind w:left="2" w:leftChars="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w:t>
      </w:r>
      <w:r>
        <w:rPr>
          <w:rFonts w:hint="eastAsia" w:ascii="宋体" w:hAnsi="宋体" w:eastAsia="宋体" w:cs="宋体"/>
          <w:i/>
          <w:color w:val="auto"/>
          <w:sz w:val="24"/>
          <w:szCs w:val="24"/>
          <w:highlight w:val="none"/>
          <w:u w:val="single"/>
        </w:rPr>
        <w:t>项目名称</w:t>
      </w:r>
      <w:r>
        <w:rPr>
          <w:rFonts w:hint="eastAsia" w:ascii="宋体" w:hAnsi="宋体" w:eastAsia="宋体" w:cs="宋体"/>
          <w:color w:val="auto"/>
          <w:sz w:val="24"/>
          <w:szCs w:val="24"/>
          <w:highlight w:val="none"/>
        </w:rPr>
        <w:t>)项目的投标邀请(</w:t>
      </w:r>
      <w:r>
        <w:rPr>
          <w:rFonts w:hint="eastAsia" w:ascii="宋体" w:hAnsi="宋体" w:eastAsia="宋体" w:cs="宋体"/>
          <w:i/>
          <w:color w:val="auto"/>
          <w:sz w:val="24"/>
          <w:szCs w:val="24"/>
          <w:highlight w:val="none"/>
          <w:u w:val="single"/>
        </w:rPr>
        <w:t>项目编号</w:t>
      </w:r>
      <w:r>
        <w:rPr>
          <w:rFonts w:hint="eastAsia" w:ascii="宋体" w:hAnsi="宋体" w:eastAsia="宋体" w:cs="宋体"/>
          <w:color w:val="auto"/>
          <w:sz w:val="24"/>
          <w:szCs w:val="24"/>
          <w:highlight w:val="none"/>
        </w:rPr>
        <w:t>),签字代表(</w:t>
      </w:r>
      <w:r>
        <w:rPr>
          <w:rFonts w:hint="eastAsia" w:ascii="宋体" w:hAnsi="宋体" w:eastAsia="宋体" w:cs="宋体"/>
          <w:i/>
          <w:color w:val="auto"/>
          <w:sz w:val="24"/>
          <w:szCs w:val="24"/>
          <w:highlight w:val="none"/>
          <w:u w:val="single"/>
        </w:rPr>
        <w:t>姓名、职务</w:t>
      </w:r>
      <w:r>
        <w:rPr>
          <w:rFonts w:hint="eastAsia" w:ascii="宋体" w:hAnsi="宋体" w:eastAsia="宋体" w:cs="宋体"/>
          <w:color w:val="auto"/>
          <w:sz w:val="24"/>
          <w:szCs w:val="24"/>
          <w:highlight w:val="none"/>
        </w:rPr>
        <w:t>)经正式授权并代表供应商（</w:t>
      </w:r>
      <w:r>
        <w:rPr>
          <w:rFonts w:hint="eastAsia" w:ascii="宋体" w:hAnsi="宋体" w:eastAsia="宋体" w:cs="宋体"/>
          <w:i/>
          <w:color w:val="auto"/>
          <w:sz w:val="24"/>
          <w:szCs w:val="24"/>
          <w:highlight w:val="none"/>
          <w:u w:val="single"/>
        </w:rPr>
        <w:t>名称、地址</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上传投标</w:t>
      </w:r>
      <w:r>
        <w:rPr>
          <w:rFonts w:hint="eastAsia" w:ascii="宋体" w:hAnsi="宋体" w:eastAsia="宋体" w:cs="宋体"/>
          <w:color w:val="auto"/>
          <w:sz w:val="24"/>
          <w:szCs w:val="24"/>
          <w:highlight w:val="none"/>
        </w:rPr>
        <w:t>文件，并以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形式出具的金额为人民币</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元的投标保证金。</w:t>
      </w:r>
    </w:p>
    <w:p w14:paraId="144C7372">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据此，签字代表宣布同意如下：</w:t>
      </w:r>
    </w:p>
    <w:p w14:paraId="38CEACAF">
      <w:pPr>
        <w:pStyle w:val="12"/>
        <w:tabs>
          <w:tab w:val="left" w:pos="720"/>
          <w:tab w:val="left" w:pos="900"/>
        </w:tabs>
        <w:spacing w:line="400" w:lineRule="exact"/>
        <w:ind w:left="769" w:leftChars="257" w:hanging="22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（1）附投标价格表中规定的应提供</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的投标总价详见开标一览表，</w:t>
      </w:r>
      <w:r>
        <w:rPr>
          <w:rFonts w:hint="eastAsia" w:ascii="宋体" w:hAnsi="宋体" w:eastAsia="宋体" w:cs="宋体"/>
          <w:color w:val="auto"/>
          <w:sz w:val="24"/>
          <w:szCs w:val="24"/>
          <w:highlight w:val="none"/>
          <w:u w:val="single"/>
        </w:rPr>
        <w:t>其中由小型和</w:t>
      </w:r>
      <w:r>
        <w:rPr>
          <w:rFonts w:hint="eastAsia" w:ascii="宋体" w:hAnsi="宋体" w:eastAsia="宋体" w:cs="宋体"/>
          <w:color w:val="auto"/>
          <w:sz w:val="24"/>
          <w:szCs w:val="24"/>
          <w:highlight w:val="none"/>
        </w:rPr>
        <w:t>微型企业制造产品的价格为</w:t>
      </w:r>
      <w:r>
        <w:rPr>
          <w:rFonts w:hint="eastAsia" w:ascii="宋体" w:hAnsi="宋体" w:eastAsia="宋体" w:cs="宋体"/>
          <w:color w:val="auto"/>
          <w:sz w:val="24"/>
          <w:szCs w:val="24"/>
          <w:highlight w:val="none"/>
          <w:u w:val="single"/>
        </w:rPr>
        <w:t>　　  （用文字和数字表示），占投标总价   %</w:t>
      </w:r>
      <w:r>
        <w:rPr>
          <w:rFonts w:hint="eastAsia" w:ascii="宋体" w:hAnsi="宋体" w:eastAsia="宋体" w:cs="宋体"/>
          <w:color w:val="auto"/>
          <w:sz w:val="24"/>
          <w:szCs w:val="24"/>
          <w:highlight w:val="none"/>
        </w:rPr>
        <w:t>。</w:t>
      </w:r>
    </w:p>
    <w:p w14:paraId="0712E995">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（2）本投标有效期为自投标截止之日起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个日历日。</w:t>
      </w:r>
    </w:p>
    <w:p w14:paraId="539E0351">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（3）联合体中的大中型企业和其他自然人、法人或者非法人组织，与联合体中的小型、微型企业之间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存在、不存在）投资关系（如果是联合体的话）。</w:t>
      </w:r>
    </w:p>
    <w:p w14:paraId="0483B458">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（4）已详细审查全部招标文件，包括所有补充通知（如果有的话），完全理解并同意放弃对这方面有不明、误解和质疑的权力。</w:t>
      </w:r>
    </w:p>
    <w:p w14:paraId="2E3B39B7">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（5）在规定的开标时间后，遵守招标文件中有关保证金的规定。</w:t>
      </w:r>
    </w:p>
    <w:p w14:paraId="24379DAA">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（6）我方不是为本项目提供整体设计、规范编制或者项目管理、监理、检测等</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的供应商，我方不是采购代理机构的附属机构。</w:t>
      </w:r>
    </w:p>
    <w:p w14:paraId="127C734E">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（7）在领取中标通知书的同时按招标文件规定的形式，向贵方一次性支付中标服务费。</w:t>
      </w:r>
    </w:p>
    <w:p w14:paraId="2BA0F0E4">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（8）按照贵方可能要求，提供与其投标有关的一切数据或资料，完全理解贵方不一定接受最低价的投标或收到的任何投标。</w:t>
      </w:r>
    </w:p>
    <w:p w14:paraId="7228B7F7">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（9）按照招标文件的规定履行合同责任和义务。</w:t>
      </w:r>
    </w:p>
    <w:p w14:paraId="5C26BDC3">
      <w:pPr>
        <w:pStyle w:val="12"/>
        <w:tabs>
          <w:tab w:val="left" w:pos="5580"/>
        </w:tabs>
        <w:spacing w:line="400" w:lineRule="exact"/>
        <w:ind w:left="359" w:leftChars="68" w:hanging="216" w:hangingChars="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与本投标有关的一切正式往来信函请寄：</w:t>
      </w:r>
    </w:p>
    <w:p w14:paraId="53FC5AFD">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444B4203">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p>
    <w:p w14:paraId="50B5F951">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u w:val="single"/>
        </w:rPr>
        <w:t xml:space="preserve">       </w:t>
      </w:r>
    </w:p>
    <w:p w14:paraId="7C730FE9">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u w:val="single"/>
        </w:rPr>
        <w:t xml:space="preserve">               </w:t>
      </w:r>
    </w:p>
    <w:p w14:paraId="7D5403B9">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供应商开户银行（全称）</w:t>
      </w:r>
      <w:r>
        <w:rPr>
          <w:rFonts w:hint="eastAsia" w:ascii="宋体" w:hAnsi="宋体" w:eastAsia="宋体" w:cs="宋体"/>
          <w:color w:val="auto"/>
          <w:sz w:val="24"/>
          <w:szCs w:val="24"/>
          <w:highlight w:val="none"/>
          <w:u w:val="single"/>
        </w:rPr>
        <w:t xml:space="preserve">　　　　　　 </w:t>
      </w:r>
    </w:p>
    <w:p w14:paraId="528CA452">
      <w:pPr>
        <w:pStyle w:val="12"/>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供应商银行帐号</w:t>
      </w:r>
      <w:r>
        <w:rPr>
          <w:rFonts w:hint="eastAsia" w:ascii="宋体" w:hAnsi="宋体" w:eastAsia="宋体" w:cs="宋体"/>
          <w:color w:val="auto"/>
          <w:sz w:val="24"/>
          <w:szCs w:val="24"/>
          <w:highlight w:val="none"/>
          <w:u w:val="single"/>
        </w:rPr>
        <w:t>　　　　　　　　 　　</w:t>
      </w:r>
    </w:p>
    <w:p w14:paraId="5C650180">
      <w:pPr>
        <w:pStyle w:val="12"/>
        <w:tabs>
          <w:tab w:val="left" w:pos="5580"/>
        </w:tabs>
        <w:spacing w:line="400" w:lineRule="exact"/>
        <w:ind w:left="1080" w:leftChars="257" w:hanging="54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 xml:space="preserve">                </w:t>
      </w:r>
      <w:bookmarkStart w:id="1542" w:name="_Toc19819"/>
      <w:bookmarkStart w:id="1543" w:name="_Toc1266"/>
      <w:bookmarkStart w:id="1544" w:name="_Toc14219"/>
      <w:bookmarkStart w:id="1545" w:name="_Toc23473"/>
      <w:bookmarkStart w:id="1546" w:name="_Toc6738"/>
      <w:bookmarkStart w:id="1547" w:name="_Toc30947"/>
    </w:p>
    <w:p w14:paraId="1C1C5C2A">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br w:type="page"/>
      </w:r>
    </w:p>
    <w:bookmarkEnd w:id="1542"/>
    <w:bookmarkEnd w:id="1543"/>
    <w:bookmarkEnd w:id="1544"/>
    <w:bookmarkEnd w:id="1545"/>
    <w:bookmarkEnd w:id="1546"/>
    <w:bookmarkEnd w:id="1547"/>
    <w:p w14:paraId="3E57572C">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548" w:name="_Toc3113"/>
      <w:bookmarkStart w:id="1549" w:name="_Toc11299"/>
      <w:bookmarkStart w:id="1550" w:name="_Toc25752"/>
      <w:bookmarkStart w:id="1551" w:name="_Toc22563"/>
      <w:bookmarkStart w:id="1552" w:name="_Toc515647820"/>
      <w:bookmarkStart w:id="1553" w:name="_Toc28959"/>
      <w:bookmarkStart w:id="1554" w:name="_Toc216582817"/>
      <w:r>
        <w:rPr>
          <w:rFonts w:hint="eastAsia" w:ascii="宋体" w:hAnsi="宋体" w:eastAsia="宋体" w:cs="宋体"/>
          <w:b/>
          <w:bCs/>
          <w:color w:val="auto"/>
          <w:kern w:val="2"/>
          <w:sz w:val="24"/>
          <w:szCs w:val="24"/>
          <w:u w:val="none"/>
          <w:lang w:val="en-US" w:eastAsia="zh-CN" w:bidi="ar-SA"/>
        </w:rPr>
        <w:t>2.投标分项报价表</w:t>
      </w:r>
      <w:bookmarkEnd w:id="1548"/>
      <w:bookmarkEnd w:id="1549"/>
      <w:bookmarkEnd w:id="1550"/>
    </w:p>
    <w:p w14:paraId="249E08C9">
      <w:pPr>
        <w:pStyle w:val="12"/>
        <w:keepNext w:val="0"/>
        <w:keepLines w:val="0"/>
        <w:pageBreakBefore w:val="0"/>
        <w:widowControl w:val="0"/>
        <w:kinsoku/>
        <w:wordWrap/>
        <w:overflowPunct/>
        <w:topLinePunct w:val="0"/>
        <w:autoSpaceDE/>
        <w:autoSpaceDN/>
        <w:bidi w:val="0"/>
        <w:adjustRightInd/>
        <w:snapToGrid/>
        <w:spacing w:line="400" w:lineRule="exact"/>
        <w:ind w:left="540" w:leftChars="257" w:firstLine="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项目名称:                      项目编号:                       　 　          报价单位：人民币</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 xml:space="preserve">         包号：</w:t>
      </w:r>
    </w:p>
    <w:tbl>
      <w:tblPr>
        <w:tblStyle w:val="21"/>
        <w:tblW w:w="46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5"/>
        <w:gridCol w:w="866"/>
        <w:gridCol w:w="508"/>
        <w:gridCol w:w="850"/>
        <w:gridCol w:w="877"/>
        <w:gridCol w:w="1221"/>
        <w:gridCol w:w="508"/>
        <w:gridCol w:w="508"/>
        <w:gridCol w:w="508"/>
        <w:gridCol w:w="509"/>
        <w:gridCol w:w="557"/>
        <w:gridCol w:w="512"/>
      </w:tblGrid>
      <w:tr w14:paraId="4196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5" w:hRule="atLeast"/>
          <w:jc w:val="center"/>
        </w:trPr>
        <w:tc>
          <w:tcPr>
            <w:tcW w:w="319" w:type="pct"/>
            <w:vAlign w:val="center"/>
          </w:tcPr>
          <w:p w14:paraId="6387A39D">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序号</w:t>
            </w:r>
          </w:p>
        </w:tc>
        <w:tc>
          <w:tcPr>
            <w:tcW w:w="546" w:type="pct"/>
            <w:vAlign w:val="center"/>
          </w:tcPr>
          <w:p w14:paraId="68468A2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货物</w:t>
            </w:r>
            <w:r>
              <w:rPr>
                <w:rFonts w:hint="eastAsia" w:ascii="宋体" w:hAnsi="宋体" w:eastAsia="宋体" w:cs="宋体"/>
                <w:color w:val="auto"/>
                <w:sz w:val="24"/>
                <w:highlight w:val="none"/>
              </w:rPr>
              <w:t>名称</w:t>
            </w:r>
          </w:p>
        </w:tc>
        <w:tc>
          <w:tcPr>
            <w:tcW w:w="320" w:type="pct"/>
            <w:vAlign w:val="center"/>
          </w:tcPr>
          <w:p w14:paraId="69A7DDD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品牌</w:t>
            </w:r>
          </w:p>
        </w:tc>
        <w:tc>
          <w:tcPr>
            <w:tcW w:w="536" w:type="pct"/>
            <w:vAlign w:val="center"/>
          </w:tcPr>
          <w:p w14:paraId="2385F03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型号</w:t>
            </w:r>
          </w:p>
        </w:tc>
        <w:tc>
          <w:tcPr>
            <w:tcW w:w="553" w:type="pct"/>
            <w:vAlign w:val="center"/>
          </w:tcPr>
          <w:p w14:paraId="6367557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规格</w:t>
            </w:r>
          </w:p>
        </w:tc>
        <w:tc>
          <w:tcPr>
            <w:tcW w:w="770" w:type="pct"/>
            <w:vAlign w:val="center"/>
          </w:tcPr>
          <w:p w14:paraId="5607498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生产厂家名称</w:t>
            </w:r>
          </w:p>
        </w:tc>
        <w:tc>
          <w:tcPr>
            <w:tcW w:w="320" w:type="pct"/>
            <w:vAlign w:val="center"/>
          </w:tcPr>
          <w:p w14:paraId="0B73513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产地</w:t>
            </w:r>
          </w:p>
        </w:tc>
        <w:tc>
          <w:tcPr>
            <w:tcW w:w="320" w:type="pct"/>
            <w:vAlign w:val="center"/>
          </w:tcPr>
          <w:p w14:paraId="609F267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320" w:type="pct"/>
            <w:vAlign w:val="center"/>
          </w:tcPr>
          <w:p w14:paraId="421BD69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321" w:type="pct"/>
            <w:vAlign w:val="center"/>
          </w:tcPr>
          <w:p w14:paraId="593EF91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单价</w:t>
            </w:r>
          </w:p>
        </w:tc>
        <w:tc>
          <w:tcPr>
            <w:tcW w:w="349" w:type="pct"/>
            <w:vAlign w:val="center"/>
          </w:tcPr>
          <w:p w14:paraId="7AD219A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合价</w:t>
            </w:r>
          </w:p>
        </w:tc>
        <w:tc>
          <w:tcPr>
            <w:tcW w:w="323" w:type="pct"/>
            <w:vAlign w:val="center"/>
          </w:tcPr>
          <w:p w14:paraId="7B0E029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14:paraId="01AE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9" w:type="pct"/>
            <w:vAlign w:val="center"/>
          </w:tcPr>
          <w:p w14:paraId="28DEDD7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46" w:type="pct"/>
            <w:vAlign w:val="center"/>
          </w:tcPr>
          <w:p w14:paraId="10C3A70B">
            <w:pPr>
              <w:spacing w:line="360" w:lineRule="auto"/>
              <w:jc w:val="center"/>
              <w:rPr>
                <w:rFonts w:hint="eastAsia" w:ascii="宋体" w:hAnsi="宋体" w:eastAsia="宋体" w:cs="宋体"/>
                <w:color w:val="auto"/>
                <w:sz w:val="24"/>
                <w:highlight w:val="none"/>
              </w:rPr>
            </w:pPr>
          </w:p>
        </w:tc>
        <w:tc>
          <w:tcPr>
            <w:tcW w:w="320" w:type="pct"/>
            <w:vAlign w:val="center"/>
          </w:tcPr>
          <w:p w14:paraId="12A27582">
            <w:pPr>
              <w:spacing w:line="360" w:lineRule="auto"/>
              <w:jc w:val="center"/>
              <w:rPr>
                <w:rFonts w:hint="eastAsia" w:ascii="宋体" w:hAnsi="宋体" w:eastAsia="宋体" w:cs="宋体"/>
                <w:color w:val="auto"/>
                <w:sz w:val="24"/>
                <w:highlight w:val="none"/>
              </w:rPr>
            </w:pPr>
          </w:p>
        </w:tc>
        <w:tc>
          <w:tcPr>
            <w:tcW w:w="536" w:type="pct"/>
            <w:vAlign w:val="center"/>
          </w:tcPr>
          <w:p w14:paraId="521A2732">
            <w:pPr>
              <w:spacing w:line="360" w:lineRule="auto"/>
              <w:jc w:val="center"/>
              <w:rPr>
                <w:rFonts w:hint="eastAsia" w:ascii="宋体" w:hAnsi="宋体" w:eastAsia="宋体" w:cs="宋体"/>
                <w:color w:val="auto"/>
                <w:sz w:val="24"/>
                <w:highlight w:val="none"/>
              </w:rPr>
            </w:pPr>
          </w:p>
        </w:tc>
        <w:tc>
          <w:tcPr>
            <w:tcW w:w="553" w:type="pct"/>
            <w:vAlign w:val="center"/>
          </w:tcPr>
          <w:p w14:paraId="3CF89B43">
            <w:pPr>
              <w:spacing w:line="360" w:lineRule="auto"/>
              <w:jc w:val="center"/>
              <w:rPr>
                <w:rFonts w:hint="eastAsia" w:ascii="宋体" w:hAnsi="宋体" w:eastAsia="宋体" w:cs="宋体"/>
                <w:color w:val="auto"/>
                <w:sz w:val="24"/>
                <w:highlight w:val="none"/>
              </w:rPr>
            </w:pPr>
          </w:p>
        </w:tc>
        <w:tc>
          <w:tcPr>
            <w:tcW w:w="770" w:type="pct"/>
            <w:vAlign w:val="center"/>
          </w:tcPr>
          <w:p w14:paraId="6630882C">
            <w:pPr>
              <w:spacing w:line="360" w:lineRule="auto"/>
              <w:jc w:val="center"/>
              <w:rPr>
                <w:rFonts w:hint="eastAsia" w:ascii="宋体" w:hAnsi="宋体" w:eastAsia="宋体" w:cs="宋体"/>
                <w:color w:val="auto"/>
                <w:sz w:val="24"/>
                <w:highlight w:val="none"/>
              </w:rPr>
            </w:pPr>
          </w:p>
        </w:tc>
        <w:tc>
          <w:tcPr>
            <w:tcW w:w="320" w:type="pct"/>
            <w:vAlign w:val="center"/>
          </w:tcPr>
          <w:p w14:paraId="62768AF4">
            <w:pPr>
              <w:spacing w:line="360" w:lineRule="auto"/>
              <w:jc w:val="center"/>
              <w:rPr>
                <w:rFonts w:hint="eastAsia" w:ascii="宋体" w:hAnsi="宋体" w:eastAsia="宋体" w:cs="宋体"/>
                <w:color w:val="auto"/>
                <w:sz w:val="24"/>
                <w:highlight w:val="none"/>
              </w:rPr>
            </w:pPr>
          </w:p>
        </w:tc>
        <w:tc>
          <w:tcPr>
            <w:tcW w:w="320" w:type="pct"/>
            <w:vAlign w:val="center"/>
          </w:tcPr>
          <w:p w14:paraId="2AF3A2AD">
            <w:pPr>
              <w:spacing w:line="360" w:lineRule="auto"/>
              <w:jc w:val="center"/>
              <w:rPr>
                <w:rFonts w:hint="eastAsia" w:ascii="宋体" w:hAnsi="宋体" w:eastAsia="宋体" w:cs="宋体"/>
                <w:color w:val="auto"/>
                <w:sz w:val="24"/>
                <w:highlight w:val="none"/>
              </w:rPr>
            </w:pPr>
          </w:p>
        </w:tc>
        <w:tc>
          <w:tcPr>
            <w:tcW w:w="320" w:type="pct"/>
            <w:vAlign w:val="center"/>
          </w:tcPr>
          <w:p w14:paraId="4E9DECF2">
            <w:pPr>
              <w:spacing w:line="360" w:lineRule="auto"/>
              <w:jc w:val="center"/>
              <w:rPr>
                <w:rFonts w:hint="eastAsia" w:ascii="宋体" w:hAnsi="宋体" w:eastAsia="宋体" w:cs="宋体"/>
                <w:color w:val="auto"/>
                <w:sz w:val="24"/>
                <w:highlight w:val="none"/>
              </w:rPr>
            </w:pPr>
          </w:p>
        </w:tc>
        <w:tc>
          <w:tcPr>
            <w:tcW w:w="321" w:type="pct"/>
            <w:vAlign w:val="center"/>
          </w:tcPr>
          <w:p w14:paraId="08D6847B">
            <w:pPr>
              <w:spacing w:line="360" w:lineRule="auto"/>
              <w:jc w:val="center"/>
              <w:rPr>
                <w:rFonts w:hint="eastAsia" w:ascii="宋体" w:hAnsi="宋体" w:eastAsia="宋体" w:cs="宋体"/>
                <w:color w:val="auto"/>
                <w:sz w:val="24"/>
                <w:highlight w:val="none"/>
              </w:rPr>
            </w:pPr>
          </w:p>
        </w:tc>
        <w:tc>
          <w:tcPr>
            <w:tcW w:w="349" w:type="pct"/>
            <w:vAlign w:val="center"/>
          </w:tcPr>
          <w:p w14:paraId="3D24EEA8">
            <w:pPr>
              <w:spacing w:line="360" w:lineRule="auto"/>
              <w:jc w:val="center"/>
              <w:rPr>
                <w:rFonts w:hint="eastAsia" w:ascii="宋体" w:hAnsi="宋体" w:eastAsia="宋体" w:cs="宋体"/>
                <w:color w:val="auto"/>
                <w:sz w:val="24"/>
                <w:highlight w:val="none"/>
              </w:rPr>
            </w:pPr>
          </w:p>
        </w:tc>
        <w:tc>
          <w:tcPr>
            <w:tcW w:w="323" w:type="pct"/>
            <w:vAlign w:val="center"/>
          </w:tcPr>
          <w:p w14:paraId="640283A7">
            <w:pPr>
              <w:spacing w:line="360" w:lineRule="auto"/>
              <w:jc w:val="center"/>
              <w:rPr>
                <w:rFonts w:hint="eastAsia" w:ascii="宋体" w:hAnsi="宋体" w:eastAsia="宋体" w:cs="宋体"/>
                <w:color w:val="auto"/>
                <w:sz w:val="24"/>
                <w:highlight w:val="none"/>
              </w:rPr>
            </w:pPr>
          </w:p>
        </w:tc>
      </w:tr>
      <w:tr w14:paraId="416C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9" w:type="pct"/>
            <w:vAlign w:val="center"/>
          </w:tcPr>
          <w:p w14:paraId="73AB3DE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46" w:type="pct"/>
            <w:vAlign w:val="center"/>
          </w:tcPr>
          <w:p w14:paraId="62CEA3A1">
            <w:pPr>
              <w:spacing w:line="360" w:lineRule="auto"/>
              <w:jc w:val="center"/>
              <w:rPr>
                <w:rFonts w:hint="eastAsia" w:ascii="宋体" w:hAnsi="宋体" w:eastAsia="宋体" w:cs="宋体"/>
                <w:color w:val="auto"/>
                <w:sz w:val="24"/>
                <w:highlight w:val="none"/>
              </w:rPr>
            </w:pPr>
          </w:p>
        </w:tc>
        <w:tc>
          <w:tcPr>
            <w:tcW w:w="320" w:type="pct"/>
            <w:vAlign w:val="center"/>
          </w:tcPr>
          <w:p w14:paraId="6AB764F7">
            <w:pPr>
              <w:spacing w:line="360" w:lineRule="auto"/>
              <w:jc w:val="center"/>
              <w:rPr>
                <w:rFonts w:hint="eastAsia" w:ascii="宋体" w:hAnsi="宋体" w:eastAsia="宋体" w:cs="宋体"/>
                <w:color w:val="auto"/>
                <w:sz w:val="24"/>
                <w:highlight w:val="none"/>
              </w:rPr>
            </w:pPr>
          </w:p>
        </w:tc>
        <w:tc>
          <w:tcPr>
            <w:tcW w:w="536" w:type="pct"/>
            <w:vAlign w:val="center"/>
          </w:tcPr>
          <w:p w14:paraId="4BDB55CA">
            <w:pPr>
              <w:spacing w:line="360" w:lineRule="auto"/>
              <w:jc w:val="center"/>
              <w:rPr>
                <w:rFonts w:hint="eastAsia" w:ascii="宋体" w:hAnsi="宋体" w:eastAsia="宋体" w:cs="宋体"/>
                <w:color w:val="auto"/>
                <w:sz w:val="24"/>
                <w:highlight w:val="none"/>
              </w:rPr>
            </w:pPr>
          </w:p>
        </w:tc>
        <w:tc>
          <w:tcPr>
            <w:tcW w:w="553" w:type="pct"/>
            <w:vAlign w:val="center"/>
          </w:tcPr>
          <w:p w14:paraId="558F4E64">
            <w:pPr>
              <w:spacing w:line="360" w:lineRule="auto"/>
              <w:jc w:val="center"/>
              <w:rPr>
                <w:rFonts w:hint="eastAsia" w:ascii="宋体" w:hAnsi="宋体" w:eastAsia="宋体" w:cs="宋体"/>
                <w:color w:val="auto"/>
                <w:sz w:val="24"/>
                <w:highlight w:val="none"/>
              </w:rPr>
            </w:pPr>
          </w:p>
        </w:tc>
        <w:tc>
          <w:tcPr>
            <w:tcW w:w="770" w:type="pct"/>
            <w:vAlign w:val="center"/>
          </w:tcPr>
          <w:p w14:paraId="7508BBB1">
            <w:pPr>
              <w:spacing w:line="360" w:lineRule="auto"/>
              <w:jc w:val="center"/>
              <w:rPr>
                <w:rFonts w:hint="eastAsia" w:ascii="宋体" w:hAnsi="宋体" w:eastAsia="宋体" w:cs="宋体"/>
                <w:color w:val="auto"/>
                <w:sz w:val="24"/>
                <w:highlight w:val="none"/>
              </w:rPr>
            </w:pPr>
          </w:p>
        </w:tc>
        <w:tc>
          <w:tcPr>
            <w:tcW w:w="320" w:type="pct"/>
            <w:vAlign w:val="center"/>
          </w:tcPr>
          <w:p w14:paraId="47AE2587">
            <w:pPr>
              <w:spacing w:line="360" w:lineRule="auto"/>
              <w:jc w:val="center"/>
              <w:rPr>
                <w:rFonts w:hint="eastAsia" w:ascii="宋体" w:hAnsi="宋体" w:eastAsia="宋体" w:cs="宋体"/>
                <w:color w:val="auto"/>
                <w:sz w:val="24"/>
                <w:highlight w:val="none"/>
              </w:rPr>
            </w:pPr>
          </w:p>
        </w:tc>
        <w:tc>
          <w:tcPr>
            <w:tcW w:w="320" w:type="pct"/>
            <w:vAlign w:val="center"/>
          </w:tcPr>
          <w:p w14:paraId="1CCDC958">
            <w:pPr>
              <w:spacing w:line="360" w:lineRule="auto"/>
              <w:jc w:val="center"/>
              <w:rPr>
                <w:rFonts w:hint="eastAsia" w:ascii="宋体" w:hAnsi="宋体" w:eastAsia="宋体" w:cs="宋体"/>
                <w:color w:val="auto"/>
                <w:sz w:val="24"/>
                <w:highlight w:val="none"/>
              </w:rPr>
            </w:pPr>
          </w:p>
        </w:tc>
        <w:tc>
          <w:tcPr>
            <w:tcW w:w="320" w:type="pct"/>
            <w:vAlign w:val="center"/>
          </w:tcPr>
          <w:p w14:paraId="2FBE6395">
            <w:pPr>
              <w:spacing w:line="360" w:lineRule="auto"/>
              <w:jc w:val="center"/>
              <w:rPr>
                <w:rFonts w:hint="eastAsia" w:ascii="宋体" w:hAnsi="宋体" w:eastAsia="宋体" w:cs="宋体"/>
                <w:color w:val="auto"/>
                <w:sz w:val="24"/>
                <w:highlight w:val="none"/>
              </w:rPr>
            </w:pPr>
          </w:p>
        </w:tc>
        <w:tc>
          <w:tcPr>
            <w:tcW w:w="321" w:type="pct"/>
            <w:vAlign w:val="center"/>
          </w:tcPr>
          <w:p w14:paraId="2F7C68B1">
            <w:pPr>
              <w:spacing w:line="360" w:lineRule="auto"/>
              <w:jc w:val="center"/>
              <w:rPr>
                <w:rFonts w:hint="eastAsia" w:ascii="宋体" w:hAnsi="宋体" w:eastAsia="宋体" w:cs="宋体"/>
                <w:color w:val="auto"/>
                <w:sz w:val="24"/>
                <w:highlight w:val="none"/>
              </w:rPr>
            </w:pPr>
          </w:p>
        </w:tc>
        <w:tc>
          <w:tcPr>
            <w:tcW w:w="349" w:type="pct"/>
            <w:vAlign w:val="center"/>
          </w:tcPr>
          <w:p w14:paraId="5CEFEB37">
            <w:pPr>
              <w:spacing w:line="360" w:lineRule="auto"/>
              <w:jc w:val="center"/>
              <w:rPr>
                <w:rFonts w:hint="eastAsia" w:ascii="宋体" w:hAnsi="宋体" w:eastAsia="宋体" w:cs="宋体"/>
                <w:color w:val="auto"/>
                <w:sz w:val="24"/>
                <w:highlight w:val="none"/>
              </w:rPr>
            </w:pPr>
          </w:p>
        </w:tc>
        <w:tc>
          <w:tcPr>
            <w:tcW w:w="323" w:type="pct"/>
            <w:vAlign w:val="center"/>
          </w:tcPr>
          <w:p w14:paraId="7EDFD45E">
            <w:pPr>
              <w:spacing w:line="360" w:lineRule="auto"/>
              <w:jc w:val="center"/>
              <w:rPr>
                <w:rFonts w:hint="eastAsia" w:ascii="宋体" w:hAnsi="宋体" w:eastAsia="宋体" w:cs="宋体"/>
                <w:color w:val="auto"/>
                <w:sz w:val="24"/>
                <w:highlight w:val="none"/>
              </w:rPr>
            </w:pPr>
          </w:p>
        </w:tc>
      </w:tr>
      <w:tr w14:paraId="7C18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9" w:type="pct"/>
            <w:vAlign w:val="center"/>
          </w:tcPr>
          <w:p w14:paraId="3D85E3E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46" w:type="pct"/>
            <w:vAlign w:val="center"/>
          </w:tcPr>
          <w:p w14:paraId="31E97F9B">
            <w:pPr>
              <w:spacing w:line="360" w:lineRule="auto"/>
              <w:jc w:val="center"/>
              <w:rPr>
                <w:rFonts w:hint="eastAsia" w:ascii="宋体" w:hAnsi="宋体" w:eastAsia="宋体" w:cs="宋体"/>
                <w:color w:val="auto"/>
                <w:sz w:val="24"/>
                <w:highlight w:val="none"/>
              </w:rPr>
            </w:pPr>
          </w:p>
        </w:tc>
        <w:tc>
          <w:tcPr>
            <w:tcW w:w="320" w:type="pct"/>
            <w:vAlign w:val="center"/>
          </w:tcPr>
          <w:p w14:paraId="09A549BE">
            <w:pPr>
              <w:spacing w:line="360" w:lineRule="auto"/>
              <w:jc w:val="center"/>
              <w:rPr>
                <w:rFonts w:hint="eastAsia" w:ascii="宋体" w:hAnsi="宋体" w:eastAsia="宋体" w:cs="宋体"/>
                <w:color w:val="auto"/>
                <w:sz w:val="24"/>
                <w:highlight w:val="none"/>
              </w:rPr>
            </w:pPr>
          </w:p>
        </w:tc>
        <w:tc>
          <w:tcPr>
            <w:tcW w:w="536" w:type="pct"/>
            <w:vAlign w:val="center"/>
          </w:tcPr>
          <w:p w14:paraId="1B6FF7E7">
            <w:pPr>
              <w:spacing w:line="360" w:lineRule="auto"/>
              <w:jc w:val="center"/>
              <w:rPr>
                <w:rFonts w:hint="eastAsia" w:ascii="宋体" w:hAnsi="宋体" w:eastAsia="宋体" w:cs="宋体"/>
                <w:color w:val="auto"/>
                <w:sz w:val="24"/>
                <w:highlight w:val="none"/>
              </w:rPr>
            </w:pPr>
          </w:p>
        </w:tc>
        <w:tc>
          <w:tcPr>
            <w:tcW w:w="553" w:type="pct"/>
            <w:vAlign w:val="center"/>
          </w:tcPr>
          <w:p w14:paraId="18796B92">
            <w:pPr>
              <w:spacing w:line="360" w:lineRule="auto"/>
              <w:jc w:val="center"/>
              <w:rPr>
                <w:rFonts w:hint="eastAsia" w:ascii="宋体" w:hAnsi="宋体" w:eastAsia="宋体" w:cs="宋体"/>
                <w:color w:val="auto"/>
                <w:sz w:val="24"/>
                <w:highlight w:val="none"/>
              </w:rPr>
            </w:pPr>
          </w:p>
        </w:tc>
        <w:tc>
          <w:tcPr>
            <w:tcW w:w="770" w:type="pct"/>
            <w:vAlign w:val="center"/>
          </w:tcPr>
          <w:p w14:paraId="7C7F3C6C">
            <w:pPr>
              <w:spacing w:line="360" w:lineRule="auto"/>
              <w:jc w:val="center"/>
              <w:rPr>
                <w:rFonts w:hint="eastAsia" w:ascii="宋体" w:hAnsi="宋体" w:eastAsia="宋体" w:cs="宋体"/>
                <w:color w:val="auto"/>
                <w:sz w:val="24"/>
                <w:highlight w:val="none"/>
              </w:rPr>
            </w:pPr>
          </w:p>
        </w:tc>
        <w:tc>
          <w:tcPr>
            <w:tcW w:w="320" w:type="pct"/>
            <w:vAlign w:val="center"/>
          </w:tcPr>
          <w:p w14:paraId="358EF361">
            <w:pPr>
              <w:spacing w:line="360" w:lineRule="auto"/>
              <w:jc w:val="center"/>
              <w:rPr>
                <w:rFonts w:hint="eastAsia" w:ascii="宋体" w:hAnsi="宋体" w:eastAsia="宋体" w:cs="宋体"/>
                <w:color w:val="auto"/>
                <w:sz w:val="24"/>
                <w:highlight w:val="none"/>
              </w:rPr>
            </w:pPr>
          </w:p>
        </w:tc>
        <w:tc>
          <w:tcPr>
            <w:tcW w:w="320" w:type="pct"/>
            <w:vAlign w:val="center"/>
          </w:tcPr>
          <w:p w14:paraId="3A173B00">
            <w:pPr>
              <w:spacing w:line="360" w:lineRule="auto"/>
              <w:jc w:val="center"/>
              <w:rPr>
                <w:rFonts w:hint="eastAsia" w:ascii="宋体" w:hAnsi="宋体" w:eastAsia="宋体" w:cs="宋体"/>
                <w:color w:val="auto"/>
                <w:sz w:val="24"/>
                <w:highlight w:val="none"/>
              </w:rPr>
            </w:pPr>
          </w:p>
        </w:tc>
        <w:tc>
          <w:tcPr>
            <w:tcW w:w="320" w:type="pct"/>
            <w:vAlign w:val="center"/>
          </w:tcPr>
          <w:p w14:paraId="5B8262DE">
            <w:pPr>
              <w:spacing w:line="360" w:lineRule="auto"/>
              <w:jc w:val="center"/>
              <w:rPr>
                <w:rFonts w:hint="eastAsia" w:ascii="宋体" w:hAnsi="宋体" w:eastAsia="宋体" w:cs="宋体"/>
                <w:color w:val="auto"/>
                <w:sz w:val="24"/>
                <w:highlight w:val="none"/>
              </w:rPr>
            </w:pPr>
          </w:p>
        </w:tc>
        <w:tc>
          <w:tcPr>
            <w:tcW w:w="321" w:type="pct"/>
            <w:vAlign w:val="center"/>
          </w:tcPr>
          <w:p w14:paraId="4E194512">
            <w:pPr>
              <w:spacing w:line="360" w:lineRule="auto"/>
              <w:jc w:val="center"/>
              <w:rPr>
                <w:rFonts w:hint="eastAsia" w:ascii="宋体" w:hAnsi="宋体" w:eastAsia="宋体" w:cs="宋体"/>
                <w:color w:val="auto"/>
                <w:sz w:val="24"/>
                <w:highlight w:val="none"/>
              </w:rPr>
            </w:pPr>
          </w:p>
        </w:tc>
        <w:tc>
          <w:tcPr>
            <w:tcW w:w="349" w:type="pct"/>
            <w:vAlign w:val="center"/>
          </w:tcPr>
          <w:p w14:paraId="4DE49E7D">
            <w:pPr>
              <w:spacing w:line="360" w:lineRule="auto"/>
              <w:jc w:val="center"/>
              <w:rPr>
                <w:rFonts w:hint="eastAsia" w:ascii="宋体" w:hAnsi="宋体" w:eastAsia="宋体" w:cs="宋体"/>
                <w:color w:val="auto"/>
                <w:sz w:val="24"/>
                <w:highlight w:val="none"/>
              </w:rPr>
            </w:pPr>
          </w:p>
        </w:tc>
        <w:tc>
          <w:tcPr>
            <w:tcW w:w="323" w:type="pct"/>
            <w:vAlign w:val="center"/>
          </w:tcPr>
          <w:p w14:paraId="2A7B0FD5">
            <w:pPr>
              <w:spacing w:line="360" w:lineRule="auto"/>
              <w:jc w:val="center"/>
              <w:rPr>
                <w:rFonts w:hint="eastAsia" w:ascii="宋体" w:hAnsi="宋体" w:eastAsia="宋体" w:cs="宋体"/>
                <w:color w:val="auto"/>
                <w:sz w:val="24"/>
                <w:highlight w:val="none"/>
              </w:rPr>
            </w:pPr>
          </w:p>
        </w:tc>
      </w:tr>
      <w:tr w14:paraId="7B8B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9" w:type="pct"/>
            <w:vAlign w:val="center"/>
          </w:tcPr>
          <w:p w14:paraId="55BC7F5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46" w:type="pct"/>
            <w:vAlign w:val="center"/>
          </w:tcPr>
          <w:p w14:paraId="5611825F">
            <w:pPr>
              <w:spacing w:line="360" w:lineRule="auto"/>
              <w:jc w:val="center"/>
              <w:rPr>
                <w:rFonts w:hint="eastAsia" w:ascii="宋体" w:hAnsi="宋体" w:eastAsia="宋体" w:cs="宋体"/>
                <w:color w:val="auto"/>
                <w:sz w:val="24"/>
                <w:highlight w:val="none"/>
              </w:rPr>
            </w:pPr>
          </w:p>
        </w:tc>
        <w:tc>
          <w:tcPr>
            <w:tcW w:w="320" w:type="pct"/>
            <w:vAlign w:val="center"/>
          </w:tcPr>
          <w:p w14:paraId="561F3CF5">
            <w:pPr>
              <w:spacing w:line="360" w:lineRule="auto"/>
              <w:jc w:val="center"/>
              <w:rPr>
                <w:rFonts w:hint="eastAsia" w:ascii="宋体" w:hAnsi="宋体" w:eastAsia="宋体" w:cs="宋体"/>
                <w:color w:val="auto"/>
                <w:sz w:val="24"/>
                <w:highlight w:val="none"/>
              </w:rPr>
            </w:pPr>
          </w:p>
        </w:tc>
        <w:tc>
          <w:tcPr>
            <w:tcW w:w="536" w:type="pct"/>
            <w:vAlign w:val="center"/>
          </w:tcPr>
          <w:p w14:paraId="21565FB0">
            <w:pPr>
              <w:spacing w:line="360" w:lineRule="auto"/>
              <w:jc w:val="center"/>
              <w:rPr>
                <w:rFonts w:hint="eastAsia" w:ascii="宋体" w:hAnsi="宋体" w:eastAsia="宋体" w:cs="宋体"/>
                <w:color w:val="auto"/>
                <w:sz w:val="24"/>
                <w:highlight w:val="none"/>
              </w:rPr>
            </w:pPr>
          </w:p>
        </w:tc>
        <w:tc>
          <w:tcPr>
            <w:tcW w:w="553" w:type="pct"/>
            <w:vAlign w:val="center"/>
          </w:tcPr>
          <w:p w14:paraId="1D0C6F7C">
            <w:pPr>
              <w:spacing w:line="360" w:lineRule="auto"/>
              <w:jc w:val="center"/>
              <w:rPr>
                <w:rFonts w:hint="eastAsia" w:ascii="宋体" w:hAnsi="宋体" w:eastAsia="宋体" w:cs="宋体"/>
                <w:color w:val="auto"/>
                <w:sz w:val="24"/>
                <w:highlight w:val="none"/>
              </w:rPr>
            </w:pPr>
          </w:p>
        </w:tc>
        <w:tc>
          <w:tcPr>
            <w:tcW w:w="770" w:type="pct"/>
            <w:vAlign w:val="center"/>
          </w:tcPr>
          <w:p w14:paraId="3022B879">
            <w:pPr>
              <w:spacing w:line="360" w:lineRule="auto"/>
              <w:jc w:val="center"/>
              <w:rPr>
                <w:rFonts w:hint="eastAsia" w:ascii="宋体" w:hAnsi="宋体" w:eastAsia="宋体" w:cs="宋体"/>
                <w:color w:val="auto"/>
                <w:sz w:val="24"/>
                <w:highlight w:val="none"/>
              </w:rPr>
            </w:pPr>
          </w:p>
        </w:tc>
        <w:tc>
          <w:tcPr>
            <w:tcW w:w="320" w:type="pct"/>
            <w:vAlign w:val="center"/>
          </w:tcPr>
          <w:p w14:paraId="11114644">
            <w:pPr>
              <w:spacing w:line="360" w:lineRule="auto"/>
              <w:jc w:val="center"/>
              <w:rPr>
                <w:rFonts w:hint="eastAsia" w:ascii="宋体" w:hAnsi="宋体" w:eastAsia="宋体" w:cs="宋体"/>
                <w:color w:val="auto"/>
                <w:sz w:val="24"/>
                <w:highlight w:val="none"/>
              </w:rPr>
            </w:pPr>
          </w:p>
        </w:tc>
        <w:tc>
          <w:tcPr>
            <w:tcW w:w="320" w:type="pct"/>
            <w:vAlign w:val="center"/>
          </w:tcPr>
          <w:p w14:paraId="55B02FA9">
            <w:pPr>
              <w:spacing w:line="360" w:lineRule="auto"/>
              <w:jc w:val="center"/>
              <w:rPr>
                <w:rFonts w:hint="eastAsia" w:ascii="宋体" w:hAnsi="宋体" w:eastAsia="宋体" w:cs="宋体"/>
                <w:color w:val="auto"/>
                <w:sz w:val="24"/>
                <w:highlight w:val="none"/>
              </w:rPr>
            </w:pPr>
          </w:p>
        </w:tc>
        <w:tc>
          <w:tcPr>
            <w:tcW w:w="320" w:type="pct"/>
            <w:vAlign w:val="center"/>
          </w:tcPr>
          <w:p w14:paraId="4333DB49">
            <w:pPr>
              <w:spacing w:line="360" w:lineRule="auto"/>
              <w:jc w:val="center"/>
              <w:rPr>
                <w:rFonts w:hint="eastAsia" w:ascii="宋体" w:hAnsi="宋体" w:eastAsia="宋体" w:cs="宋体"/>
                <w:color w:val="auto"/>
                <w:sz w:val="24"/>
                <w:highlight w:val="none"/>
              </w:rPr>
            </w:pPr>
          </w:p>
        </w:tc>
        <w:tc>
          <w:tcPr>
            <w:tcW w:w="321" w:type="pct"/>
            <w:vAlign w:val="center"/>
          </w:tcPr>
          <w:p w14:paraId="4A67BC37">
            <w:pPr>
              <w:spacing w:line="360" w:lineRule="auto"/>
              <w:jc w:val="center"/>
              <w:rPr>
                <w:rFonts w:hint="eastAsia" w:ascii="宋体" w:hAnsi="宋体" w:eastAsia="宋体" w:cs="宋体"/>
                <w:color w:val="auto"/>
                <w:sz w:val="24"/>
                <w:highlight w:val="none"/>
              </w:rPr>
            </w:pPr>
          </w:p>
        </w:tc>
        <w:tc>
          <w:tcPr>
            <w:tcW w:w="349" w:type="pct"/>
            <w:vAlign w:val="center"/>
          </w:tcPr>
          <w:p w14:paraId="54FC85E0">
            <w:pPr>
              <w:spacing w:line="360" w:lineRule="auto"/>
              <w:jc w:val="center"/>
              <w:rPr>
                <w:rFonts w:hint="eastAsia" w:ascii="宋体" w:hAnsi="宋体" w:eastAsia="宋体" w:cs="宋体"/>
                <w:color w:val="auto"/>
                <w:sz w:val="24"/>
                <w:highlight w:val="none"/>
              </w:rPr>
            </w:pPr>
          </w:p>
        </w:tc>
        <w:tc>
          <w:tcPr>
            <w:tcW w:w="323" w:type="pct"/>
            <w:vAlign w:val="center"/>
          </w:tcPr>
          <w:p w14:paraId="2694E9AF">
            <w:pPr>
              <w:spacing w:line="360" w:lineRule="auto"/>
              <w:jc w:val="center"/>
              <w:rPr>
                <w:rFonts w:hint="eastAsia" w:ascii="宋体" w:hAnsi="宋体" w:eastAsia="宋体" w:cs="宋体"/>
                <w:color w:val="auto"/>
                <w:sz w:val="24"/>
                <w:highlight w:val="none"/>
              </w:rPr>
            </w:pPr>
          </w:p>
        </w:tc>
      </w:tr>
      <w:tr w14:paraId="695E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9" w:type="pct"/>
            <w:vAlign w:val="center"/>
          </w:tcPr>
          <w:p w14:paraId="2B1E365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46" w:type="pct"/>
            <w:vAlign w:val="center"/>
          </w:tcPr>
          <w:p w14:paraId="72AF8B6F">
            <w:pPr>
              <w:spacing w:line="360" w:lineRule="auto"/>
              <w:jc w:val="center"/>
              <w:rPr>
                <w:rFonts w:hint="eastAsia" w:ascii="宋体" w:hAnsi="宋体" w:eastAsia="宋体" w:cs="宋体"/>
                <w:color w:val="auto"/>
                <w:sz w:val="24"/>
                <w:highlight w:val="none"/>
              </w:rPr>
            </w:pPr>
          </w:p>
        </w:tc>
        <w:tc>
          <w:tcPr>
            <w:tcW w:w="320" w:type="pct"/>
            <w:vAlign w:val="center"/>
          </w:tcPr>
          <w:p w14:paraId="17269CB3">
            <w:pPr>
              <w:spacing w:line="360" w:lineRule="auto"/>
              <w:jc w:val="center"/>
              <w:rPr>
                <w:rFonts w:hint="eastAsia" w:ascii="宋体" w:hAnsi="宋体" w:eastAsia="宋体" w:cs="宋体"/>
                <w:color w:val="auto"/>
                <w:sz w:val="24"/>
                <w:highlight w:val="none"/>
              </w:rPr>
            </w:pPr>
          </w:p>
        </w:tc>
        <w:tc>
          <w:tcPr>
            <w:tcW w:w="536" w:type="pct"/>
            <w:vAlign w:val="center"/>
          </w:tcPr>
          <w:p w14:paraId="27402034">
            <w:pPr>
              <w:spacing w:line="360" w:lineRule="auto"/>
              <w:jc w:val="center"/>
              <w:rPr>
                <w:rFonts w:hint="eastAsia" w:ascii="宋体" w:hAnsi="宋体" w:eastAsia="宋体" w:cs="宋体"/>
                <w:color w:val="auto"/>
                <w:sz w:val="24"/>
                <w:highlight w:val="none"/>
              </w:rPr>
            </w:pPr>
          </w:p>
        </w:tc>
        <w:tc>
          <w:tcPr>
            <w:tcW w:w="553" w:type="pct"/>
            <w:vAlign w:val="center"/>
          </w:tcPr>
          <w:p w14:paraId="3A6E832B">
            <w:pPr>
              <w:spacing w:line="360" w:lineRule="auto"/>
              <w:jc w:val="center"/>
              <w:rPr>
                <w:rFonts w:hint="eastAsia" w:ascii="宋体" w:hAnsi="宋体" w:eastAsia="宋体" w:cs="宋体"/>
                <w:color w:val="auto"/>
                <w:sz w:val="24"/>
                <w:highlight w:val="none"/>
              </w:rPr>
            </w:pPr>
          </w:p>
        </w:tc>
        <w:tc>
          <w:tcPr>
            <w:tcW w:w="770" w:type="pct"/>
            <w:vAlign w:val="center"/>
          </w:tcPr>
          <w:p w14:paraId="4E9D5E3F">
            <w:pPr>
              <w:spacing w:line="360" w:lineRule="auto"/>
              <w:jc w:val="center"/>
              <w:rPr>
                <w:rFonts w:hint="eastAsia" w:ascii="宋体" w:hAnsi="宋体" w:eastAsia="宋体" w:cs="宋体"/>
                <w:color w:val="auto"/>
                <w:sz w:val="24"/>
                <w:highlight w:val="none"/>
              </w:rPr>
            </w:pPr>
          </w:p>
        </w:tc>
        <w:tc>
          <w:tcPr>
            <w:tcW w:w="320" w:type="pct"/>
            <w:vAlign w:val="center"/>
          </w:tcPr>
          <w:p w14:paraId="5988537E">
            <w:pPr>
              <w:spacing w:line="360" w:lineRule="auto"/>
              <w:jc w:val="center"/>
              <w:rPr>
                <w:rFonts w:hint="eastAsia" w:ascii="宋体" w:hAnsi="宋体" w:eastAsia="宋体" w:cs="宋体"/>
                <w:color w:val="auto"/>
                <w:sz w:val="24"/>
                <w:highlight w:val="none"/>
              </w:rPr>
            </w:pPr>
          </w:p>
        </w:tc>
        <w:tc>
          <w:tcPr>
            <w:tcW w:w="320" w:type="pct"/>
            <w:vAlign w:val="center"/>
          </w:tcPr>
          <w:p w14:paraId="592E0405">
            <w:pPr>
              <w:spacing w:line="360" w:lineRule="auto"/>
              <w:jc w:val="center"/>
              <w:rPr>
                <w:rFonts w:hint="eastAsia" w:ascii="宋体" w:hAnsi="宋体" w:eastAsia="宋体" w:cs="宋体"/>
                <w:color w:val="auto"/>
                <w:sz w:val="24"/>
                <w:highlight w:val="none"/>
              </w:rPr>
            </w:pPr>
          </w:p>
        </w:tc>
        <w:tc>
          <w:tcPr>
            <w:tcW w:w="320" w:type="pct"/>
            <w:vAlign w:val="center"/>
          </w:tcPr>
          <w:p w14:paraId="64344ED2">
            <w:pPr>
              <w:spacing w:line="360" w:lineRule="auto"/>
              <w:jc w:val="center"/>
              <w:rPr>
                <w:rFonts w:hint="eastAsia" w:ascii="宋体" w:hAnsi="宋体" w:eastAsia="宋体" w:cs="宋体"/>
                <w:color w:val="auto"/>
                <w:sz w:val="24"/>
                <w:highlight w:val="none"/>
              </w:rPr>
            </w:pPr>
          </w:p>
        </w:tc>
        <w:tc>
          <w:tcPr>
            <w:tcW w:w="321" w:type="pct"/>
            <w:vAlign w:val="center"/>
          </w:tcPr>
          <w:p w14:paraId="733D33EA">
            <w:pPr>
              <w:spacing w:line="360" w:lineRule="auto"/>
              <w:jc w:val="center"/>
              <w:rPr>
                <w:rFonts w:hint="eastAsia" w:ascii="宋体" w:hAnsi="宋体" w:eastAsia="宋体" w:cs="宋体"/>
                <w:color w:val="auto"/>
                <w:sz w:val="24"/>
                <w:highlight w:val="none"/>
              </w:rPr>
            </w:pPr>
          </w:p>
        </w:tc>
        <w:tc>
          <w:tcPr>
            <w:tcW w:w="349" w:type="pct"/>
            <w:vAlign w:val="center"/>
          </w:tcPr>
          <w:p w14:paraId="16D36E54">
            <w:pPr>
              <w:spacing w:line="360" w:lineRule="auto"/>
              <w:jc w:val="center"/>
              <w:rPr>
                <w:rFonts w:hint="eastAsia" w:ascii="宋体" w:hAnsi="宋体" w:eastAsia="宋体" w:cs="宋体"/>
                <w:color w:val="auto"/>
                <w:sz w:val="24"/>
                <w:highlight w:val="none"/>
              </w:rPr>
            </w:pPr>
          </w:p>
        </w:tc>
        <w:tc>
          <w:tcPr>
            <w:tcW w:w="323" w:type="pct"/>
            <w:vAlign w:val="center"/>
          </w:tcPr>
          <w:p w14:paraId="2E96C78F">
            <w:pPr>
              <w:spacing w:line="360" w:lineRule="auto"/>
              <w:jc w:val="center"/>
              <w:rPr>
                <w:rFonts w:hint="eastAsia" w:ascii="宋体" w:hAnsi="宋体" w:eastAsia="宋体" w:cs="宋体"/>
                <w:color w:val="auto"/>
                <w:sz w:val="24"/>
                <w:highlight w:val="none"/>
              </w:rPr>
            </w:pPr>
          </w:p>
        </w:tc>
      </w:tr>
      <w:tr w14:paraId="77D7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319" w:type="pct"/>
            <w:vAlign w:val="center"/>
          </w:tcPr>
          <w:p w14:paraId="71C1455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46" w:type="pct"/>
            <w:vAlign w:val="center"/>
          </w:tcPr>
          <w:p w14:paraId="1E4EBA30">
            <w:pPr>
              <w:spacing w:line="360" w:lineRule="auto"/>
              <w:jc w:val="center"/>
              <w:rPr>
                <w:rFonts w:hint="eastAsia" w:ascii="宋体" w:hAnsi="宋体" w:eastAsia="宋体" w:cs="宋体"/>
                <w:color w:val="auto"/>
                <w:sz w:val="24"/>
                <w:highlight w:val="none"/>
              </w:rPr>
            </w:pPr>
          </w:p>
        </w:tc>
        <w:tc>
          <w:tcPr>
            <w:tcW w:w="320" w:type="pct"/>
            <w:vAlign w:val="center"/>
          </w:tcPr>
          <w:p w14:paraId="0ADBE8F4">
            <w:pPr>
              <w:spacing w:line="360" w:lineRule="auto"/>
              <w:jc w:val="center"/>
              <w:rPr>
                <w:rFonts w:hint="eastAsia" w:ascii="宋体" w:hAnsi="宋体" w:eastAsia="宋体" w:cs="宋体"/>
                <w:color w:val="auto"/>
                <w:sz w:val="24"/>
                <w:highlight w:val="none"/>
              </w:rPr>
            </w:pPr>
          </w:p>
        </w:tc>
        <w:tc>
          <w:tcPr>
            <w:tcW w:w="536" w:type="pct"/>
            <w:vAlign w:val="center"/>
          </w:tcPr>
          <w:p w14:paraId="4145B7C0">
            <w:pPr>
              <w:spacing w:line="360" w:lineRule="auto"/>
              <w:jc w:val="center"/>
              <w:rPr>
                <w:rFonts w:hint="eastAsia" w:ascii="宋体" w:hAnsi="宋体" w:eastAsia="宋体" w:cs="宋体"/>
                <w:color w:val="auto"/>
                <w:sz w:val="24"/>
                <w:highlight w:val="none"/>
              </w:rPr>
            </w:pPr>
          </w:p>
        </w:tc>
        <w:tc>
          <w:tcPr>
            <w:tcW w:w="553" w:type="pct"/>
            <w:vAlign w:val="center"/>
          </w:tcPr>
          <w:p w14:paraId="728DA84C">
            <w:pPr>
              <w:spacing w:line="360" w:lineRule="auto"/>
              <w:jc w:val="center"/>
              <w:rPr>
                <w:rFonts w:hint="eastAsia" w:ascii="宋体" w:hAnsi="宋体" w:eastAsia="宋体" w:cs="宋体"/>
                <w:color w:val="auto"/>
                <w:sz w:val="24"/>
                <w:highlight w:val="none"/>
              </w:rPr>
            </w:pPr>
          </w:p>
        </w:tc>
        <w:tc>
          <w:tcPr>
            <w:tcW w:w="770" w:type="pct"/>
            <w:vAlign w:val="center"/>
          </w:tcPr>
          <w:p w14:paraId="49BFB575">
            <w:pPr>
              <w:spacing w:line="360" w:lineRule="auto"/>
              <w:jc w:val="center"/>
              <w:rPr>
                <w:rFonts w:hint="eastAsia" w:ascii="宋体" w:hAnsi="宋体" w:eastAsia="宋体" w:cs="宋体"/>
                <w:color w:val="auto"/>
                <w:sz w:val="24"/>
                <w:highlight w:val="none"/>
              </w:rPr>
            </w:pPr>
          </w:p>
        </w:tc>
        <w:tc>
          <w:tcPr>
            <w:tcW w:w="320" w:type="pct"/>
            <w:vAlign w:val="center"/>
          </w:tcPr>
          <w:p w14:paraId="1BD82577">
            <w:pPr>
              <w:spacing w:line="360" w:lineRule="auto"/>
              <w:jc w:val="center"/>
              <w:rPr>
                <w:rFonts w:hint="eastAsia" w:ascii="宋体" w:hAnsi="宋体" w:eastAsia="宋体" w:cs="宋体"/>
                <w:color w:val="auto"/>
                <w:sz w:val="24"/>
                <w:highlight w:val="none"/>
              </w:rPr>
            </w:pPr>
          </w:p>
        </w:tc>
        <w:tc>
          <w:tcPr>
            <w:tcW w:w="320" w:type="pct"/>
            <w:vAlign w:val="center"/>
          </w:tcPr>
          <w:p w14:paraId="55649172">
            <w:pPr>
              <w:spacing w:line="360" w:lineRule="auto"/>
              <w:jc w:val="center"/>
              <w:rPr>
                <w:rFonts w:hint="eastAsia" w:ascii="宋体" w:hAnsi="宋体" w:eastAsia="宋体" w:cs="宋体"/>
                <w:color w:val="auto"/>
                <w:sz w:val="24"/>
                <w:highlight w:val="none"/>
              </w:rPr>
            </w:pPr>
          </w:p>
        </w:tc>
        <w:tc>
          <w:tcPr>
            <w:tcW w:w="320" w:type="pct"/>
            <w:vAlign w:val="center"/>
          </w:tcPr>
          <w:p w14:paraId="65D899EC">
            <w:pPr>
              <w:spacing w:line="360" w:lineRule="auto"/>
              <w:jc w:val="center"/>
              <w:rPr>
                <w:rFonts w:hint="eastAsia" w:ascii="宋体" w:hAnsi="宋体" w:eastAsia="宋体" w:cs="宋体"/>
                <w:color w:val="auto"/>
                <w:sz w:val="24"/>
                <w:highlight w:val="none"/>
              </w:rPr>
            </w:pPr>
          </w:p>
        </w:tc>
        <w:tc>
          <w:tcPr>
            <w:tcW w:w="321" w:type="pct"/>
            <w:vAlign w:val="center"/>
          </w:tcPr>
          <w:p w14:paraId="4894FA14">
            <w:pPr>
              <w:spacing w:line="360" w:lineRule="auto"/>
              <w:jc w:val="center"/>
              <w:rPr>
                <w:rFonts w:hint="eastAsia" w:ascii="宋体" w:hAnsi="宋体" w:eastAsia="宋体" w:cs="宋体"/>
                <w:color w:val="auto"/>
                <w:sz w:val="24"/>
                <w:highlight w:val="none"/>
              </w:rPr>
            </w:pPr>
          </w:p>
        </w:tc>
        <w:tc>
          <w:tcPr>
            <w:tcW w:w="349" w:type="pct"/>
            <w:vAlign w:val="center"/>
          </w:tcPr>
          <w:p w14:paraId="21CC4212">
            <w:pPr>
              <w:spacing w:line="360" w:lineRule="auto"/>
              <w:jc w:val="center"/>
              <w:rPr>
                <w:rFonts w:hint="eastAsia" w:ascii="宋体" w:hAnsi="宋体" w:eastAsia="宋体" w:cs="宋体"/>
                <w:color w:val="auto"/>
                <w:sz w:val="24"/>
                <w:highlight w:val="none"/>
              </w:rPr>
            </w:pPr>
          </w:p>
        </w:tc>
        <w:tc>
          <w:tcPr>
            <w:tcW w:w="323" w:type="pct"/>
            <w:vAlign w:val="center"/>
          </w:tcPr>
          <w:p w14:paraId="2623D925">
            <w:pPr>
              <w:spacing w:line="360" w:lineRule="auto"/>
              <w:jc w:val="center"/>
              <w:rPr>
                <w:rFonts w:hint="eastAsia" w:ascii="宋体" w:hAnsi="宋体" w:eastAsia="宋体" w:cs="宋体"/>
                <w:color w:val="auto"/>
                <w:sz w:val="24"/>
                <w:highlight w:val="none"/>
              </w:rPr>
            </w:pPr>
          </w:p>
        </w:tc>
      </w:tr>
      <w:tr w14:paraId="6AFF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9" w:type="pct"/>
            <w:vAlign w:val="center"/>
          </w:tcPr>
          <w:p w14:paraId="1444964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46" w:type="pct"/>
            <w:vAlign w:val="center"/>
          </w:tcPr>
          <w:p w14:paraId="34E40AF1">
            <w:pPr>
              <w:spacing w:line="360" w:lineRule="auto"/>
              <w:jc w:val="center"/>
              <w:rPr>
                <w:rFonts w:hint="eastAsia" w:ascii="宋体" w:hAnsi="宋体" w:eastAsia="宋体" w:cs="宋体"/>
                <w:color w:val="auto"/>
                <w:sz w:val="24"/>
                <w:highlight w:val="none"/>
              </w:rPr>
            </w:pPr>
          </w:p>
        </w:tc>
        <w:tc>
          <w:tcPr>
            <w:tcW w:w="320" w:type="pct"/>
            <w:vAlign w:val="center"/>
          </w:tcPr>
          <w:p w14:paraId="4128F54D">
            <w:pPr>
              <w:spacing w:line="360" w:lineRule="auto"/>
              <w:jc w:val="center"/>
              <w:rPr>
                <w:rFonts w:hint="eastAsia" w:ascii="宋体" w:hAnsi="宋体" w:eastAsia="宋体" w:cs="宋体"/>
                <w:color w:val="auto"/>
                <w:sz w:val="24"/>
                <w:highlight w:val="none"/>
              </w:rPr>
            </w:pPr>
          </w:p>
        </w:tc>
        <w:tc>
          <w:tcPr>
            <w:tcW w:w="536" w:type="pct"/>
            <w:vAlign w:val="center"/>
          </w:tcPr>
          <w:p w14:paraId="31D429DB">
            <w:pPr>
              <w:spacing w:line="360" w:lineRule="auto"/>
              <w:jc w:val="center"/>
              <w:rPr>
                <w:rFonts w:hint="eastAsia" w:ascii="宋体" w:hAnsi="宋体" w:eastAsia="宋体" w:cs="宋体"/>
                <w:color w:val="auto"/>
                <w:sz w:val="24"/>
                <w:highlight w:val="none"/>
              </w:rPr>
            </w:pPr>
          </w:p>
        </w:tc>
        <w:tc>
          <w:tcPr>
            <w:tcW w:w="553" w:type="pct"/>
            <w:vAlign w:val="center"/>
          </w:tcPr>
          <w:p w14:paraId="04FF1D9C">
            <w:pPr>
              <w:spacing w:line="360" w:lineRule="auto"/>
              <w:jc w:val="center"/>
              <w:rPr>
                <w:rFonts w:hint="eastAsia" w:ascii="宋体" w:hAnsi="宋体" w:eastAsia="宋体" w:cs="宋体"/>
                <w:color w:val="auto"/>
                <w:sz w:val="24"/>
                <w:highlight w:val="none"/>
              </w:rPr>
            </w:pPr>
          </w:p>
        </w:tc>
        <w:tc>
          <w:tcPr>
            <w:tcW w:w="770" w:type="pct"/>
            <w:vAlign w:val="center"/>
          </w:tcPr>
          <w:p w14:paraId="2FFA4EA4">
            <w:pPr>
              <w:spacing w:line="360" w:lineRule="auto"/>
              <w:jc w:val="center"/>
              <w:rPr>
                <w:rFonts w:hint="eastAsia" w:ascii="宋体" w:hAnsi="宋体" w:eastAsia="宋体" w:cs="宋体"/>
                <w:color w:val="auto"/>
                <w:sz w:val="24"/>
                <w:highlight w:val="none"/>
              </w:rPr>
            </w:pPr>
          </w:p>
        </w:tc>
        <w:tc>
          <w:tcPr>
            <w:tcW w:w="320" w:type="pct"/>
            <w:vAlign w:val="center"/>
          </w:tcPr>
          <w:p w14:paraId="1D4DA1B6">
            <w:pPr>
              <w:spacing w:line="360" w:lineRule="auto"/>
              <w:jc w:val="center"/>
              <w:rPr>
                <w:rFonts w:hint="eastAsia" w:ascii="宋体" w:hAnsi="宋体" w:eastAsia="宋体" w:cs="宋体"/>
                <w:color w:val="auto"/>
                <w:sz w:val="24"/>
                <w:highlight w:val="none"/>
              </w:rPr>
            </w:pPr>
          </w:p>
        </w:tc>
        <w:tc>
          <w:tcPr>
            <w:tcW w:w="320" w:type="pct"/>
            <w:vAlign w:val="center"/>
          </w:tcPr>
          <w:p w14:paraId="4096D4F6">
            <w:pPr>
              <w:spacing w:line="360" w:lineRule="auto"/>
              <w:jc w:val="center"/>
              <w:rPr>
                <w:rFonts w:hint="eastAsia" w:ascii="宋体" w:hAnsi="宋体" w:eastAsia="宋体" w:cs="宋体"/>
                <w:color w:val="auto"/>
                <w:sz w:val="24"/>
                <w:highlight w:val="none"/>
              </w:rPr>
            </w:pPr>
          </w:p>
        </w:tc>
        <w:tc>
          <w:tcPr>
            <w:tcW w:w="320" w:type="pct"/>
            <w:vAlign w:val="center"/>
          </w:tcPr>
          <w:p w14:paraId="63E8B1CE">
            <w:pPr>
              <w:spacing w:line="360" w:lineRule="auto"/>
              <w:jc w:val="center"/>
              <w:rPr>
                <w:rFonts w:hint="eastAsia" w:ascii="宋体" w:hAnsi="宋体" w:eastAsia="宋体" w:cs="宋体"/>
                <w:color w:val="auto"/>
                <w:sz w:val="24"/>
                <w:highlight w:val="none"/>
              </w:rPr>
            </w:pPr>
          </w:p>
        </w:tc>
        <w:tc>
          <w:tcPr>
            <w:tcW w:w="321" w:type="pct"/>
            <w:vAlign w:val="center"/>
          </w:tcPr>
          <w:p w14:paraId="545C6336">
            <w:pPr>
              <w:spacing w:line="360" w:lineRule="auto"/>
              <w:jc w:val="center"/>
              <w:rPr>
                <w:rFonts w:hint="eastAsia" w:ascii="宋体" w:hAnsi="宋体" w:eastAsia="宋体" w:cs="宋体"/>
                <w:color w:val="auto"/>
                <w:sz w:val="24"/>
                <w:highlight w:val="none"/>
              </w:rPr>
            </w:pPr>
          </w:p>
        </w:tc>
        <w:tc>
          <w:tcPr>
            <w:tcW w:w="349" w:type="pct"/>
            <w:vAlign w:val="center"/>
          </w:tcPr>
          <w:p w14:paraId="7F47A24C">
            <w:pPr>
              <w:spacing w:line="360" w:lineRule="auto"/>
              <w:jc w:val="center"/>
              <w:rPr>
                <w:rFonts w:hint="eastAsia" w:ascii="宋体" w:hAnsi="宋体" w:eastAsia="宋体" w:cs="宋体"/>
                <w:color w:val="auto"/>
                <w:sz w:val="24"/>
                <w:highlight w:val="none"/>
              </w:rPr>
            </w:pPr>
          </w:p>
        </w:tc>
        <w:tc>
          <w:tcPr>
            <w:tcW w:w="323" w:type="pct"/>
            <w:vAlign w:val="center"/>
          </w:tcPr>
          <w:p w14:paraId="6FD8532A">
            <w:pPr>
              <w:spacing w:line="360" w:lineRule="auto"/>
              <w:jc w:val="center"/>
              <w:rPr>
                <w:rFonts w:hint="eastAsia" w:ascii="宋体" w:hAnsi="宋体" w:eastAsia="宋体" w:cs="宋体"/>
                <w:color w:val="auto"/>
                <w:sz w:val="24"/>
                <w:highlight w:val="none"/>
              </w:rPr>
            </w:pPr>
          </w:p>
        </w:tc>
      </w:tr>
      <w:tr w14:paraId="30D7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9" w:type="pct"/>
            <w:vAlign w:val="center"/>
          </w:tcPr>
          <w:p w14:paraId="78FAC37C">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8</w:t>
            </w:r>
          </w:p>
        </w:tc>
        <w:tc>
          <w:tcPr>
            <w:tcW w:w="546" w:type="pct"/>
            <w:vAlign w:val="center"/>
          </w:tcPr>
          <w:p w14:paraId="79DC2BAE">
            <w:pPr>
              <w:spacing w:line="360" w:lineRule="auto"/>
              <w:jc w:val="center"/>
              <w:rPr>
                <w:rFonts w:hint="eastAsia" w:ascii="宋体" w:hAnsi="宋体" w:eastAsia="宋体" w:cs="宋体"/>
                <w:color w:val="auto"/>
                <w:sz w:val="24"/>
                <w:highlight w:val="none"/>
              </w:rPr>
            </w:pPr>
          </w:p>
        </w:tc>
        <w:tc>
          <w:tcPr>
            <w:tcW w:w="320" w:type="pct"/>
            <w:vAlign w:val="center"/>
          </w:tcPr>
          <w:p w14:paraId="6B573C44">
            <w:pPr>
              <w:spacing w:line="360" w:lineRule="auto"/>
              <w:jc w:val="center"/>
              <w:rPr>
                <w:rFonts w:hint="eastAsia" w:ascii="宋体" w:hAnsi="宋体" w:eastAsia="宋体" w:cs="宋体"/>
                <w:color w:val="auto"/>
                <w:sz w:val="24"/>
                <w:highlight w:val="none"/>
              </w:rPr>
            </w:pPr>
          </w:p>
        </w:tc>
        <w:tc>
          <w:tcPr>
            <w:tcW w:w="536" w:type="pct"/>
            <w:vAlign w:val="center"/>
          </w:tcPr>
          <w:p w14:paraId="7829673F">
            <w:pPr>
              <w:spacing w:line="360" w:lineRule="auto"/>
              <w:jc w:val="center"/>
              <w:rPr>
                <w:rFonts w:hint="eastAsia" w:ascii="宋体" w:hAnsi="宋体" w:eastAsia="宋体" w:cs="宋体"/>
                <w:color w:val="auto"/>
                <w:sz w:val="24"/>
                <w:highlight w:val="none"/>
              </w:rPr>
            </w:pPr>
          </w:p>
        </w:tc>
        <w:tc>
          <w:tcPr>
            <w:tcW w:w="553" w:type="pct"/>
            <w:vAlign w:val="center"/>
          </w:tcPr>
          <w:p w14:paraId="7AE7584C">
            <w:pPr>
              <w:spacing w:line="360" w:lineRule="auto"/>
              <w:jc w:val="center"/>
              <w:rPr>
                <w:rFonts w:hint="eastAsia" w:ascii="宋体" w:hAnsi="宋体" w:eastAsia="宋体" w:cs="宋体"/>
                <w:color w:val="auto"/>
                <w:sz w:val="24"/>
                <w:highlight w:val="none"/>
              </w:rPr>
            </w:pPr>
          </w:p>
        </w:tc>
        <w:tc>
          <w:tcPr>
            <w:tcW w:w="770" w:type="pct"/>
            <w:vAlign w:val="center"/>
          </w:tcPr>
          <w:p w14:paraId="173CED3D">
            <w:pPr>
              <w:spacing w:line="360" w:lineRule="auto"/>
              <w:jc w:val="center"/>
              <w:rPr>
                <w:rFonts w:hint="eastAsia" w:ascii="宋体" w:hAnsi="宋体" w:eastAsia="宋体" w:cs="宋体"/>
                <w:color w:val="auto"/>
                <w:sz w:val="24"/>
                <w:highlight w:val="none"/>
              </w:rPr>
            </w:pPr>
          </w:p>
        </w:tc>
        <w:tc>
          <w:tcPr>
            <w:tcW w:w="320" w:type="pct"/>
            <w:vAlign w:val="center"/>
          </w:tcPr>
          <w:p w14:paraId="4757C1A7">
            <w:pPr>
              <w:spacing w:line="360" w:lineRule="auto"/>
              <w:jc w:val="center"/>
              <w:rPr>
                <w:rFonts w:hint="eastAsia" w:ascii="宋体" w:hAnsi="宋体" w:eastAsia="宋体" w:cs="宋体"/>
                <w:color w:val="auto"/>
                <w:sz w:val="24"/>
                <w:highlight w:val="none"/>
              </w:rPr>
            </w:pPr>
          </w:p>
        </w:tc>
        <w:tc>
          <w:tcPr>
            <w:tcW w:w="320" w:type="pct"/>
            <w:vAlign w:val="center"/>
          </w:tcPr>
          <w:p w14:paraId="0F401B60">
            <w:pPr>
              <w:spacing w:line="360" w:lineRule="auto"/>
              <w:jc w:val="center"/>
              <w:rPr>
                <w:rFonts w:hint="eastAsia" w:ascii="宋体" w:hAnsi="宋体" w:eastAsia="宋体" w:cs="宋体"/>
                <w:color w:val="auto"/>
                <w:sz w:val="24"/>
                <w:highlight w:val="none"/>
              </w:rPr>
            </w:pPr>
          </w:p>
        </w:tc>
        <w:tc>
          <w:tcPr>
            <w:tcW w:w="320" w:type="pct"/>
            <w:vAlign w:val="center"/>
          </w:tcPr>
          <w:p w14:paraId="659BCD17">
            <w:pPr>
              <w:spacing w:line="360" w:lineRule="auto"/>
              <w:jc w:val="center"/>
              <w:rPr>
                <w:rFonts w:hint="eastAsia" w:ascii="宋体" w:hAnsi="宋体" w:eastAsia="宋体" w:cs="宋体"/>
                <w:color w:val="auto"/>
                <w:sz w:val="24"/>
                <w:highlight w:val="none"/>
              </w:rPr>
            </w:pPr>
          </w:p>
        </w:tc>
        <w:tc>
          <w:tcPr>
            <w:tcW w:w="321" w:type="pct"/>
            <w:vAlign w:val="center"/>
          </w:tcPr>
          <w:p w14:paraId="416EAAAB">
            <w:pPr>
              <w:spacing w:line="360" w:lineRule="auto"/>
              <w:jc w:val="center"/>
              <w:rPr>
                <w:rFonts w:hint="eastAsia" w:ascii="宋体" w:hAnsi="宋体" w:eastAsia="宋体" w:cs="宋体"/>
                <w:color w:val="auto"/>
                <w:sz w:val="24"/>
                <w:highlight w:val="none"/>
              </w:rPr>
            </w:pPr>
          </w:p>
        </w:tc>
        <w:tc>
          <w:tcPr>
            <w:tcW w:w="349" w:type="pct"/>
            <w:vAlign w:val="center"/>
          </w:tcPr>
          <w:p w14:paraId="33B05D13">
            <w:pPr>
              <w:spacing w:line="360" w:lineRule="auto"/>
              <w:jc w:val="center"/>
              <w:rPr>
                <w:rFonts w:hint="eastAsia" w:ascii="宋体" w:hAnsi="宋体" w:eastAsia="宋体" w:cs="宋体"/>
                <w:color w:val="auto"/>
                <w:sz w:val="24"/>
                <w:highlight w:val="none"/>
              </w:rPr>
            </w:pPr>
          </w:p>
        </w:tc>
        <w:tc>
          <w:tcPr>
            <w:tcW w:w="323" w:type="pct"/>
            <w:vAlign w:val="center"/>
          </w:tcPr>
          <w:p w14:paraId="4E98FC30">
            <w:pPr>
              <w:spacing w:line="360" w:lineRule="auto"/>
              <w:jc w:val="center"/>
              <w:rPr>
                <w:rFonts w:hint="eastAsia" w:ascii="宋体" w:hAnsi="宋体" w:eastAsia="宋体" w:cs="宋体"/>
                <w:color w:val="auto"/>
                <w:sz w:val="24"/>
                <w:highlight w:val="none"/>
              </w:rPr>
            </w:pPr>
          </w:p>
        </w:tc>
      </w:tr>
      <w:tr w14:paraId="4474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676" w:type="pct"/>
            <w:gridSpan w:val="11"/>
            <w:vAlign w:val="center"/>
          </w:tcPr>
          <w:p w14:paraId="20F8B14B">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总价（元）</w:t>
            </w:r>
            <w:r>
              <w:rPr>
                <w:rFonts w:hint="eastAsia" w:ascii="宋体" w:hAnsi="宋体" w:cs="宋体"/>
                <w:color w:val="auto"/>
                <w:sz w:val="24"/>
                <w:highlight w:val="none"/>
                <w:lang w:eastAsia="zh-CN"/>
              </w:rPr>
              <w:t>：</w:t>
            </w:r>
          </w:p>
        </w:tc>
        <w:tc>
          <w:tcPr>
            <w:tcW w:w="323" w:type="pct"/>
            <w:vAlign w:val="center"/>
          </w:tcPr>
          <w:p w14:paraId="042CCC33">
            <w:pPr>
              <w:spacing w:line="360" w:lineRule="auto"/>
              <w:jc w:val="center"/>
              <w:rPr>
                <w:rFonts w:hint="eastAsia" w:ascii="宋体" w:hAnsi="宋体" w:eastAsia="宋体" w:cs="宋体"/>
                <w:color w:val="auto"/>
                <w:sz w:val="24"/>
                <w:highlight w:val="none"/>
              </w:rPr>
            </w:pPr>
          </w:p>
        </w:tc>
      </w:tr>
    </w:tbl>
    <w:p w14:paraId="62B1D86C">
      <w:pPr>
        <w:pStyle w:val="12"/>
        <w:spacing w:line="400" w:lineRule="exact"/>
        <w:ind w:left="1080" w:leftChars="257" w:hanging="540"/>
        <w:rPr>
          <w:rFonts w:hint="eastAsia" w:ascii="宋体" w:hAnsi="宋体" w:eastAsia="宋体" w:cs="宋体"/>
          <w:color w:val="auto"/>
          <w:sz w:val="24"/>
          <w:szCs w:val="24"/>
          <w:highlight w:val="none"/>
        </w:rPr>
      </w:pPr>
    </w:p>
    <w:p w14:paraId="19D61F16">
      <w:pPr>
        <w:pStyle w:val="7"/>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14:paraId="69B67798">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14:paraId="4220B3CD">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14:paraId="0A822277">
      <w:pPr>
        <w:pStyle w:val="12"/>
        <w:spacing w:line="400" w:lineRule="exact"/>
        <w:ind w:left="1080" w:leftChars="257" w:hanging="540"/>
        <w:rPr>
          <w:rFonts w:hint="eastAsia" w:ascii="宋体" w:hAnsi="宋体" w:eastAsia="宋体" w:cs="宋体"/>
          <w:color w:val="auto"/>
          <w:sz w:val="24"/>
          <w:szCs w:val="24"/>
          <w:highlight w:val="none"/>
        </w:rPr>
      </w:pPr>
    </w:p>
    <w:p w14:paraId="4184A867">
      <w:pPr>
        <w:pStyle w:val="12"/>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注:1.如果供应商认为需要，每种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填写一份该表。</w:t>
      </w:r>
    </w:p>
    <w:p w14:paraId="14F36689">
      <w:pPr>
        <w:pStyle w:val="12"/>
        <w:spacing w:line="400" w:lineRule="exact"/>
        <w:ind w:left="1079" w:leftChars="428" w:hanging="180" w:hangingChars="75"/>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2.如果按单价计算的结果与总价不一致,以单价为准修正总价。</w:t>
      </w:r>
    </w:p>
    <w:p w14:paraId="1144EE72">
      <w:pPr>
        <w:pStyle w:val="12"/>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3.如果不提供详细分项报价将视为没有实质性响应招标文件。</w:t>
      </w:r>
    </w:p>
    <w:p w14:paraId="50CD6573">
      <w:pPr>
        <w:pStyle w:val="12"/>
        <w:spacing w:line="400" w:lineRule="exact"/>
        <w:ind w:left="1080" w:leftChars="257" w:hanging="54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4.上述各项的详细分项报价，应另页描述。</w:t>
      </w:r>
    </w:p>
    <w:p w14:paraId="13A58007">
      <w:pPr>
        <w:pStyle w:val="12"/>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5.如果开标一览表（报价表）内容与投标文件中明细表内容不一致的，以开标一览表（报价表）内容为准。</w:t>
      </w:r>
    </w:p>
    <w:p w14:paraId="22D0D369">
      <w:pPr>
        <w:rPr>
          <w:rFonts w:hint="eastAsia" w:ascii="宋体" w:hAnsi="宋体" w:eastAsia="宋体" w:cs="宋体"/>
          <w:color w:val="auto"/>
          <w:sz w:val="28"/>
          <w:szCs w:val="28"/>
          <w:highlight w:val="none"/>
          <w:lang w:val="en-US" w:eastAsia="zh-CN"/>
        </w:rPr>
      </w:pPr>
      <w:bookmarkStart w:id="1555" w:name="_Toc13950"/>
      <w:bookmarkStart w:id="1556" w:name="_Toc27975"/>
      <w:bookmarkStart w:id="1557" w:name="_Toc16798"/>
      <w:bookmarkStart w:id="1558" w:name="_Toc27721"/>
      <w:bookmarkStart w:id="1559" w:name="_Toc28199"/>
      <w:bookmarkStart w:id="1560" w:name="_Toc6480"/>
      <w:bookmarkStart w:id="1561" w:name="_Toc30209"/>
      <w:bookmarkStart w:id="1562" w:name="_Toc10486"/>
      <w:bookmarkStart w:id="1563" w:name="_Toc29174"/>
      <w:bookmarkStart w:id="1564" w:name="_Toc3096"/>
      <w:bookmarkStart w:id="1565" w:name="_Toc32439"/>
      <w:bookmarkStart w:id="1566" w:name="_Toc26185"/>
      <w:r>
        <w:rPr>
          <w:rFonts w:hint="eastAsia" w:ascii="宋体" w:hAnsi="宋体" w:eastAsia="宋体" w:cs="宋体"/>
          <w:color w:val="auto"/>
          <w:sz w:val="28"/>
          <w:szCs w:val="28"/>
          <w:highlight w:val="none"/>
          <w:lang w:val="en-US" w:eastAsia="zh-CN"/>
        </w:rPr>
        <w:br w:type="page"/>
      </w:r>
    </w:p>
    <w:p w14:paraId="2596185C">
      <w:pPr>
        <w:keepNext/>
        <w:keepLines/>
        <w:pageBreakBefore w:val="0"/>
        <w:widowControl w:val="0"/>
        <w:kinsoku/>
        <w:wordWrap/>
        <w:overflowPunct/>
        <w:topLinePunct w:val="0"/>
        <w:autoSpaceDE w:val="0"/>
        <w:autoSpaceDN w:val="0"/>
        <w:bidi w:val="0"/>
        <w:adjustRightInd w:val="0"/>
        <w:snapToGrid/>
        <w:spacing w:before="0" w:line="440" w:lineRule="exact"/>
        <w:jc w:val="center"/>
        <w:textAlignment w:val="auto"/>
        <w:outlineLvl w:val="9"/>
        <w:rPr>
          <w:rFonts w:hint="default" w:ascii="宋体" w:hAnsi="宋体" w:eastAsia="宋体" w:cs="宋体"/>
          <w:b/>
          <w:bCs w:val="0"/>
          <w:color w:val="auto"/>
          <w:kern w:val="0"/>
          <w:sz w:val="24"/>
          <w:szCs w:val="24"/>
          <w:highlight w:val="none"/>
          <w:lang w:val="en-US" w:eastAsia="zh-CN" w:bidi="ar-SA"/>
        </w:rPr>
      </w:pPr>
      <w:bookmarkStart w:id="1567" w:name="_Toc20808"/>
      <w:r>
        <w:rPr>
          <w:rFonts w:hint="eastAsia" w:ascii="宋体" w:hAnsi="宋体" w:eastAsia="宋体" w:cs="宋体"/>
          <w:b/>
          <w:bCs w:val="0"/>
          <w:color w:val="auto"/>
          <w:kern w:val="0"/>
          <w:sz w:val="24"/>
          <w:szCs w:val="24"/>
          <w:highlight w:val="none"/>
          <w:lang w:val="en-US" w:eastAsia="zh-CN" w:bidi="ar-SA"/>
        </w:rPr>
        <w:t>备品备件设备分项报价表</w:t>
      </w:r>
      <w:bookmarkEnd w:id="1555"/>
      <w:bookmarkEnd w:id="1556"/>
      <w:bookmarkEnd w:id="1557"/>
      <w:bookmarkEnd w:id="1558"/>
      <w:bookmarkEnd w:id="1559"/>
      <w:bookmarkEnd w:id="1560"/>
      <w:bookmarkEnd w:id="1561"/>
      <w:bookmarkEnd w:id="1562"/>
      <w:bookmarkEnd w:id="1563"/>
      <w:bookmarkEnd w:id="1567"/>
      <w:r>
        <w:rPr>
          <w:rFonts w:hint="eastAsia" w:ascii="宋体" w:hAnsi="宋体" w:cs="宋体"/>
          <w:b/>
          <w:bCs w:val="0"/>
          <w:color w:val="auto"/>
          <w:kern w:val="0"/>
          <w:sz w:val="24"/>
          <w:szCs w:val="24"/>
          <w:highlight w:val="none"/>
          <w:lang w:val="en-US" w:eastAsia="zh-CN" w:bidi="ar-SA"/>
        </w:rPr>
        <w:t>(如有）</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547"/>
        <w:gridCol w:w="847"/>
        <w:gridCol w:w="547"/>
        <w:gridCol w:w="847"/>
        <w:gridCol w:w="996"/>
        <w:gridCol w:w="547"/>
        <w:gridCol w:w="547"/>
        <w:gridCol w:w="547"/>
        <w:gridCol w:w="547"/>
        <w:gridCol w:w="548"/>
        <w:gridCol w:w="558"/>
      </w:tblGrid>
      <w:tr w14:paraId="4152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847" w:type="pct"/>
            <w:vAlign w:val="center"/>
          </w:tcPr>
          <w:p w14:paraId="5C4025F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55800893">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编号</w:t>
            </w:r>
          </w:p>
        </w:tc>
        <w:tc>
          <w:tcPr>
            <w:tcW w:w="497" w:type="pct"/>
            <w:vAlign w:val="center"/>
          </w:tcPr>
          <w:p w14:paraId="63D10E2B">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321" w:type="pct"/>
            <w:vAlign w:val="center"/>
          </w:tcPr>
          <w:p w14:paraId="48C0A900">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w:t>
            </w:r>
          </w:p>
        </w:tc>
        <w:tc>
          <w:tcPr>
            <w:tcW w:w="497" w:type="pct"/>
            <w:vAlign w:val="center"/>
          </w:tcPr>
          <w:p w14:paraId="470FCC70">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584" w:type="pct"/>
            <w:vAlign w:val="center"/>
          </w:tcPr>
          <w:p w14:paraId="13229896">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生产厂家名称</w:t>
            </w:r>
          </w:p>
        </w:tc>
        <w:tc>
          <w:tcPr>
            <w:tcW w:w="321" w:type="pct"/>
            <w:vAlign w:val="center"/>
          </w:tcPr>
          <w:p w14:paraId="6A1694F3">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产地</w:t>
            </w:r>
          </w:p>
        </w:tc>
        <w:tc>
          <w:tcPr>
            <w:tcW w:w="321" w:type="pct"/>
            <w:vAlign w:val="center"/>
          </w:tcPr>
          <w:p w14:paraId="6AC3F934">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321" w:type="pct"/>
            <w:vAlign w:val="center"/>
          </w:tcPr>
          <w:p w14:paraId="23F01D2C">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321" w:type="pct"/>
            <w:vAlign w:val="center"/>
          </w:tcPr>
          <w:p w14:paraId="7623AC8B">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321" w:type="pct"/>
            <w:vAlign w:val="center"/>
          </w:tcPr>
          <w:p w14:paraId="27B18059">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w:t>
            </w:r>
          </w:p>
        </w:tc>
        <w:tc>
          <w:tcPr>
            <w:tcW w:w="321" w:type="pct"/>
            <w:vAlign w:val="center"/>
          </w:tcPr>
          <w:p w14:paraId="1EF66C73">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117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7" w:type="pct"/>
            <w:vMerge w:val="restart"/>
            <w:vAlign w:val="center"/>
          </w:tcPr>
          <w:p w14:paraId="374DC828">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质保期外设备报价</w:t>
            </w:r>
          </w:p>
        </w:tc>
        <w:tc>
          <w:tcPr>
            <w:tcW w:w="321" w:type="pct"/>
            <w:vAlign w:val="center"/>
          </w:tcPr>
          <w:p w14:paraId="639EA073">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7" w:type="pct"/>
            <w:vAlign w:val="center"/>
          </w:tcPr>
          <w:p w14:paraId="2901E235">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0FEA2FC">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128FD154">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3B6793C1">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23DD0C61">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626AEF8">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B67B595">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E23A312">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DBB0A86">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0A6674A">
            <w:pPr>
              <w:shd w:val="clear"/>
              <w:spacing w:line="360" w:lineRule="auto"/>
              <w:jc w:val="center"/>
              <w:outlineLvl w:val="9"/>
              <w:rPr>
                <w:rFonts w:hint="eastAsia" w:ascii="宋体" w:hAnsi="宋体" w:eastAsia="宋体" w:cs="宋体"/>
                <w:color w:val="auto"/>
                <w:sz w:val="24"/>
                <w:szCs w:val="24"/>
                <w:highlight w:val="none"/>
              </w:rPr>
            </w:pPr>
          </w:p>
        </w:tc>
      </w:tr>
      <w:tr w14:paraId="7C60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7" w:type="pct"/>
            <w:vMerge w:val="continue"/>
            <w:vAlign w:val="center"/>
          </w:tcPr>
          <w:p w14:paraId="08BD397A">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246A7578">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7" w:type="pct"/>
            <w:vAlign w:val="center"/>
          </w:tcPr>
          <w:p w14:paraId="0006264C">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5706C106">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7927AA7A">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0FF27AC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3CECFC1">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0EDACD3">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B9FB39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7CDDA3E">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5C2DB4A6">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46482344">
            <w:pPr>
              <w:shd w:val="clear"/>
              <w:spacing w:line="360" w:lineRule="auto"/>
              <w:jc w:val="center"/>
              <w:outlineLvl w:val="9"/>
              <w:rPr>
                <w:rFonts w:hint="eastAsia" w:ascii="宋体" w:hAnsi="宋体" w:eastAsia="宋体" w:cs="宋体"/>
                <w:color w:val="auto"/>
                <w:sz w:val="24"/>
                <w:szCs w:val="24"/>
                <w:highlight w:val="none"/>
              </w:rPr>
            </w:pPr>
          </w:p>
        </w:tc>
      </w:tr>
      <w:tr w14:paraId="5F7D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7" w:type="pct"/>
            <w:vMerge w:val="continue"/>
            <w:vAlign w:val="center"/>
          </w:tcPr>
          <w:p w14:paraId="7FE9E736">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75AA5D2">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97" w:type="pct"/>
            <w:vAlign w:val="center"/>
          </w:tcPr>
          <w:p w14:paraId="61CC5330">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2F7434D8">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4E69564A">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072B4276">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2EFEC0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3545F67">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88FDCF2">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27A97E3C">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B985F6C">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6242A2D">
            <w:pPr>
              <w:shd w:val="clear"/>
              <w:spacing w:line="360" w:lineRule="auto"/>
              <w:jc w:val="center"/>
              <w:outlineLvl w:val="9"/>
              <w:rPr>
                <w:rFonts w:hint="eastAsia" w:ascii="宋体" w:hAnsi="宋体" w:eastAsia="宋体" w:cs="宋体"/>
                <w:color w:val="auto"/>
                <w:sz w:val="24"/>
                <w:szCs w:val="24"/>
                <w:highlight w:val="none"/>
              </w:rPr>
            </w:pPr>
          </w:p>
        </w:tc>
      </w:tr>
      <w:tr w14:paraId="0CC3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7" w:type="pct"/>
            <w:vMerge w:val="continue"/>
            <w:vAlign w:val="center"/>
          </w:tcPr>
          <w:p w14:paraId="4AB9F6B2">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57C48E87">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97" w:type="pct"/>
            <w:vAlign w:val="center"/>
          </w:tcPr>
          <w:p w14:paraId="38D42787">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E93A72E">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230168BD">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0BEEF0F2">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26B1FA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D6F7408">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852D751">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4E7F951E">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63844C4">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639F6C4A">
            <w:pPr>
              <w:shd w:val="clear"/>
              <w:spacing w:line="360" w:lineRule="auto"/>
              <w:jc w:val="center"/>
              <w:outlineLvl w:val="9"/>
              <w:rPr>
                <w:rFonts w:hint="eastAsia" w:ascii="宋体" w:hAnsi="宋体" w:eastAsia="宋体" w:cs="宋体"/>
                <w:color w:val="auto"/>
                <w:sz w:val="24"/>
                <w:szCs w:val="24"/>
                <w:highlight w:val="none"/>
              </w:rPr>
            </w:pPr>
          </w:p>
        </w:tc>
      </w:tr>
      <w:tr w14:paraId="7DC9E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47" w:type="pct"/>
            <w:vAlign w:val="center"/>
          </w:tcPr>
          <w:p w14:paraId="124D82D5">
            <w:pPr>
              <w:shd w:val="clear"/>
              <w:spacing w:line="360" w:lineRule="auto"/>
              <w:jc w:val="center"/>
              <w:outlineLvl w:val="9"/>
              <w:rPr>
                <w:rFonts w:hint="eastAsia" w:ascii="宋体" w:hAnsi="宋体" w:eastAsia="宋体" w:cs="宋体"/>
                <w:color w:val="auto"/>
                <w:sz w:val="24"/>
                <w:szCs w:val="24"/>
                <w:highlight w:val="none"/>
              </w:rPr>
            </w:pPr>
          </w:p>
        </w:tc>
        <w:tc>
          <w:tcPr>
            <w:tcW w:w="4152" w:type="pct"/>
            <w:gridSpan w:val="11"/>
            <w:vAlign w:val="center"/>
          </w:tcPr>
          <w:p w14:paraId="4EC959DC">
            <w:pPr>
              <w:shd w:val="clear"/>
              <w:spacing w:line="360" w:lineRule="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总价（质保期外设备报价）：</w:t>
            </w:r>
          </w:p>
        </w:tc>
      </w:tr>
      <w:tr w14:paraId="1F25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847" w:type="pct"/>
            <w:vMerge w:val="restart"/>
            <w:vAlign w:val="center"/>
          </w:tcPr>
          <w:p w14:paraId="6DA53A64">
            <w:pPr>
              <w:shd w:val="clear"/>
              <w:spacing w:line="360" w:lineRule="auto"/>
              <w:jc w:val="center"/>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质保期内免费设备</w:t>
            </w:r>
          </w:p>
        </w:tc>
        <w:tc>
          <w:tcPr>
            <w:tcW w:w="321" w:type="pct"/>
            <w:vAlign w:val="center"/>
          </w:tcPr>
          <w:p w14:paraId="248BEE07">
            <w:pPr>
              <w:shd w:val="clea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497" w:type="pct"/>
            <w:vAlign w:val="center"/>
          </w:tcPr>
          <w:p w14:paraId="1E194AA9">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3DD2A0F">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440870F6">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7606D11E">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696BC579">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00E862F">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66886955">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21CAD13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579B4D90">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16BB640">
            <w:pPr>
              <w:shd w:val="clear"/>
              <w:spacing w:line="360" w:lineRule="auto"/>
              <w:jc w:val="center"/>
              <w:outlineLvl w:val="9"/>
              <w:rPr>
                <w:rFonts w:hint="eastAsia" w:ascii="宋体" w:hAnsi="宋体" w:eastAsia="宋体" w:cs="宋体"/>
                <w:color w:val="auto"/>
                <w:sz w:val="24"/>
                <w:szCs w:val="24"/>
                <w:highlight w:val="none"/>
              </w:rPr>
            </w:pPr>
          </w:p>
        </w:tc>
      </w:tr>
      <w:tr w14:paraId="40B1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7" w:type="pct"/>
            <w:vMerge w:val="continue"/>
            <w:vAlign w:val="center"/>
          </w:tcPr>
          <w:p w14:paraId="74CEAEF6">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C648CC4">
            <w:pPr>
              <w:shd w:val="clea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497" w:type="pct"/>
            <w:vAlign w:val="center"/>
          </w:tcPr>
          <w:p w14:paraId="197A9D0D">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94BE739">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471D909D">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2D5B748D">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9DBF104">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96DAB65">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32E0681">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4BD84AA3">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47C19A21">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637B8D9C">
            <w:pPr>
              <w:shd w:val="clear"/>
              <w:spacing w:line="360" w:lineRule="auto"/>
              <w:jc w:val="center"/>
              <w:outlineLvl w:val="9"/>
              <w:rPr>
                <w:rFonts w:hint="eastAsia" w:ascii="宋体" w:hAnsi="宋体" w:eastAsia="宋体" w:cs="宋体"/>
                <w:color w:val="auto"/>
                <w:sz w:val="24"/>
                <w:szCs w:val="24"/>
                <w:highlight w:val="none"/>
              </w:rPr>
            </w:pPr>
          </w:p>
        </w:tc>
      </w:tr>
      <w:tr w14:paraId="655C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7" w:type="pct"/>
            <w:vMerge w:val="continue"/>
            <w:vAlign w:val="center"/>
          </w:tcPr>
          <w:p w14:paraId="69E5FDC7">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5E3D305">
            <w:pPr>
              <w:shd w:val="clea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497" w:type="pct"/>
            <w:vAlign w:val="center"/>
          </w:tcPr>
          <w:p w14:paraId="4FBDA382">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9DD8CAE">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48A364B7">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5DC1D683">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2AE2E09">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DE27E6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34783852">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679779A1">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14296DD3">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6546009">
            <w:pPr>
              <w:shd w:val="clear"/>
              <w:spacing w:line="360" w:lineRule="auto"/>
              <w:jc w:val="center"/>
              <w:outlineLvl w:val="9"/>
              <w:rPr>
                <w:rFonts w:hint="eastAsia" w:ascii="宋体" w:hAnsi="宋体" w:eastAsia="宋体" w:cs="宋体"/>
                <w:color w:val="auto"/>
                <w:sz w:val="24"/>
                <w:szCs w:val="24"/>
                <w:highlight w:val="none"/>
              </w:rPr>
            </w:pPr>
          </w:p>
        </w:tc>
      </w:tr>
      <w:tr w14:paraId="57E86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47" w:type="pct"/>
            <w:vMerge w:val="continue"/>
            <w:vAlign w:val="center"/>
          </w:tcPr>
          <w:p w14:paraId="6748972B">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6E73B899">
            <w:pPr>
              <w:shd w:val="clear"/>
              <w:spacing w:line="360" w:lineRule="auto"/>
              <w:jc w:val="center"/>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497" w:type="pct"/>
            <w:vAlign w:val="center"/>
          </w:tcPr>
          <w:p w14:paraId="39DCACAF">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59F9077">
            <w:pPr>
              <w:shd w:val="clear"/>
              <w:spacing w:line="360" w:lineRule="auto"/>
              <w:jc w:val="center"/>
              <w:outlineLvl w:val="9"/>
              <w:rPr>
                <w:rFonts w:hint="eastAsia" w:ascii="宋体" w:hAnsi="宋体" w:eastAsia="宋体" w:cs="宋体"/>
                <w:color w:val="auto"/>
                <w:sz w:val="24"/>
                <w:szCs w:val="24"/>
                <w:highlight w:val="none"/>
              </w:rPr>
            </w:pPr>
          </w:p>
        </w:tc>
        <w:tc>
          <w:tcPr>
            <w:tcW w:w="497" w:type="pct"/>
            <w:vAlign w:val="center"/>
          </w:tcPr>
          <w:p w14:paraId="5CE72A09">
            <w:pPr>
              <w:shd w:val="clear"/>
              <w:spacing w:line="360" w:lineRule="auto"/>
              <w:jc w:val="center"/>
              <w:outlineLvl w:val="9"/>
              <w:rPr>
                <w:rFonts w:hint="eastAsia" w:ascii="宋体" w:hAnsi="宋体" w:eastAsia="宋体" w:cs="宋体"/>
                <w:color w:val="auto"/>
                <w:sz w:val="24"/>
                <w:szCs w:val="24"/>
                <w:highlight w:val="none"/>
              </w:rPr>
            </w:pPr>
          </w:p>
        </w:tc>
        <w:tc>
          <w:tcPr>
            <w:tcW w:w="584" w:type="pct"/>
            <w:vAlign w:val="center"/>
          </w:tcPr>
          <w:p w14:paraId="6F5E5AA5">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6F76AB8E">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2E06028">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80A776C">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4268173">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7250ECBC">
            <w:pPr>
              <w:shd w:val="clear"/>
              <w:spacing w:line="360" w:lineRule="auto"/>
              <w:jc w:val="center"/>
              <w:outlineLvl w:val="9"/>
              <w:rPr>
                <w:rFonts w:hint="eastAsia" w:ascii="宋体" w:hAnsi="宋体" w:eastAsia="宋体" w:cs="宋体"/>
                <w:color w:val="auto"/>
                <w:sz w:val="24"/>
                <w:szCs w:val="24"/>
                <w:highlight w:val="none"/>
              </w:rPr>
            </w:pPr>
          </w:p>
        </w:tc>
        <w:tc>
          <w:tcPr>
            <w:tcW w:w="321" w:type="pct"/>
            <w:vAlign w:val="center"/>
          </w:tcPr>
          <w:p w14:paraId="0C65271D">
            <w:pPr>
              <w:shd w:val="clear"/>
              <w:spacing w:line="360" w:lineRule="auto"/>
              <w:jc w:val="center"/>
              <w:outlineLvl w:val="9"/>
              <w:rPr>
                <w:rFonts w:hint="eastAsia" w:ascii="宋体" w:hAnsi="宋体" w:eastAsia="宋体" w:cs="宋体"/>
                <w:color w:val="auto"/>
                <w:sz w:val="24"/>
                <w:szCs w:val="24"/>
                <w:highlight w:val="none"/>
              </w:rPr>
            </w:pPr>
          </w:p>
        </w:tc>
      </w:tr>
    </w:tbl>
    <w:p w14:paraId="513ED92A">
      <w:pPr>
        <w:shd w:val="clear"/>
        <w:spacing w:line="360" w:lineRule="exact"/>
        <w:outlineLvl w:val="9"/>
        <w:rPr>
          <w:rFonts w:hint="eastAsia" w:ascii="宋体" w:hAnsi="宋体" w:eastAsia="宋体" w:cs="宋体"/>
          <w:color w:val="auto"/>
          <w:sz w:val="24"/>
          <w:szCs w:val="24"/>
          <w:highlight w:val="none"/>
        </w:rPr>
      </w:pPr>
    </w:p>
    <w:p w14:paraId="205A5C99">
      <w:pPr>
        <w:pStyle w:val="7"/>
        <w:spacing w:line="360" w:lineRule="exact"/>
        <w:ind w:firstLine="0"/>
        <w:outlineLvl w:val="9"/>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14:paraId="51231440">
      <w:pPr>
        <w:pStyle w:val="7"/>
        <w:spacing w:line="360" w:lineRule="exact"/>
        <w:ind w:firstLine="0"/>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14:paraId="1C6CE7DD">
      <w:pPr>
        <w:pStyle w:val="7"/>
        <w:spacing w:line="360" w:lineRule="exact"/>
        <w:ind w:firstLine="0"/>
        <w:outlineLvl w:val="9"/>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p>
    <w:p w14:paraId="36DC0A0C">
      <w:pPr>
        <w:pStyle w:val="7"/>
        <w:spacing w:line="360" w:lineRule="exact"/>
        <w:ind w:firstLine="0"/>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14:paraId="0C1A730E">
      <w:pPr>
        <w:keepNext w:val="0"/>
        <w:keepLines w:val="0"/>
        <w:pageBreakBefore w:val="0"/>
        <w:widowControl w:val="0"/>
        <w:shd w:val="clear"/>
        <w:kinsoku/>
        <w:wordWrap/>
        <w:overflowPunct/>
        <w:topLinePunct w:val="0"/>
        <w:bidi w:val="0"/>
        <w:snapToGrid/>
        <w:spacing w:line="32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 表格长度方向可做扩展根据需求可补充相关资料，但不可减少。</w:t>
      </w:r>
    </w:p>
    <w:p w14:paraId="49137983">
      <w:pPr>
        <w:keepNext w:val="0"/>
        <w:keepLines w:val="0"/>
        <w:pageBreakBefore w:val="0"/>
        <w:widowControl w:val="0"/>
        <w:shd w:val="clear"/>
        <w:kinsoku/>
        <w:wordWrap/>
        <w:overflowPunct/>
        <w:topLinePunct w:val="0"/>
        <w:bidi w:val="0"/>
        <w:snapToGrid/>
        <w:spacing w:line="32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2、备品备件设备分项报价仅供</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 xml:space="preserve">在设备发生故障情况下采用此报价，填写此表时请谨慎。备品备件分为两部分（1、质保期内免费的备品备件、2、质保期外备品备件报价）                 </w:t>
      </w:r>
    </w:p>
    <w:p w14:paraId="1CF26EA7">
      <w:pPr>
        <w:pStyle w:val="7"/>
        <w:keepNext w:val="0"/>
        <w:keepLines w:val="0"/>
        <w:pageBreakBefore w:val="0"/>
        <w:widowControl w:val="0"/>
        <w:shd w:val="clear"/>
        <w:kinsoku/>
        <w:wordWrap/>
        <w:overflowPunct/>
        <w:topLinePunct w:val="0"/>
        <w:bidi w:val="0"/>
        <w:snapToGrid/>
        <w:spacing w:line="320" w:lineRule="exact"/>
        <w:ind w:firstLine="0"/>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3、备品备件设备分项报价不合计于</w:t>
      </w:r>
      <w:r>
        <w:rPr>
          <w:rFonts w:hint="eastAsia" w:ascii="宋体" w:hAnsi="宋体" w:eastAsia="宋体" w:cs="宋体"/>
          <w:color w:val="auto"/>
          <w:kern w:val="2"/>
          <w:sz w:val="24"/>
          <w:szCs w:val="24"/>
          <w:highlight w:val="none"/>
          <w:lang w:eastAsia="zh-CN"/>
        </w:rPr>
        <w:t>投标报价表</w:t>
      </w:r>
      <w:r>
        <w:rPr>
          <w:rFonts w:hint="eastAsia" w:ascii="宋体" w:hAnsi="宋体" w:eastAsia="宋体" w:cs="宋体"/>
          <w:color w:val="auto"/>
          <w:kern w:val="2"/>
          <w:sz w:val="24"/>
          <w:szCs w:val="24"/>
          <w:highlight w:val="none"/>
        </w:rPr>
        <w:t>总价，单独名列即可。</w:t>
      </w:r>
    </w:p>
    <w:p w14:paraId="71F1C6A4">
      <w:pPr>
        <w:pStyle w:val="7"/>
        <w:keepNext w:val="0"/>
        <w:keepLines w:val="0"/>
        <w:pageBreakBefore w:val="0"/>
        <w:widowControl w:val="0"/>
        <w:shd w:val="clear"/>
        <w:kinsoku/>
        <w:wordWrap/>
        <w:overflowPunct/>
        <w:topLinePunct w:val="0"/>
        <w:bidi w:val="0"/>
        <w:snapToGrid/>
        <w:spacing w:line="320" w:lineRule="exact"/>
        <w:ind w:firstLine="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kern w:val="2"/>
          <w:sz w:val="24"/>
          <w:szCs w:val="24"/>
          <w:highlight w:val="none"/>
        </w:rPr>
        <w:t>4、在设备维修和维护过程中，用来更换已经磨损，不能继续使用或损坏的零件和修复件。而为了缩短设备维修的停机维修时间，减少停机损失，供应质量优良的备件，可以保证修理质量和修理周期，提高设备的可靠性，有效率。备件管理工作的重点首先是满足关键设备对维修备件的需要，保证关键设备的正常运行，尽量减少停机损失。</w:t>
      </w:r>
    </w:p>
    <w:bookmarkEnd w:id="1564"/>
    <w:bookmarkEnd w:id="1565"/>
    <w:bookmarkEnd w:id="1566"/>
    <w:p w14:paraId="4588A525">
      <w:pPr>
        <w:outlineLvl w:val="9"/>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14:paraId="21F9F21D">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568" w:name="_Toc17348"/>
      <w:bookmarkStart w:id="1569" w:name="_Toc8259"/>
      <w:bookmarkStart w:id="1570" w:name="_Toc26475"/>
      <w:r>
        <w:rPr>
          <w:rFonts w:hint="eastAsia" w:ascii="宋体" w:hAnsi="宋体" w:eastAsia="宋体" w:cs="宋体"/>
          <w:b/>
          <w:bCs/>
          <w:color w:val="auto"/>
          <w:kern w:val="2"/>
          <w:sz w:val="24"/>
          <w:szCs w:val="24"/>
          <w:u w:val="none"/>
          <w:lang w:val="en-US" w:eastAsia="zh-CN" w:bidi="ar-SA"/>
        </w:rPr>
        <w:t>3.货物说明一览表</w:t>
      </w:r>
      <w:bookmarkEnd w:id="1568"/>
      <w:bookmarkEnd w:id="1569"/>
      <w:bookmarkEnd w:id="1570"/>
    </w:p>
    <w:p w14:paraId="07E389AE">
      <w:pPr>
        <w:pStyle w:val="12"/>
        <w:spacing w:line="360" w:lineRule="exact"/>
        <w:ind w:left="1080" w:leftChars="257" w:hanging="54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包号：</w:t>
      </w:r>
      <w:r>
        <w:rPr>
          <w:rFonts w:hint="eastAsia" w:ascii="宋体" w:hAnsi="宋体" w:eastAsia="宋体" w:cs="宋体"/>
          <w:color w:val="auto"/>
          <w:sz w:val="24"/>
          <w:highlight w:val="none"/>
        </w:rPr>
        <w:t xml:space="preserve">                                  </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529"/>
        <w:gridCol w:w="1529"/>
        <w:gridCol w:w="905"/>
        <w:gridCol w:w="1217"/>
        <w:gridCol w:w="1529"/>
        <w:gridCol w:w="905"/>
      </w:tblGrid>
      <w:tr w14:paraId="59AB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31" w:type="pct"/>
          </w:tcPr>
          <w:p w14:paraId="24DDFF87">
            <w:pPr>
              <w:pStyle w:val="12"/>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897" w:type="pct"/>
          </w:tcPr>
          <w:p w14:paraId="2A915DEC">
            <w:pPr>
              <w:pStyle w:val="12"/>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货物</w:t>
            </w:r>
            <w:r>
              <w:rPr>
                <w:rFonts w:hint="eastAsia" w:ascii="宋体" w:hAnsi="宋体" w:eastAsia="宋体" w:cs="宋体"/>
                <w:color w:val="auto"/>
                <w:sz w:val="24"/>
                <w:highlight w:val="none"/>
              </w:rPr>
              <w:t>名称</w:t>
            </w:r>
          </w:p>
        </w:tc>
        <w:tc>
          <w:tcPr>
            <w:tcW w:w="897" w:type="pct"/>
          </w:tcPr>
          <w:p w14:paraId="28B4255D">
            <w:pPr>
              <w:pStyle w:val="12"/>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主要规格</w:t>
            </w:r>
          </w:p>
        </w:tc>
        <w:tc>
          <w:tcPr>
            <w:tcW w:w="531" w:type="pct"/>
          </w:tcPr>
          <w:p w14:paraId="1D1D83FA">
            <w:pPr>
              <w:pStyle w:val="12"/>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714" w:type="pct"/>
          </w:tcPr>
          <w:p w14:paraId="29A7F768">
            <w:pPr>
              <w:pStyle w:val="12"/>
              <w:spacing w:line="36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交货期</w:t>
            </w:r>
          </w:p>
        </w:tc>
        <w:tc>
          <w:tcPr>
            <w:tcW w:w="897" w:type="pct"/>
          </w:tcPr>
          <w:p w14:paraId="7D0C0A6E">
            <w:pPr>
              <w:pStyle w:val="12"/>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交货地点</w:t>
            </w:r>
          </w:p>
        </w:tc>
        <w:tc>
          <w:tcPr>
            <w:tcW w:w="531" w:type="pct"/>
          </w:tcPr>
          <w:p w14:paraId="75DEE744">
            <w:pPr>
              <w:pStyle w:val="12"/>
              <w:spacing w:line="36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备注</w:t>
            </w:r>
          </w:p>
        </w:tc>
      </w:tr>
      <w:tr w14:paraId="7A7B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1" w:type="pct"/>
            <w:vAlign w:val="center"/>
          </w:tcPr>
          <w:p w14:paraId="2AF4D4F9">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897" w:type="pct"/>
          </w:tcPr>
          <w:p w14:paraId="1D3C9F15">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3435862E">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438A6CDF">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54A487BE">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2798AA46">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2F7A2506">
            <w:pPr>
              <w:pStyle w:val="12"/>
              <w:spacing w:line="360" w:lineRule="exact"/>
              <w:ind w:left="1080" w:leftChars="257" w:hanging="540"/>
              <w:rPr>
                <w:rFonts w:hint="eastAsia" w:ascii="宋体" w:hAnsi="宋体" w:eastAsia="宋体" w:cs="宋体"/>
                <w:color w:val="auto"/>
                <w:sz w:val="24"/>
                <w:highlight w:val="none"/>
              </w:rPr>
            </w:pPr>
          </w:p>
        </w:tc>
      </w:tr>
      <w:tr w14:paraId="306B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1" w:type="pct"/>
            <w:vAlign w:val="center"/>
          </w:tcPr>
          <w:p w14:paraId="11DA3E37">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97" w:type="pct"/>
          </w:tcPr>
          <w:p w14:paraId="5A0AA932">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21804DD1">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556D0FF7">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312267DA">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69976A54">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78196365">
            <w:pPr>
              <w:pStyle w:val="12"/>
              <w:spacing w:line="360" w:lineRule="exact"/>
              <w:ind w:left="1080" w:leftChars="257" w:hanging="540"/>
              <w:rPr>
                <w:rFonts w:hint="eastAsia" w:ascii="宋体" w:hAnsi="宋体" w:eastAsia="宋体" w:cs="宋体"/>
                <w:color w:val="auto"/>
                <w:sz w:val="24"/>
                <w:highlight w:val="none"/>
              </w:rPr>
            </w:pPr>
          </w:p>
        </w:tc>
      </w:tr>
      <w:tr w14:paraId="00C00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1" w:type="pct"/>
            <w:vAlign w:val="center"/>
          </w:tcPr>
          <w:p w14:paraId="67849A35">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97" w:type="pct"/>
          </w:tcPr>
          <w:p w14:paraId="54E060B3">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48E7306E">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3F8D3EAF">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0CEDB772">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207A9BD3">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2CAFB3FF">
            <w:pPr>
              <w:pStyle w:val="12"/>
              <w:spacing w:line="360" w:lineRule="exact"/>
              <w:ind w:left="1080" w:leftChars="257" w:hanging="540"/>
              <w:rPr>
                <w:rFonts w:hint="eastAsia" w:ascii="宋体" w:hAnsi="宋体" w:eastAsia="宋体" w:cs="宋体"/>
                <w:color w:val="auto"/>
                <w:sz w:val="24"/>
                <w:highlight w:val="none"/>
              </w:rPr>
            </w:pPr>
          </w:p>
        </w:tc>
      </w:tr>
      <w:tr w14:paraId="77FB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1" w:type="pct"/>
            <w:vAlign w:val="center"/>
          </w:tcPr>
          <w:p w14:paraId="29406BEA">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897" w:type="pct"/>
          </w:tcPr>
          <w:p w14:paraId="5CA71137">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7565CA45">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25ACB164">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557A16F4">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647644A7">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2F8691B1">
            <w:pPr>
              <w:pStyle w:val="12"/>
              <w:spacing w:line="360" w:lineRule="exact"/>
              <w:ind w:left="1080" w:leftChars="257" w:hanging="540"/>
              <w:rPr>
                <w:rFonts w:hint="eastAsia" w:ascii="宋体" w:hAnsi="宋体" w:eastAsia="宋体" w:cs="宋体"/>
                <w:color w:val="auto"/>
                <w:sz w:val="24"/>
                <w:highlight w:val="none"/>
              </w:rPr>
            </w:pPr>
          </w:p>
        </w:tc>
      </w:tr>
      <w:tr w14:paraId="1B8AC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1" w:type="pct"/>
            <w:vAlign w:val="center"/>
          </w:tcPr>
          <w:p w14:paraId="19D892A7">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897" w:type="pct"/>
          </w:tcPr>
          <w:p w14:paraId="09091CDB">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2573D30B">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45688998">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0BA7A6E6">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4FCF8649">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0D1C21E7">
            <w:pPr>
              <w:pStyle w:val="12"/>
              <w:spacing w:line="360" w:lineRule="exact"/>
              <w:ind w:left="1080" w:leftChars="257" w:hanging="540"/>
              <w:rPr>
                <w:rFonts w:hint="eastAsia" w:ascii="宋体" w:hAnsi="宋体" w:eastAsia="宋体" w:cs="宋体"/>
                <w:color w:val="auto"/>
                <w:sz w:val="24"/>
                <w:highlight w:val="none"/>
              </w:rPr>
            </w:pPr>
          </w:p>
        </w:tc>
      </w:tr>
      <w:tr w14:paraId="6211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1" w:type="pct"/>
            <w:vAlign w:val="center"/>
          </w:tcPr>
          <w:p w14:paraId="222BED94">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897" w:type="pct"/>
          </w:tcPr>
          <w:p w14:paraId="78480D9B">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562DA132">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36C17F1E">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4D7A6639">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3AE2B30E">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71594ADD">
            <w:pPr>
              <w:pStyle w:val="12"/>
              <w:spacing w:line="360" w:lineRule="exact"/>
              <w:ind w:left="1080" w:leftChars="257" w:hanging="540"/>
              <w:rPr>
                <w:rFonts w:hint="eastAsia" w:ascii="宋体" w:hAnsi="宋体" w:eastAsia="宋体" w:cs="宋体"/>
                <w:color w:val="auto"/>
                <w:sz w:val="24"/>
                <w:highlight w:val="none"/>
              </w:rPr>
            </w:pPr>
          </w:p>
        </w:tc>
      </w:tr>
      <w:tr w14:paraId="7E56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31" w:type="pct"/>
            <w:vAlign w:val="center"/>
          </w:tcPr>
          <w:p w14:paraId="2002FDB4">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897" w:type="pct"/>
          </w:tcPr>
          <w:p w14:paraId="1F91783C">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1354BFA3">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4F63A6E1">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6BE8473F">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09A538C9">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4FCA4D33">
            <w:pPr>
              <w:pStyle w:val="12"/>
              <w:spacing w:line="360" w:lineRule="exact"/>
              <w:ind w:left="1080" w:leftChars="257" w:hanging="540"/>
              <w:rPr>
                <w:rFonts w:hint="eastAsia" w:ascii="宋体" w:hAnsi="宋体" w:eastAsia="宋体" w:cs="宋体"/>
                <w:color w:val="auto"/>
                <w:sz w:val="24"/>
                <w:highlight w:val="none"/>
              </w:rPr>
            </w:pPr>
          </w:p>
        </w:tc>
      </w:tr>
      <w:tr w14:paraId="580B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531" w:type="pct"/>
            <w:vAlign w:val="center"/>
          </w:tcPr>
          <w:p w14:paraId="339BFEAF">
            <w:pPr>
              <w:pStyle w:val="12"/>
              <w:spacing w:line="36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897" w:type="pct"/>
          </w:tcPr>
          <w:p w14:paraId="354916F1">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23DB7D79">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4C1E92AC">
            <w:pPr>
              <w:pStyle w:val="12"/>
              <w:spacing w:line="360" w:lineRule="exact"/>
              <w:ind w:left="1080" w:leftChars="257" w:hanging="540"/>
              <w:rPr>
                <w:rFonts w:hint="eastAsia" w:ascii="宋体" w:hAnsi="宋体" w:eastAsia="宋体" w:cs="宋体"/>
                <w:color w:val="auto"/>
                <w:sz w:val="24"/>
                <w:highlight w:val="none"/>
              </w:rPr>
            </w:pPr>
          </w:p>
        </w:tc>
        <w:tc>
          <w:tcPr>
            <w:tcW w:w="714" w:type="pct"/>
          </w:tcPr>
          <w:p w14:paraId="59465FC1">
            <w:pPr>
              <w:pStyle w:val="12"/>
              <w:spacing w:line="360" w:lineRule="exact"/>
              <w:ind w:left="1080" w:leftChars="257" w:hanging="540"/>
              <w:rPr>
                <w:rFonts w:hint="eastAsia" w:ascii="宋体" w:hAnsi="宋体" w:eastAsia="宋体" w:cs="宋体"/>
                <w:color w:val="auto"/>
                <w:sz w:val="24"/>
                <w:highlight w:val="none"/>
              </w:rPr>
            </w:pPr>
          </w:p>
        </w:tc>
        <w:tc>
          <w:tcPr>
            <w:tcW w:w="897" w:type="pct"/>
          </w:tcPr>
          <w:p w14:paraId="63FC7D76">
            <w:pPr>
              <w:pStyle w:val="12"/>
              <w:spacing w:line="360" w:lineRule="exact"/>
              <w:ind w:left="1080" w:leftChars="257" w:hanging="540"/>
              <w:rPr>
                <w:rFonts w:hint="eastAsia" w:ascii="宋体" w:hAnsi="宋体" w:eastAsia="宋体" w:cs="宋体"/>
                <w:color w:val="auto"/>
                <w:sz w:val="24"/>
                <w:highlight w:val="none"/>
              </w:rPr>
            </w:pPr>
          </w:p>
        </w:tc>
        <w:tc>
          <w:tcPr>
            <w:tcW w:w="531" w:type="pct"/>
          </w:tcPr>
          <w:p w14:paraId="28A8A103">
            <w:pPr>
              <w:pStyle w:val="12"/>
              <w:spacing w:line="360" w:lineRule="exact"/>
              <w:ind w:left="1080" w:leftChars="257" w:hanging="540"/>
              <w:rPr>
                <w:rFonts w:hint="eastAsia" w:ascii="宋体" w:hAnsi="宋体" w:eastAsia="宋体" w:cs="宋体"/>
                <w:color w:val="auto"/>
                <w:sz w:val="24"/>
                <w:highlight w:val="none"/>
              </w:rPr>
            </w:pPr>
          </w:p>
        </w:tc>
      </w:tr>
    </w:tbl>
    <w:p w14:paraId="7C3E46A2">
      <w:pPr>
        <w:pStyle w:val="12"/>
        <w:spacing w:line="360" w:lineRule="exact"/>
        <w:ind w:left="1080" w:leftChars="257" w:hanging="540"/>
        <w:rPr>
          <w:rFonts w:hint="eastAsia" w:ascii="宋体" w:hAnsi="宋体" w:eastAsia="宋体" w:cs="宋体"/>
          <w:color w:val="auto"/>
          <w:sz w:val="24"/>
          <w:highlight w:val="none"/>
        </w:rPr>
      </w:pPr>
    </w:p>
    <w:p w14:paraId="30931BA8">
      <w:pPr>
        <w:pStyle w:val="12"/>
        <w:spacing w:line="400" w:lineRule="exact"/>
        <w:ind w:left="1080" w:leftChars="257" w:hanging="540"/>
        <w:rPr>
          <w:rFonts w:hint="eastAsia" w:ascii="宋体" w:hAnsi="宋体" w:eastAsia="宋体" w:cs="宋体"/>
          <w:color w:val="auto"/>
          <w:sz w:val="24"/>
          <w:szCs w:val="24"/>
          <w:highlight w:val="none"/>
        </w:rPr>
      </w:pPr>
    </w:p>
    <w:p w14:paraId="798F6466">
      <w:pPr>
        <w:pStyle w:val="7"/>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14:paraId="6282A050">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14:paraId="413DF22E">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14:paraId="4DD0C012">
      <w:pPr>
        <w:pStyle w:val="12"/>
        <w:spacing w:line="400" w:lineRule="exact"/>
        <w:ind w:left="1080" w:leftChars="257" w:hanging="540"/>
        <w:rPr>
          <w:rFonts w:hint="eastAsia" w:ascii="宋体" w:hAnsi="宋体" w:eastAsia="宋体" w:cs="宋体"/>
          <w:b/>
          <w:bCs/>
          <w:color w:val="auto"/>
          <w:sz w:val="22"/>
          <w:szCs w:val="22"/>
          <w:highlight w:val="none"/>
          <w:lang w:eastAsia="zh-CN"/>
        </w:rPr>
      </w:pPr>
      <w:r>
        <w:rPr>
          <w:rFonts w:hint="eastAsia" w:ascii="宋体" w:hAnsi="宋体" w:eastAsia="宋体" w:cs="宋体"/>
          <w:color w:val="auto"/>
          <w:sz w:val="24"/>
          <w:szCs w:val="24"/>
          <w:highlight w:val="none"/>
        </w:rPr>
        <w:t>注: 各项</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详细技术性能应另页描述</w:t>
      </w:r>
      <w:r>
        <w:rPr>
          <w:rFonts w:hint="eastAsia" w:ascii="宋体" w:hAnsi="宋体" w:eastAsia="宋体" w:cs="宋体"/>
          <w:color w:val="auto"/>
          <w:sz w:val="24"/>
          <w:szCs w:val="24"/>
          <w:highlight w:val="none"/>
          <w:lang w:eastAsia="zh-CN"/>
        </w:rPr>
        <w:t>。</w:t>
      </w:r>
    </w:p>
    <w:p w14:paraId="742B30F7">
      <w:pPr>
        <w:pStyle w:val="12"/>
        <w:spacing w:line="240" w:lineRule="atLeast"/>
        <w:rPr>
          <w:rFonts w:hint="eastAsia" w:ascii="宋体" w:hAnsi="宋体" w:eastAsia="宋体" w:cs="宋体"/>
          <w:b/>
          <w:bCs/>
          <w:color w:val="auto"/>
          <w:sz w:val="22"/>
          <w:szCs w:val="22"/>
          <w:highlight w:val="none"/>
        </w:rPr>
      </w:pPr>
    </w:p>
    <w:p w14:paraId="740BDADF">
      <w:pPr>
        <w:pStyle w:val="12"/>
        <w:spacing w:line="240" w:lineRule="atLeast"/>
        <w:rPr>
          <w:rFonts w:hint="eastAsia" w:ascii="宋体" w:hAnsi="宋体" w:eastAsia="宋体" w:cs="宋体"/>
          <w:b/>
          <w:bCs/>
          <w:color w:val="auto"/>
          <w:sz w:val="22"/>
          <w:szCs w:val="22"/>
          <w:highlight w:val="none"/>
        </w:rPr>
      </w:pPr>
    </w:p>
    <w:p w14:paraId="5B11B07F">
      <w:pPr>
        <w:pStyle w:val="12"/>
        <w:spacing w:line="240" w:lineRule="atLeast"/>
        <w:rPr>
          <w:rFonts w:hint="eastAsia" w:ascii="宋体" w:hAnsi="宋体" w:eastAsia="宋体" w:cs="宋体"/>
          <w:b/>
          <w:bCs/>
          <w:color w:val="auto"/>
          <w:sz w:val="22"/>
          <w:szCs w:val="22"/>
          <w:highlight w:val="none"/>
        </w:rPr>
      </w:pPr>
    </w:p>
    <w:p w14:paraId="5F70D175">
      <w:pPr>
        <w:pStyle w:val="12"/>
        <w:spacing w:line="240" w:lineRule="atLeast"/>
        <w:rPr>
          <w:rFonts w:hint="eastAsia" w:ascii="宋体" w:hAnsi="宋体" w:eastAsia="宋体" w:cs="宋体"/>
          <w:b/>
          <w:bCs/>
          <w:color w:val="auto"/>
          <w:sz w:val="22"/>
          <w:szCs w:val="22"/>
          <w:highlight w:val="none"/>
        </w:rPr>
      </w:pPr>
    </w:p>
    <w:p w14:paraId="218E560F">
      <w:pPr>
        <w:pStyle w:val="12"/>
        <w:spacing w:line="240" w:lineRule="atLeast"/>
        <w:rPr>
          <w:rFonts w:hint="eastAsia" w:ascii="宋体" w:hAnsi="宋体" w:eastAsia="宋体" w:cs="宋体"/>
          <w:b/>
          <w:bCs/>
          <w:color w:val="auto"/>
          <w:sz w:val="22"/>
          <w:szCs w:val="22"/>
          <w:highlight w:val="none"/>
        </w:rPr>
      </w:pPr>
    </w:p>
    <w:p w14:paraId="128DF180">
      <w:pPr>
        <w:pStyle w:val="12"/>
        <w:spacing w:line="240" w:lineRule="atLeast"/>
        <w:rPr>
          <w:rFonts w:hint="eastAsia" w:ascii="宋体" w:hAnsi="宋体" w:eastAsia="宋体" w:cs="宋体"/>
          <w:b/>
          <w:bCs/>
          <w:color w:val="auto"/>
          <w:sz w:val="22"/>
          <w:szCs w:val="22"/>
          <w:highlight w:val="none"/>
        </w:rPr>
      </w:pPr>
    </w:p>
    <w:p w14:paraId="530A1599">
      <w:pPr>
        <w:pStyle w:val="12"/>
        <w:spacing w:line="240" w:lineRule="atLeast"/>
        <w:rPr>
          <w:rFonts w:hint="eastAsia" w:ascii="宋体" w:hAnsi="宋体" w:eastAsia="宋体" w:cs="宋体"/>
          <w:b/>
          <w:bCs/>
          <w:color w:val="auto"/>
          <w:sz w:val="22"/>
          <w:szCs w:val="22"/>
          <w:highlight w:val="none"/>
        </w:rPr>
      </w:pPr>
    </w:p>
    <w:p w14:paraId="54CD0229">
      <w:pPr>
        <w:pStyle w:val="12"/>
        <w:spacing w:line="240" w:lineRule="atLeast"/>
        <w:rPr>
          <w:rFonts w:hint="eastAsia" w:ascii="宋体" w:hAnsi="宋体" w:eastAsia="宋体" w:cs="宋体"/>
          <w:b/>
          <w:bCs/>
          <w:color w:val="auto"/>
          <w:sz w:val="22"/>
          <w:szCs w:val="22"/>
          <w:highlight w:val="none"/>
        </w:rPr>
      </w:pPr>
    </w:p>
    <w:p w14:paraId="402C9627">
      <w:pPr>
        <w:pStyle w:val="12"/>
        <w:spacing w:line="240" w:lineRule="atLeast"/>
        <w:rPr>
          <w:rFonts w:hint="eastAsia" w:ascii="宋体" w:hAnsi="宋体" w:eastAsia="宋体" w:cs="宋体"/>
          <w:b/>
          <w:bCs/>
          <w:color w:val="auto"/>
          <w:sz w:val="22"/>
          <w:szCs w:val="22"/>
          <w:highlight w:val="none"/>
        </w:rPr>
      </w:pPr>
    </w:p>
    <w:p w14:paraId="4256A9B6">
      <w:pPr>
        <w:pStyle w:val="12"/>
        <w:spacing w:line="240" w:lineRule="atLeast"/>
        <w:rPr>
          <w:rFonts w:hint="eastAsia" w:ascii="宋体" w:hAnsi="宋体" w:eastAsia="宋体" w:cs="宋体"/>
          <w:b/>
          <w:bCs/>
          <w:color w:val="auto"/>
          <w:sz w:val="22"/>
          <w:szCs w:val="22"/>
          <w:highlight w:val="none"/>
        </w:rPr>
      </w:pPr>
    </w:p>
    <w:p w14:paraId="79673FCF">
      <w:pPr>
        <w:pStyle w:val="12"/>
        <w:spacing w:line="240" w:lineRule="atLeast"/>
        <w:rPr>
          <w:rFonts w:hint="eastAsia" w:ascii="宋体" w:hAnsi="宋体" w:eastAsia="宋体" w:cs="宋体"/>
          <w:b/>
          <w:bCs/>
          <w:color w:val="auto"/>
          <w:sz w:val="22"/>
          <w:szCs w:val="22"/>
          <w:highlight w:val="none"/>
        </w:rPr>
      </w:pPr>
    </w:p>
    <w:p w14:paraId="3D3D9103">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4B1EA149">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571" w:name="_Toc21982"/>
      <w:bookmarkStart w:id="1572" w:name="_Toc22416"/>
      <w:bookmarkStart w:id="1573" w:name="_Toc16668"/>
      <w:r>
        <w:rPr>
          <w:rFonts w:hint="eastAsia" w:ascii="宋体" w:hAnsi="宋体" w:eastAsia="宋体" w:cs="宋体"/>
          <w:b/>
          <w:bCs/>
          <w:color w:val="auto"/>
          <w:kern w:val="2"/>
          <w:sz w:val="24"/>
          <w:szCs w:val="24"/>
          <w:u w:val="none"/>
          <w:lang w:val="en-US" w:eastAsia="zh-CN" w:bidi="ar-SA"/>
        </w:rPr>
        <w:t>4.技术规格偏离表</w:t>
      </w:r>
      <w:bookmarkEnd w:id="1571"/>
      <w:bookmarkEnd w:id="1572"/>
      <w:bookmarkEnd w:id="1573"/>
    </w:p>
    <w:p w14:paraId="59DB4EDB">
      <w:pPr>
        <w:pStyle w:val="12"/>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项目编号:        </w:t>
      </w:r>
      <w:r>
        <w:rPr>
          <w:rFonts w:hint="eastAsia" w:ascii="宋体" w:hAnsi="宋体" w:eastAsia="宋体" w:cs="宋体"/>
          <w:color w:val="auto"/>
          <w:sz w:val="24"/>
          <w:szCs w:val="24"/>
          <w:highlight w:val="none"/>
          <w:lang w:val="en-US" w:eastAsia="zh-CN"/>
        </w:rPr>
        <w:t xml:space="preserve">   包号：</w:t>
      </w:r>
      <w:r>
        <w:rPr>
          <w:rFonts w:hint="eastAsia" w:ascii="宋体" w:hAnsi="宋体" w:eastAsia="宋体" w:cs="宋体"/>
          <w:color w:val="auto"/>
          <w:sz w:val="24"/>
          <w:szCs w:val="24"/>
          <w:highlight w:val="none"/>
        </w:rPr>
        <w:t xml:space="preserve">          </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1286"/>
        <w:gridCol w:w="2370"/>
        <w:gridCol w:w="1287"/>
        <w:gridCol w:w="1287"/>
        <w:gridCol w:w="762"/>
        <w:gridCol w:w="762"/>
      </w:tblGrid>
      <w:tr w14:paraId="41C7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47" w:type="pct"/>
            <w:vAlign w:val="center"/>
          </w:tcPr>
          <w:p w14:paraId="72CBBF41">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55" w:type="pct"/>
            <w:vAlign w:val="center"/>
          </w:tcPr>
          <w:p w14:paraId="616D1345">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货物</w:t>
            </w:r>
            <w:r>
              <w:rPr>
                <w:rFonts w:hint="eastAsia" w:ascii="宋体" w:hAnsi="宋体" w:eastAsia="宋体" w:cs="宋体"/>
                <w:color w:val="auto"/>
                <w:sz w:val="24"/>
                <w:szCs w:val="24"/>
                <w:highlight w:val="none"/>
              </w:rPr>
              <w:t>名称</w:t>
            </w:r>
          </w:p>
        </w:tc>
        <w:tc>
          <w:tcPr>
            <w:tcW w:w="1391" w:type="pct"/>
            <w:vAlign w:val="center"/>
          </w:tcPr>
          <w:p w14:paraId="63EAD7FD">
            <w:pPr>
              <w:pStyle w:val="12"/>
              <w:spacing w:line="400" w:lineRule="exact"/>
              <w:ind w:left="269" w:leftChars="1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招标文件条款号</w:t>
            </w:r>
          </w:p>
        </w:tc>
        <w:tc>
          <w:tcPr>
            <w:tcW w:w="755" w:type="pct"/>
            <w:vAlign w:val="center"/>
          </w:tcPr>
          <w:p w14:paraId="6F886BFD">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招标规格</w:t>
            </w:r>
          </w:p>
        </w:tc>
        <w:tc>
          <w:tcPr>
            <w:tcW w:w="755" w:type="pct"/>
            <w:vAlign w:val="center"/>
          </w:tcPr>
          <w:p w14:paraId="5EA9F43B">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投标规格</w:t>
            </w:r>
          </w:p>
        </w:tc>
        <w:tc>
          <w:tcPr>
            <w:tcW w:w="447" w:type="pct"/>
            <w:vAlign w:val="center"/>
          </w:tcPr>
          <w:p w14:paraId="3606F3B5">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w:t>
            </w:r>
          </w:p>
        </w:tc>
        <w:tc>
          <w:tcPr>
            <w:tcW w:w="447" w:type="pct"/>
            <w:vAlign w:val="center"/>
          </w:tcPr>
          <w:p w14:paraId="3D130034">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14:paraId="0299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47" w:type="pct"/>
            <w:vAlign w:val="center"/>
          </w:tcPr>
          <w:p w14:paraId="746599C4">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p>
        </w:tc>
        <w:tc>
          <w:tcPr>
            <w:tcW w:w="755" w:type="pct"/>
          </w:tcPr>
          <w:p w14:paraId="15D8EEE4">
            <w:pPr>
              <w:pStyle w:val="12"/>
              <w:spacing w:line="400" w:lineRule="exact"/>
              <w:ind w:left="1080" w:leftChars="257" w:hanging="540"/>
              <w:rPr>
                <w:rFonts w:hint="eastAsia" w:ascii="宋体" w:hAnsi="宋体" w:eastAsia="宋体" w:cs="宋体"/>
                <w:color w:val="auto"/>
                <w:sz w:val="24"/>
                <w:szCs w:val="24"/>
                <w:highlight w:val="none"/>
              </w:rPr>
            </w:pPr>
          </w:p>
        </w:tc>
        <w:tc>
          <w:tcPr>
            <w:tcW w:w="1391" w:type="pct"/>
          </w:tcPr>
          <w:p w14:paraId="55DBB81F">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1C19C5B8">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15DCBBE5">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1EEF259E">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6B43E3BD">
            <w:pPr>
              <w:pStyle w:val="12"/>
              <w:spacing w:line="400" w:lineRule="exact"/>
              <w:ind w:left="1080" w:leftChars="257" w:hanging="540"/>
              <w:rPr>
                <w:rFonts w:hint="eastAsia" w:ascii="宋体" w:hAnsi="宋体" w:eastAsia="宋体" w:cs="宋体"/>
                <w:color w:val="auto"/>
                <w:sz w:val="24"/>
                <w:szCs w:val="24"/>
                <w:highlight w:val="none"/>
              </w:rPr>
            </w:pPr>
          </w:p>
        </w:tc>
      </w:tr>
      <w:tr w14:paraId="09244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47" w:type="pct"/>
            <w:vAlign w:val="center"/>
          </w:tcPr>
          <w:p w14:paraId="292CF32F">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p>
        </w:tc>
        <w:tc>
          <w:tcPr>
            <w:tcW w:w="755" w:type="pct"/>
          </w:tcPr>
          <w:p w14:paraId="7B28B328">
            <w:pPr>
              <w:pStyle w:val="12"/>
              <w:spacing w:line="400" w:lineRule="exact"/>
              <w:ind w:left="1080" w:leftChars="257" w:hanging="540"/>
              <w:rPr>
                <w:rFonts w:hint="eastAsia" w:ascii="宋体" w:hAnsi="宋体" w:eastAsia="宋体" w:cs="宋体"/>
                <w:color w:val="auto"/>
                <w:sz w:val="24"/>
                <w:szCs w:val="24"/>
                <w:highlight w:val="none"/>
              </w:rPr>
            </w:pPr>
          </w:p>
        </w:tc>
        <w:tc>
          <w:tcPr>
            <w:tcW w:w="1391" w:type="pct"/>
          </w:tcPr>
          <w:p w14:paraId="11282CD6">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5464FAD8">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1FBBB381">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0E264DFD">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4B7E8016">
            <w:pPr>
              <w:pStyle w:val="12"/>
              <w:spacing w:line="400" w:lineRule="exact"/>
              <w:ind w:left="1080" w:leftChars="257" w:hanging="540"/>
              <w:rPr>
                <w:rFonts w:hint="eastAsia" w:ascii="宋体" w:hAnsi="宋体" w:eastAsia="宋体" w:cs="宋体"/>
                <w:color w:val="auto"/>
                <w:sz w:val="24"/>
                <w:szCs w:val="24"/>
                <w:highlight w:val="none"/>
              </w:rPr>
            </w:pPr>
          </w:p>
        </w:tc>
      </w:tr>
      <w:tr w14:paraId="5E16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47" w:type="pct"/>
            <w:vAlign w:val="center"/>
          </w:tcPr>
          <w:p w14:paraId="63281B28">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p>
        </w:tc>
        <w:tc>
          <w:tcPr>
            <w:tcW w:w="755" w:type="pct"/>
          </w:tcPr>
          <w:p w14:paraId="57E004E2">
            <w:pPr>
              <w:pStyle w:val="12"/>
              <w:spacing w:line="400" w:lineRule="exact"/>
              <w:ind w:left="1080" w:leftChars="257" w:hanging="540"/>
              <w:rPr>
                <w:rFonts w:hint="eastAsia" w:ascii="宋体" w:hAnsi="宋体" w:eastAsia="宋体" w:cs="宋体"/>
                <w:color w:val="auto"/>
                <w:sz w:val="24"/>
                <w:szCs w:val="24"/>
                <w:highlight w:val="none"/>
              </w:rPr>
            </w:pPr>
          </w:p>
        </w:tc>
        <w:tc>
          <w:tcPr>
            <w:tcW w:w="1391" w:type="pct"/>
          </w:tcPr>
          <w:p w14:paraId="5AC05BA2">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2B4B6F62">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38ED8279">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41752D1D">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331C856C">
            <w:pPr>
              <w:pStyle w:val="12"/>
              <w:spacing w:line="400" w:lineRule="exact"/>
              <w:ind w:left="1080" w:leftChars="257" w:hanging="540"/>
              <w:rPr>
                <w:rFonts w:hint="eastAsia" w:ascii="宋体" w:hAnsi="宋体" w:eastAsia="宋体" w:cs="宋体"/>
                <w:color w:val="auto"/>
                <w:sz w:val="24"/>
                <w:szCs w:val="24"/>
                <w:highlight w:val="none"/>
              </w:rPr>
            </w:pPr>
          </w:p>
        </w:tc>
      </w:tr>
      <w:tr w14:paraId="2539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47" w:type="pct"/>
            <w:vAlign w:val="center"/>
          </w:tcPr>
          <w:p w14:paraId="44ACF6F1">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p>
        </w:tc>
        <w:tc>
          <w:tcPr>
            <w:tcW w:w="755" w:type="pct"/>
          </w:tcPr>
          <w:p w14:paraId="4743C01D">
            <w:pPr>
              <w:pStyle w:val="12"/>
              <w:spacing w:line="400" w:lineRule="exact"/>
              <w:ind w:left="1080" w:leftChars="257" w:hanging="540"/>
              <w:rPr>
                <w:rFonts w:hint="eastAsia" w:ascii="宋体" w:hAnsi="宋体" w:eastAsia="宋体" w:cs="宋体"/>
                <w:color w:val="auto"/>
                <w:sz w:val="24"/>
                <w:szCs w:val="24"/>
                <w:highlight w:val="none"/>
              </w:rPr>
            </w:pPr>
          </w:p>
        </w:tc>
        <w:tc>
          <w:tcPr>
            <w:tcW w:w="1391" w:type="pct"/>
          </w:tcPr>
          <w:p w14:paraId="609A392C">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0ED01A32">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0E59AF5D">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24E65F4B">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44C63CFC">
            <w:pPr>
              <w:pStyle w:val="12"/>
              <w:spacing w:line="400" w:lineRule="exact"/>
              <w:ind w:left="1080" w:leftChars="257" w:hanging="540"/>
              <w:rPr>
                <w:rFonts w:hint="eastAsia" w:ascii="宋体" w:hAnsi="宋体" w:eastAsia="宋体" w:cs="宋体"/>
                <w:color w:val="auto"/>
                <w:sz w:val="24"/>
                <w:szCs w:val="24"/>
                <w:highlight w:val="none"/>
              </w:rPr>
            </w:pPr>
          </w:p>
        </w:tc>
      </w:tr>
      <w:tr w14:paraId="5330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47" w:type="pct"/>
            <w:vAlign w:val="center"/>
          </w:tcPr>
          <w:p w14:paraId="6227C198">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755" w:type="pct"/>
          </w:tcPr>
          <w:p w14:paraId="5C05A9AB">
            <w:pPr>
              <w:pStyle w:val="12"/>
              <w:spacing w:line="400" w:lineRule="exact"/>
              <w:ind w:left="1080" w:leftChars="257" w:hanging="540"/>
              <w:rPr>
                <w:rFonts w:hint="eastAsia" w:ascii="宋体" w:hAnsi="宋体" w:eastAsia="宋体" w:cs="宋体"/>
                <w:color w:val="auto"/>
                <w:sz w:val="24"/>
                <w:szCs w:val="24"/>
                <w:highlight w:val="none"/>
              </w:rPr>
            </w:pPr>
          </w:p>
        </w:tc>
        <w:tc>
          <w:tcPr>
            <w:tcW w:w="1391" w:type="pct"/>
          </w:tcPr>
          <w:p w14:paraId="0ACD3068">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2CB7E252">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48999221">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7E11059C">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6015466B">
            <w:pPr>
              <w:pStyle w:val="12"/>
              <w:spacing w:line="400" w:lineRule="exact"/>
              <w:ind w:left="1080" w:leftChars="257" w:hanging="540"/>
              <w:rPr>
                <w:rFonts w:hint="eastAsia" w:ascii="宋体" w:hAnsi="宋体" w:eastAsia="宋体" w:cs="宋体"/>
                <w:color w:val="auto"/>
                <w:sz w:val="24"/>
                <w:szCs w:val="24"/>
                <w:highlight w:val="none"/>
              </w:rPr>
            </w:pPr>
          </w:p>
        </w:tc>
      </w:tr>
      <w:tr w14:paraId="23BB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47" w:type="pct"/>
            <w:vAlign w:val="center"/>
          </w:tcPr>
          <w:p w14:paraId="7D5D213E">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p>
        </w:tc>
        <w:tc>
          <w:tcPr>
            <w:tcW w:w="755" w:type="pct"/>
          </w:tcPr>
          <w:p w14:paraId="2DA125F5">
            <w:pPr>
              <w:pStyle w:val="12"/>
              <w:spacing w:line="400" w:lineRule="exact"/>
              <w:ind w:left="1080" w:leftChars="257" w:hanging="540"/>
              <w:rPr>
                <w:rFonts w:hint="eastAsia" w:ascii="宋体" w:hAnsi="宋体" w:eastAsia="宋体" w:cs="宋体"/>
                <w:color w:val="auto"/>
                <w:sz w:val="24"/>
                <w:szCs w:val="24"/>
                <w:highlight w:val="none"/>
              </w:rPr>
            </w:pPr>
          </w:p>
        </w:tc>
        <w:tc>
          <w:tcPr>
            <w:tcW w:w="1391" w:type="pct"/>
          </w:tcPr>
          <w:p w14:paraId="4A02FD60">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0BCBA584">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13A28651">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767274CF">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02E55AFB">
            <w:pPr>
              <w:pStyle w:val="12"/>
              <w:spacing w:line="400" w:lineRule="exact"/>
              <w:ind w:left="1080" w:leftChars="257" w:hanging="540"/>
              <w:rPr>
                <w:rFonts w:hint="eastAsia" w:ascii="宋体" w:hAnsi="宋体" w:eastAsia="宋体" w:cs="宋体"/>
                <w:color w:val="auto"/>
                <w:sz w:val="24"/>
                <w:szCs w:val="24"/>
                <w:highlight w:val="none"/>
              </w:rPr>
            </w:pPr>
          </w:p>
        </w:tc>
      </w:tr>
      <w:tr w14:paraId="20FB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447" w:type="pct"/>
            <w:vAlign w:val="center"/>
          </w:tcPr>
          <w:p w14:paraId="2F449E8B">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p>
        </w:tc>
        <w:tc>
          <w:tcPr>
            <w:tcW w:w="755" w:type="pct"/>
          </w:tcPr>
          <w:p w14:paraId="3D289435">
            <w:pPr>
              <w:pStyle w:val="12"/>
              <w:spacing w:line="400" w:lineRule="exact"/>
              <w:ind w:left="1080" w:leftChars="257" w:hanging="540"/>
              <w:rPr>
                <w:rFonts w:hint="eastAsia" w:ascii="宋体" w:hAnsi="宋体" w:eastAsia="宋体" w:cs="宋体"/>
                <w:color w:val="auto"/>
                <w:sz w:val="24"/>
                <w:szCs w:val="24"/>
                <w:highlight w:val="none"/>
              </w:rPr>
            </w:pPr>
          </w:p>
        </w:tc>
        <w:tc>
          <w:tcPr>
            <w:tcW w:w="1391" w:type="pct"/>
          </w:tcPr>
          <w:p w14:paraId="2862BDDB">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6D8F390C">
            <w:pPr>
              <w:pStyle w:val="12"/>
              <w:spacing w:line="400" w:lineRule="exact"/>
              <w:ind w:left="1080" w:leftChars="257" w:hanging="540"/>
              <w:rPr>
                <w:rFonts w:hint="eastAsia" w:ascii="宋体" w:hAnsi="宋体" w:eastAsia="宋体" w:cs="宋体"/>
                <w:color w:val="auto"/>
                <w:sz w:val="24"/>
                <w:szCs w:val="24"/>
                <w:highlight w:val="none"/>
              </w:rPr>
            </w:pPr>
          </w:p>
        </w:tc>
        <w:tc>
          <w:tcPr>
            <w:tcW w:w="755" w:type="pct"/>
          </w:tcPr>
          <w:p w14:paraId="3FFA64FD">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47C23452">
            <w:pPr>
              <w:pStyle w:val="12"/>
              <w:spacing w:line="400" w:lineRule="exact"/>
              <w:ind w:left="1080" w:leftChars="257" w:hanging="540"/>
              <w:rPr>
                <w:rFonts w:hint="eastAsia" w:ascii="宋体" w:hAnsi="宋体" w:eastAsia="宋体" w:cs="宋体"/>
                <w:color w:val="auto"/>
                <w:sz w:val="24"/>
                <w:szCs w:val="24"/>
                <w:highlight w:val="none"/>
              </w:rPr>
            </w:pPr>
          </w:p>
        </w:tc>
        <w:tc>
          <w:tcPr>
            <w:tcW w:w="447" w:type="pct"/>
          </w:tcPr>
          <w:p w14:paraId="14EDFB51">
            <w:pPr>
              <w:pStyle w:val="12"/>
              <w:spacing w:line="400" w:lineRule="exact"/>
              <w:ind w:left="1080" w:leftChars="257" w:hanging="540"/>
              <w:rPr>
                <w:rFonts w:hint="eastAsia" w:ascii="宋体" w:hAnsi="宋体" w:eastAsia="宋体" w:cs="宋体"/>
                <w:color w:val="auto"/>
                <w:sz w:val="24"/>
                <w:szCs w:val="24"/>
                <w:highlight w:val="none"/>
              </w:rPr>
            </w:pPr>
          </w:p>
        </w:tc>
      </w:tr>
    </w:tbl>
    <w:p w14:paraId="032BBBB4">
      <w:pPr>
        <w:pStyle w:val="12"/>
        <w:spacing w:line="400" w:lineRule="exact"/>
        <w:ind w:left="1080" w:leftChars="257" w:hanging="540"/>
        <w:rPr>
          <w:rFonts w:hint="eastAsia" w:ascii="宋体" w:hAnsi="宋体" w:eastAsia="宋体" w:cs="宋体"/>
          <w:color w:val="auto"/>
          <w:sz w:val="24"/>
          <w:szCs w:val="24"/>
          <w:highlight w:val="none"/>
        </w:rPr>
      </w:pPr>
    </w:p>
    <w:p w14:paraId="42ECD137">
      <w:pPr>
        <w:pStyle w:val="12"/>
        <w:spacing w:line="400" w:lineRule="exact"/>
        <w:ind w:left="1080" w:leftChars="257" w:hanging="540"/>
        <w:rPr>
          <w:rFonts w:hint="eastAsia" w:ascii="宋体" w:hAnsi="宋体" w:eastAsia="宋体" w:cs="宋体"/>
          <w:color w:val="auto"/>
          <w:sz w:val="24"/>
          <w:szCs w:val="24"/>
          <w:highlight w:val="none"/>
        </w:rPr>
      </w:pPr>
    </w:p>
    <w:p w14:paraId="06A25B63">
      <w:pPr>
        <w:pStyle w:val="12"/>
        <w:spacing w:line="400" w:lineRule="exact"/>
        <w:ind w:left="1080" w:leftChars="257" w:hanging="540"/>
        <w:rPr>
          <w:rFonts w:hint="eastAsia" w:ascii="宋体" w:hAnsi="宋体" w:eastAsia="宋体" w:cs="宋体"/>
          <w:color w:val="auto"/>
          <w:sz w:val="24"/>
          <w:szCs w:val="24"/>
          <w:highlight w:val="none"/>
        </w:rPr>
      </w:pPr>
    </w:p>
    <w:bookmarkEnd w:id="1551"/>
    <w:bookmarkEnd w:id="1552"/>
    <w:bookmarkEnd w:id="1553"/>
    <w:bookmarkEnd w:id="1554"/>
    <w:p w14:paraId="15C6EDD4">
      <w:pPr>
        <w:pStyle w:val="7"/>
        <w:spacing w:line="360" w:lineRule="exact"/>
        <w:ind w:firstLine="0"/>
        <w:rPr>
          <w:rFonts w:hint="eastAsia" w:ascii="宋体" w:hAnsi="宋体" w:eastAsia="宋体" w:cs="宋体"/>
          <w:color w:val="auto"/>
          <w:kern w:val="2"/>
          <w:sz w:val="24"/>
          <w:szCs w:val="24"/>
          <w:highlight w:val="none"/>
          <w:u w:val="single"/>
        </w:rPr>
      </w:pPr>
      <w:bookmarkStart w:id="1574" w:name="_Toc216582818"/>
      <w:bookmarkStart w:id="1575" w:name="_Toc23"/>
      <w:bookmarkStart w:id="1576" w:name="_Toc1980"/>
      <w:bookmarkStart w:id="1577" w:name="_Toc515647821"/>
      <w:bookmarkStart w:id="1578" w:name="_Toc31439"/>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14:paraId="11AB40B1">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14:paraId="7425C800">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14:paraId="32FDC972">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07F07773">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21A9E1B6">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382A6B63">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6D97B13F">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5934F9A6">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5BFE96C9">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4CA49C0B">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192E2C25">
      <w:pPr>
        <w:rPr>
          <w:rFonts w:hint="eastAsia" w:ascii="宋体" w:hAnsi="宋体" w:eastAsia="宋体" w:cs="宋体"/>
          <w:color w:val="auto"/>
          <w:sz w:val="28"/>
          <w:szCs w:val="28"/>
          <w:highlight w:val="none"/>
        </w:rPr>
      </w:pPr>
      <w:bookmarkStart w:id="1579" w:name="_Toc12914"/>
      <w:bookmarkStart w:id="1580" w:name="_Toc22109"/>
      <w:bookmarkStart w:id="1581" w:name="_Toc14887"/>
      <w:r>
        <w:rPr>
          <w:rFonts w:hint="eastAsia" w:ascii="宋体" w:hAnsi="宋体" w:eastAsia="宋体" w:cs="宋体"/>
          <w:color w:val="auto"/>
          <w:sz w:val="28"/>
          <w:szCs w:val="28"/>
          <w:highlight w:val="none"/>
        </w:rPr>
        <w:br w:type="page"/>
      </w:r>
    </w:p>
    <w:bookmarkEnd w:id="1574"/>
    <w:bookmarkEnd w:id="1575"/>
    <w:bookmarkEnd w:id="1576"/>
    <w:bookmarkEnd w:id="1577"/>
    <w:bookmarkEnd w:id="1578"/>
    <w:bookmarkEnd w:id="1579"/>
    <w:bookmarkEnd w:id="1580"/>
    <w:bookmarkEnd w:id="1581"/>
    <w:p w14:paraId="7745F72F">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582" w:name="_Toc8596"/>
      <w:bookmarkStart w:id="1583" w:name="_Toc26961"/>
      <w:bookmarkStart w:id="1584" w:name="_Toc3475"/>
      <w:r>
        <w:rPr>
          <w:rFonts w:hint="eastAsia" w:ascii="宋体" w:hAnsi="宋体" w:eastAsia="宋体" w:cs="宋体"/>
          <w:b/>
          <w:bCs/>
          <w:color w:val="auto"/>
          <w:kern w:val="2"/>
          <w:sz w:val="24"/>
          <w:szCs w:val="24"/>
          <w:u w:val="none"/>
          <w:lang w:val="en-US" w:eastAsia="zh-CN" w:bidi="ar-SA"/>
        </w:rPr>
        <w:t>5.商务条款偏离表</w:t>
      </w:r>
      <w:bookmarkEnd w:id="1582"/>
      <w:bookmarkEnd w:id="1583"/>
      <w:bookmarkEnd w:id="1584"/>
    </w:p>
    <w:p w14:paraId="37DEC573">
      <w:pPr>
        <w:pStyle w:val="12"/>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项目编号:         </w:t>
      </w:r>
      <w:r>
        <w:rPr>
          <w:rFonts w:hint="eastAsia" w:ascii="宋体" w:hAnsi="宋体" w:eastAsia="宋体" w:cs="宋体"/>
          <w:color w:val="auto"/>
          <w:sz w:val="24"/>
          <w:szCs w:val="24"/>
          <w:highlight w:val="none"/>
          <w:lang w:eastAsia="zh-CN"/>
        </w:rPr>
        <w:t>包号：</w:t>
      </w:r>
      <w:r>
        <w:rPr>
          <w:rFonts w:hint="eastAsia" w:ascii="宋体" w:hAnsi="宋体" w:eastAsia="宋体" w:cs="宋体"/>
          <w:color w:val="auto"/>
          <w:sz w:val="24"/>
          <w:szCs w:val="24"/>
          <w:highlight w:val="none"/>
        </w:rPr>
        <w:t xml:space="preserve">    </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849"/>
        <w:gridCol w:w="2318"/>
        <w:gridCol w:w="2318"/>
        <w:gridCol w:w="678"/>
        <w:gridCol w:w="679"/>
      </w:tblGrid>
      <w:tr w14:paraId="5CF73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401C241B">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085" w:type="pct"/>
            <w:vAlign w:val="top"/>
          </w:tcPr>
          <w:p w14:paraId="22BA62AD">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招标文件条款号</w:t>
            </w:r>
          </w:p>
        </w:tc>
        <w:tc>
          <w:tcPr>
            <w:tcW w:w="1360" w:type="pct"/>
            <w:vAlign w:val="top"/>
          </w:tcPr>
          <w:p w14:paraId="1FE98A68">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招标文件的商务条款</w:t>
            </w:r>
          </w:p>
        </w:tc>
        <w:tc>
          <w:tcPr>
            <w:tcW w:w="1360" w:type="pct"/>
            <w:vAlign w:val="top"/>
          </w:tcPr>
          <w:p w14:paraId="183176D4">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投标文件的商务条款</w:t>
            </w:r>
          </w:p>
        </w:tc>
        <w:tc>
          <w:tcPr>
            <w:tcW w:w="398" w:type="pct"/>
            <w:vAlign w:val="top"/>
          </w:tcPr>
          <w:p w14:paraId="62FBE3BE">
            <w:pPr>
              <w:pStyle w:val="12"/>
              <w:spacing w:line="400" w:lineRule="exact"/>
              <w:jc w:val="center"/>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偏离</w:t>
            </w:r>
          </w:p>
        </w:tc>
        <w:tc>
          <w:tcPr>
            <w:tcW w:w="398" w:type="pct"/>
            <w:vAlign w:val="top"/>
          </w:tcPr>
          <w:p w14:paraId="572F770D">
            <w:pPr>
              <w:pStyle w:val="12"/>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14:paraId="0DCA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08220EF6">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3F3D35A4">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6134BA21">
            <w:pPr>
              <w:pStyle w:val="12"/>
              <w:spacing w:line="400" w:lineRule="exact"/>
              <w:ind w:left="1080" w:leftChars="257" w:hanging="540"/>
              <w:jc w:val="center"/>
              <w:rPr>
                <w:rFonts w:hint="eastAsia" w:ascii="宋体" w:hAnsi="宋体" w:eastAsia="宋体" w:cs="宋体"/>
                <w:color w:val="auto"/>
                <w:sz w:val="24"/>
                <w:szCs w:val="24"/>
                <w:highlight w:val="none"/>
              </w:rPr>
            </w:pPr>
          </w:p>
        </w:tc>
        <w:tc>
          <w:tcPr>
            <w:tcW w:w="1360" w:type="pct"/>
            <w:vAlign w:val="top"/>
          </w:tcPr>
          <w:p w14:paraId="1F609821">
            <w:pPr>
              <w:pStyle w:val="12"/>
              <w:spacing w:line="400" w:lineRule="exact"/>
              <w:ind w:left="1080" w:leftChars="257" w:hanging="540"/>
              <w:jc w:val="center"/>
              <w:rPr>
                <w:rFonts w:hint="eastAsia" w:ascii="宋体" w:hAnsi="宋体" w:eastAsia="宋体" w:cs="宋体"/>
                <w:color w:val="auto"/>
                <w:sz w:val="24"/>
                <w:szCs w:val="24"/>
                <w:highlight w:val="none"/>
              </w:rPr>
            </w:pPr>
          </w:p>
        </w:tc>
        <w:tc>
          <w:tcPr>
            <w:tcW w:w="398" w:type="pct"/>
            <w:vAlign w:val="top"/>
          </w:tcPr>
          <w:p w14:paraId="549D0D57">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2E975D4A">
            <w:pPr>
              <w:pStyle w:val="12"/>
              <w:spacing w:line="400" w:lineRule="exact"/>
              <w:ind w:left="1080" w:leftChars="257" w:hanging="540"/>
              <w:rPr>
                <w:rFonts w:hint="eastAsia" w:ascii="宋体" w:hAnsi="宋体" w:eastAsia="宋体" w:cs="宋体"/>
                <w:color w:val="auto"/>
                <w:sz w:val="24"/>
                <w:szCs w:val="24"/>
                <w:highlight w:val="none"/>
              </w:rPr>
            </w:pPr>
          </w:p>
        </w:tc>
      </w:tr>
      <w:tr w14:paraId="2692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51A85F2A">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597B637D">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701F21A5">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30E79021">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7499BAD7">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53F66747">
            <w:pPr>
              <w:pStyle w:val="12"/>
              <w:spacing w:line="400" w:lineRule="exact"/>
              <w:ind w:left="1080" w:leftChars="257" w:hanging="540"/>
              <w:rPr>
                <w:rFonts w:hint="eastAsia" w:ascii="宋体" w:hAnsi="宋体" w:eastAsia="宋体" w:cs="宋体"/>
                <w:color w:val="auto"/>
                <w:sz w:val="24"/>
                <w:szCs w:val="24"/>
                <w:highlight w:val="none"/>
              </w:rPr>
            </w:pPr>
          </w:p>
        </w:tc>
      </w:tr>
      <w:tr w14:paraId="2889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2A03EA27">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67A67590">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45C1861B">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6D2DE03A">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33BEA4F7">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641C4012">
            <w:pPr>
              <w:pStyle w:val="12"/>
              <w:spacing w:line="400" w:lineRule="exact"/>
              <w:ind w:left="1080" w:leftChars="257" w:hanging="540"/>
              <w:rPr>
                <w:rFonts w:hint="eastAsia" w:ascii="宋体" w:hAnsi="宋体" w:eastAsia="宋体" w:cs="宋体"/>
                <w:color w:val="auto"/>
                <w:sz w:val="24"/>
                <w:szCs w:val="24"/>
                <w:highlight w:val="none"/>
              </w:rPr>
            </w:pPr>
          </w:p>
        </w:tc>
      </w:tr>
      <w:tr w14:paraId="78E09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474E004F">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54F5C610">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3697101B">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505973B3">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657C5767">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533FEC5F">
            <w:pPr>
              <w:pStyle w:val="12"/>
              <w:spacing w:line="400" w:lineRule="exact"/>
              <w:ind w:left="1080" w:leftChars="257" w:hanging="540"/>
              <w:rPr>
                <w:rFonts w:hint="eastAsia" w:ascii="宋体" w:hAnsi="宋体" w:eastAsia="宋体" w:cs="宋体"/>
                <w:color w:val="auto"/>
                <w:sz w:val="24"/>
                <w:szCs w:val="24"/>
                <w:highlight w:val="none"/>
              </w:rPr>
            </w:pPr>
          </w:p>
        </w:tc>
      </w:tr>
      <w:tr w14:paraId="70FA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28F031C3">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4C7A78AB">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6A27D21F">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12555A1F">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1DB272C2">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17139C05">
            <w:pPr>
              <w:pStyle w:val="12"/>
              <w:spacing w:line="400" w:lineRule="exact"/>
              <w:ind w:left="1080" w:leftChars="257" w:hanging="540"/>
              <w:rPr>
                <w:rFonts w:hint="eastAsia" w:ascii="宋体" w:hAnsi="宋体" w:eastAsia="宋体" w:cs="宋体"/>
                <w:color w:val="auto"/>
                <w:sz w:val="24"/>
                <w:szCs w:val="24"/>
                <w:highlight w:val="none"/>
              </w:rPr>
            </w:pPr>
          </w:p>
        </w:tc>
      </w:tr>
      <w:tr w14:paraId="7EA3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1CD8CF86">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19854674">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6E9F3EF5">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1C18A24D">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5221DAE2">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52008784">
            <w:pPr>
              <w:pStyle w:val="12"/>
              <w:spacing w:line="400" w:lineRule="exact"/>
              <w:ind w:left="1080" w:leftChars="257" w:hanging="540"/>
              <w:rPr>
                <w:rFonts w:hint="eastAsia" w:ascii="宋体" w:hAnsi="宋体" w:eastAsia="宋体" w:cs="宋体"/>
                <w:color w:val="auto"/>
                <w:sz w:val="24"/>
                <w:szCs w:val="24"/>
                <w:highlight w:val="none"/>
              </w:rPr>
            </w:pPr>
          </w:p>
        </w:tc>
      </w:tr>
      <w:tr w14:paraId="369E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21293D7F">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5C8379CF">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5E2DB949">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55B9C0CB">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578E0ABD">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44ACCBC7">
            <w:pPr>
              <w:pStyle w:val="12"/>
              <w:spacing w:line="400" w:lineRule="exact"/>
              <w:ind w:left="1080" w:leftChars="257" w:hanging="540"/>
              <w:rPr>
                <w:rFonts w:hint="eastAsia" w:ascii="宋体" w:hAnsi="宋体" w:eastAsia="宋体" w:cs="宋体"/>
                <w:color w:val="auto"/>
                <w:sz w:val="24"/>
                <w:szCs w:val="24"/>
                <w:highlight w:val="none"/>
              </w:rPr>
            </w:pPr>
          </w:p>
        </w:tc>
      </w:tr>
      <w:tr w14:paraId="2E44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38326D54">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7A78AD60">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07970479">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20303634">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2DFBB295">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61BEF19D">
            <w:pPr>
              <w:pStyle w:val="12"/>
              <w:spacing w:line="400" w:lineRule="exact"/>
              <w:ind w:left="1080" w:leftChars="257" w:hanging="540"/>
              <w:rPr>
                <w:rFonts w:hint="eastAsia" w:ascii="宋体" w:hAnsi="宋体" w:eastAsia="宋体" w:cs="宋体"/>
                <w:color w:val="auto"/>
                <w:sz w:val="24"/>
                <w:szCs w:val="24"/>
                <w:highlight w:val="none"/>
              </w:rPr>
            </w:pPr>
          </w:p>
        </w:tc>
      </w:tr>
      <w:tr w14:paraId="2273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20B48D74">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78B3FAE1">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2827A390">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2C5AAB48">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34E8902D">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1CF7B57B">
            <w:pPr>
              <w:pStyle w:val="12"/>
              <w:spacing w:line="400" w:lineRule="exact"/>
              <w:ind w:left="1080" w:leftChars="257" w:hanging="540"/>
              <w:rPr>
                <w:rFonts w:hint="eastAsia" w:ascii="宋体" w:hAnsi="宋体" w:eastAsia="宋体" w:cs="宋体"/>
                <w:color w:val="auto"/>
                <w:sz w:val="24"/>
                <w:szCs w:val="24"/>
                <w:highlight w:val="none"/>
              </w:rPr>
            </w:pPr>
          </w:p>
        </w:tc>
      </w:tr>
      <w:tr w14:paraId="153B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7886BE2C">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6F0CD76C">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00C1B842">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64B041C1">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19FD5D81">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26C12F2E">
            <w:pPr>
              <w:pStyle w:val="12"/>
              <w:spacing w:line="400" w:lineRule="exact"/>
              <w:ind w:left="1080" w:leftChars="257" w:hanging="540"/>
              <w:rPr>
                <w:rFonts w:hint="eastAsia" w:ascii="宋体" w:hAnsi="宋体" w:eastAsia="宋体" w:cs="宋体"/>
                <w:color w:val="auto"/>
                <w:sz w:val="24"/>
                <w:szCs w:val="24"/>
                <w:highlight w:val="none"/>
              </w:rPr>
            </w:pPr>
          </w:p>
        </w:tc>
      </w:tr>
      <w:tr w14:paraId="2E5E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6446B4CA">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1AAC6A17">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307AC1EF">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142C4017">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4F45D378">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0BDF47B3">
            <w:pPr>
              <w:pStyle w:val="12"/>
              <w:spacing w:line="400" w:lineRule="exact"/>
              <w:ind w:left="1080" w:leftChars="257" w:hanging="540"/>
              <w:rPr>
                <w:rFonts w:hint="eastAsia" w:ascii="宋体" w:hAnsi="宋体" w:eastAsia="宋体" w:cs="宋体"/>
                <w:color w:val="auto"/>
                <w:sz w:val="24"/>
                <w:szCs w:val="24"/>
                <w:highlight w:val="none"/>
              </w:rPr>
            </w:pPr>
          </w:p>
        </w:tc>
      </w:tr>
      <w:tr w14:paraId="14E0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24208AC2">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536FD3F7">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26C8494B">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17841A7A">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4502556E">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25814410">
            <w:pPr>
              <w:pStyle w:val="12"/>
              <w:spacing w:line="400" w:lineRule="exact"/>
              <w:ind w:left="1080" w:leftChars="257" w:hanging="540"/>
              <w:rPr>
                <w:rFonts w:hint="eastAsia" w:ascii="宋体" w:hAnsi="宋体" w:eastAsia="宋体" w:cs="宋体"/>
                <w:color w:val="auto"/>
                <w:sz w:val="24"/>
                <w:szCs w:val="24"/>
                <w:highlight w:val="none"/>
              </w:rPr>
            </w:pPr>
          </w:p>
        </w:tc>
      </w:tr>
      <w:tr w14:paraId="0A4AC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97" w:type="pct"/>
            <w:vAlign w:val="top"/>
          </w:tcPr>
          <w:p w14:paraId="13B83D61">
            <w:pPr>
              <w:pStyle w:val="12"/>
              <w:spacing w:line="400" w:lineRule="exact"/>
              <w:ind w:left="1080" w:leftChars="257" w:hanging="540"/>
              <w:rPr>
                <w:rFonts w:hint="eastAsia" w:ascii="宋体" w:hAnsi="宋体" w:eastAsia="宋体" w:cs="宋体"/>
                <w:color w:val="auto"/>
                <w:sz w:val="24"/>
                <w:szCs w:val="24"/>
                <w:highlight w:val="none"/>
              </w:rPr>
            </w:pPr>
          </w:p>
        </w:tc>
        <w:tc>
          <w:tcPr>
            <w:tcW w:w="1085" w:type="pct"/>
            <w:vAlign w:val="top"/>
          </w:tcPr>
          <w:p w14:paraId="7A1B1EB9">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52929A23">
            <w:pPr>
              <w:pStyle w:val="12"/>
              <w:spacing w:line="400" w:lineRule="exact"/>
              <w:ind w:left="1080" w:leftChars="257" w:hanging="540"/>
              <w:rPr>
                <w:rFonts w:hint="eastAsia" w:ascii="宋体" w:hAnsi="宋体" w:eastAsia="宋体" w:cs="宋体"/>
                <w:color w:val="auto"/>
                <w:sz w:val="24"/>
                <w:szCs w:val="24"/>
                <w:highlight w:val="none"/>
              </w:rPr>
            </w:pPr>
          </w:p>
        </w:tc>
        <w:tc>
          <w:tcPr>
            <w:tcW w:w="1360" w:type="pct"/>
            <w:vAlign w:val="top"/>
          </w:tcPr>
          <w:p w14:paraId="5B7A5C08">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0C20BAA3">
            <w:pPr>
              <w:pStyle w:val="12"/>
              <w:spacing w:line="400" w:lineRule="exact"/>
              <w:ind w:left="1080" w:leftChars="257" w:hanging="540"/>
              <w:rPr>
                <w:rFonts w:hint="eastAsia" w:ascii="宋体" w:hAnsi="宋体" w:eastAsia="宋体" w:cs="宋体"/>
                <w:color w:val="auto"/>
                <w:sz w:val="24"/>
                <w:szCs w:val="24"/>
                <w:highlight w:val="none"/>
              </w:rPr>
            </w:pPr>
          </w:p>
        </w:tc>
        <w:tc>
          <w:tcPr>
            <w:tcW w:w="398" w:type="pct"/>
            <w:vAlign w:val="top"/>
          </w:tcPr>
          <w:p w14:paraId="215BB04A">
            <w:pPr>
              <w:pStyle w:val="12"/>
              <w:spacing w:line="400" w:lineRule="exact"/>
              <w:ind w:left="1080" w:leftChars="257" w:hanging="540"/>
              <w:rPr>
                <w:rFonts w:hint="eastAsia" w:ascii="宋体" w:hAnsi="宋体" w:eastAsia="宋体" w:cs="宋体"/>
                <w:color w:val="auto"/>
                <w:sz w:val="24"/>
                <w:szCs w:val="24"/>
                <w:highlight w:val="none"/>
              </w:rPr>
            </w:pPr>
          </w:p>
        </w:tc>
      </w:tr>
    </w:tbl>
    <w:p w14:paraId="16A811E6">
      <w:pPr>
        <w:pStyle w:val="12"/>
        <w:spacing w:line="400" w:lineRule="exact"/>
        <w:ind w:left="1080" w:leftChars="257" w:hanging="540"/>
        <w:rPr>
          <w:rFonts w:hint="eastAsia" w:ascii="宋体" w:hAnsi="宋体" w:eastAsia="宋体" w:cs="宋体"/>
          <w:color w:val="auto"/>
          <w:sz w:val="24"/>
          <w:szCs w:val="24"/>
          <w:highlight w:val="none"/>
        </w:rPr>
      </w:pPr>
    </w:p>
    <w:p w14:paraId="37B00937">
      <w:pPr>
        <w:pStyle w:val="12"/>
        <w:spacing w:line="400" w:lineRule="exact"/>
        <w:ind w:left="1080" w:leftChars="257" w:hanging="540"/>
        <w:rPr>
          <w:rFonts w:hint="eastAsia" w:ascii="宋体" w:hAnsi="宋体" w:eastAsia="宋体" w:cs="宋体"/>
          <w:color w:val="auto"/>
          <w:sz w:val="24"/>
          <w:szCs w:val="24"/>
          <w:highlight w:val="none"/>
        </w:rPr>
      </w:pPr>
    </w:p>
    <w:p w14:paraId="25B71904">
      <w:pPr>
        <w:pStyle w:val="12"/>
        <w:spacing w:line="400" w:lineRule="exact"/>
        <w:ind w:left="1080" w:leftChars="257" w:hanging="540"/>
        <w:rPr>
          <w:rFonts w:hint="eastAsia" w:ascii="宋体" w:hAnsi="宋体" w:eastAsia="宋体" w:cs="宋体"/>
          <w:color w:val="auto"/>
          <w:sz w:val="24"/>
          <w:szCs w:val="24"/>
          <w:highlight w:val="none"/>
        </w:rPr>
      </w:pPr>
    </w:p>
    <w:p w14:paraId="27E241B8">
      <w:pPr>
        <w:pStyle w:val="7"/>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14:paraId="375CA064">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14:paraId="2AD73CB0">
      <w:pPr>
        <w:pStyle w:val="7"/>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14:paraId="4152424F">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39B966E2">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335048D7">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555B6629">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266762F1">
      <w:pPr>
        <w:pStyle w:val="12"/>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14:paraId="1422983C">
      <w:pPr>
        <w:rPr>
          <w:rFonts w:hint="eastAsia" w:ascii="宋体" w:hAnsi="宋体" w:eastAsia="宋体" w:cs="宋体"/>
          <w:color w:val="auto"/>
          <w:sz w:val="24"/>
          <w:szCs w:val="24"/>
          <w:highlight w:val="none"/>
        </w:rPr>
      </w:pPr>
      <w:bookmarkStart w:id="1585" w:name="_Toc515647823"/>
      <w:bookmarkStart w:id="1586" w:name="_Toc10725"/>
      <w:bookmarkStart w:id="1587" w:name="_Toc27043"/>
      <w:bookmarkStart w:id="1588" w:name="_Toc21312"/>
      <w:bookmarkStart w:id="1589" w:name="_Toc25797"/>
      <w:bookmarkStart w:id="1590" w:name="_Toc31694"/>
      <w:bookmarkStart w:id="1591" w:name="_Toc17820"/>
      <w:r>
        <w:rPr>
          <w:rFonts w:hint="eastAsia" w:ascii="宋体" w:hAnsi="宋体" w:eastAsia="宋体" w:cs="宋体"/>
          <w:color w:val="auto"/>
          <w:sz w:val="24"/>
          <w:szCs w:val="24"/>
          <w:highlight w:val="none"/>
        </w:rPr>
        <w:br w:type="page"/>
      </w:r>
    </w:p>
    <w:bookmarkEnd w:id="1585"/>
    <w:bookmarkEnd w:id="1586"/>
    <w:bookmarkEnd w:id="1587"/>
    <w:bookmarkEnd w:id="1588"/>
    <w:bookmarkEnd w:id="1589"/>
    <w:bookmarkEnd w:id="1590"/>
    <w:bookmarkEnd w:id="1591"/>
    <w:p w14:paraId="0D34DBD3">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592" w:name="_Toc32351"/>
      <w:bookmarkStart w:id="1593" w:name="_Toc26391"/>
      <w:bookmarkStart w:id="1594" w:name="_Toc21412"/>
      <w:bookmarkStart w:id="1595" w:name="_Toc11803"/>
      <w:bookmarkStart w:id="1596" w:name="_Toc10977"/>
      <w:bookmarkStart w:id="1597" w:name="_Toc9687"/>
      <w:bookmarkStart w:id="1598" w:name="_Toc2709"/>
      <w:bookmarkStart w:id="1599" w:name="_Toc11343"/>
      <w:bookmarkStart w:id="1600" w:name="_Toc515647824"/>
      <w:bookmarkStart w:id="1601" w:name="_Toc21610"/>
      <w:r>
        <w:rPr>
          <w:rFonts w:hint="eastAsia" w:ascii="宋体" w:hAnsi="宋体" w:eastAsia="宋体" w:cs="宋体"/>
          <w:b/>
          <w:bCs/>
          <w:color w:val="auto"/>
          <w:kern w:val="2"/>
          <w:sz w:val="24"/>
          <w:szCs w:val="24"/>
          <w:u w:val="none"/>
          <w:lang w:val="en-US" w:eastAsia="zh-CN" w:bidi="ar-SA"/>
        </w:rPr>
        <w:t>6-1中小企业声明函</w:t>
      </w:r>
      <w:bookmarkEnd w:id="1592"/>
      <w:bookmarkEnd w:id="1593"/>
      <w:bookmarkEnd w:id="1594"/>
    </w:p>
    <w:bookmarkEnd w:id="1595"/>
    <w:bookmarkEnd w:id="1596"/>
    <w:bookmarkEnd w:id="1597"/>
    <w:bookmarkEnd w:id="1598"/>
    <w:bookmarkEnd w:id="1599"/>
    <w:bookmarkEnd w:id="1600"/>
    <w:bookmarkEnd w:id="1601"/>
    <w:p w14:paraId="5E1BEB40">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（单位名称）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的</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（项目名称）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采购活动，提供的货物全部由符合政策要求的中小企业制造。相关企业（含联合体中的中小企业、签订分包意向协议的中小企业）的具体情况如下：</w:t>
      </w:r>
    </w:p>
    <w:p w14:paraId="35AD6ADF">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1.</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（标的名称）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（采购文件中明确的所属行业）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行业；制造商为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（企业名称）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，从业人员</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人，营业收入为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万元，资产总额为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（中型企业、小型企业、微型企业）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w:t>
      </w:r>
    </w:p>
    <w:p w14:paraId="16408C3F">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2.</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（标的名称）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（采购文件中明确的所属行业）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行业；制造商为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（企业名称）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，从业人员</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人，营业收入为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万元，资产总额为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（中型企业、小型企业、微型企业）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w:t>
      </w:r>
    </w:p>
    <w:p w14:paraId="1E161801">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w:t>
      </w:r>
    </w:p>
    <w:p w14:paraId="31448244">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1E2C63FA">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本企业对上述声明内容的真实性负责。如有虚假，将依法承担相应责任。</w:t>
      </w:r>
    </w:p>
    <w:p w14:paraId="78BD25F1">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 </w:t>
      </w:r>
    </w:p>
    <w:p w14:paraId="44112698">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企业名称（盖章）：</w:t>
      </w:r>
    </w:p>
    <w:p w14:paraId="050B3132">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日 期：</w:t>
      </w:r>
    </w:p>
    <w:p w14:paraId="2E2EA1A0">
      <w:pPr>
        <w:rPr>
          <w:rFonts w:hint="eastAsia" w:ascii="宋体" w:hAnsi="宋体" w:eastAsia="宋体" w:cs="宋体"/>
          <w:b/>
          <w:bCs/>
          <w:color w:val="auto"/>
          <w:kern w:val="0"/>
          <w:sz w:val="32"/>
          <w:szCs w:val="32"/>
          <w:highlight w:val="none"/>
          <w:lang w:eastAsia="zh-CN"/>
        </w:rPr>
      </w:pPr>
      <w:r>
        <w:rPr>
          <w:rFonts w:hint="eastAsia" w:ascii="宋体" w:hAnsi="宋体" w:eastAsia="宋体" w:cs="宋体"/>
          <w:b/>
          <w:bCs/>
          <w:color w:val="auto"/>
          <w:kern w:val="0"/>
          <w:sz w:val="32"/>
          <w:szCs w:val="32"/>
          <w:highlight w:val="none"/>
          <w:lang w:val="en-US" w:eastAsia="zh-CN"/>
        </w:rPr>
        <w:t>本项目所属行业为</w:t>
      </w:r>
      <w:r>
        <w:rPr>
          <w:rFonts w:hint="eastAsia" w:ascii="宋体" w:hAnsi="宋体" w:cs="宋体"/>
          <w:b/>
          <w:bCs/>
          <w:color w:val="FF0000"/>
          <w:kern w:val="0"/>
          <w:sz w:val="32"/>
          <w:szCs w:val="32"/>
          <w:highlight w:val="none"/>
          <w:lang w:val="en-US" w:eastAsia="zh-CN"/>
        </w:rPr>
        <w:t>工业</w:t>
      </w:r>
      <w:r>
        <w:rPr>
          <w:rFonts w:hint="eastAsia" w:ascii="宋体" w:hAnsi="宋体" w:eastAsia="宋体" w:cs="宋体"/>
          <w:b/>
          <w:bCs/>
          <w:color w:val="auto"/>
          <w:kern w:val="0"/>
          <w:sz w:val="32"/>
          <w:szCs w:val="32"/>
          <w:highlight w:val="none"/>
          <w:lang w:val="en-US" w:eastAsia="zh-CN"/>
        </w:rPr>
        <w:t>。</w:t>
      </w:r>
    </w:p>
    <w:p w14:paraId="7FBDB246">
      <w:pP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4"/>
          <w:szCs w:val="24"/>
          <w:highlight w:val="none"/>
          <w:lang w:val="en-US" w:eastAsia="zh-CN"/>
        </w:rPr>
        <w:t>注：潜在投标企业属于中小微企业的，请在投标文件中提供“中小企业声明函”，如果未提供或提供虚假的“中小企业声明函”，投标企业将承担由此造成的一切不利后果。</w:t>
      </w:r>
    </w:p>
    <w:p w14:paraId="27344135">
      <w:pPr>
        <w:widowControl w:val="0"/>
        <w:snapToGrid w:val="0"/>
        <w:jc w:val="left"/>
        <w:rPr>
          <w:rFonts w:hint="eastAsia" w:ascii="宋体" w:hAnsi="宋体" w:eastAsia="宋体" w:cs="宋体"/>
          <w:b/>
          <w:bCs/>
          <w:color w:val="auto"/>
          <w:kern w:val="0"/>
          <w:sz w:val="21"/>
          <w:szCs w:val="21"/>
          <w:highlight w:val="none"/>
          <w:lang w:val="en-US" w:eastAsia="zh-CN" w:bidi="ar-SA"/>
        </w:rPr>
      </w:pPr>
    </w:p>
    <w:p w14:paraId="7DEB627B">
      <w:pP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br w:type="page"/>
      </w:r>
    </w:p>
    <w:p w14:paraId="3A6DE10E">
      <w:pPr>
        <w:jc w:val="left"/>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附：</w:t>
      </w:r>
    </w:p>
    <w:p w14:paraId="0160ED17">
      <w:pPr>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中小微企业划型标准</w:t>
      </w:r>
    </w:p>
    <w:tbl>
      <w:tblPr>
        <w:tblStyle w:val="21"/>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14:paraId="01BFEFC2">
        <w:tblPrEx>
          <w:tblCellMar>
            <w:top w:w="0" w:type="dxa"/>
            <w:left w:w="108" w:type="dxa"/>
            <w:bottom w:w="0" w:type="dxa"/>
            <w:right w:w="108" w:type="dxa"/>
          </w:tblCellMar>
        </w:tblPrEx>
        <w:trPr>
          <w:trHeight w:val="451"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14:paraId="364F5D39">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行业名称</w:t>
            </w:r>
          </w:p>
        </w:tc>
        <w:tc>
          <w:tcPr>
            <w:tcW w:w="1660" w:type="dxa"/>
            <w:tcBorders>
              <w:top w:val="single" w:color="auto" w:sz="4" w:space="0"/>
              <w:left w:val="nil"/>
              <w:bottom w:val="single" w:color="auto" w:sz="4" w:space="0"/>
              <w:right w:val="single" w:color="auto" w:sz="4" w:space="0"/>
            </w:tcBorders>
            <w:noWrap w:val="0"/>
            <w:vAlign w:val="center"/>
          </w:tcPr>
          <w:p w14:paraId="652CF224">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指标名称</w:t>
            </w:r>
          </w:p>
        </w:tc>
        <w:tc>
          <w:tcPr>
            <w:tcW w:w="1466" w:type="dxa"/>
            <w:tcBorders>
              <w:top w:val="single" w:color="auto" w:sz="4" w:space="0"/>
              <w:left w:val="nil"/>
              <w:bottom w:val="single" w:color="auto" w:sz="4" w:space="0"/>
              <w:right w:val="single" w:color="auto" w:sz="4" w:space="0"/>
            </w:tcBorders>
            <w:noWrap w:val="0"/>
            <w:vAlign w:val="center"/>
          </w:tcPr>
          <w:p w14:paraId="35490A51">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计量单位</w:t>
            </w:r>
          </w:p>
        </w:tc>
        <w:tc>
          <w:tcPr>
            <w:tcW w:w="1903" w:type="dxa"/>
            <w:tcBorders>
              <w:top w:val="single" w:color="auto" w:sz="4" w:space="0"/>
              <w:left w:val="nil"/>
              <w:bottom w:val="single" w:color="auto" w:sz="4" w:space="0"/>
              <w:right w:val="single" w:color="auto" w:sz="4" w:space="0"/>
            </w:tcBorders>
            <w:noWrap w:val="0"/>
            <w:vAlign w:val="center"/>
          </w:tcPr>
          <w:p w14:paraId="7987F999">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中型</w:t>
            </w:r>
          </w:p>
        </w:tc>
        <w:tc>
          <w:tcPr>
            <w:tcW w:w="1692" w:type="dxa"/>
            <w:tcBorders>
              <w:top w:val="single" w:color="auto" w:sz="4" w:space="0"/>
              <w:left w:val="nil"/>
              <w:bottom w:val="single" w:color="auto" w:sz="4" w:space="0"/>
              <w:right w:val="single" w:color="auto" w:sz="4" w:space="0"/>
            </w:tcBorders>
            <w:noWrap w:val="0"/>
            <w:vAlign w:val="center"/>
          </w:tcPr>
          <w:p w14:paraId="4C74F217">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小型</w:t>
            </w:r>
          </w:p>
        </w:tc>
        <w:tc>
          <w:tcPr>
            <w:tcW w:w="1087" w:type="dxa"/>
            <w:tcBorders>
              <w:top w:val="single" w:color="auto" w:sz="4" w:space="0"/>
              <w:left w:val="nil"/>
              <w:bottom w:val="single" w:color="auto" w:sz="4" w:space="0"/>
              <w:right w:val="single" w:color="auto" w:sz="4" w:space="0"/>
            </w:tcBorders>
            <w:noWrap w:val="0"/>
            <w:vAlign w:val="center"/>
          </w:tcPr>
          <w:p w14:paraId="0F558A24">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微型</w:t>
            </w:r>
          </w:p>
        </w:tc>
      </w:tr>
      <w:tr w14:paraId="0D9D91D6">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6A3DC33F">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农、林、牧、渔</w:t>
            </w:r>
          </w:p>
        </w:tc>
        <w:tc>
          <w:tcPr>
            <w:tcW w:w="1660" w:type="dxa"/>
            <w:tcBorders>
              <w:top w:val="nil"/>
              <w:left w:val="nil"/>
              <w:bottom w:val="single" w:color="auto" w:sz="4" w:space="0"/>
              <w:right w:val="single" w:color="auto" w:sz="4" w:space="0"/>
            </w:tcBorders>
            <w:noWrap w:val="0"/>
            <w:vAlign w:val="center"/>
          </w:tcPr>
          <w:p w14:paraId="51FDFDC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672E077E">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203B572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500≤Y＜20000</w:t>
            </w:r>
          </w:p>
        </w:tc>
        <w:tc>
          <w:tcPr>
            <w:tcW w:w="1692" w:type="dxa"/>
            <w:tcBorders>
              <w:top w:val="nil"/>
              <w:left w:val="nil"/>
              <w:bottom w:val="single" w:color="auto" w:sz="4" w:space="0"/>
              <w:right w:val="single" w:color="auto" w:sz="4" w:space="0"/>
            </w:tcBorders>
            <w:noWrap w:val="0"/>
            <w:vAlign w:val="center"/>
          </w:tcPr>
          <w:p w14:paraId="3EFCECA4">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50≤Y＜500</w:t>
            </w:r>
          </w:p>
        </w:tc>
        <w:tc>
          <w:tcPr>
            <w:tcW w:w="1087" w:type="dxa"/>
            <w:tcBorders>
              <w:top w:val="nil"/>
              <w:left w:val="nil"/>
              <w:bottom w:val="single" w:color="auto" w:sz="4" w:space="0"/>
              <w:right w:val="single" w:color="auto" w:sz="4" w:space="0"/>
            </w:tcBorders>
            <w:noWrap w:val="0"/>
            <w:vAlign w:val="center"/>
          </w:tcPr>
          <w:p w14:paraId="67246D9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Y＜50</w:t>
            </w:r>
          </w:p>
        </w:tc>
      </w:tr>
      <w:tr w14:paraId="2ECC87BF">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shd w:val="clear" w:color="auto" w:fill="auto"/>
            <w:noWrap w:val="0"/>
            <w:vAlign w:val="center"/>
          </w:tcPr>
          <w:p w14:paraId="6C6C738D">
            <w:pPr>
              <w:widowControl/>
              <w:snapToGrid w:val="0"/>
              <w:contextualSpacing/>
              <w:jc w:val="center"/>
              <w:rPr>
                <w:rFonts w:hint="eastAsia" w:ascii="宋体" w:hAnsi="宋体" w:eastAsia="宋体" w:cs="宋体"/>
                <w:b/>
                <w:bCs/>
                <w:color w:val="FF0000"/>
                <w:kern w:val="0"/>
                <w:sz w:val="24"/>
                <w:szCs w:val="24"/>
                <w:highlight w:val="none"/>
              </w:rPr>
            </w:pPr>
            <w:r>
              <w:rPr>
                <w:rFonts w:hint="eastAsia" w:ascii="宋体" w:hAnsi="宋体" w:eastAsia="宋体" w:cs="宋体"/>
                <w:b/>
                <w:bCs/>
                <w:color w:val="FF0000"/>
                <w:kern w:val="0"/>
                <w:sz w:val="24"/>
                <w:szCs w:val="24"/>
                <w:highlight w:val="none"/>
              </w:rPr>
              <w:t>工业</w:t>
            </w:r>
          </w:p>
        </w:tc>
        <w:tc>
          <w:tcPr>
            <w:tcW w:w="1660" w:type="dxa"/>
            <w:tcBorders>
              <w:top w:val="nil"/>
              <w:left w:val="nil"/>
              <w:bottom w:val="single" w:color="auto" w:sz="4" w:space="0"/>
              <w:right w:val="single" w:color="auto" w:sz="4" w:space="0"/>
            </w:tcBorders>
            <w:shd w:val="clear" w:color="auto" w:fill="auto"/>
            <w:noWrap w:val="0"/>
            <w:vAlign w:val="center"/>
          </w:tcPr>
          <w:p w14:paraId="5B1CD0E6">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从业人员（X）</w:t>
            </w:r>
          </w:p>
        </w:tc>
        <w:tc>
          <w:tcPr>
            <w:tcW w:w="1466" w:type="dxa"/>
            <w:tcBorders>
              <w:top w:val="nil"/>
              <w:left w:val="nil"/>
              <w:bottom w:val="single" w:color="auto" w:sz="4" w:space="0"/>
              <w:right w:val="single" w:color="auto" w:sz="4" w:space="0"/>
            </w:tcBorders>
            <w:shd w:val="clear" w:color="auto" w:fill="auto"/>
            <w:noWrap w:val="0"/>
            <w:vAlign w:val="center"/>
          </w:tcPr>
          <w:p w14:paraId="0880E5F4">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人</w:t>
            </w:r>
          </w:p>
        </w:tc>
        <w:tc>
          <w:tcPr>
            <w:tcW w:w="1903" w:type="dxa"/>
            <w:tcBorders>
              <w:top w:val="nil"/>
              <w:left w:val="nil"/>
              <w:bottom w:val="single" w:color="auto" w:sz="4" w:space="0"/>
              <w:right w:val="single" w:color="auto" w:sz="4" w:space="0"/>
            </w:tcBorders>
            <w:shd w:val="clear" w:color="auto" w:fill="auto"/>
            <w:noWrap w:val="0"/>
            <w:vAlign w:val="center"/>
          </w:tcPr>
          <w:p w14:paraId="0BBF0E6B">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300≤X＜1000</w:t>
            </w:r>
          </w:p>
        </w:tc>
        <w:tc>
          <w:tcPr>
            <w:tcW w:w="1692" w:type="dxa"/>
            <w:tcBorders>
              <w:top w:val="nil"/>
              <w:left w:val="nil"/>
              <w:bottom w:val="single" w:color="auto" w:sz="4" w:space="0"/>
              <w:right w:val="single" w:color="auto" w:sz="4" w:space="0"/>
            </w:tcBorders>
            <w:shd w:val="clear" w:color="auto" w:fill="auto"/>
            <w:noWrap w:val="0"/>
            <w:vAlign w:val="center"/>
          </w:tcPr>
          <w:p w14:paraId="569D4AE6">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20≤X＜300</w:t>
            </w:r>
          </w:p>
        </w:tc>
        <w:tc>
          <w:tcPr>
            <w:tcW w:w="1087" w:type="dxa"/>
            <w:tcBorders>
              <w:top w:val="nil"/>
              <w:left w:val="nil"/>
              <w:bottom w:val="single" w:color="auto" w:sz="4" w:space="0"/>
              <w:right w:val="single" w:color="auto" w:sz="4" w:space="0"/>
            </w:tcBorders>
            <w:shd w:val="clear" w:color="auto" w:fill="auto"/>
            <w:noWrap w:val="0"/>
            <w:vAlign w:val="center"/>
          </w:tcPr>
          <w:p w14:paraId="16266CF5">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X＜20</w:t>
            </w:r>
          </w:p>
        </w:tc>
      </w:tr>
      <w:tr w14:paraId="3CEAD8E0">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shd w:val="clear" w:color="auto" w:fill="auto"/>
            <w:noWrap w:val="0"/>
            <w:vAlign w:val="center"/>
          </w:tcPr>
          <w:p w14:paraId="15076865">
            <w:pPr>
              <w:widowControl/>
              <w:snapToGrid w:val="0"/>
              <w:contextualSpacing/>
              <w:jc w:val="center"/>
              <w:rPr>
                <w:rFonts w:hint="eastAsia" w:ascii="宋体" w:hAnsi="宋体" w:eastAsia="宋体" w:cs="宋体"/>
                <w:b/>
                <w:bCs/>
                <w:color w:val="FF0000"/>
                <w:kern w:val="0"/>
                <w:sz w:val="24"/>
                <w:szCs w:val="24"/>
                <w:highlight w:val="none"/>
              </w:rPr>
            </w:pPr>
          </w:p>
        </w:tc>
        <w:tc>
          <w:tcPr>
            <w:tcW w:w="1660" w:type="dxa"/>
            <w:tcBorders>
              <w:top w:val="nil"/>
              <w:left w:val="nil"/>
              <w:bottom w:val="single" w:color="auto" w:sz="4" w:space="0"/>
              <w:right w:val="single" w:color="auto" w:sz="4" w:space="0"/>
            </w:tcBorders>
            <w:shd w:val="clear" w:color="auto" w:fill="auto"/>
            <w:noWrap w:val="0"/>
            <w:vAlign w:val="center"/>
          </w:tcPr>
          <w:p w14:paraId="7605D688">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营业收入（Y）</w:t>
            </w:r>
          </w:p>
        </w:tc>
        <w:tc>
          <w:tcPr>
            <w:tcW w:w="1466" w:type="dxa"/>
            <w:tcBorders>
              <w:top w:val="nil"/>
              <w:left w:val="nil"/>
              <w:bottom w:val="single" w:color="auto" w:sz="4" w:space="0"/>
              <w:right w:val="single" w:color="auto" w:sz="4" w:space="0"/>
            </w:tcBorders>
            <w:shd w:val="clear" w:color="auto" w:fill="auto"/>
            <w:noWrap w:val="0"/>
            <w:vAlign w:val="center"/>
          </w:tcPr>
          <w:p w14:paraId="63419CB7">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万元</w:t>
            </w:r>
          </w:p>
        </w:tc>
        <w:tc>
          <w:tcPr>
            <w:tcW w:w="1903" w:type="dxa"/>
            <w:tcBorders>
              <w:top w:val="nil"/>
              <w:left w:val="nil"/>
              <w:bottom w:val="single" w:color="auto" w:sz="4" w:space="0"/>
              <w:right w:val="single" w:color="auto" w:sz="4" w:space="0"/>
            </w:tcBorders>
            <w:shd w:val="clear" w:color="auto" w:fill="auto"/>
            <w:noWrap w:val="0"/>
            <w:vAlign w:val="center"/>
          </w:tcPr>
          <w:p w14:paraId="1F38C1F9">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2000≤Y＜40000</w:t>
            </w:r>
          </w:p>
        </w:tc>
        <w:tc>
          <w:tcPr>
            <w:tcW w:w="1692" w:type="dxa"/>
            <w:tcBorders>
              <w:top w:val="nil"/>
              <w:left w:val="nil"/>
              <w:bottom w:val="single" w:color="auto" w:sz="4" w:space="0"/>
              <w:right w:val="single" w:color="auto" w:sz="4" w:space="0"/>
            </w:tcBorders>
            <w:shd w:val="clear" w:color="auto" w:fill="auto"/>
            <w:noWrap w:val="0"/>
            <w:vAlign w:val="center"/>
          </w:tcPr>
          <w:p w14:paraId="78FA6301">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300≤Y＜2000</w:t>
            </w:r>
          </w:p>
        </w:tc>
        <w:tc>
          <w:tcPr>
            <w:tcW w:w="1087" w:type="dxa"/>
            <w:tcBorders>
              <w:top w:val="nil"/>
              <w:left w:val="nil"/>
              <w:bottom w:val="single" w:color="auto" w:sz="4" w:space="0"/>
              <w:right w:val="single" w:color="auto" w:sz="4" w:space="0"/>
            </w:tcBorders>
            <w:shd w:val="clear" w:color="auto" w:fill="auto"/>
            <w:noWrap w:val="0"/>
            <w:vAlign w:val="center"/>
          </w:tcPr>
          <w:p w14:paraId="26F52D8F">
            <w:pPr>
              <w:widowControl/>
              <w:snapToGrid w:val="0"/>
              <w:contextualSpacing/>
              <w:jc w:val="center"/>
              <w:rPr>
                <w:rFonts w:hint="eastAsia" w:ascii="宋体" w:hAnsi="宋体" w:eastAsia="宋体" w:cs="宋体"/>
                <w:color w:val="FF0000"/>
                <w:kern w:val="0"/>
                <w:sz w:val="24"/>
                <w:szCs w:val="24"/>
                <w:highlight w:val="none"/>
              </w:rPr>
            </w:pPr>
            <w:r>
              <w:rPr>
                <w:rFonts w:hint="eastAsia" w:ascii="宋体" w:hAnsi="宋体" w:eastAsia="宋体" w:cs="宋体"/>
                <w:color w:val="FF0000"/>
                <w:kern w:val="0"/>
                <w:sz w:val="24"/>
                <w:szCs w:val="24"/>
                <w:highlight w:val="none"/>
              </w:rPr>
              <w:t>Y＜300</w:t>
            </w:r>
          </w:p>
        </w:tc>
      </w:tr>
      <w:tr w14:paraId="5D192AC4">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2B0B451E">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建筑业</w:t>
            </w:r>
          </w:p>
        </w:tc>
        <w:tc>
          <w:tcPr>
            <w:tcW w:w="1660" w:type="dxa"/>
            <w:tcBorders>
              <w:top w:val="nil"/>
              <w:left w:val="nil"/>
              <w:bottom w:val="single" w:color="auto" w:sz="4" w:space="0"/>
              <w:right w:val="single" w:color="auto" w:sz="4" w:space="0"/>
            </w:tcBorders>
            <w:noWrap w:val="0"/>
            <w:vAlign w:val="center"/>
          </w:tcPr>
          <w:p w14:paraId="0616EA7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00FA0C7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1018887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6000≤Y＜80000</w:t>
            </w:r>
          </w:p>
        </w:tc>
        <w:tc>
          <w:tcPr>
            <w:tcW w:w="1692" w:type="dxa"/>
            <w:tcBorders>
              <w:top w:val="nil"/>
              <w:left w:val="nil"/>
              <w:bottom w:val="single" w:color="auto" w:sz="4" w:space="0"/>
              <w:right w:val="single" w:color="auto" w:sz="4" w:space="0"/>
            </w:tcBorders>
            <w:noWrap w:val="0"/>
            <w:vAlign w:val="center"/>
          </w:tcPr>
          <w:p w14:paraId="3464B57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300≤Y＜6000</w:t>
            </w:r>
          </w:p>
        </w:tc>
        <w:tc>
          <w:tcPr>
            <w:tcW w:w="1087" w:type="dxa"/>
            <w:tcBorders>
              <w:top w:val="nil"/>
              <w:left w:val="nil"/>
              <w:bottom w:val="single" w:color="auto" w:sz="4" w:space="0"/>
              <w:right w:val="single" w:color="auto" w:sz="4" w:space="0"/>
            </w:tcBorders>
            <w:noWrap w:val="0"/>
            <w:vAlign w:val="center"/>
          </w:tcPr>
          <w:p w14:paraId="63F8140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Y＜300</w:t>
            </w:r>
          </w:p>
        </w:tc>
      </w:tr>
      <w:tr w14:paraId="53A62942">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7140DB35">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61991F5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14:paraId="4FEFE9C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76CAC74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5000≤Z＜80000</w:t>
            </w:r>
          </w:p>
        </w:tc>
        <w:tc>
          <w:tcPr>
            <w:tcW w:w="1692" w:type="dxa"/>
            <w:tcBorders>
              <w:top w:val="nil"/>
              <w:left w:val="nil"/>
              <w:bottom w:val="single" w:color="auto" w:sz="4" w:space="0"/>
              <w:right w:val="single" w:color="auto" w:sz="4" w:space="0"/>
            </w:tcBorders>
            <w:noWrap w:val="0"/>
            <w:vAlign w:val="center"/>
          </w:tcPr>
          <w:p w14:paraId="6B7A738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300≤Z＜5000</w:t>
            </w:r>
          </w:p>
        </w:tc>
        <w:tc>
          <w:tcPr>
            <w:tcW w:w="1087" w:type="dxa"/>
            <w:tcBorders>
              <w:top w:val="nil"/>
              <w:left w:val="nil"/>
              <w:bottom w:val="single" w:color="auto" w:sz="4" w:space="0"/>
              <w:right w:val="single" w:color="auto" w:sz="4" w:space="0"/>
            </w:tcBorders>
            <w:noWrap w:val="0"/>
            <w:vAlign w:val="center"/>
          </w:tcPr>
          <w:p w14:paraId="5B45BD4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Z＜300</w:t>
            </w:r>
          </w:p>
        </w:tc>
      </w:tr>
      <w:tr w14:paraId="760941A6">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214B0E2">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批发业</w:t>
            </w:r>
          </w:p>
        </w:tc>
        <w:tc>
          <w:tcPr>
            <w:tcW w:w="1660" w:type="dxa"/>
            <w:tcBorders>
              <w:top w:val="nil"/>
              <w:left w:val="nil"/>
              <w:bottom w:val="single" w:color="auto" w:sz="4" w:space="0"/>
              <w:right w:val="single" w:color="auto" w:sz="4" w:space="0"/>
            </w:tcBorders>
            <w:noWrap w:val="0"/>
            <w:vAlign w:val="center"/>
          </w:tcPr>
          <w:p w14:paraId="7593583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4D70E0C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5538B78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20≤X＜200</w:t>
            </w:r>
          </w:p>
        </w:tc>
        <w:tc>
          <w:tcPr>
            <w:tcW w:w="1692" w:type="dxa"/>
            <w:tcBorders>
              <w:top w:val="nil"/>
              <w:left w:val="nil"/>
              <w:bottom w:val="single" w:color="auto" w:sz="4" w:space="0"/>
              <w:right w:val="single" w:color="auto" w:sz="4" w:space="0"/>
            </w:tcBorders>
            <w:noWrap w:val="0"/>
            <w:vAlign w:val="center"/>
          </w:tcPr>
          <w:p w14:paraId="34FC2C0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5≤X＜20</w:t>
            </w:r>
          </w:p>
        </w:tc>
        <w:tc>
          <w:tcPr>
            <w:tcW w:w="1087" w:type="dxa"/>
            <w:tcBorders>
              <w:top w:val="nil"/>
              <w:left w:val="nil"/>
              <w:bottom w:val="single" w:color="auto" w:sz="4" w:space="0"/>
              <w:right w:val="single" w:color="auto" w:sz="4" w:space="0"/>
            </w:tcBorders>
            <w:noWrap w:val="0"/>
            <w:vAlign w:val="center"/>
          </w:tcPr>
          <w:p w14:paraId="204BB15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X＜5</w:t>
            </w:r>
          </w:p>
        </w:tc>
      </w:tr>
      <w:tr w14:paraId="1D46141D">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2D0C26AD">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34107D7B">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0B9BB330">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2856A98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5000≤Y＜40000</w:t>
            </w:r>
          </w:p>
        </w:tc>
        <w:tc>
          <w:tcPr>
            <w:tcW w:w="1692" w:type="dxa"/>
            <w:tcBorders>
              <w:top w:val="nil"/>
              <w:left w:val="nil"/>
              <w:bottom w:val="single" w:color="auto" w:sz="4" w:space="0"/>
              <w:right w:val="single" w:color="auto" w:sz="4" w:space="0"/>
            </w:tcBorders>
            <w:noWrap w:val="0"/>
            <w:vAlign w:val="center"/>
          </w:tcPr>
          <w:p w14:paraId="54590B7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1000≤Y＜5000</w:t>
            </w:r>
          </w:p>
        </w:tc>
        <w:tc>
          <w:tcPr>
            <w:tcW w:w="1087" w:type="dxa"/>
            <w:tcBorders>
              <w:top w:val="nil"/>
              <w:left w:val="nil"/>
              <w:bottom w:val="single" w:color="auto" w:sz="4" w:space="0"/>
              <w:right w:val="single" w:color="auto" w:sz="4" w:space="0"/>
            </w:tcBorders>
            <w:noWrap w:val="0"/>
            <w:vAlign w:val="center"/>
          </w:tcPr>
          <w:p w14:paraId="7639DCE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Y＜1000</w:t>
            </w:r>
          </w:p>
        </w:tc>
      </w:tr>
      <w:tr w14:paraId="4A2386F2">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A73F9CC">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零售业</w:t>
            </w:r>
          </w:p>
        </w:tc>
        <w:tc>
          <w:tcPr>
            <w:tcW w:w="1660" w:type="dxa"/>
            <w:tcBorders>
              <w:top w:val="nil"/>
              <w:left w:val="nil"/>
              <w:bottom w:val="single" w:color="auto" w:sz="4" w:space="0"/>
              <w:right w:val="single" w:color="auto" w:sz="4" w:space="0"/>
            </w:tcBorders>
            <w:noWrap w:val="0"/>
            <w:vAlign w:val="center"/>
          </w:tcPr>
          <w:p w14:paraId="58A7D32E">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5B7F5D3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2A9DCAA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50≤X＜300</w:t>
            </w:r>
          </w:p>
        </w:tc>
        <w:tc>
          <w:tcPr>
            <w:tcW w:w="1692" w:type="dxa"/>
            <w:tcBorders>
              <w:top w:val="nil"/>
              <w:left w:val="nil"/>
              <w:bottom w:val="single" w:color="auto" w:sz="4" w:space="0"/>
              <w:right w:val="single" w:color="auto" w:sz="4" w:space="0"/>
            </w:tcBorders>
            <w:noWrap w:val="0"/>
            <w:vAlign w:val="center"/>
          </w:tcPr>
          <w:p w14:paraId="603F95B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10≤X＜50</w:t>
            </w:r>
          </w:p>
        </w:tc>
        <w:tc>
          <w:tcPr>
            <w:tcW w:w="1087" w:type="dxa"/>
            <w:tcBorders>
              <w:top w:val="nil"/>
              <w:left w:val="nil"/>
              <w:bottom w:val="single" w:color="auto" w:sz="4" w:space="0"/>
              <w:right w:val="single" w:color="auto" w:sz="4" w:space="0"/>
            </w:tcBorders>
            <w:noWrap w:val="0"/>
            <w:vAlign w:val="center"/>
          </w:tcPr>
          <w:p w14:paraId="3CFEF14C">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r w14:paraId="7091510E">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0F17BA3">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67AE8920">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6449216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5979B197">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500≤Y＜20000</w:t>
            </w:r>
          </w:p>
        </w:tc>
        <w:tc>
          <w:tcPr>
            <w:tcW w:w="1692" w:type="dxa"/>
            <w:tcBorders>
              <w:top w:val="nil"/>
              <w:left w:val="nil"/>
              <w:bottom w:val="single" w:color="auto" w:sz="4" w:space="0"/>
              <w:right w:val="single" w:color="auto" w:sz="4" w:space="0"/>
            </w:tcBorders>
            <w:noWrap w:val="0"/>
            <w:vAlign w:val="center"/>
          </w:tcPr>
          <w:p w14:paraId="4FF476C0">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100≤Y＜500</w:t>
            </w:r>
          </w:p>
        </w:tc>
        <w:tc>
          <w:tcPr>
            <w:tcW w:w="1087" w:type="dxa"/>
            <w:tcBorders>
              <w:top w:val="nil"/>
              <w:left w:val="nil"/>
              <w:bottom w:val="single" w:color="auto" w:sz="4" w:space="0"/>
              <w:right w:val="single" w:color="auto" w:sz="4" w:space="0"/>
            </w:tcBorders>
            <w:noWrap w:val="0"/>
            <w:vAlign w:val="center"/>
          </w:tcPr>
          <w:p w14:paraId="4263D84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14:paraId="73458D02">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F3B7498">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交通运输业</w:t>
            </w:r>
          </w:p>
        </w:tc>
        <w:tc>
          <w:tcPr>
            <w:tcW w:w="1660" w:type="dxa"/>
            <w:tcBorders>
              <w:top w:val="nil"/>
              <w:left w:val="nil"/>
              <w:bottom w:val="single" w:color="auto" w:sz="4" w:space="0"/>
              <w:right w:val="single" w:color="auto" w:sz="4" w:space="0"/>
            </w:tcBorders>
            <w:noWrap w:val="0"/>
            <w:vAlign w:val="center"/>
          </w:tcPr>
          <w:p w14:paraId="1A2E210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4BF47CB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56BDF8B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14:paraId="093A535E">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14:paraId="0BA7650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X＜20</w:t>
            </w:r>
          </w:p>
        </w:tc>
      </w:tr>
      <w:tr w14:paraId="69CBFAD7">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BB809A8">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30FA4C6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5617326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41B1592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3000≤Y＜30000</w:t>
            </w:r>
          </w:p>
        </w:tc>
        <w:tc>
          <w:tcPr>
            <w:tcW w:w="1692" w:type="dxa"/>
            <w:tcBorders>
              <w:top w:val="nil"/>
              <w:left w:val="nil"/>
              <w:bottom w:val="single" w:color="auto" w:sz="4" w:space="0"/>
              <w:right w:val="single" w:color="auto" w:sz="4" w:space="0"/>
            </w:tcBorders>
            <w:noWrap w:val="0"/>
            <w:vAlign w:val="center"/>
          </w:tcPr>
          <w:p w14:paraId="5AD8471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200≤Y＜3000</w:t>
            </w:r>
          </w:p>
        </w:tc>
        <w:tc>
          <w:tcPr>
            <w:tcW w:w="1087" w:type="dxa"/>
            <w:tcBorders>
              <w:top w:val="nil"/>
              <w:left w:val="nil"/>
              <w:bottom w:val="single" w:color="auto" w:sz="4" w:space="0"/>
              <w:right w:val="single" w:color="auto" w:sz="4" w:space="0"/>
            </w:tcBorders>
            <w:noWrap w:val="0"/>
            <w:vAlign w:val="center"/>
          </w:tcPr>
          <w:p w14:paraId="7C2E13E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Y＜200</w:t>
            </w:r>
          </w:p>
        </w:tc>
      </w:tr>
      <w:tr w14:paraId="7996C7E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EFB6980">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仓储业</w:t>
            </w:r>
          </w:p>
        </w:tc>
        <w:tc>
          <w:tcPr>
            <w:tcW w:w="1660" w:type="dxa"/>
            <w:tcBorders>
              <w:top w:val="nil"/>
              <w:left w:val="nil"/>
              <w:bottom w:val="single" w:color="auto" w:sz="4" w:space="0"/>
              <w:right w:val="single" w:color="auto" w:sz="4" w:space="0"/>
            </w:tcBorders>
            <w:noWrap w:val="0"/>
            <w:vAlign w:val="center"/>
          </w:tcPr>
          <w:p w14:paraId="7B35544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7D61EFC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0F9806A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100≤X＜200</w:t>
            </w:r>
          </w:p>
        </w:tc>
        <w:tc>
          <w:tcPr>
            <w:tcW w:w="1692" w:type="dxa"/>
            <w:tcBorders>
              <w:top w:val="nil"/>
              <w:left w:val="nil"/>
              <w:bottom w:val="single" w:color="auto" w:sz="4" w:space="0"/>
              <w:right w:val="single" w:color="auto" w:sz="4" w:space="0"/>
            </w:tcBorders>
            <w:noWrap w:val="0"/>
            <w:vAlign w:val="center"/>
          </w:tcPr>
          <w:p w14:paraId="4C74AC87">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20≤X＜100</w:t>
            </w:r>
          </w:p>
        </w:tc>
        <w:tc>
          <w:tcPr>
            <w:tcW w:w="1087" w:type="dxa"/>
            <w:tcBorders>
              <w:top w:val="nil"/>
              <w:left w:val="nil"/>
              <w:bottom w:val="single" w:color="auto" w:sz="4" w:space="0"/>
              <w:right w:val="single" w:color="auto" w:sz="4" w:space="0"/>
            </w:tcBorders>
            <w:noWrap w:val="0"/>
            <w:vAlign w:val="center"/>
          </w:tcPr>
          <w:p w14:paraId="42E4B8E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X＜20</w:t>
            </w:r>
          </w:p>
        </w:tc>
      </w:tr>
      <w:tr w14:paraId="253514A8">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6881787">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5C7A128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204BB7BB">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17E8EEE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1000≤Y＜30000</w:t>
            </w:r>
          </w:p>
        </w:tc>
        <w:tc>
          <w:tcPr>
            <w:tcW w:w="1692" w:type="dxa"/>
            <w:tcBorders>
              <w:top w:val="nil"/>
              <w:left w:val="nil"/>
              <w:bottom w:val="single" w:color="auto" w:sz="4" w:space="0"/>
              <w:right w:val="single" w:color="auto" w:sz="4" w:space="0"/>
            </w:tcBorders>
            <w:noWrap w:val="0"/>
            <w:vAlign w:val="center"/>
          </w:tcPr>
          <w:p w14:paraId="1007E254">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100≤Y＜1000</w:t>
            </w:r>
          </w:p>
        </w:tc>
        <w:tc>
          <w:tcPr>
            <w:tcW w:w="1087" w:type="dxa"/>
            <w:tcBorders>
              <w:top w:val="nil"/>
              <w:left w:val="nil"/>
              <w:bottom w:val="single" w:color="auto" w:sz="4" w:space="0"/>
              <w:right w:val="single" w:color="auto" w:sz="4" w:space="0"/>
            </w:tcBorders>
            <w:noWrap w:val="0"/>
            <w:vAlign w:val="center"/>
          </w:tcPr>
          <w:p w14:paraId="5F6FD8E7">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14:paraId="4CF1551E">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19C0E86">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邮政业</w:t>
            </w:r>
          </w:p>
        </w:tc>
        <w:tc>
          <w:tcPr>
            <w:tcW w:w="1660" w:type="dxa"/>
            <w:tcBorders>
              <w:top w:val="nil"/>
              <w:left w:val="nil"/>
              <w:bottom w:val="single" w:color="auto" w:sz="4" w:space="0"/>
              <w:right w:val="single" w:color="auto" w:sz="4" w:space="0"/>
            </w:tcBorders>
            <w:noWrap w:val="0"/>
            <w:vAlign w:val="center"/>
          </w:tcPr>
          <w:p w14:paraId="5D870D2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7489DD6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4A42923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14:paraId="1506BB3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14:paraId="706335B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X＜20</w:t>
            </w:r>
          </w:p>
        </w:tc>
      </w:tr>
      <w:tr w14:paraId="111B457E">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3D21E50">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6BE75F3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3C6E73D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59D9FE6E">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2000≤Y＜30000</w:t>
            </w:r>
          </w:p>
        </w:tc>
        <w:tc>
          <w:tcPr>
            <w:tcW w:w="1692" w:type="dxa"/>
            <w:tcBorders>
              <w:top w:val="nil"/>
              <w:left w:val="nil"/>
              <w:bottom w:val="single" w:color="auto" w:sz="4" w:space="0"/>
              <w:right w:val="single" w:color="auto" w:sz="4" w:space="0"/>
            </w:tcBorders>
            <w:noWrap w:val="0"/>
            <w:vAlign w:val="center"/>
          </w:tcPr>
          <w:p w14:paraId="5CB1882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14:paraId="7C6FEA1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14:paraId="61270CEC">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042F0699">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住宿业</w:t>
            </w:r>
          </w:p>
        </w:tc>
        <w:tc>
          <w:tcPr>
            <w:tcW w:w="1660" w:type="dxa"/>
            <w:tcBorders>
              <w:top w:val="nil"/>
              <w:left w:val="nil"/>
              <w:bottom w:val="single" w:color="auto" w:sz="4" w:space="0"/>
              <w:right w:val="single" w:color="auto" w:sz="4" w:space="0"/>
            </w:tcBorders>
            <w:noWrap w:val="0"/>
            <w:vAlign w:val="center"/>
          </w:tcPr>
          <w:p w14:paraId="12B3879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65D72CD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7C6C3E3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302C818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66D11B3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r w14:paraId="5EE35698">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D7AE0EE">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3A610B5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25534080">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52826777">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2000≤Y＜10000</w:t>
            </w:r>
          </w:p>
        </w:tc>
        <w:tc>
          <w:tcPr>
            <w:tcW w:w="1692" w:type="dxa"/>
            <w:tcBorders>
              <w:top w:val="nil"/>
              <w:left w:val="nil"/>
              <w:bottom w:val="single" w:color="auto" w:sz="4" w:space="0"/>
              <w:right w:val="single" w:color="auto" w:sz="4" w:space="0"/>
            </w:tcBorders>
            <w:noWrap w:val="0"/>
            <w:vAlign w:val="center"/>
          </w:tcPr>
          <w:p w14:paraId="117646CE">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14:paraId="5879805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14:paraId="6FDE6385">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EF4A46B">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餐饮业</w:t>
            </w:r>
          </w:p>
        </w:tc>
        <w:tc>
          <w:tcPr>
            <w:tcW w:w="1660" w:type="dxa"/>
            <w:tcBorders>
              <w:top w:val="nil"/>
              <w:left w:val="nil"/>
              <w:bottom w:val="single" w:color="auto" w:sz="4" w:space="0"/>
              <w:right w:val="single" w:color="auto" w:sz="4" w:space="0"/>
            </w:tcBorders>
            <w:noWrap w:val="0"/>
            <w:vAlign w:val="center"/>
          </w:tcPr>
          <w:p w14:paraId="440F7AD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0EEE5DC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621F8F4E">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47F7008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1DA2280C">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r w14:paraId="5FD8B739">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EE4D5DA">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22324325">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6F3DAB2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79F2EFE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2000≤Y＜10000</w:t>
            </w:r>
          </w:p>
        </w:tc>
        <w:tc>
          <w:tcPr>
            <w:tcW w:w="1692" w:type="dxa"/>
            <w:tcBorders>
              <w:top w:val="nil"/>
              <w:left w:val="nil"/>
              <w:bottom w:val="single" w:color="auto" w:sz="4" w:space="0"/>
              <w:right w:val="single" w:color="auto" w:sz="4" w:space="0"/>
            </w:tcBorders>
            <w:noWrap w:val="0"/>
            <w:vAlign w:val="center"/>
          </w:tcPr>
          <w:p w14:paraId="737C473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14:paraId="534F0E4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14:paraId="04C1809A">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36CDB5DC">
            <w:pPr>
              <w:widowControl/>
              <w:snapToGrid w:val="0"/>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信息传输业</w:t>
            </w:r>
          </w:p>
        </w:tc>
        <w:tc>
          <w:tcPr>
            <w:tcW w:w="1660" w:type="dxa"/>
            <w:tcBorders>
              <w:top w:val="nil"/>
              <w:left w:val="nil"/>
              <w:bottom w:val="single" w:color="auto" w:sz="4" w:space="0"/>
              <w:right w:val="single" w:color="auto" w:sz="4" w:space="0"/>
            </w:tcBorders>
            <w:noWrap w:val="0"/>
            <w:vAlign w:val="center"/>
          </w:tcPr>
          <w:p w14:paraId="5EAD103C">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577DCA8E">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1E6D838D">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100≤X＜2000</w:t>
            </w:r>
          </w:p>
        </w:tc>
        <w:tc>
          <w:tcPr>
            <w:tcW w:w="1692" w:type="dxa"/>
            <w:tcBorders>
              <w:top w:val="nil"/>
              <w:left w:val="nil"/>
              <w:bottom w:val="single" w:color="auto" w:sz="4" w:space="0"/>
              <w:right w:val="single" w:color="auto" w:sz="4" w:space="0"/>
            </w:tcBorders>
            <w:noWrap w:val="0"/>
            <w:vAlign w:val="center"/>
          </w:tcPr>
          <w:p w14:paraId="7FA1E49D">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1961396F">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X＜10</w:t>
            </w:r>
          </w:p>
        </w:tc>
      </w:tr>
      <w:tr w14:paraId="0902B858">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965B34C">
            <w:pPr>
              <w:widowControl/>
              <w:snapToGrid w:val="0"/>
              <w:contextualSpacing/>
              <w:jc w:val="center"/>
              <w:rPr>
                <w:rFonts w:hint="eastAsia" w:ascii="宋体" w:hAnsi="宋体" w:eastAsia="宋体" w:cs="宋体"/>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6333634B">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7E711A9D">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0EECA52E">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1000≤Y＜100000</w:t>
            </w:r>
          </w:p>
        </w:tc>
        <w:tc>
          <w:tcPr>
            <w:tcW w:w="1692" w:type="dxa"/>
            <w:tcBorders>
              <w:top w:val="nil"/>
              <w:left w:val="nil"/>
              <w:bottom w:val="single" w:color="auto" w:sz="4" w:space="0"/>
              <w:right w:val="single" w:color="auto" w:sz="4" w:space="0"/>
            </w:tcBorders>
            <w:noWrap w:val="0"/>
            <w:vAlign w:val="center"/>
          </w:tcPr>
          <w:p w14:paraId="7764476E">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100≤Y＜1000</w:t>
            </w:r>
          </w:p>
        </w:tc>
        <w:tc>
          <w:tcPr>
            <w:tcW w:w="1087" w:type="dxa"/>
            <w:tcBorders>
              <w:top w:val="nil"/>
              <w:left w:val="nil"/>
              <w:bottom w:val="single" w:color="auto" w:sz="4" w:space="0"/>
              <w:right w:val="single" w:color="auto" w:sz="4" w:space="0"/>
            </w:tcBorders>
            <w:noWrap w:val="0"/>
            <w:vAlign w:val="center"/>
          </w:tcPr>
          <w:p w14:paraId="77B30608">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Y＜100</w:t>
            </w:r>
          </w:p>
        </w:tc>
      </w:tr>
      <w:tr w14:paraId="51D4909B">
        <w:tblPrEx>
          <w:tblCellMar>
            <w:top w:w="0" w:type="dxa"/>
            <w:left w:w="108" w:type="dxa"/>
            <w:bottom w:w="0" w:type="dxa"/>
            <w:right w:w="108" w:type="dxa"/>
          </w:tblCellMar>
        </w:tblPrEx>
        <w:trPr>
          <w:trHeight w:val="394"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45B08D91">
            <w:pPr>
              <w:widowControl/>
              <w:snapToGrid w:val="0"/>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软件和信息技术服务业</w:t>
            </w:r>
          </w:p>
        </w:tc>
        <w:tc>
          <w:tcPr>
            <w:tcW w:w="1660" w:type="dxa"/>
            <w:tcBorders>
              <w:top w:val="nil"/>
              <w:left w:val="nil"/>
              <w:bottom w:val="single" w:color="auto" w:sz="4" w:space="0"/>
              <w:right w:val="single" w:color="auto" w:sz="4" w:space="0"/>
            </w:tcBorders>
            <w:noWrap w:val="0"/>
            <w:vAlign w:val="center"/>
          </w:tcPr>
          <w:p w14:paraId="7E28F6E3">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5AED1C40">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29FF7EF1">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51D5F8B2">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694861BE">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X＜10</w:t>
            </w:r>
          </w:p>
        </w:tc>
      </w:tr>
      <w:tr w14:paraId="32FDBF71">
        <w:tblPrEx>
          <w:tblCellMar>
            <w:top w:w="0" w:type="dxa"/>
            <w:left w:w="108" w:type="dxa"/>
            <w:bottom w:w="0" w:type="dxa"/>
            <w:right w:w="108" w:type="dxa"/>
          </w:tblCellMar>
        </w:tblPrEx>
        <w:trPr>
          <w:trHeight w:val="377"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1A1B95D9">
            <w:pPr>
              <w:widowControl/>
              <w:snapToGrid w:val="0"/>
              <w:contextualSpacing/>
              <w:jc w:val="center"/>
              <w:rPr>
                <w:rFonts w:hint="eastAsia" w:ascii="宋体" w:hAnsi="宋体" w:eastAsia="宋体" w:cs="宋体"/>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6A7B3BDE">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6749B8C5">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05FCCFB5">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1000≤Y＜10000</w:t>
            </w:r>
          </w:p>
        </w:tc>
        <w:tc>
          <w:tcPr>
            <w:tcW w:w="1692" w:type="dxa"/>
            <w:tcBorders>
              <w:top w:val="nil"/>
              <w:left w:val="nil"/>
              <w:bottom w:val="single" w:color="auto" w:sz="4" w:space="0"/>
              <w:right w:val="single" w:color="auto" w:sz="4" w:space="0"/>
            </w:tcBorders>
            <w:noWrap w:val="0"/>
            <w:vAlign w:val="center"/>
          </w:tcPr>
          <w:p w14:paraId="0E000AE4">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50≤Y＜1000</w:t>
            </w:r>
          </w:p>
        </w:tc>
        <w:tc>
          <w:tcPr>
            <w:tcW w:w="1087" w:type="dxa"/>
            <w:tcBorders>
              <w:top w:val="nil"/>
              <w:left w:val="nil"/>
              <w:bottom w:val="single" w:color="auto" w:sz="4" w:space="0"/>
              <w:right w:val="single" w:color="auto" w:sz="4" w:space="0"/>
            </w:tcBorders>
            <w:noWrap w:val="0"/>
            <w:vAlign w:val="center"/>
          </w:tcPr>
          <w:p w14:paraId="2B6D2FFF">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Y＜50</w:t>
            </w:r>
          </w:p>
        </w:tc>
      </w:tr>
      <w:tr w14:paraId="5CEC60FA">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52E12B8A">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房地产开发经营</w:t>
            </w:r>
          </w:p>
        </w:tc>
        <w:tc>
          <w:tcPr>
            <w:tcW w:w="1660" w:type="dxa"/>
            <w:tcBorders>
              <w:top w:val="nil"/>
              <w:left w:val="nil"/>
              <w:bottom w:val="single" w:color="auto" w:sz="4" w:space="0"/>
              <w:right w:val="single" w:color="auto" w:sz="4" w:space="0"/>
            </w:tcBorders>
            <w:noWrap w:val="0"/>
            <w:vAlign w:val="center"/>
          </w:tcPr>
          <w:p w14:paraId="2DF34321">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27F5C3B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34929E14">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1000≤Y＜200000</w:t>
            </w:r>
          </w:p>
        </w:tc>
        <w:tc>
          <w:tcPr>
            <w:tcW w:w="1692" w:type="dxa"/>
            <w:tcBorders>
              <w:top w:val="nil"/>
              <w:left w:val="nil"/>
              <w:bottom w:val="single" w:color="auto" w:sz="4" w:space="0"/>
              <w:right w:val="single" w:color="auto" w:sz="4" w:space="0"/>
            </w:tcBorders>
            <w:noWrap w:val="0"/>
            <w:vAlign w:val="center"/>
          </w:tcPr>
          <w:p w14:paraId="08EC5979">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100≤X＜1000</w:t>
            </w:r>
          </w:p>
        </w:tc>
        <w:tc>
          <w:tcPr>
            <w:tcW w:w="1087" w:type="dxa"/>
            <w:tcBorders>
              <w:top w:val="nil"/>
              <w:left w:val="nil"/>
              <w:bottom w:val="single" w:color="auto" w:sz="4" w:space="0"/>
              <w:right w:val="single" w:color="auto" w:sz="4" w:space="0"/>
            </w:tcBorders>
            <w:noWrap w:val="0"/>
            <w:vAlign w:val="center"/>
          </w:tcPr>
          <w:p w14:paraId="120D991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X＜100</w:t>
            </w:r>
          </w:p>
        </w:tc>
      </w:tr>
      <w:tr w14:paraId="7C830CEC">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44404520">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1A14D39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14:paraId="2EC7104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3BA663D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5000≤Z＜10000</w:t>
            </w:r>
          </w:p>
        </w:tc>
        <w:tc>
          <w:tcPr>
            <w:tcW w:w="1692" w:type="dxa"/>
            <w:tcBorders>
              <w:top w:val="nil"/>
              <w:left w:val="nil"/>
              <w:bottom w:val="single" w:color="auto" w:sz="4" w:space="0"/>
              <w:right w:val="single" w:color="auto" w:sz="4" w:space="0"/>
            </w:tcBorders>
            <w:noWrap w:val="0"/>
            <w:vAlign w:val="center"/>
          </w:tcPr>
          <w:p w14:paraId="263846E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2000≤Y＜5000</w:t>
            </w:r>
          </w:p>
        </w:tc>
        <w:tc>
          <w:tcPr>
            <w:tcW w:w="1087" w:type="dxa"/>
            <w:tcBorders>
              <w:top w:val="nil"/>
              <w:left w:val="nil"/>
              <w:bottom w:val="single" w:color="auto" w:sz="4" w:space="0"/>
              <w:right w:val="single" w:color="auto" w:sz="4" w:space="0"/>
            </w:tcBorders>
            <w:noWrap w:val="0"/>
            <w:vAlign w:val="center"/>
          </w:tcPr>
          <w:p w14:paraId="12255997">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Y＜2000</w:t>
            </w:r>
          </w:p>
        </w:tc>
      </w:tr>
      <w:tr w14:paraId="25650C39">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7B4F6D8C">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物业管理</w:t>
            </w:r>
          </w:p>
        </w:tc>
        <w:tc>
          <w:tcPr>
            <w:tcW w:w="1660" w:type="dxa"/>
            <w:tcBorders>
              <w:top w:val="nil"/>
              <w:left w:val="nil"/>
              <w:bottom w:val="single" w:color="auto" w:sz="4" w:space="0"/>
              <w:right w:val="single" w:color="auto" w:sz="4" w:space="0"/>
            </w:tcBorders>
            <w:noWrap w:val="0"/>
            <w:vAlign w:val="center"/>
          </w:tcPr>
          <w:p w14:paraId="25B7776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4EDF949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09F8F0C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14:paraId="55383CC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087" w:type="dxa"/>
            <w:tcBorders>
              <w:top w:val="nil"/>
              <w:left w:val="nil"/>
              <w:bottom w:val="single" w:color="auto" w:sz="4" w:space="0"/>
              <w:right w:val="single" w:color="auto" w:sz="4" w:space="0"/>
            </w:tcBorders>
            <w:noWrap w:val="0"/>
            <w:vAlign w:val="center"/>
          </w:tcPr>
          <w:p w14:paraId="4C9337BC">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X＜100</w:t>
            </w:r>
          </w:p>
        </w:tc>
      </w:tr>
      <w:tr w14:paraId="65C9BF30">
        <w:tblPrEx>
          <w:tblCellMar>
            <w:top w:w="0" w:type="dxa"/>
            <w:left w:w="108" w:type="dxa"/>
            <w:bottom w:w="0" w:type="dxa"/>
            <w:right w:w="108" w:type="dxa"/>
          </w:tblCellMar>
        </w:tblPrEx>
        <w:trPr>
          <w:trHeight w:val="90"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34915869">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125636BC">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14:paraId="241B717C">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6B009C7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1000≤Y＜5000</w:t>
            </w:r>
          </w:p>
        </w:tc>
        <w:tc>
          <w:tcPr>
            <w:tcW w:w="1692" w:type="dxa"/>
            <w:tcBorders>
              <w:top w:val="nil"/>
              <w:left w:val="nil"/>
              <w:bottom w:val="single" w:color="auto" w:sz="4" w:space="0"/>
              <w:right w:val="single" w:color="auto" w:sz="4" w:space="0"/>
            </w:tcBorders>
            <w:noWrap w:val="0"/>
            <w:vAlign w:val="center"/>
          </w:tcPr>
          <w:p w14:paraId="6AF1E68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500≤Y＜1000</w:t>
            </w:r>
          </w:p>
        </w:tc>
        <w:tc>
          <w:tcPr>
            <w:tcW w:w="1087" w:type="dxa"/>
            <w:tcBorders>
              <w:top w:val="nil"/>
              <w:left w:val="nil"/>
              <w:bottom w:val="single" w:color="auto" w:sz="4" w:space="0"/>
              <w:right w:val="single" w:color="auto" w:sz="4" w:space="0"/>
            </w:tcBorders>
            <w:noWrap w:val="0"/>
            <w:vAlign w:val="center"/>
          </w:tcPr>
          <w:p w14:paraId="502E033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Y＜500</w:t>
            </w:r>
          </w:p>
        </w:tc>
      </w:tr>
      <w:tr w14:paraId="2E362FB7">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14:paraId="6F588272">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租赁和商务服务业</w:t>
            </w:r>
          </w:p>
        </w:tc>
        <w:tc>
          <w:tcPr>
            <w:tcW w:w="1660" w:type="dxa"/>
            <w:tcBorders>
              <w:top w:val="nil"/>
              <w:left w:val="nil"/>
              <w:bottom w:val="single" w:color="auto" w:sz="4" w:space="0"/>
              <w:right w:val="single" w:color="auto" w:sz="4" w:space="0"/>
            </w:tcBorders>
            <w:noWrap w:val="0"/>
            <w:vAlign w:val="center"/>
          </w:tcPr>
          <w:p w14:paraId="143A4A2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38950DD0">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41CE3B33">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1666784A">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2178014F">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r w14:paraId="019ED6C5">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14:paraId="6270E657">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14:paraId="71973EC8">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14:paraId="16E73187">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14:paraId="0911713B">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8000≤Z＜120000</w:t>
            </w:r>
          </w:p>
        </w:tc>
        <w:tc>
          <w:tcPr>
            <w:tcW w:w="1692" w:type="dxa"/>
            <w:tcBorders>
              <w:top w:val="nil"/>
              <w:left w:val="nil"/>
              <w:bottom w:val="single" w:color="auto" w:sz="4" w:space="0"/>
              <w:right w:val="single" w:color="auto" w:sz="4" w:space="0"/>
            </w:tcBorders>
            <w:noWrap w:val="0"/>
            <w:vAlign w:val="center"/>
          </w:tcPr>
          <w:p w14:paraId="235EA19C">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100≤Z＜8000</w:t>
            </w:r>
          </w:p>
        </w:tc>
        <w:tc>
          <w:tcPr>
            <w:tcW w:w="1087" w:type="dxa"/>
            <w:tcBorders>
              <w:top w:val="nil"/>
              <w:left w:val="nil"/>
              <w:bottom w:val="single" w:color="auto" w:sz="4" w:space="0"/>
              <w:right w:val="single" w:color="auto" w:sz="4" w:space="0"/>
            </w:tcBorders>
            <w:noWrap w:val="0"/>
            <w:vAlign w:val="center"/>
          </w:tcPr>
          <w:p w14:paraId="5F6DBF40">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14:paraId="1B0B0BB8">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14:paraId="60951336">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其他未列明行业</w:t>
            </w:r>
          </w:p>
        </w:tc>
        <w:tc>
          <w:tcPr>
            <w:tcW w:w="1660" w:type="dxa"/>
            <w:tcBorders>
              <w:top w:val="nil"/>
              <w:left w:val="nil"/>
              <w:bottom w:val="single" w:color="auto" w:sz="4" w:space="0"/>
              <w:right w:val="single" w:color="auto" w:sz="4" w:space="0"/>
            </w:tcBorders>
            <w:noWrap w:val="0"/>
            <w:vAlign w:val="center"/>
          </w:tcPr>
          <w:p w14:paraId="2990C78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14:paraId="64B1AE9D">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14:paraId="7CEEB7E2">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14:paraId="488170BC">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14:paraId="0D296E56">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bl>
    <w:p w14:paraId="66857BD6">
      <w:pPr>
        <w:spacing w:line="360" w:lineRule="auto"/>
        <w:rPr>
          <w:rFonts w:hint="eastAsia" w:ascii="宋体" w:hAnsi="宋体" w:eastAsia="宋体" w:cs="宋体"/>
          <w:sz w:val="24"/>
          <w:szCs w:val="24"/>
          <w:highlight w:val="none"/>
        </w:rPr>
      </w:pPr>
    </w:p>
    <w:p w14:paraId="75152DF8">
      <w:pPr>
        <w:snapToGrid w:val="0"/>
        <w:spacing w:line="336" w:lineRule="auto"/>
        <w:ind w:firstLine="482" w:firstLineChars="200"/>
        <w:contextualSpacing/>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说明：</w:t>
      </w:r>
      <w:r>
        <w:rPr>
          <w:rFonts w:hint="eastAsia" w:ascii="宋体" w:hAnsi="宋体" w:eastAsia="宋体" w:cs="宋体"/>
          <w:sz w:val="24"/>
          <w:szCs w:val="24"/>
          <w:highlight w:val="none"/>
        </w:rPr>
        <w:t>上述标准参照《关于印发中小企业划型标准规定的通知》（工信部联企业[2011]300号），大型、中型和小型企业须同时满足所列指标的下限，否则下划一档；微型企业只须满足所列指标中的一项即可。</w:t>
      </w:r>
    </w:p>
    <w:p w14:paraId="6B1F3A3B">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所称中小企业，是指在中华人民共和国境内依法设立，依据国务院批准的</w:t>
      </w:r>
    </w:p>
    <w:p w14:paraId="20533A19">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规定的中小企业扶持政策：</w:t>
      </w:r>
    </w:p>
    <w:p w14:paraId="2DD73ED9">
      <w:pPr>
        <w:snapToGrid w:val="0"/>
        <w:spacing w:line="336" w:lineRule="auto"/>
        <w:ind w:firstLine="480" w:firstLineChars="200"/>
        <w:contextualSpacing/>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（1）在货物采购项目中，货物由中小企业制造，即货物由中小企业生产且使用该中小企业商号或者注册商标，不对其中涉及的工程承建商和服务的承接商作出要求；</w:t>
      </w:r>
    </w:p>
    <w:p w14:paraId="265612FD">
      <w:pPr>
        <w:snapToGrid w:val="0"/>
        <w:spacing w:line="336" w:lineRule="auto"/>
        <w:ind w:firstLine="480" w:firstLineChars="200"/>
        <w:contextualSpacing/>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（2）在工程采购项目中，工程由中小企业承建，即工程施工单位为中小企业，不对其中涉及的货物的制造商和服务的承接商作出要求；</w:t>
      </w:r>
    </w:p>
    <w:p w14:paraId="2DF39607">
      <w:pPr>
        <w:snapToGrid w:val="0"/>
        <w:spacing w:line="336" w:lineRule="auto"/>
        <w:ind w:firstLine="480" w:firstLineChars="200"/>
        <w:contextualSpacing/>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（3）在服务采购项目中，服务由中小企业承接，即提供服务的人员为中小企业依照《中华人民共和国</w:t>
      </w:r>
      <w:r>
        <w:rPr>
          <w:rFonts w:hint="eastAsia" w:ascii="宋体" w:hAnsi="宋体" w:cs="宋体"/>
          <w:kern w:val="0"/>
          <w:sz w:val="24"/>
          <w:szCs w:val="24"/>
          <w:highlight w:val="none"/>
          <w:lang w:eastAsia="zh-CN"/>
        </w:rPr>
        <w:t>民法典</w:t>
      </w:r>
      <w:r>
        <w:rPr>
          <w:rFonts w:hint="eastAsia" w:ascii="宋体" w:hAnsi="宋体" w:eastAsia="宋体" w:cs="宋体"/>
          <w:kern w:val="0"/>
          <w:sz w:val="24"/>
          <w:szCs w:val="24"/>
          <w:highlight w:val="none"/>
        </w:rPr>
        <w:t>》订立合同的从业人员，不对其中涉及的货物的制造商和工程承建商作出要求。</w:t>
      </w:r>
    </w:p>
    <w:p w14:paraId="4A410430">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在货物采购项目中，供应商提供的货物既有中小企业制造货物，也有大型企业制造货物的，不享受本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规定的中小企业扶持政策。以联合体形式参加政府采购活动，联合体各方均为中小企业的，联合体视同中小企业。其中，联合体各方均为小微企业的，联合体视同小微企业。</w:t>
      </w:r>
    </w:p>
    <w:p w14:paraId="164DB2E3">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依据本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规定享受扶持政策获得政府采购合同的，小微企业不得将合同分包给大中型企业，中型企业不得将合同分包给大型企业。</w:t>
      </w:r>
    </w:p>
    <w:p w14:paraId="2C59929F">
      <w:pPr>
        <w:widowControl w:val="0"/>
        <w:snapToGrid w:val="0"/>
        <w:jc w:val="left"/>
        <w:rPr>
          <w:rFonts w:hint="eastAsia" w:ascii="宋体" w:hAnsi="宋体" w:eastAsia="宋体" w:cs="宋体"/>
          <w:b/>
          <w:bCs/>
          <w:color w:val="auto"/>
          <w:kern w:val="0"/>
          <w:sz w:val="21"/>
          <w:szCs w:val="21"/>
          <w:highlight w:val="none"/>
          <w:lang w:val="en-US" w:eastAsia="zh-CN" w:bidi="ar-SA"/>
        </w:rPr>
      </w:pPr>
    </w:p>
    <w:p w14:paraId="1A03D1B3">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14:paraId="1F1115D1">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602" w:name="_Toc2805"/>
      <w:bookmarkStart w:id="1603" w:name="_Toc11981"/>
      <w:bookmarkStart w:id="1604" w:name="_Toc31232"/>
      <w:r>
        <w:rPr>
          <w:rFonts w:hint="eastAsia" w:ascii="宋体" w:hAnsi="宋体" w:eastAsia="宋体" w:cs="宋体"/>
          <w:b/>
          <w:bCs/>
          <w:color w:val="auto"/>
          <w:kern w:val="2"/>
          <w:sz w:val="24"/>
          <w:szCs w:val="24"/>
          <w:u w:val="none"/>
          <w:lang w:val="en-US" w:eastAsia="zh-CN" w:bidi="ar-SA"/>
        </w:rPr>
        <w:t>6-2 残疾人福利性单位声明函</w:t>
      </w:r>
      <w:bookmarkEnd w:id="1602"/>
      <w:bookmarkEnd w:id="1603"/>
      <w:bookmarkEnd w:id="1604"/>
    </w:p>
    <w:p w14:paraId="735C69E1">
      <w:pPr>
        <w:spacing w:line="400" w:lineRule="exact"/>
        <w:ind w:left="1080" w:leftChars="257" w:hanging="540"/>
        <w:jc w:val="center"/>
        <w:rPr>
          <w:rFonts w:hint="eastAsia" w:ascii="宋体" w:hAnsi="宋体" w:eastAsia="宋体" w:cs="宋体"/>
          <w:color w:val="auto"/>
          <w:kern w:val="0"/>
          <w:sz w:val="24"/>
          <w:highlight w:val="none"/>
        </w:rPr>
      </w:pPr>
    </w:p>
    <w:p w14:paraId="709A395F">
      <w:pPr>
        <w:spacing w:line="400" w:lineRule="exact"/>
        <w:ind w:firstLine="56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w:t>
      </w:r>
      <w:r>
        <w:rPr>
          <w:rFonts w:hint="eastAsia" w:ascii="宋体" w:hAnsi="宋体" w:eastAsia="宋体" w:cs="宋体"/>
          <w:color w:val="auto"/>
          <w:kern w:val="0"/>
          <w:sz w:val="24"/>
          <w:highlight w:val="none"/>
          <w:lang w:val="en-US" w:eastAsia="zh-CN"/>
        </w:rPr>
        <w:t>货物</w:t>
      </w:r>
      <w:r>
        <w:rPr>
          <w:rFonts w:hint="eastAsia" w:ascii="宋体" w:hAnsi="宋体" w:eastAsia="宋体" w:cs="宋体"/>
          <w:color w:val="auto"/>
          <w:kern w:val="0"/>
          <w:sz w:val="24"/>
          <w:highlight w:val="none"/>
        </w:rPr>
        <w:t>，或者提供其他残疾人福利性单位制造的</w:t>
      </w:r>
      <w:r>
        <w:rPr>
          <w:rFonts w:hint="eastAsia" w:ascii="宋体" w:hAnsi="宋体" w:eastAsia="宋体" w:cs="宋体"/>
          <w:color w:val="auto"/>
          <w:kern w:val="0"/>
          <w:sz w:val="24"/>
          <w:highlight w:val="none"/>
          <w:lang w:val="en-US" w:eastAsia="zh-CN"/>
        </w:rPr>
        <w:t>货物</w:t>
      </w:r>
      <w:r>
        <w:rPr>
          <w:rFonts w:hint="eastAsia" w:ascii="宋体" w:hAnsi="宋体" w:eastAsia="宋体" w:cs="宋体"/>
          <w:color w:val="auto"/>
          <w:kern w:val="0"/>
          <w:sz w:val="24"/>
          <w:highlight w:val="none"/>
        </w:rPr>
        <w:t>（不包括使用非残疾人福利性单位注册商标的</w:t>
      </w:r>
      <w:r>
        <w:rPr>
          <w:rFonts w:hint="eastAsia" w:ascii="宋体" w:hAnsi="宋体" w:eastAsia="宋体" w:cs="宋体"/>
          <w:color w:val="auto"/>
          <w:kern w:val="0"/>
          <w:sz w:val="24"/>
          <w:highlight w:val="none"/>
          <w:lang w:val="en-US" w:eastAsia="zh-CN"/>
        </w:rPr>
        <w:t>货物</w:t>
      </w:r>
      <w:r>
        <w:rPr>
          <w:rFonts w:hint="eastAsia" w:ascii="宋体" w:hAnsi="宋体" w:eastAsia="宋体" w:cs="宋体"/>
          <w:color w:val="auto"/>
          <w:kern w:val="0"/>
          <w:sz w:val="24"/>
          <w:highlight w:val="none"/>
        </w:rPr>
        <w:t>）。</w:t>
      </w:r>
    </w:p>
    <w:p w14:paraId="17589EE2">
      <w:pPr>
        <w:spacing w:line="400" w:lineRule="exact"/>
        <w:ind w:left="1080" w:leftChars="257" w:hanging="54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本单位对上述声明的真实性负责。如有虚假，将依法承担相应责任。</w:t>
      </w:r>
    </w:p>
    <w:p w14:paraId="6535A471">
      <w:pPr>
        <w:spacing w:line="400" w:lineRule="exact"/>
        <w:ind w:left="1080" w:leftChars="257" w:hanging="54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残疾人福利性单位名称（公章）：______________</w:t>
      </w:r>
    </w:p>
    <w:p w14:paraId="658637BB">
      <w:pPr>
        <w:spacing w:line="400" w:lineRule="exact"/>
        <w:ind w:left="1080" w:leftChars="257" w:hanging="540"/>
        <w:jc w:val="center"/>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color="FFFFFF"/>
        </w:rPr>
        <w:t xml:space="preserve">       </w:t>
      </w:r>
      <w:r>
        <w:rPr>
          <w:rFonts w:hint="eastAsia" w:ascii="宋体" w:hAnsi="宋体" w:eastAsia="宋体" w:cs="宋体"/>
          <w:color w:val="auto"/>
          <w:kern w:val="0"/>
          <w:sz w:val="24"/>
          <w:highlight w:val="none"/>
        </w:rPr>
        <w:t>日  期：_____________________________________________</w:t>
      </w:r>
    </w:p>
    <w:p w14:paraId="0DF86B72">
      <w:pPr>
        <w:pStyle w:val="20"/>
        <w:spacing w:line="400" w:lineRule="exact"/>
        <w:ind w:firstLine="480"/>
        <w:rPr>
          <w:rFonts w:hint="eastAsia" w:ascii="宋体" w:hAnsi="宋体" w:eastAsia="宋体" w:cs="宋体"/>
          <w:color w:val="auto"/>
          <w:highlight w:val="none"/>
        </w:rPr>
      </w:pPr>
    </w:p>
    <w:p w14:paraId="18F44A78">
      <w:pPr>
        <w:pStyle w:val="20"/>
        <w:spacing w:line="400" w:lineRule="exact"/>
        <w:ind w:firstLine="480"/>
        <w:rPr>
          <w:rFonts w:hint="eastAsia" w:ascii="宋体" w:hAnsi="宋体" w:eastAsia="宋体" w:cs="宋体"/>
          <w:color w:val="auto"/>
          <w:highlight w:val="none"/>
        </w:rPr>
      </w:pPr>
    </w:p>
    <w:p w14:paraId="2DF0FECD">
      <w:pPr>
        <w:pStyle w:val="7"/>
        <w:rPr>
          <w:rFonts w:hint="eastAsia" w:ascii="宋体" w:hAnsi="宋体" w:eastAsia="宋体" w:cs="宋体"/>
          <w:color w:val="auto"/>
          <w:highlight w:val="none"/>
        </w:rPr>
      </w:pPr>
    </w:p>
    <w:p w14:paraId="2FFCCE77">
      <w:pPr>
        <w:pStyle w:val="8"/>
        <w:rPr>
          <w:rFonts w:hint="eastAsia" w:ascii="宋体" w:hAnsi="宋体" w:eastAsia="宋体" w:cs="宋体"/>
          <w:color w:val="auto"/>
          <w:highlight w:val="none"/>
        </w:rPr>
      </w:pPr>
    </w:p>
    <w:p w14:paraId="71979ABF">
      <w:pPr>
        <w:rPr>
          <w:rFonts w:hint="eastAsia" w:ascii="宋体" w:hAnsi="宋体" w:eastAsia="宋体" w:cs="宋体"/>
          <w:highlight w:val="none"/>
        </w:rPr>
      </w:pPr>
    </w:p>
    <w:p w14:paraId="5A766E64">
      <w:pPr>
        <w:pStyle w:val="8"/>
        <w:rPr>
          <w:rFonts w:hint="eastAsia" w:ascii="宋体" w:hAnsi="宋体" w:eastAsia="宋体" w:cs="宋体"/>
          <w:color w:val="auto"/>
          <w:highlight w:val="none"/>
        </w:rPr>
      </w:pPr>
    </w:p>
    <w:p w14:paraId="45C3A0D8">
      <w:pPr>
        <w:rPr>
          <w:rFonts w:hint="eastAsia" w:ascii="宋体" w:hAnsi="宋体" w:eastAsia="宋体" w:cs="宋体"/>
          <w:highlight w:val="none"/>
        </w:rPr>
      </w:pPr>
    </w:p>
    <w:p w14:paraId="2301BEE7">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605" w:name="_Toc5157"/>
      <w:bookmarkStart w:id="1606" w:name="_Toc3673"/>
      <w:bookmarkStart w:id="1607" w:name="_Toc9267"/>
      <w:r>
        <w:rPr>
          <w:rFonts w:hint="eastAsia" w:ascii="宋体" w:hAnsi="宋体" w:eastAsia="宋体" w:cs="宋体"/>
          <w:b/>
          <w:bCs/>
          <w:color w:val="auto"/>
          <w:kern w:val="2"/>
          <w:sz w:val="24"/>
          <w:szCs w:val="24"/>
          <w:u w:val="none"/>
          <w:lang w:val="en-US" w:eastAsia="zh-CN" w:bidi="ar-SA"/>
        </w:rPr>
        <w:t>7.供应商关联单位的说明</w:t>
      </w:r>
      <w:bookmarkEnd w:id="1605"/>
      <w:bookmarkEnd w:id="1606"/>
      <w:r>
        <w:rPr>
          <w:rFonts w:hint="eastAsia" w:ascii="宋体" w:hAnsi="宋体" w:eastAsia="宋体" w:cs="宋体"/>
          <w:b/>
          <w:bCs/>
          <w:color w:val="auto"/>
          <w:kern w:val="2"/>
          <w:sz w:val="24"/>
          <w:szCs w:val="24"/>
          <w:u w:val="none"/>
          <w:lang w:val="en-US" w:eastAsia="zh-CN" w:bidi="ar-SA"/>
        </w:rPr>
        <w:t>（格式自拟）</w:t>
      </w:r>
      <w:bookmarkEnd w:id="1607"/>
    </w:p>
    <w:p w14:paraId="62967308">
      <w:pPr>
        <w:pStyle w:val="7"/>
        <w:spacing w:line="400" w:lineRule="exact"/>
        <w:jc w:val="center"/>
        <w:rPr>
          <w:rFonts w:hint="eastAsia" w:ascii="宋体" w:hAnsi="宋体" w:eastAsia="宋体" w:cs="宋体"/>
          <w:color w:val="auto"/>
          <w:szCs w:val="24"/>
          <w:highlight w:val="none"/>
        </w:rPr>
      </w:pPr>
    </w:p>
    <w:p w14:paraId="7CCA9A2A">
      <w:pPr>
        <w:pStyle w:val="7"/>
        <w:spacing w:line="4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说明：供应商应当如实披露与本单位存在下列关联关系的单位名称：</w:t>
      </w:r>
    </w:p>
    <w:p w14:paraId="40B3046F">
      <w:pPr>
        <w:pStyle w:val="7"/>
        <w:spacing w:line="400" w:lineRule="exact"/>
        <w:ind w:firstLine="960" w:firstLineChars="4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（1）与供应商单位负责人为同一人的其他单位；</w:t>
      </w:r>
    </w:p>
    <w:p w14:paraId="46AF3DA9">
      <w:pPr>
        <w:pStyle w:val="7"/>
        <w:spacing w:line="4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（2）与供应商存在直接控股、管理关系的其他单位。</w:t>
      </w:r>
    </w:p>
    <w:p w14:paraId="7BE30F1E">
      <w:pPr>
        <w:pStyle w:val="8"/>
        <w:rPr>
          <w:rFonts w:hint="eastAsia" w:ascii="宋体" w:hAnsi="宋体" w:eastAsia="宋体" w:cs="宋体"/>
          <w:color w:val="auto"/>
          <w:highlight w:val="none"/>
        </w:rPr>
      </w:pPr>
    </w:p>
    <w:p w14:paraId="0ACC3802">
      <w:pPr>
        <w:pStyle w:val="16"/>
        <w:rPr>
          <w:rFonts w:hint="eastAsia" w:ascii="宋体" w:hAnsi="宋体" w:eastAsia="宋体" w:cs="宋体"/>
          <w:b/>
          <w:color w:val="auto"/>
          <w:kern w:val="0"/>
          <w:sz w:val="24"/>
          <w:highlight w:val="none"/>
        </w:rPr>
      </w:pPr>
    </w:p>
    <w:p w14:paraId="24BD9701">
      <w:pPr>
        <w:pStyle w:val="16"/>
        <w:rPr>
          <w:rFonts w:hint="eastAsia" w:ascii="宋体" w:hAnsi="宋体" w:eastAsia="宋体" w:cs="宋体"/>
          <w:b/>
          <w:color w:val="auto"/>
          <w:kern w:val="0"/>
          <w:sz w:val="24"/>
          <w:highlight w:val="none"/>
        </w:rPr>
      </w:pPr>
    </w:p>
    <w:p w14:paraId="75173209">
      <w:pPr>
        <w:pStyle w:val="16"/>
        <w:rPr>
          <w:rFonts w:hint="eastAsia" w:ascii="宋体" w:hAnsi="宋体" w:eastAsia="宋体" w:cs="宋体"/>
          <w:b/>
          <w:color w:val="auto"/>
          <w:kern w:val="0"/>
          <w:sz w:val="24"/>
          <w:highlight w:val="none"/>
        </w:rPr>
      </w:pPr>
    </w:p>
    <w:p w14:paraId="28A94EC6">
      <w:pPr>
        <w:pStyle w:val="16"/>
        <w:rPr>
          <w:rFonts w:hint="eastAsia" w:ascii="宋体" w:hAnsi="宋体" w:eastAsia="宋体" w:cs="宋体"/>
          <w:b/>
          <w:color w:val="auto"/>
          <w:kern w:val="0"/>
          <w:sz w:val="24"/>
          <w:highlight w:val="none"/>
        </w:rPr>
      </w:pPr>
    </w:p>
    <w:p w14:paraId="1046BF23">
      <w:pPr>
        <w:pStyle w:val="16"/>
        <w:rPr>
          <w:rFonts w:hint="eastAsia" w:ascii="宋体" w:hAnsi="宋体" w:eastAsia="宋体" w:cs="宋体"/>
          <w:b/>
          <w:color w:val="auto"/>
          <w:kern w:val="0"/>
          <w:sz w:val="24"/>
          <w:highlight w:val="none"/>
        </w:rPr>
      </w:pPr>
    </w:p>
    <w:p w14:paraId="5544B93F">
      <w:pPr>
        <w:pStyle w:val="16"/>
        <w:rPr>
          <w:rFonts w:hint="eastAsia" w:ascii="宋体" w:hAnsi="宋体" w:eastAsia="宋体" w:cs="宋体"/>
          <w:b/>
          <w:color w:val="auto"/>
          <w:kern w:val="0"/>
          <w:sz w:val="24"/>
          <w:highlight w:val="none"/>
        </w:rPr>
      </w:pPr>
    </w:p>
    <w:p w14:paraId="448FA18F">
      <w:pPr>
        <w:pStyle w:val="5"/>
        <w:pageBreakBefore w:val="0"/>
        <w:widowControl w:val="0"/>
        <w:numPr>
          <w:ilvl w:val="0"/>
          <w:numId w:val="0"/>
        </w:numPr>
        <w:kinsoku/>
        <w:wordWrap/>
        <w:overflowPunct/>
        <w:topLinePunct w:val="0"/>
        <w:bidi w:val="0"/>
        <w:spacing w:before="0" w:after="0" w:line="360" w:lineRule="exact"/>
        <w:ind w:left="0" w:leftChars="0"/>
        <w:jc w:val="center"/>
        <w:textAlignment w:val="auto"/>
        <w:outlineLvl w:val="2"/>
        <w:rPr>
          <w:rFonts w:hint="eastAsia" w:ascii="宋体" w:hAnsi="宋体" w:eastAsia="宋体" w:cs="宋体"/>
          <w:b/>
          <w:bCs/>
          <w:color w:val="auto"/>
          <w:kern w:val="2"/>
          <w:sz w:val="24"/>
          <w:szCs w:val="24"/>
          <w:u w:val="none"/>
          <w:lang w:val="en-US" w:eastAsia="zh-CN" w:bidi="ar-SA"/>
        </w:rPr>
      </w:pPr>
      <w:bookmarkStart w:id="1608" w:name="_Toc29994"/>
      <w:bookmarkStart w:id="1609" w:name="_Toc10179"/>
      <w:bookmarkStart w:id="1610" w:name="_Toc24203"/>
      <w:r>
        <w:rPr>
          <w:rFonts w:hint="eastAsia" w:ascii="宋体" w:hAnsi="宋体" w:eastAsia="宋体" w:cs="宋体"/>
          <w:b/>
          <w:bCs/>
          <w:color w:val="auto"/>
          <w:kern w:val="2"/>
          <w:sz w:val="24"/>
          <w:szCs w:val="24"/>
          <w:u w:val="none"/>
          <w:lang w:val="en-US" w:eastAsia="zh-CN" w:bidi="ar-SA"/>
        </w:rPr>
        <w:t>8.供应商可提供有利于投标的其他证明材料</w:t>
      </w:r>
      <w:bookmarkEnd w:id="1608"/>
      <w:bookmarkEnd w:id="1609"/>
      <w:bookmarkEnd w:id="1610"/>
    </w:p>
    <w:p w14:paraId="50313487">
      <w:pPr>
        <w:pStyle w:val="7"/>
        <w:ind w:left="0" w:leftChars="0" w:firstLine="0" w:firstLineChars="0"/>
        <w:rPr>
          <w:rFonts w:hint="eastAsia" w:ascii="宋体" w:hAnsi="宋体" w:eastAsia="宋体" w:cs="宋体"/>
          <w:color w:val="auto"/>
          <w:sz w:val="24"/>
          <w:highlight w:val="none"/>
        </w:rPr>
      </w:pPr>
    </w:p>
    <w:p w14:paraId="6EB28BA9">
      <w:pPr>
        <w:pStyle w:val="8"/>
        <w:rPr>
          <w:rFonts w:hint="eastAsia" w:ascii="宋体" w:hAnsi="宋体" w:eastAsia="宋体" w:cs="宋体"/>
          <w:color w:val="auto"/>
          <w:sz w:val="24"/>
          <w:highlight w:val="none"/>
        </w:rPr>
      </w:pPr>
    </w:p>
    <w:p w14:paraId="3BC1AA8D">
      <w:pPr>
        <w:rPr>
          <w:rFonts w:hint="eastAsia" w:ascii="宋体" w:hAnsi="宋体" w:eastAsia="宋体" w:cs="宋体"/>
          <w:b/>
          <w:bCs/>
          <w:color w:val="auto"/>
          <w:kern w:val="2"/>
          <w:sz w:val="24"/>
          <w:szCs w:val="24"/>
          <w:u w:val="none"/>
          <w:lang w:val="en-US" w:eastAsia="zh-CN" w:bidi="ar-SA"/>
        </w:rPr>
      </w:pPr>
      <w:bookmarkStart w:id="1611" w:name="_Toc24340"/>
      <w:bookmarkStart w:id="1612" w:name="_Toc11"/>
      <w:r>
        <w:rPr>
          <w:rFonts w:hint="eastAsia" w:ascii="宋体" w:hAnsi="宋体" w:eastAsia="宋体" w:cs="宋体"/>
          <w:b/>
          <w:bCs/>
          <w:color w:val="auto"/>
          <w:kern w:val="2"/>
          <w:sz w:val="24"/>
          <w:szCs w:val="24"/>
          <w:u w:val="none"/>
          <w:lang w:val="en-US" w:eastAsia="zh-CN" w:bidi="ar-SA"/>
        </w:rPr>
        <w:br w:type="page"/>
      </w:r>
    </w:p>
    <w:p w14:paraId="3D7F6DD8">
      <w:pPr>
        <w:pStyle w:val="5"/>
        <w:pageBreakBefore w:val="0"/>
        <w:widowControl w:val="0"/>
        <w:numPr>
          <w:ilvl w:val="0"/>
          <w:numId w:val="0"/>
        </w:numPr>
        <w:kinsoku/>
        <w:wordWrap/>
        <w:overflowPunct/>
        <w:topLinePunct w:val="0"/>
        <w:bidi w:val="0"/>
        <w:spacing w:before="0" w:after="0" w:line="360" w:lineRule="exact"/>
        <w:ind w:left="0" w:leftChars="0"/>
        <w:jc w:val="left"/>
        <w:textAlignment w:val="auto"/>
        <w:outlineLvl w:val="2"/>
        <w:rPr>
          <w:rFonts w:hint="eastAsia" w:ascii="宋体" w:hAnsi="宋体" w:eastAsia="宋体" w:cs="宋体"/>
          <w:b/>
          <w:bCs/>
          <w:color w:val="auto"/>
          <w:kern w:val="2"/>
          <w:sz w:val="24"/>
          <w:szCs w:val="24"/>
          <w:u w:val="none"/>
          <w:lang w:val="en-US" w:eastAsia="zh-CN" w:bidi="ar-SA"/>
        </w:rPr>
      </w:pPr>
      <w:bookmarkStart w:id="1613" w:name="_Toc4694"/>
      <w:r>
        <w:rPr>
          <w:rFonts w:hint="eastAsia" w:ascii="宋体" w:hAnsi="宋体" w:eastAsia="宋体" w:cs="宋体"/>
          <w:b/>
          <w:bCs/>
          <w:color w:val="auto"/>
          <w:kern w:val="2"/>
          <w:sz w:val="24"/>
          <w:szCs w:val="24"/>
          <w:u w:val="none"/>
          <w:lang w:val="en-US" w:eastAsia="zh-CN" w:bidi="ar-SA"/>
        </w:rPr>
        <w:t>9.投标文件格式范本</w:t>
      </w:r>
      <w:bookmarkEnd w:id="1611"/>
      <w:bookmarkEnd w:id="1612"/>
      <w:bookmarkEnd w:id="1613"/>
    </w:p>
    <w:tbl>
      <w:tblPr>
        <w:tblStyle w:val="21"/>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14:paraId="248C39E5">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CellMar>
            <w:top w:w="0" w:type="dxa"/>
            <w:left w:w="108" w:type="dxa"/>
            <w:bottom w:w="0" w:type="dxa"/>
            <w:right w:w="108" w:type="dxa"/>
          </w:tblCellMar>
        </w:tblPrEx>
        <w:trPr>
          <w:trHeight w:val="11132" w:hRule="atLeast"/>
        </w:trPr>
        <w:tc>
          <w:tcPr>
            <w:tcW w:w="9120" w:type="dxa"/>
            <w:shd w:val="clear" w:color="auto" w:fill="FCFEEA"/>
          </w:tcPr>
          <w:p w14:paraId="4919B467">
            <w:pPr>
              <w:pStyle w:val="9"/>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p>
          <w:p w14:paraId="200AA871">
            <w:pPr>
              <w:pStyle w:val="9"/>
              <w:ind w:firstLine="4216" w:firstLineChars="1500"/>
              <w:rPr>
                <w:rFonts w:hint="eastAsia" w:ascii="宋体" w:hAnsi="宋体" w:eastAsia="宋体" w:cs="宋体"/>
                <w:b/>
                <w:bCs/>
                <w:color w:val="auto"/>
                <w:sz w:val="28"/>
                <w:szCs w:val="28"/>
                <w:highlight w:val="none"/>
              </w:rPr>
            </w:pPr>
          </w:p>
          <w:p w14:paraId="5868E0AF">
            <w:pPr>
              <w:pStyle w:val="9"/>
              <w:ind w:firstLine="4216" w:firstLineChars="1500"/>
              <w:rPr>
                <w:rFonts w:hint="eastAsia" w:ascii="宋体" w:hAnsi="宋体" w:eastAsia="宋体" w:cs="宋体"/>
                <w:b/>
                <w:bCs/>
                <w:color w:val="auto"/>
                <w:sz w:val="28"/>
                <w:szCs w:val="28"/>
                <w:highlight w:val="none"/>
              </w:rPr>
            </w:pPr>
          </w:p>
          <w:p w14:paraId="460B886A">
            <w:pPr>
              <w:pStyle w:val="9"/>
              <w:rPr>
                <w:rFonts w:hint="eastAsia" w:ascii="宋体" w:hAnsi="宋体" w:eastAsia="宋体" w:cs="宋体"/>
                <w:b/>
                <w:bCs/>
                <w:color w:val="auto"/>
                <w:sz w:val="28"/>
                <w:szCs w:val="28"/>
                <w:highlight w:val="none"/>
              </w:rPr>
            </w:pPr>
          </w:p>
          <w:p w14:paraId="2B55C23C">
            <w:pPr>
              <w:pStyle w:val="9"/>
              <w:ind w:firstLine="1897" w:firstLineChars="900"/>
              <w:rPr>
                <w:rFonts w:hint="eastAsia" w:ascii="宋体" w:hAnsi="宋体" w:eastAsia="宋体" w:cs="宋体"/>
                <w:b/>
                <w:bCs/>
                <w:color w:val="auto"/>
                <w:sz w:val="28"/>
                <w:szCs w:val="28"/>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8"/>
                <w:szCs w:val="28"/>
                <w:highlight w:val="none"/>
              </w:rPr>
              <w:t>项目</w:t>
            </w:r>
          </w:p>
          <w:p w14:paraId="5D843ED7">
            <w:pPr>
              <w:pStyle w:val="9"/>
              <w:jc w:val="center"/>
              <w:rPr>
                <w:rFonts w:hint="eastAsia" w:ascii="宋体" w:hAnsi="宋体" w:eastAsia="宋体" w:cs="宋体"/>
                <w:b/>
                <w:bCs/>
                <w:color w:val="auto"/>
                <w:sz w:val="21"/>
                <w:szCs w:val="21"/>
                <w:highlight w:val="none"/>
              </w:rPr>
            </w:pPr>
          </w:p>
          <w:p w14:paraId="433960AA">
            <w:pPr>
              <w:rPr>
                <w:rFonts w:hint="eastAsia" w:ascii="宋体" w:hAnsi="宋体" w:eastAsia="宋体" w:cs="宋体"/>
                <w:highlight w:val="none"/>
              </w:rPr>
            </w:pPr>
          </w:p>
          <w:p w14:paraId="4D63B0B0">
            <w:pPr>
              <w:pStyle w:val="9"/>
              <w:ind w:firstLine="2741" w:firstLineChars="1300"/>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w:t>
            </w:r>
            <w:r>
              <w:rPr>
                <w:rFonts w:hint="eastAsia" w:ascii="宋体" w:hAnsi="宋体" w:eastAsia="宋体" w:cs="宋体"/>
                <w:b/>
                <w:bCs/>
                <w:color w:val="auto"/>
                <w:sz w:val="21"/>
                <w:szCs w:val="21"/>
                <w:highlight w:val="none"/>
              </w:rPr>
              <w:t>编号 ＊＊＊      包号：＊＊＊</w:t>
            </w:r>
          </w:p>
          <w:p w14:paraId="00300AB2">
            <w:pPr>
              <w:pStyle w:val="9"/>
              <w:jc w:val="center"/>
              <w:rPr>
                <w:rFonts w:hint="eastAsia" w:ascii="宋体" w:hAnsi="宋体" w:eastAsia="宋体" w:cs="宋体"/>
                <w:b/>
                <w:bCs/>
                <w:color w:val="auto"/>
                <w:sz w:val="48"/>
                <w:highlight w:val="none"/>
              </w:rPr>
            </w:pPr>
          </w:p>
          <w:p w14:paraId="09AEF9CF">
            <w:pPr>
              <w:pStyle w:val="9"/>
              <w:jc w:val="center"/>
              <w:rPr>
                <w:rFonts w:hint="eastAsia" w:ascii="宋体" w:hAnsi="宋体" w:eastAsia="宋体" w:cs="宋体"/>
                <w:b/>
                <w:bCs/>
                <w:color w:val="auto"/>
                <w:sz w:val="48"/>
                <w:highlight w:val="none"/>
              </w:rPr>
            </w:pPr>
            <w:r>
              <w:rPr>
                <w:rFonts w:hint="eastAsia" w:ascii="宋体" w:hAnsi="宋体" w:eastAsia="宋体" w:cs="宋体"/>
                <w:b/>
                <w:bCs/>
                <w:color w:val="auto"/>
                <w:sz w:val="48"/>
                <w:highlight w:val="none"/>
              </w:rPr>
              <w:t>投 标 文 件</w:t>
            </w:r>
          </w:p>
          <w:p w14:paraId="5D100D54">
            <w:pPr>
              <w:pStyle w:val="7"/>
              <w:ind w:firstLine="0"/>
              <w:rPr>
                <w:rFonts w:hint="eastAsia" w:ascii="宋体" w:hAnsi="宋体" w:eastAsia="宋体" w:cs="宋体"/>
                <w:b/>
                <w:color w:val="auto"/>
                <w:sz w:val="32"/>
                <w:highlight w:val="none"/>
              </w:rPr>
            </w:pPr>
          </w:p>
          <w:p w14:paraId="12C5B29B">
            <w:pPr>
              <w:pStyle w:val="7"/>
              <w:rPr>
                <w:rFonts w:hint="eastAsia" w:ascii="宋体" w:hAnsi="宋体" w:eastAsia="宋体" w:cs="宋体"/>
                <w:b/>
                <w:color w:val="auto"/>
                <w:sz w:val="32"/>
                <w:highlight w:val="none"/>
              </w:rPr>
            </w:pPr>
          </w:p>
          <w:p w14:paraId="051006CF">
            <w:pPr>
              <w:spacing w:line="360" w:lineRule="auto"/>
              <w:ind w:left="176" w:leftChars="84" w:firstLine="1260" w:firstLineChars="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应</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（公章）</w:t>
            </w:r>
          </w:p>
          <w:p w14:paraId="40A4F294">
            <w:pPr>
              <w:spacing w:line="360" w:lineRule="auto"/>
              <w:ind w:left="176" w:leftChars="84" w:firstLine="1260" w:firstLineChars="6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 xml:space="preserve">                                       </w:t>
            </w:r>
          </w:p>
          <w:p w14:paraId="0052470D">
            <w:pPr>
              <w:spacing w:line="360" w:lineRule="auto"/>
              <w:ind w:left="176" w:leftChars="84" w:firstLine="1260" w:firstLineChars="6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u w:val="single"/>
              </w:rPr>
              <w:t xml:space="preserve">                                       </w:t>
            </w:r>
          </w:p>
          <w:p w14:paraId="0E2DB0CB">
            <w:pPr>
              <w:spacing w:line="360" w:lineRule="auto"/>
              <w:ind w:left="176" w:leftChars="84" w:firstLine="1260" w:firstLineChars="6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联 系 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26571092">
            <w:pPr>
              <w:spacing w:line="360" w:lineRule="auto"/>
              <w:ind w:left="176" w:leftChars="84" w:firstLine="1260" w:firstLineChars="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p>
          <w:p w14:paraId="18E16613">
            <w:pPr>
              <w:spacing w:line="360" w:lineRule="auto"/>
              <w:ind w:left="176" w:leftChars="84" w:firstLine="1260" w:firstLineChars="600"/>
              <w:rPr>
                <w:rFonts w:hint="eastAsia" w:ascii="宋体" w:hAnsi="宋体" w:eastAsia="宋体" w:cs="宋体"/>
                <w:b/>
                <w:bCs/>
                <w:color w:val="auto"/>
                <w:highlight w:val="none"/>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14:paraId="3573DAA3">
            <w:pPr>
              <w:jc w:val="center"/>
              <w:rPr>
                <w:rFonts w:hint="eastAsia" w:ascii="宋体" w:hAnsi="宋体" w:eastAsia="宋体" w:cs="宋体"/>
                <w:b/>
                <w:bCs/>
                <w:color w:val="auto"/>
                <w:highlight w:val="none"/>
              </w:rPr>
            </w:pPr>
          </w:p>
          <w:p w14:paraId="2C1CBBE3">
            <w:pPr>
              <w:widowControl w:val="0"/>
              <w:autoSpaceDE w:val="0"/>
              <w:autoSpaceDN w:val="0"/>
              <w:adjustRightInd w:val="0"/>
              <w:ind w:firstLine="420"/>
              <w:jc w:val="left"/>
              <w:rPr>
                <w:rFonts w:hint="eastAsia" w:ascii="宋体" w:hAnsi="宋体" w:eastAsia="宋体" w:cs="宋体"/>
                <w:color w:val="auto"/>
                <w:kern w:val="0"/>
                <w:sz w:val="24"/>
                <w:szCs w:val="20"/>
                <w:highlight w:val="none"/>
                <w:lang w:val="en-US" w:eastAsia="zh-CN" w:bidi="ar-SA"/>
              </w:rPr>
            </w:pPr>
          </w:p>
          <w:p w14:paraId="4AE522A9">
            <w:pPr>
              <w:jc w:val="center"/>
              <w:rPr>
                <w:rFonts w:hint="eastAsia" w:ascii="宋体" w:hAnsi="宋体" w:eastAsia="宋体" w:cs="宋体"/>
                <w:b/>
                <w:bCs/>
                <w:color w:val="auto"/>
                <w:highlight w:val="none"/>
              </w:rPr>
            </w:pPr>
          </w:p>
          <w:p w14:paraId="12AA1115">
            <w:pPr>
              <w:jc w:val="center"/>
              <w:rPr>
                <w:rFonts w:hint="eastAsia" w:ascii="宋体" w:hAnsi="宋体" w:eastAsia="宋体" w:cs="宋体"/>
                <w:b/>
                <w:bCs/>
                <w:color w:val="auto"/>
                <w:highlight w:val="none"/>
              </w:rPr>
            </w:pPr>
          </w:p>
        </w:tc>
      </w:tr>
    </w:tbl>
    <w:p w14:paraId="446170AE">
      <w:pPr>
        <w:spacing w:line="240" w:lineRule="atLeast"/>
        <w:jc w:val="center"/>
        <w:rPr>
          <w:rFonts w:hint="eastAsia" w:ascii="宋体" w:hAnsi="宋体" w:eastAsia="宋体" w:cs="宋体"/>
          <w:b/>
          <w:color w:val="auto"/>
          <w:sz w:val="32"/>
          <w:highlight w:val="none"/>
        </w:rPr>
      </w:pPr>
    </w:p>
    <w:p w14:paraId="08148E70">
      <w:pPr>
        <w:spacing w:line="240" w:lineRule="atLeast"/>
        <w:jc w:val="center"/>
        <w:rPr>
          <w:rFonts w:hint="eastAsia" w:ascii="宋体" w:hAnsi="宋体" w:eastAsia="宋体" w:cs="宋体"/>
          <w:b/>
          <w:color w:val="auto"/>
          <w:sz w:val="44"/>
          <w:szCs w:val="44"/>
          <w:highlight w:val="none"/>
        </w:rPr>
      </w:pPr>
    </w:p>
    <w:p w14:paraId="284F55D4">
      <w:pPr>
        <w:spacing w:line="240" w:lineRule="atLeast"/>
        <w:jc w:val="center"/>
        <w:rPr>
          <w:rFonts w:hint="eastAsia" w:ascii="宋体" w:hAnsi="宋体" w:eastAsia="宋体" w:cs="宋体"/>
          <w:b/>
          <w:color w:val="auto"/>
          <w:sz w:val="44"/>
          <w:szCs w:val="44"/>
          <w:highlight w:val="none"/>
        </w:rPr>
      </w:pPr>
    </w:p>
    <w:p w14:paraId="577DD564">
      <w:pPr>
        <w:spacing w:line="240" w:lineRule="atLeast"/>
        <w:rPr>
          <w:rFonts w:hint="eastAsia" w:ascii="宋体" w:hAnsi="宋体" w:eastAsia="宋体" w:cs="宋体"/>
          <w:b/>
          <w:color w:val="auto"/>
          <w:sz w:val="44"/>
          <w:szCs w:val="44"/>
          <w:highlight w:val="none"/>
        </w:rPr>
      </w:pPr>
    </w:p>
    <w:p w14:paraId="0D79EA10">
      <w:pPr>
        <w:spacing w:line="240" w:lineRule="atLeast"/>
        <w:jc w:val="center"/>
        <w:outlineLvl w:val="9"/>
        <w:rPr>
          <w:rFonts w:hint="eastAsia" w:ascii="宋体" w:hAnsi="宋体" w:eastAsia="宋体" w:cs="宋体"/>
          <w:b/>
          <w:color w:val="auto"/>
          <w:sz w:val="44"/>
          <w:szCs w:val="44"/>
          <w:highlight w:val="none"/>
        </w:rPr>
      </w:pPr>
    </w:p>
    <w:p w14:paraId="2E1F7A08">
      <w:pPr>
        <w:pStyle w:val="8"/>
        <w:outlineLvl w:val="9"/>
        <w:rPr>
          <w:rFonts w:hint="eastAsia" w:ascii="宋体" w:hAnsi="宋体" w:eastAsia="宋体" w:cs="宋体"/>
          <w:b/>
          <w:color w:val="auto"/>
          <w:sz w:val="44"/>
          <w:szCs w:val="44"/>
          <w:highlight w:val="none"/>
        </w:rPr>
      </w:pPr>
    </w:p>
    <w:p w14:paraId="21AFFD2F">
      <w:pPr>
        <w:outlineLvl w:val="9"/>
        <w:rPr>
          <w:rFonts w:hint="eastAsia" w:ascii="宋体" w:hAnsi="宋体" w:eastAsia="宋体" w:cs="宋体"/>
          <w:b/>
          <w:color w:val="auto"/>
          <w:sz w:val="44"/>
          <w:szCs w:val="44"/>
          <w:highlight w:val="none"/>
        </w:rPr>
      </w:pPr>
    </w:p>
    <w:p w14:paraId="15409081">
      <w:pPr>
        <w:pStyle w:val="16"/>
        <w:rPr>
          <w:rFonts w:hint="eastAsia" w:ascii="宋体" w:hAnsi="宋体" w:eastAsia="宋体" w:cs="宋体"/>
          <w:b/>
          <w:color w:val="auto"/>
          <w:sz w:val="44"/>
          <w:szCs w:val="44"/>
          <w:highlight w:val="none"/>
        </w:rPr>
      </w:pPr>
    </w:p>
    <w:p w14:paraId="69C02DFE">
      <w:pPr>
        <w:pStyle w:val="9"/>
        <w:rPr>
          <w:rFonts w:hint="eastAsia" w:ascii="宋体" w:hAnsi="宋体" w:eastAsia="宋体" w:cs="宋体"/>
          <w:b/>
          <w:color w:val="auto"/>
          <w:sz w:val="44"/>
          <w:szCs w:val="44"/>
          <w:highlight w:val="none"/>
        </w:rPr>
      </w:pPr>
    </w:p>
    <w:p w14:paraId="67AA1981">
      <w:pPr>
        <w:pStyle w:val="19"/>
        <w:rPr>
          <w:rFonts w:hint="eastAsia" w:ascii="宋体" w:hAnsi="宋体" w:eastAsia="宋体" w:cs="宋体"/>
          <w:b/>
          <w:color w:val="auto"/>
          <w:sz w:val="44"/>
          <w:szCs w:val="44"/>
          <w:highlight w:val="none"/>
        </w:rPr>
      </w:pPr>
    </w:p>
    <w:p w14:paraId="0646388E">
      <w:pPr>
        <w:rPr>
          <w:rFonts w:hint="eastAsia" w:ascii="宋体" w:hAnsi="宋体" w:eastAsia="宋体" w:cs="宋体"/>
          <w:highlight w:val="none"/>
        </w:rPr>
      </w:pPr>
    </w:p>
    <w:p w14:paraId="4258FA57">
      <w:pPr>
        <w:outlineLvl w:val="9"/>
        <w:rPr>
          <w:rFonts w:hint="eastAsia" w:ascii="宋体" w:hAnsi="宋体" w:eastAsia="宋体" w:cs="宋体"/>
          <w:highlight w:val="none"/>
        </w:rPr>
      </w:pPr>
    </w:p>
    <w:p w14:paraId="2760AC38">
      <w:pPr>
        <w:pStyle w:val="16"/>
        <w:rPr>
          <w:rFonts w:hint="eastAsia" w:ascii="宋体" w:hAnsi="宋体" w:eastAsia="宋体" w:cs="宋体"/>
          <w:color w:val="auto"/>
          <w:highlight w:val="none"/>
        </w:rPr>
      </w:pPr>
    </w:p>
    <w:p w14:paraId="03C85057">
      <w:pPr>
        <w:spacing w:line="240" w:lineRule="atLeast"/>
        <w:jc w:val="center"/>
        <w:outlineLvl w:val="9"/>
        <w:rPr>
          <w:rFonts w:hint="eastAsia" w:ascii="宋体" w:hAnsi="宋体" w:eastAsia="宋体" w:cs="宋体"/>
          <w:b/>
          <w:color w:val="auto"/>
          <w:sz w:val="44"/>
          <w:szCs w:val="44"/>
          <w:highlight w:val="none"/>
          <w:lang w:eastAsia="zh-CN"/>
        </w:rPr>
      </w:pPr>
      <w:r>
        <w:rPr>
          <w:rFonts w:hint="eastAsia" w:ascii="宋体" w:hAnsi="宋体" w:eastAsia="宋体" w:cs="宋体"/>
          <w:color w:val="auto"/>
          <w:sz w:val="44"/>
          <w:szCs w:val="44"/>
          <w:highlight w:val="none"/>
        </w:rPr>
        <w:t xml:space="preserve"> </w:t>
      </w:r>
      <w:r>
        <w:rPr>
          <w:rFonts w:hint="eastAsia" w:ascii="宋体" w:hAnsi="宋体" w:cs="宋体"/>
          <w:b/>
          <w:color w:val="auto"/>
          <w:sz w:val="44"/>
          <w:szCs w:val="44"/>
          <w:highlight w:val="none"/>
          <w:lang w:val="en-US" w:eastAsia="zh-CN"/>
        </w:rPr>
        <w:t>招 标 文 件</w:t>
      </w:r>
    </w:p>
    <w:p w14:paraId="3D5DE3E2">
      <w:pPr>
        <w:spacing w:line="360" w:lineRule="auto"/>
        <w:outlineLvl w:val="9"/>
        <w:rPr>
          <w:rFonts w:hint="eastAsia" w:ascii="宋体" w:hAnsi="宋体" w:eastAsia="宋体" w:cs="宋体"/>
          <w:b/>
          <w:color w:val="auto"/>
          <w:sz w:val="44"/>
          <w:szCs w:val="44"/>
          <w:highlight w:val="none"/>
        </w:rPr>
      </w:pPr>
    </w:p>
    <w:p w14:paraId="42E9E4DA">
      <w:pPr>
        <w:spacing w:line="240" w:lineRule="atLeast"/>
        <w:jc w:val="center"/>
        <w:outlineLvl w:val="9"/>
        <w:rPr>
          <w:rFonts w:hint="eastAsia" w:ascii="宋体" w:hAnsi="宋体" w:eastAsia="宋体" w:cs="宋体"/>
          <w:b/>
          <w:color w:val="FF0000"/>
          <w:sz w:val="44"/>
          <w:szCs w:val="44"/>
          <w:highlight w:val="none"/>
        </w:rPr>
      </w:pPr>
      <w:r>
        <w:rPr>
          <w:rFonts w:hint="eastAsia" w:ascii="宋体" w:hAnsi="宋体" w:eastAsia="宋体" w:cs="宋体"/>
          <w:b/>
          <w:color w:val="auto"/>
          <w:sz w:val="44"/>
          <w:szCs w:val="44"/>
          <w:highlight w:val="none"/>
        </w:rPr>
        <w:t>项目编号：ZPDL(2024)069</w:t>
      </w:r>
    </w:p>
    <w:p w14:paraId="2FAEFBAF">
      <w:pPr>
        <w:spacing w:line="360" w:lineRule="auto"/>
        <w:outlineLvl w:val="9"/>
        <w:rPr>
          <w:rFonts w:hint="eastAsia" w:ascii="宋体" w:hAnsi="宋体" w:eastAsia="宋体" w:cs="宋体"/>
          <w:b/>
          <w:color w:val="auto"/>
          <w:sz w:val="44"/>
          <w:szCs w:val="44"/>
          <w:highlight w:val="none"/>
        </w:rPr>
      </w:pPr>
    </w:p>
    <w:p w14:paraId="747725B5">
      <w:pPr>
        <w:pStyle w:val="7"/>
        <w:ind w:firstLine="0"/>
        <w:jc w:val="center"/>
        <w:outlineLvl w:val="9"/>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第 </w:t>
      </w:r>
      <w:r>
        <w:rPr>
          <w:rFonts w:hint="eastAsia" w:hAnsi="宋体" w:cs="宋体"/>
          <w:b/>
          <w:color w:val="auto"/>
          <w:sz w:val="44"/>
          <w:szCs w:val="44"/>
          <w:highlight w:val="none"/>
          <w:lang w:val="en-US" w:eastAsia="zh-CN"/>
        </w:rPr>
        <w:t>二</w:t>
      </w:r>
      <w:r>
        <w:rPr>
          <w:rFonts w:hint="eastAsia" w:ascii="宋体" w:hAnsi="宋体" w:eastAsia="宋体" w:cs="宋体"/>
          <w:b/>
          <w:color w:val="auto"/>
          <w:sz w:val="44"/>
          <w:szCs w:val="44"/>
          <w:highlight w:val="none"/>
        </w:rPr>
        <w:t xml:space="preserve"> 册</w:t>
      </w:r>
    </w:p>
    <w:p w14:paraId="4421E075">
      <w:pPr>
        <w:rPr>
          <w:rFonts w:hint="eastAsia" w:ascii="宋体" w:hAnsi="宋体" w:eastAsia="宋体" w:cs="宋体"/>
          <w:color w:val="auto"/>
          <w:sz w:val="44"/>
          <w:szCs w:val="36"/>
          <w:highlight w:val="none"/>
        </w:rPr>
      </w:pPr>
    </w:p>
    <w:p w14:paraId="3E719C02">
      <w:pPr>
        <w:pStyle w:val="7"/>
        <w:rPr>
          <w:rFonts w:hint="eastAsia" w:ascii="宋体" w:hAnsi="宋体" w:eastAsia="宋体" w:cs="宋体"/>
          <w:b/>
          <w:color w:val="auto"/>
          <w:sz w:val="44"/>
          <w:szCs w:val="36"/>
          <w:highlight w:val="none"/>
        </w:rPr>
      </w:pPr>
    </w:p>
    <w:p w14:paraId="5C6B318D">
      <w:pPr>
        <w:pStyle w:val="8"/>
        <w:rPr>
          <w:rFonts w:hint="eastAsia" w:ascii="宋体" w:hAnsi="宋体" w:eastAsia="宋体" w:cs="宋体"/>
          <w:b/>
          <w:color w:val="auto"/>
          <w:sz w:val="44"/>
          <w:szCs w:val="36"/>
          <w:highlight w:val="none"/>
        </w:rPr>
      </w:pPr>
    </w:p>
    <w:p w14:paraId="1AC50091">
      <w:pPr>
        <w:rPr>
          <w:rFonts w:hint="eastAsia" w:ascii="宋体" w:hAnsi="宋体" w:eastAsia="宋体" w:cs="宋体"/>
          <w:color w:val="auto"/>
          <w:highlight w:val="none"/>
        </w:rPr>
      </w:pPr>
    </w:p>
    <w:p w14:paraId="313D0D1C">
      <w:pPr>
        <w:rPr>
          <w:rFonts w:hint="eastAsia" w:ascii="宋体" w:hAnsi="宋体" w:eastAsia="宋体" w:cs="宋体"/>
          <w:color w:val="auto"/>
          <w:highlight w:val="none"/>
        </w:rPr>
      </w:pPr>
    </w:p>
    <w:p w14:paraId="11DBB199">
      <w:pPr>
        <w:spacing w:line="240" w:lineRule="atLeast"/>
        <w:jc w:val="center"/>
        <w:rPr>
          <w:rFonts w:hint="eastAsia" w:ascii="宋体" w:hAnsi="宋体" w:eastAsia="宋体" w:cs="宋体"/>
          <w:b/>
          <w:color w:val="auto"/>
          <w:sz w:val="32"/>
          <w:highlight w:val="none"/>
        </w:rPr>
      </w:pPr>
    </w:p>
    <w:bookmarkEnd w:id="1469"/>
    <w:bookmarkEnd w:id="1470"/>
    <w:bookmarkEnd w:id="1471"/>
    <w:bookmarkEnd w:id="1472"/>
    <w:bookmarkEnd w:id="1520"/>
    <w:bookmarkEnd w:id="1521"/>
    <w:bookmarkEnd w:id="1522"/>
    <w:bookmarkEnd w:id="1523"/>
    <w:bookmarkEnd w:id="1524"/>
    <w:bookmarkEnd w:id="1525"/>
    <w:p w14:paraId="0BE836AB">
      <w:pPr>
        <w:rPr>
          <w:rStyle w:val="25"/>
          <w:rFonts w:hint="eastAsia" w:ascii="宋体" w:hAnsi="宋体" w:eastAsia="宋体" w:cs="宋体"/>
          <w:color w:val="auto"/>
          <w:highlight w:val="none"/>
        </w:rPr>
      </w:pPr>
      <w:bookmarkStart w:id="1614" w:name="_Toc29715"/>
      <w:bookmarkStart w:id="1615" w:name="_Toc507399902"/>
      <w:bookmarkStart w:id="1616" w:name="_Toc16370"/>
      <w:bookmarkStart w:id="1617" w:name="_Toc216582822"/>
      <w:bookmarkStart w:id="1618" w:name="_Toc22081"/>
      <w:bookmarkStart w:id="1619" w:name="_Toc218935350"/>
      <w:bookmarkStart w:id="1620" w:name="_Toc219175634"/>
      <w:bookmarkStart w:id="1621" w:name="_Toc515647829"/>
      <w:bookmarkStart w:id="1622" w:name="_Toc28765"/>
    </w:p>
    <w:bookmarkEnd w:id="1614"/>
    <w:bookmarkEnd w:id="1615"/>
    <w:bookmarkEnd w:id="1616"/>
    <w:bookmarkEnd w:id="1617"/>
    <w:bookmarkEnd w:id="1618"/>
    <w:bookmarkEnd w:id="1619"/>
    <w:bookmarkEnd w:id="1620"/>
    <w:bookmarkEnd w:id="1621"/>
    <w:bookmarkEnd w:id="1622"/>
    <w:p w14:paraId="0C250AFA">
      <w:pPr>
        <w:pStyle w:val="7"/>
        <w:ind w:firstLine="0"/>
        <w:jc w:val="center"/>
        <w:outlineLvl w:val="0"/>
        <w:rPr>
          <w:rFonts w:hint="eastAsia" w:ascii="宋体" w:hAnsi="宋体" w:eastAsia="宋体" w:cs="宋体"/>
          <w:b/>
          <w:bCs/>
          <w:color w:val="auto"/>
          <w:sz w:val="32"/>
          <w:szCs w:val="32"/>
          <w:highlight w:val="none"/>
          <w:lang w:val="en-US" w:eastAsia="zh-CN"/>
        </w:rPr>
      </w:pPr>
      <w:bookmarkStart w:id="1623" w:name="_Toc22943"/>
      <w:bookmarkStart w:id="1624" w:name="_Toc3564"/>
      <w:bookmarkStart w:id="1625" w:name="_Toc10889"/>
      <w:bookmarkStart w:id="1626" w:name="_Toc29132"/>
      <w:bookmarkStart w:id="1627" w:name="_Toc216582823"/>
      <w:bookmarkStart w:id="1628" w:name="_Toc507399903"/>
      <w:bookmarkStart w:id="1629" w:name="_Toc2787"/>
      <w:bookmarkStart w:id="1630" w:name="_Toc18169"/>
      <w:bookmarkStart w:id="1631" w:name="_Toc515647830"/>
      <w:bookmarkStart w:id="1632" w:name="_Toc10488"/>
      <w:bookmarkStart w:id="1633" w:name="_Toc512937850"/>
      <w:bookmarkStart w:id="1634" w:name="_Toc31583"/>
      <w:bookmarkStart w:id="1635" w:name="_Toc5272"/>
    </w:p>
    <w:p w14:paraId="05C19807">
      <w:pPr>
        <w:pStyle w:val="7"/>
        <w:ind w:firstLine="0"/>
        <w:jc w:val="center"/>
        <w:outlineLvl w:val="0"/>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第3章  投标邀请</w:t>
      </w:r>
      <w:bookmarkEnd w:id="1623"/>
      <w:bookmarkEnd w:id="1624"/>
      <w:bookmarkEnd w:id="1625"/>
    </w:p>
    <w:p w14:paraId="4BD56A8B">
      <w:pPr>
        <w:tabs>
          <w:tab w:val="left" w:pos="0"/>
          <w:tab w:val="left" w:pos="3165"/>
          <w:tab w:val="center" w:pos="4153"/>
        </w:tabs>
        <w:spacing w:before="0" w:after="0" w:line="480" w:lineRule="exact"/>
        <w:jc w:val="center"/>
        <w:outlineLvl w:val="9"/>
        <w:rPr>
          <w:rFonts w:hint="eastAsia" w:ascii="宋体" w:hAnsi="宋体" w:eastAsia="宋体" w:cs="宋体"/>
          <w:b/>
          <w:bCs/>
          <w:color w:val="auto"/>
          <w:sz w:val="28"/>
          <w:szCs w:val="28"/>
          <w:highlight w:val="none"/>
          <w:lang w:eastAsia="zh-CN"/>
        </w:rPr>
      </w:pPr>
      <w:r>
        <w:rPr>
          <w:rFonts w:hint="eastAsia" w:ascii="宋体" w:hAnsi="宋体" w:cs="宋体"/>
          <w:b/>
          <w:bCs/>
          <w:color w:val="auto"/>
          <w:sz w:val="32"/>
          <w:szCs w:val="32"/>
          <w:highlight w:val="none"/>
          <w:lang w:eastAsia="zh-CN"/>
        </w:rPr>
        <w:t>泽普县维吾尔医医院等级保护测评及网络安全设备采购项目</w:t>
      </w:r>
      <w:r>
        <w:rPr>
          <w:rFonts w:hint="eastAsia" w:ascii="宋体" w:hAnsi="宋体" w:eastAsia="宋体" w:cs="宋体"/>
          <w:b/>
          <w:bCs/>
          <w:color w:val="auto"/>
          <w:sz w:val="32"/>
          <w:szCs w:val="32"/>
          <w:highlight w:val="none"/>
          <w:lang w:eastAsia="zh-CN"/>
        </w:rPr>
        <w:t>公开招标公告</w:t>
      </w:r>
    </w:p>
    <w:p w14:paraId="02044115">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beforeAutospacing="0" w:afterAutospacing="0" w:line="380" w:lineRule="exact"/>
        <w:ind w:left="0" w:firstLine="482" w:firstLineChars="200"/>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项目概况</w:t>
      </w:r>
    </w:p>
    <w:p w14:paraId="6E94FF92">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val="0"/>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u w:val="single"/>
          <w:lang w:eastAsia="zh-CN"/>
        </w:rPr>
        <w:t>泽普县维吾尔医医院等级保护测评及网络安全设备采购项目</w:t>
      </w:r>
      <w:r>
        <w:rPr>
          <w:rFonts w:hint="eastAsia" w:ascii="宋体" w:hAnsi="宋体" w:eastAsia="宋体" w:cs="宋体"/>
          <w:color w:val="auto"/>
          <w:sz w:val="24"/>
          <w:szCs w:val="24"/>
          <w:highlight w:val="none"/>
        </w:rPr>
        <w:t>的潜在供应商应在</w:t>
      </w:r>
      <w:r>
        <w:rPr>
          <w:rFonts w:hint="eastAsia" w:ascii="宋体" w:hAnsi="宋体" w:eastAsia="宋体" w:cs="宋体"/>
          <w:color w:val="auto"/>
          <w:sz w:val="24"/>
          <w:szCs w:val="24"/>
          <w:highlight w:val="none"/>
          <w:u w:val="single"/>
          <w:lang w:val="en-US" w:eastAsia="zh-CN"/>
        </w:rPr>
        <w:t>政采云平台（https://login.zcygov.cn/user-login/#/login）</w:t>
      </w:r>
      <w:r>
        <w:rPr>
          <w:rFonts w:hint="eastAsia" w:ascii="宋体" w:hAnsi="宋体" w:eastAsia="宋体" w:cs="宋体"/>
          <w:color w:val="auto"/>
          <w:sz w:val="24"/>
          <w:szCs w:val="24"/>
          <w:highlight w:val="none"/>
        </w:rPr>
        <w:t>获取招标文件，并于</w:t>
      </w:r>
      <w:r>
        <w:rPr>
          <w:rFonts w:hint="eastAsia" w:ascii="宋体" w:hAnsi="宋体" w:eastAsia="宋体" w:cs="宋体"/>
          <w:color w:val="auto"/>
          <w:sz w:val="24"/>
          <w:szCs w:val="24"/>
          <w:highlight w:val="none"/>
          <w:u w:val="single"/>
          <w:lang w:eastAsia="zh-CN"/>
        </w:rPr>
        <w:t>20</w:t>
      </w:r>
      <w:r>
        <w:rPr>
          <w:rFonts w:hint="eastAsia" w:ascii="宋体" w:hAnsi="宋体" w:cs="宋体"/>
          <w:color w:val="auto"/>
          <w:sz w:val="24"/>
          <w:szCs w:val="24"/>
          <w:highlight w:val="none"/>
          <w:u w:val="single"/>
          <w:lang w:val="en-US" w:eastAsia="zh-CN"/>
        </w:rPr>
        <w:t>24</w:t>
      </w:r>
      <w:r>
        <w:rPr>
          <w:rFonts w:hint="eastAsia" w:ascii="宋体" w:hAnsi="宋体" w:eastAsia="宋体" w:cs="宋体"/>
          <w:color w:val="auto"/>
          <w:sz w:val="24"/>
          <w:szCs w:val="24"/>
          <w:highlight w:val="none"/>
          <w:u w:val="single"/>
          <w:lang w:eastAsia="zh-CN"/>
        </w:rPr>
        <w:t>年</w:t>
      </w:r>
      <w:r>
        <w:rPr>
          <w:rFonts w:hint="eastAsia" w:ascii="宋体" w:hAnsi="宋体" w:cs="宋体"/>
          <w:color w:val="auto"/>
          <w:sz w:val="24"/>
          <w:szCs w:val="24"/>
          <w:highlight w:val="none"/>
          <w:u w:val="single"/>
          <w:lang w:val="en-US" w:eastAsia="zh-CN"/>
        </w:rPr>
        <w:t>11</w:t>
      </w:r>
      <w:r>
        <w:rPr>
          <w:rFonts w:hint="eastAsia" w:ascii="宋体" w:hAnsi="宋体" w:cs="宋体"/>
          <w:color w:val="auto"/>
          <w:sz w:val="24"/>
          <w:szCs w:val="24"/>
          <w:highlight w:val="none"/>
          <w:u w:val="single"/>
          <w:lang w:eastAsia="zh-CN"/>
        </w:rPr>
        <w:t>月</w:t>
      </w:r>
      <w:r>
        <w:rPr>
          <w:rFonts w:hint="eastAsia" w:ascii="宋体" w:hAnsi="宋体" w:cs="宋体"/>
          <w:color w:val="auto"/>
          <w:sz w:val="24"/>
          <w:szCs w:val="24"/>
          <w:highlight w:val="none"/>
          <w:u w:val="single"/>
          <w:lang w:val="en-US" w:eastAsia="zh-CN"/>
        </w:rPr>
        <w:t>22</w:t>
      </w:r>
      <w:r>
        <w:rPr>
          <w:rFonts w:hint="eastAsia" w:ascii="宋体" w:hAnsi="宋体" w:cs="宋体"/>
          <w:color w:val="auto"/>
          <w:sz w:val="24"/>
          <w:szCs w:val="24"/>
          <w:highlight w:val="none"/>
          <w:u w:val="single"/>
          <w:lang w:eastAsia="zh-CN"/>
        </w:rPr>
        <w:t>日</w:t>
      </w:r>
      <w:r>
        <w:rPr>
          <w:rFonts w:hint="eastAsia" w:ascii="宋体" w:hAnsi="宋体" w:cs="宋体"/>
          <w:color w:val="auto"/>
          <w:sz w:val="24"/>
          <w:szCs w:val="24"/>
          <w:highlight w:val="none"/>
          <w:u w:val="single"/>
          <w:lang w:val="en-US" w:eastAsia="zh-CN"/>
        </w:rPr>
        <w:t>16</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eastAsia="zh-CN"/>
        </w:rPr>
        <w:t>00（北京时间）</w:t>
      </w:r>
      <w:r>
        <w:rPr>
          <w:rFonts w:hint="eastAsia" w:ascii="宋体" w:hAnsi="宋体" w:eastAsia="宋体" w:cs="宋体"/>
          <w:bCs/>
          <w:color w:val="auto"/>
          <w:sz w:val="24"/>
          <w:szCs w:val="24"/>
          <w:highlight w:val="none"/>
        </w:rPr>
        <w:t>前递交投标文件</w:t>
      </w:r>
      <w:r>
        <w:rPr>
          <w:rFonts w:hint="eastAsia" w:ascii="宋体" w:hAnsi="宋体" w:eastAsia="宋体" w:cs="宋体"/>
          <w:color w:val="auto"/>
          <w:sz w:val="24"/>
          <w:szCs w:val="24"/>
          <w:highlight w:val="none"/>
        </w:rPr>
        <w:t>。</w:t>
      </w:r>
      <w:bookmarkStart w:id="1636" w:name="_Toc28217"/>
      <w:bookmarkStart w:id="1637" w:name="_Toc28359002"/>
      <w:bookmarkStart w:id="1638" w:name="_Toc35393790"/>
      <w:bookmarkStart w:id="1639" w:name="_Toc28359079"/>
      <w:bookmarkStart w:id="1640" w:name="_Toc35393621"/>
      <w:bookmarkStart w:id="1641" w:name="_Hlk24379207"/>
    </w:p>
    <w:p w14:paraId="5061F998">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jc w:val="both"/>
        <w:textAlignment w:val="auto"/>
        <w:outlineLvl w:val="9"/>
        <w:rPr>
          <w:rFonts w:hint="eastAsia" w:ascii="宋体" w:hAnsi="宋体" w:eastAsia="宋体" w:cs="宋体"/>
          <w:b/>
          <w:bCs w:val="0"/>
          <w:color w:val="auto"/>
          <w:sz w:val="24"/>
          <w:szCs w:val="24"/>
          <w:highlight w:val="none"/>
        </w:rPr>
      </w:pPr>
      <w:bookmarkStart w:id="1642" w:name="_Toc28253"/>
      <w:bookmarkStart w:id="1643" w:name="_Toc20970"/>
      <w:r>
        <w:rPr>
          <w:rFonts w:hint="eastAsia" w:ascii="宋体" w:hAnsi="宋体" w:eastAsia="宋体" w:cs="宋体"/>
          <w:b/>
          <w:bCs w:val="0"/>
          <w:color w:val="auto"/>
          <w:sz w:val="24"/>
          <w:szCs w:val="24"/>
          <w:highlight w:val="none"/>
        </w:rPr>
        <w:t>一、</w:t>
      </w:r>
      <w:bookmarkEnd w:id="1636"/>
      <w:bookmarkEnd w:id="1637"/>
      <w:bookmarkEnd w:id="1638"/>
      <w:bookmarkEnd w:id="1639"/>
      <w:bookmarkEnd w:id="1640"/>
      <w:r>
        <w:rPr>
          <w:rFonts w:hint="eastAsia" w:ascii="宋体" w:hAnsi="宋体" w:eastAsia="宋体" w:cs="宋体"/>
          <w:b/>
          <w:bCs w:val="0"/>
          <w:color w:val="auto"/>
          <w:sz w:val="24"/>
          <w:szCs w:val="24"/>
          <w:highlight w:val="none"/>
        </w:rPr>
        <w:t>项目基本情况</w:t>
      </w:r>
      <w:bookmarkEnd w:id="1642"/>
      <w:bookmarkEnd w:id="1643"/>
    </w:p>
    <w:p w14:paraId="16D445A5">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项目编号：ZPDL(2024)069</w:t>
      </w:r>
    </w:p>
    <w:p w14:paraId="5C4BDF3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项目名称：</w:t>
      </w:r>
      <w:bookmarkEnd w:id="1641"/>
      <w:r>
        <w:rPr>
          <w:rFonts w:hint="eastAsia" w:ascii="宋体" w:hAnsi="宋体" w:cs="宋体"/>
          <w:color w:val="auto"/>
          <w:sz w:val="24"/>
          <w:szCs w:val="24"/>
          <w:highlight w:val="none"/>
          <w:lang w:eastAsia="zh-CN"/>
        </w:rPr>
        <w:t>泽普县维吾尔医医院等级保护测评及网络安全设备采购项目</w:t>
      </w:r>
    </w:p>
    <w:p w14:paraId="2B117DFD">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3.采购方式：公开招标</w:t>
      </w:r>
    </w:p>
    <w:p w14:paraId="63B9F75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4.总预算金额（元）：</w:t>
      </w:r>
      <w:r>
        <w:rPr>
          <w:rFonts w:hint="eastAsia" w:ascii="宋体" w:hAnsi="宋体" w:cs="宋体"/>
          <w:color w:val="auto"/>
          <w:sz w:val="24"/>
          <w:szCs w:val="24"/>
          <w:highlight w:val="none"/>
          <w:lang w:val="en-US" w:eastAsia="zh-CN"/>
        </w:rPr>
        <w:t>1300000</w:t>
      </w:r>
    </w:p>
    <w:p w14:paraId="7FC490B5">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5.最高限价（元）：</w:t>
      </w:r>
      <w:r>
        <w:rPr>
          <w:rFonts w:hint="eastAsia" w:ascii="宋体" w:hAnsi="宋体" w:cs="宋体"/>
          <w:color w:val="auto"/>
          <w:sz w:val="24"/>
          <w:szCs w:val="24"/>
          <w:highlight w:val="none"/>
          <w:lang w:val="en-US" w:eastAsia="zh-CN"/>
        </w:rPr>
        <w:t>1300000</w:t>
      </w:r>
    </w:p>
    <w:p w14:paraId="7E35A966">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6.采购需求：</w:t>
      </w:r>
    </w:p>
    <w:p w14:paraId="7A4E202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标项一</w:t>
      </w:r>
    </w:p>
    <w:p w14:paraId="1EF80E31">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cs="宋体"/>
          <w:color w:val="auto"/>
          <w:sz w:val="24"/>
          <w:szCs w:val="24"/>
          <w:highlight w:val="none"/>
          <w:lang w:eastAsia="zh-CN"/>
        </w:rPr>
      </w:pPr>
      <w:r>
        <w:rPr>
          <w:rFonts w:hint="eastAsia" w:ascii="宋体" w:hAnsi="宋体" w:cs="宋体"/>
          <w:b w:val="0"/>
          <w:bCs w:val="0"/>
          <w:color w:val="auto"/>
          <w:sz w:val="24"/>
          <w:szCs w:val="24"/>
          <w:highlight w:val="none"/>
          <w:lang w:val="en-US" w:eastAsia="zh-CN"/>
        </w:rPr>
        <w:t>项目</w:t>
      </w:r>
      <w:r>
        <w:rPr>
          <w:rFonts w:hint="eastAsia" w:ascii="宋体" w:hAnsi="宋体" w:eastAsia="宋体" w:cs="宋体"/>
          <w:b w:val="0"/>
          <w:bCs w:val="0"/>
          <w:color w:val="auto"/>
          <w:sz w:val="24"/>
          <w:szCs w:val="24"/>
          <w:highlight w:val="none"/>
          <w:lang w:val="en-US" w:eastAsia="zh-CN"/>
        </w:rPr>
        <w:t>名称：</w:t>
      </w:r>
      <w:r>
        <w:rPr>
          <w:rFonts w:hint="eastAsia" w:ascii="宋体" w:hAnsi="宋体" w:cs="宋体"/>
          <w:color w:val="auto"/>
          <w:sz w:val="24"/>
          <w:szCs w:val="24"/>
          <w:highlight w:val="none"/>
          <w:lang w:eastAsia="zh-CN"/>
        </w:rPr>
        <w:t>泽普县维吾尔医医院等级保护测评及网络安全设备采购项目</w:t>
      </w:r>
    </w:p>
    <w:p w14:paraId="5E6F5C75">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数量:一批</w:t>
      </w:r>
    </w:p>
    <w:p w14:paraId="4088D944">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预算金额（元）:</w:t>
      </w:r>
      <w:r>
        <w:rPr>
          <w:rFonts w:hint="eastAsia" w:ascii="宋体" w:hAnsi="宋体" w:cs="宋体"/>
          <w:color w:val="auto"/>
          <w:sz w:val="24"/>
          <w:szCs w:val="24"/>
          <w:highlight w:val="none"/>
          <w:lang w:val="en-US" w:eastAsia="zh-CN"/>
        </w:rPr>
        <w:t>1300000</w:t>
      </w:r>
    </w:p>
    <w:p w14:paraId="7585201B">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简要规格描述或项目基本概况介绍、用途：</w:t>
      </w:r>
      <w:r>
        <w:rPr>
          <w:rFonts w:hint="eastAsia" w:ascii="宋体" w:hAnsi="宋体" w:cs="宋体"/>
          <w:b w:val="0"/>
          <w:bCs w:val="0"/>
          <w:color w:val="auto"/>
          <w:sz w:val="24"/>
          <w:szCs w:val="24"/>
          <w:highlight w:val="none"/>
          <w:lang w:val="en-US" w:eastAsia="zh-CN"/>
        </w:rPr>
        <w:t>开展等级保护测评、采购防火墙等一批三级等保安全设备，优化数据机房环境、相关配套设施及设备；</w:t>
      </w:r>
    </w:p>
    <w:p w14:paraId="6BD9A324">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备注：/</w:t>
      </w:r>
    </w:p>
    <w:p w14:paraId="79358BF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合同履约期限：详见文件</w:t>
      </w:r>
    </w:p>
    <w:p w14:paraId="5EDB34C6">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本项目</w:t>
      </w:r>
      <w:r>
        <w:rPr>
          <w:rFonts w:hint="eastAsia" w:ascii="宋体" w:hAnsi="宋体" w:eastAsia="宋体" w:cs="宋体"/>
          <w:b w:val="0"/>
          <w:bCs w:val="0"/>
          <w:color w:val="auto"/>
          <w:sz w:val="24"/>
          <w:szCs w:val="24"/>
          <w:highlight w:val="none"/>
          <w:lang w:val="en-US" w:eastAsia="zh-CN"/>
        </w:rPr>
        <w:t>(否)</w:t>
      </w:r>
      <w:r>
        <w:rPr>
          <w:rFonts w:hint="eastAsia" w:ascii="宋体" w:hAnsi="宋体" w:eastAsia="宋体" w:cs="宋体"/>
          <w:b w:val="0"/>
          <w:bCs w:val="0"/>
          <w:color w:val="auto"/>
          <w:sz w:val="24"/>
          <w:szCs w:val="24"/>
          <w:highlight w:val="none"/>
        </w:rPr>
        <w:t>接受联合体投标。</w:t>
      </w:r>
    </w:p>
    <w:p w14:paraId="7385E31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jc w:val="both"/>
        <w:textAlignment w:val="auto"/>
        <w:outlineLvl w:val="9"/>
        <w:rPr>
          <w:rFonts w:hint="eastAsia" w:ascii="宋体" w:hAnsi="宋体" w:eastAsia="宋体" w:cs="宋体"/>
          <w:b/>
          <w:color w:val="auto"/>
          <w:sz w:val="24"/>
          <w:szCs w:val="24"/>
          <w:highlight w:val="none"/>
        </w:rPr>
      </w:pPr>
      <w:bookmarkStart w:id="1644" w:name="_Toc35393791"/>
      <w:bookmarkStart w:id="1645" w:name="_Toc1145"/>
      <w:bookmarkStart w:id="1646" w:name="_Toc13688"/>
      <w:bookmarkStart w:id="1647" w:name="_Toc28359003"/>
      <w:bookmarkStart w:id="1648" w:name="_Toc28359080"/>
      <w:bookmarkStart w:id="1649" w:name="_Toc29506"/>
      <w:bookmarkStart w:id="1650" w:name="_Toc35393622"/>
      <w:bookmarkStart w:id="1651" w:name="_Toc19260"/>
      <w:r>
        <w:rPr>
          <w:rFonts w:hint="eastAsia" w:ascii="宋体" w:hAnsi="宋体" w:eastAsia="宋体" w:cs="宋体"/>
          <w:b/>
          <w:color w:val="auto"/>
          <w:sz w:val="24"/>
          <w:szCs w:val="24"/>
          <w:highlight w:val="none"/>
        </w:rPr>
        <w:t>二、</w:t>
      </w:r>
      <w:r>
        <w:rPr>
          <w:rFonts w:hint="eastAsia" w:ascii="宋体" w:hAnsi="宋体" w:eastAsia="宋体" w:cs="宋体"/>
          <w:b/>
          <w:color w:val="auto"/>
          <w:sz w:val="24"/>
          <w:szCs w:val="24"/>
          <w:highlight w:val="none"/>
          <w:lang w:val="en-US" w:eastAsia="zh-CN"/>
        </w:rPr>
        <w:t>申请人的</w:t>
      </w:r>
      <w:r>
        <w:rPr>
          <w:rFonts w:hint="eastAsia" w:ascii="宋体" w:hAnsi="宋体" w:eastAsia="宋体" w:cs="宋体"/>
          <w:b/>
          <w:color w:val="auto"/>
          <w:sz w:val="24"/>
          <w:szCs w:val="24"/>
          <w:highlight w:val="none"/>
        </w:rPr>
        <w:t>资格要求：</w:t>
      </w:r>
      <w:bookmarkEnd w:id="1644"/>
      <w:bookmarkEnd w:id="1645"/>
      <w:bookmarkEnd w:id="1646"/>
      <w:bookmarkEnd w:id="1647"/>
      <w:bookmarkEnd w:id="1648"/>
      <w:bookmarkEnd w:id="1649"/>
      <w:bookmarkEnd w:id="1650"/>
      <w:bookmarkEnd w:id="1651"/>
    </w:p>
    <w:p w14:paraId="3A57E68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1.满足《中华人民共和国政府采购法》第二十二条规定：</w:t>
      </w:r>
    </w:p>
    <w:p w14:paraId="0B48C37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（1）具有有效的营业执照；</w:t>
      </w:r>
    </w:p>
    <w:p w14:paraId="157AEED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（2）法定代表人资格证明；</w:t>
      </w:r>
    </w:p>
    <w:p w14:paraId="2A1DF49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（3）提供近两年内任意一年的财务审计报告（成立未满十二个月的新公司可提供近三个月内任意一个月的银行资信证明）；</w:t>
      </w:r>
    </w:p>
    <w:p w14:paraId="0DEC03F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（4）依法缴纳近六个月内任意一个月社会保险证明；</w:t>
      </w:r>
    </w:p>
    <w:p w14:paraId="21000AC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（5）依法缴纳近六个月内任意一个月税收证明；</w:t>
      </w:r>
    </w:p>
    <w:p w14:paraId="6B16A434">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w:t>
      </w:r>
      <w:r>
        <w:rPr>
          <w:rFonts w:hint="eastAsia" w:ascii="宋体" w:hAnsi="宋体" w:cs="宋体"/>
          <w:b w:val="0"/>
          <w:bCs w:val="0"/>
          <w:color w:val="auto"/>
          <w:sz w:val="24"/>
          <w:szCs w:val="24"/>
          <w:highlight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s://www.gsxt.gov.cn/）”列入经营异常名录信息、严重违法失信名单（黑名单）信息的；将拒绝其参加本次招标活动；</w:t>
      </w:r>
      <w:r>
        <w:rPr>
          <w:rFonts w:hint="eastAsia" w:ascii="宋体" w:hAnsi="宋体" w:eastAsia="宋体" w:cs="宋体"/>
          <w:b w:val="0"/>
          <w:bCs w:val="0"/>
          <w:color w:val="auto"/>
          <w:sz w:val="24"/>
          <w:szCs w:val="24"/>
          <w:highlight w:val="none"/>
          <w:lang w:val="en-US" w:eastAsia="zh-CN"/>
        </w:rPr>
        <w:t>（以采购代理机构或采购人查询为准）；</w:t>
      </w:r>
    </w:p>
    <w:p w14:paraId="4BB6281C">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（7）参加政府采购活动前3年内在经营活动中没有重大违法记录的书面声明。</w:t>
      </w:r>
    </w:p>
    <w:p w14:paraId="46373E1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bookmarkStart w:id="1652" w:name="_Toc28359004"/>
      <w:bookmarkStart w:id="1653" w:name="_Toc32226"/>
      <w:bookmarkStart w:id="1654" w:name="_Toc27678"/>
      <w:bookmarkStart w:id="1655" w:name="_Toc35393792"/>
      <w:bookmarkStart w:id="1656" w:name="_Toc35393623"/>
      <w:bookmarkStart w:id="1657" w:name="_Toc28359081"/>
      <w:r>
        <w:rPr>
          <w:rFonts w:hint="eastAsia" w:ascii="宋体" w:hAnsi="宋体" w:eastAsia="宋体" w:cs="宋体"/>
          <w:b w:val="0"/>
          <w:bCs w:val="0"/>
          <w:color w:val="auto"/>
          <w:sz w:val="24"/>
          <w:szCs w:val="24"/>
          <w:highlight w:val="none"/>
          <w:lang w:val="en-US" w:eastAsia="zh-CN"/>
        </w:rPr>
        <w:t>2.落实政府采购政策需满足的资格要求：</w:t>
      </w:r>
      <w:r>
        <w:rPr>
          <w:rFonts w:hint="eastAsia" w:ascii="宋体" w:hAnsi="宋体" w:cs="宋体"/>
          <w:b w:val="0"/>
          <w:bCs w:val="0"/>
          <w:color w:val="auto"/>
          <w:sz w:val="24"/>
          <w:szCs w:val="24"/>
          <w:highlight w:val="none"/>
          <w:lang w:val="en-US" w:eastAsia="zh-CN"/>
        </w:rPr>
        <w:t>本项目专门面向中小企业。</w:t>
      </w:r>
    </w:p>
    <w:p w14:paraId="517B2E16">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3.本项目的特定资格要求：</w:t>
      </w:r>
      <w:r>
        <w:rPr>
          <w:rFonts w:hint="eastAsia" w:ascii="宋体" w:hAnsi="宋体" w:cs="宋体"/>
          <w:b w:val="0"/>
          <w:bCs w:val="0"/>
          <w:color w:val="auto"/>
          <w:sz w:val="24"/>
          <w:szCs w:val="24"/>
          <w:highlight w:val="none"/>
          <w:lang w:val="en-US" w:eastAsia="zh-CN"/>
        </w:rPr>
        <w:t>供应商需具备由公安部第三研究所颁发的网络安全等级测评与检测评估机构服务认证证书;</w:t>
      </w:r>
    </w:p>
    <w:p w14:paraId="04B90737">
      <w:pPr>
        <w:keepNext w:val="0"/>
        <w:keepLines w:val="0"/>
        <w:pageBreakBefore w:val="0"/>
        <w:kinsoku/>
        <w:overflowPunct/>
        <w:topLinePunct w:val="0"/>
        <w:autoSpaceDE/>
        <w:autoSpaceDN/>
        <w:bidi w:val="0"/>
        <w:adjustRightInd/>
        <w:snapToGrid/>
        <w:spacing w:line="380" w:lineRule="exac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三、获取招标文件</w:t>
      </w:r>
      <w:bookmarkEnd w:id="1652"/>
      <w:bookmarkEnd w:id="1653"/>
      <w:bookmarkEnd w:id="1654"/>
      <w:bookmarkEnd w:id="1655"/>
      <w:bookmarkEnd w:id="1656"/>
      <w:bookmarkEnd w:id="1657"/>
    </w:p>
    <w:p w14:paraId="56F25BEC">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获取时间：</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年</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月</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日至20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年</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月</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日</w:t>
      </w:r>
      <w:r>
        <w:rPr>
          <w:rFonts w:hint="eastAsia" w:ascii="宋体" w:hAnsi="宋体" w:eastAsia="宋体" w:cs="宋体"/>
          <w:color w:val="auto"/>
          <w:sz w:val="24"/>
          <w:szCs w:val="24"/>
          <w:highlight w:val="none"/>
        </w:rPr>
        <w:t>，每天上午10:00至14:00，下午</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至</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（北京时间，法定节假日除外）</w:t>
      </w:r>
    </w:p>
    <w:p w14:paraId="6AFA4C8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red"/>
        </w:rPr>
      </w:pPr>
      <w:r>
        <w:rPr>
          <w:rFonts w:hint="eastAsia" w:ascii="宋体" w:hAnsi="宋体" w:eastAsia="宋体" w:cs="宋体"/>
          <w:color w:val="auto"/>
          <w:sz w:val="24"/>
          <w:szCs w:val="24"/>
          <w:highlight w:val="none"/>
        </w:rPr>
        <w:t>获取方式：</w:t>
      </w:r>
      <w:r>
        <w:rPr>
          <w:rFonts w:hint="eastAsia" w:ascii="宋体" w:hAnsi="宋体" w:eastAsia="宋体" w:cs="宋体"/>
          <w:color w:val="auto"/>
          <w:sz w:val="24"/>
          <w:szCs w:val="24"/>
          <w:highlight w:val="none"/>
          <w:lang w:val="en-US" w:eastAsia="zh-CN"/>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5B73251A">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获取地点：</w:t>
      </w:r>
      <w:r>
        <w:rPr>
          <w:rFonts w:hint="eastAsia" w:ascii="宋体" w:hAnsi="宋体" w:eastAsia="宋体" w:cs="宋体"/>
          <w:color w:val="auto"/>
          <w:sz w:val="24"/>
          <w:szCs w:val="24"/>
          <w:highlight w:val="none"/>
          <w:lang w:val="en-US" w:eastAsia="zh-CN"/>
        </w:rPr>
        <w:t>政采云平台（https://login.zcygov.cn/user-login/#/login）</w:t>
      </w:r>
    </w:p>
    <w:p w14:paraId="2B933B1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eastAsia="zh-CN"/>
        </w:rPr>
        <w:t>售价（元</w:t>
      </w:r>
      <w:r>
        <w:rPr>
          <w:rFonts w:hint="eastAsia" w:ascii="宋体" w:hAnsi="宋体" w:eastAsia="宋体" w:cs="宋体"/>
          <w:color w:val="auto"/>
          <w:sz w:val="24"/>
          <w:szCs w:val="24"/>
          <w:highlight w:val="none"/>
          <w:u w:val="none"/>
          <w:lang w:eastAsia="zh-CN"/>
        </w:rPr>
        <w:t>）：</w:t>
      </w:r>
      <w:r>
        <w:rPr>
          <w:rFonts w:hint="eastAsia" w:ascii="宋体" w:hAnsi="宋体" w:eastAsia="宋体" w:cs="宋体"/>
          <w:color w:val="auto"/>
          <w:sz w:val="24"/>
          <w:szCs w:val="24"/>
          <w:highlight w:val="none"/>
          <w:u w:val="none"/>
          <w:lang w:val="en-US" w:eastAsia="zh-CN"/>
        </w:rPr>
        <w:t>0元</w:t>
      </w:r>
    </w:p>
    <w:p w14:paraId="36A09372">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jc w:val="both"/>
        <w:textAlignment w:val="auto"/>
        <w:outlineLvl w:val="9"/>
        <w:rPr>
          <w:rFonts w:hint="eastAsia" w:ascii="宋体" w:hAnsi="宋体" w:eastAsia="宋体" w:cs="宋体"/>
          <w:b/>
          <w:bCs w:val="0"/>
          <w:color w:val="auto"/>
          <w:sz w:val="24"/>
          <w:szCs w:val="24"/>
          <w:highlight w:val="none"/>
          <w:u w:val="none"/>
        </w:rPr>
      </w:pPr>
      <w:bookmarkStart w:id="1658" w:name="_Toc28359005"/>
      <w:bookmarkStart w:id="1659" w:name="_Toc28359082"/>
      <w:bookmarkStart w:id="1660" w:name="_Toc9047"/>
      <w:bookmarkStart w:id="1661" w:name="_Toc35393624"/>
      <w:bookmarkStart w:id="1662" w:name="_Toc2422"/>
      <w:bookmarkStart w:id="1663" w:name="_Toc2532"/>
      <w:bookmarkStart w:id="1664" w:name="_Toc35393793"/>
      <w:bookmarkStart w:id="1665" w:name="_Toc952"/>
      <w:r>
        <w:rPr>
          <w:rFonts w:hint="eastAsia" w:ascii="宋体" w:hAnsi="宋体" w:eastAsia="宋体" w:cs="宋体"/>
          <w:b/>
          <w:bCs w:val="0"/>
          <w:color w:val="auto"/>
          <w:sz w:val="24"/>
          <w:szCs w:val="24"/>
          <w:highlight w:val="none"/>
          <w:u w:val="none"/>
        </w:rPr>
        <w:t>四、提交投标文件</w:t>
      </w:r>
      <w:bookmarkEnd w:id="1658"/>
      <w:bookmarkEnd w:id="1659"/>
      <w:r>
        <w:rPr>
          <w:rFonts w:hint="eastAsia" w:ascii="宋体" w:hAnsi="宋体" w:eastAsia="宋体" w:cs="宋体"/>
          <w:b/>
          <w:bCs w:val="0"/>
          <w:color w:val="auto"/>
          <w:sz w:val="24"/>
          <w:szCs w:val="24"/>
          <w:highlight w:val="none"/>
          <w:u w:val="none"/>
        </w:rPr>
        <w:t>截止时间、开标时间和地点</w:t>
      </w:r>
      <w:bookmarkEnd w:id="1660"/>
      <w:bookmarkEnd w:id="1661"/>
      <w:bookmarkEnd w:id="1662"/>
      <w:bookmarkEnd w:id="1663"/>
      <w:bookmarkEnd w:id="1664"/>
      <w:bookmarkEnd w:id="1665"/>
    </w:p>
    <w:p w14:paraId="0875B968">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bCs/>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提交投标文件截止</w:t>
      </w:r>
      <w:r>
        <w:rPr>
          <w:rFonts w:hint="eastAsia" w:ascii="宋体" w:hAnsi="宋体" w:eastAsia="宋体" w:cs="宋体"/>
          <w:color w:val="auto"/>
          <w:sz w:val="24"/>
          <w:szCs w:val="24"/>
          <w:highlight w:val="none"/>
          <w:u w:val="none"/>
        </w:rPr>
        <w:t>时间：</w:t>
      </w:r>
      <w:bookmarkStart w:id="1666" w:name="_Toc28359007"/>
      <w:bookmarkStart w:id="1667" w:name="_Toc28359084"/>
      <w:bookmarkStart w:id="1668" w:name="_Toc35393794"/>
      <w:bookmarkStart w:id="1669" w:name="_Toc35393625"/>
      <w:r>
        <w:rPr>
          <w:rFonts w:hint="eastAsia" w:ascii="宋体" w:hAnsi="宋体" w:eastAsia="宋体" w:cs="宋体"/>
          <w:color w:val="auto"/>
          <w:sz w:val="24"/>
          <w:szCs w:val="24"/>
          <w:highlight w:val="none"/>
          <w:u w:val="none"/>
        </w:rPr>
        <w:t>202</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rPr>
        <w:t>年</w:t>
      </w:r>
      <w:r>
        <w:rPr>
          <w:rFonts w:hint="eastAsia" w:ascii="宋体" w:hAnsi="宋体" w:cs="宋体"/>
          <w:color w:val="auto"/>
          <w:sz w:val="24"/>
          <w:szCs w:val="24"/>
          <w:highlight w:val="none"/>
          <w:u w:val="none"/>
          <w:lang w:val="en-US" w:eastAsia="zh-CN"/>
        </w:rPr>
        <w:t>11月22日</w:t>
      </w:r>
      <w:r>
        <w:rPr>
          <w:rFonts w:hint="eastAsia" w:ascii="宋体" w:hAnsi="宋体" w:eastAsia="宋体" w:cs="宋体"/>
          <w:color w:val="auto"/>
          <w:sz w:val="24"/>
          <w:szCs w:val="24"/>
          <w:highlight w:val="none"/>
          <w:u w:val="none"/>
        </w:rPr>
        <w:t>1</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rPr>
        <w:t>:00</w:t>
      </w:r>
      <w:r>
        <w:rPr>
          <w:rFonts w:hint="eastAsia" w:ascii="宋体" w:hAnsi="宋体" w:eastAsia="宋体" w:cs="宋体"/>
          <w:color w:val="auto"/>
          <w:sz w:val="24"/>
          <w:szCs w:val="24"/>
          <w:highlight w:val="none"/>
          <w:u w:val="none"/>
          <w:lang w:eastAsia="zh-CN"/>
        </w:rPr>
        <w:t>（北京时间）</w:t>
      </w:r>
    </w:p>
    <w:p w14:paraId="44CCF69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eastAsia="zh-CN"/>
        </w:rPr>
        <w:t>投标</w:t>
      </w:r>
      <w:r>
        <w:rPr>
          <w:rFonts w:hint="eastAsia" w:ascii="宋体" w:hAnsi="宋体" w:eastAsia="宋体" w:cs="宋体"/>
          <w:color w:val="auto"/>
          <w:sz w:val="24"/>
          <w:szCs w:val="24"/>
          <w:highlight w:val="none"/>
          <w:u w:val="none"/>
        </w:rPr>
        <w:t>地点：</w:t>
      </w:r>
      <w:r>
        <w:rPr>
          <w:rFonts w:hint="eastAsia" w:ascii="宋体" w:hAnsi="宋体" w:eastAsia="宋体" w:cs="宋体"/>
          <w:color w:val="auto"/>
          <w:sz w:val="24"/>
          <w:szCs w:val="24"/>
          <w:highlight w:val="none"/>
          <w:u w:val="none"/>
          <w:lang w:val="en-US" w:eastAsia="zh-CN"/>
        </w:rPr>
        <w:t>请登录政采云投标客户端投标</w:t>
      </w:r>
    </w:p>
    <w:p w14:paraId="09CE789B">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开标时间：202</w:t>
      </w:r>
      <w:r>
        <w:rPr>
          <w:rFonts w:hint="eastAsia" w:ascii="宋体" w:hAnsi="宋体" w:cs="宋体"/>
          <w:color w:val="auto"/>
          <w:sz w:val="24"/>
          <w:szCs w:val="24"/>
          <w:highlight w:val="none"/>
          <w:u w:val="none"/>
          <w:lang w:val="en-US" w:eastAsia="zh-CN"/>
        </w:rPr>
        <w:t>4</w:t>
      </w:r>
      <w:r>
        <w:rPr>
          <w:rFonts w:hint="eastAsia" w:ascii="宋体" w:hAnsi="宋体" w:eastAsia="宋体" w:cs="宋体"/>
          <w:color w:val="auto"/>
          <w:sz w:val="24"/>
          <w:szCs w:val="24"/>
          <w:highlight w:val="none"/>
          <w:u w:val="none"/>
          <w:lang w:eastAsia="zh-CN"/>
        </w:rPr>
        <w:t>年</w:t>
      </w:r>
      <w:r>
        <w:rPr>
          <w:rFonts w:hint="eastAsia" w:ascii="宋体" w:hAnsi="宋体" w:cs="宋体"/>
          <w:color w:val="auto"/>
          <w:sz w:val="24"/>
          <w:szCs w:val="24"/>
          <w:highlight w:val="none"/>
          <w:u w:val="none"/>
          <w:lang w:val="en-US" w:eastAsia="zh-CN"/>
        </w:rPr>
        <w:t>11月22日</w:t>
      </w:r>
      <w:r>
        <w:rPr>
          <w:rFonts w:hint="eastAsia" w:ascii="宋体" w:hAnsi="宋体" w:eastAsia="宋体" w:cs="宋体"/>
          <w:color w:val="auto"/>
          <w:sz w:val="24"/>
          <w:szCs w:val="24"/>
          <w:highlight w:val="none"/>
          <w:u w:val="none"/>
          <w:lang w:eastAsia="zh-CN"/>
        </w:rPr>
        <w:t>1</w:t>
      </w:r>
      <w:r>
        <w:rPr>
          <w:rFonts w:hint="eastAsia" w:ascii="宋体" w:hAnsi="宋体" w:cs="宋体"/>
          <w:color w:val="auto"/>
          <w:sz w:val="24"/>
          <w:szCs w:val="24"/>
          <w:highlight w:val="none"/>
          <w:u w:val="none"/>
          <w:lang w:val="en-US" w:eastAsia="zh-CN"/>
        </w:rPr>
        <w:t>6</w:t>
      </w:r>
      <w:r>
        <w:rPr>
          <w:rFonts w:hint="eastAsia" w:ascii="宋体" w:hAnsi="宋体" w:eastAsia="宋体" w:cs="宋体"/>
          <w:color w:val="auto"/>
          <w:sz w:val="24"/>
          <w:szCs w:val="24"/>
          <w:highlight w:val="none"/>
          <w:u w:val="none"/>
          <w:lang w:eastAsia="zh-CN"/>
        </w:rPr>
        <w:t>:00（北京时间）</w:t>
      </w:r>
    </w:p>
    <w:p w14:paraId="45337E70">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jc w:val="both"/>
        <w:textAlignment w:val="auto"/>
        <w:outlineLvl w:val="9"/>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eastAsia="zh-CN"/>
        </w:rPr>
        <w:t>开标地点：</w:t>
      </w:r>
      <w:bookmarkStart w:id="1670" w:name="_Toc30400"/>
      <w:bookmarkStart w:id="1671" w:name="_Toc23672"/>
      <w:bookmarkStart w:id="1672" w:name="_Toc32108"/>
      <w:bookmarkStart w:id="1673" w:name="_Toc20863"/>
      <w:r>
        <w:rPr>
          <w:rFonts w:hint="eastAsia" w:ascii="宋体" w:hAnsi="宋体" w:eastAsia="宋体" w:cs="宋体"/>
          <w:color w:val="auto"/>
          <w:sz w:val="24"/>
          <w:szCs w:val="24"/>
          <w:highlight w:val="none"/>
          <w:u w:val="none"/>
          <w:lang w:val="en-US" w:eastAsia="zh-CN"/>
        </w:rPr>
        <w:t>供应商登录政采云平台https://www.zcygov.cn/，进入“项目采购-开标评标-右边选择对应项目点击“进入项目”进入开标大厅。</w:t>
      </w:r>
    </w:p>
    <w:p w14:paraId="58F0C589">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jc w:val="both"/>
        <w:textAlignment w:val="auto"/>
        <w:outlineLvl w:val="9"/>
        <w:rPr>
          <w:rFonts w:hint="eastAsia" w:ascii="宋体" w:hAnsi="宋体" w:eastAsia="宋体" w:cs="宋体"/>
          <w:b/>
          <w:bCs w:val="0"/>
          <w:color w:val="auto"/>
          <w:sz w:val="24"/>
          <w:szCs w:val="24"/>
          <w:highlight w:val="none"/>
          <w:u w:val="none"/>
        </w:rPr>
      </w:pPr>
      <w:r>
        <w:rPr>
          <w:rFonts w:hint="eastAsia" w:ascii="宋体" w:hAnsi="宋体" w:eastAsia="宋体" w:cs="宋体"/>
          <w:b/>
          <w:bCs w:val="0"/>
          <w:color w:val="auto"/>
          <w:sz w:val="24"/>
          <w:szCs w:val="24"/>
          <w:highlight w:val="none"/>
          <w:u w:val="none"/>
        </w:rPr>
        <w:t>五、公告期限</w:t>
      </w:r>
      <w:bookmarkEnd w:id="1666"/>
      <w:bookmarkEnd w:id="1667"/>
      <w:bookmarkEnd w:id="1668"/>
      <w:bookmarkEnd w:id="1669"/>
      <w:bookmarkEnd w:id="1670"/>
      <w:bookmarkEnd w:id="1671"/>
      <w:bookmarkEnd w:id="1672"/>
      <w:bookmarkEnd w:id="1673"/>
    </w:p>
    <w:p w14:paraId="13916AF4">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自本公告发布之日起5个工作日。</w:t>
      </w:r>
    </w:p>
    <w:p w14:paraId="19D3D9D7">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jc w:val="both"/>
        <w:textAlignment w:val="auto"/>
        <w:outlineLvl w:val="9"/>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lang w:eastAsia="zh-CN"/>
        </w:rPr>
        <w:t>六、其它补充事宜</w:t>
      </w:r>
    </w:p>
    <w:p w14:paraId="728EDE36">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80" w:lineRule="exact"/>
        <w:ind w:left="0" w:leftChars="0" w:firstLine="54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7F8BC7C6">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80" w:lineRule="exact"/>
        <w:ind w:left="0" w:leftChars="0" w:firstLine="54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2.本项目实行网上投标，采用电子投标文件(供应商须使用CA加密设备通过政采云电子投标客户端制作投标文件)。若供应商参与投标，自行承担投标一切费用。</w:t>
      </w:r>
    </w:p>
    <w:p w14:paraId="6CBE6984">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80" w:lineRule="exact"/>
        <w:ind w:left="0" w:leftChars="0" w:firstLine="54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3.各供应商应在开标前应确保成为新疆政府采购网正式注册入库供应商，并完成CA数字证书申领。因未注册入库、未办理CA数字证书等原因造成无法投标或投标失败等后果由供应商自行承担。</w:t>
      </w:r>
    </w:p>
    <w:p w14:paraId="016C157E">
      <w:pPr>
        <w:keepNext w:val="0"/>
        <w:keepLines w:val="0"/>
        <w:pageBreakBefore w:val="0"/>
        <w:widowControl w:val="0"/>
        <w:shd w:val="clear" w:color="auto" w:fill="auto"/>
        <w:kinsoku/>
        <w:wordWrap w:val="0"/>
        <w:overflowPunct/>
        <w:topLinePunct w:val="0"/>
        <w:autoSpaceDE/>
        <w:autoSpaceDN/>
        <w:bidi w:val="0"/>
        <w:adjustRightInd/>
        <w:snapToGrid/>
        <w:spacing w:beforeAutospacing="0" w:afterAutospacing="0" w:line="380" w:lineRule="exact"/>
        <w:ind w:left="0" w:leftChars="0" w:firstLine="539"/>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w:t>
      </w:r>
      <w:r>
        <w:rPr>
          <w:rFonts w:hint="eastAsia" w:ascii="宋体" w:hAnsi="宋体" w:cs="宋体"/>
          <w:color w:val="auto"/>
          <w:sz w:val="24"/>
          <w:szCs w:val="24"/>
          <w:highlight w:val="none"/>
          <w:lang w:val="en-US" w:eastAsia="zh-CN"/>
        </w:rPr>
        <w:t>95763</w:t>
      </w:r>
      <w:r>
        <w:rPr>
          <w:rFonts w:hint="eastAsia" w:ascii="宋体" w:hAnsi="宋体" w:eastAsia="宋体" w:cs="宋体"/>
          <w:color w:val="auto"/>
          <w:sz w:val="24"/>
          <w:szCs w:val="24"/>
          <w:highlight w:val="none"/>
          <w:lang w:val="en-US" w:eastAsia="zh-CN"/>
        </w:rPr>
        <w:t>进行咨询。</w:t>
      </w:r>
    </w:p>
    <w:p w14:paraId="2AE8815F">
      <w:pPr>
        <w:keepNext w:val="0"/>
        <w:keepLines w:val="0"/>
        <w:pageBreakBefore w:val="0"/>
        <w:widowControl w:val="0"/>
        <w:shd w:val="clear" w:color="auto" w:fill="auto"/>
        <w:kinsoku/>
        <w:wordWrap w:val="0"/>
        <w:overflowPunct/>
        <w:topLinePunct w:val="0"/>
        <w:autoSpaceDE/>
        <w:autoSpaceDN/>
        <w:bidi w:val="0"/>
        <w:adjustRightInd/>
        <w:snapToGrid/>
        <w:spacing w:beforeAutospacing="0" w:afterAutospacing="0" w:line="380" w:lineRule="exact"/>
        <w:ind w:left="0" w:leftChars="0" w:firstLine="539"/>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5.供应商在开标时须使用制作加密电子投标文件所使用的CA锁及电脑，电脑须提前配置好浏览器（</w:t>
      </w:r>
      <w:r>
        <w:rPr>
          <w:rFonts w:hint="eastAsia" w:ascii="宋体" w:hAnsi="宋体" w:cs="宋体"/>
          <w:color w:val="auto"/>
          <w:sz w:val="24"/>
          <w:szCs w:val="24"/>
          <w:highlight w:val="none"/>
          <w:lang w:val="en-US" w:eastAsia="zh-CN"/>
        </w:rPr>
        <w:t>建议使用360浏览器或谷歌浏览器</w:t>
      </w:r>
      <w:r>
        <w:rPr>
          <w:rFonts w:hint="eastAsia" w:ascii="宋体" w:hAnsi="宋体" w:eastAsia="宋体" w:cs="宋体"/>
          <w:color w:val="auto"/>
          <w:sz w:val="24"/>
          <w:szCs w:val="24"/>
          <w:highlight w:val="none"/>
          <w:lang w:val="en-US" w:eastAsia="zh-CN"/>
        </w:rPr>
        <w:t>），以便开标时解锁。</w:t>
      </w:r>
    </w:p>
    <w:p w14:paraId="2AB9562B">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380" w:lineRule="exact"/>
        <w:ind w:left="0" w:leftChars="0" w:firstLine="54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6.投标保证金缴纳及确认时间：凡拟参加本次招标项目的供应商，必须在开标前将投标保证金汇入指定账户。投标保证金汇款凭证上用途栏应注明:招标项目名称+标项号+投标保证金。否则，届时其投标将被拒绝。</w:t>
      </w:r>
    </w:p>
    <w:p w14:paraId="495DC279">
      <w:pPr>
        <w:keepNext w:val="0"/>
        <w:keepLines w:val="0"/>
        <w:pageBreakBefore w:val="0"/>
        <w:widowControl w:val="0"/>
        <w:shd w:val="clear" w:color="auto" w:fill="auto"/>
        <w:kinsoku/>
        <w:wordWrap w:val="0"/>
        <w:overflowPunct/>
        <w:topLinePunct w:val="0"/>
        <w:autoSpaceDE/>
        <w:autoSpaceDN/>
        <w:bidi w:val="0"/>
        <w:adjustRightInd/>
        <w:snapToGrid/>
        <w:spacing w:beforeAutospacing="0" w:afterAutospacing="0" w:line="380" w:lineRule="exact"/>
        <w:ind w:left="0" w:leftChars="0" w:firstLine="539"/>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56633C15">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jc w:val="left"/>
        <w:textAlignment w:val="auto"/>
        <w:outlineLvl w:val="9"/>
        <w:rPr>
          <w:rFonts w:hint="eastAsia" w:ascii="宋体" w:hAnsi="宋体" w:eastAsia="宋体" w:cs="宋体"/>
          <w:b/>
          <w:bCs w:val="0"/>
          <w:color w:val="auto"/>
          <w:sz w:val="24"/>
          <w:szCs w:val="24"/>
          <w:highlight w:val="none"/>
        </w:rPr>
      </w:pPr>
      <w:bookmarkStart w:id="1674" w:name="_Toc35393626"/>
      <w:bookmarkStart w:id="1675" w:name="_Toc35393795"/>
      <w:bookmarkStart w:id="1676" w:name="_Toc999"/>
      <w:bookmarkStart w:id="1677" w:name="_Toc18258"/>
      <w:bookmarkStart w:id="1678" w:name="_Toc13675"/>
      <w:bookmarkStart w:id="1679" w:name="_Toc647"/>
      <w:r>
        <w:rPr>
          <w:rFonts w:hint="eastAsia" w:ascii="宋体" w:hAnsi="宋体" w:eastAsia="宋体" w:cs="宋体"/>
          <w:b/>
          <w:bCs w:val="0"/>
          <w:color w:val="auto"/>
          <w:sz w:val="24"/>
          <w:szCs w:val="24"/>
          <w:highlight w:val="none"/>
          <w:lang w:val="en-US" w:eastAsia="zh-CN"/>
        </w:rPr>
        <w:t>七</w:t>
      </w:r>
      <w:r>
        <w:rPr>
          <w:rFonts w:hint="eastAsia" w:ascii="宋体" w:hAnsi="宋体" w:eastAsia="宋体" w:cs="宋体"/>
          <w:b/>
          <w:bCs w:val="0"/>
          <w:color w:val="auto"/>
          <w:sz w:val="24"/>
          <w:szCs w:val="24"/>
          <w:highlight w:val="none"/>
        </w:rPr>
        <w:t>、</w:t>
      </w:r>
      <w:bookmarkEnd w:id="1674"/>
      <w:bookmarkEnd w:id="1675"/>
      <w:bookmarkStart w:id="1680" w:name="_Toc28359085"/>
      <w:bookmarkStart w:id="1681" w:name="_Toc35393796"/>
      <w:bookmarkStart w:id="1682" w:name="_Toc35393627"/>
      <w:bookmarkStart w:id="1683" w:name="_Toc28359008"/>
      <w:r>
        <w:rPr>
          <w:rFonts w:hint="eastAsia" w:ascii="宋体" w:hAnsi="宋体" w:eastAsia="宋体" w:cs="宋体"/>
          <w:b/>
          <w:bCs w:val="0"/>
          <w:color w:val="auto"/>
          <w:sz w:val="24"/>
          <w:szCs w:val="24"/>
          <w:highlight w:val="none"/>
        </w:rPr>
        <w:t>对本次采购提出询问，请按以下方式联系。</w:t>
      </w:r>
      <w:bookmarkEnd w:id="1676"/>
      <w:bookmarkEnd w:id="1677"/>
      <w:bookmarkEnd w:id="1678"/>
      <w:bookmarkEnd w:id="1679"/>
      <w:bookmarkEnd w:id="1680"/>
      <w:bookmarkEnd w:id="1681"/>
      <w:bookmarkEnd w:id="1682"/>
      <w:bookmarkEnd w:id="1683"/>
    </w:p>
    <w:p w14:paraId="4AE3AA21">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1.采购人信息</w:t>
      </w:r>
    </w:p>
    <w:p w14:paraId="6A8CCC2B">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名 称：</w:t>
      </w:r>
      <w:r>
        <w:rPr>
          <w:rFonts w:hint="eastAsia" w:ascii="宋体" w:hAnsi="宋体" w:cs="宋体"/>
          <w:color w:val="auto"/>
          <w:kern w:val="0"/>
          <w:sz w:val="24"/>
          <w:szCs w:val="24"/>
          <w:highlight w:val="none"/>
          <w:lang w:val="en-US" w:eastAsia="zh-CN" w:bidi="ar"/>
        </w:rPr>
        <w:t>泽普县维吾尔医医院</w:t>
      </w:r>
      <w:r>
        <w:rPr>
          <w:rFonts w:hint="eastAsia" w:ascii="宋体" w:hAnsi="宋体" w:eastAsia="宋体" w:cs="宋体"/>
          <w:color w:val="auto"/>
          <w:kern w:val="0"/>
          <w:sz w:val="24"/>
          <w:szCs w:val="24"/>
          <w:highlight w:val="none"/>
          <w:lang w:val="en-US" w:eastAsia="zh-CN" w:bidi="ar"/>
        </w:rPr>
        <w:t>    </w:t>
      </w:r>
    </w:p>
    <w:p w14:paraId="7BC741A7">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地 址：</w:t>
      </w:r>
      <w:r>
        <w:rPr>
          <w:rFonts w:hint="eastAsia" w:ascii="宋体" w:hAnsi="宋体" w:cs="宋体"/>
          <w:color w:val="auto"/>
          <w:kern w:val="0"/>
          <w:sz w:val="24"/>
          <w:szCs w:val="24"/>
          <w:highlight w:val="none"/>
          <w:lang w:val="en-US" w:eastAsia="zh-CN" w:bidi="ar"/>
        </w:rPr>
        <w:t>泽普县维吾尔医医院 </w:t>
      </w:r>
    </w:p>
    <w:p w14:paraId="535F1942">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联系方式：努尔阿</w:t>
      </w:r>
      <w:r>
        <w:rPr>
          <w:rFonts w:hint="eastAsia" w:ascii="宋体" w:hAnsi="宋体" w:cs="宋体"/>
          <w:color w:val="auto"/>
          <w:kern w:val="0"/>
          <w:sz w:val="24"/>
          <w:szCs w:val="24"/>
          <w:highlight w:val="none"/>
          <w:lang w:val="en-US" w:eastAsia="zh-CN" w:bidi="ar"/>
        </w:rPr>
        <w:t>米</w:t>
      </w:r>
      <w:r>
        <w:rPr>
          <w:rFonts w:hint="eastAsia" w:ascii="宋体" w:hAnsi="宋体" w:eastAsia="宋体" w:cs="宋体"/>
          <w:color w:val="auto"/>
          <w:kern w:val="0"/>
          <w:sz w:val="24"/>
          <w:szCs w:val="24"/>
          <w:highlight w:val="none"/>
          <w:lang w:val="en-US" w:eastAsia="zh-CN" w:bidi="ar"/>
        </w:rPr>
        <w:t>娜·</w:t>
      </w:r>
      <w:r>
        <w:rPr>
          <w:rFonts w:hint="eastAsia" w:ascii="宋体" w:hAnsi="宋体" w:cs="宋体"/>
          <w:color w:val="auto"/>
          <w:kern w:val="0"/>
          <w:sz w:val="24"/>
          <w:szCs w:val="24"/>
          <w:highlight w:val="none"/>
          <w:lang w:val="en-US" w:eastAsia="zh-CN" w:bidi="ar"/>
        </w:rPr>
        <w:t>麦图迪</w:t>
      </w:r>
      <w:r>
        <w:rPr>
          <w:rFonts w:hint="eastAsia" w:ascii="宋体" w:hAnsi="宋体" w:eastAsia="宋体" w:cs="宋体"/>
          <w:color w:val="auto"/>
          <w:kern w:val="0"/>
          <w:sz w:val="24"/>
          <w:szCs w:val="24"/>
          <w:highlight w:val="none"/>
          <w:lang w:val="en-US" w:eastAsia="zh-CN" w:bidi="ar"/>
        </w:rPr>
        <w:t>13579075405</w:t>
      </w:r>
    </w:p>
    <w:p w14:paraId="0893F331">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2.采购代理机构信息</w:t>
      </w:r>
    </w:p>
    <w:p w14:paraId="221DFA7F">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名 称：</w:t>
      </w:r>
      <w:r>
        <w:rPr>
          <w:rFonts w:hint="eastAsia" w:ascii="宋体" w:hAnsi="宋体" w:eastAsia="宋体" w:cs="宋体"/>
          <w:color w:val="auto"/>
          <w:kern w:val="0"/>
          <w:sz w:val="24"/>
          <w:szCs w:val="24"/>
          <w:highlight w:val="none"/>
          <w:lang w:eastAsia="zh-CN"/>
        </w:rPr>
        <w:t>喀什联胜项目管理有限责任公司</w:t>
      </w:r>
    </w:p>
    <w:p w14:paraId="135CFC4D">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地 址：喀什地区莎车县新盛锦绣嘉园 1幢2单元1号</w:t>
      </w:r>
      <w:r>
        <w:rPr>
          <w:rFonts w:hint="eastAsia" w:ascii="宋体" w:hAnsi="宋体" w:eastAsia="宋体" w:cs="宋体"/>
          <w:color w:val="auto"/>
          <w:kern w:val="0"/>
          <w:sz w:val="24"/>
          <w:szCs w:val="24"/>
          <w:highlight w:val="none"/>
        </w:rPr>
        <w:t xml:space="preserve"> </w:t>
      </w:r>
    </w:p>
    <w:p w14:paraId="5DEDA0CE">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联系方式：巩丽 </w:t>
      </w:r>
      <w:r>
        <w:rPr>
          <w:rFonts w:hint="eastAsia" w:ascii="宋体" w:hAnsi="宋体" w:eastAsia="宋体" w:cs="宋体"/>
          <w:color w:val="auto"/>
          <w:kern w:val="0"/>
          <w:sz w:val="24"/>
          <w:szCs w:val="24"/>
          <w:highlight w:val="none"/>
          <w:lang w:eastAsia="zh-CN"/>
        </w:rPr>
        <w:t>19190038815</w:t>
      </w:r>
    </w:p>
    <w:p w14:paraId="36D0607F">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3.项目联系方式</w:t>
      </w:r>
    </w:p>
    <w:p w14:paraId="24489D1B">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项目联系人：巩丽</w:t>
      </w:r>
    </w:p>
    <w:p w14:paraId="14965194">
      <w:pPr>
        <w:pStyle w:val="18"/>
        <w:keepNext w:val="0"/>
        <w:keepLines w:val="0"/>
        <w:pageBreakBefore w:val="0"/>
        <w:widowControl/>
        <w:suppressLineNumbers w:val="0"/>
        <w:kinsoku/>
        <w:overflowPunct/>
        <w:topLinePunct w:val="0"/>
        <w:autoSpaceDE/>
        <w:autoSpaceDN/>
        <w:bidi w:val="0"/>
        <w:adjustRightInd/>
        <w:snapToGrid/>
        <w:spacing w:beforeAutospacing="0" w:afterAutospacing="0" w:line="380" w:lineRule="exact"/>
        <w:ind w:left="0" w:firstLine="420"/>
        <w:textAlignment w:val="auto"/>
        <w:outlineLvl w:val="9"/>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电 话：19190038815</w:t>
      </w:r>
    </w:p>
    <w:p w14:paraId="49BCFC8C">
      <w:pPr>
        <w:keepNext w:val="0"/>
        <w:keepLines w:val="0"/>
        <w:pageBreakBefore w:val="0"/>
        <w:widowControl w:val="0"/>
        <w:kinsoku/>
        <w:wordWrap/>
        <w:overflowPunct/>
        <w:topLinePunct w:val="0"/>
        <w:autoSpaceDE/>
        <w:autoSpaceDN/>
        <w:bidi w:val="0"/>
        <w:adjustRightInd/>
        <w:snapToGrid/>
        <w:spacing w:beforeAutospacing="0" w:afterAutospacing="0" w:line="380" w:lineRule="exact"/>
        <w:jc w:val="both"/>
        <w:textAlignment w:val="auto"/>
        <w:outlineLvl w:val="9"/>
        <w:rPr>
          <w:rFonts w:hint="eastAsia" w:ascii="宋体" w:hAnsi="宋体" w:eastAsia="宋体" w:cs="宋体"/>
          <w:color w:val="auto"/>
          <w:kern w:val="0"/>
          <w:sz w:val="24"/>
          <w:szCs w:val="24"/>
          <w:highlight w:val="none"/>
          <w:lang w:eastAsia="zh-CN"/>
        </w:rPr>
      </w:pPr>
    </w:p>
    <w:p w14:paraId="012AAA8E">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jc w:val="right"/>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喀什联胜项目管理有限责任公司</w:t>
      </w:r>
    </w:p>
    <w:p w14:paraId="3EA53F3B">
      <w:pPr>
        <w:keepNext w:val="0"/>
        <w:keepLines w:val="0"/>
        <w:pageBreakBefore w:val="0"/>
        <w:widowControl w:val="0"/>
        <w:kinsoku/>
        <w:wordWrap/>
        <w:overflowPunct/>
        <w:topLinePunct w:val="0"/>
        <w:autoSpaceDE/>
        <w:autoSpaceDN/>
        <w:bidi w:val="0"/>
        <w:adjustRightInd/>
        <w:snapToGrid/>
        <w:spacing w:beforeAutospacing="0" w:afterAutospacing="0" w:line="380" w:lineRule="exact"/>
        <w:ind w:left="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sz w:val="24"/>
          <w:szCs w:val="24"/>
          <w:highlight w:val="none"/>
          <w:lang w:eastAsia="zh-CN"/>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年</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31</w:t>
      </w:r>
      <w:r>
        <w:rPr>
          <w:rFonts w:hint="eastAsia" w:ascii="宋体" w:hAnsi="宋体" w:eastAsia="宋体" w:cs="宋体"/>
          <w:color w:val="auto"/>
          <w:sz w:val="24"/>
          <w:szCs w:val="24"/>
          <w:highlight w:val="none"/>
          <w:lang w:val="en-US" w:eastAsia="zh-CN"/>
        </w:rPr>
        <w:t>日</w:t>
      </w:r>
    </w:p>
    <w:p w14:paraId="2A3A78F8">
      <w:pPr>
        <w:rPr>
          <w:rFonts w:hint="eastAsia"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br w:type="page"/>
      </w:r>
    </w:p>
    <w:p w14:paraId="6FFC24BE">
      <w:pPr>
        <w:pStyle w:val="7"/>
        <w:ind w:firstLine="0"/>
        <w:jc w:val="center"/>
        <w:outlineLvl w:val="0"/>
        <w:rPr>
          <w:rFonts w:hint="eastAsia" w:ascii="宋体" w:hAnsi="宋体" w:eastAsia="宋体" w:cs="宋体"/>
          <w:b/>
          <w:bCs/>
          <w:color w:val="auto"/>
          <w:sz w:val="32"/>
          <w:szCs w:val="32"/>
          <w:highlight w:val="none"/>
        </w:rPr>
      </w:pPr>
      <w:bookmarkStart w:id="1684" w:name="_Toc26642"/>
      <w:r>
        <w:rPr>
          <w:rFonts w:hint="eastAsia" w:ascii="宋体" w:hAnsi="宋体" w:eastAsia="宋体" w:cs="宋体"/>
          <w:b/>
          <w:bCs/>
          <w:color w:val="auto"/>
          <w:sz w:val="32"/>
          <w:szCs w:val="32"/>
          <w:highlight w:val="none"/>
          <w:lang w:val="en-US" w:eastAsia="zh-CN"/>
        </w:rPr>
        <w:t>第4章  供应商须知资料表</w:t>
      </w:r>
      <w:bookmarkEnd w:id="1626"/>
      <w:bookmarkEnd w:id="1627"/>
      <w:bookmarkEnd w:id="1628"/>
      <w:bookmarkEnd w:id="1629"/>
      <w:bookmarkEnd w:id="1630"/>
      <w:bookmarkEnd w:id="1631"/>
      <w:bookmarkEnd w:id="1632"/>
      <w:bookmarkEnd w:id="1633"/>
      <w:bookmarkEnd w:id="1634"/>
      <w:bookmarkEnd w:id="1635"/>
      <w:bookmarkEnd w:id="1684"/>
    </w:p>
    <w:p w14:paraId="4BF0FB41">
      <w:pPr>
        <w:spacing w:line="400" w:lineRule="exact"/>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本表是本招标项目的具体资料，是对供应商须知的具体补充和修改，如有矛盾，应以本资料表为准。</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65"/>
        <w:gridCol w:w="7694"/>
      </w:tblGrid>
      <w:tr w14:paraId="18EE5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398" w:type="pct"/>
            <w:vAlign w:val="center"/>
          </w:tcPr>
          <w:p w14:paraId="58A93BB0">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4601" w:type="pct"/>
            <w:vAlign w:val="center"/>
          </w:tcPr>
          <w:p w14:paraId="62598819">
            <w:pPr>
              <w:keepNext w:val="0"/>
              <w:keepLines w:val="0"/>
              <w:pageBreakBefore w:val="0"/>
              <w:kinsoku/>
              <w:wordWrap/>
              <w:overflowPunct/>
              <w:topLinePunct w:val="0"/>
              <w:autoSpaceDE/>
              <w:autoSpaceDN/>
              <w:bidi w:val="0"/>
              <w:adjustRightInd/>
              <w:snapToGrid/>
              <w:spacing w:line="320" w:lineRule="exact"/>
              <w:ind w:left="1080" w:leftChars="257" w:hanging="54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w:t>
            </w:r>
          </w:p>
        </w:tc>
      </w:tr>
      <w:tr w14:paraId="2FCB10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57" w:hRule="atLeast"/>
        </w:trPr>
        <w:tc>
          <w:tcPr>
            <w:tcW w:w="398" w:type="pct"/>
            <w:vAlign w:val="center"/>
          </w:tcPr>
          <w:p w14:paraId="7C765CED">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4601" w:type="pct"/>
            <w:vAlign w:val="center"/>
          </w:tcPr>
          <w:p w14:paraId="3CF5969D">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w:t>
            </w:r>
            <w:r>
              <w:rPr>
                <w:rFonts w:hint="eastAsia" w:ascii="宋体" w:hAnsi="宋体" w:cs="宋体"/>
                <w:color w:val="auto"/>
                <w:sz w:val="24"/>
                <w:szCs w:val="24"/>
                <w:highlight w:val="none"/>
                <w:u w:val="single"/>
                <w:lang w:eastAsia="zh-CN"/>
              </w:rPr>
              <w:t>泽普县维吾尔医医院</w:t>
            </w:r>
            <w:r>
              <w:rPr>
                <w:rFonts w:hint="eastAsia" w:ascii="宋体" w:hAnsi="宋体" w:eastAsia="宋体" w:cs="宋体"/>
                <w:color w:val="auto"/>
                <w:sz w:val="24"/>
                <w:szCs w:val="24"/>
                <w:highlight w:val="none"/>
                <w:u w:val="single"/>
                <w:lang w:eastAsia="zh-CN"/>
              </w:rPr>
              <w:t>　　</w:t>
            </w:r>
            <w:r>
              <w:rPr>
                <w:rFonts w:hint="eastAsia" w:ascii="宋体" w:hAnsi="宋体" w:eastAsia="宋体" w:cs="宋体"/>
                <w:color w:val="auto"/>
                <w:sz w:val="24"/>
                <w:szCs w:val="24"/>
                <w:highlight w:val="none"/>
                <w:u w:val="single"/>
              </w:rPr>
              <w:t>　</w:t>
            </w:r>
          </w:p>
          <w:p w14:paraId="209C39AF">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cs="宋体"/>
                <w:color w:val="auto"/>
                <w:sz w:val="24"/>
                <w:szCs w:val="24"/>
                <w:highlight w:val="none"/>
                <w:u w:val="single"/>
                <w:lang w:eastAsia="zh-CN"/>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u w:val="single"/>
                <w:lang w:eastAsia="zh-CN"/>
              </w:rPr>
              <w:t>泽普县维吾尔医医院 </w:t>
            </w:r>
          </w:p>
          <w:p w14:paraId="4A60053F">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lang w:val="en-US" w:eastAsia="zh-CN"/>
              </w:rPr>
              <w:t>努尔阿米娜·麦图迪</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u w:val="single"/>
                <w:lang w:val="en-US" w:eastAsia="zh-CN"/>
              </w:rPr>
              <w:t>13579075405</w:t>
            </w:r>
          </w:p>
        </w:tc>
      </w:tr>
      <w:tr w14:paraId="50873B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34" w:hRule="atLeast"/>
        </w:trPr>
        <w:tc>
          <w:tcPr>
            <w:tcW w:w="398" w:type="pct"/>
            <w:vAlign w:val="center"/>
          </w:tcPr>
          <w:p w14:paraId="005E9633">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4601" w:type="pct"/>
            <w:vAlign w:val="center"/>
          </w:tcPr>
          <w:p w14:paraId="741A2C06">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u w:val="single"/>
                <w:lang w:eastAsia="zh-CN"/>
              </w:rPr>
              <w:t>喀什联胜项目管理有限责任公司</w:t>
            </w:r>
            <w:r>
              <w:rPr>
                <w:rFonts w:hint="eastAsia" w:ascii="宋体" w:hAnsi="宋体" w:eastAsia="宋体" w:cs="宋体"/>
                <w:color w:val="auto"/>
                <w:sz w:val="24"/>
                <w:szCs w:val="24"/>
                <w:highlight w:val="none"/>
                <w:u w:val="single"/>
              </w:rPr>
              <w:t xml:space="preserve">  </w:t>
            </w:r>
          </w:p>
          <w:p w14:paraId="25CFB20C">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lang w:eastAsia="zh-CN"/>
              </w:rPr>
              <w:t>喀什地区莎车县新盛锦绣嘉园 1幢2单元1号</w:t>
            </w:r>
          </w:p>
          <w:p w14:paraId="70D8C625">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业务联系人：</w:t>
            </w:r>
            <w:r>
              <w:rPr>
                <w:rFonts w:hint="eastAsia" w:ascii="宋体" w:hAnsi="宋体" w:eastAsia="宋体" w:cs="宋体"/>
                <w:color w:val="auto"/>
                <w:sz w:val="24"/>
                <w:szCs w:val="24"/>
                <w:highlight w:val="none"/>
                <w:u w:val="single"/>
                <w:lang w:eastAsia="zh-CN"/>
              </w:rPr>
              <w:t>巩丽</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联系电话： </w:t>
            </w:r>
            <w:r>
              <w:rPr>
                <w:rFonts w:hint="eastAsia" w:ascii="宋体" w:hAnsi="宋体" w:eastAsia="宋体" w:cs="宋体"/>
                <w:color w:val="auto"/>
                <w:sz w:val="24"/>
                <w:szCs w:val="24"/>
                <w:highlight w:val="none"/>
                <w:u w:val="single"/>
                <w:lang w:eastAsia="zh-CN"/>
              </w:rPr>
              <w:t>19190038815</w:t>
            </w:r>
          </w:p>
        </w:tc>
      </w:tr>
      <w:tr w14:paraId="01F6A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0" w:hRule="atLeast"/>
        </w:trPr>
        <w:tc>
          <w:tcPr>
            <w:tcW w:w="398" w:type="pct"/>
            <w:vAlign w:val="center"/>
          </w:tcPr>
          <w:p w14:paraId="75CC53F3">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w:t>
            </w:r>
          </w:p>
        </w:tc>
        <w:tc>
          <w:tcPr>
            <w:tcW w:w="4601" w:type="pct"/>
            <w:vAlign w:val="center"/>
          </w:tcPr>
          <w:p w14:paraId="40D3257A">
            <w:pPr>
              <w:keepNext w:val="0"/>
              <w:keepLines w:val="0"/>
              <w:pageBreakBefore w:val="0"/>
              <w:widowControl/>
              <w:shd w:val="clear"/>
              <w:kinsoku/>
              <w:wordWrap/>
              <w:overflowPunct/>
              <w:topLinePunct w:val="0"/>
              <w:autoSpaceDE/>
              <w:autoSpaceDN/>
              <w:bidi w:val="0"/>
              <w:adjustRightInd/>
              <w:snapToGrid w:val="0"/>
              <w:spacing w:line="320" w:lineRule="exact"/>
              <w:jc w:val="left"/>
              <w:textAlignment w:val="baseline"/>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合格供应商的其他资格要求：</w:t>
            </w:r>
            <w:r>
              <w:rPr>
                <w:rFonts w:hint="eastAsia" w:ascii="宋体" w:hAnsi="宋体" w:eastAsia="宋体" w:cs="宋体"/>
                <w:b/>
                <w:bCs/>
                <w:color w:val="auto"/>
                <w:sz w:val="24"/>
                <w:szCs w:val="24"/>
                <w:highlight w:val="none"/>
                <w:lang w:val="en-US" w:eastAsia="zh-CN"/>
              </w:rPr>
              <w:t>（须将以下资格证明材料附在投标文件中）</w:t>
            </w:r>
          </w:p>
          <w:p w14:paraId="421F9EEC">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20" w:lineRule="exact"/>
              <w:jc w:val="left"/>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（1）具有有效的营业执照；</w:t>
            </w:r>
          </w:p>
          <w:p w14:paraId="7DC8E738">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宋体" w:hAnsi="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（2）供应商需具备由公安部第三研究所颁发的网络安全等级测评与检测评估机构服</w:t>
            </w:r>
            <w:bookmarkStart w:id="1783" w:name="_GoBack"/>
            <w:bookmarkEnd w:id="1783"/>
            <w:r>
              <w:rPr>
                <w:rFonts w:hint="eastAsia" w:ascii="宋体" w:hAnsi="宋体" w:eastAsia="宋体" w:cs="宋体"/>
                <w:b/>
                <w:bCs/>
                <w:color w:val="auto"/>
                <w:kern w:val="2"/>
                <w:sz w:val="24"/>
                <w:szCs w:val="24"/>
                <w:highlight w:val="none"/>
                <w:lang w:val="en-US" w:eastAsia="zh-CN" w:bidi="ar-SA"/>
              </w:rPr>
              <w:t>务认证证书;</w:t>
            </w:r>
          </w:p>
          <w:p w14:paraId="6359AAC1">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（3）</w:t>
            </w:r>
            <w:r>
              <w:rPr>
                <w:rFonts w:hint="eastAsia" w:ascii="宋体" w:hAnsi="宋体" w:eastAsia="宋体" w:cs="宋体"/>
                <w:b/>
                <w:bCs/>
                <w:color w:val="auto"/>
                <w:sz w:val="24"/>
                <w:szCs w:val="24"/>
                <w:highlight w:val="none"/>
                <w:lang w:val="en-US" w:eastAsia="zh-CN"/>
              </w:rPr>
              <w:t>法定代表人资格证明；</w:t>
            </w:r>
          </w:p>
          <w:p w14:paraId="33FD7C4D">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（4）</w:t>
            </w:r>
            <w:r>
              <w:rPr>
                <w:rFonts w:hint="eastAsia" w:ascii="宋体" w:hAnsi="宋体" w:eastAsia="宋体" w:cs="宋体"/>
                <w:b/>
                <w:bCs/>
                <w:color w:val="auto"/>
                <w:sz w:val="24"/>
                <w:szCs w:val="24"/>
                <w:highlight w:val="none"/>
                <w:lang w:val="en-US" w:eastAsia="zh-CN"/>
              </w:rPr>
              <w:t>提供近两年内任意一年的财务审计报告（成立未满十二个月的新公司可提供近三个月内任意一个月的银行资信证明）；</w:t>
            </w:r>
          </w:p>
          <w:p w14:paraId="27E4BFDE">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kern w:val="2"/>
                <w:sz w:val="24"/>
                <w:szCs w:val="24"/>
                <w:highlight w:val="none"/>
                <w:lang w:val="en-US" w:eastAsia="zh-CN" w:bidi="ar-SA"/>
              </w:rPr>
              <w:t>（5）</w:t>
            </w:r>
            <w:r>
              <w:rPr>
                <w:rFonts w:hint="eastAsia" w:ascii="宋体" w:hAnsi="宋体" w:eastAsia="宋体" w:cs="宋体"/>
                <w:b/>
                <w:bCs/>
                <w:color w:val="auto"/>
                <w:sz w:val="24"/>
                <w:szCs w:val="24"/>
                <w:highlight w:val="none"/>
                <w:lang w:val="en-US" w:eastAsia="zh-CN"/>
              </w:rPr>
              <w:t>依法缴纳近六个月内任意</w:t>
            </w:r>
            <w:r>
              <w:rPr>
                <w:rFonts w:hint="eastAsia" w:ascii="宋体" w:hAnsi="宋体" w:eastAsia="宋体" w:cs="宋体"/>
                <w:b/>
                <w:bCs/>
                <w:i w:val="0"/>
                <w:caps w:val="0"/>
                <w:color w:val="auto"/>
                <w:spacing w:val="0"/>
                <w:w w:val="100"/>
                <w:sz w:val="24"/>
                <w:szCs w:val="24"/>
                <w:highlight w:val="none"/>
                <w:lang w:val="en-US" w:eastAsia="zh-CN"/>
              </w:rPr>
              <w:t>一个月社会保险证明；</w:t>
            </w:r>
          </w:p>
          <w:p w14:paraId="746C3B9F">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（6）依法缴纳近六个月内任意一个月税收证明；</w:t>
            </w:r>
          </w:p>
          <w:p w14:paraId="263B0E8E">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7）根据《财政部关于在政府采购活动中查询及使用信用记录有关问题的通知》（财库﹝2016﹞125号）的要求，凡拟参加本次招标项目的供应商，如在“信用中国”网站（https://www.creditchina.gov.cn/）被列入失信被执行人、重大税收违法失信主体名单（信用服务-重点领域严重失信主体名单查询-搜索栏输入单位全称）、中国政府采购网（https://www.ccgp.gov.cn/search/cr/）严重违法失信行为信息记录名单（尚在处罚期内的）、“国家企业信用信息公示系统（https://www.gsxt.gov.cn/）”列入经营异常名录信息、严重违法失信名单（黑名单）信息的，将拒绝其参加本次招标活动（以采购代理机构或采购人查询为准）；</w:t>
            </w:r>
          </w:p>
          <w:p w14:paraId="2DDE1648">
            <w:pPr>
              <w:keepNext w:val="0"/>
              <w:keepLines w:val="0"/>
              <w:pageBreakBefore w:val="0"/>
              <w:widowControl/>
              <w:kinsoku/>
              <w:wordWrap/>
              <w:overflowPunct/>
              <w:topLinePunct w:val="0"/>
              <w:autoSpaceDE/>
              <w:autoSpaceDN/>
              <w:bidi w:val="0"/>
              <w:adjustRightInd/>
              <w:snapToGrid w:val="0"/>
              <w:spacing w:before="0" w:beforeAutospacing="0" w:after="0" w:afterAutospacing="0" w:line="32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（8）参加政府采购活动前3年内在经营活动中没有重大违法记录的书面声明；</w:t>
            </w:r>
          </w:p>
          <w:p w14:paraId="06768BBA">
            <w:pPr>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jc w:val="left"/>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（9）缴纳投标保证金的有效凭证。</w:t>
            </w:r>
          </w:p>
          <w:p w14:paraId="5DEB167B">
            <w:pPr>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jc w:val="left"/>
              <w:textAlignment w:val="auto"/>
              <w:rPr>
                <w:rFonts w:hint="eastAsia" w:ascii="宋体" w:hAnsi="宋体" w:eastAsia="宋体" w:cs="宋体"/>
                <w:b/>
                <w:bCs/>
                <w:i w:val="0"/>
                <w:caps w:val="0"/>
                <w:color w:val="auto"/>
                <w:spacing w:val="0"/>
                <w:w w:val="100"/>
                <w:sz w:val="24"/>
                <w:szCs w:val="24"/>
                <w:highlight w:val="none"/>
              </w:rPr>
            </w:pPr>
            <w:r>
              <w:rPr>
                <w:rFonts w:hint="eastAsia" w:ascii="宋体" w:hAnsi="宋体" w:eastAsia="宋体" w:cs="宋体"/>
                <w:b/>
                <w:bCs/>
                <w:i w:val="0"/>
                <w:caps w:val="0"/>
                <w:color w:val="auto"/>
                <w:spacing w:val="0"/>
                <w:w w:val="100"/>
                <w:sz w:val="24"/>
                <w:szCs w:val="24"/>
                <w:highlight w:val="none"/>
              </w:rPr>
              <w:t>各供应商应注意以下事项：①本项目要求各投标供应</w:t>
            </w:r>
          </w:p>
          <w:p w14:paraId="422BA89F">
            <w:pPr>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b/>
                <w:bCs/>
                <w:i w:val="0"/>
                <w:caps w:val="0"/>
                <w:color w:val="auto"/>
                <w:spacing w:val="0"/>
                <w:w w:val="100"/>
                <w:sz w:val="24"/>
                <w:szCs w:val="24"/>
                <w:highlight w:val="none"/>
              </w:rPr>
              <w:t>商提供“</w:t>
            </w:r>
            <w:r>
              <w:rPr>
                <w:rFonts w:hint="eastAsia" w:ascii="宋体" w:hAnsi="宋体" w:eastAsia="宋体" w:cs="宋体"/>
                <w:b/>
                <w:bCs/>
                <w:i w:val="0"/>
                <w:caps w:val="0"/>
                <w:color w:val="auto"/>
                <w:spacing w:val="0"/>
                <w:w w:val="100"/>
                <w:sz w:val="24"/>
                <w:szCs w:val="24"/>
                <w:highlight w:val="none"/>
                <w:lang w:eastAsia="zh-CN"/>
              </w:rPr>
              <w:t>依法缴纳近六个月内任意一个月税收证明</w:t>
            </w:r>
            <w:r>
              <w:rPr>
                <w:rFonts w:hint="eastAsia" w:ascii="宋体" w:hAnsi="宋体" w:eastAsia="宋体" w:cs="宋体"/>
                <w:b/>
                <w:bCs/>
                <w:i w:val="0"/>
                <w:caps w:val="0"/>
                <w:color w:val="auto"/>
                <w:spacing w:val="0"/>
                <w:w w:val="100"/>
                <w:sz w:val="24"/>
                <w:szCs w:val="24"/>
                <w:highlight w:val="none"/>
              </w:rPr>
              <w:t>”，若供应商某月税收为零申报，须提供加盖税务局公章的无欠税证明或申报成功网页截图（供应商可自主登录“国家税务总局电子税务局”12366.chinatax.gov.cn/bsfw/onlinetaxation/main——税费申报及缴纳——申报结果查询）。②税务局代收的社保缴费证明不可作为本项目的完税证明（“税种”不可为养老保险、医疗保险、失业保险、工伤保险和生育保险）。</w:t>
            </w:r>
          </w:p>
        </w:tc>
      </w:tr>
      <w:tr w14:paraId="28448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398" w:type="pct"/>
            <w:vAlign w:val="center"/>
          </w:tcPr>
          <w:p w14:paraId="16F71202">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 xml:space="preserve">1.3.5   </w:t>
            </w:r>
          </w:p>
        </w:tc>
        <w:tc>
          <w:tcPr>
            <w:tcW w:w="4601" w:type="pct"/>
            <w:vAlign w:val="center"/>
          </w:tcPr>
          <w:p w14:paraId="242898EE">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是否允许采购进口产品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否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是、否）</w:t>
            </w:r>
          </w:p>
        </w:tc>
      </w:tr>
      <w:tr w14:paraId="334CD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398" w:type="pct"/>
            <w:vAlign w:val="center"/>
          </w:tcPr>
          <w:p w14:paraId="5B9D3701">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w:t>
            </w:r>
          </w:p>
        </w:tc>
        <w:tc>
          <w:tcPr>
            <w:tcW w:w="4601" w:type="pct"/>
            <w:vAlign w:val="center"/>
          </w:tcPr>
          <w:p w14:paraId="4CD79ADA">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是否为专门面向中小企业采购：</w:t>
            </w:r>
            <w:r>
              <w:rPr>
                <w:rFonts w:hint="eastAsia" w:ascii="宋体" w:hAnsi="宋体" w:cs="宋体"/>
                <w:color w:val="auto"/>
                <w:sz w:val="24"/>
                <w:szCs w:val="24"/>
                <w:highlight w:val="none"/>
                <w:u w:val="single"/>
                <w:lang w:val="en-US" w:eastAsia="zh-CN"/>
              </w:rPr>
              <w:t xml:space="preserve"> 是 </w:t>
            </w:r>
            <w:r>
              <w:rPr>
                <w:rFonts w:hint="eastAsia" w:ascii="宋体" w:hAnsi="宋体" w:eastAsia="宋体" w:cs="宋体"/>
                <w:color w:val="auto"/>
                <w:sz w:val="24"/>
                <w:szCs w:val="24"/>
                <w:highlight w:val="none"/>
                <w:lang w:eastAsia="zh-CN"/>
              </w:rPr>
              <w:t>（是、否）。</w:t>
            </w:r>
          </w:p>
        </w:tc>
      </w:tr>
      <w:tr w14:paraId="4B4A1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398" w:type="pct"/>
            <w:vAlign w:val="center"/>
          </w:tcPr>
          <w:p w14:paraId="68A4D795">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4601" w:type="pct"/>
            <w:vAlign w:val="center"/>
          </w:tcPr>
          <w:p w14:paraId="15EAE95A">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是否允许联合体投标：</w:t>
            </w:r>
            <w:r>
              <w:rPr>
                <w:rFonts w:hint="eastAsia" w:ascii="宋体" w:hAnsi="宋体" w:eastAsia="宋体" w:cs="宋体"/>
                <w:color w:val="auto"/>
                <w:sz w:val="24"/>
                <w:szCs w:val="24"/>
                <w:highlight w:val="none"/>
                <w:u w:val="single"/>
              </w:rPr>
              <w:t xml:space="preserve">  否  </w:t>
            </w:r>
            <w:r>
              <w:rPr>
                <w:rFonts w:hint="eastAsia" w:ascii="宋体" w:hAnsi="宋体" w:eastAsia="宋体" w:cs="宋体"/>
                <w:i w:val="0"/>
                <w:iCs/>
                <w:color w:val="auto"/>
                <w:sz w:val="24"/>
                <w:szCs w:val="24"/>
                <w:highlight w:val="none"/>
              </w:rPr>
              <w:t>（是、否）</w:t>
            </w:r>
          </w:p>
        </w:tc>
      </w:tr>
      <w:tr w14:paraId="76BA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trPr>
        <w:tc>
          <w:tcPr>
            <w:tcW w:w="398" w:type="pct"/>
            <w:vAlign w:val="center"/>
          </w:tcPr>
          <w:p w14:paraId="128CE76B">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w:t>
            </w:r>
          </w:p>
        </w:tc>
        <w:tc>
          <w:tcPr>
            <w:tcW w:w="4601" w:type="pct"/>
            <w:vAlign w:val="center"/>
          </w:tcPr>
          <w:p w14:paraId="6D7CFA9B">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联合体的其他资格要求：无</w:t>
            </w:r>
          </w:p>
        </w:tc>
      </w:tr>
      <w:tr w14:paraId="728176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7" w:hRule="atLeast"/>
        </w:trPr>
        <w:tc>
          <w:tcPr>
            <w:tcW w:w="398" w:type="pct"/>
            <w:vAlign w:val="center"/>
          </w:tcPr>
          <w:p w14:paraId="421312F5">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4601" w:type="pct"/>
            <w:vAlign w:val="center"/>
          </w:tcPr>
          <w:p w14:paraId="6097461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项目总预算金额：</w:t>
            </w:r>
            <w:r>
              <w:rPr>
                <w:rFonts w:hint="eastAsia" w:ascii="宋体" w:hAnsi="宋体" w:cs="宋体"/>
                <w:b/>
                <w:bCs/>
                <w:color w:val="auto"/>
                <w:kern w:val="2"/>
                <w:sz w:val="24"/>
                <w:szCs w:val="24"/>
                <w:highlight w:val="none"/>
                <w:lang w:val="en-US" w:eastAsia="zh-CN" w:bidi="ar-SA"/>
              </w:rPr>
              <w:t>1300000</w:t>
            </w:r>
            <w:r>
              <w:rPr>
                <w:rFonts w:hint="eastAsia" w:ascii="宋体" w:hAnsi="宋体" w:eastAsia="宋体" w:cs="宋体"/>
                <w:b/>
                <w:bCs/>
                <w:color w:val="auto"/>
                <w:kern w:val="2"/>
                <w:sz w:val="24"/>
                <w:szCs w:val="24"/>
                <w:highlight w:val="none"/>
                <w:lang w:val="en-US" w:eastAsia="zh-CN" w:bidi="ar-SA"/>
              </w:rPr>
              <w:t>元。</w:t>
            </w:r>
          </w:p>
          <w:p w14:paraId="2EA1B3E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2"/>
                <w:sz w:val="24"/>
                <w:szCs w:val="24"/>
                <w:highlight w:val="none"/>
                <w:lang w:val="en-US" w:eastAsia="zh-CN" w:bidi="ar-SA"/>
              </w:rPr>
              <w:t>标项1</w:t>
            </w:r>
            <w:r>
              <w:rPr>
                <w:rFonts w:hint="eastAsia" w:ascii="宋体" w:hAnsi="宋体" w:cs="宋体"/>
                <w:b/>
                <w:bCs/>
                <w:color w:val="auto"/>
                <w:kern w:val="2"/>
                <w:sz w:val="24"/>
                <w:szCs w:val="24"/>
                <w:highlight w:val="none"/>
                <w:lang w:val="en-US" w:eastAsia="zh-CN" w:bidi="ar-SA"/>
              </w:rPr>
              <w:t>项目需求</w:t>
            </w:r>
            <w:r>
              <w:rPr>
                <w:rFonts w:hint="eastAsia" w:ascii="宋体" w:hAnsi="宋体" w:eastAsia="宋体" w:cs="宋体"/>
                <w:b/>
                <w:bCs/>
                <w:color w:val="auto"/>
                <w:kern w:val="2"/>
                <w:sz w:val="24"/>
                <w:szCs w:val="24"/>
                <w:highlight w:val="none"/>
                <w:lang w:val="en-US" w:eastAsia="zh-CN" w:bidi="ar-SA"/>
              </w:rPr>
              <w:t>：开展等级保护测评、采购防火墙等一批三级等保安全设备，优化数据机房环境、相关配套设施及设备</w:t>
            </w:r>
          </w:p>
        </w:tc>
      </w:tr>
      <w:tr w14:paraId="264094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7" w:hRule="atLeast"/>
        </w:trPr>
        <w:tc>
          <w:tcPr>
            <w:tcW w:w="398" w:type="pct"/>
            <w:vAlign w:val="center"/>
          </w:tcPr>
          <w:p w14:paraId="7E2E013A">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p>
        </w:tc>
        <w:tc>
          <w:tcPr>
            <w:tcW w:w="4601" w:type="pct"/>
            <w:vAlign w:val="center"/>
          </w:tcPr>
          <w:p w14:paraId="6B6A4E0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
                <w:bCs/>
                <w:color w:val="auto"/>
                <w:kern w:val="2"/>
                <w:sz w:val="24"/>
                <w:szCs w:val="24"/>
                <w:highlight w:val="none"/>
                <w:lang w:val="en-US" w:eastAsia="zh-CN" w:bidi="ar-SA"/>
              </w:rPr>
            </w:pPr>
            <w:r>
              <w:rPr>
                <w:rFonts w:hint="eastAsia" w:ascii="微软雅黑" w:hAnsi="微软雅黑" w:eastAsia="微软雅黑" w:cs="微软雅黑"/>
                <w:b/>
                <w:bCs/>
                <w:color w:val="auto"/>
                <w:sz w:val="24"/>
                <w:szCs w:val="24"/>
                <w:highlight w:val="none"/>
                <w:lang w:val="en-US" w:eastAsia="zh-CN"/>
              </w:rPr>
              <w:t>资金来源：单位自筹资金130万元</w:t>
            </w:r>
          </w:p>
        </w:tc>
      </w:tr>
      <w:tr w14:paraId="0193F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2" w:hRule="atLeast"/>
        </w:trPr>
        <w:tc>
          <w:tcPr>
            <w:tcW w:w="398" w:type="pct"/>
            <w:vAlign w:val="center"/>
          </w:tcPr>
          <w:p w14:paraId="409A04D3">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w:t>
            </w:r>
          </w:p>
        </w:tc>
        <w:tc>
          <w:tcPr>
            <w:tcW w:w="4601" w:type="pct"/>
            <w:vAlign w:val="center"/>
          </w:tcPr>
          <w:p w14:paraId="64FD12B9">
            <w:pPr>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投标保证金形式：  ☑银行转账  ☑保函  ☑支票  ☑汇票  ☑本票</w:t>
            </w:r>
          </w:p>
          <w:p w14:paraId="430E5CFB">
            <w:pPr>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保证金金额：</w:t>
            </w:r>
          </w:p>
          <w:p w14:paraId="29B89EDA">
            <w:pPr>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标项1：</w:t>
            </w:r>
            <w:r>
              <w:rPr>
                <w:rFonts w:hint="eastAsia" w:ascii="宋体" w:hAnsi="宋体" w:eastAsia="宋体" w:cs="宋体"/>
                <w:b/>
                <w:bCs/>
                <w:color w:val="auto"/>
                <w:sz w:val="24"/>
                <w:szCs w:val="24"/>
                <w:highlight w:val="none"/>
              </w:rPr>
              <w:t>小写：</w:t>
            </w:r>
            <w:r>
              <w:rPr>
                <w:rFonts w:hint="eastAsia" w:ascii="宋体" w:hAnsi="宋体" w:cs="宋体"/>
                <w:b/>
                <w:bCs/>
                <w:color w:val="auto"/>
                <w:kern w:val="2"/>
                <w:sz w:val="24"/>
                <w:szCs w:val="24"/>
                <w:highlight w:val="none"/>
                <w:lang w:val="en-US" w:eastAsia="zh-CN" w:bidi="ar-SA"/>
              </w:rPr>
              <w:t>26000</w:t>
            </w:r>
            <w:r>
              <w:rPr>
                <w:rFonts w:hint="eastAsia" w:ascii="宋体" w:hAnsi="宋体" w:eastAsia="宋体" w:cs="宋体"/>
                <w:b/>
                <w:bCs/>
                <w:color w:val="auto"/>
                <w:kern w:val="2"/>
                <w:sz w:val="24"/>
                <w:szCs w:val="24"/>
                <w:highlight w:val="none"/>
                <w:lang w:val="en-US" w:eastAsia="zh-CN" w:bidi="ar-SA"/>
              </w:rPr>
              <w:t>元</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大写：</w:t>
            </w:r>
            <w:r>
              <w:rPr>
                <w:rFonts w:hint="eastAsia" w:ascii="宋体" w:hAnsi="宋体" w:cs="宋体"/>
                <w:b/>
                <w:bCs/>
                <w:color w:val="auto"/>
                <w:sz w:val="24"/>
                <w:szCs w:val="24"/>
                <w:highlight w:val="none"/>
                <w:lang w:val="en-US" w:eastAsia="zh-CN"/>
              </w:rPr>
              <w:t>贰万陆仟元整</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w:t>
            </w:r>
          </w:p>
          <w:p w14:paraId="4516E69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en-US" w:eastAsia="zh-CN"/>
              </w:rPr>
              <w:t>预算</w:t>
            </w:r>
            <w:r>
              <w:rPr>
                <w:rFonts w:hint="eastAsia" w:ascii="宋体" w:hAnsi="宋体" w:eastAsia="宋体" w:cs="宋体"/>
                <w:color w:val="auto"/>
                <w:sz w:val="24"/>
                <w:szCs w:val="24"/>
                <w:highlight w:val="none"/>
              </w:rPr>
              <w:t>金额2%以内的整数计算）</w:t>
            </w:r>
          </w:p>
          <w:p w14:paraId="480CC71A">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保证金收款人：</w:t>
            </w:r>
          </w:p>
          <w:p w14:paraId="2EB26918">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单位名称：喀什联胜项目管理有限责任公司</w:t>
            </w:r>
          </w:p>
          <w:p w14:paraId="07898DA5">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 户 行：</w:t>
            </w:r>
            <w:r>
              <w:rPr>
                <w:rFonts w:hint="eastAsia" w:ascii="宋体" w:hAnsi="宋体" w:eastAsia="宋体" w:cs="宋体"/>
                <w:b/>
                <w:bCs/>
                <w:color w:val="auto"/>
                <w:sz w:val="24"/>
                <w:szCs w:val="24"/>
                <w:highlight w:val="none"/>
                <w:lang w:val="en-US" w:eastAsia="zh-CN"/>
              </w:rPr>
              <w:t>中国工商银行股份有限公司莎车新城路支行</w:t>
            </w:r>
          </w:p>
          <w:p w14:paraId="061DB74C">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账   号：</w:t>
            </w:r>
            <w:r>
              <w:rPr>
                <w:rFonts w:hint="eastAsia" w:ascii="宋体" w:hAnsi="宋体" w:eastAsia="宋体" w:cs="宋体"/>
                <w:b/>
                <w:bCs/>
                <w:color w:val="auto"/>
                <w:sz w:val="24"/>
                <w:szCs w:val="24"/>
                <w:highlight w:val="none"/>
                <w:lang w:val="en-US" w:eastAsia="zh-CN"/>
              </w:rPr>
              <w:t>3012372109200120552</w:t>
            </w:r>
            <w:r>
              <w:rPr>
                <w:rFonts w:hint="eastAsia" w:ascii="宋体" w:hAnsi="宋体" w:eastAsia="宋体" w:cs="宋体"/>
                <w:b/>
                <w:bCs/>
                <w:color w:val="auto"/>
                <w:sz w:val="24"/>
                <w:szCs w:val="24"/>
                <w:highlight w:val="none"/>
                <w:lang w:eastAsia="zh-CN"/>
              </w:rPr>
              <w:t>（电汇时请在汇款备注栏注明项目名称及标项（如有），并注明是投标保证金，否则视为无效投标保证金）     </w:t>
            </w:r>
          </w:p>
          <w:p w14:paraId="4C72B9BE">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行   号：102894600014</w:t>
            </w:r>
          </w:p>
          <w:p w14:paraId="37A9E276">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财务室联系人及联系方式：19190038815</w:t>
            </w:r>
          </w:p>
          <w:p w14:paraId="6EB77FC0">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A:缴纳</w:t>
            </w:r>
            <w:r>
              <w:rPr>
                <w:rFonts w:hint="eastAsia" w:ascii="宋体" w:hAnsi="宋体" w:eastAsia="宋体" w:cs="宋体"/>
                <w:b/>
                <w:bCs/>
                <w:color w:val="auto"/>
                <w:sz w:val="24"/>
                <w:szCs w:val="24"/>
                <w:highlight w:val="none"/>
                <w:lang w:val="en-US" w:eastAsia="zh-CN"/>
              </w:rPr>
              <w:t>投标保证金</w:t>
            </w:r>
            <w:r>
              <w:rPr>
                <w:rFonts w:hint="eastAsia" w:ascii="宋体" w:hAnsi="宋体" w:eastAsia="宋体" w:cs="宋体"/>
                <w:b/>
                <w:bCs/>
                <w:color w:val="auto"/>
                <w:sz w:val="24"/>
                <w:szCs w:val="24"/>
                <w:highlight w:val="none"/>
              </w:rPr>
              <w:t>要求：</w:t>
            </w:r>
          </w:p>
          <w:p w14:paraId="1BE764DE">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投标保证金必须在开标前</w:t>
            </w:r>
            <w:r>
              <w:rPr>
                <w:rFonts w:hint="eastAsia" w:ascii="宋体" w:hAnsi="宋体" w:eastAsia="宋体" w:cs="宋体"/>
                <w:b/>
                <w:bCs/>
                <w:color w:val="auto"/>
                <w:sz w:val="24"/>
                <w:szCs w:val="24"/>
                <w:highlight w:val="none"/>
                <w:lang w:val="en-US" w:eastAsia="zh-CN"/>
              </w:rPr>
              <w:t>提交</w:t>
            </w:r>
            <w:r>
              <w:rPr>
                <w:rFonts w:hint="eastAsia" w:ascii="宋体" w:hAnsi="宋体" w:eastAsia="宋体" w:cs="宋体"/>
                <w:b/>
                <w:bCs/>
                <w:color w:val="auto"/>
                <w:sz w:val="24"/>
                <w:szCs w:val="24"/>
                <w:highlight w:val="none"/>
              </w:rPr>
              <w:t>到</w:t>
            </w:r>
            <w:r>
              <w:rPr>
                <w:rFonts w:hint="eastAsia" w:ascii="宋体" w:hAnsi="宋体" w:eastAsia="宋体" w:cs="宋体"/>
                <w:b/>
                <w:bCs/>
                <w:color w:val="auto"/>
                <w:sz w:val="24"/>
                <w:szCs w:val="24"/>
                <w:highlight w:val="none"/>
                <w:lang w:val="en-US" w:eastAsia="zh-CN"/>
              </w:rPr>
              <w:t>代理机构账户中</w:t>
            </w:r>
            <w:r>
              <w:rPr>
                <w:rFonts w:hint="eastAsia" w:ascii="宋体" w:hAnsi="宋体" w:eastAsia="宋体" w:cs="宋体"/>
                <w:b/>
                <w:bCs/>
                <w:color w:val="auto"/>
                <w:sz w:val="24"/>
                <w:szCs w:val="24"/>
                <w:highlight w:val="none"/>
              </w:rPr>
              <w:t>。不接受现金及任何个人、分公司汇款</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供应商向银行办理保证金汇（转）款时，应在用途栏（备注栏）注明项目名称及</w:t>
            </w:r>
            <w:r>
              <w:rPr>
                <w:rFonts w:hint="eastAsia" w:ascii="宋体" w:hAnsi="宋体" w:eastAsia="宋体" w:cs="宋体"/>
                <w:b/>
                <w:bCs/>
                <w:color w:val="auto"/>
                <w:sz w:val="24"/>
                <w:szCs w:val="24"/>
                <w:highlight w:val="none"/>
                <w:lang w:eastAsia="zh-CN"/>
              </w:rPr>
              <w:t>标项</w:t>
            </w:r>
            <w:r>
              <w:rPr>
                <w:rFonts w:hint="eastAsia" w:ascii="宋体" w:hAnsi="宋体" w:eastAsia="宋体" w:cs="宋体"/>
                <w:b/>
                <w:bCs/>
                <w:color w:val="auto"/>
                <w:sz w:val="24"/>
                <w:szCs w:val="24"/>
                <w:highlight w:val="none"/>
              </w:rPr>
              <w:t>（如有），并注明是投标保证金字样，如填写字数有要求可简写项目名称与</w:t>
            </w:r>
            <w:r>
              <w:rPr>
                <w:rFonts w:hint="eastAsia" w:ascii="宋体" w:hAnsi="宋体" w:eastAsia="宋体" w:cs="宋体"/>
                <w:b/>
                <w:bCs/>
                <w:color w:val="auto"/>
                <w:sz w:val="24"/>
                <w:szCs w:val="24"/>
                <w:highlight w:val="none"/>
                <w:lang w:eastAsia="zh-CN"/>
              </w:rPr>
              <w:t>标项</w:t>
            </w:r>
            <w:r>
              <w:rPr>
                <w:rFonts w:hint="eastAsia" w:ascii="宋体" w:hAnsi="宋体" w:eastAsia="宋体" w:cs="宋体"/>
                <w:b/>
                <w:bCs/>
                <w:color w:val="auto"/>
                <w:sz w:val="24"/>
                <w:szCs w:val="24"/>
                <w:highlight w:val="none"/>
              </w:rPr>
              <w:t>（如有），由于未按要求注明信息而导致的一切后果由供应商自行承担。</w:t>
            </w:r>
          </w:p>
          <w:p w14:paraId="52CAE31A">
            <w:pPr>
              <w:keepNext w:val="0"/>
              <w:keepLines w:val="0"/>
              <w:pageBreakBefore w:val="0"/>
              <w:numPr>
                <w:ilvl w:val="0"/>
                <w:numId w:val="0"/>
              </w:numPr>
              <w:kinsoku/>
              <w:wordWrap/>
              <w:overflowPunct/>
              <w:topLinePunct w:val="0"/>
              <w:autoSpaceDE/>
              <w:autoSpaceDN/>
              <w:bidi w:val="0"/>
              <w:adjustRightInd/>
              <w:spacing w:line="320" w:lineRule="exact"/>
              <w:ind w:left="0" w:leftChars="0" w:firstLine="0" w:firstLineChars="0"/>
              <w:jc w:val="left"/>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lang w:val="en-US" w:eastAsia="zh-CN" w:bidi="ar-SA"/>
              </w:rPr>
              <w:t>（2）</w:t>
            </w:r>
            <w:r>
              <w:rPr>
                <w:rFonts w:hint="eastAsia" w:ascii="宋体" w:hAnsi="宋体" w:eastAsia="宋体" w:cs="宋体"/>
                <w:b/>
                <w:bCs/>
                <w:color w:val="auto"/>
                <w:sz w:val="24"/>
                <w:szCs w:val="24"/>
                <w:highlight w:val="none"/>
              </w:rPr>
              <w:t>供应商以保函形式提交投标保证金的，须在投标截止时间前到我公司换取保函收据，投标文件须放保函及“银行基本账户开户许可证”或“基本存款账户信息”复印件。注：以支票形式提供投标保证金的须在投标截止时间前到我公司换取支票收据，投标文件内须放支票复印件。</w:t>
            </w:r>
          </w:p>
          <w:p w14:paraId="6FF0D3D8">
            <w:pPr>
              <w:keepNext w:val="0"/>
              <w:keepLines w:val="0"/>
              <w:pageBreakBefore w:val="0"/>
              <w:numPr>
                <w:ilvl w:val="0"/>
                <w:numId w:val="0"/>
              </w:numPr>
              <w:kinsoku/>
              <w:wordWrap/>
              <w:overflowPunct/>
              <w:topLinePunct w:val="0"/>
              <w:autoSpaceDE/>
              <w:autoSpaceDN/>
              <w:bidi w:val="0"/>
              <w:adjustRightInd/>
              <w:spacing w:line="320" w:lineRule="exact"/>
              <w:ind w:leftChars="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B：退</w:t>
            </w:r>
            <w:r>
              <w:rPr>
                <w:rFonts w:hint="eastAsia" w:ascii="宋体" w:hAnsi="宋体" w:eastAsia="宋体" w:cs="宋体"/>
                <w:b/>
                <w:bCs/>
                <w:color w:val="auto"/>
                <w:sz w:val="24"/>
                <w:szCs w:val="24"/>
                <w:highlight w:val="none"/>
                <w:lang w:val="en-US" w:eastAsia="zh-CN"/>
              </w:rPr>
              <w:t>投标</w:t>
            </w:r>
            <w:r>
              <w:rPr>
                <w:rFonts w:hint="eastAsia" w:ascii="宋体" w:hAnsi="宋体" w:eastAsia="宋体" w:cs="宋体"/>
                <w:b/>
                <w:bCs/>
                <w:color w:val="auto"/>
                <w:sz w:val="24"/>
                <w:szCs w:val="24"/>
                <w:highlight w:val="none"/>
              </w:rPr>
              <w:t>保证金：</w:t>
            </w:r>
          </w:p>
          <w:p w14:paraId="7C73344D">
            <w:pPr>
              <w:keepNext w:val="0"/>
              <w:keepLines w:val="0"/>
              <w:pageBreakBefore w:val="0"/>
              <w:numPr>
                <w:ilvl w:val="0"/>
                <w:numId w:val="0"/>
              </w:numPr>
              <w:kinsoku/>
              <w:wordWrap/>
              <w:overflowPunct/>
              <w:topLinePunct w:val="0"/>
              <w:autoSpaceDE/>
              <w:autoSpaceDN/>
              <w:bidi w:val="0"/>
              <w:adjustRightInd/>
              <w:spacing w:line="320" w:lineRule="exact"/>
              <w:ind w:leftChars="0"/>
              <w:jc w:val="left"/>
              <w:rPr>
                <w:rFonts w:hint="eastAsia" w:ascii="宋体" w:hAnsi="宋体" w:eastAsia="宋体" w:cs="宋体"/>
                <w:b/>
                <w:bCs w:val="0"/>
                <w:i w:val="0"/>
                <w:caps w:val="0"/>
                <w:color w:val="auto"/>
                <w:spacing w:val="0"/>
                <w:w w:val="100"/>
                <w:sz w:val="24"/>
                <w:szCs w:val="24"/>
                <w:highlight w:val="none"/>
                <w:u w:val="none" w:color="auto"/>
                <w:lang w:val="en-US" w:eastAsia="zh-CN"/>
              </w:rPr>
            </w:pPr>
            <w:r>
              <w:rPr>
                <w:rFonts w:hint="eastAsia" w:ascii="宋体" w:hAnsi="宋体" w:eastAsia="宋体" w:cs="宋体"/>
                <w:b/>
                <w:bCs/>
                <w:color w:val="auto"/>
                <w:sz w:val="24"/>
                <w:szCs w:val="24"/>
                <w:highlight w:val="none"/>
              </w:rPr>
              <w:t>（1）根据《中华人民共和国财政部令第87号--政府采购货物和</w:t>
            </w:r>
            <w:r>
              <w:rPr>
                <w:rFonts w:hint="eastAsia" w:ascii="宋体" w:hAnsi="宋体" w:cs="宋体"/>
                <w:b/>
                <w:bCs/>
                <w:color w:val="auto"/>
                <w:sz w:val="24"/>
                <w:szCs w:val="24"/>
                <w:highlight w:val="none"/>
                <w:lang w:val="en-US" w:eastAsia="zh-CN"/>
              </w:rPr>
              <w:t>服务</w:t>
            </w:r>
            <w:r>
              <w:rPr>
                <w:rFonts w:hint="eastAsia" w:ascii="宋体" w:hAnsi="宋体" w:eastAsia="宋体" w:cs="宋体"/>
                <w:b/>
                <w:bCs/>
                <w:color w:val="auto"/>
                <w:sz w:val="24"/>
                <w:szCs w:val="24"/>
                <w:highlight w:val="none"/>
              </w:rPr>
              <w:t>招标投标管理办法》第三十八条</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在投标截止时间前撤回已提交的投标文件的，采购人或者采购代理机构应当自收到</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书面撤回通知之日起５个工作日内，退还已收取的投标保证金，但因</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自身原因导致无法及时退还的除外。采购人或者采购代理机构应当自中标通知书发出之日起5个工作日内退还未</w:t>
            </w:r>
            <w:r>
              <w:rPr>
                <w:rFonts w:hint="eastAsia" w:ascii="宋体" w:hAnsi="宋体" w:eastAsia="宋体" w:cs="宋体"/>
                <w:b/>
                <w:bCs/>
                <w:color w:val="auto"/>
                <w:sz w:val="24"/>
                <w:szCs w:val="24"/>
                <w:highlight w:val="none"/>
                <w:lang w:val="en-US" w:eastAsia="zh-CN"/>
              </w:rPr>
              <w:t>中标供应商</w:t>
            </w:r>
            <w:r>
              <w:rPr>
                <w:rFonts w:hint="eastAsia" w:ascii="宋体" w:hAnsi="宋体" w:eastAsia="宋体" w:cs="宋体"/>
                <w:b/>
                <w:bCs/>
                <w:color w:val="auto"/>
                <w:sz w:val="24"/>
                <w:szCs w:val="24"/>
                <w:highlight w:val="none"/>
              </w:rPr>
              <w:t>的投标保证金，自采购合同签订之日起5个工作日内退还</w:t>
            </w:r>
            <w:r>
              <w:rPr>
                <w:rFonts w:hint="eastAsia" w:ascii="宋体" w:hAnsi="宋体" w:eastAsia="宋体" w:cs="宋体"/>
                <w:b/>
                <w:bCs/>
                <w:color w:val="auto"/>
                <w:sz w:val="24"/>
                <w:szCs w:val="24"/>
                <w:highlight w:val="none"/>
                <w:lang w:val="en-US" w:eastAsia="zh-CN"/>
              </w:rPr>
              <w:t>中标供应商</w:t>
            </w:r>
            <w:r>
              <w:rPr>
                <w:rFonts w:hint="eastAsia" w:ascii="宋体" w:hAnsi="宋体" w:eastAsia="宋体" w:cs="宋体"/>
                <w:b/>
                <w:bCs/>
                <w:color w:val="auto"/>
                <w:sz w:val="24"/>
                <w:szCs w:val="24"/>
                <w:highlight w:val="none"/>
              </w:rPr>
              <w:t>的投标保证金。</w:t>
            </w:r>
          </w:p>
          <w:p w14:paraId="79AFD604">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fldChar w:fldCharType="begin"/>
            </w:r>
            <w:r>
              <w:rPr>
                <w:rFonts w:hint="eastAsia" w:ascii="宋体" w:hAnsi="宋体" w:eastAsia="宋体" w:cs="宋体"/>
                <w:b/>
                <w:bCs/>
                <w:color w:val="auto"/>
                <w:sz w:val="24"/>
                <w:szCs w:val="24"/>
                <w:highlight w:val="none"/>
                <w:lang w:val="en-US" w:eastAsia="zh-CN"/>
              </w:rPr>
              <w:instrText xml:space="preserve"> HYPERLINK "mailto:中标供应商的投标保证金在与采购单位签订合同后，把合同扫描件发送至邮箱2783389030@qq.com后，当日或次日即原账户退回。" </w:instrText>
            </w:r>
            <w:r>
              <w:rPr>
                <w:rFonts w:hint="eastAsia" w:ascii="宋体" w:hAnsi="宋体" w:eastAsia="宋体" w:cs="宋体"/>
                <w:b/>
                <w:bCs/>
                <w:color w:val="auto"/>
                <w:sz w:val="24"/>
                <w:szCs w:val="24"/>
                <w:highlight w:val="none"/>
                <w:lang w:val="en-US" w:eastAsia="zh-CN"/>
              </w:rPr>
              <w:fldChar w:fldCharType="separate"/>
            </w:r>
            <w:r>
              <w:rPr>
                <w:rFonts w:hint="eastAsia" w:ascii="宋体" w:hAnsi="宋体" w:eastAsia="宋体" w:cs="宋体"/>
                <w:b/>
                <w:bCs/>
                <w:color w:val="auto"/>
                <w:sz w:val="24"/>
                <w:szCs w:val="24"/>
                <w:highlight w:val="none"/>
                <w:lang w:val="en-US" w:eastAsia="zh-CN"/>
              </w:rPr>
              <w:t>中标供应商的投标保证金在与采购单位签订合同后，把合同扫描件发送至邮箱2723087503@qq.com后，当日或次日即原账户退回。</w:t>
            </w:r>
            <w:r>
              <w:rPr>
                <w:rFonts w:hint="eastAsia" w:ascii="宋体" w:hAnsi="宋体" w:eastAsia="宋体" w:cs="宋体"/>
                <w:b/>
                <w:bCs/>
                <w:color w:val="auto"/>
                <w:sz w:val="24"/>
                <w:szCs w:val="24"/>
                <w:highlight w:val="none"/>
                <w:lang w:val="en-US" w:eastAsia="zh-CN"/>
              </w:rPr>
              <w:fldChar w:fldCharType="end"/>
            </w:r>
          </w:p>
        </w:tc>
      </w:tr>
      <w:tr w14:paraId="22BC8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trPr>
        <w:tc>
          <w:tcPr>
            <w:tcW w:w="398" w:type="pct"/>
            <w:vAlign w:val="center"/>
          </w:tcPr>
          <w:p w14:paraId="51F596AB">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4601" w:type="pct"/>
            <w:vAlign w:val="center"/>
          </w:tcPr>
          <w:p w14:paraId="4CD0A214">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投标有效期：</w:t>
            </w:r>
            <w:r>
              <w:rPr>
                <w:rFonts w:hint="eastAsia" w:ascii="宋体" w:hAnsi="宋体" w:eastAsia="宋体" w:cs="宋体"/>
                <w:color w:val="auto"/>
                <w:sz w:val="24"/>
                <w:szCs w:val="24"/>
                <w:highlight w:val="none"/>
                <w:u w:val="single"/>
              </w:rPr>
              <w:t>　</w:t>
            </w:r>
            <w:r>
              <w:rPr>
                <w:rFonts w:hint="eastAsia" w:ascii="宋体" w:hAnsi="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lang w:val="en-US" w:eastAsia="zh-CN"/>
              </w:rPr>
              <w:t>0</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日历日</w:t>
            </w:r>
          </w:p>
        </w:tc>
      </w:tr>
      <w:tr w14:paraId="76986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398" w:type="pct"/>
            <w:vAlign w:val="center"/>
          </w:tcPr>
          <w:p w14:paraId="3BCDD7B0">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w:t>
            </w:r>
          </w:p>
        </w:tc>
        <w:tc>
          <w:tcPr>
            <w:tcW w:w="4601" w:type="pct"/>
            <w:vAlign w:val="center"/>
          </w:tcPr>
          <w:p w14:paraId="61A08AC9">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14:paraId="7E4884CE">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（2）本项目实行网上投标，采用电子投标文件(供应商须使用CA加密设备通过政采云电子投标客户端制作投标文件)。若供应商参与投标，自行承担投标一切费用。</w:t>
            </w:r>
          </w:p>
          <w:p w14:paraId="533EED11">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（3）各供应商应在开标前应确保成为新疆政府采购网正式注册入库供应商，并完成CA数字证书申领。因未注册入库、未办理CA数字证书等原因造成无法投标或投标失败等后果由供应商自行承担。</w:t>
            </w:r>
          </w:p>
          <w:p w14:paraId="46016B2C">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w:t>
            </w:r>
            <w:r>
              <w:rPr>
                <w:rFonts w:hint="eastAsia" w:ascii="宋体" w:hAnsi="宋体" w:cs="宋体"/>
                <w:b/>
                <w:bCs/>
                <w:color w:val="auto"/>
                <w:sz w:val="24"/>
                <w:szCs w:val="24"/>
                <w:highlight w:val="none"/>
                <w:lang w:eastAsia="zh-CN"/>
              </w:rPr>
              <w:t>95763</w:t>
            </w:r>
            <w:r>
              <w:rPr>
                <w:rFonts w:hint="eastAsia" w:ascii="宋体" w:hAnsi="宋体" w:eastAsia="宋体" w:cs="宋体"/>
                <w:b/>
                <w:bCs/>
                <w:color w:val="auto"/>
                <w:sz w:val="24"/>
                <w:szCs w:val="24"/>
                <w:highlight w:val="none"/>
              </w:rPr>
              <w:t>进行咨询。</w:t>
            </w:r>
          </w:p>
          <w:p w14:paraId="76D579C2">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（5）供应商在开标时须使用制作加密电子投标文件所使用的CA锁及电脑，电脑须提前配置好浏览器（建议使用360浏览器或谷歌浏览器），以便开标时解锁。</w:t>
            </w:r>
          </w:p>
          <w:p w14:paraId="7F2A18BA">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（6）投标保证金缴纳及确认时间：凡拟参加本次招标项目的供应商，必须在开标前将投标保证金汇入指定账户。否则，届时其投标将被拒绝。</w:t>
            </w:r>
          </w:p>
          <w:p w14:paraId="06D42C4F">
            <w:pPr>
              <w:keepNext w:val="0"/>
              <w:keepLines w:val="0"/>
              <w:pageBreakBefore w:val="0"/>
              <w:kinsoku/>
              <w:wordWrap/>
              <w:overflowPunct/>
              <w:topLinePunct w:val="0"/>
              <w:autoSpaceDE/>
              <w:autoSpaceDN/>
              <w:bidi w:val="0"/>
              <w:adjustRightInd/>
              <w:spacing w:line="32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网超供应商服务二十群：35547618（如已加入1-19群，无需重复加入），钉钉工具软件具有回放功能，直播培训结束后可在钉钉群中回放观看学习。</w:t>
            </w:r>
          </w:p>
          <w:p w14:paraId="16F165D2">
            <w:pPr>
              <w:keepNext w:val="0"/>
              <w:keepLines w:val="0"/>
              <w:pageBreakBefore w:val="0"/>
              <w:shd w:val="clear"/>
              <w:kinsoku/>
              <w:wordWrap/>
              <w:overflowPunct/>
              <w:topLinePunct w:val="0"/>
              <w:autoSpaceDE/>
              <w:autoSpaceDN/>
              <w:bidi w:val="0"/>
              <w:adjustRightInd/>
              <w:spacing w:beforeAutospacing="0" w:afterAutospacing="0" w:line="32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8）各供应商须在投标截止时间前完成在系统上递交电子投标文件。投标供应商的电子投标文件是经过CA证书加密后上传提交的，任何单位或个人均无法在投标截止时间(即投标时间)之前查看或篡改，不存在泄密风险。（严格按照政采云电子投标流程制作并上传完整版的电子投标文件后缀为.jmbs，包含第一部分开标一览表及资格证明文件、第二部分商务及技术文件）</w:t>
            </w:r>
          </w:p>
          <w:p w14:paraId="562073DA">
            <w:pPr>
              <w:keepNext w:val="0"/>
              <w:keepLines w:val="0"/>
              <w:pageBreakBefore w:val="0"/>
              <w:shd w:val="clear"/>
              <w:kinsoku/>
              <w:wordWrap/>
              <w:overflowPunct/>
              <w:topLinePunct w:val="0"/>
              <w:autoSpaceDE/>
              <w:autoSpaceDN/>
              <w:bidi w:val="0"/>
              <w:adjustRightInd/>
              <w:spacing w:beforeAutospacing="0" w:afterAutospacing="0" w:line="32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9）各供应商应完整地按招标文件提供的投标文件格式及要求编写投标文件，根据平台关联点上传对应佐证资料，投标文件应包括“开标一览表及资格证明文件”和“商务及技术文件”两部分，两部分合并成完整一册上传至政采云平台。供应商应承担上传失误产生的任何后果。</w:t>
            </w:r>
          </w:p>
          <w:p w14:paraId="136FADEA">
            <w:pPr>
              <w:pStyle w:val="16"/>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（10）解密时长为30分钟，超出解密时长，作无效投标处理。</w:t>
            </w:r>
          </w:p>
        </w:tc>
      </w:tr>
      <w:tr w14:paraId="1E4C5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398" w:type="pct"/>
            <w:vAlign w:val="center"/>
          </w:tcPr>
          <w:p w14:paraId="24C2BC72">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w:t>
            </w:r>
          </w:p>
        </w:tc>
        <w:tc>
          <w:tcPr>
            <w:tcW w:w="4601" w:type="pct"/>
            <w:vAlign w:val="center"/>
          </w:tcPr>
          <w:p w14:paraId="79011345">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投标截止时间：202</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年</w:t>
            </w:r>
            <w:r>
              <w:rPr>
                <w:rFonts w:hint="eastAsia" w:ascii="宋体" w:hAnsi="宋体" w:cs="宋体"/>
                <w:b/>
                <w:bCs/>
                <w:color w:val="auto"/>
                <w:sz w:val="24"/>
                <w:szCs w:val="24"/>
                <w:highlight w:val="none"/>
                <w:lang w:val="en-US" w:eastAsia="zh-CN"/>
              </w:rPr>
              <w:t>11</w:t>
            </w:r>
            <w:r>
              <w:rPr>
                <w:rFonts w:hint="eastAsia" w:ascii="宋体" w:hAnsi="宋体" w:cs="宋体"/>
                <w:b/>
                <w:bCs/>
                <w:color w:val="auto"/>
                <w:sz w:val="24"/>
                <w:szCs w:val="24"/>
                <w:highlight w:val="none"/>
                <w:lang w:eastAsia="zh-CN"/>
              </w:rPr>
              <w:t>月</w:t>
            </w:r>
            <w:r>
              <w:rPr>
                <w:rFonts w:hint="eastAsia" w:ascii="宋体" w:hAnsi="宋体" w:cs="宋体"/>
                <w:b/>
                <w:bCs/>
                <w:color w:val="auto"/>
                <w:sz w:val="24"/>
                <w:szCs w:val="24"/>
                <w:highlight w:val="none"/>
                <w:lang w:val="en-US" w:eastAsia="zh-CN"/>
              </w:rPr>
              <w:t>22</w:t>
            </w:r>
            <w:r>
              <w:rPr>
                <w:rFonts w:hint="eastAsia" w:ascii="宋体" w:hAnsi="宋体" w:cs="宋体"/>
                <w:b/>
                <w:bCs/>
                <w:color w:val="auto"/>
                <w:sz w:val="24"/>
                <w:szCs w:val="24"/>
                <w:highlight w:val="none"/>
                <w:lang w:eastAsia="zh-CN"/>
              </w:rPr>
              <w:t>日</w:t>
            </w:r>
            <w:r>
              <w:rPr>
                <w:rFonts w:hint="eastAsia" w:ascii="宋体" w:hAnsi="宋体" w:eastAsia="宋体" w:cs="宋体"/>
                <w:b/>
                <w:bCs/>
                <w:color w:val="auto"/>
                <w:sz w:val="24"/>
                <w:szCs w:val="24"/>
                <w:highlight w:val="none"/>
                <w:lang w:eastAsia="zh-CN"/>
              </w:rPr>
              <w:t>1</w:t>
            </w:r>
            <w:r>
              <w:rPr>
                <w:rFonts w:hint="eastAsia" w:ascii="宋体" w:hAnsi="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eastAsia="zh-CN"/>
              </w:rPr>
              <w:t>:00（北京时间）</w:t>
            </w:r>
          </w:p>
          <w:p w14:paraId="2DADA6C5">
            <w:pPr>
              <w:pStyle w:val="2"/>
              <w:rPr>
                <w:rFonts w:hint="eastAsia"/>
                <w:lang w:eastAsia="zh-CN"/>
              </w:rPr>
            </w:pPr>
            <w:r>
              <w:rPr>
                <w:rFonts w:hint="eastAsia" w:ascii="宋体" w:hAnsi="宋体" w:eastAsia="宋体" w:cs="宋体"/>
                <w:b/>
                <w:bCs/>
                <w:color w:val="auto"/>
                <w:spacing w:val="0"/>
                <w:kern w:val="2"/>
                <w:sz w:val="24"/>
                <w:szCs w:val="24"/>
                <w:highlight w:val="none"/>
                <w:lang w:val="en-US" w:eastAsia="zh-CN" w:bidi="ar-SA"/>
              </w:rPr>
              <w:t>投标地点：请登录政采云投标客户端投标</w:t>
            </w:r>
          </w:p>
        </w:tc>
      </w:tr>
      <w:tr w14:paraId="73F6C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34" w:hRule="atLeast"/>
        </w:trPr>
        <w:tc>
          <w:tcPr>
            <w:tcW w:w="398" w:type="pct"/>
            <w:vAlign w:val="center"/>
          </w:tcPr>
          <w:p w14:paraId="6AD94511">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w:t>
            </w:r>
          </w:p>
        </w:tc>
        <w:tc>
          <w:tcPr>
            <w:tcW w:w="4601" w:type="pct"/>
            <w:vAlign w:val="center"/>
          </w:tcPr>
          <w:p w14:paraId="3EB0873E">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开标时间：202</w:t>
            </w:r>
            <w:r>
              <w:rPr>
                <w:rFonts w:hint="eastAsia" w:ascii="宋体" w:hAnsi="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年</w:t>
            </w:r>
            <w:r>
              <w:rPr>
                <w:rFonts w:hint="eastAsia" w:ascii="宋体" w:hAnsi="宋体" w:cs="宋体"/>
                <w:b/>
                <w:bCs/>
                <w:color w:val="auto"/>
                <w:sz w:val="24"/>
                <w:szCs w:val="24"/>
                <w:highlight w:val="none"/>
                <w:lang w:val="en-US" w:eastAsia="zh-CN"/>
              </w:rPr>
              <w:t>11</w:t>
            </w:r>
            <w:r>
              <w:rPr>
                <w:rFonts w:hint="eastAsia" w:ascii="宋体" w:hAnsi="宋体" w:cs="宋体"/>
                <w:b/>
                <w:bCs/>
                <w:color w:val="auto"/>
                <w:sz w:val="24"/>
                <w:szCs w:val="24"/>
                <w:highlight w:val="none"/>
                <w:lang w:eastAsia="zh-CN"/>
              </w:rPr>
              <w:t>月</w:t>
            </w:r>
            <w:r>
              <w:rPr>
                <w:rFonts w:hint="eastAsia" w:ascii="宋体" w:hAnsi="宋体" w:cs="宋体"/>
                <w:b/>
                <w:bCs/>
                <w:color w:val="auto"/>
                <w:sz w:val="24"/>
                <w:szCs w:val="24"/>
                <w:highlight w:val="none"/>
                <w:lang w:val="en-US" w:eastAsia="zh-CN"/>
              </w:rPr>
              <w:t>22</w:t>
            </w:r>
            <w:r>
              <w:rPr>
                <w:rFonts w:hint="eastAsia" w:ascii="宋体" w:hAnsi="宋体" w:cs="宋体"/>
                <w:b/>
                <w:bCs/>
                <w:color w:val="auto"/>
                <w:sz w:val="24"/>
                <w:szCs w:val="24"/>
                <w:highlight w:val="none"/>
                <w:lang w:eastAsia="zh-CN"/>
              </w:rPr>
              <w:t>日</w:t>
            </w:r>
            <w:r>
              <w:rPr>
                <w:rFonts w:hint="eastAsia" w:ascii="宋体" w:hAnsi="宋体" w:eastAsia="宋体" w:cs="宋体"/>
                <w:b/>
                <w:bCs/>
                <w:color w:val="auto"/>
                <w:sz w:val="24"/>
                <w:szCs w:val="24"/>
                <w:highlight w:val="none"/>
                <w:lang w:eastAsia="zh-CN"/>
              </w:rPr>
              <w:t>1</w:t>
            </w:r>
            <w:r>
              <w:rPr>
                <w:rFonts w:hint="eastAsia" w:ascii="宋体" w:hAnsi="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eastAsia="zh-CN"/>
              </w:rPr>
              <w:t>:00（北京时间）</w:t>
            </w:r>
          </w:p>
          <w:p w14:paraId="5D88A71F">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开标地点：供应商登录政采云平台https://www.zcygov.cn/，进入“项目采购-开标评标-右边选择对应项目点击“进入项目”进入开标大厅。</w:t>
            </w:r>
          </w:p>
        </w:tc>
      </w:tr>
      <w:tr w14:paraId="36B87C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398" w:type="pct"/>
            <w:vAlign w:val="center"/>
          </w:tcPr>
          <w:p w14:paraId="19C239DD">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w:t>
            </w:r>
          </w:p>
        </w:tc>
        <w:tc>
          <w:tcPr>
            <w:tcW w:w="4601" w:type="pct"/>
            <w:vAlign w:val="center"/>
          </w:tcPr>
          <w:p w14:paraId="7812DC7E">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i/>
                <w:color w:val="auto"/>
                <w:sz w:val="24"/>
                <w:szCs w:val="24"/>
                <w:highlight w:val="none"/>
              </w:rPr>
            </w:pPr>
            <w:r>
              <w:rPr>
                <w:rFonts w:hint="eastAsia" w:ascii="宋体" w:hAnsi="宋体" w:eastAsia="宋体" w:cs="宋体"/>
                <w:color w:val="auto"/>
                <w:sz w:val="24"/>
                <w:szCs w:val="24"/>
                <w:highlight w:val="none"/>
              </w:rPr>
              <w:t>评标方法：适用</w:t>
            </w:r>
            <w:r>
              <w:rPr>
                <w:rFonts w:hint="eastAsia" w:ascii="宋体" w:hAnsi="宋体" w:eastAsia="宋体" w:cs="宋体"/>
                <w:color w:val="auto"/>
                <w:sz w:val="24"/>
                <w:szCs w:val="24"/>
                <w:highlight w:val="none"/>
                <w:u w:val="single"/>
              </w:rPr>
              <w:t>　综合评分法　</w:t>
            </w:r>
            <w:r>
              <w:rPr>
                <w:rFonts w:hint="eastAsia" w:ascii="宋体" w:hAnsi="宋体" w:eastAsia="宋体" w:cs="宋体"/>
                <w:color w:val="auto"/>
                <w:sz w:val="24"/>
                <w:szCs w:val="24"/>
                <w:highlight w:val="none"/>
              </w:rPr>
              <w:t>　　　　　</w:t>
            </w:r>
          </w:p>
        </w:tc>
      </w:tr>
      <w:tr w14:paraId="7F6E48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398" w:type="pct"/>
            <w:vAlign w:val="center"/>
          </w:tcPr>
          <w:p w14:paraId="55829326">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4601" w:type="pct"/>
            <w:vAlign w:val="center"/>
          </w:tcPr>
          <w:p w14:paraId="5D1F3173">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推荐中标候选供应商的数量：</w:t>
            </w:r>
            <w:r>
              <w:rPr>
                <w:rFonts w:hint="eastAsia" w:ascii="宋体" w:hAnsi="宋体" w:eastAsia="宋体" w:cs="宋体"/>
                <w:color w:val="auto"/>
                <w:sz w:val="24"/>
                <w:szCs w:val="24"/>
                <w:highlight w:val="none"/>
                <w:u w:val="single"/>
              </w:rPr>
              <w:t>　  3 　　</w:t>
            </w:r>
          </w:p>
        </w:tc>
      </w:tr>
      <w:tr w14:paraId="5C24BA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398" w:type="pct"/>
            <w:vAlign w:val="center"/>
          </w:tcPr>
          <w:p w14:paraId="4EBFC2F6">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4601" w:type="pct"/>
            <w:vAlign w:val="center"/>
          </w:tcPr>
          <w:p w14:paraId="02E6306E">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是否委托评标委员会直接确定中标人：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否</w:t>
            </w:r>
            <w:r>
              <w:rPr>
                <w:rFonts w:hint="eastAsia" w:ascii="宋体" w:hAnsi="宋体" w:eastAsia="宋体" w:cs="宋体"/>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（是、否）</w:t>
            </w:r>
          </w:p>
        </w:tc>
      </w:tr>
      <w:tr w14:paraId="0C717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398" w:type="pct"/>
            <w:vAlign w:val="center"/>
          </w:tcPr>
          <w:p w14:paraId="60D837CB">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p>
        </w:tc>
        <w:tc>
          <w:tcPr>
            <w:tcW w:w="4601" w:type="pct"/>
            <w:vAlign w:val="center"/>
          </w:tcPr>
          <w:p w14:paraId="186B2CA5">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履约保证金金额：合同总价的</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（不得超过政府采购合同金额的10%）</w:t>
            </w:r>
          </w:p>
          <w:p w14:paraId="063A9AE8">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履约保证金形式：</w:t>
            </w:r>
            <w:r>
              <w:rPr>
                <w:rFonts w:hint="eastAsia" w:ascii="微软雅黑" w:hAnsi="微软雅黑" w:eastAsia="微软雅黑" w:cs="微软雅黑"/>
                <w:color w:val="auto"/>
                <w:sz w:val="24"/>
                <w:szCs w:val="24"/>
                <w:highlight w:val="none"/>
                <w:u w:val="single"/>
              </w:rPr>
              <w:t xml:space="preserve"> </w:t>
            </w:r>
            <w:r>
              <w:rPr>
                <w:rFonts w:hint="eastAsia" w:ascii="微软雅黑" w:hAnsi="微软雅黑" w:eastAsia="微软雅黑" w:cs="微软雅黑"/>
                <w:color w:val="auto"/>
                <w:sz w:val="24"/>
                <w:szCs w:val="24"/>
                <w:highlight w:val="none"/>
                <w:u w:val="single"/>
                <w:lang w:eastAsia="zh-CN"/>
              </w:rPr>
              <w:t>☑银行转账  ☑保函  ☑支票  ☑汇票  ☑本票</w:t>
            </w:r>
            <w:r>
              <w:rPr>
                <w:rFonts w:hint="eastAsia" w:ascii="微软雅黑" w:hAnsi="微软雅黑" w:eastAsia="微软雅黑" w:cs="微软雅黑"/>
                <w:color w:val="auto"/>
                <w:sz w:val="24"/>
                <w:szCs w:val="24"/>
                <w:highlight w:val="none"/>
                <w:u w:val="single"/>
              </w:rPr>
              <w:t xml:space="preserve"> </w:t>
            </w:r>
          </w:p>
          <w:p w14:paraId="105CC246">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提交履约保证金的时间：签订合同前打入甲方指定账户</w:t>
            </w:r>
            <w:r>
              <w:rPr>
                <w:rFonts w:hint="eastAsia" w:ascii="宋体" w:hAnsi="宋体" w:eastAsia="宋体" w:cs="宋体"/>
                <w:color w:val="auto"/>
                <w:sz w:val="24"/>
                <w:szCs w:val="24"/>
                <w:highlight w:val="none"/>
                <w:lang w:val="en-US" w:eastAsia="zh-CN"/>
              </w:rPr>
              <w:t xml:space="preserve"> </w:t>
            </w:r>
          </w:p>
          <w:p w14:paraId="3CCA5399">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lang w:val="zh-CN"/>
              </w:rPr>
              <w:t>双方可以通过协商另行约定其他退还时间和方式及用途。</w:t>
            </w:r>
          </w:p>
        </w:tc>
      </w:tr>
      <w:tr w14:paraId="08040E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398" w:type="pct"/>
            <w:vAlign w:val="center"/>
          </w:tcPr>
          <w:p w14:paraId="3945A181">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4601" w:type="pct"/>
            <w:vAlign w:val="center"/>
          </w:tcPr>
          <w:p w14:paraId="4274A69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招标代理服务费（中标服务费）：</w:t>
            </w:r>
            <w:r>
              <w:rPr>
                <w:rFonts w:hint="eastAsia" w:ascii="宋体" w:hAnsi="宋体" w:cs="宋体"/>
                <w:color w:val="auto"/>
                <w:sz w:val="24"/>
                <w:szCs w:val="24"/>
                <w:highlight w:val="none"/>
                <w:lang w:val="en-US" w:eastAsia="zh-CN"/>
              </w:rPr>
              <w:t>经甲乙双方协商确定，中标服务费按中标价的1.5%收取</w:t>
            </w:r>
            <w:r>
              <w:rPr>
                <w:rFonts w:hint="eastAsia" w:ascii="宋体" w:hAnsi="宋体" w:eastAsia="宋体" w:cs="宋体"/>
                <w:color w:val="auto"/>
                <w:sz w:val="24"/>
                <w:szCs w:val="24"/>
                <w:highlight w:val="none"/>
                <w:lang w:val="en-US" w:eastAsia="zh-CN"/>
              </w:rPr>
              <w:t xml:space="preserve">（由中标供应商领取中标通知书时一次性支付）                                                                                                     </w:t>
            </w:r>
          </w:p>
          <w:p w14:paraId="0B9B1C2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支付形式：</w:t>
            </w:r>
            <w:r>
              <w:rPr>
                <w:rFonts w:hint="eastAsia" w:ascii="宋体" w:hAnsi="宋体" w:eastAsia="宋体" w:cs="宋体"/>
                <w:color w:val="auto"/>
                <w:sz w:val="24"/>
                <w:szCs w:val="24"/>
                <w:highlight w:val="none"/>
                <w:u w:val="single"/>
              </w:rPr>
              <w:t xml:space="preserve">  对公转账  </w:t>
            </w:r>
          </w:p>
          <w:p w14:paraId="16A6E06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支付时间：</w:t>
            </w:r>
            <w:r>
              <w:rPr>
                <w:rFonts w:hint="eastAsia" w:ascii="宋体" w:hAnsi="宋体" w:eastAsia="宋体" w:cs="宋体"/>
                <w:color w:val="auto"/>
                <w:sz w:val="24"/>
                <w:szCs w:val="24"/>
                <w:highlight w:val="none"/>
                <w:u w:val="single"/>
              </w:rPr>
              <w:t xml:space="preserve">  领取中标通知书时 </w:t>
            </w:r>
          </w:p>
        </w:tc>
      </w:tr>
      <w:tr w14:paraId="480558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398" w:type="pct"/>
            <w:vAlign w:val="center"/>
          </w:tcPr>
          <w:p w14:paraId="67DBF5CE">
            <w:pPr>
              <w:keepNext w:val="0"/>
              <w:keepLines w:val="0"/>
              <w:pageBreakBefore w:val="0"/>
              <w:kinsoku/>
              <w:wordWrap/>
              <w:overflowPunct/>
              <w:topLinePunct w:val="0"/>
              <w:autoSpaceDE/>
              <w:autoSpaceDN/>
              <w:bidi w:val="0"/>
              <w:adjustRightInd/>
              <w:snapToGrid/>
              <w:spacing w:line="32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w:t>
            </w:r>
          </w:p>
        </w:tc>
        <w:tc>
          <w:tcPr>
            <w:tcW w:w="4601" w:type="pct"/>
            <w:vAlign w:val="center"/>
          </w:tcPr>
          <w:p w14:paraId="332302B0">
            <w:pPr>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本项目是否属于信用担保试点范围：</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是</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i w:val="0"/>
                <w:iCs/>
                <w:color w:val="auto"/>
                <w:sz w:val="24"/>
                <w:szCs w:val="24"/>
                <w:highlight w:val="none"/>
              </w:rPr>
              <w:t>（是、否）</w:t>
            </w:r>
          </w:p>
        </w:tc>
      </w:tr>
    </w:tbl>
    <w:p w14:paraId="7E5AB079">
      <w:pPr>
        <w:rPr>
          <w:rFonts w:hint="eastAsia" w:ascii="宋体" w:hAnsi="宋体" w:eastAsia="宋体" w:cs="宋体"/>
          <w:b/>
          <w:bCs/>
          <w:color w:val="auto"/>
          <w:kern w:val="0"/>
          <w:sz w:val="32"/>
          <w:szCs w:val="32"/>
          <w:highlight w:val="none"/>
          <w:lang w:val="en-US" w:eastAsia="zh-CN" w:bidi="ar-SA"/>
        </w:rPr>
      </w:pPr>
      <w:bookmarkStart w:id="1685" w:name="_Toc18118"/>
      <w:bookmarkStart w:id="1686" w:name="_Toc15092"/>
      <w:bookmarkStart w:id="1687" w:name="_Toc27053"/>
      <w:bookmarkStart w:id="1688" w:name="_Toc27821"/>
      <w:bookmarkStart w:id="1689" w:name="_Toc512937852"/>
      <w:r>
        <w:rPr>
          <w:rFonts w:hint="eastAsia" w:ascii="宋体" w:hAnsi="宋体" w:eastAsia="宋体" w:cs="宋体"/>
          <w:b/>
          <w:bCs/>
          <w:color w:val="auto"/>
          <w:kern w:val="0"/>
          <w:sz w:val="32"/>
          <w:szCs w:val="32"/>
          <w:highlight w:val="none"/>
          <w:lang w:val="en-US" w:eastAsia="zh-CN" w:bidi="ar-SA"/>
        </w:rPr>
        <w:br w:type="page"/>
      </w:r>
    </w:p>
    <w:p w14:paraId="31EDD3CD">
      <w:pPr>
        <w:pStyle w:val="7"/>
        <w:ind w:firstLine="0"/>
        <w:jc w:val="center"/>
        <w:outlineLvl w:val="0"/>
        <w:rPr>
          <w:rFonts w:hint="eastAsia" w:ascii="宋体" w:hAnsi="宋体" w:eastAsia="宋体" w:cs="宋体"/>
          <w:b/>
          <w:bCs/>
          <w:color w:val="auto"/>
          <w:sz w:val="32"/>
          <w:szCs w:val="32"/>
          <w:highlight w:val="none"/>
          <w:lang w:val="en-US" w:eastAsia="zh-CN"/>
        </w:rPr>
      </w:pPr>
      <w:bookmarkStart w:id="1690" w:name="_Toc29683"/>
      <w:r>
        <w:rPr>
          <w:rFonts w:hint="eastAsia" w:ascii="宋体" w:hAnsi="宋体" w:eastAsia="宋体" w:cs="宋体"/>
          <w:b/>
          <w:bCs/>
          <w:color w:val="auto"/>
          <w:sz w:val="32"/>
          <w:szCs w:val="32"/>
          <w:highlight w:val="none"/>
          <w:lang w:val="en-US" w:eastAsia="zh-CN"/>
        </w:rPr>
        <w:t xml:space="preserve">第5章  </w:t>
      </w:r>
      <w:bookmarkEnd w:id="1685"/>
      <w:bookmarkEnd w:id="1686"/>
      <w:bookmarkEnd w:id="1687"/>
      <w:bookmarkEnd w:id="1688"/>
      <w:r>
        <w:rPr>
          <w:rFonts w:hint="eastAsia" w:ascii="宋体" w:hAnsi="宋体" w:eastAsia="宋体" w:cs="宋体"/>
          <w:b/>
          <w:bCs/>
          <w:color w:val="auto"/>
          <w:sz w:val="32"/>
          <w:szCs w:val="32"/>
          <w:highlight w:val="none"/>
          <w:lang w:val="en-US" w:eastAsia="zh-CN"/>
        </w:rPr>
        <w:t>货物需求及项目要求</w:t>
      </w:r>
      <w:bookmarkEnd w:id="1690"/>
    </w:p>
    <w:bookmarkEnd w:id="0"/>
    <w:bookmarkEnd w:id="1"/>
    <w:bookmarkEnd w:id="2"/>
    <w:bookmarkEnd w:id="3"/>
    <w:bookmarkEnd w:id="4"/>
    <w:bookmarkEnd w:id="5"/>
    <w:bookmarkEnd w:id="6"/>
    <w:bookmarkEnd w:id="7"/>
    <w:bookmarkEnd w:id="8"/>
    <w:bookmarkEnd w:id="9"/>
    <w:bookmarkEnd w:id="10"/>
    <w:bookmarkEnd w:id="11"/>
    <w:bookmarkEnd w:id="12"/>
    <w:bookmarkEnd w:id="13"/>
    <w:bookmarkEnd w:id="1689"/>
    <w:p w14:paraId="4FE2412B">
      <w:pPr>
        <w:pStyle w:val="4"/>
        <w:pageBreakBefore w:val="0"/>
        <w:kinsoku/>
        <w:wordWrap/>
        <w:overflowPunct/>
        <w:topLinePunct w:val="0"/>
        <w:bidi w:val="0"/>
        <w:spacing w:before="0" w:line="360" w:lineRule="exact"/>
        <w:jc w:val="left"/>
        <w:outlineLvl w:val="1"/>
        <w:rPr>
          <w:rFonts w:hint="eastAsia" w:ascii="宋体" w:hAnsi="宋体" w:eastAsia="宋体" w:cs="宋体"/>
          <w:color w:val="auto"/>
          <w:sz w:val="28"/>
          <w:szCs w:val="28"/>
          <w:highlight w:val="none"/>
          <w:lang w:val="en-US" w:eastAsia="zh-CN"/>
        </w:rPr>
      </w:pPr>
      <w:bookmarkStart w:id="1691" w:name="_Toc25655"/>
      <w:bookmarkStart w:id="1692" w:name="_Toc24835"/>
      <w:bookmarkStart w:id="1693" w:name="_Toc22092"/>
      <w:bookmarkStart w:id="1694" w:name="_Toc6403"/>
      <w:bookmarkStart w:id="1695" w:name="_Toc8003"/>
      <w:bookmarkStart w:id="1696" w:name="_Toc18166"/>
      <w:bookmarkStart w:id="1697" w:name="_Toc12446"/>
      <w:bookmarkStart w:id="1698" w:name="_Toc4621"/>
      <w:bookmarkStart w:id="1699" w:name="_Toc30525"/>
      <w:bookmarkStart w:id="1700" w:name="_Toc11259"/>
      <w:bookmarkStart w:id="1701" w:name="_Toc31651"/>
      <w:r>
        <w:rPr>
          <w:rFonts w:hint="eastAsia" w:ascii="宋体" w:hAnsi="宋体" w:eastAsia="宋体" w:cs="宋体"/>
          <w:color w:val="auto"/>
          <w:sz w:val="28"/>
          <w:szCs w:val="28"/>
          <w:highlight w:val="none"/>
          <w:lang w:val="en-US" w:eastAsia="zh-CN"/>
        </w:rPr>
        <w:t>一、货物需求：</w:t>
      </w:r>
      <w:bookmarkEnd w:id="1691"/>
      <w:bookmarkEnd w:id="1692"/>
    </w:p>
    <w:p w14:paraId="700E0CFC">
      <w:pPr>
        <w:pStyle w:val="5"/>
        <w:spacing w:before="0" w:after="0" w:line="360" w:lineRule="exact"/>
        <w:rPr>
          <w:rFonts w:hAnsi="宋体" w:cs="宋体"/>
          <w:b/>
          <w:bCs/>
          <w:u w:val="none"/>
        </w:rPr>
      </w:pPr>
      <w:bookmarkStart w:id="1702" w:name="_Toc2217"/>
      <w:r>
        <w:rPr>
          <w:rFonts w:hint="eastAsia" w:hAnsi="宋体" w:cs="宋体"/>
          <w:b/>
          <w:bCs/>
          <w:u w:val="none"/>
        </w:rPr>
        <w:t>标项1：</w:t>
      </w:r>
      <w:bookmarkEnd w:id="1702"/>
    </w:p>
    <w:tbl>
      <w:tblPr>
        <w:tblStyle w:val="22"/>
        <w:tblW w:w="61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34"/>
        <w:gridCol w:w="7372"/>
        <w:gridCol w:w="710"/>
        <w:gridCol w:w="642"/>
      </w:tblGrid>
      <w:tr w14:paraId="61FA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1B0DBBA5">
            <w:pPr>
              <w:spacing w:line="320" w:lineRule="exact"/>
              <w:jc w:val="center"/>
              <w:rPr>
                <w:rFonts w:ascii="Times New Roman" w:hAnsi="Times New Roman" w:cs="宋体"/>
              </w:rPr>
            </w:pPr>
            <w:r>
              <w:rPr>
                <w:rFonts w:hint="eastAsia" w:ascii="Times New Roman" w:hAnsi="Times New Roman" w:cs="宋体"/>
              </w:rPr>
              <w:t>序号</w:t>
            </w:r>
          </w:p>
        </w:tc>
        <w:tc>
          <w:tcPr>
            <w:tcW w:w="537" w:type="pct"/>
            <w:vAlign w:val="center"/>
          </w:tcPr>
          <w:p w14:paraId="14D2E459">
            <w:pPr>
              <w:spacing w:line="320" w:lineRule="exact"/>
              <w:jc w:val="center"/>
              <w:rPr>
                <w:rFonts w:ascii="Times New Roman" w:hAnsi="Times New Roman" w:cs="宋体"/>
              </w:rPr>
            </w:pPr>
            <w:r>
              <w:rPr>
                <w:rFonts w:hint="eastAsia" w:ascii="Times New Roman" w:hAnsi="Times New Roman" w:cs="宋体"/>
              </w:rPr>
              <w:t>产品名称</w:t>
            </w:r>
          </w:p>
        </w:tc>
        <w:tc>
          <w:tcPr>
            <w:tcW w:w="3491" w:type="pct"/>
            <w:vAlign w:val="center"/>
          </w:tcPr>
          <w:p w14:paraId="32CA6C52">
            <w:pPr>
              <w:spacing w:line="320" w:lineRule="exact"/>
              <w:jc w:val="center"/>
              <w:rPr>
                <w:rFonts w:ascii="Times New Roman" w:hAnsi="Times New Roman" w:cs="宋体"/>
              </w:rPr>
            </w:pPr>
            <w:r>
              <w:rPr>
                <w:rFonts w:hint="eastAsia" w:ascii="Times New Roman" w:hAnsi="Times New Roman" w:cs="宋体"/>
              </w:rPr>
              <w:t>技术参数</w:t>
            </w:r>
          </w:p>
        </w:tc>
        <w:tc>
          <w:tcPr>
            <w:tcW w:w="336" w:type="pct"/>
            <w:vAlign w:val="center"/>
          </w:tcPr>
          <w:p w14:paraId="3683195F">
            <w:pPr>
              <w:spacing w:line="320" w:lineRule="exact"/>
              <w:jc w:val="center"/>
              <w:rPr>
                <w:rFonts w:ascii="Times New Roman" w:hAnsi="Times New Roman" w:cs="宋体"/>
              </w:rPr>
            </w:pPr>
            <w:r>
              <w:rPr>
                <w:rFonts w:hint="eastAsia" w:ascii="Times New Roman" w:hAnsi="Times New Roman" w:cs="宋体"/>
              </w:rPr>
              <w:t>单位</w:t>
            </w:r>
          </w:p>
        </w:tc>
        <w:tc>
          <w:tcPr>
            <w:tcW w:w="304" w:type="pct"/>
            <w:vAlign w:val="center"/>
          </w:tcPr>
          <w:p w14:paraId="2E39B0E1">
            <w:pPr>
              <w:spacing w:line="320" w:lineRule="exact"/>
              <w:jc w:val="center"/>
              <w:rPr>
                <w:rFonts w:ascii="Times New Roman" w:hAnsi="Times New Roman" w:cs="宋体"/>
              </w:rPr>
            </w:pPr>
            <w:r>
              <w:rPr>
                <w:rFonts w:hint="eastAsia" w:ascii="Times New Roman" w:hAnsi="Times New Roman" w:cs="宋体"/>
              </w:rPr>
              <w:t>数量</w:t>
            </w:r>
          </w:p>
        </w:tc>
      </w:tr>
      <w:tr w14:paraId="23F6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7A67055C">
            <w:pPr>
              <w:spacing w:line="320" w:lineRule="exact"/>
              <w:rPr>
                <w:rFonts w:ascii="Times New Roman" w:hAnsi="Times New Roman" w:cs="宋体"/>
              </w:rPr>
            </w:pPr>
            <w:r>
              <w:rPr>
                <w:rFonts w:hint="eastAsia" w:ascii="Times New Roman" w:hAnsi="Times New Roman" w:cs="宋体"/>
              </w:rPr>
              <w:t>1</w:t>
            </w:r>
          </w:p>
        </w:tc>
        <w:tc>
          <w:tcPr>
            <w:tcW w:w="537" w:type="pct"/>
            <w:vAlign w:val="center"/>
          </w:tcPr>
          <w:p w14:paraId="3E572C44">
            <w:pPr>
              <w:spacing w:line="320" w:lineRule="exact"/>
              <w:rPr>
                <w:rFonts w:ascii="Times New Roman" w:hAnsi="Times New Roman" w:cs="宋体"/>
              </w:rPr>
            </w:pPr>
            <w:r>
              <w:rPr>
                <w:rFonts w:hint="eastAsia" w:ascii="Times New Roman" w:hAnsi="Times New Roman" w:cs="宋体"/>
              </w:rPr>
              <w:t>出口防火墙</w:t>
            </w:r>
          </w:p>
        </w:tc>
        <w:tc>
          <w:tcPr>
            <w:tcW w:w="3491" w:type="pct"/>
            <w:vAlign w:val="center"/>
          </w:tcPr>
          <w:p w14:paraId="72733D19">
            <w:pPr>
              <w:spacing w:line="320" w:lineRule="exact"/>
              <w:rPr>
                <w:rFonts w:ascii="Times New Roman" w:hAnsi="Times New Roman" w:cs="宋体"/>
              </w:rPr>
            </w:pPr>
            <w:r>
              <w:rPr>
                <w:rFonts w:hint="eastAsia" w:ascii="Times New Roman" w:hAnsi="Times New Roman" w:cs="宋体"/>
              </w:rPr>
              <w:t>2U机架式设备，采用非X86多核架构，配置1.92TB SSD硬盘≥1块；</w:t>
            </w:r>
            <w:r>
              <w:rPr>
                <w:rFonts w:hint="eastAsia" w:ascii="Times New Roman" w:hAnsi="Times New Roman" w:cs="宋体"/>
              </w:rPr>
              <w:br w:type="textWrapping"/>
            </w:r>
            <w:r>
              <w:rPr>
                <w:rFonts w:hint="eastAsia" w:ascii="Times New Roman" w:hAnsi="Times New Roman" w:cs="宋体"/>
              </w:rPr>
              <w:t>网络层吞吐量≥40Gbps，应用层吞吐量≥10Gbps，并发连接数≥600万，每秒新建连接数≥15万，适配带宽≥4G；</w:t>
            </w:r>
            <w:r>
              <w:rPr>
                <w:rFonts w:hint="eastAsia" w:ascii="Times New Roman" w:hAnsi="Times New Roman" w:cs="宋体"/>
              </w:rPr>
              <w:br w:type="textWrapping"/>
            </w:r>
            <w:r>
              <w:rPr>
                <w:rFonts w:hint="eastAsia" w:ascii="Times New Roman" w:hAnsi="Times New Roman" w:cs="宋体"/>
              </w:rPr>
              <w:t>配置千兆电口≥16个，配置千兆光口≥12个，配置万兆光口≥10个；</w:t>
            </w:r>
          </w:p>
          <w:p w14:paraId="4BEE3722">
            <w:pPr>
              <w:spacing w:line="320" w:lineRule="exact"/>
              <w:rPr>
                <w:rFonts w:hint="eastAsia" w:ascii="Times New Roman" w:hAnsi="Times New Roman" w:cs="宋体"/>
              </w:rPr>
            </w:pPr>
            <w:r>
              <w:rPr>
                <w:rFonts w:hint="eastAsia" w:ascii="Times New Roman" w:hAnsi="Times New Roman" w:cs="宋体"/>
              </w:rPr>
              <w:t>配置IPS特征库升级服务≥3年，配置AV防病毒授权≥3年；</w:t>
            </w:r>
            <w:r>
              <w:rPr>
                <w:rFonts w:hint="eastAsia" w:ascii="Times New Roman" w:hAnsi="Times New Roman" w:cs="宋体"/>
              </w:rPr>
              <w:br w:type="textWrapping"/>
            </w:r>
            <w:r>
              <w:rPr>
                <w:rFonts w:hint="eastAsia" w:ascii="Times New Roman" w:hAnsi="Times New Roman" w:cs="宋体"/>
              </w:rPr>
              <w:t>支持策略风险调优，支持安全策略优化分析，支持策略数冗余及命中分析，支持基于应用风险的策略调优，可根据流量、应用、风险类型等细粒度展示，并给出总体安全评分；</w:t>
            </w:r>
            <w:r>
              <w:rPr>
                <w:rFonts w:hint="eastAsia" w:ascii="Times New Roman" w:hAnsi="Times New Roman" w:cs="宋体"/>
              </w:rPr>
              <w:br w:type="textWrapping"/>
            </w:r>
            <w:r>
              <w:rPr>
                <w:rFonts w:hint="eastAsia" w:ascii="Times New Roman" w:hAnsi="Times New Roman" w:cs="宋体"/>
              </w:rPr>
              <w:t>支持基于对包括但不限于操作系统、网络设备、办公软件、网页服务等保护对象的入侵防御策略，支持基于对漏洞、恶意文件、信息收集类攻击等的攻击分类的防护策略，支持基于服务器、客户端的防护策略；且缺省动作支持黑名单；</w:t>
            </w:r>
            <w:r>
              <w:rPr>
                <w:rFonts w:hint="eastAsia" w:ascii="Times New Roman" w:hAnsi="Times New Roman" w:cs="宋体"/>
              </w:rPr>
              <w:br w:type="textWrapping"/>
            </w:r>
            <w:r>
              <w:rPr>
                <w:rFonts w:hint="eastAsia" w:ascii="Times New Roman" w:hAnsi="Times New Roman" w:cs="宋体"/>
              </w:rPr>
              <w:t>支持虚拟防火墙功能，支持虚拟防火墙的创建、启动、关闭、删除功能；可独立分配CPU、接口、吞吐量、内存、磁盘空间等资源；</w:t>
            </w:r>
            <w:r>
              <w:rPr>
                <w:rFonts w:hint="eastAsia" w:ascii="Times New Roman" w:hAnsi="Times New Roman" w:cs="宋体"/>
              </w:rPr>
              <w:br w:type="textWrapping"/>
            </w:r>
            <w:r>
              <w:rPr>
                <w:rFonts w:hint="eastAsia" w:ascii="Times New Roman" w:hAnsi="Times New Roman" w:cs="宋体"/>
              </w:rPr>
              <w:t>支持2台设备堆叠成一台设备使用，实现统一管理，统一配置，支持高可靠性（包含主备/主主模式）部署；</w:t>
            </w:r>
            <w:r>
              <w:rPr>
                <w:rFonts w:hint="eastAsia" w:ascii="Times New Roman" w:hAnsi="Times New Roman" w:cs="宋体"/>
              </w:rPr>
              <w:br w:type="textWrapping"/>
            </w:r>
            <w:r>
              <w:rPr>
                <w:rFonts w:hint="eastAsia" w:ascii="Times New Roman" w:hAnsi="Times New Roman" w:cs="宋体"/>
              </w:rPr>
              <w:t>支持网页诊断功能，当内网用户访问网页出现故障时，对网络进行基本的诊断，并给出故障原因；</w:t>
            </w:r>
            <w:r>
              <w:rPr>
                <w:rFonts w:hint="eastAsia" w:ascii="Times New Roman" w:hAnsi="Times New Roman" w:cs="宋体"/>
              </w:rPr>
              <w:br w:type="textWrapping"/>
            </w:r>
            <w:r>
              <w:rPr>
                <w:rFonts w:hint="eastAsia" w:ascii="Times New Roman" w:hAnsi="Times New Roman" w:cs="宋体"/>
              </w:rPr>
              <w:t>在紧急情况产生的各种风险应作出快速和有效的反应，产品制造商应通过ISO 22320应急管理体系认证，提供证书复印件；</w:t>
            </w:r>
            <w:r>
              <w:rPr>
                <w:rFonts w:hint="eastAsia" w:ascii="Times New Roman" w:hAnsi="Times New Roman" w:cs="宋体"/>
              </w:rPr>
              <w:br w:type="textWrapping"/>
            </w:r>
            <w:r>
              <w:rPr>
                <w:rFonts w:hint="eastAsia" w:ascii="Times New Roman" w:hAnsi="Times New Roman" w:cs="宋体"/>
              </w:rPr>
              <w:t>保护数据隐私安全，避免产品出现后门，产品制造商应通过ISO27701隐私信息管理体系认证，提供证书复印件；</w:t>
            </w:r>
            <w:r>
              <w:rPr>
                <w:rFonts w:hint="eastAsia" w:ascii="Times New Roman" w:hAnsi="Times New Roman" w:cs="宋体"/>
              </w:rPr>
              <w:br w:type="textWrapping"/>
            </w:r>
            <w:r>
              <w:rPr>
                <w:rFonts w:hint="eastAsia" w:ascii="Times New Roman" w:hAnsi="Times New Roman" w:cs="宋体"/>
              </w:rPr>
              <w:t>产品的漏洞库升级能力对数据安全性的影响较大，产品制造商应是中国国家信息安全漏洞库（CNNVD）一级技术支撑单位，提供证书复印件；</w:t>
            </w:r>
          </w:p>
        </w:tc>
        <w:tc>
          <w:tcPr>
            <w:tcW w:w="336" w:type="pct"/>
            <w:vAlign w:val="center"/>
          </w:tcPr>
          <w:p w14:paraId="1D8BC4FC">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311CAF80">
            <w:pPr>
              <w:spacing w:line="320" w:lineRule="exact"/>
              <w:rPr>
                <w:rFonts w:ascii="Times New Roman" w:hAnsi="Times New Roman" w:cs="宋体"/>
              </w:rPr>
            </w:pPr>
            <w:r>
              <w:rPr>
                <w:rFonts w:hint="eastAsia" w:ascii="Times New Roman" w:hAnsi="Times New Roman" w:cs="宋体"/>
              </w:rPr>
              <w:t>2</w:t>
            </w:r>
          </w:p>
        </w:tc>
      </w:tr>
      <w:tr w14:paraId="3F0E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6C5D584B">
            <w:pPr>
              <w:spacing w:line="320" w:lineRule="exact"/>
              <w:rPr>
                <w:rFonts w:ascii="Times New Roman" w:hAnsi="Times New Roman" w:cs="宋体"/>
              </w:rPr>
            </w:pPr>
            <w:r>
              <w:rPr>
                <w:rFonts w:hint="eastAsia" w:ascii="Times New Roman" w:hAnsi="Times New Roman" w:cs="宋体"/>
              </w:rPr>
              <w:t>2</w:t>
            </w:r>
          </w:p>
        </w:tc>
        <w:tc>
          <w:tcPr>
            <w:tcW w:w="537" w:type="pct"/>
            <w:vAlign w:val="center"/>
          </w:tcPr>
          <w:p w14:paraId="5447C483">
            <w:pPr>
              <w:spacing w:line="320" w:lineRule="exact"/>
              <w:rPr>
                <w:rFonts w:ascii="Times New Roman" w:hAnsi="Times New Roman" w:cs="宋体"/>
              </w:rPr>
            </w:pPr>
            <w:r>
              <w:rPr>
                <w:rFonts w:hint="eastAsia" w:ascii="Times New Roman" w:hAnsi="Times New Roman" w:cs="宋体"/>
              </w:rPr>
              <w:t>日志审计</w:t>
            </w:r>
          </w:p>
        </w:tc>
        <w:tc>
          <w:tcPr>
            <w:tcW w:w="3491" w:type="pct"/>
            <w:vAlign w:val="center"/>
          </w:tcPr>
          <w:p w14:paraId="727D7127">
            <w:pPr>
              <w:spacing w:line="320" w:lineRule="exact"/>
              <w:rPr>
                <w:rFonts w:ascii="Times New Roman" w:hAnsi="Times New Roman" w:cs="宋体"/>
              </w:rPr>
            </w:pPr>
            <w:r>
              <w:rPr>
                <w:rFonts w:hint="eastAsia" w:ascii="Times New Roman" w:hAnsi="Times New Roman" w:cs="宋体"/>
              </w:rPr>
              <w:t>2U机架式设备，内存≥16GB，硬盘容量≥4TB；</w:t>
            </w:r>
            <w:r>
              <w:rPr>
                <w:rFonts w:hint="eastAsia" w:ascii="Times New Roman" w:hAnsi="Times New Roman" w:cs="宋体"/>
              </w:rPr>
              <w:br w:type="textWrapping"/>
            </w:r>
            <w:r>
              <w:rPr>
                <w:rFonts w:hint="eastAsia" w:ascii="Times New Roman" w:hAnsi="Times New Roman" w:cs="宋体"/>
              </w:rPr>
              <w:t>日志处理能力≥6000EPS，日志容量≥6亿条，配置日志审计授权≥240个；</w:t>
            </w:r>
            <w:r>
              <w:rPr>
                <w:rFonts w:hint="eastAsia" w:ascii="Times New Roman" w:hAnsi="Times New Roman" w:cs="宋体"/>
              </w:rPr>
              <w:br w:type="textWrapping"/>
            </w:r>
            <w:r>
              <w:rPr>
                <w:rFonts w:hint="eastAsia" w:ascii="Times New Roman" w:hAnsi="Times New Roman" w:cs="宋体"/>
              </w:rPr>
              <w:t>配置千兆电口≥8个，配置千兆光口≥8个，配置USB接口≥2个；</w:t>
            </w:r>
            <w:r>
              <w:rPr>
                <w:rFonts w:hint="eastAsia" w:ascii="Times New Roman" w:hAnsi="Times New Roman" w:cs="宋体"/>
              </w:rPr>
              <w:br w:type="textWrapping"/>
            </w:r>
            <w:r>
              <w:rPr>
                <w:rFonts w:hint="eastAsia" w:ascii="Times New Roman" w:hAnsi="Times New Roman" w:cs="宋体"/>
              </w:rPr>
              <w:t>支持市面主流安全设备、网络设备、中间件、服务器、数据库、操作系统等设备对象的日志数据采集；</w:t>
            </w:r>
          </w:p>
          <w:p w14:paraId="7FA18F2A">
            <w:pPr>
              <w:spacing w:line="320" w:lineRule="exact"/>
              <w:rPr>
                <w:rFonts w:ascii="Times New Roman" w:hAnsi="Times New Roman" w:cs="宋体"/>
              </w:rPr>
            </w:pPr>
            <w:r>
              <w:rPr>
                <w:rFonts w:hint="eastAsia" w:ascii="Times New Roman" w:hAnsi="Times New Roman" w:cs="宋体"/>
              </w:rPr>
              <w:t>▲支持采集日志监控、文件监控、网络包监控等内容，支持控制采集时间、采集级别、采集范围、采集路径、采集名称、采集文件、多文件采集、采集编码格式、采集正则表达式、自定义采集等；（提供产品功能截图）</w:t>
            </w:r>
            <w:r>
              <w:rPr>
                <w:rFonts w:hint="eastAsia" w:ascii="Times New Roman" w:hAnsi="Times New Roman" w:cs="宋体"/>
              </w:rPr>
              <w:br w:type="textWrapping"/>
            </w:r>
            <w:r>
              <w:rPr>
                <w:rFonts w:hint="eastAsia" w:ascii="Times New Roman" w:hAnsi="Times New Roman" w:cs="宋体"/>
              </w:rPr>
              <w:t>支持全局概览功能、日志查看功能，可按照日志类型进行查询；支持日志分析功能、事件概览功能、事件明细功能、自定义报表模板功能；</w:t>
            </w:r>
            <w:r>
              <w:rPr>
                <w:rFonts w:hint="eastAsia" w:ascii="Times New Roman" w:hAnsi="Times New Roman" w:cs="宋体"/>
              </w:rPr>
              <w:br w:type="textWrapping"/>
            </w:r>
            <w:r>
              <w:rPr>
                <w:rFonts w:hint="eastAsia" w:ascii="Times New Roman" w:hAnsi="Times New Roman" w:cs="宋体"/>
              </w:rPr>
              <w:t>支持主动、被动相结合的数据采集方式，支持Syslog、SNMP、JDBC、WMI、FTP、文件等进行数据采集，支持通过Agent采集日志数据；</w:t>
            </w:r>
            <w:r>
              <w:rPr>
                <w:rFonts w:hint="eastAsia" w:ascii="Times New Roman" w:hAnsi="Times New Roman" w:cs="宋体"/>
              </w:rPr>
              <w:br w:type="textWrapping"/>
            </w:r>
            <w:r>
              <w:rPr>
                <w:rFonts w:hint="eastAsia" w:ascii="Times New Roman" w:hAnsi="Times New Roman" w:cs="宋体"/>
              </w:rPr>
              <w:t>支持绘制全网事件关联关系图谱，支持以告警页面、邮件、SYSLOG、等方式告警，支持日志文件备份到外部存储设备，支持丰富的图表可视化分析功能；</w:t>
            </w:r>
            <w:r>
              <w:rPr>
                <w:rFonts w:hint="eastAsia" w:ascii="Times New Roman" w:hAnsi="Times New Roman" w:cs="宋体"/>
              </w:rPr>
              <w:br w:type="textWrapping"/>
            </w:r>
            <w:r>
              <w:rPr>
                <w:rFonts w:hint="eastAsia" w:ascii="Times New Roman" w:hAnsi="Times New Roman" w:cs="宋体"/>
              </w:rPr>
              <w:t>▲支持采集网络流量，解析协议不少于ICMP、AMQP、Cassandra、DNS、HTTP、Memcache、MySQL、PgSQL、TNS、Redis、Thrift、MongoDB、NFS、TDS、Sybase、Drda、Dameng、POP、SMTP、达梦等；（提供产品功能截图）</w:t>
            </w:r>
          </w:p>
          <w:p w14:paraId="100AD46D">
            <w:pPr>
              <w:spacing w:line="320" w:lineRule="exact"/>
              <w:rPr>
                <w:rFonts w:ascii="Times New Roman" w:hAnsi="Times New Roman" w:cs="宋体"/>
              </w:rPr>
            </w:pPr>
            <w:r>
              <w:rPr>
                <w:rFonts w:hint="eastAsia" w:ascii="Times New Roman" w:hAnsi="Times New Roman" w:cs="宋体"/>
              </w:rPr>
              <w:t>▲支持关系图谱搜索、过滤，支持自定义关系节点图标、支持基于节点下钻查看日志信息、查看和拓展该点关系图等；（提供产品功能截图）</w:t>
            </w:r>
            <w:r>
              <w:rPr>
                <w:rFonts w:hint="eastAsia" w:ascii="Times New Roman" w:hAnsi="Times New Roman" w:cs="宋体"/>
              </w:rPr>
              <w:br w:type="textWrapping"/>
            </w:r>
            <w:r>
              <w:rPr>
                <w:rFonts w:hint="eastAsia" w:ascii="Times New Roman" w:hAnsi="Times New Roman" w:cs="宋体"/>
              </w:rPr>
              <w:t>提供公安部颁发的销售许可证复印件；</w:t>
            </w:r>
            <w:r>
              <w:rPr>
                <w:rFonts w:hint="eastAsia" w:ascii="Times New Roman" w:hAnsi="Times New Roman" w:cs="宋体"/>
              </w:rPr>
              <w:br w:type="textWrapping"/>
            </w:r>
            <w:r>
              <w:rPr>
                <w:rFonts w:hint="eastAsia" w:ascii="Times New Roman" w:hAnsi="Times New Roman" w:cs="宋体"/>
              </w:rPr>
              <w:t>在紧急情况产生的各种风险应作出快速和有效的反应，产品制造商应通过ISO 22320应急管理体系认证，提供证书复印件；</w:t>
            </w:r>
            <w:r>
              <w:rPr>
                <w:rFonts w:hint="eastAsia" w:ascii="Times New Roman" w:hAnsi="Times New Roman" w:cs="宋体"/>
              </w:rPr>
              <w:br w:type="textWrapping"/>
            </w:r>
            <w:r>
              <w:rPr>
                <w:rFonts w:hint="eastAsia" w:ascii="Times New Roman" w:hAnsi="Times New Roman" w:cs="宋体"/>
              </w:rPr>
              <w:t>保护数据隐私安全，避免产品出现后门，产品制造商应通过ISO27701隐私信息管理体系认证，提供证书复印件；</w:t>
            </w:r>
            <w:r>
              <w:rPr>
                <w:rFonts w:hint="eastAsia" w:ascii="Times New Roman" w:hAnsi="Times New Roman" w:cs="宋体"/>
              </w:rPr>
              <w:br w:type="textWrapping"/>
            </w:r>
            <w:r>
              <w:rPr>
                <w:rFonts w:hint="eastAsia" w:ascii="Times New Roman" w:hAnsi="Times New Roman" w:cs="宋体"/>
              </w:rPr>
              <w:t>产品的漏洞库升级能力对数据安全性的影响较大，产品制造商应是中国国家信息安全漏洞库（CNNVD）一级技术支撑单位，提供证书复印件；</w:t>
            </w:r>
          </w:p>
        </w:tc>
        <w:tc>
          <w:tcPr>
            <w:tcW w:w="336" w:type="pct"/>
            <w:vAlign w:val="center"/>
          </w:tcPr>
          <w:p w14:paraId="3701643F">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13510269">
            <w:pPr>
              <w:spacing w:line="320" w:lineRule="exact"/>
              <w:rPr>
                <w:rFonts w:ascii="Times New Roman" w:hAnsi="Times New Roman" w:cs="宋体"/>
              </w:rPr>
            </w:pPr>
            <w:r>
              <w:rPr>
                <w:rFonts w:hint="eastAsia" w:ascii="Times New Roman" w:hAnsi="Times New Roman" w:cs="宋体"/>
              </w:rPr>
              <w:t>1</w:t>
            </w:r>
          </w:p>
        </w:tc>
      </w:tr>
      <w:tr w14:paraId="37A8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50863DC1">
            <w:pPr>
              <w:spacing w:line="320" w:lineRule="exact"/>
              <w:rPr>
                <w:rFonts w:ascii="Times New Roman" w:hAnsi="Times New Roman" w:cs="宋体"/>
              </w:rPr>
            </w:pPr>
            <w:r>
              <w:rPr>
                <w:rFonts w:hint="eastAsia" w:ascii="Times New Roman" w:hAnsi="Times New Roman" w:cs="宋体"/>
              </w:rPr>
              <w:t>3</w:t>
            </w:r>
          </w:p>
        </w:tc>
        <w:tc>
          <w:tcPr>
            <w:tcW w:w="537" w:type="pct"/>
            <w:vAlign w:val="center"/>
          </w:tcPr>
          <w:p w14:paraId="7F443CE4">
            <w:pPr>
              <w:spacing w:line="320" w:lineRule="exact"/>
              <w:rPr>
                <w:rFonts w:ascii="Times New Roman" w:hAnsi="Times New Roman" w:cs="宋体"/>
              </w:rPr>
            </w:pPr>
            <w:r>
              <w:rPr>
                <w:rFonts w:hint="eastAsia" w:ascii="Times New Roman" w:hAnsi="Times New Roman" w:cs="宋体"/>
              </w:rPr>
              <w:t>堡垒机</w:t>
            </w:r>
          </w:p>
        </w:tc>
        <w:tc>
          <w:tcPr>
            <w:tcW w:w="3491" w:type="pct"/>
            <w:vAlign w:val="center"/>
          </w:tcPr>
          <w:p w14:paraId="43F0F04D">
            <w:pPr>
              <w:spacing w:line="320" w:lineRule="exact"/>
              <w:rPr>
                <w:rFonts w:ascii="Times New Roman" w:hAnsi="Times New Roman" w:cs="宋体"/>
              </w:rPr>
            </w:pPr>
            <w:r>
              <w:rPr>
                <w:rFonts w:hint="eastAsia" w:ascii="Times New Roman" w:hAnsi="Times New Roman" w:cs="宋体"/>
              </w:rPr>
              <w:t>配置千兆电口≥6个，配置资产管理授权≥300个，配置双因素认证动态口令卡≥3套；</w:t>
            </w:r>
            <w:r>
              <w:rPr>
                <w:rFonts w:hint="eastAsia" w:ascii="Times New Roman" w:hAnsi="Times New Roman" w:cs="宋体"/>
              </w:rPr>
              <w:br w:type="textWrapping"/>
            </w:r>
            <w:r>
              <w:rPr>
                <w:rFonts w:hint="eastAsia" w:ascii="Times New Roman" w:hAnsi="Times New Roman" w:cs="宋体"/>
              </w:rPr>
              <w:t>最大图形并发连接数≥300个，最大字符并发连接数≥800个；</w:t>
            </w:r>
            <w:r>
              <w:rPr>
                <w:rFonts w:hint="eastAsia" w:ascii="Times New Roman" w:hAnsi="Times New Roman" w:cs="宋体"/>
              </w:rPr>
              <w:br w:type="textWrapping"/>
            </w:r>
            <w:r>
              <w:rPr>
                <w:rFonts w:hint="eastAsia" w:ascii="Times New Roman" w:hAnsi="Times New Roman" w:cs="宋体"/>
              </w:rPr>
              <w:t>▲支持双因素组合认证，可以将两种认证方式自定义组合为全新的认证方式；（提供第三方检测证明报告）</w:t>
            </w:r>
            <w:r>
              <w:rPr>
                <w:rFonts w:hint="eastAsia" w:ascii="Times New Roman" w:hAnsi="Times New Roman" w:cs="宋体"/>
              </w:rPr>
              <w:br w:type="textWrapping"/>
            </w:r>
            <w:r>
              <w:rPr>
                <w:rFonts w:hint="eastAsia" w:ascii="Times New Roman" w:hAnsi="Times New Roman" w:cs="宋体"/>
              </w:rPr>
              <w:t>支持用户客户端IP和MAC限制，非法地址无法登录；</w:t>
            </w:r>
            <w:r>
              <w:rPr>
                <w:rFonts w:hint="eastAsia" w:ascii="Times New Roman" w:hAnsi="Times New Roman" w:cs="宋体"/>
              </w:rPr>
              <w:br w:type="textWrapping"/>
            </w:r>
            <w:r>
              <w:rPr>
                <w:rFonts w:hint="eastAsia" w:ascii="Times New Roman" w:hAnsi="Times New Roman" w:cs="宋体"/>
              </w:rPr>
              <w:t>支持账号分权管理，包括超级管理员、配置管理员、操作员、审计员和自动化人员等多种角色；</w:t>
            </w:r>
            <w:r>
              <w:rPr>
                <w:rFonts w:hint="eastAsia" w:ascii="Times New Roman" w:hAnsi="Times New Roman" w:cs="宋体"/>
              </w:rPr>
              <w:br w:type="textWrapping"/>
            </w:r>
            <w:r>
              <w:rPr>
                <w:rFonts w:hint="eastAsia" w:ascii="Times New Roman" w:hAnsi="Times New Roman" w:cs="宋体"/>
              </w:rPr>
              <w:t>支持资源信息批量导入、导出、修改、删除管理；</w:t>
            </w:r>
            <w:r>
              <w:rPr>
                <w:rFonts w:hint="eastAsia" w:ascii="Times New Roman" w:hAnsi="Times New Roman" w:cs="宋体"/>
              </w:rPr>
              <w:br w:type="textWrapping"/>
            </w:r>
            <w:r>
              <w:rPr>
                <w:rFonts w:hint="eastAsia" w:ascii="Times New Roman" w:hAnsi="Times New Roman" w:cs="宋体"/>
              </w:rPr>
              <w:t>支持用户账号和目标设备的部门分权，不同的用户和设备可以归属于不同的部门；</w:t>
            </w:r>
            <w:r>
              <w:rPr>
                <w:rFonts w:hint="eastAsia" w:ascii="Times New Roman" w:hAnsi="Times New Roman" w:cs="宋体"/>
              </w:rPr>
              <w:br w:type="textWrapping"/>
            </w:r>
            <w:r>
              <w:rPr>
                <w:rFonts w:hint="eastAsia" w:ascii="Times New Roman" w:hAnsi="Times New Roman" w:cs="宋体"/>
              </w:rPr>
              <w:t>支持密码工单管理，通过工单申请相应资源的明文密码，审批通过后可通过邮件方式向申请人发送相应提示信息，有效期后平台会自动回收相应账号密码，并自动触发密码变更操作；</w:t>
            </w:r>
            <w:r>
              <w:rPr>
                <w:rFonts w:hint="eastAsia" w:ascii="Times New Roman" w:hAnsi="Times New Roman" w:cs="宋体"/>
              </w:rPr>
              <w:br w:type="textWrapping"/>
            </w:r>
            <w:r>
              <w:rPr>
                <w:rFonts w:hint="eastAsia" w:ascii="Times New Roman" w:hAnsi="Times New Roman" w:cs="宋体"/>
              </w:rPr>
              <w:t>▲支持对IPv6资产进行统一管理，同时可完整记录用户对IPv6资产的运维操作行为；（提供第三方检测证明报告）</w:t>
            </w:r>
            <w:r>
              <w:rPr>
                <w:rFonts w:hint="eastAsia" w:ascii="Times New Roman" w:hAnsi="Times New Roman" w:cs="宋体"/>
              </w:rPr>
              <w:br w:type="textWrapping"/>
            </w:r>
            <w:r>
              <w:rPr>
                <w:rFonts w:hint="eastAsia" w:ascii="Times New Roman" w:hAnsi="Times New Roman" w:cs="宋体"/>
              </w:rPr>
              <w:t>支持图形操作审计、字符操作审计、文件传输审计、数据库审计；</w:t>
            </w:r>
            <w:r>
              <w:rPr>
                <w:rFonts w:hint="eastAsia" w:ascii="Times New Roman" w:hAnsi="Times New Roman" w:cs="宋体"/>
              </w:rPr>
              <w:br w:type="textWrapping"/>
            </w:r>
            <w:r>
              <w:rPr>
                <w:rFonts w:hint="eastAsia" w:ascii="Times New Roman" w:hAnsi="Times New Roman" w:cs="宋体"/>
              </w:rPr>
              <w:t>在紧急情况产生的各种风险应作出快速和有效的反应，产品制造商应通过ISO 22320应急管理体系认证，提供证书复印件；</w:t>
            </w:r>
            <w:r>
              <w:rPr>
                <w:rFonts w:hint="eastAsia" w:ascii="Times New Roman" w:hAnsi="Times New Roman" w:cs="宋体"/>
              </w:rPr>
              <w:br w:type="textWrapping"/>
            </w:r>
            <w:r>
              <w:rPr>
                <w:rFonts w:hint="eastAsia" w:ascii="Times New Roman" w:hAnsi="Times New Roman" w:cs="宋体"/>
              </w:rPr>
              <w:t>保护数据隐私安全，避免产品出现后门，产品制造商应通过ISO27701隐私信息管理体系认证，提供证书复印件；</w:t>
            </w:r>
            <w:r>
              <w:rPr>
                <w:rFonts w:hint="eastAsia" w:ascii="Times New Roman" w:hAnsi="Times New Roman" w:cs="宋体"/>
              </w:rPr>
              <w:br w:type="textWrapping"/>
            </w:r>
            <w:r>
              <w:rPr>
                <w:rFonts w:hint="eastAsia" w:ascii="Times New Roman" w:hAnsi="Times New Roman" w:cs="宋体"/>
              </w:rPr>
              <w:t>产品的漏洞库升级能力对数据安全性的影响较大，产品制造商应是中国国家信息安全漏洞库（CNNVD）一级技术支撑单位，提供证书复印件；</w:t>
            </w:r>
          </w:p>
        </w:tc>
        <w:tc>
          <w:tcPr>
            <w:tcW w:w="336" w:type="pct"/>
            <w:vAlign w:val="center"/>
          </w:tcPr>
          <w:p w14:paraId="0D354A2E">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2AE440C4">
            <w:pPr>
              <w:spacing w:line="320" w:lineRule="exact"/>
              <w:rPr>
                <w:rFonts w:ascii="Times New Roman" w:hAnsi="Times New Roman" w:cs="宋体"/>
              </w:rPr>
            </w:pPr>
            <w:r>
              <w:rPr>
                <w:rFonts w:hint="eastAsia" w:ascii="Times New Roman" w:hAnsi="Times New Roman" w:cs="宋体"/>
              </w:rPr>
              <w:t>1</w:t>
            </w:r>
          </w:p>
        </w:tc>
      </w:tr>
      <w:tr w14:paraId="43FF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37A5B0DF">
            <w:pPr>
              <w:spacing w:line="320" w:lineRule="exact"/>
              <w:rPr>
                <w:rFonts w:ascii="Times New Roman" w:hAnsi="Times New Roman" w:cs="宋体"/>
              </w:rPr>
            </w:pPr>
            <w:r>
              <w:rPr>
                <w:rFonts w:hint="eastAsia" w:ascii="Times New Roman" w:hAnsi="Times New Roman" w:cs="宋体"/>
              </w:rPr>
              <w:t>4</w:t>
            </w:r>
          </w:p>
        </w:tc>
        <w:tc>
          <w:tcPr>
            <w:tcW w:w="537" w:type="pct"/>
            <w:vAlign w:val="center"/>
          </w:tcPr>
          <w:p w14:paraId="11A0BE88">
            <w:pPr>
              <w:spacing w:line="320" w:lineRule="exact"/>
              <w:rPr>
                <w:rFonts w:ascii="Times New Roman" w:hAnsi="Times New Roman" w:cs="宋体"/>
              </w:rPr>
            </w:pPr>
            <w:r>
              <w:rPr>
                <w:rFonts w:hint="eastAsia" w:ascii="Times New Roman" w:hAnsi="Times New Roman" w:cs="宋体"/>
              </w:rPr>
              <w:t>终端准入</w:t>
            </w:r>
          </w:p>
        </w:tc>
        <w:tc>
          <w:tcPr>
            <w:tcW w:w="3491" w:type="pct"/>
            <w:vAlign w:val="center"/>
          </w:tcPr>
          <w:p w14:paraId="73AE9A15">
            <w:pPr>
              <w:spacing w:line="320" w:lineRule="exact"/>
              <w:rPr>
                <w:rFonts w:ascii="Times New Roman" w:hAnsi="Times New Roman" w:cs="宋体"/>
              </w:rPr>
            </w:pPr>
            <w:r>
              <w:rPr>
                <w:rFonts w:hint="eastAsia" w:ascii="Times New Roman" w:hAnsi="Times New Roman" w:cs="宋体"/>
              </w:rPr>
              <w:t>配置准入认证授权≥1000点，整机Ipv4转发性能≥15Mpps，配置千兆电口≥6个，配置千兆Combo口≥2个；</w:t>
            </w:r>
            <w:r>
              <w:rPr>
                <w:rFonts w:hint="eastAsia" w:ascii="Times New Roman" w:hAnsi="Times New Roman" w:cs="宋体"/>
              </w:rPr>
              <w:br w:type="textWrapping"/>
            </w:r>
            <w:r>
              <w:rPr>
                <w:rFonts w:hint="eastAsia" w:ascii="Times New Roman" w:hAnsi="Times New Roman" w:cs="宋体"/>
              </w:rPr>
              <w:t>配置480GB SSD硬盘≥2块，支持RAID1存储，同时可支持硬盘扩展槽位≥1；</w:t>
            </w:r>
            <w:r>
              <w:rPr>
                <w:rFonts w:hint="eastAsia" w:ascii="Times New Roman" w:hAnsi="Times New Roman" w:cs="宋体"/>
              </w:rPr>
              <w:br w:type="textWrapping"/>
            </w:r>
            <w:r>
              <w:rPr>
                <w:rFonts w:hint="eastAsia" w:ascii="Times New Roman" w:hAnsi="Times New Roman" w:cs="宋体"/>
              </w:rPr>
              <w:t>▲支持记录终端用户访问互联网的日志，包括：用户名、源/目的IP地址、时间、访问的域名、URL等；（提供第三方检测证明报告）</w:t>
            </w:r>
            <w:r>
              <w:rPr>
                <w:rFonts w:hint="eastAsia" w:ascii="Times New Roman" w:hAnsi="Times New Roman" w:cs="宋体"/>
              </w:rPr>
              <w:br w:type="textWrapping"/>
            </w:r>
            <w:r>
              <w:rPr>
                <w:rFonts w:hint="eastAsia" w:ascii="Times New Roman" w:hAnsi="Times New Roman" w:cs="宋体"/>
              </w:rPr>
              <w:t>▲支持划分安全域，用于管理防火墙设备上安全需求相同的多个接口；（提供第三方检测证明报告）</w:t>
            </w:r>
            <w:r>
              <w:rPr>
                <w:rFonts w:hint="eastAsia" w:ascii="Times New Roman" w:hAnsi="Times New Roman" w:cs="宋体"/>
              </w:rPr>
              <w:br w:type="textWrapping"/>
            </w:r>
            <w:r>
              <w:rPr>
                <w:rFonts w:hint="eastAsia" w:ascii="Times New Roman" w:hAnsi="Times New Roman" w:cs="宋体"/>
              </w:rPr>
              <w:t>提供动态令牌认证服务，无需第三方动态令牌应用支持，且动态令牌支持国密算法。</w:t>
            </w:r>
            <w:r>
              <w:rPr>
                <w:rFonts w:hint="eastAsia" w:ascii="Times New Roman" w:hAnsi="Times New Roman" w:cs="宋体"/>
              </w:rPr>
              <w:br w:type="textWrapping"/>
            </w:r>
            <w:r>
              <w:rPr>
                <w:rFonts w:hint="eastAsia" w:ascii="Times New Roman" w:hAnsi="Times New Roman" w:cs="宋体"/>
              </w:rPr>
              <w:t>▲支持对HTTP/FTP等TCP业务流量进行优化传输技术，提高广域网带宽利用率；（提供第三方检测证明报告）</w:t>
            </w:r>
            <w:r>
              <w:rPr>
                <w:rFonts w:hint="eastAsia" w:ascii="Times New Roman" w:hAnsi="Times New Roman" w:cs="宋体"/>
              </w:rPr>
              <w:br w:type="textWrapping"/>
            </w:r>
            <w:r>
              <w:rPr>
                <w:rFonts w:hint="eastAsia" w:ascii="Times New Roman" w:hAnsi="Times New Roman" w:cs="宋体"/>
              </w:rPr>
              <w:t>支持对系统软硬件的内部事件、状态进行监控，出现问题时收集实时信息并自动修复将实时信息发送到指定服务器；</w:t>
            </w:r>
            <w:r>
              <w:rPr>
                <w:rFonts w:hint="eastAsia" w:ascii="Times New Roman" w:hAnsi="Times New Roman" w:cs="宋体"/>
              </w:rPr>
              <w:br w:type="textWrapping"/>
            </w:r>
            <w:r>
              <w:rPr>
                <w:rFonts w:hint="eastAsia" w:ascii="Times New Roman" w:hAnsi="Times New Roman" w:cs="宋体"/>
              </w:rPr>
              <w:t>保护数据隐私安全，避免产品出现后门，产品制造商应通过ISO27701隐私信息管理体系认证，提供证书复印件；</w:t>
            </w:r>
          </w:p>
        </w:tc>
        <w:tc>
          <w:tcPr>
            <w:tcW w:w="336" w:type="pct"/>
            <w:vAlign w:val="center"/>
          </w:tcPr>
          <w:p w14:paraId="718C34ED">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5E1E412E">
            <w:pPr>
              <w:spacing w:line="320" w:lineRule="exact"/>
              <w:rPr>
                <w:rFonts w:ascii="Times New Roman" w:hAnsi="Times New Roman" w:cs="宋体"/>
              </w:rPr>
            </w:pPr>
            <w:r>
              <w:rPr>
                <w:rFonts w:hint="eastAsia" w:ascii="Times New Roman" w:hAnsi="Times New Roman" w:cs="宋体"/>
              </w:rPr>
              <w:t>1</w:t>
            </w:r>
          </w:p>
        </w:tc>
      </w:tr>
      <w:tr w14:paraId="1A8B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131E0D6B">
            <w:pPr>
              <w:spacing w:line="320" w:lineRule="exact"/>
              <w:rPr>
                <w:rFonts w:ascii="Times New Roman" w:hAnsi="Times New Roman" w:cs="宋体"/>
              </w:rPr>
            </w:pPr>
            <w:r>
              <w:rPr>
                <w:rFonts w:hint="eastAsia" w:ascii="Times New Roman" w:hAnsi="Times New Roman" w:cs="宋体"/>
              </w:rPr>
              <w:t>5</w:t>
            </w:r>
          </w:p>
        </w:tc>
        <w:tc>
          <w:tcPr>
            <w:tcW w:w="537" w:type="pct"/>
            <w:vAlign w:val="center"/>
          </w:tcPr>
          <w:p w14:paraId="3C56FFE2">
            <w:pPr>
              <w:spacing w:line="320" w:lineRule="exact"/>
              <w:rPr>
                <w:rFonts w:ascii="Times New Roman" w:hAnsi="Times New Roman" w:cs="宋体"/>
              </w:rPr>
            </w:pPr>
            <w:r>
              <w:rPr>
                <w:rFonts w:hint="eastAsia" w:ascii="Times New Roman" w:hAnsi="Times New Roman" w:cs="宋体"/>
              </w:rPr>
              <w:t>数据库审计</w:t>
            </w:r>
          </w:p>
        </w:tc>
        <w:tc>
          <w:tcPr>
            <w:tcW w:w="3491" w:type="pct"/>
            <w:vAlign w:val="center"/>
          </w:tcPr>
          <w:p w14:paraId="4CF8E751">
            <w:pPr>
              <w:spacing w:line="320" w:lineRule="exact"/>
              <w:rPr>
                <w:rFonts w:ascii="Times New Roman" w:hAnsi="Times New Roman" w:cs="宋体"/>
              </w:rPr>
            </w:pPr>
            <w:r>
              <w:rPr>
                <w:rFonts w:hint="eastAsia" w:ascii="Times New Roman" w:hAnsi="Times New Roman" w:cs="宋体"/>
              </w:rPr>
              <w:t>2U机架式设备，配置内存≥4GB，配置硬盘容量≥4TB，配置千兆电口≥6个，配置千兆光口≥8个；</w:t>
            </w:r>
            <w:r>
              <w:rPr>
                <w:rFonts w:hint="eastAsia" w:ascii="Times New Roman" w:hAnsi="Times New Roman" w:cs="宋体"/>
              </w:rPr>
              <w:br w:type="textWrapping"/>
            </w:r>
            <w:r>
              <w:rPr>
                <w:rFonts w:hint="eastAsia" w:ascii="Times New Roman" w:hAnsi="Times New Roman" w:cs="宋体"/>
              </w:rPr>
              <w:t>SQL峰值处理能力≥4万条/秒，日志存储数量≥20亿条，配置数据库实例审计种类无限；</w:t>
            </w:r>
            <w:r>
              <w:rPr>
                <w:rFonts w:hint="eastAsia" w:ascii="Times New Roman" w:hAnsi="Times New Roman" w:cs="宋体"/>
              </w:rPr>
              <w:br w:type="textWrapping"/>
            </w:r>
            <w:r>
              <w:rPr>
                <w:rFonts w:hint="eastAsia" w:ascii="Times New Roman" w:hAnsi="Times New Roman" w:cs="宋体"/>
              </w:rPr>
              <w:t>支持在访问的数据库服务器部署审计插件，获取数据库访问的数据流量进行审计；支持一键开启资产保护状态，对开启保护状态的数据库资产进行审计；</w:t>
            </w:r>
            <w:r>
              <w:rPr>
                <w:rFonts w:hint="eastAsia" w:ascii="Times New Roman" w:hAnsi="Times New Roman" w:cs="宋体"/>
              </w:rPr>
              <w:br w:type="textWrapping"/>
            </w:r>
            <w:r>
              <w:rPr>
                <w:rFonts w:hint="eastAsia" w:ascii="Times New Roman" w:hAnsi="Times New Roman" w:cs="宋体"/>
              </w:rPr>
              <w:t>支持Oracle、MySQL、SQLServer、DB2、Sybase、Informix等主流数据库协议的解析；支持达梦、人大金仓、神通、高斯DB、南大通用等国产数据库协议的解析；</w:t>
            </w:r>
            <w:r>
              <w:rPr>
                <w:rFonts w:hint="eastAsia" w:ascii="Times New Roman" w:hAnsi="Times New Roman" w:cs="宋体"/>
              </w:rPr>
              <w:br w:type="textWrapping"/>
            </w:r>
            <w:r>
              <w:rPr>
                <w:rFonts w:hint="eastAsia" w:ascii="Times New Roman" w:hAnsi="Times New Roman" w:cs="宋体"/>
              </w:rPr>
              <w:t>支持实时展示当前活跃会话详情信息，包括会话开始时间、持续时长、访问来源IP、目标服务端IP、数据库协议类型、数据库账户、SQL请求总数等；</w:t>
            </w:r>
            <w:r>
              <w:rPr>
                <w:rFonts w:hint="eastAsia" w:ascii="Times New Roman" w:hAnsi="Times New Roman" w:cs="宋体"/>
              </w:rPr>
              <w:br w:type="textWrapping"/>
            </w:r>
            <w:r>
              <w:rPr>
                <w:rFonts w:hint="eastAsia" w:ascii="Times New Roman" w:hAnsi="Times New Roman" w:cs="宋体"/>
              </w:rPr>
              <w:t>支持将应用访问数据与数据库访问数据综合起来进行“关联分析”，从而将应用操作准确对应到数据库的操作；</w:t>
            </w:r>
            <w:r>
              <w:rPr>
                <w:rFonts w:hint="eastAsia" w:ascii="Times New Roman" w:hAnsi="Times New Roman" w:cs="宋体"/>
              </w:rPr>
              <w:br w:type="textWrapping"/>
            </w:r>
            <w:r>
              <w:rPr>
                <w:rFonts w:hint="eastAsia" w:ascii="Times New Roman" w:hAnsi="Times New Roman" w:cs="宋体"/>
              </w:rPr>
              <w:t>支持对非法、高危、中危、低危的数据库访问事件进行告警，并按照风险级别进行统计；</w:t>
            </w:r>
            <w:r>
              <w:rPr>
                <w:rFonts w:hint="eastAsia" w:ascii="Times New Roman" w:hAnsi="Times New Roman" w:cs="宋体"/>
              </w:rPr>
              <w:br w:type="textWrapping"/>
            </w:r>
            <w:r>
              <w:rPr>
                <w:rFonts w:hint="eastAsia" w:ascii="Times New Roman" w:hAnsi="Times New Roman" w:cs="宋体"/>
              </w:rPr>
              <w:t>支持通过FTP、MAIL、SYSLOG、SNMP等方式进行告警外发；</w:t>
            </w:r>
            <w:r>
              <w:rPr>
                <w:rFonts w:hint="eastAsia" w:ascii="Times New Roman" w:hAnsi="Times New Roman" w:cs="宋体"/>
              </w:rPr>
              <w:br w:type="textWrapping"/>
            </w:r>
            <w:r>
              <w:rPr>
                <w:rFonts w:hint="eastAsia" w:ascii="Times New Roman" w:hAnsi="Times New Roman" w:cs="宋体"/>
              </w:rPr>
              <w:t>支持自定义黑白名单策略，匹配条件至少包括数据库账号、策略周期、来源IP、客户端工具、SQL命令、操作对象名、SQL语句等条件，白名单命中后识别为信任行为，黑名单命中后识别为非法行为；</w:t>
            </w:r>
            <w:r>
              <w:rPr>
                <w:rFonts w:hint="eastAsia" w:ascii="Times New Roman" w:hAnsi="Times New Roman" w:cs="宋体"/>
              </w:rPr>
              <w:br w:type="textWrapping"/>
            </w:r>
            <w:r>
              <w:rPr>
                <w:rFonts w:hint="eastAsia" w:ascii="Times New Roman" w:hAnsi="Times New Roman" w:cs="宋体"/>
              </w:rPr>
              <w:t>支持对系统全集和分量的配置信息，执行备份与还原，分量信息包括： SQL模版、报表任务、事件报表过滤规则、监听配置、事件定义、对象管理、敏感信息、事件响应、入侵检测规则、数据归档参数、日志响应、集中管理平台配置、网络配置、管理主机、引擎相关配置、数据库相关配置，备份与还原 ；提供产品功能截图</w:t>
            </w:r>
            <w:r>
              <w:rPr>
                <w:rFonts w:hint="eastAsia" w:ascii="Times New Roman" w:hAnsi="Times New Roman" w:cs="宋体"/>
              </w:rPr>
              <w:br w:type="textWrapping"/>
            </w:r>
            <w:r>
              <w:rPr>
                <w:rFonts w:hint="eastAsia" w:ascii="Times New Roman" w:hAnsi="Times New Roman" w:cs="宋体"/>
              </w:rPr>
              <w:t>支持将多个数据库IP绑定为一个业务系统，后期的数据分析如流量、用户数和操作行为等，均以业务视角的方式分析展示；</w:t>
            </w:r>
            <w:r>
              <w:rPr>
                <w:rFonts w:hint="eastAsia" w:ascii="Times New Roman" w:hAnsi="Times New Roman" w:cs="宋体"/>
              </w:rPr>
              <w:br w:type="textWrapping"/>
            </w:r>
            <w:r>
              <w:rPr>
                <w:rFonts w:hint="eastAsia" w:ascii="Times New Roman" w:hAnsi="Times New Roman" w:cs="宋体"/>
              </w:rPr>
              <w:t>▲支持持基于SQL模板设置模板状态，过滤匹配该模板的语句，并能根据以下条件查询模板信息：关键字查找模板、触发规则、状态，且可根据所需选择排序字段。同时支持SQL模版和关联的具体语句的相互跳转查看；（提供产品功能截图）</w:t>
            </w:r>
            <w:r>
              <w:rPr>
                <w:rFonts w:hint="eastAsia" w:ascii="Times New Roman" w:hAnsi="Times New Roman" w:cs="宋体"/>
              </w:rPr>
              <w:br w:type="textWrapping"/>
            </w:r>
            <w:r>
              <w:rPr>
                <w:rFonts w:hint="eastAsia" w:ascii="Times New Roman" w:hAnsi="Times New Roman" w:cs="宋体"/>
              </w:rPr>
              <w:t>支持对HIS、LIS、EMR、PACS等信息资产全方位监控，对患者就诊信息的篡改、敏感患者就诊信息非法调阅进行追踪告警；</w:t>
            </w:r>
            <w:r>
              <w:rPr>
                <w:rFonts w:hint="eastAsia" w:ascii="Times New Roman" w:hAnsi="Times New Roman" w:cs="宋体"/>
              </w:rPr>
              <w:br w:type="textWrapping"/>
            </w:r>
            <w:r>
              <w:rPr>
                <w:rFonts w:hint="eastAsia" w:ascii="Times New Roman" w:hAnsi="Times New Roman" w:cs="宋体"/>
              </w:rPr>
              <w:t>内置HIS厂商统方规则库≥9种，准确识别各种统方操作，生成统方事件，同时可根据业务发展自定义规则，并且支持根据事件和统方生成事件分析报表；</w:t>
            </w:r>
            <w:r>
              <w:rPr>
                <w:rFonts w:hint="eastAsia" w:ascii="Times New Roman" w:hAnsi="Times New Roman" w:cs="宋体"/>
              </w:rPr>
              <w:br w:type="textWrapping"/>
            </w:r>
            <w:r>
              <w:rPr>
                <w:rFonts w:hint="eastAsia" w:ascii="Times New Roman" w:hAnsi="Times New Roman" w:cs="宋体"/>
              </w:rPr>
              <w:t>配置统计报表模板≥50种，支持三权分立，默认提供系统管理员、安全管理员、审计管理员等三个角色账户；</w:t>
            </w:r>
            <w:r>
              <w:rPr>
                <w:rFonts w:hint="eastAsia" w:ascii="Times New Roman" w:hAnsi="Times New Roman" w:cs="宋体"/>
              </w:rPr>
              <w:br w:type="textWrapping"/>
            </w:r>
            <w:r>
              <w:rPr>
                <w:rFonts w:hint="eastAsia" w:ascii="Times New Roman" w:hAnsi="Times New Roman" w:cs="宋体"/>
              </w:rPr>
              <w:t>保护数据隐私安全避免产品出现后门，产品制造商应通过ISO27701隐私信息管理体系认证，提供证书复印件；</w:t>
            </w:r>
            <w:r>
              <w:rPr>
                <w:rFonts w:hint="eastAsia" w:ascii="Times New Roman" w:hAnsi="Times New Roman" w:cs="宋体"/>
              </w:rPr>
              <w:br w:type="textWrapping"/>
            </w:r>
            <w:r>
              <w:rPr>
                <w:rFonts w:hint="eastAsia" w:ascii="Times New Roman" w:hAnsi="Times New Roman" w:cs="宋体"/>
              </w:rPr>
              <w:t>产品的漏洞库升级能力对数据安全性的影响较大，产品制造商应是中国国家信息安全漏洞库（CNNVD）一级技术支撑单位，提供证书复印件；</w:t>
            </w:r>
          </w:p>
        </w:tc>
        <w:tc>
          <w:tcPr>
            <w:tcW w:w="336" w:type="pct"/>
            <w:vAlign w:val="center"/>
          </w:tcPr>
          <w:p w14:paraId="2E58A215">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5FB2ED70">
            <w:pPr>
              <w:spacing w:line="320" w:lineRule="exact"/>
              <w:rPr>
                <w:rFonts w:ascii="Times New Roman" w:hAnsi="Times New Roman" w:cs="宋体"/>
              </w:rPr>
            </w:pPr>
            <w:r>
              <w:rPr>
                <w:rFonts w:hint="eastAsia" w:ascii="Times New Roman" w:hAnsi="Times New Roman" w:cs="宋体"/>
              </w:rPr>
              <w:t>1</w:t>
            </w:r>
          </w:p>
        </w:tc>
      </w:tr>
      <w:tr w14:paraId="5E9A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33C73FB7">
            <w:pPr>
              <w:spacing w:line="320" w:lineRule="exact"/>
              <w:rPr>
                <w:rFonts w:ascii="Times New Roman" w:hAnsi="Times New Roman" w:cs="宋体"/>
              </w:rPr>
            </w:pPr>
            <w:r>
              <w:rPr>
                <w:rFonts w:hint="eastAsia" w:ascii="Times New Roman" w:hAnsi="Times New Roman" w:cs="宋体"/>
              </w:rPr>
              <w:t>6</w:t>
            </w:r>
          </w:p>
        </w:tc>
        <w:tc>
          <w:tcPr>
            <w:tcW w:w="537" w:type="pct"/>
            <w:vAlign w:val="center"/>
          </w:tcPr>
          <w:p w14:paraId="735B868F">
            <w:pPr>
              <w:spacing w:line="320" w:lineRule="exact"/>
              <w:rPr>
                <w:rFonts w:ascii="Times New Roman" w:hAnsi="Times New Roman" w:cs="宋体"/>
              </w:rPr>
            </w:pPr>
            <w:r>
              <w:rPr>
                <w:rFonts w:hint="eastAsia" w:ascii="Times New Roman" w:hAnsi="Times New Roman" w:cs="宋体"/>
              </w:rPr>
              <w:t>终端杀毒</w:t>
            </w:r>
          </w:p>
        </w:tc>
        <w:tc>
          <w:tcPr>
            <w:tcW w:w="3491" w:type="pct"/>
            <w:vAlign w:val="center"/>
          </w:tcPr>
          <w:p w14:paraId="3153504A">
            <w:pPr>
              <w:spacing w:line="320" w:lineRule="exact"/>
              <w:rPr>
                <w:rFonts w:ascii="Times New Roman" w:hAnsi="Times New Roman" w:cs="宋体"/>
              </w:rPr>
            </w:pPr>
            <w:r>
              <w:rPr>
                <w:rFonts w:hint="eastAsia" w:ascii="Times New Roman" w:hAnsi="Times New Roman" w:cs="宋体"/>
              </w:rPr>
              <w:t>硬件要求配置配置处理器≥</w:t>
            </w:r>
            <w:r>
              <w:rPr>
                <w:rFonts w:ascii="Times New Roman" w:hAnsi="Times New Roman" w:cs="宋体"/>
              </w:rPr>
              <w:t>1</w:t>
            </w:r>
            <w:r>
              <w:rPr>
                <w:rFonts w:hint="eastAsia" w:ascii="Times New Roman" w:hAnsi="Times New Roman" w:cs="宋体"/>
              </w:rPr>
              <w:t>颗，单颗处理器物理核≥1</w:t>
            </w:r>
            <w:r>
              <w:rPr>
                <w:rFonts w:ascii="Times New Roman" w:hAnsi="Times New Roman" w:cs="宋体"/>
              </w:rPr>
              <w:t>2</w:t>
            </w:r>
            <w:r>
              <w:rPr>
                <w:rFonts w:hint="eastAsia" w:ascii="Times New Roman" w:hAnsi="Times New Roman" w:cs="宋体"/>
              </w:rPr>
              <w:t>核，主频≥2.1GHz，配置内存≥256GB，配置硬盘≥8TB，配置千兆电口≥4个；</w:t>
            </w:r>
            <w:r>
              <w:rPr>
                <w:rFonts w:hint="eastAsia" w:ascii="Times New Roman" w:hAnsi="Times New Roman" w:cs="宋体"/>
              </w:rPr>
              <w:br w:type="textWrapping"/>
            </w:r>
            <w:r>
              <w:rPr>
                <w:rFonts w:hint="eastAsia" w:ascii="Times New Roman" w:hAnsi="Times New Roman" w:cs="宋体"/>
              </w:rPr>
              <w:t>配置终端杀毒软件授权≥1000点，配置服务器杀毒软件授权≥50点；</w:t>
            </w:r>
            <w:r>
              <w:rPr>
                <w:rFonts w:hint="eastAsia" w:ascii="Times New Roman" w:hAnsi="Times New Roman" w:cs="宋体"/>
              </w:rPr>
              <w:br w:type="textWrapping"/>
            </w:r>
            <w:r>
              <w:rPr>
                <w:rFonts w:hint="eastAsia" w:ascii="Times New Roman" w:hAnsi="Times New Roman" w:cs="宋体"/>
              </w:rPr>
              <w:t>▲对于恶意文件处理措施至少支持三种以上，包括厂家推荐措施、统一处理措施、以及针对不同类型病毒/恶意软件提供不同处理措施，同时不同病毒/恶意软件类型不少于5种分类；（提供产品WEB界面配置截图）</w:t>
            </w:r>
            <w:r>
              <w:rPr>
                <w:rFonts w:hint="eastAsia" w:ascii="Times New Roman" w:hAnsi="Times New Roman" w:cs="宋体"/>
              </w:rPr>
              <w:br w:type="textWrapping"/>
            </w:r>
            <w:r>
              <w:rPr>
                <w:rFonts w:hint="eastAsia" w:ascii="Times New Roman" w:hAnsi="Times New Roman" w:cs="宋体"/>
              </w:rPr>
              <w:t>处置措施要提供至少两项措施，在首选措施失败的情况下，可以提供第二项措施进行处置；（提供产品WEB界面配置截图）；</w:t>
            </w:r>
            <w:r>
              <w:rPr>
                <w:rFonts w:hint="eastAsia" w:ascii="Times New Roman" w:hAnsi="Times New Roman" w:cs="宋体"/>
              </w:rPr>
              <w:br w:type="textWrapping"/>
            </w:r>
            <w:r>
              <w:rPr>
                <w:rFonts w:hint="eastAsia" w:ascii="Times New Roman" w:hAnsi="Times New Roman" w:cs="宋体"/>
              </w:rPr>
              <w:t>具备爆发阻止功能，管理端可配置爆发阻止策略，达到设定条件后可自动隔离受感染终端；（提供产品WEB界面配置截图）；</w:t>
            </w:r>
            <w:r>
              <w:rPr>
                <w:rFonts w:hint="eastAsia" w:ascii="Times New Roman" w:hAnsi="Times New Roman" w:cs="宋体"/>
              </w:rPr>
              <w:br w:type="textWrapping"/>
            </w:r>
            <w:r>
              <w:rPr>
                <w:rFonts w:hint="eastAsia" w:ascii="Times New Roman" w:hAnsi="Times New Roman" w:cs="宋体"/>
              </w:rPr>
              <w:t>支持对压缩文件扫描，并可设定最大的压缩层数为16；（提供产品WEB界面配置截图）；</w:t>
            </w:r>
            <w:r>
              <w:rPr>
                <w:rFonts w:hint="eastAsia" w:ascii="Times New Roman" w:hAnsi="Times New Roman" w:cs="宋体"/>
              </w:rPr>
              <w:br w:type="textWrapping"/>
            </w:r>
            <w:r>
              <w:rPr>
                <w:rFonts w:hint="eastAsia" w:ascii="Times New Roman" w:hAnsi="Times New Roman" w:cs="宋体"/>
              </w:rPr>
              <w:t>提供压缩文件扫描功能，可以对超过固定大小文件不予扫描，以减少扫描时间；</w:t>
            </w:r>
            <w:r>
              <w:rPr>
                <w:rFonts w:hint="eastAsia" w:ascii="Times New Roman" w:hAnsi="Times New Roman" w:cs="宋体"/>
              </w:rPr>
              <w:br w:type="textWrapping"/>
            </w:r>
            <w:r>
              <w:rPr>
                <w:rFonts w:hint="eastAsia" w:ascii="Times New Roman" w:hAnsi="Times New Roman" w:cs="宋体"/>
              </w:rPr>
              <w:t>支持一个管理控制台同时管理Windows,Linux,国产操作系统；（提供产品WEB界面配置截图）；</w:t>
            </w:r>
            <w:r>
              <w:rPr>
                <w:rFonts w:hint="eastAsia" w:ascii="Times New Roman" w:hAnsi="Times New Roman" w:cs="宋体"/>
              </w:rPr>
              <w:br w:type="textWrapping"/>
            </w:r>
            <w:r>
              <w:rPr>
                <w:rFonts w:hint="eastAsia" w:ascii="Times New Roman" w:hAnsi="Times New Roman" w:cs="宋体"/>
              </w:rPr>
              <w:t>支持管理员选择客户端将组件版本立即更新或回退至上一版本；（提供产品WEB界面配置截图）；</w:t>
            </w:r>
            <w:r>
              <w:rPr>
                <w:rFonts w:hint="eastAsia" w:ascii="Times New Roman" w:hAnsi="Times New Roman" w:cs="宋体"/>
              </w:rPr>
              <w:br w:type="textWrapping"/>
            </w:r>
            <w:r>
              <w:rPr>
                <w:rFonts w:hint="eastAsia" w:ascii="Times New Roman" w:hAnsi="Times New Roman" w:cs="宋体"/>
              </w:rPr>
              <w:t>支持客户端的防卸载功能，避免用户自行卸载，管理员可设置卸载密码；支持客户端的防退出功能，避免用户恶意退出，管理员可设置退出密码；</w:t>
            </w:r>
            <w:r>
              <w:rPr>
                <w:rFonts w:hint="eastAsia" w:ascii="Times New Roman" w:hAnsi="Times New Roman" w:cs="宋体"/>
              </w:rPr>
              <w:br w:type="textWrapping"/>
            </w:r>
            <w:r>
              <w:rPr>
                <w:rFonts w:hint="eastAsia" w:ascii="Times New Roman" w:hAnsi="Times New Roman" w:cs="宋体"/>
              </w:rPr>
              <w:t>保护数据隐私安全避免产品出现后门，产品制造商应通过ISO27701隐私信息管理体系认证，提供证书复印件；</w:t>
            </w:r>
            <w:r>
              <w:rPr>
                <w:rFonts w:hint="eastAsia" w:ascii="Times New Roman" w:hAnsi="Times New Roman" w:cs="宋体"/>
              </w:rPr>
              <w:br w:type="textWrapping"/>
            </w:r>
            <w:r>
              <w:rPr>
                <w:rFonts w:hint="eastAsia" w:ascii="Times New Roman" w:hAnsi="Times New Roman" w:cs="宋体"/>
              </w:rPr>
              <w:t>产品的漏洞库升级能力对数据安全性的影响较大，产品制造商应是中国国家信息安全漏洞库（CNNVD）一级技术支撑单位，提供证书复印件；</w:t>
            </w:r>
          </w:p>
        </w:tc>
        <w:tc>
          <w:tcPr>
            <w:tcW w:w="336" w:type="pct"/>
            <w:vAlign w:val="center"/>
          </w:tcPr>
          <w:p w14:paraId="3940FADB">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18861C0C">
            <w:pPr>
              <w:spacing w:line="320" w:lineRule="exact"/>
              <w:rPr>
                <w:rFonts w:ascii="Times New Roman" w:hAnsi="Times New Roman" w:cs="宋体"/>
              </w:rPr>
            </w:pPr>
            <w:r>
              <w:rPr>
                <w:rFonts w:hint="eastAsia" w:ascii="Times New Roman" w:hAnsi="Times New Roman" w:cs="宋体"/>
              </w:rPr>
              <w:t>1</w:t>
            </w:r>
          </w:p>
        </w:tc>
      </w:tr>
      <w:tr w14:paraId="2C3C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6A6C7A89">
            <w:pPr>
              <w:spacing w:line="320" w:lineRule="exact"/>
              <w:rPr>
                <w:rFonts w:ascii="Times New Roman" w:hAnsi="Times New Roman" w:cs="宋体"/>
              </w:rPr>
            </w:pPr>
            <w:r>
              <w:rPr>
                <w:rFonts w:hint="eastAsia" w:ascii="Times New Roman" w:hAnsi="Times New Roman" w:cs="宋体"/>
              </w:rPr>
              <w:t>7</w:t>
            </w:r>
          </w:p>
        </w:tc>
        <w:tc>
          <w:tcPr>
            <w:tcW w:w="537" w:type="pct"/>
            <w:vAlign w:val="center"/>
          </w:tcPr>
          <w:p w14:paraId="22F00027">
            <w:pPr>
              <w:spacing w:line="320" w:lineRule="exact"/>
              <w:rPr>
                <w:rFonts w:ascii="Times New Roman" w:hAnsi="Times New Roman" w:cs="宋体"/>
              </w:rPr>
            </w:pPr>
            <w:r>
              <w:rPr>
                <w:rFonts w:hint="eastAsia" w:ascii="Times New Roman" w:hAnsi="Times New Roman" w:cs="宋体"/>
              </w:rPr>
              <w:t>态势感知</w:t>
            </w:r>
          </w:p>
        </w:tc>
        <w:tc>
          <w:tcPr>
            <w:tcW w:w="3491" w:type="pct"/>
            <w:vAlign w:val="center"/>
          </w:tcPr>
          <w:p w14:paraId="0EF0A4F9">
            <w:pPr>
              <w:spacing w:line="320" w:lineRule="exact"/>
              <w:rPr>
                <w:rFonts w:ascii="Times New Roman" w:hAnsi="Times New Roman" w:cs="宋体"/>
              </w:rPr>
            </w:pPr>
            <w:r>
              <w:rPr>
                <w:rFonts w:hint="eastAsia" w:ascii="Times New Roman" w:hAnsi="Times New Roman" w:cs="宋体"/>
              </w:rPr>
              <w:t>软硬件一体化设备，1台标准2U机架式设备，配置处理器≥2颗，单颗处理器物理核≥10核，内存≥256GB，3</w:t>
            </w:r>
            <w:r>
              <w:rPr>
                <w:rFonts w:ascii="Times New Roman" w:hAnsi="Times New Roman" w:cs="宋体"/>
              </w:rPr>
              <w:t>.5英寸</w:t>
            </w:r>
            <w:r>
              <w:rPr>
                <w:rFonts w:hint="eastAsia" w:ascii="Times New Roman" w:hAnsi="Times New Roman" w:cs="宋体"/>
              </w:rPr>
              <w:t>硬盘盘位≥8个，配置4TB SATA硬盘≥4块，配置千兆电口≥4个，配置万兆光口≥2个；配置800W交流电源≥2块；</w:t>
            </w:r>
            <w:r>
              <w:rPr>
                <w:rFonts w:hint="eastAsia" w:ascii="Times New Roman" w:hAnsi="Times New Roman" w:cs="宋体"/>
              </w:rPr>
              <w:br w:type="textWrapping"/>
            </w:r>
            <w:r>
              <w:rPr>
                <w:rFonts w:hint="eastAsia" w:ascii="Times New Roman" w:hAnsi="Times New Roman" w:cs="宋体"/>
              </w:rPr>
              <w:t>配置威胁情报升级授权≥3年，内置1.5Gbps流量威胁检测探针≥1套，配置流量探针特征库升级授权≥3年；</w:t>
            </w:r>
            <w:r>
              <w:rPr>
                <w:rFonts w:hint="eastAsia" w:ascii="Times New Roman" w:hAnsi="Times New Roman" w:cs="宋体"/>
              </w:rPr>
              <w:br w:type="textWrapping"/>
            </w:r>
            <w:r>
              <w:rPr>
                <w:rFonts w:hint="eastAsia" w:ascii="Times New Roman" w:hAnsi="Times New Roman" w:cs="宋体"/>
              </w:rPr>
              <w:t>支持自定义展示图表设置，根据用户需求选择可展示内容，包括可选资产安全信息、用户安全信息、安全事件信息、端口分布信息和综合报告展示模块设置；</w:t>
            </w:r>
            <w:r>
              <w:rPr>
                <w:rFonts w:hint="eastAsia" w:ascii="Times New Roman" w:hAnsi="Times New Roman" w:cs="宋体"/>
              </w:rPr>
              <w:br w:type="textWrapping"/>
            </w:r>
            <w:r>
              <w:rPr>
                <w:rFonts w:hint="eastAsia" w:ascii="Times New Roman" w:hAnsi="Times New Roman" w:cs="宋体"/>
              </w:rPr>
              <w:t>支持在首页主动威胁探测搜索框查询，可使用资产IP/资产名称/用户名称/情报IP/URL/域名/MD5进行快速风险搜索查询，帮助用户快速查找定位所关心的风险点；</w:t>
            </w:r>
            <w:r>
              <w:rPr>
                <w:rFonts w:hint="eastAsia" w:ascii="Times New Roman" w:hAnsi="Times New Roman" w:cs="宋体"/>
              </w:rPr>
              <w:br w:type="textWrapping"/>
            </w:r>
            <w:r>
              <w:rPr>
                <w:rFonts w:hint="eastAsia" w:ascii="Times New Roman" w:hAnsi="Times New Roman" w:cs="宋体"/>
              </w:rPr>
              <w:t>支持对单个风险用户/资产遭受的安全事件溯源，支持以时间轴路径的形式展示威胁过程；展示出基于时间维度受攻击情况，攻击情况匹配攻击阶段说明；</w:t>
            </w:r>
          </w:p>
          <w:p w14:paraId="20FF0F61">
            <w:pPr>
              <w:spacing w:line="320" w:lineRule="exact"/>
              <w:rPr>
                <w:rFonts w:ascii="Times New Roman" w:hAnsi="Times New Roman" w:cs="宋体"/>
              </w:rPr>
            </w:pPr>
            <w:r>
              <w:rPr>
                <w:rFonts w:hint="eastAsia" w:ascii="Times New Roman" w:hAnsi="Times New Roman" w:cs="宋体"/>
              </w:rPr>
              <w:t>平台内置专家推理AI引擎，进行安全事件二次分析，在判定失陷时实现证据可视化，平台支持展示失陷状态判定记录、失陷标签和遭受攻击路径，攻击路径支持查看安全事件详情；并以不同颜色线条连接示意已失陷、高可疑、低可疑等事件动作；</w:t>
            </w:r>
            <w:r>
              <w:rPr>
                <w:rFonts w:hint="eastAsia" w:ascii="Times New Roman" w:hAnsi="Times New Roman" w:cs="宋体"/>
              </w:rPr>
              <w:br w:type="textWrapping"/>
            </w:r>
            <w:r>
              <w:rPr>
                <w:rFonts w:hint="eastAsia" w:ascii="Times New Roman" w:hAnsi="Times New Roman" w:cs="宋体"/>
              </w:rPr>
              <w:t>支持通过移动APP实现安全态势即时掌控，并能够最快速度阻断攻击。支持IOS、Android系统的移动端APP运维管理；实时查看管理平台系统运行状态；查看和管理整网安全态势、最新告警、关键资产安全状态、内网和互联网流量状态、挖矿及勒索场景化分析查看；支持各维度安全事件分析，并能够通过APP对指定安全事件下发阻断策略；支持各维度资产安全分析呈现；</w:t>
            </w:r>
            <w:r>
              <w:rPr>
                <w:rFonts w:hint="eastAsia" w:ascii="Times New Roman" w:hAnsi="Times New Roman" w:cs="宋体"/>
              </w:rPr>
              <w:br w:type="textWrapping"/>
            </w:r>
            <w:r>
              <w:rPr>
                <w:rFonts w:hint="eastAsia" w:ascii="Times New Roman" w:hAnsi="Times New Roman" w:cs="宋体"/>
              </w:rPr>
              <w:t>根据用户的关注重点，勾选指定区域/子分区，系统只呈现选定区域的所有安全事件信息，包含综合态势、威胁处置、场景化分析、报表、态势大屏等，从而实现分区域的态势呈现；（提供产品功能截图）</w:t>
            </w:r>
            <w:r>
              <w:rPr>
                <w:rFonts w:hint="eastAsia" w:ascii="Times New Roman" w:hAnsi="Times New Roman" w:cs="宋体"/>
              </w:rPr>
              <w:br w:type="textWrapping"/>
            </w:r>
            <w:r>
              <w:rPr>
                <w:rFonts w:hint="eastAsia" w:ascii="Times New Roman" w:hAnsi="Times New Roman" w:cs="宋体"/>
              </w:rPr>
              <w:t>支持全网资产态势呈现，包含资产类型分布TOP5、风险资产TOP5、区域风险分布TOP5、漏洞类型TOP5、脆弱性资产TOP5、脆弱性资产TOP5、风险资产趋势；能够直观呈现全网的资产开发端口服务情况，脆弱性资产分布总览情况、总资产数情况、风险资产等级情；</w:t>
            </w:r>
            <w:r>
              <w:rPr>
                <w:rFonts w:hint="eastAsia" w:ascii="Times New Roman" w:hAnsi="Times New Roman" w:cs="宋体"/>
              </w:rPr>
              <w:br w:type="textWrapping"/>
            </w:r>
            <w:r>
              <w:rPr>
                <w:rFonts w:hint="eastAsia" w:ascii="Times New Roman" w:hAnsi="Times New Roman" w:cs="宋体"/>
              </w:rPr>
              <w:t>能够展示出全部安全事件，包括通过关联分析引擎、机器学习引擎、威胁情报等不同方式产生的事件；支持展示事件首次发生时间、最近发生时间、事件名称、事件描述、事件等级、事件关注点、源IP、目的IP、攻击阶段、失陷状态、攻击载荷等信息；</w:t>
            </w:r>
            <w:r>
              <w:rPr>
                <w:rFonts w:hint="eastAsia" w:ascii="Times New Roman" w:hAnsi="Times New Roman" w:cs="宋体"/>
              </w:rPr>
              <w:br w:type="textWrapping"/>
            </w:r>
            <w:r>
              <w:rPr>
                <w:rFonts w:hint="eastAsia" w:ascii="Times New Roman" w:hAnsi="Times New Roman" w:cs="宋体"/>
              </w:rPr>
              <w:t>支持显示安全事件的详细信息，安全事件导出到excel文件；支持显示单一安全事件的详细分析结果，包括显示事件基本信息，数据来源、风险危害、处置建议、威胁详情；</w:t>
            </w:r>
            <w:r>
              <w:rPr>
                <w:rFonts w:hint="eastAsia" w:ascii="Times New Roman" w:hAnsi="Times New Roman" w:cs="宋体"/>
              </w:rPr>
              <w:br w:type="textWrapping"/>
            </w:r>
            <w:r>
              <w:rPr>
                <w:rFonts w:hint="eastAsia" w:ascii="Times New Roman" w:hAnsi="Times New Roman" w:cs="宋体"/>
              </w:rPr>
              <w:t>提供对应安全事件的建议处置方式，提供具体排查工具，具体升级补丁，防护策略等建议内容;支持自定义处置建议编辑，后续出现同样安全事件时，可自动显示编辑后的处置建议，帮助用户完善闭环处理；并支持修改记录留存，支持默认处置建议一键还原；（提供产品功能截图）</w:t>
            </w:r>
            <w:r>
              <w:rPr>
                <w:rFonts w:hint="eastAsia" w:ascii="Times New Roman" w:hAnsi="Times New Roman" w:cs="宋体"/>
              </w:rPr>
              <w:br w:type="textWrapping"/>
            </w:r>
            <w:r>
              <w:rPr>
                <w:rFonts w:hint="eastAsia" w:ascii="Times New Roman" w:hAnsi="Times New Roman" w:cs="宋体"/>
              </w:rPr>
              <w:t>案件管理通过定义关联规则、区域、失陷确信度、事件严重级别等多维度触发条件，然后执行指定剧本动作。案件管理包括新增、删除、编辑、查询、启用、停用以及案件复制，支持案件命中次数查询，支持案件自定义编辑，包含案件名称、是否启用、失陷确信度、事件严重级别、剧本、剧本是否执行、关注点区域等条；</w:t>
            </w:r>
            <w:r>
              <w:rPr>
                <w:rFonts w:hint="eastAsia" w:ascii="Times New Roman" w:hAnsi="Times New Roman" w:cs="宋体"/>
              </w:rPr>
              <w:br w:type="textWrapping"/>
            </w:r>
            <w:r>
              <w:rPr>
                <w:rFonts w:hint="eastAsia" w:ascii="Times New Roman" w:hAnsi="Times New Roman" w:cs="宋体"/>
              </w:rPr>
              <w:t>支持对漏洞风险、配置风险、弱口令等处置结果进行脆弱性风险验证，验证方式包含联动漏洞扫描自动化验证，也支持人工核验方式。支持呈现安全事件的验证状态，包含待验证、已修复、未修复；（提供产品功能截图）</w:t>
            </w:r>
            <w:r>
              <w:rPr>
                <w:rFonts w:hint="eastAsia" w:ascii="Times New Roman" w:hAnsi="Times New Roman" w:cs="宋体"/>
              </w:rPr>
              <w:br w:type="textWrapping"/>
            </w:r>
            <w:r>
              <w:rPr>
                <w:rFonts w:hint="eastAsia" w:ascii="Times New Roman" w:hAnsi="Times New Roman" w:cs="宋体"/>
              </w:rPr>
              <w:t>通过多途径进行资产梳理，支持通过安全日志、流量探针、漏扫设备进行全网资产发现，自动添加到平台资产库中；</w:t>
            </w:r>
            <w:r>
              <w:rPr>
                <w:rFonts w:hint="eastAsia" w:ascii="Times New Roman" w:hAnsi="Times New Roman" w:cs="宋体"/>
              </w:rPr>
              <w:br w:type="textWrapping"/>
            </w:r>
            <w:r>
              <w:rPr>
                <w:rFonts w:hint="eastAsia" w:ascii="Times New Roman" w:hAnsi="Times New Roman" w:cs="宋体"/>
              </w:rPr>
              <w:t>支持通过统一运维系统、物联网管理系统、终端安全管理系统、服务器安全监测系统同步运维资产、摄像头、终端、服务器资产信息；</w:t>
            </w:r>
            <w:r>
              <w:rPr>
                <w:rFonts w:hint="eastAsia" w:ascii="Times New Roman" w:hAnsi="Times New Roman" w:cs="宋体"/>
              </w:rPr>
              <w:br w:type="textWrapping"/>
            </w:r>
            <w:r>
              <w:rPr>
                <w:rFonts w:hint="eastAsia" w:ascii="Times New Roman" w:hAnsi="Times New Roman" w:cs="宋体"/>
              </w:rPr>
              <w:t>支持不少于八大类的报表模板，包含综合安全风险报告、安全监测分析报告、安全事件报告、脆弱性统计分析报告、威胁统计分析报告、恶意主机事件报告、恶意域名事件报告、终端统计分析报告；（提供产品功能截图）</w:t>
            </w:r>
          </w:p>
          <w:p w14:paraId="3F031F4E">
            <w:pPr>
              <w:spacing w:line="320" w:lineRule="exact"/>
              <w:rPr>
                <w:rFonts w:ascii="Times New Roman" w:hAnsi="Times New Roman" w:cs="宋体"/>
              </w:rPr>
            </w:pPr>
            <w:r>
              <w:rPr>
                <w:rFonts w:hint="eastAsia" w:ascii="Times New Roman" w:hAnsi="Times New Roman" w:cs="宋体"/>
              </w:rPr>
              <w:t>支持报表模板大类≥8类，包含但不限于综合安全风险报告、安全监测分析报告、安全事件报告、脆弱性统计分析报告、威胁统计分析报告、流量分析报告、恶意域名事件报告、终端统计分析报告；</w:t>
            </w:r>
          </w:p>
        </w:tc>
        <w:tc>
          <w:tcPr>
            <w:tcW w:w="336" w:type="pct"/>
            <w:vAlign w:val="center"/>
          </w:tcPr>
          <w:p w14:paraId="5D3D985C">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288D9C08">
            <w:pPr>
              <w:spacing w:line="320" w:lineRule="exact"/>
              <w:rPr>
                <w:rFonts w:ascii="Times New Roman" w:hAnsi="Times New Roman" w:cs="宋体"/>
              </w:rPr>
            </w:pPr>
            <w:r>
              <w:rPr>
                <w:rFonts w:hint="eastAsia" w:ascii="Times New Roman" w:hAnsi="Times New Roman" w:cs="宋体"/>
              </w:rPr>
              <w:t>1</w:t>
            </w:r>
          </w:p>
        </w:tc>
      </w:tr>
      <w:tr w14:paraId="4B03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42E7AFF3">
            <w:pPr>
              <w:spacing w:line="320" w:lineRule="exact"/>
              <w:rPr>
                <w:rFonts w:ascii="Times New Roman" w:hAnsi="Times New Roman" w:cs="宋体"/>
              </w:rPr>
            </w:pPr>
            <w:r>
              <w:rPr>
                <w:rFonts w:hint="eastAsia" w:ascii="Times New Roman" w:hAnsi="Times New Roman" w:cs="宋体"/>
              </w:rPr>
              <w:t>8</w:t>
            </w:r>
          </w:p>
        </w:tc>
        <w:tc>
          <w:tcPr>
            <w:tcW w:w="537" w:type="pct"/>
            <w:vAlign w:val="center"/>
          </w:tcPr>
          <w:p w14:paraId="1F79098B">
            <w:pPr>
              <w:spacing w:line="320" w:lineRule="exact"/>
              <w:rPr>
                <w:rFonts w:ascii="Times New Roman" w:hAnsi="Times New Roman" w:cs="宋体"/>
              </w:rPr>
            </w:pPr>
            <w:r>
              <w:rPr>
                <w:rFonts w:hint="eastAsia" w:ascii="Times New Roman" w:hAnsi="Times New Roman" w:cs="宋体"/>
              </w:rPr>
              <w:t>漏洞扫描</w:t>
            </w:r>
          </w:p>
        </w:tc>
        <w:tc>
          <w:tcPr>
            <w:tcW w:w="3491" w:type="pct"/>
            <w:vAlign w:val="center"/>
          </w:tcPr>
          <w:p w14:paraId="54B434FF">
            <w:pPr>
              <w:spacing w:line="320" w:lineRule="exact"/>
              <w:rPr>
                <w:rFonts w:ascii="Times New Roman" w:hAnsi="Times New Roman" w:cs="宋体"/>
              </w:rPr>
            </w:pPr>
            <w:r>
              <w:rPr>
                <w:rFonts w:hint="eastAsia" w:ascii="Times New Roman" w:hAnsi="Times New Roman" w:cs="宋体"/>
              </w:rPr>
              <w:t>1U机架式设备，配置内存≥16GB，配置硬盘容量≥4TB，配置千兆电口≥5个，配置管理口≥1个，配置扩展插槽≥1个；</w:t>
            </w:r>
            <w:r>
              <w:rPr>
                <w:rFonts w:hint="eastAsia" w:ascii="Times New Roman" w:hAnsi="Times New Roman" w:cs="宋体"/>
              </w:rPr>
              <w:br w:type="textWrapping"/>
            </w:r>
            <w:r>
              <w:rPr>
                <w:rFonts w:hint="eastAsia" w:ascii="Times New Roman" w:hAnsi="Times New Roman" w:cs="宋体"/>
              </w:rPr>
              <w:t>配置系统漏洞扫描、安全基线漏洞扫描、数据库漏洞扫描功能、口令猜解功能、弱口令扫描五大动能模块；</w:t>
            </w:r>
            <w:r>
              <w:rPr>
                <w:rFonts w:hint="eastAsia" w:ascii="Times New Roman" w:hAnsi="Times New Roman" w:cs="宋体"/>
              </w:rPr>
              <w:br w:type="textWrapping"/>
            </w:r>
            <w:r>
              <w:rPr>
                <w:rFonts w:hint="eastAsia" w:ascii="Times New Roman" w:hAnsi="Times New Roman" w:cs="宋体"/>
              </w:rPr>
              <w:t>配置扫描IP地址授权≥1024个，配置漏洞库升级授权函≥3年；</w:t>
            </w:r>
            <w:r>
              <w:rPr>
                <w:rFonts w:hint="eastAsia" w:ascii="Times New Roman" w:hAnsi="Times New Roman" w:cs="宋体"/>
              </w:rPr>
              <w:br w:type="textWrapping"/>
            </w:r>
            <w:r>
              <w:rPr>
                <w:rFonts w:hint="eastAsia" w:ascii="Times New Roman" w:hAnsi="Times New Roman" w:cs="宋体"/>
              </w:rPr>
              <w:t>系统漏洞扫描目标并发数量≥120个，扫描任务并发数量≥6个；安全基线漏洞扫描目标并发数量≥120个，扫描任务并发数量≥6个；数据库漏洞扫描目标并发数量≥120个，扫描任务并发数量≥6个；Web漏洞扫描并发数量≥1个，口令猜解并发任务数量≥1个；</w:t>
            </w:r>
            <w:r>
              <w:rPr>
                <w:rFonts w:hint="eastAsia" w:ascii="Times New Roman" w:hAnsi="Times New Roman" w:cs="宋体"/>
              </w:rPr>
              <w:br w:type="textWrapping"/>
            </w:r>
            <w:r>
              <w:rPr>
                <w:rFonts w:hint="eastAsia" w:ascii="Times New Roman" w:hAnsi="Times New Roman" w:cs="宋体"/>
              </w:rPr>
              <w:t>网络配置需提供快速配置向导，支持快速部署上线；</w:t>
            </w:r>
            <w:r>
              <w:rPr>
                <w:rFonts w:hint="eastAsia" w:ascii="Times New Roman" w:hAnsi="Times New Roman" w:cs="宋体"/>
              </w:rPr>
              <w:br w:type="textWrapping"/>
            </w:r>
            <w:r>
              <w:rPr>
                <w:rFonts w:hint="eastAsia" w:ascii="Times New Roman" w:hAnsi="Times New Roman" w:cs="宋体"/>
              </w:rPr>
              <w:t>支持针对已经新建的任务做任务复制，快速生成一个相同任务，支持对复制出来的任务进行再编辑；</w:t>
            </w:r>
            <w:r>
              <w:rPr>
                <w:rFonts w:hint="eastAsia" w:ascii="Times New Roman" w:hAnsi="Times New Roman" w:cs="宋体"/>
              </w:rPr>
              <w:br w:type="textWrapping"/>
            </w:r>
            <w:r>
              <w:rPr>
                <w:rFonts w:hint="eastAsia" w:ascii="Times New Roman" w:hAnsi="Times New Roman" w:cs="宋体"/>
              </w:rPr>
              <w:t>WEB漏扫报表提供详细的漏洞测试用例，包含完整的http请求头；</w:t>
            </w:r>
            <w:r>
              <w:rPr>
                <w:rFonts w:hint="eastAsia" w:ascii="Times New Roman" w:hAnsi="Times New Roman" w:cs="宋体"/>
              </w:rPr>
              <w:br w:type="textWrapping"/>
            </w:r>
            <w:r>
              <w:rPr>
                <w:rFonts w:hint="eastAsia" w:ascii="Times New Roman" w:hAnsi="Times New Roman" w:cs="宋体"/>
              </w:rPr>
              <w:t>系统漏扫报告应具有易懂的漏洞描述、漏洞参考链接和详尽的安全修补方案建议；</w:t>
            </w:r>
            <w:r>
              <w:rPr>
                <w:rFonts w:hint="eastAsia" w:ascii="Times New Roman" w:hAnsi="Times New Roman" w:cs="宋体"/>
              </w:rPr>
              <w:br w:type="textWrapping"/>
            </w:r>
            <w:r>
              <w:rPr>
                <w:rFonts w:hint="eastAsia" w:ascii="Times New Roman" w:hAnsi="Times New Roman" w:cs="宋体"/>
              </w:rPr>
              <w:t>支持数据库登录扫描，包括数据库账号/密码//SID/数据库名称/实例名称等登录选项的设置；</w:t>
            </w:r>
            <w:r>
              <w:rPr>
                <w:rFonts w:hint="eastAsia" w:ascii="Times New Roman" w:hAnsi="Times New Roman" w:cs="宋体"/>
              </w:rPr>
              <w:br w:type="textWrapping"/>
            </w:r>
            <w:r>
              <w:rPr>
                <w:rFonts w:hint="eastAsia" w:ascii="Times New Roman" w:hAnsi="Times New Roman" w:cs="宋体"/>
              </w:rPr>
              <w:t>支持检测的漏洞数≥65000条，涵盖漏洞标准包含CVE、CVSS、CNVD、CNNVD、CNCVE、Bugtraq6种，CVSS覆盖CVSS2和CVSS3版本；</w:t>
            </w:r>
            <w:r>
              <w:rPr>
                <w:rFonts w:hint="eastAsia" w:ascii="Times New Roman" w:hAnsi="Times New Roman" w:cs="宋体"/>
              </w:rPr>
              <w:br w:type="textWrapping"/>
            </w:r>
            <w:r>
              <w:rPr>
                <w:rFonts w:hint="eastAsia" w:ascii="Times New Roman" w:hAnsi="Times New Roman" w:cs="宋体"/>
              </w:rPr>
              <w:t>支持主流数据库漏洞的检测，应包括但不限于：Oralce、Sybase、SQLServer、DB2、MySQL、Postgres、Informix、达梦、南大通用、人大金仓、神通等；（提供产品功能截图）</w:t>
            </w:r>
            <w:r>
              <w:rPr>
                <w:rFonts w:hint="eastAsia" w:ascii="Times New Roman" w:hAnsi="Times New Roman" w:cs="宋体"/>
              </w:rPr>
              <w:br w:type="textWrapping"/>
            </w:r>
            <w:r>
              <w:rPr>
                <w:rFonts w:hint="eastAsia" w:ascii="Times New Roman" w:hAnsi="Times New Roman" w:cs="宋体"/>
              </w:rPr>
              <w:t>支持漏洞数据高级检索及分析，支持按照目标IP或URL、操作系统、MAC地址、资产评分、漏洞等级、漏洞名称、漏洞类别、漏洞评分、开放端口查看漏洞分布情况，并将检索结果导出；（提供产品功能截图）</w:t>
            </w:r>
            <w:r>
              <w:rPr>
                <w:rFonts w:hint="eastAsia" w:ascii="Times New Roman" w:hAnsi="Times New Roman" w:cs="宋体"/>
              </w:rPr>
              <w:br w:type="textWrapping"/>
            </w:r>
            <w:r>
              <w:rPr>
                <w:rFonts w:hint="eastAsia" w:ascii="Times New Roman" w:hAnsi="Times New Roman" w:cs="宋体"/>
              </w:rPr>
              <w:t>支持资产自动发现功能，支持利用历史扫描过程中发现的主机创建扫描任务；</w:t>
            </w:r>
            <w:r>
              <w:rPr>
                <w:rFonts w:hint="eastAsia" w:ascii="Times New Roman" w:hAnsi="Times New Roman" w:cs="宋体"/>
              </w:rPr>
              <w:br w:type="textWrapping"/>
            </w:r>
            <w:r>
              <w:rPr>
                <w:rFonts w:hint="eastAsia" w:ascii="Times New Roman" w:hAnsi="Times New Roman" w:cs="宋体"/>
              </w:rPr>
              <w:t>支持自定义用户角色的功能权限，支持通过扫描黑名单或白名单的方式自定义用户可扫描IP范围；</w:t>
            </w:r>
            <w:r>
              <w:rPr>
                <w:rFonts w:hint="eastAsia" w:ascii="Times New Roman" w:hAnsi="Times New Roman" w:cs="宋体"/>
              </w:rPr>
              <w:br w:type="textWrapping"/>
            </w:r>
            <w:r>
              <w:rPr>
                <w:rFonts w:hint="eastAsia" w:ascii="Times New Roman" w:hAnsi="Times New Roman" w:cs="宋体"/>
              </w:rPr>
              <w:t>支持系统告警，能够对系统CPU、内存、磁盘、网络状态、设备授权到期及漏洞库升级授权到期进行告警，可以灵活配置告警参数；</w:t>
            </w:r>
            <w:r>
              <w:rPr>
                <w:rFonts w:hint="eastAsia" w:ascii="Times New Roman" w:hAnsi="Times New Roman" w:cs="宋体"/>
              </w:rPr>
              <w:br w:type="textWrapping"/>
            </w:r>
            <w:r>
              <w:rPr>
                <w:rFonts w:hint="eastAsia" w:ascii="Times New Roman" w:hAnsi="Times New Roman" w:cs="宋体"/>
              </w:rPr>
              <w:t>保护数据隐私安全避免产品出现后门，产品制造商应通过ISO27701隐私信息管理体系认证，提供证书复印件；</w:t>
            </w:r>
          </w:p>
          <w:p w14:paraId="22936164">
            <w:pPr>
              <w:spacing w:line="320" w:lineRule="exact"/>
              <w:rPr>
                <w:rFonts w:ascii="Times New Roman" w:hAnsi="Times New Roman" w:cs="宋体"/>
              </w:rPr>
            </w:pPr>
            <w:r>
              <w:rPr>
                <w:rFonts w:hint="eastAsia" w:ascii="Times New Roman" w:hAnsi="Times New Roman" w:cs="宋体"/>
              </w:rPr>
              <w:t>产品的漏洞库升级能力对数据安全性的影响较大，产品制造商应是中国国家信息安全漏洞库（CNNVD）一级技术支撑单位，提供证书复印件；</w:t>
            </w:r>
          </w:p>
        </w:tc>
        <w:tc>
          <w:tcPr>
            <w:tcW w:w="336" w:type="pct"/>
            <w:vAlign w:val="center"/>
          </w:tcPr>
          <w:p w14:paraId="3EAFFD8A">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2A2419E2">
            <w:pPr>
              <w:spacing w:line="320" w:lineRule="exact"/>
              <w:rPr>
                <w:rFonts w:ascii="Times New Roman" w:hAnsi="Times New Roman" w:cs="宋体"/>
              </w:rPr>
            </w:pPr>
            <w:r>
              <w:rPr>
                <w:rFonts w:hint="eastAsia" w:ascii="Times New Roman" w:hAnsi="Times New Roman" w:cs="宋体"/>
              </w:rPr>
              <w:t>1</w:t>
            </w:r>
          </w:p>
        </w:tc>
      </w:tr>
      <w:tr w14:paraId="5BDF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7B9D1A0E">
            <w:pPr>
              <w:spacing w:line="320" w:lineRule="exact"/>
              <w:rPr>
                <w:rFonts w:ascii="Times New Roman" w:hAnsi="Times New Roman" w:cs="宋体"/>
              </w:rPr>
            </w:pPr>
            <w:r>
              <w:rPr>
                <w:rFonts w:hint="eastAsia" w:ascii="Times New Roman" w:hAnsi="Times New Roman" w:cs="宋体"/>
              </w:rPr>
              <w:t>9</w:t>
            </w:r>
          </w:p>
        </w:tc>
        <w:tc>
          <w:tcPr>
            <w:tcW w:w="537" w:type="pct"/>
            <w:vAlign w:val="center"/>
          </w:tcPr>
          <w:p w14:paraId="11BACDC8">
            <w:pPr>
              <w:spacing w:line="320" w:lineRule="exact"/>
              <w:rPr>
                <w:rFonts w:ascii="Times New Roman" w:hAnsi="Times New Roman" w:cs="宋体"/>
              </w:rPr>
            </w:pPr>
            <w:r>
              <w:rPr>
                <w:rFonts w:hint="eastAsia" w:ascii="Times New Roman" w:hAnsi="Times New Roman" w:cs="宋体"/>
              </w:rPr>
              <w:t>WEB防火墙</w:t>
            </w:r>
          </w:p>
        </w:tc>
        <w:tc>
          <w:tcPr>
            <w:tcW w:w="3491" w:type="pct"/>
            <w:vAlign w:val="center"/>
          </w:tcPr>
          <w:p w14:paraId="2A014A6D">
            <w:pPr>
              <w:spacing w:line="320" w:lineRule="exact"/>
              <w:rPr>
                <w:rFonts w:ascii="Times New Roman" w:hAnsi="Times New Roman" w:cs="宋体"/>
              </w:rPr>
            </w:pPr>
            <w:r>
              <w:rPr>
                <w:rFonts w:hint="eastAsia" w:ascii="Times New Roman" w:hAnsi="Times New Roman" w:cs="宋体"/>
              </w:rPr>
              <w:t>2U机架式，配置千兆电口≥6个，配置千兆光口≥8个，内存≥8GB，硬盘容量≥2TB；</w:t>
            </w:r>
            <w:r>
              <w:rPr>
                <w:rFonts w:hint="eastAsia" w:ascii="Times New Roman" w:hAnsi="Times New Roman" w:cs="宋体"/>
              </w:rPr>
              <w:br w:type="textWrapping"/>
            </w:r>
            <w:r>
              <w:rPr>
                <w:rFonts w:hint="eastAsia" w:ascii="Times New Roman" w:hAnsi="Times New Roman" w:cs="宋体"/>
              </w:rPr>
              <w:t>应用层吞吐量≥1.5Gbps，HTTP 最大并发连接数≥65万，HTTP 最大新建连接数≥5万；</w:t>
            </w:r>
            <w:r>
              <w:rPr>
                <w:rFonts w:hint="eastAsia" w:ascii="Times New Roman" w:hAnsi="Times New Roman" w:cs="宋体"/>
              </w:rPr>
              <w:br w:type="textWrapping"/>
            </w:r>
            <w:r>
              <w:rPr>
                <w:rFonts w:hint="eastAsia" w:ascii="Times New Roman" w:hAnsi="Times New Roman" w:cs="宋体"/>
              </w:rPr>
              <w:t>支持在旁路镜像阻断模式下，对检测到的攻击进行旁路阻断，并可指定对端设备 MAC 地址 ；</w:t>
            </w:r>
            <w:r>
              <w:rPr>
                <w:rFonts w:hint="eastAsia" w:ascii="Times New Roman" w:hAnsi="Times New Roman" w:cs="宋体"/>
              </w:rPr>
              <w:br w:type="textWrapping"/>
            </w:r>
            <w:r>
              <w:rPr>
                <w:rFonts w:hint="eastAsia" w:ascii="Times New Roman" w:hAnsi="Times New Roman" w:cs="宋体"/>
              </w:rPr>
              <w:t>支持 SQL 注入、XSS 跨站攻击的语义分析检测，同时支持语义分析算法和特征检测算法的切换；（提供国家权威机构的检测报告）</w:t>
            </w:r>
            <w:r>
              <w:rPr>
                <w:rFonts w:hint="eastAsia" w:ascii="Times New Roman" w:hAnsi="Times New Roman" w:cs="宋体"/>
              </w:rPr>
              <w:br w:type="textWrapping"/>
            </w:r>
            <w:r>
              <w:rPr>
                <w:rFonts w:hint="eastAsia" w:ascii="Times New Roman" w:hAnsi="Times New Roman" w:cs="宋体"/>
              </w:rPr>
              <w:t>支持协议合规校验，可根据实际网络状况自定义协议参数合规标准，过滤非法数据；</w:t>
            </w:r>
            <w:r>
              <w:rPr>
                <w:rFonts w:hint="eastAsia" w:ascii="Times New Roman" w:hAnsi="Times New Roman" w:cs="宋体"/>
              </w:rPr>
              <w:br w:type="textWrapping"/>
            </w:r>
            <w:r>
              <w:rPr>
                <w:rFonts w:hint="eastAsia" w:ascii="Times New Roman" w:hAnsi="Times New Roman" w:cs="宋体"/>
              </w:rPr>
              <w:t>支持 Web 业务控制防御功能，提供内网代理的防护功能；（提供国家权威机构的检测报告）</w:t>
            </w:r>
            <w:r>
              <w:rPr>
                <w:rFonts w:hint="eastAsia" w:ascii="Times New Roman" w:hAnsi="Times New Roman" w:cs="宋体"/>
              </w:rPr>
              <w:br w:type="textWrapping"/>
            </w:r>
            <w:r>
              <w:rPr>
                <w:rFonts w:hint="eastAsia" w:ascii="Times New Roman" w:hAnsi="Times New Roman" w:cs="宋体"/>
              </w:rPr>
              <w:t>支持独立的审计日志、安全防护日志、访问日志、外联日志、防篡改日志、入侵防护日志、DDoS 防护日志等模块；</w:t>
            </w:r>
            <w:r>
              <w:rPr>
                <w:rFonts w:hint="eastAsia" w:ascii="Times New Roman" w:hAnsi="Times New Roman" w:cs="宋体"/>
              </w:rPr>
              <w:br w:type="textWrapping"/>
            </w:r>
            <w:r>
              <w:rPr>
                <w:rFonts w:hint="eastAsia" w:ascii="Times New Roman" w:hAnsi="Times New Roman" w:cs="宋体"/>
              </w:rPr>
              <w:t>具有工业和信息化部颁发的电信设备进网许可证，提供复印件；</w:t>
            </w:r>
            <w:r>
              <w:rPr>
                <w:rFonts w:hint="eastAsia" w:ascii="Times New Roman" w:hAnsi="Times New Roman" w:cs="宋体"/>
              </w:rPr>
              <w:br w:type="textWrapping"/>
            </w:r>
            <w:r>
              <w:rPr>
                <w:rFonts w:hint="eastAsia" w:ascii="Times New Roman" w:hAnsi="Times New Roman" w:cs="宋体"/>
              </w:rPr>
              <w:t>配置 WEB 防火墙特征库≥3 年；保护网站站点数量无限制；</w:t>
            </w:r>
          </w:p>
        </w:tc>
        <w:tc>
          <w:tcPr>
            <w:tcW w:w="336" w:type="pct"/>
            <w:vAlign w:val="center"/>
          </w:tcPr>
          <w:p w14:paraId="05279446">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73E4534D">
            <w:pPr>
              <w:spacing w:line="320" w:lineRule="exact"/>
              <w:rPr>
                <w:rFonts w:ascii="Times New Roman" w:hAnsi="Times New Roman" w:cs="宋体"/>
              </w:rPr>
            </w:pPr>
            <w:r>
              <w:rPr>
                <w:rFonts w:hint="eastAsia" w:ascii="Times New Roman" w:hAnsi="Times New Roman" w:cs="宋体"/>
              </w:rPr>
              <w:t>1</w:t>
            </w:r>
          </w:p>
        </w:tc>
      </w:tr>
      <w:tr w14:paraId="6E5C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08CF1775">
            <w:pPr>
              <w:spacing w:line="320" w:lineRule="exact"/>
              <w:rPr>
                <w:rFonts w:ascii="Times New Roman" w:hAnsi="Times New Roman" w:cs="宋体"/>
              </w:rPr>
            </w:pPr>
            <w:r>
              <w:rPr>
                <w:rFonts w:hint="eastAsia" w:ascii="Times New Roman" w:hAnsi="Times New Roman" w:cs="宋体"/>
              </w:rPr>
              <w:t>10</w:t>
            </w:r>
          </w:p>
        </w:tc>
        <w:tc>
          <w:tcPr>
            <w:tcW w:w="537" w:type="pct"/>
            <w:vAlign w:val="center"/>
          </w:tcPr>
          <w:p w14:paraId="29220507">
            <w:pPr>
              <w:spacing w:line="320" w:lineRule="exact"/>
              <w:rPr>
                <w:rFonts w:ascii="Times New Roman" w:hAnsi="Times New Roman" w:cs="宋体"/>
              </w:rPr>
            </w:pPr>
            <w:r>
              <w:rPr>
                <w:rFonts w:hint="eastAsia" w:ascii="Times New Roman" w:hAnsi="Times New Roman" w:cs="宋体"/>
              </w:rPr>
              <w:t>备份一体机</w:t>
            </w:r>
          </w:p>
        </w:tc>
        <w:tc>
          <w:tcPr>
            <w:tcW w:w="3491" w:type="pct"/>
            <w:vAlign w:val="center"/>
          </w:tcPr>
          <w:p w14:paraId="688E6856">
            <w:pPr>
              <w:spacing w:line="320" w:lineRule="exact"/>
              <w:rPr>
                <w:rFonts w:ascii="Times New Roman" w:hAnsi="Times New Roman" w:cs="宋体"/>
              </w:rPr>
            </w:pPr>
            <w:r>
              <w:rPr>
                <w:rFonts w:hint="eastAsia" w:ascii="Times New Roman" w:hAnsi="Times New Roman" w:cs="宋体"/>
              </w:rPr>
              <w:t>配置处理器≥2颗，核数≥10核，配置内存≥256GB，配置千兆电口≥2个，配置万兆光口≥2个(含模块)；</w:t>
            </w:r>
            <w:r>
              <w:rPr>
                <w:rFonts w:hint="eastAsia" w:ascii="Times New Roman" w:hAnsi="Times New Roman" w:cs="宋体"/>
              </w:rPr>
              <w:br w:type="textWrapping"/>
            </w:r>
            <w:r>
              <w:rPr>
                <w:rFonts w:hint="eastAsia" w:ascii="Times New Roman" w:hAnsi="Times New Roman" w:cs="宋体"/>
              </w:rPr>
              <w:t>配置内存≥256GB，配置备份容量≥96TB，配置备份授权≥96TB，配置系统盘容量≥960GB；</w:t>
            </w:r>
            <w:r>
              <w:rPr>
                <w:rFonts w:hint="eastAsia" w:ascii="Times New Roman" w:hAnsi="Times New Roman" w:cs="宋体"/>
              </w:rPr>
              <w:br w:type="textWrapping"/>
            </w:r>
            <w:r>
              <w:rPr>
                <w:rFonts w:hint="eastAsia" w:ascii="Times New Roman" w:hAnsi="Times New Roman" w:cs="宋体"/>
              </w:rPr>
              <w:t>支持Windows/Linux/Unix客户端推送安装，对于Linux与Unix平台使用同一个推送服务器，无需搭建两个平台；</w:t>
            </w:r>
            <w:r>
              <w:rPr>
                <w:rFonts w:hint="eastAsia" w:ascii="Times New Roman" w:hAnsi="Times New Roman" w:cs="宋体"/>
              </w:rPr>
              <w:br w:type="textWrapping"/>
            </w:r>
            <w:r>
              <w:rPr>
                <w:rFonts w:hint="eastAsia" w:ascii="Times New Roman" w:hAnsi="Times New Roman" w:cs="宋体"/>
              </w:rPr>
              <w:t>要求提供中文管理界面，提供方便灵活的全图形化工具来完成备份、恢复、监控、报表等操作；</w:t>
            </w:r>
            <w:r>
              <w:rPr>
                <w:rFonts w:hint="eastAsia" w:ascii="Times New Roman" w:hAnsi="Times New Roman" w:cs="宋体"/>
              </w:rPr>
              <w:br w:type="textWrapping"/>
            </w:r>
            <w:r>
              <w:rPr>
                <w:rFonts w:hint="eastAsia" w:ascii="Times New Roman" w:hAnsi="Times New Roman" w:cs="宋体"/>
              </w:rPr>
              <w:t>支持Oracle RAC、ODG Standby以及Catalog数据库备份，以及Oracle Duplicate 功能；</w:t>
            </w:r>
            <w:r>
              <w:rPr>
                <w:rFonts w:hint="eastAsia" w:ascii="Times New Roman" w:hAnsi="Times New Roman" w:cs="宋体"/>
              </w:rPr>
              <w:br w:type="textWrapping"/>
            </w:r>
            <w:r>
              <w:rPr>
                <w:rFonts w:hint="eastAsia" w:ascii="Times New Roman" w:hAnsi="Times New Roman" w:cs="宋体"/>
              </w:rPr>
              <w:t>支持SAP HANA、SAP R3（SAP NetWeaver）、SAP MAXDB、MYSQL、PostgreSQL、PostgreSQLPro、Oracle、Sybase、DB2、SQL Server、Informix等数据库热备份；对以上数据库可以实现自识别集成备份，无需借助第三方工具或定制脚本；</w:t>
            </w:r>
            <w:r>
              <w:rPr>
                <w:rFonts w:hint="eastAsia" w:ascii="Times New Roman" w:hAnsi="Times New Roman" w:cs="宋体"/>
              </w:rPr>
              <w:br w:type="textWrapping"/>
            </w:r>
            <w:r>
              <w:rPr>
                <w:rFonts w:hint="eastAsia" w:ascii="Times New Roman" w:hAnsi="Times New Roman" w:cs="宋体"/>
              </w:rPr>
              <w:t>配置海量小文件卷级备份功能，在备份拥有大量小文件的文件系统时，可以对文件系统进行逻辑卷块级备份，并能从中恢复单个文件；</w:t>
            </w:r>
            <w:r>
              <w:rPr>
                <w:rFonts w:hint="eastAsia" w:ascii="Times New Roman" w:hAnsi="Times New Roman" w:cs="宋体"/>
              </w:rPr>
              <w:br w:type="textWrapping"/>
            </w:r>
            <w:r>
              <w:rPr>
                <w:rFonts w:hint="eastAsia" w:ascii="Times New Roman" w:hAnsi="Times New Roman" w:cs="宋体"/>
              </w:rPr>
              <w:t>支持Vmware，Hyper-V，KVM等虚拟化平台的无代理备份，无需在宿主机与虚拟机中安装备份客户端；</w:t>
            </w:r>
            <w:r>
              <w:rPr>
                <w:rFonts w:hint="eastAsia" w:ascii="Times New Roman" w:hAnsi="Times New Roman" w:cs="宋体"/>
              </w:rPr>
              <w:br w:type="textWrapping"/>
            </w:r>
            <w:r>
              <w:rPr>
                <w:rFonts w:hint="eastAsia" w:ascii="Times New Roman" w:hAnsi="Times New Roman" w:cs="宋体"/>
              </w:rPr>
              <w:t>支持备份策略的计划任务冲突检查，支持备份策略的优先级执行功能；</w:t>
            </w:r>
            <w:r>
              <w:rPr>
                <w:rFonts w:hint="eastAsia" w:ascii="Times New Roman" w:hAnsi="Times New Roman" w:cs="宋体"/>
              </w:rPr>
              <w:br w:type="textWrapping"/>
            </w:r>
            <w:r>
              <w:rPr>
                <w:rFonts w:hint="eastAsia" w:ascii="Times New Roman" w:hAnsi="Times New Roman" w:cs="宋体"/>
              </w:rPr>
              <w:t>支持断点续备功能，支持备份时由于各种原因备份中断，而再进行备份时从中断处继续执行；</w:t>
            </w:r>
            <w:r>
              <w:rPr>
                <w:rFonts w:hint="eastAsia" w:ascii="Times New Roman" w:hAnsi="Times New Roman" w:cs="宋体"/>
              </w:rPr>
              <w:br w:type="textWrapping"/>
            </w:r>
            <w:r>
              <w:rPr>
                <w:rFonts w:hint="eastAsia" w:ascii="Times New Roman" w:hAnsi="Times New Roman" w:cs="宋体"/>
              </w:rPr>
              <w:t>通过同一界面，通过关键字对备份介质中文件进行索引，并可以快速恢复。并支持通配符；</w:t>
            </w:r>
            <w:r>
              <w:rPr>
                <w:rFonts w:hint="eastAsia" w:ascii="Times New Roman" w:hAnsi="Times New Roman" w:cs="宋体"/>
              </w:rPr>
              <w:br w:type="textWrapping"/>
            </w:r>
            <w:r>
              <w:rPr>
                <w:rFonts w:hint="eastAsia" w:ascii="Times New Roman" w:hAnsi="Times New Roman" w:cs="宋体"/>
              </w:rPr>
              <w:t>投标产品具备网络关键设备和网络安全专用产品安全认证证书；提供证书复印件</w:t>
            </w:r>
          </w:p>
        </w:tc>
        <w:tc>
          <w:tcPr>
            <w:tcW w:w="336" w:type="pct"/>
            <w:vAlign w:val="center"/>
          </w:tcPr>
          <w:p w14:paraId="306D2EEF">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683701A0">
            <w:pPr>
              <w:spacing w:line="320" w:lineRule="exact"/>
              <w:rPr>
                <w:rFonts w:ascii="Times New Roman" w:hAnsi="Times New Roman" w:cs="宋体"/>
              </w:rPr>
            </w:pPr>
            <w:r>
              <w:rPr>
                <w:rFonts w:hint="eastAsia" w:ascii="Times New Roman" w:hAnsi="Times New Roman" w:cs="宋体"/>
              </w:rPr>
              <w:t>1</w:t>
            </w:r>
          </w:p>
        </w:tc>
      </w:tr>
      <w:tr w14:paraId="0569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1F057819">
            <w:pPr>
              <w:spacing w:line="320" w:lineRule="exact"/>
              <w:rPr>
                <w:rFonts w:ascii="Times New Roman" w:hAnsi="Times New Roman" w:cs="宋体"/>
              </w:rPr>
            </w:pPr>
            <w:r>
              <w:rPr>
                <w:rFonts w:hint="eastAsia" w:ascii="Times New Roman" w:hAnsi="Times New Roman" w:cs="宋体"/>
              </w:rPr>
              <w:t>11</w:t>
            </w:r>
          </w:p>
        </w:tc>
        <w:tc>
          <w:tcPr>
            <w:tcW w:w="537" w:type="pct"/>
            <w:vAlign w:val="center"/>
          </w:tcPr>
          <w:p w14:paraId="13FC4C1E">
            <w:pPr>
              <w:spacing w:line="320" w:lineRule="exact"/>
              <w:rPr>
                <w:rFonts w:ascii="Times New Roman" w:hAnsi="Times New Roman" w:cs="宋体"/>
              </w:rPr>
            </w:pPr>
            <w:r>
              <w:rPr>
                <w:rFonts w:hint="eastAsia" w:ascii="Times New Roman" w:hAnsi="Times New Roman" w:cs="宋体"/>
              </w:rPr>
              <w:t>超融合软件</w:t>
            </w:r>
          </w:p>
        </w:tc>
        <w:tc>
          <w:tcPr>
            <w:tcW w:w="3491" w:type="pct"/>
            <w:vAlign w:val="center"/>
          </w:tcPr>
          <w:p w14:paraId="5BFA6AB8">
            <w:pPr>
              <w:spacing w:line="320" w:lineRule="exact"/>
              <w:rPr>
                <w:rFonts w:hint="eastAsia" w:ascii="Times New Roman" w:hAnsi="Times New Roman" w:cs="宋体"/>
              </w:rPr>
            </w:pPr>
            <w:r>
              <w:rPr>
                <w:rFonts w:hint="eastAsia" w:ascii="Times New Roman" w:hAnsi="Times New Roman" w:cs="宋体"/>
              </w:rPr>
              <w:t>▲</w:t>
            </w:r>
            <w:r>
              <w:rPr>
                <w:rFonts w:ascii="Times New Roman" w:hAnsi="Times New Roman" w:cs="宋体"/>
              </w:rPr>
              <w:t>兼容性要求：要求与现网超融合</w:t>
            </w:r>
            <w:r>
              <w:rPr>
                <w:rFonts w:hint="eastAsia" w:ascii="Times New Roman" w:hAnsi="Times New Roman" w:cs="宋体"/>
              </w:rPr>
              <w:t>集群</w:t>
            </w:r>
            <w:r>
              <w:rPr>
                <w:rFonts w:ascii="Times New Roman" w:hAnsi="Times New Roman" w:cs="宋体"/>
              </w:rPr>
              <w:t>纳入统一集群，实现统一资源分配和调度；（提供制造商兼容性承诺函）</w:t>
            </w:r>
          </w:p>
          <w:p w14:paraId="56C0B96A">
            <w:pPr>
              <w:spacing w:line="320" w:lineRule="exact"/>
              <w:rPr>
                <w:rFonts w:hint="eastAsia" w:ascii="Times New Roman" w:hAnsi="Times New Roman" w:cs="宋体"/>
              </w:rPr>
            </w:pPr>
            <w:r>
              <w:rPr>
                <w:rFonts w:hint="eastAsia" w:ascii="Times New Roman" w:hAnsi="Times New Roman" w:cs="宋体"/>
              </w:rPr>
              <w:t>国产品牌，要求超融合硬件服务器、交换机、计算虚拟化软件、存储虚拟化SDS软件、网络虚拟化NFV软件同一品牌且完全自主研发；提供软件著作权证书；</w:t>
            </w:r>
          </w:p>
          <w:p w14:paraId="3A960E58">
            <w:pPr>
              <w:spacing w:line="320" w:lineRule="exact"/>
              <w:rPr>
                <w:rFonts w:hint="eastAsia" w:ascii="Times New Roman" w:hAnsi="Times New Roman" w:cs="宋体"/>
              </w:rPr>
            </w:pPr>
            <w:r>
              <w:rPr>
                <w:rFonts w:hint="eastAsia" w:ascii="Times New Roman" w:hAnsi="Times New Roman" w:cs="宋体"/>
              </w:rPr>
              <w:t>支持在通用的X86、ARM架构服务器上安装超融合软件，支持飞腾、鲲鹏等业界主流的ARM平台，并且可以与原有的×86系统混合部署、统一管理；</w:t>
            </w:r>
          </w:p>
          <w:p w14:paraId="29B122F5">
            <w:pPr>
              <w:spacing w:line="320" w:lineRule="exact"/>
              <w:rPr>
                <w:rFonts w:hint="eastAsia" w:ascii="Times New Roman" w:hAnsi="Times New Roman" w:cs="宋体"/>
              </w:rPr>
            </w:pPr>
            <w:r>
              <w:rPr>
                <w:rFonts w:hint="eastAsia" w:ascii="Times New Roman" w:hAnsi="Times New Roman" w:cs="宋体"/>
              </w:rPr>
              <w:t>在统一的超融合管理平台上即可实现对计算、存储、网络、安全等资源的统一管理运维，无需界面跳转即可实现全部操作，简化运维工作，降低运维成本；</w:t>
            </w:r>
          </w:p>
          <w:p w14:paraId="0B96D471">
            <w:pPr>
              <w:spacing w:line="320" w:lineRule="exact"/>
              <w:rPr>
                <w:rFonts w:hint="eastAsia" w:ascii="Times New Roman" w:hAnsi="Times New Roman" w:cs="宋体"/>
              </w:rPr>
            </w:pPr>
            <w:r>
              <w:rPr>
                <w:rFonts w:hint="eastAsia" w:ascii="Times New Roman" w:hAnsi="Times New Roman" w:cs="宋体"/>
              </w:rPr>
              <w:t>支持健康巡检功能，快速查看超融合系统健康情况，包括总体健康状况、集群健康状况、存储健康状况、网络健康状况、告警信息状况和其它配置信息，可自定义检测项；</w:t>
            </w:r>
          </w:p>
          <w:p w14:paraId="3460B8CF">
            <w:pPr>
              <w:spacing w:line="320" w:lineRule="exact"/>
              <w:rPr>
                <w:rFonts w:hint="eastAsia" w:ascii="Times New Roman" w:hAnsi="Times New Roman" w:cs="宋体"/>
              </w:rPr>
            </w:pPr>
            <w:r>
              <w:rPr>
                <w:rFonts w:hint="eastAsia" w:ascii="Times New Roman" w:hAnsi="Times New Roman" w:cs="宋体"/>
              </w:rPr>
              <w:t>支持用户自定义性能图表并指定对象，对CPU利用率、内存利用率、 带宽、IOPS、时延、磁盘利用率、存储池利用率等进行统计；提供软件界面截图证明</w:t>
            </w:r>
          </w:p>
          <w:p w14:paraId="7D9EBB28">
            <w:pPr>
              <w:spacing w:line="320" w:lineRule="exact"/>
              <w:rPr>
                <w:rFonts w:hint="eastAsia" w:ascii="Times New Roman" w:hAnsi="Times New Roman" w:cs="宋体"/>
              </w:rPr>
            </w:pPr>
            <w:r>
              <w:rPr>
                <w:rFonts w:hint="eastAsia" w:ascii="Times New Roman" w:hAnsi="Times New Roman" w:cs="宋体"/>
              </w:rPr>
              <w:t>支持使用一键鼠标按钮分析虚拟机、主机历史资源使用情况，提供规划决策数据支撑；（提供产品功能截图）</w:t>
            </w:r>
          </w:p>
          <w:p w14:paraId="4D7EE531">
            <w:pPr>
              <w:spacing w:line="320" w:lineRule="exact"/>
              <w:rPr>
                <w:rFonts w:hint="eastAsia" w:ascii="Times New Roman" w:hAnsi="Times New Roman" w:cs="宋体"/>
              </w:rPr>
            </w:pPr>
            <w:r>
              <w:rPr>
                <w:rFonts w:hint="eastAsia" w:ascii="Times New Roman" w:hAnsi="Times New Roman" w:cs="宋体"/>
              </w:rPr>
              <w:t>支持使用一键鼠标按钮还原虚拟机到指定还原点状态，基于备份功能，虚机误删不影响还原功能，降低人为误操作带来的损失；（提供测试报告证明）</w:t>
            </w:r>
          </w:p>
          <w:p w14:paraId="182B65CA">
            <w:pPr>
              <w:spacing w:line="320" w:lineRule="exact"/>
              <w:rPr>
                <w:rFonts w:hint="eastAsia" w:ascii="Times New Roman" w:hAnsi="Times New Roman" w:cs="宋体"/>
              </w:rPr>
            </w:pPr>
            <w:r>
              <w:rPr>
                <w:rFonts w:hint="eastAsia" w:ascii="Times New Roman" w:hAnsi="Times New Roman" w:cs="宋体"/>
              </w:rPr>
              <w:t>支持虚拟机桌面预览功能，无需登录虚拟机即可在虚拟化管理平台上看到虚拟机当前桌面的状态；（提供测试报告证明）</w:t>
            </w:r>
          </w:p>
          <w:p w14:paraId="53ECB9D1">
            <w:pPr>
              <w:spacing w:line="320" w:lineRule="exact"/>
              <w:rPr>
                <w:rFonts w:hint="eastAsia" w:ascii="Times New Roman" w:hAnsi="Times New Roman" w:cs="宋体"/>
              </w:rPr>
            </w:pPr>
            <w:r>
              <w:rPr>
                <w:rFonts w:hint="eastAsia" w:ascii="Times New Roman" w:hAnsi="Times New Roman" w:cs="宋体"/>
              </w:rPr>
              <w:t>支持对整个平台虚拟设备实现统一的管理，虚拟化WEB管理平台可以完成网络拓扑的构建，支持在管理平台上连接、开启、关闭各类虚拟设备，拓扑呈现业务流量信息，所画即所得，方便运维管理；（提供产品功能截图）</w:t>
            </w:r>
          </w:p>
          <w:p w14:paraId="3BA1730C">
            <w:pPr>
              <w:spacing w:line="320" w:lineRule="exact"/>
              <w:rPr>
                <w:rFonts w:hint="eastAsia" w:ascii="Times New Roman" w:hAnsi="Times New Roman" w:cs="宋体"/>
              </w:rPr>
            </w:pPr>
            <w:r>
              <w:rPr>
                <w:rFonts w:hint="eastAsia" w:ascii="Times New Roman" w:hAnsi="Times New Roman" w:cs="宋体"/>
              </w:rPr>
              <w:t>在超融合管理平台管理界面上提供虚拟机启动、暂停、恢复、休眠、重启、关闭、克隆、迁移、删除、快照等功能的批量操作；</w:t>
            </w:r>
          </w:p>
          <w:p w14:paraId="3BC77152">
            <w:pPr>
              <w:spacing w:line="320" w:lineRule="exact"/>
              <w:rPr>
                <w:rFonts w:hint="eastAsia" w:ascii="Times New Roman" w:hAnsi="Times New Roman" w:cs="宋体"/>
              </w:rPr>
            </w:pPr>
            <w:r>
              <w:rPr>
                <w:rFonts w:hint="eastAsia" w:ascii="Times New Roman" w:hAnsi="Times New Roman" w:cs="宋体"/>
              </w:rPr>
              <w:t>支持使用一键鼠标按钮快速查看、启动、删除、批量启动和批量删除长时间未使用且处于关闭状态的虚拟机，进行资源利用率统计，降低运维工作量与难度，保障投资；</w:t>
            </w:r>
          </w:p>
          <w:p w14:paraId="6D532815">
            <w:pPr>
              <w:spacing w:line="320" w:lineRule="exact"/>
              <w:rPr>
                <w:rFonts w:hint="eastAsia" w:ascii="Times New Roman" w:hAnsi="Times New Roman" w:cs="宋体"/>
              </w:rPr>
            </w:pPr>
            <w:r>
              <w:rPr>
                <w:rFonts w:hint="eastAsia" w:ascii="Times New Roman" w:hAnsi="Times New Roman" w:cs="宋体"/>
              </w:rPr>
              <w:t>支持集群CPU利用率、内存利用率、共享存储利用率、共享存储吞吐量、共享存储IOPS告警设置；</w:t>
            </w:r>
          </w:p>
          <w:p w14:paraId="2A35B0E8">
            <w:pPr>
              <w:spacing w:line="320" w:lineRule="exact"/>
              <w:rPr>
                <w:rFonts w:hint="eastAsia" w:ascii="Times New Roman" w:hAnsi="Times New Roman" w:cs="宋体"/>
              </w:rPr>
            </w:pPr>
            <w:r>
              <w:rPr>
                <w:rFonts w:hint="eastAsia" w:ascii="Times New Roman" w:hAnsi="Times New Roman" w:cs="宋体"/>
              </w:rPr>
              <w:t>提供应用级别的HA功能，无需在虚拟机内部安装代理即可自动检测并可自动修复虚拟机内运行的应用故障，包括但不限于Apache Tomcat、JDK、Apache HTTP Server、MySQL、SQL Server、SharePoint等应用，并支持用户自定义脚本进行应用状态的监控；</w:t>
            </w:r>
          </w:p>
          <w:p w14:paraId="68D070BF">
            <w:pPr>
              <w:spacing w:line="320" w:lineRule="exact"/>
              <w:rPr>
                <w:rFonts w:hint="eastAsia" w:ascii="Times New Roman" w:hAnsi="Times New Roman" w:cs="宋体"/>
              </w:rPr>
            </w:pPr>
            <w:r>
              <w:rPr>
                <w:rFonts w:hint="eastAsia" w:ascii="Times New Roman" w:hAnsi="Times New Roman" w:cs="宋体"/>
              </w:rPr>
              <w:t>支持设置虚拟机网络优先级别，当物理网卡带宽拥塞时，确保高优先级的关键业务能够分配到尽可能多的网络I/O资源；</w:t>
            </w:r>
          </w:p>
          <w:p w14:paraId="1F823FA2">
            <w:pPr>
              <w:spacing w:line="320" w:lineRule="exact"/>
              <w:rPr>
                <w:rFonts w:hint="eastAsia" w:ascii="Times New Roman" w:hAnsi="Times New Roman" w:cs="宋体"/>
              </w:rPr>
            </w:pPr>
            <w:r>
              <w:rPr>
                <w:rFonts w:hint="eastAsia" w:ascii="Times New Roman" w:hAnsi="Times New Roman" w:cs="宋体"/>
              </w:rPr>
              <w:t>虚拟交换机能够作为DHCP Server，为虚拟化环境中的虚拟机自动分配IP地址，并以图形化的方式显示IP地址池分配情况；</w:t>
            </w:r>
          </w:p>
          <w:p w14:paraId="1807CB4A">
            <w:pPr>
              <w:spacing w:line="320" w:lineRule="exact"/>
              <w:rPr>
                <w:rFonts w:ascii="Times New Roman" w:hAnsi="Times New Roman" w:cs="宋体"/>
              </w:rPr>
            </w:pPr>
            <w:r>
              <w:rPr>
                <w:rFonts w:hint="eastAsia" w:ascii="Times New Roman" w:hAnsi="Times New Roman" w:cs="宋体"/>
              </w:rPr>
              <w:t>配置超融合管理软件授权≥</w:t>
            </w:r>
            <w:r>
              <w:rPr>
                <w:rFonts w:ascii="Times New Roman" w:hAnsi="Times New Roman" w:cs="宋体"/>
              </w:rPr>
              <w:t>2</w:t>
            </w:r>
            <w:r>
              <w:rPr>
                <w:rFonts w:hint="eastAsia" w:ascii="Times New Roman" w:hAnsi="Times New Roman" w:cs="宋体"/>
              </w:rPr>
              <w:t>C，配置计算虚拟化软件授权≥</w:t>
            </w:r>
            <w:r>
              <w:rPr>
                <w:rFonts w:ascii="Times New Roman" w:hAnsi="Times New Roman" w:cs="宋体"/>
              </w:rPr>
              <w:t>2</w:t>
            </w:r>
            <w:r>
              <w:rPr>
                <w:rFonts w:hint="eastAsia" w:ascii="Times New Roman" w:hAnsi="Times New Roman" w:cs="宋体"/>
              </w:rPr>
              <w:t>C，配置存储虚拟化软件授权≥</w:t>
            </w:r>
            <w:r>
              <w:rPr>
                <w:rFonts w:ascii="Times New Roman" w:hAnsi="Times New Roman" w:cs="宋体"/>
              </w:rPr>
              <w:t>2</w:t>
            </w:r>
            <w:r>
              <w:rPr>
                <w:rFonts w:hint="eastAsia" w:ascii="Times New Roman" w:hAnsi="Times New Roman" w:cs="宋体"/>
              </w:rPr>
              <w:t>C，配置软件技术支持服务≥3年；</w:t>
            </w:r>
          </w:p>
        </w:tc>
        <w:tc>
          <w:tcPr>
            <w:tcW w:w="336" w:type="pct"/>
            <w:vAlign w:val="center"/>
          </w:tcPr>
          <w:p w14:paraId="2ED4C1BF">
            <w:pPr>
              <w:spacing w:line="320" w:lineRule="exact"/>
              <w:rPr>
                <w:rFonts w:ascii="Times New Roman" w:hAnsi="Times New Roman" w:cs="宋体"/>
              </w:rPr>
            </w:pPr>
          </w:p>
        </w:tc>
        <w:tc>
          <w:tcPr>
            <w:tcW w:w="304" w:type="pct"/>
            <w:vAlign w:val="center"/>
          </w:tcPr>
          <w:p w14:paraId="030D0B9B">
            <w:pPr>
              <w:spacing w:line="320" w:lineRule="exact"/>
              <w:rPr>
                <w:rFonts w:ascii="Times New Roman" w:hAnsi="Times New Roman" w:cs="宋体"/>
              </w:rPr>
            </w:pPr>
            <w:r>
              <w:rPr>
                <w:rFonts w:hint="eastAsia" w:ascii="Times New Roman" w:hAnsi="Times New Roman" w:cs="宋体"/>
              </w:rPr>
              <w:t>1</w:t>
            </w:r>
          </w:p>
        </w:tc>
      </w:tr>
      <w:tr w14:paraId="26AD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30214952">
            <w:pPr>
              <w:spacing w:line="320" w:lineRule="exact"/>
              <w:rPr>
                <w:rFonts w:ascii="Times New Roman" w:hAnsi="Times New Roman" w:cs="宋体"/>
              </w:rPr>
            </w:pPr>
            <w:r>
              <w:rPr>
                <w:rFonts w:hint="eastAsia" w:ascii="Times New Roman" w:hAnsi="Times New Roman" w:cs="宋体"/>
              </w:rPr>
              <w:t>12</w:t>
            </w:r>
          </w:p>
        </w:tc>
        <w:tc>
          <w:tcPr>
            <w:tcW w:w="537" w:type="pct"/>
            <w:vAlign w:val="center"/>
          </w:tcPr>
          <w:p w14:paraId="236B4FE8">
            <w:pPr>
              <w:spacing w:line="320" w:lineRule="exact"/>
              <w:rPr>
                <w:rFonts w:ascii="Times New Roman" w:hAnsi="Times New Roman" w:cs="宋体"/>
              </w:rPr>
            </w:pPr>
            <w:r>
              <w:rPr>
                <w:rFonts w:hint="eastAsia" w:ascii="Times New Roman" w:hAnsi="Times New Roman" w:cs="宋体"/>
              </w:rPr>
              <w:t>超融合服务器</w:t>
            </w:r>
          </w:p>
        </w:tc>
        <w:tc>
          <w:tcPr>
            <w:tcW w:w="3491" w:type="pct"/>
            <w:vAlign w:val="center"/>
          </w:tcPr>
          <w:p w14:paraId="29E74C17">
            <w:pPr>
              <w:spacing w:line="320" w:lineRule="exact"/>
              <w:rPr>
                <w:rFonts w:hint="eastAsia" w:ascii="Times New Roman" w:hAnsi="Times New Roman" w:cs="宋体"/>
              </w:rPr>
            </w:pPr>
            <w:r>
              <w:rPr>
                <w:rFonts w:hint="eastAsia" w:ascii="Times New Roman" w:hAnsi="Times New Roman" w:cs="宋体"/>
              </w:rPr>
              <w:t>2U标准机架式服务器，配置原厂安装导轨；</w:t>
            </w:r>
          </w:p>
          <w:p w14:paraId="295ED5EA">
            <w:pPr>
              <w:spacing w:line="320" w:lineRule="exact"/>
              <w:rPr>
                <w:rFonts w:hint="eastAsia" w:ascii="Times New Roman" w:hAnsi="Times New Roman" w:cs="宋体"/>
              </w:rPr>
            </w:pPr>
            <w:r>
              <w:rPr>
                <w:rFonts w:hint="eastAsia" w:ascii="Times New Roman" w:hAnsi="Times New Roman" w:cs="宋体"/>
              </w:rPr>
              <w:t>配置国产处理器≥2颗，主频≥2.2GHz，单颗CPU物理核数≥12核；</w:t>
            </w:r>
          </w:p>
          <w:p w14:paraId="36413764">
            <w:pPr>
              <w:spacing w:line="320" w:lineRule="exact"/>
              <w:rPr>
                <w:rFonts w:hint="eastAsia" w:ascii="Times New Roman" w:hAnsi="Times New Roman" w:cs="宋体"/>
              </w:rPr>
            </w:pPr>
            <w:r>
              <w:rPr>
                <w:rFonts w:hint="eastAsia" w:ascii="Times New Roman" w:hAnsi="Times New Roman" w:cs="宋体"/>
              </w:rPr>
              <w:t>配置32GB 2Rx4 DDR4-3200内存≥8根 ，配置内存槽位≥24个；</w:t>
            </w:r>
          </w:p>
          <w:p w14:paraId="7EF6D8CE">
            <w:pPr>
              <w:spacing w:line="320" w:lineRule="exact"/>
              <w:rPr>
                <w:rFonts w:hint="eastAsia" w:ascii="Times New Roman" w:hAnsi="Times New Roman" w:cs="宋体"/>
              </w:rPr>
            </w:pPr>
            <w:r>
              <w:rPr>
                <w:rFonts w:hint="eastAsia" w:ascii="Times New Roman" w:hAnsi="Times New Roman" w:cs="宋体"/>
              </w:rPr>
              <w:t>配置480GB 6G SSD硬盘≥2块，配置960GB PCIe NVMe SSD硬盘≥2块，配置8TB 6G SATA硬盘≥8块；</w:t>
            </w:r>
          </w:p>
          <w:p w14:paraId="5EE8631A">
            <w:pPr>
              <w:spacing w:line="320" w:lineRule="exact"/>
              <w:rPr>
                <w:rFonts w:hint="eastAsia" w:ascii="Times New Roman" w:hAnsi="Times New Roman" w:cs="宋体"/>
              </w:rPr>
            </w:pPr>
            <w:r>
              <w:rPr>
                <w:rFonts w:hint="eastAsia" w:ascii="Times New Roman" w:hAnsi="Times New Roman" w:cs="宋体"/>
              </w:rPr>
              <w:t>配置12Gb 2端口SAS RAID卡≥1块，支持Raid0/1/10/5，缓存≥2GB，配置数据保护模块；</w:t>
            </w:r>
          </w:p>
          <w:p w14:paraId="142EB77C">
            <w:pPr>
              <w:spacing w:line="320" w:lineRule="exact"/>
              <w:rPr>
                <w:rFonts w:ascii="Times New Roman" w:hAnsi="Times New Roman" w:cs="宋体"/>
              </w:rPr>
            </w:pPr>
            <w:r>
              <w:rPr>
                <w:rFonts w:hint="eastAsia" w:ascii="Times New Roman" w:hAnsi="Times New Roman" w:cs="宋体"/>
              </w:rPr>
              <w:t>配置千兆电口≥4个，配置万兆光口≥4个（含光模块），配置</w:t>
            </w:r>
            <w:r>
              <w:rPr>
                <w:rFonts w:ascii="Arial" w:hAnsi="Arial" w:cs="Arial"/>
                <w:color w:val="333333"/>
                <w:szCs w:val="21"/>
                <w:shd w:val="clear" w:color="auto" w:fill="FFFFFF"/>
              </w:rPr>
              <w:t>USB 3.0接口≥5个</w:t>
            </w:r>
            <w:r>
              <w:rPr>
                <w:rFonts w:hint="eastAsia" w:ascii="Times New Roman" w:hAnsi="Times New Roman" w:cs="宋体"/>
              </w:rPr>
              <w:t>；</w:t>
            </w:r>
          </w:p>
          <w:p w14:paraId="43E49EE8">
            <w:pPr>
              <w:spacing w:line="320" w:lineRule="exact"/>
              <w:rPr>
                <w:rFonts w:hint="eastAsia" w:ascii="Times New Roman" w:hAnsi="Times New Roman" w:cs="宋体"/>
              </w:rPr>
            </w:pPr>
            <w:r>
              <w:rPr>
                <w:rFonts w:hint="eastAsia" w:ascii="Times New Roman" w:hAnsi="Times New Roman" w:cs="宋体"/>
              </w:rPr>
              <w:t>支持PCIe 3.0可用插槽</w:t>
            </w:r>
            <w:r>
              <w:rPr>
                <w:rFonts w:ascii="Times New Roman" w:hAnsi="Times New Roman" w:cs="宋体"/>
              </w:rPr>
              <w:t>≥10个，</w:t>
            </w:r>
            <w:r>
              <w:rPr>
                <w:rFonts w:ascii="Arial" w:hAnsi="Arial" w:cs="Arial"/>
                <w:color w:val="333333"/>
                <w:szCs w:val="21"/>
                <w:shd w:val="clear" w:color="auto" w:fill="FFFFFF"/>
              </w:rPr>
              <w:t>支持单宽GPU卡≥8个</w:t>
            </w:r>
            <w:r>
              <w:rPr>
                <w:rFonts w:hint="eastAsia" w:ascii="Times New Roman" w:hAnsi="Times New Roman" w:cs="宋体"/>
              </w:rPr>
              <w:t>；（提供证明材料）</w:t>
            </w:r>
          </w:p>
          <w:p w14:paraId="5F41DE1F">
            <w:pPr>
              <w:spacing w:line="320" w:lineRule="exact"/>
              <w:rPr>
                <w:rFonts w:hint="eastAsia" w:ascii="Times New Roman" w:hAnsi="Times New Roman" w:cs="宋体"/>
              </w:rPr>
            </w:pPr>
            <w:r>
              <w:rPr>
                <w:rFonts w:hint="eastAsia" w:ascii="Times New Roman" w:hAnsi="Times New Roman" w:cs="宋体"/>
              </w:rPr>
              <w:t xml:space="preserve">配置800w热插拔交流电源≥2块； </w:t>
            </w:r>
          </w:p>
          <w:p w14:paraId="73D9687C">
            <w:pPr>
              <w:spacing w:line="320" w:lineRule="exact"/>
              <w:rPr>
                <w:rFonts w:ascii="Times New Roman" w:hAnsi="Times New Roman" w:cs="宋体"/>
              </w:rPr>
            </w:pPr>
            <w:r>
              <w:rPr>
                <w:rFonts w:hint="eastAsia" w:ascii="Times New Roman" w:hAnsi="Times New Roman" w:cs="宋体"/>
              </w:rPr>
              <w:t>支持机箱入侵检测，TCM/TPM安全模块；</w:t>
            </w:r>
          </w:p>
        </w:tc>
        <w:tc>
          <w:tcPr>
            <w:tcW w:w="336" w:type="pct"/>
            <w:vAlign w:val="center"/>
          </w:tcPr>
          <w:p w14:paraId="29FF8EF0">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0F447F46">
            <w:pPr>
              <w:spacing w:line="320" w:lineRule="exact"/>
              <w:rPr>
                <w:rFonts w:ascii="Times New Roman" w:hAnsi="Times New Roman" w:cs="宋体"/>
              </w:rPr>
            </w:pPr>
            <w:r>
              <w:rPr>
                <w:rFonts w:hint="eastAsia" w:ascii="Times New Roman" w:hAnsi="Times New Roman" w:cs="宋体"/>
              </w:rPr>
              <w:t>1</w:t>
            </w:r>
          </w:p>
        </w:tc>
      </w:tr>
      <w:tr w14:paraId="45EB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3F124CD4">
            <w:pPr>
              <w:spacing w:line="320" w:lineRule="exact"/>
              <w:rPr>
                <w:rFonts w:ascii="Times New Roman" w:hAnsi="Times New Roman" w:cs="宋体"/>
              </w:rPr>
            </w:pPr>
            <w:r>
              <w:rPr>
                <w:rFonts w:hint="eastAsia" w:ascii="Times New Roman" w:hAnsi="Times New Roman" w:cs="宋体"/>
              </w:rPr>
              <w:t>13</w:t>
            </w:r>
          </w:p>
        </w:tc>
        <w:tc>
          <w:tcPr>
            <w:tcW w:w="537" w:type="pct"/>
            <w:vAlign w:val="center"/>
          </w:tcPr>
          <w:p w14:paraId="371FE240">
            <w:pPr>
              <w:spacing w:line="320" w:lineRule="exact"/>
              <w:rPr>
                <w:rFonts w:ascii="Times New Roman" w:hAnsi="Times New Roman" w:cs="宋体"/>
              </w:rPr>
            </w:pPr>
            <w:r>
              <w:rPr>
                <w:rFonts w:hint="eastAsia" w:ascii="Times New Roman" w:hAnsi="Times New Roman" w:cs="宋体"/>
              </w:rPr>
              <w:t>蓄电池</w:t>
            </w:r>
          </w:p>
        </w:tc>
        <w:tc>
          <w:tcPr>
            <w:tcW w:w="3491" w:type="pct"/>
            <w:vAlign w:val="center"/>
          </w:tcPr>
          <w:p w14:paraId="62624E2B">
            <w:pPr>
              <w:spacing w:line="320" w:lineRule="exact"/>
              <w:rPr>
                <w:rFonts w:ascii="Times New Roman" w:hAnsi="Times New Roman" w:cs="宋体"/>
              </w:rPr>
            </w:pPr>
            <w:r>
              <w:rPr>
                <w:rFonts w:hint="eastAsia" w:ascii="Times New Roman" w:hAnsi="Times New Roman" w:cs="宋体"/>
              </w:rPr>
              <w:t>12V100AH</w:t>
            </w:r>
          </w:p>
        </w:tc>
        <w:tc>
          <w:tcPr>
            <w:tcW w:w="336" w:type="pct"/>
            <w:vAlign w:val="center"/>
          </w:tcPr>
          <w:p w14:paraId="679FE124">
            <w:pPr>
              <w:spacing w:line="320" w:lineRule="exact"/>
              <w:rPr>
                <w:rFonts w:ascii="Times New Roman" w:hAnsi="Times New Roman" w:cs="宋体"/>
              </w:rPr>
            </w:pPr>
            <w:r>
              <w:rPr>
                <w:rFonts w:hint="eastAsia" w:ascii="Times New Roman" w:hAnsi="Times New Roman" w:cs="宋体"/>
              </w:rPr>
              <w:t>节</w:t>
            </w:r>
          </w:p>
        </w:tc>
        <w:tc>
          <w:tcPr>
            <w:tcW w:w="304" w:type="pct"/>
            <w:vAlign w:val="center"/>
          </w:tcPr>
          <w:p w14:paraId="73D05B79">
            <w:pPr>
              <w:spacing w:line="320" w:lineRule="exact"/>
              <w:rPr>
                <w:rFonts w:ascii="Times New Roman" w:hAnsi="Times New Roman" w:cs="宋体"/>
              </w:rPr>
            </w:pPr>
            <w:r>
              <w:rPr>
                <w:rFonts w:hint="eastAsia" w:ascii="Times New Roman" w:hAnsi="Times New Roman" w:cs="宋体"/>
              </w:rPr>
              <w:t>32</w:t>
            </w:r>
          </w:p>
        </w:tc>
      </w:tr>
      <w:tr w14:paraId="3AA2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3AF15275">
            <w:pPr>
              <w:spacing w:line="320" w:lineRule="exact"/>
              <w:rPr>
                <w:rFonts w:ascii="Times New Roman" w:hAnsi="Times New Roman" w:cs="宋体"/>
              </w:rPr>
            </w:pPr>
            <w:r>
              <w:rPr>
                <w:rFonts w:hint="eastAsia" w:ascii="Times New Roman" w:hAnsi="Times New Roman" w:cs="宋体"/>
              </w:rPr>
              <w:t>14</w:t>
            </w:r>
          </w:p>
        </w:tc>
        <w:tc>
          <w:tcPr>
            <w:tcW w:w="537" w:type="pct"/>
            <w:vAlign w:val="center"/>
          </w:tcPr>
          <w:p w14:paraId="534201C5">
            <w:pPr>
              <w:spacing w:line="320" w:lineRule="exact"/>
              <w:rPr>
                <w:rFonts w:ascii="Times New Roman" w:hAnsi="Times New Roman" w:cs="宋体"/>
              </w:rPr>
            </w:pPr>
            <w:r>
              <w:rPr>
                <w:rFonts w:hint="eastAsia" w:ascii="Times New Roman" w:hAnsi="Times New Roman" w:cs="宋体"/>
              </w:rPr>
              <w:t>UPS主机</w:t>
            </w:r>
          </w:p>
        </w:tc>
        <w:tc>
          <w:tcPr>
            <w:tcW w:w="3491" w:type="pct"/>
            <w:vAlign w:val="center"/>
          </w:tcPr>
          <w:p w14:paraId="4CC88C46">
            <w:pPr>
              <w:spacing w:line="320" w:lineRule="exact"/>
              <w:rPr>
                <w:rFonts w:ascii="Times New Roman" w:hAnsi="Times New Roman" w:cs="宋体"/>
              </w:rPr>
            </w:pPr>
            <w:r>
              <w:rPr>
                <w:rFonts w:hint="eastAsia" w:ascii="Times New Roman" w:hAnsi="Times New Roman" w:cs="宋体"/>
              </w:rPr>
              <w:t>10K</w:t>
            </w:r>
            <w:r>
              <w:rPr>
                <w:rFonts w:ascii="Times New Roman" w:hAnsi="Times New Roman" w:cs="宋体"/>
              </w:rPr>
              <w:t xml:space="preserve"> </w:t>
            </w:r>
            <w:r>
              <w:rPr>
                <w:rFonts w:hint="eastAsia" w:ascii="Times New Roman" w:hAnsi="Times New Roman" w:cs="宋体"/>
              </w:rPr>
              <w:t>V</w:t>
            </w:r>
            <w:r>
              <w:rPr>
                <w:rFonts w:ascii="Times New Roman" w:hAnsi="Times New Roman" w:cs="宋体"/>
              </w:rPr>
              <w:t>A</w:t>
            </w:r>
          </w:p>
        </w:tc>
        <w:tc>
          <w:tcPr>
            <w:tcW w:w="336" w:type="pct"/>
            <w:vAlign w:val="center"/>
          </w:tcPr>
          <w:p w14:paraId="4144F462">
            <w:pPr>
              <w:spacing w:line="320" w:lineRule="exact"/>
              <w:rPr>
                <w:rFonts w:ascii="Times New Roman" w:hAnsi="Times New Roman" w:cs="宋体"/>
              </w:rPr>
            </w:pPr>
            <w:r>
              <w:rPr>
                <w:rFonts w:hint="eastAsia" w:ascii="Times New Roman" w:hAnsi="Times New Roman" w:cs="宋体"/>
              </w:rPr>
              <w:t>台</w:t>
            </w:r>
          </w:p>
        </w:tc>
        <w:tc>
          <w:tcPr>
            <w:tcW w:w="304" w:type="pct"/>
            <w:vAlign w:val="center"/>
          </w:tcPr>
          <w:p w14:paraId="35A791FC">
            <w:pPr>
              <w:spacing w:line="320" w:lineRule="exact"/>
              <w:rPr>
                <w:rFonts w:ascii="Times New Roman" w:hAnsi="Times New Roman" w:cs="宋体"/>
              </w:rPr>
            </w:pPr>
            <w:r>
              <w:rPr>
                <w:rFonts w:hint="eastAsia" w:ascii="Times New Roman" w:hAnsi="Times New Roman" w:cs="宋体"/>
              </w:rPr>
              <w:t>1</w:t>
            </w:r>
          </w:p>
        </w:tc>
      </w:tr>
      <w:tr w14:paraId="3C2A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vAlign w:val="center"/>
          </w:tcPr>
          <w:p w14:paraId="7E095F8F">
            <w:pPr>
              <w:spacing w:line="320" w:lineRule="exact"/>
              <w:rPr>
                <w:rFonts w:ascii="Times New Roman" w:hAnsi="Times New Roman" w:cs="宋体"/>
              </w:rPr>
            </w:pPr>
            <w:r>
              <w:rPr>
                <w:rFonts w:hint="eastAsia" w:ascii="Times New Roman" w:hAnsi="Times New Roman" w:cs="宋体"/>
              </w:rPr>
              <w:t>15</w:t>
            </w:r>
          </w:p>
        </w:tc>
        <w:tc>
          <w:tcPr>
            <w:tcW w:w="537" w:type="pct"/>
            <w:vAlign w:val="center"/>
          </w:tcPr>
          <w:p w14:paraId="00C06846">
            <w:pPr>
              <w:spacing w:line="320" w:lineRule="exact"/>
              <w:rPr>
                <w:rFonts w:ascii="Times New Roman" w:hAnsi="Times New Roman" w:cs="宋体"/>
              </w:rPr>
            </w:pPr>
            <w:r>
              <w:rPr>
                <w:rFonts w:hint="eastAsia" w:ascii="Times New Roman" w:hAnsi="Times New Roman" w:cs="宋体"/>
              </w:rPr>
              <w:t>3.0等级评测费</w:t>
            </w:r>
          </w:p>
        </w:tc>
        <w:tc>
          <w:tcPr>
            <w:tcW w:w="3491" w:type="pct"/>
            <w:vAlign w:val="center"/>
          </w:tcPr>
          <w:p w14:paraId="647986FB">
            <w:pPr>
              <w:spacing w:line="320" w:lineRule="exact"/>
              <w:rPr>
                <w:rFonts w:ascii="Times New Roman" w:hAnsi="Times New Roman" w:cs="宋体"/>
              </w:rPr>
            </w:pPr>
            <w:r>
              <w:rPr>
                <w:rFonts w:hint="eastAsia" w:ascii="Times New Roman" w:hAnsi="Times New Roman" w:cs="宋体"/>
              </w:rPr>
              <w:t>由中标单位协助采购方办理测评手续并支付测评费用</w:t>
            </w:r>
          </w:p>
        </w:tc>
        <w:tc>
          <w:tcPr>
            <w:tcW w:w="336" w:type="pct"/>
            <w:vAlign w:val="center"/>
          </w:tcPr>
          <w:p w14:paraId="0C008A5C">
            <w:pPr>
              <w:spacing w:line="320" w:lineRule="exact"/>
              <w:rPr>
                <w:rFonts w:ascii="Times New Roman" w:hAnsi="Times New Roman" w:cs="宋体"/>
              </w:rPr>
            </w:pPr>
            <w:r>
              <w:rPr>
                <w:rFonts w:hint="eastAsia" w:ascii="Times New Roman" w:hAnsi="Times New Roman" w:cs="宋体"/>
              </w:rPr>
              <w:t>年</w:t>
            </w:r>
          </w:p>
        </w:tc>
        <w:tc>
          <w:tcPr>
            <w:tcW w:w="304" w:type="pct"/>
            <w:vAlign w:val="center"/>
          </w:tcPr>
          <w:p w14:paraId="4AF8E7D4">
            <w:pPr>
              <w:spacing w:line="320" w:lineRule="exact"/>
              <w:rPr>
                <w:rFonts w:ascii="Times New Roman" w:hAnsi="Times New Roman" w:cs="宋体"/>
              </w:rPr>
            </w:pPr>
            <w:r>
              <w:rPr>
                <w:rFonts w:hint="eastAsia" w:ascii="Times New Roman" w:hAnsi="Times New Roman" w:cs="宋体"/>
              </w:rPr>
              <w:t>1</w:t>
            </w:r>
          </w:p>
        </w:tc>
      </w:tr>
    </w:tbl>
    <w:p w14:paraId="57EF347F">
      <w:pPr>
        <w:pStyle w:val="16"/>
        <w:keepNext w:val="0"/>
        <w:keepLines w:val="0"/>
        <w:pageBreakBefore w:val="0"/>
        <w:widowControl w:val="0"/>
        <w:kinsoku/>
        <w:wordWrap/>
        <w:overflowPunct/>
        <w:topLinePunct w:val="0"/>
        <w:autoSpaceDE/>
        <w:autoSpaceDN/>
        <w:bidi w:val="0"/>
        <w:adjustRightInd/>
        <w:spacing w:line="440" w:lineRule="exact"/>
        <w:textAlignment w:val="auto"/>
        <w:rPr>
          <w:rFonts w:hint="eastAsia" w:ascii="宋体" w:hAnsi="宋体" w:eastAsia="宋体" w:cs="宋体"/>
          <w:sz w:val="24"/>
          <w:szCs w:val="24"/>
          <w:highlight w:val="none"/>
          <w:lang w:val="en-US" w:eastAsia="zh-CN"/>
        </w:rPr>
      </w:pPr>
    </w:p>
    <w:bookmarkEnd w:id="1693"/>
    <w:bookmarkEnd w:id="1694"/>
    <w:bookmarkEnd w:id="1695"/>
    <w:bookmarkEnd w:id="1696"/>
    <w:bookmarkEnd w:id="1697"/>
    <w:bookmarkEnd w:id="1698"/>
    <w:p w14:paraId="4BA2DA95">
      <w:pPr>
        <w:rPr>
          <w:rFonts w:hint="eastAsia" w:ascii="宋体" w:hAnsi="宋体" w:eastAsia="宋体" w:cs="宋体"/>
          <w:color w:val="auto"/>
          <w:sz w:val="28"/>
          <w:szCs w:val="28"/>
          <w:highlight w:val="none"/>
          <w:lang w:val="en-US" w:eastAsia="zh-CN"/>
        </w:rPr>
      </w:pPr>
      <w:bookmarkStart w:id="1703" w:name="_Toc21826"/>
      <w:r>
        <w:rPr>
          <w:rFonts w:hint="eastAsia" w:ascii="宋体" w:hAnsi="宋体" w:eastAsia="宋体" w:cs="宋体"/>
          <w:color w:val="auto"/>
          <w:sz w:val="28"/>
          <w:szCs w:val="28"/>
          <w:highlight w:val="none"/>
          <w:lang w:val="en-US" w:eastAsia="zh-CN"/>
        </w:rPr>
        <w:br w:type="page"/>
      </w:r>
    </w:p>
    <w:p w14:paraId="7EF9F28A">
      <w:pPr>
        <w:pStyle w:val="4"/>
        <w:pageBreakBefore w:val="0"/>
        <w:kinsoku/>
        <w:wordWrap/>
        <w:overflowPunct/>
        <w:topLinePunct w:val="0"/>
        <w:bidi w:val="0"/>
        <w:spacing w:before="0" w:line="360" w:lineRule="exact"/>
        <w:jc w:val="left"/>
        <w:outlineLvl w:val="1"/>
        <w:rPr>
          <w:rFonts w:hint="eastAsia" w:ascii="宋体" w:hAnsi="宋体" w:eastAsia="宋体" w:cs="宋体"/>
          <w:color w:val="auto"/>
          <w:sz w:val="28"/>
          <w:szCs w:val="28"/>
          <w:highlight w:val="none"/>
          <w:lang w:val="en-US" w:eastAsia="zh-CN"/>
        </w:rPr>
      </w:pPr>
      <w:bookmarkStart w:id="1704" w:name="_Toc19346"/>
      <w:r>
        <w:rPr>
          <w:rFonts w:hint="eastAsia" w:ascii="宋体" w:hAnsi="宋体" w:eastAsia="宋体" w:cs="宋体"/>
          <w:color w:val="auto"/>
          <w:sz w:val="28"/>
          <w:szCs w:val="28"/>
          <w:highlight w:val="none"/>
          <w:lang w:val="en-US" w:eastAsia="zh-CN"/>
        </w:rPr>
        <w:t>二、项目要求：</w:t>
      </w:r>
      <w:bookmarkEnd w:id="1703"/>
      <w:bookmarkEnd w:id="1704"/>
      <w:r>
        <w:rPr>
          <w:rFonts w:hint="eastAsia" w:ascii="宋体" w:hAnsi="宋体" w:eastAsia="宋体" w:cs="宋体"/>
          <w:color w:val="auto"/>
          <w:sz w:val="28"/>
          <w:szCs w:val="28"/>
          <w:highlight w:val="none"/>
          <w:lang w:val="en-US" w:eastAsia="zh-CN"/>
        </w:rPr>
        <w:t xml:space="preserve"> </w:t>
      </w:r>
    </w:p>
    <w:p w14:paraId="73F69CE0">
      <w:pPr>
        <w:pStyle w:val="5"/>
        <w:keepNext w:val="0"/>
        <w:keepLines w:val="0"/>
        <w:pageBreakBefore w:val="0"/>
        <w:widowControl w:val="0"/>
        <w:numPr>
          <w:ilvl w:val="0"/>
          <w:numId w:val="0"/>
        </w:numPr>
        <w:kinsoku/>
        <w:wordWrap/>
        <w:overflowPunct/>
        <w:topLinePunct w:val="0"/>
        <w:autoSpaceDE/>
        <w:autoSpaceDN/>
        <w:bidi w:val="0"/>
        <w:adjustRightInd/>
        <w:spacing w:before="0" w:after="0" w:line="440" w:lineRule="exact"/>
        <w:ind w:left="0" w:leftChars="0"/>
        <w:jc w:val="left"/>
        <w:textAlignment w:val="auto"/>
        <w:outlineLvl w:val="2"/>
        <w:rPr>
          <w:rFonts w:hint="eastAsia" w:ascii="宋体" w:hAnsi="宋体" w:eastAsia="宋体" w:cs="宋体"/>
          <w:b/>
          <w:bCs/>
          <w:color w:val="auto"/>
          <w:kern w:val="2"/>
          <w:sz w:val="24"/>
          <w:szCs w:val="24"/>
          <w:u w:val="none"/>
          <w:lang w:val="en-US" w:eastAsia="zh-CN" w:bidi="ar-SA"/>
        </w:rPr>
      </w:pPr>
      <w:bookmarkStart w:id="1705" w:name="_Toc13207"/>
      <w:r>
        <w:rPr>
          <w:rFonts w:hint="eastAsia" w:ascii="宋体" w:hAnsi="宋体" w:eastAsia="宋体" w:cs="宋体"/>
          <w:b/>
          <w:bCs/>
          <w:color w:val="auto"/>
          <w:kern w:val="2"/>
          <w:sz w:val="24"/>
          <w:szCs w:val="24"/>
          <w:u w:val="none"/>
          <w:lang w:val="en-US" w:eastAsia="zh-CN" w:bidi="ar-SA"/>
        </w:rPr>
        <w:t>（一）所招产品的质量要求</w:t>
      </w:r>
      <w:bookmarkEnd w:id="1705"/>
    </w:p>
    <w:p w14:paraId="5846ECA1">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（1）本项目技术参数均为公共参数，无指向性，投标供应商认为该产品指向某一品牌、某一型号，那么该参数均为参考参数，可以根据技术要求及商务要求自行去选择产品品牌和型号。</w:t>
      </w:r>
    </w:p>
    <w:p w14:paraId="729F881C">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凡技术参数指标执行的国家相关标准、行业标准、地方标准或者其他标准、规范。供应商需要提供投标产品技术支持资料（或证明材料），其中技术支持资料指生产厂家公开发布的印刷资料或检测机构出具的检验报告，若生产厂家公开发布的印刷资料或检测机构出具的检验报告不一致，以检测机构出具的检验报告为准。如供应商技术响应与技术支持资料（或证明材料）不一致，将以技术支持资料（或证明材料）为准。</w:t>
      </w:r>
    </w:p>
    <w:p w14:paraId="00DC8051">
      <w:pPr>
        <w:pStyle w:val="7"/>
        <w:ind w:left="0" w:leftChars="0" w:firstLine="0" w:firstLineChars="0"/>
        <w:rPr>
          <w:rFonts w:hint="eastAsia" w:eastAsia="宋体"/>
          <w:highlight w:val="none"/>
          <w:lang w:val="en-US" w:eastAsia="zh-CN"/>
        </w:rPr>
      </w:pPr>
      <w:r>
        <w:rPr>
          <w:rFonts w:hint="eastAsia"/>
          <w:highlight w:val="none"/>
          <w:lang w:val="en-US" w:eastAsia="zh-CN"/>
        </w:rPr>
        <w:t>（3）</w:t>
      </w:r>
      <w:r>
        <w:rPr>
          <w:rFonts w:hint="eastAsia" w:ascii="宋体" w:hAnsi="宋体" w:eastAsia="宋体" w:cs="宋体"/>
          <w:color w:val="auto"/>
          <w:sz w:val="24"/>
          <w:szCs w:val="24"/>
          <w:highlight w:val="none"/>
          <w:lang w:val="en-US" w:eastAsia="zh-CN"/>
        </w:rPr>
        <w:t>3.0等级评测</w:t>
      </w:r>
      <w:r>
        <w:rPr>
          <w:rFonts w:hint="eastAsia" w:hAnsi="宋体" w:cs="宋体"/>
          <w:color w:val="auto"/>
          <w:sz w:val="24"/>
          <w:szCs w:val="24"/>
          <w:highlight w:val="none"/>
          <w:lang w:val="en-US" w:eastAsia="zh-CN"/>
        </w:rPr>
        <w:t>：须由中标单位协助采购方办理测评手续</w:t>
      </w:r>
      <w:r>
        <w:rPr>
          <w:rFonts w:hint="eastAsia" w:ascii="Times New Roman" w:hAnsi="Times New Roman" w:cs="宋体"/>
        </w:rPr>
        <w:t>并支付测评费用</w:t>
      </w:r>
      <w:r>
        <w:rPr>
          <w:rFonts w:hint="eastAsia" w:ascii="Times New Roman" w:hAnsi="Times New Roman" w:cs="宋体"/>
          <w:lang w:eastAsia="zh-CN"/>
        </w:rPr>
        <w:t>。</w:t>
      </w:r>
    </w:p>
    <w:p w14:paraId="081D1CB2">
      <w:pPr>
        <w:pStyle w:val="7"/>
        <w:ind w:left="0" w:leftChars="0" w:firstLine="0" w:firstLineChars="0"/>
        <w:rPr>
          <w:rFonts w:hint="eastAsia" w:ascii="宋体" w:hAnsi="宋体" w:eastAsia="宋体" w:cs="宋体"/>
          <w:b/>
          <w:bCs/>
          <w:color w:val="auto"/>
          <w:kern w:val="2"/>
          <w:sz w:val="24"/>
          <w:szCs w:val="24"/>
          <w:u w:val="none"/>
          <w:lang w:val="en-US" w:eastAsia="zh-CN" w:bidi="ar-SA"/>
        </w:rPr>
      </w:pPr>
      <w:r>
        <w:rPr>
          <w:rFonts w:hint="eastAsia" w:ascii="宋体" w:hAnsi="宋体" w:eastAsia="宋体" w:cs="宋体"/>
          <w:b/>
          <w:bCs/>
          <w:color w:val="auto"/>
          <w:kern w:val="2"/>
          <w:sz w:val="24"/>
          <w:szCs w:val="24"/>
          <w:u w:val="none"/>
          <w:lang w:val="en-US" w:eastAsia="zh-CN" w:bidi="ar-SA"/>
        </w:rPr>
        <w:t>（二）项目规模和内容</w:t>
      </w:r>
    </w:p>
    <w:p w14:paraId="40CF88DF">
      <w:pPr>
        <w:pStyle w:val="7"/>
        <w:ind w:left="0" w:leftChars="0" w:firstLine="0" w:firstLineChars="0"/>
        <w:rPr>
          <w:rFonts w:hint="eastAsia"/>
          <w:lang w:val="en-US" w:eastAsia="zh-CN"/>
        </w:rPr>
      </w:pPr>
      <w:r>
        <w:rPr>
          <w:rFonts w:hint="eastAsia"/>
          <w:lang w:val="en-US" w:eastAsia="zh-CN"/>
        </w:rPr>
        <w:t>（1）开展等级保护测评、采购防火墙等一批三级等保安全设备，优化数据机房环境、相关配套设施及设备。</w:t>
      </w:r>
    </w:p>
    <w:p w14:paraId="0D08414F">
      <w:pPr>
        <w:pStyle w:val="5"/>
        <w:keepNext w:val="0"/>
        <w:keepLines w:val="0"/>
        <w:pageBreakBefore w:val="0"/>
        <w:widowControl w:val="0"/>
        <w:numPr>
          <w:ilvl w:val="0"/>
          <w:numId w:val="0"/>
        </w:numPr>
        <w:kinsoku/>
        <w:wordWrap/>
        <w:overflowPunct/>
        <w:topLinePunct w:val="0"/>
        <w:autoSpaceDE/>
        <w:autoSpaceDN/>
        <w:bidi w:val="0"/>
        <w:adjustRightInd/>
        <w:spacing w:before="0" w:after="0" w:line="440" w:lineRule="exact"/>
        <w:ind w:left="0" w:leftChars="0"/>
        <w:jc w:val="left"/>
        <w:textAlignment w:val="auto"/>
        <w:outlineLvl w:val="2"/>
        <w:rPr>
          <w:rFonts w:hint="eastAsia" w:ascii="宋体" w:hAnsi="宋体" w:eastAsia="宋体" w:cs="宋体"/>
          <w:b/>
          <w:bCs/>
          <w:color w:val="auto"/>
          <w:kern w:val="2"/>
          <w:sz w:val="24"/>
          <w:szCs w:val="24"/>
          <w:highlight w:val="none"/>
          <w:u w:val="none"/>
          <w:lang w:val="en-US" w:eastAsia="zh-CN" w:bidi="ar-SA"/>
        </w:rPr>
      </w:pPr>
      <w:bookmarkStart w:id="1706" w:name="_Toc15578"/>
      <w:r>
        <w:rPr>
          <w:rFonts w:hint="eastAsia" w:ascii="宋体" w:hAnsi="宋体" w:eastAsia="宋体" w:cs="宋体"/>
          <w:b/>
          <w:bCs/>
          <w:color w:val="auto"/>
          <w:kern w:val="2"/>
          <w:sz w:val="24"/>
          <w:szCs w:val="24"/>
          <w:highlight w:val="none"/>
          <w:u w:val="none"/>
          <w:lang w:val="en-US" w:eastAsia="zh-CN" w:bidi="ar-SA"/>
        </w:rPr>
        <w:t>（</w:t>
      </w:r>
      <w:r>
        <w:rPr>
          <w:rFonts w:hint="eastAsia" w:hAnsi="宋体" w:cs="宋体"/>
          <w:b/>
          <w:bCs/>
          <w:color w:val="auto"/>
          <w:kern w:val="2"/>
          <w:sz w:val="24"/>
          <w:szCs w:val="24"/>
          <w:highlight w:val="none"/>
          <w:u w:val="none"/>
          <w:lang w:val="en-US" w:eastAsia="zh-CN" w:bidi="ar-SA"/>
        </w:rPr>
        <w:t>三</w:t>
      </w:r>
      <w:r>
        <w:rPr>
          <w:rFonts w:hint="eastAsia" w:ascii="宋体" w:hAnsi="宋体" w:eastAsia="宋体" w:cs="宋体"/>
          <w:b/>
          <w:bCs/>
          <w:color w:val="auto"/>
          <w:kern w:val="2"/>
          <w:sz w:val="24"/>
          <w:szCs w:val="24"/>
          <w:highlight w:val="none"/>
          <w:u w:val="none"/>
          <w:lang w:val="en-US" w:eastAsia="zh-CN" w:bidi="ar-SA"/>
        </w:rPr>
        <w:t>）项目的交货期和</w:t>
      </w:r>
      <w:r>
        <w:rPr>
          <w:rFonts w:hint="eastAsia" w:hAnsi="宋体" w:cs="宋体"/>
          <w:b/>
          <w:bCs/>
          <w:color w:val="auto"/>
          <w:kern w:val="2"/>
          <w:sz w:val="24"/>
          <w:szCs w:val="24"/>
          <w:highlight w:val="none"/>
          <w:u w:val="none"/>
          <w:lang w:val="en-US" w:eastAsia="zh-CN" w:bidi="ar-SA"/>
        </w:rPr>
        <w:t>交货地点</w:t>
      </w:r>
      <w:bookmarkEnd w:id="1706"/>
    </w:p>
    <w:p w14:paraId="5FBC417F">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（1）交货期：合同签订后</w:t>
      </w:r>
      <w:r>
        <w:rPr>
          <w:rFonts w:hint="eastAsia" w:ascii="宋体" w:hAnsi="宋体" w:cs="宋体"/>
          <w:b w:val="0"/>
          <w:i w:val="0"/>
          <w:caps w:val="0"/>
          <w:color w:val="auto"/>
          <w:spacing w:val="0"/>
          <w:w w:val="100"/>
          <w:kern w:val="2"/>
          <w:sz w:val="24"/>
          <w:szCs w:val="24"/>
          <w:highlight w:val="none"/>
          <w:lang w:val="en-US" w:eastAsia="zh-CN" w:bidi="ar-SA"/>
        </w:rPr>
        <w:t>15天内，完成供货。</w:t>
      </w:r>
    </w:p>
    <w:p w14:paraId="107FFF82">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（2）交货地点：采购人指定地点。</w:t>
      </w:r>
    </w:p>
    <w:p w14:paraId="5D481E00">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（3）包装和运输：保证设备完好运到指定地点。</w:t>
      </w:r>
    </w:p>
    <w:p w14:paraId="432AB7C0">
      <w:pPr>
        <w:pStyle w:val="5"/>
        <w:keepNext w:val="0"/>
        <w:keepLines w:val="0"/>
        <w:pageBreakBefore w:val="0"/>
        <w:widowControl w:val="0"/>
        <w:numPr>
          <w:ilvl w:val="0"/>
          <w:numId w:val="0"/>
        </w:numPr>
        <w:kinsoku/>
        <w:wordWrap/>
        <w:overflowPunct/>
        <w:topLinePunct w:val="0"/>
        <w:autoSpaceDE/>
        <w:autoSpaceDN/>
        <w:bidi w:val="0"/>
        <w:adjustRightInd/>
        <w:spacing w:before="0" w:after="0" w:line="440" w:lineRule="exact"/>
        <w:ind w:left="0" w:leftChars="0"/>
        <w:jc w:val="left"/>
        <w:textAlignment w:val="auto"/>
        <w:outlineLvl w:val="2"/>
        <w:rPr>
          <w:rFonts w:hint="default" w:ascii="宋体" w:hAnsi="宋体" w:eastAsia="宋体" w:cs="宋体"/>
          <w:b/>
          <w:bCs/>
          <w:color w:val="auto"/>
          <w:kern w:val="2"/>
          <w:sz w:val="24"/>
          <w:szCs w:val="24"/>
          <w:highlight w:val="none"/>
          <w:u w:val="none"/>
          <w:lang w:val="en-US" w:eastAsia="zh-CN" w:bidi="ar-SA"/>
        </w:rPr>
      </w:pPr>
      <w:bookmarkStart w:id="1707" w:name="_Toc22860"/>
      <w:r>
        <w:rPr>
          <w:rFonts w:hint="eastAsia" w:ascii="宋体" w:hAnsi="宋体" w:eastAsia="宋体" w:cs="宋体"/>
          <w:b/>
          <w:bCs/>
          <w:color w:val="auto"/>
          <w:kern w:val="2"/>
          <w:sz w:val="24"/>
          <w:szCs w:val="24"/>
          <w:highlight w:val="none"/>
          <w:u w:val="none"/>
          <w:lang w:val="en-US" w:eastAsia="zh-CN" w:bidi="ar-SA"/>
        </w:rPr>
        <w:t>（</w:t>
      </w:r>
      <w:r>
        <w:rPr>
          <w:rFonts w:hint="eastAsia" w:hAnsi="宋体" w:cs="宋体"/>
          <w:b/>
          <w:bCs/>
          <w:color w:val="auto"/>
          <w:kern w:val="2"/>
          <w:sz w:val="24"/>
          <w:szCs w:val="24"/>
          <w:highlight w:val="none"/>
          <w:u w:val="none"/>
          <w:lang w:val="en-US" w:eastAsia="zh-CN" w:bidi="ar-SA"/>
        </w:rPr>
        <w:t>四</w:t>
      </w:r>
      <w:r>
        <w:rPr>
          <w:rFonts w:hint="eastAsia" w:ascii="宋体" w:hAnsi="宋体" w:eastAsia="宋体" w:cs="宋体"/>
          <w:b/>
          <w:bCs/>
          <w:color w:val="auto"/>
          <w:kern w:val="2"/>
          <w:sz w:val="24"/>
          <w:szCs w:val="24"/>
          <w:highlight w:val="none"/>
          <w:u w:val="none"/>
          <w:lang w:val="en-US" w:eastAsia="zh-CN" w:bidi="ar-SA"/>
        </w:rPr>
        <w:t>）付款方式</w:t>
      </w:r>
      <w:r>
        <w:rPr>
          <w:rFonts w:hint="eastAsia" w:hAnsi="宋体" w:cs="宋体"/>
          <w:b/>
          <w:bCs/>
          <w:color w:val="auto"/>
          <w:kern w:val="2"/>
          <w:sz w:val="24"/>
          <w:szCs w:val="24"/>
          <w:highlight w:val="none"/>
          <w:u w:val="none"/>
          <w:lang w:val="en-US" w:eastAsia="zh-CN" w:bidi="ar-SA"/>
        </w:rPr>
        <w:t>和质保期</w:t>
      </w:r>
      <w:bookmarkEnd w:id="1707"/>
    </w:p>
    <w:p w14:paraId="41F0E70A">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default"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（1）付款方式：</w:t>
      </w:r>
      <w:r>
        <w:rPr>
          <w:rFonts w:hint="eastAsia" w:ascii="宋体" w:hAnsi="宋体" w:cs="宋体"/>
          <w:b w:val="0"/>
          <w:i w:val="0"/>
          <w:caps w:val="0"/>
          <w:color w:val="auto"/>
          <w:spacing w:val="0"/>
          <w:w w:val="100"/>
          <w:kern w:val="2"/>
          <w:sz w:val="24"/>
          <w:szCs w:val="24"/>
          <w:highlight w:val="none"/>
          <w:lang w:val="en-US" w:eastAsia="zh-CN" w:bidi="ar-SA"/>
        </w:rPr>
        <w:t>以签订合同为准。</w:t>
      </w:r>
    </w:p>
    <w:p w14:paraId="66361779">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（2）质保期</w:t>
      </w:r>
      <w:r>
        <w:rPr>
          <w:rFonts w:hint="eastAsia" w:ascii="宋体" w:hAnsi="宋体" w:cs="宋体"/>
          <w:b w:val="0"/>
          <w:i w:val="0"/>
          <w:caps w:val="0"/>
          <w:color w:val="auto"/>
          <w:spacing w:val="0"/>
          <w:w w:val="100"/>
          <w:kern w:val="2"/>
          <w:sz w:val="24"/>
          <w:szCs w:val="24"/>
          <w:highlight w:val="none"/>
          <w:lang w:val="en-US" w:eastAsia="zh-CN" w:bidi="ar-SA"/>
        </w:rPr>
        <w:t>：</w:t>
      </w:r>
      <w:r>
        <w:rPr>
          <w:rFonts w:hint="eastAsia" w:ascii="宋体" w:hAnsi="宋体" w:cs="宋体"/>
          <w:color w:val="auto"/>
          <w:sz w:val="24"/>
          <w:szCs w:val="24"/>
          <w:highlight w:val="none"/>
          <w:lang w:val="en-US" w:eastAsia="zh-CN"/>
        </w:rPr>
        <w:t>硬件质保3年，软件终身免费维护升级</w:t>
      </w:r>
      <w:r>
        <w:rPr>
          <w:rFonts w:hint="eastAsia" w:ascii="宋体" w:hAnsi="宋体" w:eastAsia="宋体" w:cs="宋体"/>
          <w:b w:val="0"/>
          <w:i w:val="0"/>
          <w:caps w:val="0"/>
          <w:color w:val="auto"/>
          <w:spacing w:val="0"/>
          <w:w w:val="100"/>
          <w:kern w:val="2"/>
          <w:sz w:val="24"/>
          <w:szCs w:val="24"/>
          <w:highlight w:val="none"/>
          <w:lang w:val="en-US" w:eastAsia="zh-CN" w:bidi="ar-SA"/>
        </w:rPr>
        <w:t>。</w:t>
      </w:r>
    </w:p>
    <w:p w14:paraId="66E2F28E">
      <w:pPr>
        <w:pStyle w:val="5"/>
        <w:keepNext w:val="0"/>
        <w:keepLines w:val="0"/>
        <w:pageBreakBefore w:val="0"/>
        <w:widowControl w:val="0"/>
        <w:numPr>
          <w:ilvl w:val="0"/>
          <w:numId w:val="0"/>
        </w:numPr>
        <w:kinsoku/>
        <w:wordWrap/>
        <w:overflowPunct/>
        <w:topLinePunct w:val="0"/>
        <w:autoSpaceDE/>
        <w:autoSpaceDN/>
        <w:bidi w:val="0"/>
        <w:adjustRightInd/>
        <w:spacing w:before="0" w:after="0" w:line="440" w:lineRule="exact"/>
        <w:ind w:left="0" w:leftChars="0"/>
        <w:jc w:val="left"/>
        <w:textAlignment w:val="auto"/>
        <w:outlineLvl w:val="2"/>
        <w:rPr>
          <w:rFonts w:hint="eastAsia" w:ascii="宋体" w:hAnsi="宋体" w:eastAsia="宋体" w:cs="宋体"/>
          <w:b/>
          <w:bCs/>
          <w:color w:val="auto"/>
          <w:kern w:val="2"/>
          <w:sz w:val="24"/>
          <w:szCs w:val="24"/>
          <w:highlight w:val="none"/>
          <w:u w:val="none"/>
          <w:lang w:val="en-US" w:eastAsia="zh-CN" w:bidi="ar-SA"/>
        </w:rPr>
      </w:pPr>
      <w:bookmarkStart w:id="1708" w:name="_Toc9905"/>
      <w:r>
        <w:rPr>
          <w:rFonts w:hint="eastAsia" w:ascii="宋体" w:hAnsi="宋体" w:eastAsia="宋体" w:cs="宋体"/>
          <w:b/>
          <w:bCs/>
          <w:color w:val="auto"/>
          <w:kern w:val="2"/>
          <w:sz w:val="24"/>
          <w:szCs w:val="24"/>
          <w:highlight w:val="none"/>
          <w:u w:val="none"/>
          <w:lang w:val="en-US" w:eastAsia="zh-CN" w:bidi="ar-SA"/>
        </w:rPr>
        <w:t>（</w:t>
      </w:r>
      <w:r>
        <w:rPr>
          <w:rFonts w:hint="eastAsia" w:hAnsi="宋体" w:cs="宋体"/>
          <w:b/>
          <w:bCs/>
          <w:color w:val="auto"/>
          <w:kern w:val="2"/>
          <w:sz w:val="24"/>
          <w:szCs w:val="24"/>
          <w:highlight w:val="none"/>
          <w:u w:val="none"/>
          <w:lang w:val="en-US" w:eastAsia="zh-CN" w:bidi="ar-SA"/>
        </w:rPr>
        <w:t>五</w:t>
      </w:r>
      <w:r>
        <w:rPr>
          <w:rFonts w:hint="eastAsia" w:ascii="宋体" w:hAnsi="宋体" w:eastAsia="宋体" w:cs="宋体"/>
          <w:b/>
          <w:bCs/>
          <w:color w:val="auto"/>
          <w:kern w:val="2"/>
          <w:sz w:val="24"/>
          <w:szCs w:val="24"/>
          <w:highlight w:val="none"/>
          <w:u w:val="none"/>
          <w:lang w:val="en-US" w:eastAsia="zh-CN" w:bidi="ar-SA"/>
        </w:rPr>
        <w:t>）售后服务</w:t>
      </w:r>
      <w:bookmarkEnd w:id="1708"/>
    </w:p>
    <w:p w14:paraId="74DD4C90">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（1）供应商须到采购人指定的现场免费安装、调试设备，进行操作试验，直至运行正常，为操作人员终身免费提供技术服务、技术支持及咨询服务，在任何时候、任何地点均可享受到终生的免费咨询服务</w:t>
      </w:r>
      <w:r>
        <w:rPr>
          <w:rFonts w:hint="eastAsia" w:ascii="宋体" w:hAnsi="宋体" w:cs="宋体"/>
          <w:b w:val="0"/>
          <w:i w:val="0"/>
          <w:caps w:val="0"/>
          <w:color w:val="auto"/>
          <w:spacing w:val="0"/>
          <w:w w:val="100"/>
          <w:kern w:val="2"/>
          <w:sz w:val="24"/>
          <w:szCs w:val="24"/>
          <w:highlight w:val="none"/>
          <w:lang w:val="en-US" w:eastAsia="zh-CN" w:bidi="ar-SA"/>
        </w:rPr>
        <w:t>。提供7x24小时的技术支持服务，</w:t>
      </w:r>
      <w:r>
        <w:rPr>
          <w:rFonts w:hint="eastAsia" w:ascii="宋体" w:hAnsi="宋体" w:eastAsia="宋体" w:cs="宋体"/>
          <w:b w:val="0"/>
          <w:i w:val="0"/>
          <w:caps w:val="0"/>
          <w:color w:val="auto"/>
          <w:spacing w:val="0"/>
          <w:w w:val="100"/>
          <w:kern w:val="2"/>
          <w:sz w:val="24"/>
          <w:szCs w:val="24"/>
          <w:highlight w:val="none"/>
          <w:lang w:val="en-US" w:eastAsia="zh-CN" w:bidi="ar-SA"/>
        </w:rPr>
        <w:t>提供固定的维修电话，承诺接到报修电话后，确保在8小时解决故障。在保修期内不定期免费进行状态检测。</w:t>
      </w:r>
    </w:p>
    <w:p w14:paraId="7EA9676D">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（2）在质保期内，派遣维修或技术人员巡访设备使用单位，协助并指导运维人员进行日常维护保养工作，并与直接使用人交流设备使用相关事宜。</w:t>
      </w:r>
    </w:p>
    <w:p w14:paraId="4DE1DD45">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（3）供应商必须积极配合采购人共同参与项目验收。主动向采购方有关技术人员在使用现场提供全套技术指导及培训。</w:t>
      </w:r>
    </w:p>
    <w:p w14:paraId="3B2C3892">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 xml:space="preserve">（4）供应商应派相关技术人员到现场免费进行指导安装，解决安装过程中的相关问题。  </w:t>
      </w:r>
    </w:p>
    <w:p w14:paraId="454F8001">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（5）售后服务承诺：供应商应对质保期内及其以后的服务做出承诺，并具有切实可行的措施,不能及时兑现服务承诺内容而影响使用方使用，供应商应当给予补偿。</w:t>
      </w:r>
    </w:p>
    <w:p w14:paraId="55B28801">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（6）如收到服务需求不合要求情况，可双方协商决定，但决定权在购买方，购买方有权利退回所购买产品。</w:t>
      </w:r>
    </w:p>
    <w:p w14:paraId="59B88B3D">
      <w:pPr>
        <w:pStyle w:val="5"/>
        <w:keepNext w:val="0"/>
        <w:keepLines w:val="0"/>
        <w:pageBreakBefore w:val="0"/>
        <w:widowControl w:val="0"/>
        <w:numPr>
          <w:ilvl w:val="0"/>
          <w:numId w:val="0"/>
        </w:numPr>
        <w:kinsoku/>
        <w:wordWrap/>
        <w:overflowPunct/>
        <w:topLinePunct w:val="0"/>
        <w:autoSpaceDE/>
        <w:autoSpaceDN/>
        <w:bidi w:val="0"/>
        <w:adjustRightInd/>
        <w:spacing w:before="0" w:after="0" w:line="440" w:lineRule="exact"/>
        <w:ind w:left="0" w:leftChars="0"/>
        <w:jc w:val="left"/>
        <w:textAlignment w:val="auto"/>
        <w:outlineLvl w:val="2"/>
        <w:rPr>
          <w:rFonts w:hint="eastAsia" w:ascii="宋体" w:hAnsi="宋体" w:eastAsia="宋体" w:cs="宋体"/>
          <w:b/>
          <w:bCs/>
          <w:color w:val="auto"/>
          <w:kern w:val="2"/>
          <w:sz w:val="24"/>
          <w:szCs w:val="24"/>
          <w:u w:val="none"/>
          <w:lang w:val="en-US" w:eastAsia="zh-CN" w:bidi="ar-SA"/>
        </w:rPr>
      </w:pPr>
      <w:bookmarkStart w:id="1709" w:name="_Toc13312"/>
      <w:r>
        <w:rPr>
          <w:rFonts w:hint="eastAsia" w:ascii="宋体" w:hAnsi="宋体" w:eastAsia="宋体" w:cs="宋体"/>
          <w:b/>
          <w:bCs/>
          <w:color w:val="auto"/>
          <w:kern w:val="2"/>
          <w:sz w:val="24"/>
          <w:szCs w:val="24"/>
          <w:u w:val="none"/>
          <w:lang w:val="en-US" w:eastAsia="zh-CN" w:bidi="ar-SA"/>
        </w:rPr>
        <w:t>（</w:t>
      </w:r>
      <w:r>
        <w:rPr>
          <w:rFonts w:hint="eastAsia" w:hAnsi="宋体" w:cs="宋体"/>
          <w:b/>
          <w:bCs/>
          <w:color w:val="auto"/>
          <w:kern w:val="2"/>
          <w:sz w:val="24"/>
          <w:szCs w:val="24"/>
          <w:u w:val="none"/>
          <w:lang w:val="en-US" w:eastAsia="zh-CN" w:bidi="ar-SA"/>
        </w:rPr>
        <w:t>六</w:t>
      </w:r>
      <w:r>
        <w:rPr>
          <w:rFonts w:hint="eastAsia" w:ascii="宋体" w:hAnsi="宋体" w:eastAsia="宋体" w:cs="宋体"/>
          <w:b/>
          <w:bCs/>
          <w:color w:val="auto"/>
          <w:kern w:val="2"/>
          <w:sz w:val="24"/>
          <w:szCs w:val="24"/>
          <w:u w:val="none"/>
          <w:lang w:val="en-US" w:eastAsia="zh-CN" w:bidi="ar-SA"/>
        </w:rPr>
        <w:t>）实施方案及培训方案</w:t>
      </w:r>
      <w:bookmarkEnd w:id="1709"/>
    </w:p>
    <w:p w14:paraId="5C05267D">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w:t>
      </w:r>
      <w:r>
        <w:rPr>
          <w:rFonts w:hint="eastAsia" w:ascii="宋体" w:hAnsi="宋体" w:cs="宋体"/>
          <w:b w:val="0"/>
          <w:i w:val="0"/>
          <w:caps w:val="0"/>
          <w:color w:val="auto"/>
          <w:spacing w:val="0"/>
          <w:w w:val="100"/>
          <w:kern w:val="2"/>
          <w:sz w:val="24"/>
          <w:szCs w:val="24"/>
          <w:highlight w:val="none"/>
          <w:lang w:val="en-US" w:eastAsia="zh-CN" w:bidi="ar-SA"/>
        </w:rPr>
        <w:t>设备</w:t>
      </w:r>
      <w:r>
        <w:rPr>
          <w:rFonts w:hint="eastAsia" w:ascii="宋体" w:hAnsi="宋体" w:eastAsia="宋体" w:cs="宋体"/>
          <w:b w:val="0"/>
          <w:i w:val="0"/>
          <w:caps w:val="0"/>
          <w:color w:val="auto"/>
          <w:spacing w:val="0"/>
          <w:w w:val="100"/>
          <w:kern w:val="2"/>
          <w:sz w:val="24"/>
          <w:szCs w:val="24"/>
          <w:highlight w:val="none"/>
          <w:lang w:val="en-US" w:eastAsia="zh-CN" w:bidi="ar-SA"/>
        </w:rPr>
        <w:t>的安装、调试：按照设备安装手册或图纸，将设备放置在指定位置，并进行物理连接，如网线、电源线等。确保设备连接正确、稳固，并检查设备指示灯状态是否正常。</w:t>
      </w:r>
    </w:p>
    <w:p w14:paraId="1547FF4C">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w:t>
      </w:r>
      <w:r>
        <w:rPr>
          <w:rFonts w:hint="eastAsia" w:ascii="宋体" w:hAnsi="宋体" w:cs="宋体"/>
          <w:b w:val="0"/>
          <w:i w:val="0"/>
          <w:caps w:val="0"/>
          <w:color w:val="auto"/>
          <w:spacing w:val="0"/>
          <w:w w:val="100"/>
          <w:kern w:val="2"/>
          <w:sz w:val="24"/>
          <w:szCs w:val="24"/>
          <w:highlight w:val="none"/>
          <w:lang w:val="en-US" w:eastAsia="zh-CN" w:bidi="ar-SA"/>
        </w:rPr>
        <w:t>2</w:t>
      </w:r>
      <w:r>
        <w:rPr>
          <w:rFonts w:hint="eastAsia" w:ascii="宋体" w:hAnsi="宋体" w:eastAsia="宋体" w:cs="宋体"/>
          <w:b w:val="0"/>
          <w:i w:val="0"/>
          <w:caps w:val="0"/>
          <w:color w:val="auto"/>
          <w:spacing w:val="0"/>
          <w:w w:val="100"/>
          <w:kern w:val="2"/>
          <w:sz w:val="24"/>
          <w:szCs w:val="24"/>
          <w:highlight w:val="none"/>
          <w:lang w:val="en-US" w:eastAsia="zh-CN" w:bidi="ar-SA"/>
        </w:rPr>
        <w:t>）对设备进行初步配置，如设置管理IP地址、登录密码等。根据等级保护测评的要求，对设备进行安全策略配置，如防火墙规则、入侵检测策略等。进行设备间的联动测试，确保各设备能够协同工作，实现安全防护。</w:t>
      </w:r>
    </w:p>
    <w:p w14:paraId="341CC869">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w:t>
      </w:r>
      <w:r>
        <w:rPr>
          <w:rFonts w:hint="eastAsia" w:ascii="宋体" w:hAnsi="宋体" w:cs="宋体"/>
          <w:b w:val="0"/>
          <w:i w:val="0"/>
          <w:caps w:val="0"/>
          <w:color w:val="auto"/>
          <w:spacing w:val="0"/>
          <w:w w:val="100"/>
          <w:kern w:val="2"/>
          <w:sz w:val="24"/>
          <w:szCs w:val="24"/>
          <w:highlight w:val="none"/>
          <w:lang w:val="en-US" w:eastAsia="zh-CN" w:bidi="ar-SA"/>
        </w:rPr>
        <w:t>3</w:t>
      </w:r>
      <w:r>
        <w:rPr>
          <w:rFonts w:hint="eastAsia" w:ascii="宋体" w:hAnsi="宋体" w:eastAsia="宋体" w:cs="宋体"/>
          <w:b w:val="0"/>
          <w:i w:val="0"/>
          <w:caps w:val="0"/>
          <w:color w:val="auto"/>
          <w:spacing w:val="0"/>
          <w:w w:val="100"/>
          <w:kern w:val="2"/>
          <w:sz w:val="24"/>
          <w:szCs w:val="24"/>
          <w:highlight w:val="none"/>
          <w:lang w:val="en-US" w:eastAsia="zh-CN" w:bidi="ar-SA"/>
        </w:rPr>
        <w:t>）供应商应保证供货设备在项目实施过程中</w:t>
      </w:r>
    </w:p>
    <w:p w14:paraId="70479E85">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241" w:firstLineChars="100"/>
        <w:jc w:val="left"/>
        <w:textAlignment w:val="baseline"/>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实施方案</w:t>
      </w:r>
      <w:r>
        <w:rPr>
          <w:rFonts w:hint="eastAsia" w:ascii="宋体" w:hAnsi="宋体" w:eastAsia="宋体" w:cs="宋体"/>
          <w:color w:val="auto"/>
          <w:kern w:val="2"/>
          <w:sz w:val="24"/>
          <w:szCs w:val="24"/>
          <w:highlight w:val="none"/>
          <w:lang w:val="en-US" w:eastAsia="zh-CN" w:bidi="ar-SA"/>
        </w:rPr>
        <w:t>：</w:t>
      </w:r>
    </w:p>
    <w:p w14:paraId="42FD1750">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（1）项目详细工作内容，说明项目的工作范围、具体内容和技术要求等，这一部分内容能量化的指标尽可能量化；</w:t>
      </w:r>
    </w:p>
    <w:p w14:paraId="5292679D">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（2）项目实施所采取的方法手段；</w:t>
      </w:r>
    </w:p>
    <w:p w14:paraId="3F48903C">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（3）预期效果，说明项目完成时所达到的效果；说明承担单位、协作单位和各自分工的主要内容。</w:t>
      </w:r>
    </w:p>
    <w:p w14:paraId="704566AF">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0" w:leftChars="0" w:firstLine="241" w:firstLineChars="100"/>
        <w:jc w:val="left"/>
        <w:textAlignment w:val="baseline"/>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设备管理及维护</w:t>
      </w:r>
      <w:r>
        <w:rPr>
          <w:rFonts w:hint="eastAsia" w:ascii="宋体" w:hAnsi="宋体" w:eastAsia="宋体" w:cs="宋体"/>
          <w:color w:val="auto"/>
          <w:kern w:val="2"/>
          <w:sz w:val="24"/>
          <w:szCs w:val="24"/>
          <w:highlight w:val="none"/>
          <w:lang w:val="en-US" w:eastAsia="zh-CN" w:bidi="ar-SA"/>
        </w:rPr>
        <w:t>：</w:t>
      </w:r>
    </w:p>
    <w:p w14:paraId="7F504A5F">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（1）设备管理方案；（2）设备维护及保养方案。</w:t>
      </w:r>
    </w:p>
    <w:p w14:paraId="18E16EC4">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239" w:leftChars="114" w:firstLine="0" w:firstLineChars="0"/>
        <w:jc w:val="left"/>
        <w:textAlignment w:val="baseline"/>
        <w:outlineLvl w:val="9"/>
        <w:rPr>
          <w:rFonts w:hint="eastAsia" w:ascii="宋体" w:hAnsi="宋体" w:eastAsia="宋体" w:cs="宋体"/>
          <w:b w:val="0"/>
          <w:bCs w:val="0"/>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进度安排：</w:t>
      </w:r>
      <w:r>
        <w:rPr>
          <w:rFonts w:hint="eastAsia" w:ascii="宋体" w:hAnsi="宋体" w:eastAsia="宋体" w:cs="宋体"/>
          <w:b w:val="0"/>
          <w:bCs w:val="0"/>
          <w:i w:val="0"/>
          <w:caps w:val="0"/>
          <w:color w:val="auto"/>
          <w:spacing w:val="0"/>
          <w:w w:val="100"/>
          <w:kern w:val="2"/>
          <w:sz w:val="24"/>
          <w:szCs w:val="24"/>
          <w:highlight w:val="none"/>
          <w:lang w:val="en-US" w:eastAsia="zh-CN" w:bidi="ar-SA"/>
        </w:rPr>
        <w:t>项目工作进度安排，详细说明各阶段工作安排的时间和项目工作内容完成的时间，尽力让项目实施的时间进度与方案所计划的时间吻合；</w:t>
      </w:r>
    </w:p>
    <w:p w14:paraId="28F07AA8">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239" w:leftChars="114" w:firstLine="0" w:firstLineChars="0"/>
        <w:jc w:val="left"/>
        <w:textAlignment w:val="baseline"/>
        <w:outlineLvl w:val="9"/>
        <w:rPr>
          <w:rFonts w:hint="eastAsia" w:ascii="宋体" w:hAnsi="宋体" w:eastAsia="宋体" w:cs="宋体"/>
          <w:b w:val="0"/>
          <w:bCs w:val="0"/>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供货安装：</w:t>
      </w:r>
      <w:r>
        <w:rPr>
          <w:rFonts w:hint="eastAsia" w:ascii="宋体" w:hAnsi="宋体" w:eastAsia="宋体" w:cs="宋体"/>
          <w:b w:val="0"/>
          <w:bCs w:val="0"/>
          <w:i w:val="0"/>
          <w:caps w:val="0"/>
          <w:color w:val="auto"/>
          <w:spacing w:val="0"/>
          <w:w w:val="100"/>
          <w:kern w:val="2"/>
          <w:sz w:val="24"/>
          <w:szCs w:val="24"/>
          <w:highlight w:val="none"/>
          <w:lang w:val="en-US" w:eastAsia="zh-CN" w:bidi="ar-SA"/>
        </w:rPr>
        <w:t>供货的流程、安装流程应在方案中写明。（注：可提供流程图。）</w:t>
      </w:r>
    </w:p>
    <w:p w14:paraId="71B57722">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239" w:leftChars="114" w:firstLine="0" w:firstLineChars="0"/>
        <w:jc w:val="left"/>
        <w:textAlignment w:val="baseline"/>
        <w:outlineLvl w:val="9"/>
        <w:rPr>
          <w:rFonts w:hint="eastAsia" w:ascii="宋体" w:hAnsi="宋体" w:eastAsia="宋体" w:cs="宋体"/>
          <w:b w:val="0"/>
          <w:bCs w:val="0"/>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项目安全措施：</w:t>
      </w:r>
    </w:p>
    <w:p w14:paraId="139F3204">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（1）方针、目标；（2）安全管理机构；（3）安全措施；（4）安全教育等。</w:t>
      </w:r>
    </w:p>
    <w:p w14:paraId="4DB07152">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239" w:leftChars="114" w:firstLine="0" w:firstLineChars="0"/>
        <w:jc w:val="left"/>
        <w:textAlignment w:val="baseline"/>
        <w:outlineLvl w:val="9"/>
        <w:rPr>
          <w:rFonts w:hint="eastAsia" w:ascii="宋体" w:hAnsi="宋体" w:eastAsia="宋体" w:cs="宋体"/>
          <w:b w:val="0"/>
          <w:bCs w:val="0"/>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应急处理：</w:t>
      </w:r>
      <w:r>
        <w:rPr>
          <w:rFonts w:hint="eastAsia" w:ascii="宋体" w:hAnsi="宋体" w:eastAsia="宋体" w:cs="宋体"/>
          <w:b w:val="0"/>
          <w:bCs w:val="0"/>
          <w:i w:val="0"/>
          <w:caps w:val="0"/>
          <w:color w:val="auto"/>
          <w:spacing w:val="0"/>
          <w:w w:val="100"/>
          <w:kern w:val="2"/>
          <w:sz w:val="24"/>
          <w:szCs w:val="24"/>
          <w:highlight w:val="none"/>
          <w:lang w:val="en-US" w:eastAsia="zh-CN" w:bidi="ar-SA"/>
        </w:rPr>
        <w:t>为保障设备的运行正常，加强对突发事件、紧急事件的控制，须供应商制定本项目的突发事件处置预案，写明面对突发事件的应急处理方法，包含：发生火灾、突然停电等。建立完善的预防机制，指定专人负责，对潜在危险可能出现的紧急情况，制定相应的处理办法。</w:t>
      </w:r>
    </w:p>
    <w:p w14:paraId="71472157">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239" w:leftChars="114" w:firstLine="0" w:firstLineChars="0"/>
        <w:jc w:val="left"/>
        <w:textAlignment w:val="baseline"/>
        <w:outlineLvl w:val="9"/>
        <w:rPr>
          <w:rFonts w:hint="eastAsia" w:ascii="宋体" w:hAnsi="宋体" w:eastAsia="宋体" w:cs="宋体"/>
          <w:b w:val="0"/>
          <w:bCs w:val="0"/>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培训方案：</w:t>
      </w:r>
      <w:r>
        <w:rPr>
          <w:rFonts w:hint="eastAsia" w:ascii="宋体" w:hAnsi="宋体" w:eastAsia="宋体" w:cs="宋体"/>
          <w:b w:val="0"/>
          <w:bCs w:val="0"/>
          <w:i w:val="0"/>
          <w:caps w:val="0"/>
          <w:color w:val="auto"/>
          <w:spacing w:val="0"/>
          <w:w w:val="100"/>
          <w:kern w:val="2"/>
          <w:sz w:val="24"/>
          <w:szCs w:val="24"/>
          <w:highlight w:val="none"/>
          <w:lang w:val="en-US" w:eastAsia="zh-CN" w:bidi="ar-SA"/>
        </w:rPr>
        <w:t xml:space="preserve">培训计划情况，应含详细合理的培训方案（包含：应详细规划培训目标、内容、方式、时间、地点、考核等关键环节，以确保采购的设备能够得到有效利用，并提升相关人员的专业技能和安全意识；培训方案中包含以上每项内容，且方案切实可行，满足采购方需求。针对本院实际情况指定培训计划，卖方应提供技术培训，保证使用人员正常操作设备的各种功能（厂家工程师驻场培训、网路在线培训、内地交流培训）。在质保期内为采购人提供至少三人的培训服务，确保用户方至少两名操作人员可熟悉使用，供应商应保证在采购人指定交货地点对设备操作人员提供不少于 </w:t>
      </w:r>
      <w:r>
        <w:rPr>
          <w:rFonts w:hint="eastAsia" w:ascii="宋体" w:hAnsi="宋体" w:cs="宋体"/>
          <w:b w:val="0"/>
          <w:bCs w:val="0"/>
          <w:i w:val="0"/>
          <w:caps w:val="0"/>
          <w:color w:val="auto"/>
          <w:spacing w:val="0"/>
          <w:w w:val="100"/>
          <w:kern w:val="2"/>
          <w:sz w:val="24"/>
          <w:szCs w:val="24"/>
          <w:highlight w:val="none"/>
          <w:lang w:val="en-US" w:eastAsia="zh-CN" w:bidi="ar-SA"/>
        </w:rPr>
        <w:t>3</w:t>
      </w:r>
      <w:r>
        <w:rPr>
          <w:rFonts w:hint="eastAsia" w:ascii="宋体" w:hAnsi="宋体" w:eastAsia="宋体" w:cs="宋体"/>
          <w:b w:val="0"/>
          <w:bCs w:val="0"/>
          <w:i w:val="0"/>
          <w:caps w:val="0"/>
          <w:color w:val="auto"/>
          <w:spacing w:val="0"/>
          <w:w w:val="100"/>
          <w:kern w:val="2"/>
          <w:sz w:val="24"/>
          <w:szCs w:val="24"/>
          <w:highlight w:val="none"/>
          <w:lang w:val="en-US" w:eastAsia="zh-CN" w:bidi="ar-SA"/>
        </w:rPr>
        <w:t>天的免费培训。培训配备受过专业培训的售后服务人员、技术支持人员及咨询服务、在任何时候、任何地点均可享受到终生的免费咨询服务。供应商投标时应提供详细的培训方案。培训教员的差旅费、食宿费、培训教材等费用，应计入投标报价，随时排除所有设备故障进行明确的计划阐述，并对所有设备保修期过后维保进行阐述。</w:t>
      </w:r>
    </w:p>
    <w:p w14:paraId="350E5AD2">
      <w:pPr>
        <w:keepNext w:val="0"/>
        <w:keepLines w:val="0"/>
        <w:pageBreakBefore w:val="0"/>
        <w:widowControl/>
        <w:kinsoku/>
        <w:wordWrap/>
        <w:overflowPunct/>
        <w:topLinePunct w:val="0"/>
        <w:autoSpaceDE/>
        <w:autoSpaceDN/>
        <w:bidi w:val="0"/>
        <w:adjustRightInd/>
        <w:snapToGrid w:val="0"/>
        <w:spacing w:before="0" w:beforeAutospacing="0" w:after="0" w:afterAutospacing="0" w:line="440" w:lineRule="exact"/>
        <w:ind w:left="239" w:leftChars="114" w:firstLine="0" w:firstLineChars="0"/>
        <w:jc w:val="left"/>
        <w:textAlignment w:val="baseline"/>
        <w:outlineLvl w:val="9"/>
        <w:rPr>
          <w:rFonts w:hint="eastAsia" w:ascii="宋体" w:hAnsi="宋体" w:eastAsia="宋体" w:cs="宋体"/>
          <w:b w:val="0"/>
          <w:bCs w:val="0"/>
          <w:i w:val="0"/>
          <w:caps w:val="0"/>
          <w:color w:val="auto"/>
          <w:spacing w:val="0"/>
          <w:w w:val="100"/>
          <w:kern w:val="2"/>
          <w:sz w:val="24"/>
          <w:szCs w:val="24"/>
          <w:highlight w:val="none"/>
          <w:lang w:val="en-US" w:eastAsia="zh-CN" w:bidi="ar-SA"/>
        </w:rPr>
      </w:pPr>
      <w:r>
        <w:rPr>
          <w:rFonts w:hint="eastAsia" w:ascii="宋体" w:hAnsi="宋体" w:eastAsia="宋体" w:cs="宋体"/>
          <w:b w:val="0"/>
          <w:bCs w:val="0"/>
          <w:i w:val="0"/>
          <w:caps w:val="0"/>
          <w:color w:val="auto"/>
          <w:spacing w:val="0"/>
          <w:w w:val="100"/>
          <w:kern w:val="2"/>
          <w:sz w:val="24"/>
          <w:szCs w:val="24"/>
          <w:highlight w:val="none"/>
          <w:lang w:val="en-US" w:eastAsia="zh-CN" w:bidi="ar-SA"/>
        </w:rPr>
        <w:t>供应商在制作实施方案及培训方案时可根据实际情况进行拓展（包括但不限于以上内容），本包属于</w:t>
      </w:r>
      <w:r>
        <w:rPr>
          <w:rFonts w:hint="eastAsia" w:ascii="宋体" w:hAnsi="宋体" w:cs="宋体"/>
          <w:b w:val="0"/>
          <w:bCs w:val="0"/>
          <w:i w:val="0"/>
          <w:caps w:val="0"/>
          <w:color w:val="auto"/>
          <w:spacing w:val="0"/>
          <w:w w:val="100"/>
          <w:kern w:val="2"/>
          <w:sz w:val="24"/>
          <w:szCs w:val="24"/>
          <w:highlight w:val="none"/>
          <w:lang w:val="en-US" w:eastAsia="zh-CN" w:bidi="ar-SA"/>
        </w:rPr>
        <w:t>网络</w:t>
      </w:r>
      <w:r>
        <w:rPr>
          <w:rFonts w:hint="eastAsia" w:ascii="宋体" w:hAnsi="宋体" w:eastAsia="宋体" w:cs="宋体"/>
          <w:b w:val="0"/>
          <w:bCs w:val="0"/>
          <w:i w:val="0"/>
          <w:caps w:val="0"/>
          <w:color w:val="auto"/>
          <w:spacing w:val="0"/>
          <w:w w:val="100"/>
          <w:kern w:val="2"/>
          <w:sz w:val="24"/>
          <w:szCs w:val="24"/>
          <w:highlight w:val="none"/>
          <w:lang w:val="en-US" w:eastAsia="zh-CN" w:bidi="ar-SA"/>
        </w:rPr>
        <w:t>设备，供应商能够在设备运输中保障设备的功能不被破坏，在发货前保证对货物的质量、规格、性能、数量和重量等进行准确而全面的检验，并出具一份产品检验合格证书。在项目供货安装时进行核对，本次购买设备如若发生设备不能正常运行，供应商必须在突发应急时给予响应，并在最快时间内快速高效的处理。</w:t>
      </w:r>
    </w:p>
    <w:p w14:paraId="35CE14E4">
      <w:pPr>
        <w:pStyle w:val="5"/>
        <w:keepNext w:val="0"/>
        <w:keepLines w:val="0"/>
        <w:pageBreakBefore w:val="0"/>
        <w:widowControl w:val="0"/>
        <w:numPr>
          <w:ilvl w:val="0"/>
          <w:numId w:val="0"/>
        </w:numPr>
        <w:kinsoku/>
        <w:wordWrap/>
        <w:overflowPunct/>
        <w:topLinePunct w:val="0"/>
        <w:autoSpaceDE/>
        <w:autoSpaceDN/>
        <w:bidi w:val="0"/>
        <w:adjustRightInd/>
        <w:spacing w:before="0" w:after="0" w:line="440" w:lineRule="exact"/>
        <w:ind w:left="0" w:leftChars="0"/>
        <w:jc w:val="left"/>
        <w:textAlignment w:val="auto"/>
        <w:outlineLvl w:val="2"/>
        <w:rPr>
          <w:rFonts w:hint="eastAsia" w:ascii="宋体" w:hAnsi="宋体" w:eastAsia="宋体" w:cs="宋体"/>
          <w:b/>
          <w:bCs/>
          <w:color w:val="auto"/>
          <w:kern w:val="2"/>
          <w:sz w:val="24"/>
          <w:szCs w:val="24"/>
          <w:u w:val="none"/>
          <w:lang w:val="en-US" w:eastAsia="zh-CN" w:bidi="ar-SA"/>
        </w:rPr>
      </w:pPr>
      <w:bookmarkStart w:id="1710" w:name="_Toc21134"/>
      <w:r>
        <w:rPr>
          <w:rFonts w:hint="eastAsia" w:ascii="宋体" w:hAnsi="宋体" w:eastAsia="宋体" w:cs="宋体"/>
          <w:b/>
          <w:bCs/>
          <w:color w:val="auto"/>
          <w:kern w:val="2"/>
          <w:sz w:val="24"/>
          <w:szCs w:val="24"/>
          <w:u w:val="none"/>
          <w:lang w:val="en-US" w:eastAsia="zh-CN" w:bidi="ar-SA"/>
        </w:rPr>
        <w:t>（</w:t>
      </w:r>
      <w:r>
        <w:rPr>
          <w:rFonts w:hint="eastAsia" w:hAnsi="宋体" w:cs="宋体"/>
          <w:b/>
          <w:bCs/>
          <w:color w:val="auto"/>
          <w:kern w:val="2"/>
          <w:sz w:val="24"/>
          <w:szCs w:val="24"/>
          <w:u w:val="none"/>
          <w:lang w:val="en-US" w:eastAsia="zh-CN" w:bidi="ar-SA"/>
        </w:rPr>
        <w:t>七</w:t>
      </w:r>
      <w:r>
        <w:rPr>
          <w:rFonts w:hint="eastAsia" w:ascii="宋体" w:hAnsi="宋体" w:eastAsia="宋体" w:cs="宋体"/>
          <w:b/>
          <w:bCs/>
          <w:color w:val="auto"/>
          <w:kern w:val="2"/>
          <w:sz w:val="24"/>
          <w:szCs w:val="24"/>
          <w:u w:val="none"/>
          <w:lang w:val="en-US" w:eastAsia="zh-CN" w:bidi="ar-SA"/>
        </w:rPr>
        <w:t>）验收</w:t>
      </w:r>
      <w:bookmarkEnd w:id="1699"/>
      <w:r>
        <w:rPr>
          <w:rFonts w:hint="eastAsia" w:ascii="宋体" w:hAnsi="宋体" w:eastAsia="宋体" w:cs="宋体"/>
          <w:b/>
          <w:bCs/>
          <w:color w:val="auto"/>
          <w:kern w:val="2"/>
          <w:sz w:val="24"/>
          <w:szCs w:val="24"/>
          <w:u w:val="none"/>
          <w:lang w:val="en-US" w:eastAsia="zh-CN" w:bidi="ar-SA"/>
        </w:rPr>
        <w:t>：</w:t>
      </w:r>
      <w:bookmarkEnd w:id="1710"/>
    </w:p>
    <w:p w14:paraId="2808F626">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（1）验收主体：</w:t>
      </w:r>
      <w:r>
        <w:rPr>
          <w:rFonts w:hint="eastAsia" w:ascii="宋体" w:hAnsi="宋体" w:cs="宋体"/>
          <w:b w:val="0"/>
          <w:i w:val="0"/>
          <w:caps w:val="0"/>
          <w:color w:val="auto"/>
          <w:spacing w:val="0"/>
          <w:w w:val="100"/>
          <w:kern w:val="2"/>
          <w:sz w:val="24"/>
          <w:szCs w:val="24"/>
          <w:highlight w:val="none"/>
          <w:lang w:val="en-US" w:eastAsia="zh-CN" w:bidi="ar-SA"/>
        </w:rPr>
        <w:t>泽普县维吾尔医医院</w:t>
      </w:r>
    </w:p>
    <w:p w14:paraId="47965F69">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w:t>
      </w:r>
      <w:r>
        <w:rPr>
          <w:rFonts w:hint="eastAsia" w:ascii="宋体" w:hAnsi="宋体" w:cs="宋体"/>
          <w:b w:val="0"/>
          <w:i w:val="0"/>
          <w:caps w:val="0"/>
          <w:color w:val="auto"/>
          <w:spacing w:val="0"/>
          <w:w w:val="100"/>
          <w:kern w:val="2"/>
          <w:sz w:val="24"/>
          <w:szCs w:val="24"/>
          <w:highlight w:val="none"/>
          <w:lang w:val="en-US" w:eastAsia="zh-CN" w:bidi="ar-SA"/>
        </w:rPr>
        <w:t>2</w:t>
      </w:r>
      <w:r>
        <w:rPr>
          <w:rFonts w:hint="eastAsia" w:ascii="宋体" w:hAnsi="宋体" w:eastAsia="宋体" w:cs="宋体"/>
          <w:b w:val="0"/>
          <w:i w:val="0"/>
          <w:caps w:val="0"/>
          <w:color w:val="auto"/>
          <w:spacing w:val="0"/>
          <w:w w:val="100"/>
          <w:kern w:val="2"/>
          <w:sz w:val="24"/>
          <w:szCs w:val="24"/>
          <w:highlight w:val="none"/>
          <w:lang w:val="en-US" w:eastAsia="zh-CN" w:bidi="ar-SA"/>
        </w:rPr>
        <w:t>）验收时间：送货安装调试完毕后。</w:t>
      </w:r>
    </w:p>
    <w:p w14:paraId="770CA71B">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w:t>
      </w:r>
      <w:r>
        <w:rPr>
          <w:rFonts w:hint="eastAsia" w:ascii="宋体" w:hAnsi="宋体" w:cs="宋体"/>
          <w:b w:val="0"/>
          <w:i w:val="0"/>
          <w:caps w:val="0"/>
          <w:color w:val="auto"/>
          <w:spacing w:val="0"/>
          <w:w w:val="100"/>
          <w:kern w:val="2"/>
          <w:sz w:val="24"/>
          <w:szCs w:val="24"/>
          <w:highlight w:val="none"/>
          <w:lang w:val="en-US" w:eastAsia="zh-CN" w:bidi="ar-SA"/>
        </w:rPr>
        <w:t>3</w:t>
      </w:r>
      <w:r>
        <w:rPr>
          <w:rFonts w:hint="eastAsia" w:ascii="宋体" w:hAnsi="宋体" w:eastAsia="宋体" w:cs="宋体"/>
          <w:b w:val="0"/>
          <w:i w:val="0"/>
          <w:caps w:val="0"/>
          <w:color w:val="auto"/>
          <w:spacing w:val="0"/>
          <w:w w:val="100"/>
          <w:kern w:val="2"/>
          <w:sz w:val="24"/>
          <w:szCs w:val="24"/>
          <w:highlight w:val="none"/>
          <w:lang w:val="en-US" w:eastAsia="zh-CN" w:bidi="ar-SA"/>
        </w:rPr>
        <w:t>）验收方式：现场验收</w:t>
      </w:r>
    </w:p>
    <w:p w14:paraId="6967E467">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w:t>
      </w:r>
      <w:r>
        <w:rPr>
          <w:rFonts w:hint="eastAsia" w:ascii="宋体" w:hAnsi="宋体" w:cs="宋体"/>
          <w:b w:val="0"/>
          <w:i w:val="0"/>
          <w:caps w:val="0"/>
          <w:color w:val="auto"/>
          <w:spacing w:val="0"/>
          <w:w w:val="100"/>
          <w:kern w:val="2"/>
          <w:sz w:val="24"/>
          <w:szCs w:val="24"/>
          <w:highlight w:val="none"/>
          <w:lang w:val="en-US" w:eastAsia="zh-CN" w:bidi="ar-SA"/>
        </w:rPr>
        <w:t>4</w:t>
      </w:r>
      <w:r>
        <w:rPr>
          <w:rFonts w:hint="eastAsia" w:ascii="宋体" w:hAnsi="宋体" w:eastAsia="宋体" w:cs="宋体"/>
          <w:b w:val="0"/>
          <w:i w:val="0"/>
          <w:caps w:val="0"/>
          <w:color w:val="auto"/>
          <w:spacing w:val="0"/>
          <w:w w:val="100"/>
          <w:kern w:val="2"/>
          <w:sz w:val="24"/>
          <w:szCs w:val="24"/>
          <w:highlight w:val="none"/>
          <w:lang w:val="en-US" w:eastAsia="zh-CN" w:bidi="ar-SA"/>
        </w:rPr>
        <w:t>）验收程序：货物包装应符合国家标准，以保证货物在运输过程中不受损伤。货物在运输或邮寄途中发生毁损或丢失，由乙方负责。在运输途中、交货前、卸货中发生人身伤害或货物受损的，由乙方负责承担。货物到达后，甲乙双方均须在场确认包装完好后，安装后由甲方验货，并对货物进行清点验收，共同签字确认。如验收不合格，一切损失由乙方自行承担。</w:t>
      </w:r>
    </w:p>
    <w:p w14:paraId="11674A64">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default"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w:t>
      </w:r>
      <w:r>
        <w:rPr>
          <w:rFonts w:hint="eastAsia" w:ascii="宋体" w:hAnsi="宋体" w:cs="宋体"/>
          <w:b w:val="0"/>
          <w:i w:val="0"/>
          <w:caps w:val="0"/>
          <w:color w:val="auto"/>
          <w:spacing w:val="0"/>
          <w:w w:val="100"/>
          <w:kern w:val="2"/>
          <w:sz w:val="24"/>
          <w:szCs w:val="24"/>
          <w:highlight w:val="none"/>
          <w:lang w:val="en-US" w:eastAsia="zh-CN" w:bidi="ar-SA"/>
        </w:rPr>
        <w:t>5</w:t>
      </w:r>
      <w:r>
        <w:rPr>
          <w:rFonts w:hint="eastAsia" w:ascii="宋体" w:hAnsi="宋体" w:eastAsia="宋体" w:cs="宋体"/>
          <w:b w:val="0"/>
          <w:i w:val="0"/>
          <w:caps w:val="0"/>
          <w:color w:val="auto"/>
          <w:spacing w:val="0"/>
          <w:w w:val="100"/>
          <w:kern w:val="2"/>
          <w:sz w:val="24"/>
          <w:szCs w:val="24"/>
          <w:highlight w:val="none"/>
          <w:lang w:val="en-US" w:eastAsia="zh-CN" w:bidi="ar-SA"/>
        </w:rPr>
        <w:t>）验收内容：采购清单内设备、装备数量进行验收</w:t>
      </w:r>
      <w:r>
        <w:rPr>
          <w:rFonts w:hint="eastAsia" w:ascii="宋体" w:hAnsi="宋体" w:cs="宋体"/>
          <w:b w:val="0"/>
          <w:i w:val="0"/>
          <w:caps w:val="0"/>
          <w:color w:val="auto"/>
          <w:spacing w:val="0"/>
          <w:w w:val="100"/>
          <w:kern w:val="2"/>
          <w:sz w:val="24"/>
          <w:szCs w:val="24"/>
          <w:highlight w:val="none"/>
          <w:lang w:val="en-US" w:eastAsia="zh-CN" w:bidi="ar-SA"/>
        </w:rPr>
        <w:t>。</w:t>
      </w:r>
    </w:p>
    <w:p w14:paraId="5A9A6E45">
      <w:pPr>
        <w:pStyle w:val="20"/>
        <w:keepNext w:val="0"/>
        <w:keepLines w:val="0"/>
        <w:pageBreakBefore w:val="0"/>
        <w:kinsoku/>
        <w:wordWrap/>
        <w:overflowPunct/>
        <w:topLinePunct w:val="0"/>
        <w:autoSpaceDE/>
        <w:autoSpaceDN/>
        <w:bidi w:val="0"/>
        <w:adjustRightInd/>
        <w:spacing w:beforeAutospacing="0" w:afterAutospacing="0" w:line="440" w:lineRule="exact"/>
        <w:ind w:left="0" w:leftChars="0" w:firstLine="0" w:firstLineChars="0"/>
        <w:outlineLvl w:val="9"/>
        <w:rPr>
          <w:rFonts w:hint="eastAsia" w:ascii="宋体" w:hAnsi="宋体" w:eastAsia="宋体" w:cs="宋体"/>
          <w:b w:val="0"/>
          <w:i w:val="0"/>
          <w:caps w:val="0"/>
          <w:color w:val="auto"/>
          <w:spacing w:val="0"/>
          <w:w w:val="100"/>
          <w:kern w:val="2"/>
          <w:sz w:val="24"/>
          <w:szCs w:val="24"/>
          <w:highlight w:val="none"/>
          <w:lang w:val="en-US" w:eastAsia="zh-CN" w:bidi="ar-SA"/>
        </w:rPr>
      </w:pPr>
      <w:r>
        <w:rPr>
          <w:rFonts w:hint="eastAsia" w:ascii="宋体" w:hAnsi="宋体" w:eastAsia="宋体" w:cs="宋体"/>
          <w:b w:val="0"/>
          <w:i w:val="0"/>
          <w:caps w:val="0"/>
          <w:color w:val="auto"/>
          <w:spacing w:val="0"/>
          <w:w w:val="100"/>
          <w:kern w:val="2"/>
          <w:sz w:val="24"/>
          <w:szCs w:val="24"/>
          <w:highlight w:val="none"/>
          <w:lang w:val="en-US" w:eastAsia="zh-CN" w:bidi="ar-SA"/>
        </w:rPr>
        <w:t>（</w:t>
      </w:r>
      <w:r>
        <w:rPr>
          <w:rFonts w:hint="eastAsia" w:ascii="宋体" w:hAnsi="宋体" w:cs="宋体"/>
          <w:b w:val="0"/>
          <w:i w:val="0"/>
          <w:caps w:val="0"/>
          <w:color w:val="auto"/>
          <w:spacing w:val="0"/>
          <w:w w:val="100"/>
          <w:kern w:val="2"/>
          <w:sz w:val="24"/>
          <w:szCs w:val="24"/>
          <w:highlight w:val="none"/>
          <w:lang w:val="en-US" w:eastAsia="zh-CN" w:bidi="ar-SA"/>
        </w:rPr>
        <w:t>6</w:t>
      </w:r>
      <w:r>
        <w:rPr>
          <w:rFonts w:hint="eastAsia" w:ascii="宋体" w:hAnsi="宋体" w:eastAsia="宋体" w:cs="宋体"/>
          <w:b w:val="0"/>
          <w:i w:val="0"/>
          <w:caps w:val="0"/>
          <w:color w:val="auto"/>
          <w:spacing w:val="0"/>
          <w:w w:val="100"/>
          <w:kern w:val="2"/>
          <w:sz w:val="24"/>
          <w:szCs w:val="24"/>
          <w:highlight w:val="none"/>
          <w:lang w:val="en-US" w:eastAsia="zh-CN" w:bidi="ar-SA"/>
        </w:rPr>
        <w:t>）验收标准：严格按照采购合同开展履约验收。采购人或者采购代理机构应当成立验收小组，按照采购合同的约定对供应商履约情况进行验收。验收时，应当按照采购合同的约定对每一项技术、服务、安全标准的履约情况进行确认。对设备在实际应用中的安全性进行评估，确保其在安全防护能力、网络安全功能、数据加密性能</w:t>
      </w:r>
      <w:r>
        <w:rPr>
          <w:rFonts w:hint="eastAsia" w:ascii="宋体" w:hAnsi="宋体" w:cs="宋体"/>
          <w:b w:val="0"/>
          <w:i w:val="0"/>
          <w:caps w:val="0"/>
          <w:color w:val="auto"/>
          <w:spacing w:val="0"/>
          <w:w w:val="100"/>
          <w:kern w:val="2"/>
          <w:sz w:val="24"/>
          <w:szCs w:val="24"/>
          <w:highlight w:val="none"/>
          <w:lang w:val="en-US" w:eastAsia="zh-CN" w:bidi="ar-SA"/>
        </w:rPr>
        <w:t>、性能稳定性、性能可靠性、功能完备性</w:t>
      </w:r>
      <w:r>
        <w:rPr>
          <w:rFonts w:hint="eastAsia" w:ascii="宋体" w:hAnsi="宋体" w:eastAsia="宋体" w:cs="宋体"/>
          <w:b w:val="0"/>
          <w:i w:val="0"/>
          <w:caps w:val="0"/>
          <w:color w:val="auto"/>
          <w:spacing w:val="0"/>
          <w:w w:val="100"/>
          <w:kern w:val="2"/>
          <w:sz w:val="24"/>
          <w:szCs w:val="24"/>
          <w:highlight w:val="none"/>
          <w:lang w:val="en-US" w:eastAsia="zh-CN" w:bidi="ar-SA"/>
        </w:rPr>
        <w:t>等方面能够满足等级保护要求</w:t>
      </w:r>
      <w:r>
        <w:rPr>
          <w:rFonts w:hint="eastAsia" w:ascii="宋体" w:hAnsi="宋体" w:cs="宋体"/>
          <w:b w:val="0"/>
          <w:i w:val="0"/>
          <w:caps w:val="0"/>
          <w:color w:val="auto"/>
          <w:spacing w:val="0"/>
          <w:w w:val="100"/>
          <w:kern w:val="2"/>
          <w:sz w:val="24"/>
          <w:szCs w:val="24"/>
          <w:highlight w:val="none"/>
          <w:lang w:val="en-US" w:eastAsia="zh-CN" w:bidi="ar-SA"/>
        </w:rPr>
        <w:t>及满足业务需求能力。</w:t>
      </w:r>
      <w:r>
        <w:rPr>
          <w:rFonts w:hint="eastAsia" w:ascii="宋体" w:hAnsi="宋体" w:eastAsia="宋体" w:cs="宋体"/>
          <w:b w:val="0"/>
          <w:i w:val="0"/>
          <w:caps w:val="0"/>
          <w:color w:val="auto"/>
          <w:spacing w:val="0"/>
          <w:w w:val="100"/>
          <w:kern w:val="2"/>
          <w:sz w:val="24"/>
          <w:szCs w:val="24"/>
          <w:highlight w:val="none"/>
          <w:lang w:val="en-US" w:eastAsia="zh-CN" w:bidi="ar-SA"/>
        </w:rPr>
        <w:t>验收结束后，应当出具验收书，列明各项标准的验收情况及项目总体评价，由验收双方共同签署。履约验收的各项资料应当存档备查。</w:t>
      </w:r>
    </w:p>
    <w:p w14:paraId="1A67E1A0">
      <w:pPr>
        <w:rPr>
          <w:rFonts w:hint="eastAsia"/>
          <w:lang w:val="en-US" w:eastAsia="zh-CN"/>
        </w:rPr>
      </w:pPr>
      <w:r>
        <w:rPr>
          <w:rFonts w:hint="eastAsia"/>
          <w:lang w:val="en-US" w:eastAsia="zh-CN"/>
        </w:rPr>
        <w:br w:type="page"/>
      </w:r>
    </w:p>
    <w:p w14:paraId="10D3FD95">
      <w:pPr>
        <w:pStyle w:val="7"/>
        <w:ind w:firstLine="0"/>
        <w:jc w:val="center"/>
        <w:outlineLvl w:val="0"/>
        <w:rPr>
          <w:rFonts w:hint="eastAsia" w:ascii="宋体" w:hAnsi="宋体" w:eastAsia="宋体" w:cs="宋体"/>
          <w:b/>
          <w:bCs/>
          <w:color w:val="auto"/>
          <w:sz w:val="32"/>
          <w:szCs w:val="32"/>
          <w:highlight w:val="none"/>
          <w:lang w:val="en-US" w:eastAsia="zh-CN"/>
        </w:rPr>
      </w:pPr>
      <w:bookmarkStart w:id="1711" w:name="_Toc21856"/>
      <w:bookmarkStart w:id="1712" w:name="_Toc30304"/>
      <w:bookmarkStart w:id="1713" w:name="_Toc28328"/>
      <w:r>
        <w:rPr>
          <w:rFonts w:hint="eastAsia" w:ascii="宋体" w:hAnsi="宋体" w:eastAsia="宋体" w:cs="宋体"/>
          <w:b/>
          <w:bCs/>
          <w:color w:val="auto"/>
          <w:sz w:val="32"/>
          <w:szCs w:val="32"/>
          <w:highlight w:val="none"/>
          <w:lang w:val="en-US" w:eastAsia="zh-CN"/>
        </w:rPr>
        <w:t>第6章  评标方法和标准</w:t>
      </w:r>
      <w:bookmarkEnd w:id="14"/>
      <w:bookmarkEnd w:id="15"/>
      <w:bookmarkEnd w:id="16"/>
      <w:bookmarkEnd w:id="17"/>
      <w:bookmarkEnd w:id="18"/>
      <w:bookmarkEnd w:id="19"/>
      <w:bookmarkEnd w:id="20"/>
      <w:bookmarkEnd w:id="1700"/>
      <w:bookmarkEnd w:id="1701"/>
      <w:bookmarkEnd w:id="1711"/>
      <w:bookmarkEnd w:id="1712"/>
      <w:bookmarkEnd w:id="1713"/>
    </w:p>
    <w:p w14:paraId="72CD02F0">
      <w:pPr>
        <w:pStyle w:val="9"/>
        <w:keepNext w:val="0"/>
        <w:keepLines w:val="0"/>
        <w:pageBreakBefore w:val="0"/>
        <w:tabs>
          <w:tab w:val="clear" w:pos="567"/>
        </w:tabs>
        <w:kinsoku/>
        <w:wordWrap/>
        <w:overflowPunct/>
        <w:topLinePunct w:val="0"/>
        <w:autoSpaceDE/>
        <w:autoSpaceDN/>
        <w:bidi w:val="0"/>
        <w:adjustRightInd/>
        <w:spacing w:before="0" w:line="400" w:lineRule="exact"/>
        <w:ind w:firstLine="540" w:firstLineChars="225"/>
        <w:outlineLvl w:val="9"/>
        <w:rPr>
          <w:rFonts w:hint="eastAsia" w:ascii="宋体" w:hAnsi="宋体" w:eastAsia="宋体" w:cs="宋体"/>
          <w:color w:val="auto"/>
          <w:highlight w:val="none"/>
        </w:rPr>
      </w:pPr>
      <w:r>
        <w:rPr>
          <w:rFonts w:hint="eastAsia" w:ascii="宋体" w:hAnsi="宋体" w:eastAsia="宋体" w:cs="宋体"/>
          <w:color w:val="auto"/>
          <w:highlight w:val="none"/>
        </w:rPr>
        <w:t>本项目将按照招标文件第一章供应商须知中“五 开标及评标”、“六 确定中标”及本章的规定评标。</w:t>
      </w:r>
    </w:p>
    <w:p w14:paraId="142F1FFA">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1.投标无效的情形：</w:t>
      </w:r>
    </w:p>
    <w:p w14:paraId="184498B0">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（1）单位负责人为同一人或者存在直接控股、管理关系的不同供应商，其相关投标将被认定为投标无效。</w:t>
      </w:r>
    </w:p>
    <w:p w14:paraId="4134C670">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（2）供应商报价超过招标文件规定的预算金额或者分项、分包最高限价的，其投标将被认定为投标无效。</w:t>
      </w:r>
    </w:p>
    <w:p w14:paraId="154CE215">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供应商应认真阅读招标文件所有的事项、格式、条款和技术规范等。如供应商没有按照招标文件要求提交全部资料，或者投标文件没有对投标文件在各方面都做出实质性响应，可能导致其投标将被认定为投标无效。</w:t>
      </w:r>
    </w:p>
    <w:p w14:paraId="3B1E23C3">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）供应商应当对所投分包投标文件中“</w:t>
      </w:r>
      <w:r>
        <w:rPr>
          <w:rFonts w:hint="eastAsia" w:ascii="宋体" w:hAnsi="宋体" w:eastAsia="宋体" w:cs="宋体"/>
          <w:color w:val="auto"/>
          <w:sz w:val="24"/>
          <w:highlight w:val="none"/>
          <w:lang w:val="en-US" w:eastAsia="zh-CN"/>
        </w:rPr>
        <w:t>货物</w:t>
      </w:r>
      <w:r>
        <w:rPr>
          <w:rFonts w:hint="eastAsia" w:ascii="宋体" w:hAnsi="宋体" w:eastAsia="宋体" w:cs="宋体"/>
          <w:color w:val="auto"/>
          <w:sz w:val="24"/>
          <w:highlight w:val="none"/>
        </w:rPr>
        <w:t>内容”所列的所有内容进行投标，如仅响应某一包中的部分内容，其该包投标将被认定为投标无效。</w:t>
      </w:r>
    </w:p>
    <w:p w14:paraId="0C60B149">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）供应商未按本须知第12.1和12.3条规定提交投标保证金的，其投标资格将被认定为投标无效。</w:t>
      </w:r>
    </w:p>
    <w:p w14:paraId="1C785788">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）所有投标均以人民币报价。供应商的投标报价应遵守《中华人民共和国价格法》。同时，根据《中华人民共和国政府采购法》第二条的规定，为保证公平竞争，如有</w:t>
      </w:r>
      <w:r>
        <w:rPr>
          <w:rFonts w:hint="eastAsia" w:ascii="宋体" w:hAnsi="宋体" w:eastAsia="宋体" w:cs="宋体"/>
          <w:color w:val="auto"/>
          <w:sz w:val="24"/>
          <w:highlight w:val="none"/>
          <w:lang w:val="en-US" w:eastAsia="zh-CN"/>
        </w:rPr>
        <w:t>货物</w:t>
      </w:r>
      <w:r>
        <w:rPr>
          <w:rFonts w:hint="eastAsia" w:ascii="宋体" w:hAnsi="宋体" w:eastAsia="宋体" w:cs="宋体"/>
          <w:color w:val="auto"/>
          <w:sz w:val="24"/>
          <w:highlight w:val="none"/>
        </w:rPr>
        <w:t>主体部分的赠与行为，其投标将被认定为投标无效。</w:t>
      </w:r>
    </w:p>
    <w:p w14:paraId="6A9005B8">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）供应商所报的各分项投标单价在合同履行过程中是固定不变的，不得以任何理由予以变更。任何包含价格调整要求的投标，其投标将被认定为投标无效。</w:t>
      </w:r>
    </w:p>
    <w:p w14:paraId="74F4B58D">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）投标应在供应商须知资料表中规定时间内保持有效。投标有效期不满足要求的投标，其投标将被认定为投标无效。</w:t>
      </w:r>
    </w:p>
    <w:p w14:paraId="669289EE">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）采购人或采购代理机构将在开标前1个工作日至投标截止后1小时的期间内查询供应商的信用记录。供应商存在不良信用记录的，其投标将被认定为投标无效。</w:t>
      </w:r>
    </w:p>
    <w:p w14:paraId="26CE86C9">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10</w:t>
      </w:r>
      <w:r>
        <w:rPr>
          <w:rFonts w:hint="eastAsia" w:ascii="宋体" w:hAnsi="宋体" w:eastAsia="宋体" w:cs="宋体"/>
          <w:color w:val="auto"/>
          <w:sz w:val="24"/>
          <w:highlight w:val="none"/>
        </w:rPr>
        <w:t>）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14:paraId="7CB61EEB">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11</w:t>
      </w:r>
      <w:r>
        <w:rPr>
          <w:rFonts w:hint="eastAsia" w:ascii="宋体" w:hAnsi="宋体" w:eastAsia="宋体" w:cs="宋体"/>
          <w:color w:val="auto"/>
          <w:sz w:val="24"/>
          <w:highlight w:val="none"/>
        </w:rPr>
        <w:t>）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投标无效。</w:t>
      </w:r>
    </w:p>
    <w:p w14:paraId="7216A390">
      <w:pPr>
        <w:keepNext w:val="0"/>
        <w:keepLines w:val="0"/>
        <w:pageBreakBefore w:val="0"/>
        <w:widowControl/>
        <w:kinsoku/>
        <w:wordWrap/>
        <w:overflowPunct/>
        <w:topLinePunct w:val="0"/>
        <w:autoSpaceDE/>
        <w:autoSpaceDN/>
        <w:bidi w:val="0"/>
        <w:adjustRightInd/>
        <w:spacing w:line="400" w:lineRule="exac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12</w:t>
      </w:r>
      <w:r>
        <w:rPr>
          <w:rFonts w:hint="eastAsia" w:ascii="宋体" w:hAnsi="宋体" w:eastAsia="宋体" w:cs="宋体"/>
          <w:color w:val="auto"/>
          <w:sz w:val="24"/>
          <w:highlight w:val="none"/>
        </w:rPr>
        <w:t>）如发现下列情况之一的，其投标将被认定为投标无效：未按招标文件规定的形式和金额提交投标保证金的；未按照招标文件规定要求签署、盖章的；未满足招标文件中技术条款的实质性要求；与其他供应商串通投标，或者与</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14:paraId="05EBEB2C">
      <w:pPr>
        <w:keepNext w:val="0"/>
        <w:keepLines w:val="0"/>
        <w:pageBreakBefore w:val="0"/>
        <w:widowControl/>
        <w:kinsoku/>
        <w:wordWrap/>
        <w:overflowPunct/>
        <w:topLinePunct w:val="0"/>
        <w:autoSpaceDE/>
        <w:autoSpaceDN/>
        <w:bidi w:val="0"/>
        <w:adjustRightInd/>
        <w:spacing w:line="400" w:lineRule="exact"/>
        <w:jc w:val="left"/>
        <w:outlineLvl w:val="9"/>
        <w:rPr>
          <w:rFonts w:hint="eastAsia" w:ascii="宋体" w:hAnsi="宋体" w:eastAsia="宋体" w:cs="宋体"/>
          <w:b/>
          <w:bCs/>
          <w:color w:val="auto"/>
          <w:kern w:val="2"/>
          <w:sz w:val="24"/>
          <w:szCs w:val="24"/>
          <w:highlight w:val="none"/>
          <w:u w:val="none"/>
          <w:lang w:val="en-US" w:eastAsia="zh-CN" w:bidi="ar-SA"/>
        </w:rPr>
      </w:pPr>
      <w:r>
        <w:rPr>
          <w:rFonts w:hint="eastAsia" w:ascii="宋体" w:hAnsi="宋体" w:eastAsia="宋体" w:cs="宋体"/>
          <w:b/>
          <w:bCs/>
          <w:color w:val="auto"/>
          <w:sz w:val="24"/>
          <w:highlight w:val="none"/>
        </w:rPr>
        <w:t>2</w:t>
      </w:r>
      <w:r>
        <w:rPr>
          <w:rFonts w:hint="eastAsia" w:ascii="宋体" w:hAnsi="宋体" w:eastAsia="宋体" w:cs="宋体"/>
          <w:b/>
          <w:bCs/>
          <w:color w:val="auto"/>
          <w:sz w:val="24"/>
          <w:highlight w:val="none"/>
          <w:lang w:val="en-US" w:eastAsia="zh-CN"/>
        </w:rPr>
        <w:t>.</w:t>
      </w:r>
      <w:r>
        <w:rPr>
          <w:rFonts w:hint="eastAsia" w:ascii="宋体" w:hAnsi="宋体" w:eastAsia="宋体" w:cs="宋体"/>
          <w:b/>
          <w:bCs/>
          <w:color w:val="auto"/>
          <w:kern w:val="2"/>
          <w:sz w:val="24"/>
          <w:szCs w:val="24"/>
          <w:highlight w:val="none"/>
          <w:u w:val="none"/>
          <w:lang w:val="en-US" w:eastAsia="zh-CN" w:bidi="ar-SA"/>
        </w:rPr>
        <w:t>本项目专门面向中小企业采购。根据《财政部关于进一步加大政府采购支持中小企业力度的通知》财库〔2022〕19号、《政府采购促进中小企业发展管理办法》（财库[2020]46号）、《财政部司法部关于政府采购支持监狱企业发展有关问 题 的通知》（财库〔2014〕68号）、《三部门联合发布关于促进残疾人就业政府采购政策的通知》（财库〔2017〕141号）的规定，其中小型、微型及小微企业在投标文件中提交了《中小企业声明函》、《残疾人福利性单位声明函》或省级以上监狱管理局、戒毒管理局（含新疆生产建设兵团）出具的属于监狱企业的证明文件的供应商，其报价</w:t>
      </w:r>
      <w:r>
        <w:rPr>
          <w:rFonts w:hint="eastAsia" w:ascii="宋体" w:hAnsi="宋体" w:cs="宋体"/>
          <w:b/>
          <w:bCs/>
          <w:color w:val="auto"/>
          <w:kern w:val="2"/>
          <w:sz w:val="24"/>
          <w:szCs w:val="24"/>
          <w:highlight w:val="none"/>
          <w:u w:val="none"/>
          <w:lang w:val="en-US" w:eastAsia="zh-CN" w:bidi="ar-SA"/>
        </w:rPr>
        <w:t>不进行</w:t>
      </w:r>
      <w:r>
        <w:rPr>
          <w:rFonts w:hint="eastAsia" w:ascii="宋体" w:hAnsi="宋体" w:eastAsia="宋体" w:cs="宋体"/>
          <w:b/>
          <w:bCs/>
          <w:color w:val="auto"/>
          <w:kern w:val="2"/>
          <w:sz w:val="24"/>
          <w:szCs w:val="24"/>
          <w:highlight w:val="none"/>
          <w:u w:val="none"/>
          <w:lang w:val="en-US" w:eastAsia="zh-CN" w:bidi="ar-SA"/>
        </w:rPr>
        <w:t>扣除</w:t>
      </w:r>
      <w:r>
        <w:rPr>
          <w:rFonts w:hint="eastAsia" w:ascii="宋体" w:hAnsi="宋体" w:cs="宋体"/>
          <w:b/>
          <w:bCs/>
          <w:color w:val="auto"/>
          <w:kern w:val="2"/>
          <w:sz w:val="24"/>
          <w:szCs w:val="24"/>
          <w:highlight w:val="none"/>
          <w:u w:val="none"/>
          <w:lang w:val="en-US" w:eastAsia="zh-CN" w:bidi="ar-SA"/>
        </w:rPr>
        <w:t>。</w:t>
      </w:r>
      <w:r>
        <w:rPr>
          <w:rFonts w:hint="eastAsia" w:ascii="宋体" w:hAnsi="宋体" w:eastAsia="宋体" w:cs="宋体"/>
          <w:b/>
          <w:bCs/>
          <w:color w:val="auto"/>
          <w:kern w:val="2"/>
          <w:sz w:val="24"/>
          <w:szCs w:val="24"/>
          <w:highlight w:val="none"/>
          <w:u w:val="none"/>
          <w:lang w:val="en-US" w:eastAsia="zh-CN" w:bidi="ar-SA"/>
        </w:rPr>
        <w:t xml:space="preserve"> </w:t>
      </w:r>
    </w:p>
    <w:p w14:paraId="609B9560">
      <w:pPr>
        <w:keepNext w:val="0"/>
        <w:keepLines w:val="0"/>
        <w:pageBreakBefore w:val="0"/>
        <w:widowControl/>
        <w:kinsoku/>
        <w:wordWrap/>
        <w:overflowPunct/>
        <w:topLinePunct w:val="0"/>
        <w:autoSpaceDE/>
        <w:autoSpaceDN/>
        <w:bidi w:val="0"/>
        <w:adjustRightInd/>
        <w:spacing w:line="400" w:lineRule="exact"/>
        <w:jc w:val="left"/>
        <w:outlineLvl w:val="9"/>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3.联合协议中约定</w:t>
      </w:r>
      <w:r>
        <w:rPr>
          <w:rFonts w:hint="eastAsia" w:ascii="宋体" w:hAnsi="宋体" w:eastAsia="宋体" w:cs="宋体"/>
          <w:color w:val="auto"/>
          <w:sz w:val="24"/>
          <w:highlight w:val="none"/>
        </w:rPr>
        <w:t>，小型、微型企业和监狱企业的协议合同金额占到联合体协议合同总金额30%以上的，可给予联合体</w:t>
      </w:r>
      <w:r>
        <w:rPr>
          <w:rFonts w:hint="eastAsia" w:ascii="宋体" w:hAnsi="宋体" w:eastAsia="宋体" w:cs="宋体"/>
          <w:color w:val="auto"/>
          <w:sz w:val="24"/>
          <w:highlight w:val="none"/>
          <w:u w:val="single"/>
        </w:rPr>
        <w:t xml:space="preserve"> 2%-3%</w:t>
      </w:r>
      <w:r>
        <w:rPr>
          <w:rFonts w:hint="eastAsia" w:ascii="宋体" w:hAnsi="宋体" w:eastAsia="宋体" w:cs="宋体"/>
          <w:color w:val="auto"/>
          <w:sz w:val="24"/>
          <w:highlight w:val="none"/>
        </w:rPr>
        <w:t>的价格扣除。</w:t>
      </w:r>
      <w:r>
        <w:rPr>
          <w:rFonts w:hint="eastAsia" w:ascii="宋体" w:hAnsi="宋体" w:eastAsia="宋体" w:cs="宋体"/>
          <w:b/>
          <w:bCs/>
          <w:color w:val="auto"/>
          <w:sz w:val="24"/>
          <w:highlight w:val="none"/>
        </w:rPr>
        <w:t>（本项目不适用）</w:t>
      </w:r>
    </w:p>
    <w:p w14:paraId="5E7B56E3">
      <w:pPr>
        <w:keepNext w:val="0"/>
        <w:keepLines w:val="0"/>
        <w:pageBreakBefore w:val="0"/>
        <w:widowControl/>
        <w:kinsoku/>
        <w:wordWrap/>
        <w:overflowPunct/>
        <w:topLinePunct w:val="0"/>
        <w:autoSpaceDE/>
        <w:autoSpaceDN/>
        <w:bidi w:val="0"/>
        <w:adjustRightInd/>
        <w:spacing w:line="400" w:lineRule="exact"/>
        <w:jc w:val="left"/>
        <w:outlineLvl w:val="9"/>
        <w:rPr>
          <w:rFonts w:hint="eastAsia" w:ascii="宋体" w:hAnsi="宋体" w:eastAsia="宋体" w:cs="宋体"/>
          <w:color w:val="auto"/>
          <w:sz w:val="24"/>
          <w:highlight w:val="none"/>
        </w:rPr>
      </w:pPr>
      <w:r>
        <w:rPr>
          <w:rFonts w:hint="eastAsia" w:ascii="宋体" w:hAnsi="宋体" w:eastAsia="宋体" w:cs="宋体"/>
          <w:color w:val="auto"/>
          <w:sz w:val="24"/>
          <w:highlight w:val="none"/>
        </w:rPr>
        <w:t>联合体各方均为小型、微型企业和监狱企业的，联合体视同为小型、微型企业和监狱企业。</w:t>
      </w:r>
    </w:p>
    <w:p w14:paraId="0E1B3ABD">
      <w:pPr>
        <w:pStyle w:val="9"/>
        <w:keepNext w:val="0"/>
        <w:keepLines w:val="0"/>
        <w:pageBreakBefore w:val="0"/>
        <w:tabs>
          <w:tab w:val="clear" w:pos="567"/>
        </w:tabs>
        <w:kinsoku/>
        <w:wordWrap/>
        <w:overflowPunct/>
        <w:topLinePunct w:val="0"/>
        <w:autoSpaceDE/>
        <w:autoSpaceDN/>
        <w:bidi w:val="0"/>
        <w:adjustRightInd/>
        <w:spacing w:before="0" w:line="400" w:lineRule="exact"/>
        <w:outlineLvl w:val="9"/>
        <w:rPr>
          <w:rFonts w:hint="eastAsia" w:ascii="宋体" w:hAnsi="宋体" w:eastAsia="宋体" w:cs="宋体"/>
          <w:color w:val="auto"/>
          <w:highlight w:val="none"/>
        </w:rPr>
      </w:pPr>
      <w:r>
        <w:rPr>
          <w:rFonts w:hint="eastAsia" w:ascii="宋体" w:hAnsi="宋体" w:eastAsia="宋体" w:cs="宋体"/>
          <w:b/>
          <w:bCs/>
          <w:color w:val="auto"/>
          <w:highlight w:val="none"/>
        </w:rPr>
        <w:t>4.供应商</w:t>
      </w:r>
      <w:r>
        <w:rPr>
          <w:rFonts w:hint="eastAsia" w:ascii="宋体" w:hAnsi="宋体" w:eastAsia="宋体" w:cs="宋体"/>
          <w:color w:val="auto"/>
          <w:highlight w:val="none"/>
        </w:rPr>
        <w:t>为提供服务需求在投标中伴随投标的产品如被列入财政部与国家主管部门颁发的节能产品目录或环境标志产品目录或无线局域网产品目录，应提供相关证明，在评标时予以优先采购，具体优惠措施为：</w:t>
      </w:r>
      <w:r>
        <w:rPr>
          <w:rFonts w:hint="eastAsia" w:ascii="宋体" w:hAnsi="宋体" w:eastAsia="宋体" w:cs="宋体"/>
          <w:color w:val="auto"/>
          <w:highlight w:val="none"/>
          <w:u w:val="single"/>
        </w:rPr>
        <w:t>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r>
        <w:rPr>
          <w:rFonts w:hint="eastAsia" w:ascii="宋体" w:hAnsi="宋体" w:eastAsia="宋体" w:cs="宋体"/>
          <w:color w:val="auto"/>
          <w:highlight w:val="none"/>
        </w:rPr>
        <w:t>。</w:t>
      </w:r>
    </w:p>
    <w:p w14:paraId="3265DFA0">
      <w:pPr>
        <w:pStyle w:val="9"/>
        <w:keepNext w:val="0"/>
        <w:keepLines w:val="0"/>
        <w:pageBreakBefore w:val="0"/>
        <w:tabs>
          <w:tab w:val="clear" w:pos="567"/>
        </w:tabs>
        <w:kinsoku/>
        <w:wordWrap/>
        <w:overflowPunct/>
        <w:topLinePunct w:val="0"/>
        <w:autoSpaceDE/>
        <w:autoSpaceDN/>
        <w:bidi w:val="0"/>
        <w:adjustRightInd/>
        <w:spacing w:before="0" w:line="400" w:lineRule="exact"/>
        <w:outlineLvl w:val="9"/>
        <w:rPr>
          <w:rFonts w:hint="eastAsia" w:ascii="宋体" w:hAnsi="宋体" w:eastAsia="宋体" w:cs="宋体"/>
          <w:color w:val="auto"/>
          <w:highlight w:val="none"/>
          <w:u w:val="single"/>
        </w:rPr>
      </w:pPr>
      <w:r>
        <w:rPr>
          <w:rFonts w:hint="eastAsia" w:ascii="宋体" w:hAnsi="宋体" w:eastAsia="宋体" w:cs="宋体"/>
          <w:b/>
          <w:bCs/>
          <w:color w:val="auto"/>
          <w:highlight w:val="none"/>
        </w:rPr>
        <w:t>5.对创新产</w:t>
      </w:r>
      <w:r>
        <w:rPr>
          <w:rFonts w:hint="eastAsia" w:ascii="宋体" w:hAnsi="宋体" w:eastAsia="宋体" w:cs="宋体"/>
          <w:color w:val="auto"/>
          <w:highlight w:val="none"/>
        </w:rPr>
        <w:t>品或创新性企业的优惠措施为：</w:t>
      </w:r>
      <w:r>
        <w:rPr>
          <w:rFonts w:hint="eastAsia" w:ascii="宋体" w:hAnsi="宋体" w:eastAsia="宋体" w:cs="宋体"/>
          <w:color w:val="auto"/>
          <w:highlight w:val="none"/>
          <w:u w:val="single"/>
        </w:rPr>
        <w:t xml:space="preserve">     /      </w:t>
      </w:r>
    </w:p>
    <w:p w14:paraId="7A6DB9CC">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6.开标：</w:t>
      </w:r>
    </w:p>
    <w:p w14:paraId="3D53F388">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0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eastAsia="zh-CN"/>
        </w:rPr>
        <w:t>供应商按照须知资料表中规定的开标时间和地点，在规定时间内上传投标文件。</w:t>
      </w:r>
    </w:p>
    <w:p w14:paraId="6C4E7504">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0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eastAsia="zh-CN"/>
        </w:rPr>
        <w:t>到投标截止时间，对供应商上传的投标文件进行解密，解密时长为30分钟。供应商须在规定时间内使用CA锁在政采云平台解密，解密失败或未在规定时间内解密，将无法参加下一阶段的</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lang w:eastAsia="zh-CN"/>
        </w:rPr>
        <w:t xml:space="preserve">，将被认定为无效投标。请供应商提前调试好CA锁，确定在操作时能正常使用。  </w:t>
      </w:r>
    </w:p>
    <w:p w14:paraId="3C45977E">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0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eastAsia="zh-CN"/>
        </w:rPr>
        <w:t>在开标记录时，代理机构开启签字时段，须供应商使用CA锁在政采云平台进行签字确认报价。</w:t>
      </w:r>
    </w:p>
    <w:p w14:paraId="384C58C0">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400" w:lineRule="exact"/>
        <w:ind w:left="720" w:leftChars="0" w:hanging="720" w:hangingChars="300"/>
        <w:jc w:val="both"/>
        <w:textAlignment w:val="baseline"/>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eastAsia="zh-CN"/>
        </w:rPr>
        <w:t>采购人登录政采云平台对供应商的资格证明材料进行审查。</w:t>
      </w:r>
    </w:p>
    <w:p w14:paraId="541343F0">
      <w:pPr>
        <w:pStyle w:val="16"/>
        <w:keepNext w:val="0"/>
        <w:keepLines w:val="0"/>
        <w:pageBreakBefore w:val="0"/>
        <w:kinsoku/>
        <w:wordWrap/>
        <w:overflowPunct/>
        <w:topLinePunct w:val="0"/>
        <w:autoSpaceDE/>
        <w:autoSpaceDN/>
        <w:bidi w:val="0"/>
        <w:adjustRightInd/>
        <w:spacing w:line="400" w:lineRule="exact"/>
        <w:outlineLvl w:val="9"/>
        <w:rPr>
          <w:rFonts w:hint="eastAsia" w:ascii="宋体" w:hAnsi="宋体" w:eastAsia="宋体" w:cs="宋体"/>
          <w:b/>
          <w:bCs/>
          <w:i w:val="0"/>
          <w:caps w:val="0"/>
          <w:color w:val="auto"/>
          <w:spacing w:val="0"/>
          <w:w w:val="100"/>
          <w:sz w:val="24"/>
          <w:highlight w:val="none"/>
          <w:lang w:val="en-US" w:eastAsia="zh-CN"/>
        </w:rPr>
      </w:pPr>
      <w:r>
        <w:rPr>
          <w:rFonts w:hint="eastAsia" w:ascii="宋体" w:hAnsi="宋体" w:eastAsia="宋体" w:cs="宋体"/>
          <w:b/>
          <w:bCs/>
          <w:i w:val="0"/>
          <w:caps w:val="0"/>
          <w:color w:val="auto"/>
          <w:spacing w:val="0"/>
          <w:w w:val="100"/>
          <w:sz w:val="24"/>
          <w:highlight w:val="none"/>
          <w:lang w:val="en-US" w:eastAsia="zh-CN"/>
        </w:rPr>
        <w:t>7.评标：</w:t>
      </w:r>
    </w:p>
    <w:p w14:paraId="6B40BD90">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（1）在政采云平台上随机抽取</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lang w:eastAsia="zh-CN"/>
        </w:rPr>
        <w:t>名相关专业专家</w:t>
      </w:r>
      <w:r>
        <w:rPr>
          <w:rFonts w:hint="eastAsia" w:ascii="宋体" w:hAnsi="宋体" w:eastAsia="宋体" w:cs="宋体"/>
          <w:color w:val="auto"/>
          <w:sz w:val="24"/>
          <w:szCs w:val="24"/>
          <w:highlight w:val="none"/>
        </w:rPr>
        <w:t>组建评标委员会，负责评标工作。本项目评标委员会由</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人组成</w:t>
      </w:r>
      <w:r>
        <w:rPr>
          <w:rFonts w:hint="eastAsia" w:ascii="宋体" w:hAnsi="宋体" w:cs="宋体"/>
          <w:color w:val="auto"/>
          <w:sz w:val="24"/>
          <w:szCs w:val="24"/>
          <w:highlight w:val="none"/>
          <w:lang w:eastAsia="zh-CN"/>
        </w:rPr>
        <w:t>。</w:t>
      </w:r>
    </w:p>
    <w:p w14:paraId="2107625F">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（2）评标前，工作人员收取所有参会人员的手机，主持人宣读评标纪律。</w:t>
      </w:r>
    </w:p>
    <w:p w14:paraId="1E5E936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对采购单位的纪律要求：采购单位不得泄露招投标活动中应当保密的情况和资料，不得与供应商串通损害国家利益、社会公共利益或者他人合法权益</w:t>
      </w:r>
    </w:p>
    <w:p w14:paraId="2A3A3848">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对与开标大会活动有关的工作人员的纪律要求：与开标大会活动有关的工作人员不得收受他人的财物或者其他好处，不得向他人透露对中标候选人的推荐情况以及评标有关的其他情况。</w:t>
      </w:r>
    </w:p>
    <w:p w14:paraId="2CA5AF93">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对评标专家的评标纪律及注意事项：</w:t>
      </w:r>
    </w:p>
    <w:p w14:paraId="3337B8D5">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①与本次评标工作无关的人员不得进入评标现场；</w:t>
      </w:r>
    </w:p>
    <w:p w14:paraId="3A8E8557">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②在评标过程中评标委员会以外人员不得干预或影响正常评标工作，不得明示或暗示其倾向性、引导性言论；</w:t>
      </w:r>
    </w:p>
    <w:p w14:paraId="49F79D2C">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③评标委员会成员要严格遵守政府采购法、政府采购法实施条例、政府采购货物和服务招标投标管理办法及评标专家管理办法，要求公正、公平的参与评标工作；</w:t>
      </w:r>
    </w:p>
    <w:p w14:paraId="68F9FD99">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④评标委员会成员要依法独立评标，并对评标意见承担个人责任。评标委员会成员对需要共同认定的事项存在争议的，按照少数服从多数的原则做出结论。持不同意见的评标委员会成员应当在评标报告上签署不同意见并说明理由，否则视为同意。</w:t>
      </w:r>
    </w:p>
    <w:p w14:paraId="590EC489">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⑤评标委员会成员要认真阅读招标文件和所有供应商的投标文件，对所有投标文件逐一进行资格性、符合性检查，按招标文件规定的评标方法和标准，进行比较和评价；对需要借助专业知识评判的主观评分项，应当严格按照评分细则公正评分。</w:t>
      </w:r>
    </w:p>
    <w:p w14:paraId="6C62F4E8">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⑥评标委员会成员不得明示或者暗示其倾向性、引导性意见，不得修改或细化投标文件确定的评标程序、评标方法、评标因素和评标标准，不得接受供应商主动提出的澄清和解释，不得征询采购单位代表的倾向性意见，不得协商评分，不得记录、复制或带走任何评标资料。</w:t>
      </w:r>
    </w:p>
    <w:p w14:paraId="7F6E30E9">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⑦评标专家与供应商有下列利害关系之一的人员，应当回避</w:t>
      </w:r>
    </w:p>
    <w:p w14:paraId="128829E2">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参加采购活动前3年内与供应商存在劳动关系；</w:t>
      </w:r>
    </w:p>
    <w:p w14:paraId="31711379">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参加采购活动前3年内担任供应商的董事、监事；</w:t>
      </w:r>
    </w:p>
    <w:p w14:paraId="4A35E41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参加采购活动前3年内是供应商的控股股东或者实际控制人；</w:t>
      </w:r>
    </w:p>
    <w:p w14:paraId="277239CD">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firstLine="480" w:firstLineChars="200"/>
        <w:jc w:val="left"/>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与供应商的法定代表人或者负责人有夫妻、直系血亲、三代以内旁系血亲或者近姻亲关系。</w:t>
      </w:r>
    </w:p>
    <w:p w14:paraId="02B0B1ED">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（3）评标委员会应当按照招标文件中规定的评标方法和标准，对所有投标文件进行资格性审查，再对符合资格要求的供应商的投标文件进行符合性审查，以确定其是否满足招标文件的实质性要求。</w:t>
      </w:r>
    </w:p>
    <w:p w14:paraId="6E793648">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4）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签字。供应商的澄清、说明或者补正不得超出投标文件的范围或者改变投标文件的实质性内容。</w:t>
      </w:r>
    </w:p>
    <w:p w14:paraId="13477B62">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5）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14:paraId="18D2456B">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（6）评标委员会成员对需要共同认定的事项存在争议的，应当按照少数服从多数的原则作出结论。持不同意见的评标委员会成员应当在评标报告上签署不同意见及理由，否则视为同意评标报告。</w:t>
      </w:r>
    </w:p>
    <w:p w14:paraId="78777FBB">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注：现场所有参会人员均要对开标内容进行保密。</w:t>
      </w:r>
    </w:p>
    <w:p w14:paraId="04CF20EF">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bCs/>
          <w:i w:val="0"/>
          <w:caps w:val="0"/>
          <w:color w:val="auto"/>
          <w:spacing w:val="0"/>
          <w:w w:val="100"/>
          <w:sz w:val="24"/>
          <w:highlight w:val="none"/>
          <w:lang w:val="en-US" w:eastAsia="zh-CN"/>
        </w:rPr>
      </w:pPr>
      <w:r>
        <w:rPr>
          <w:rFonts w:hint="eastAsia" w:ascii="宋体" w:hAnsi="宋体" w:eastAsia="宋体" w:cs="宋体"/>
          <w:b/>
          <w:bCs/>
          <w:i w:val="0"/>
          <w:caps w:val="0"/>
          <w:color w:val="auto"/>
          <w:spacing w:val="0"/>
          <w:w w:val="100"/>
          <w:sz w:val="24"/>
          <w:highlight w:val="none"/>
          <w:lang w:val="en-US" w:eastAsia="zh-CN"/>
        </w:rPr>
        <w:t>8.答疑澄清：</w:t>
      </w:r>
    </w:p>
    <w:p w14:paraId="42723D9E">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（1）评标委员会对于投标文件中含义不明确、同类问题表述不一致或者有明显文字和计算错误的内容，要求供应商以书面形式现场作出必要的澄清、说明或者补正。</w:t>
      </w:r>
    </w:p>
    <w:p w14:paraId="77F4C3D8">
      <w:pPr>
        <w:pStyle w:val="16"/>
        <w:keepNext w:val="0"/>
        <w:keepLines w:val="0"/>
        <w:pageBreakBefore w:val="0"/>
        <w:numPr>
          <w:ilvl w:val="0"/>
          <w:numId w:val="0"/>
        </w:numPr>
        <w:kinsoku/>
        <w:wordWrap/>
        <w:overflowPunct/>
        <w:topLinePunct w:val="0"/>
        <w:autoSpaceDE/>
        <w:autoSpaceDN/>
        <w:bidi w:val="0"/>
        <w:adjustRightInd/>
        <w:spacing w:line="400" w:lineRule="exact"/>
        <w:ind w:leftChars="0"/>
        <w:outlineLvl w:val="9"/>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（2）供应商的澄清、说明或者补正应当采用书面形式，并加盖公章，或者由法定代表人或其授权的代表签字。供应商的澄清、说明或者补正不得超出投标文件的范围或者改变投标文件的实质性内容。</w:t>
      </w:r>
    </w:p>
    <w:p w14:paraId="740C1672">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bCs/>
          <w:i w:val="0"/>
          <w:caps w:val="0"/>
          <w:color w:val="auto"/>
          <w:spacing w:val="0"/>
          <w:w w:val="100"/>
          <w:sz w:val="24"/>
          <w:highlight w:val="none"/>
          <w:lang w:val="en-US" w:eastAsia="zh-CN"/>
        </w:rPr>
      </w:pPr>
      <w:r>
        <w:rPr>
          <w:rFonts w:hint="eastAsia" w:ascii="宋体" w:hAnsi="宋体" w:eastAsia="宋体" w:cs="宋体"/>
          <w:b/>
          <w:bCs/>
          <w:i w:val="0"/>
          <w:caps w:val="0"/>
          <w:color w:val="auto"/>
          <w:spacing w:val="0"/>
          <w:w w:val="100"/>
          <w:sz w:val="24"/>
          <w:highlight w:val="none"/>
          <w:lang w:val="en-US" w:eastAsia="zh-CN"/>
        </w:rPr>
        <w:t>9.定标：</w:t>
      </w:r>
    </w:p>
    <w:p w14:paraId="0F38C902">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（1）采购代理机构应当在评标结束后2个工作日内将评标报告送采购人。</w:t>
      </w:r>
    </w:p>
    <w:p w14:paraId="6C20B5B7">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（2）采购人应当自收到评标报告之日起</w:t>
      </w:r>
      <w:r>
        <w:rPr>
          <w:rFonts w:hint="eastAsia" w:ascii="宋体" w:hAnsi="宋体" w:cs="宋体"/>
          <w:b w:val="0"/>
          <w:i w:val="0"/>
          <w:caps w:val="0"/>
          <w:color w:val="auto"/>
          <w:spacing w:val="0"/>
          <w:w w:val="100"/>
          <w:sz w:val="24"/>
          <w:highlight w:val="none"/>
          <w:lang w:val="en-US" w:eastAsia="zh-CN"/>
        </w:rPr>
        <w:t>5</w:t>
      </w:r>
      <w:r>
        <w:rPr>
          <w:rFonts w:hint="eastAsia" w:ascii="宋体" w:hAnsi="宋体" w:eastAsia="宋体" w:cs="宋体"/>
          <w:b w:val="0"/>
          <w:i w:val="0"/>
          <w:caps w:val="0"/>
          <w:color w:val="auto"/>
          <w:spacing w:val="0"/>
          <w:w w:val="100"/>
          <w:sz w:val="24"/>
          <w:highlight w:val="none"/>
          <w:lang w:val="en-US" w:eastAsia="zh-CN"/>
        </w:rPr>
        <w:t>个工作日内，在评标报告确定的中标候选人名单中按顺序确定中标人。中标候选人并列的，由采购人按照招标文件规定的方式确定中标人。</w:t>
      </w:r>
    </w:p>
    <w:p w14:paraId="5F7542E4">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（3）采购人在收到评标报告5个工作日内未按评标报告推荐的中标候选人顺序确定中标人，又不能说明合法理由的，视同按评标报告推荐的顺序确定排名第一的中标候选人为中标人。</w:t>
      </w:r>
    </w:p>
    <w:p w14:paraId="36980BE4">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4）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588E4A52">
      <w:pPr>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jc w:val="both"/>
        <w:textAlignment w:val="baseline"/>
        <w:outlineLvl w:val="9"/>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5）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14:paraId="6A9D25A4">
      <w:pPr>
        <w:outlineLvl w:val="9"/>
        <w:rPr>
          <w:rFonts w:hint="eastAsia" w:ascii="宋体" w:hAnsi="宋体" w:eastAsia="宋体" w:cs="宋体"/>
          <w:b w:val="0"/>
          <w:i w:val="0"/>
          <w:caps w:val="0"/>
          <w:color w:val="auto"/>
          <w:spacing w:val="0"/>
          <w:w w:val="100"/>
          <w:sz w:val="24"/>
          <w:highlight w:val="none"/>
          <w:lang w:val="en-US" w:eastAsia="zh-CN"/>
        </w:rPr>
      </w:pPr>
      <w:bookmarkStart w:id="1714" w:name="_Toc5478"/>
      <w:bookmarkStart w:id="1715" w:name="_Toc9116"/>
      <w:bookmarkStart w:id="1716" w:name="_Toc1327"/>
      <w:bookmarkStart w:id="1717" w:name="_Toc21866"/>
      <w:bookmarkStart w:id="1718" w:name="_Toc29085"/>
      <w:bookmarkStart w:id="1719" w:name="_Toc21578"/>
      <w:bookmarkStart w:id="1720" w:name="_Toc19412"/>
      <w:bookmarkStart w:id="1721" w:name="_Toc6128"/>
      <w:bookmarkStart w:id="1722" w:name="_Toc7467"/>
      <w:bookmarkStart w:id="1723" w:name="_Toc5578"/>
      <w:bookmarkStart w:id="1724" w:name="_Toc9835"/>
      <w:bookmarkStart w:id="1725" w:name="_Toc5776"/>
      <w:bookmarkStart w:id="1726" w:name="_Toc28782"/>
      <w:bookmarkStart w:id="1727" w:name="_Toc23103"/>
      <w:bookmarkStart w:id="1728" w:name="_Toc25901"/>
      <w:bookmarkStart w:id="1729" w:name="_Toc10419"/>
      <w:bookmarkStart w:id="1730" w:name="_Toc5986"/>
    </w:p>
    <w:p w14:paraId="656E23F2">
      <w:pPr>
        <w:pStyle w:val="7"/>
        <w:outlineLvl w:val="9"/>
        <w:rPr>
          <w:rFonts w:hint="eastAsia" w:ascii="宋体" w:hAnsi="宋体" w:eastAsia="宋体" w:cs="宋体"/>
          <w:b w:val="0"/>
          <w:i w:val="0"/>
          <w:caps w:val="0"/>
          <w:color w:val="auto"/>
          <w:spacing w:val="0"/>
          <w:w w:val="100"/>
          <w:sz w:val="24"/>
          <w:highlight w:val="none"/>
          <w:lang w:val="en-US" w:eastAsia="zh-CN"/>
        </w:rPr>
      </w:pPr>
    </w:p>
    <w:p w14:paraId="3E71C5A8">
      <w:pPr>
        <w:pStyle w:val="8"/>
        <w:outlineLvl w:val="9"/>
        <w:rPr>
          <w:rFonts w:hint="eastAsia" w:ascii="宋体" w:hAnsi="宋体" w:eastAsia="宋体" w:cs="宋体"/>
          <w:b w:val="0"/>
          <w:i w:val="0"/>
          <w:caps w:val="0"/>
          <w:color w:val="auto"/>
          <w:spacing w:val="0"/>
          <w:w w:val="100"/>
          <w:sz w:val="24"/>
          <w:highlight w:val="none"/>
          <w:lang w:val="en-US" w:eastAsia="zh-CN"/>
        </w:rPr>
      </w:pPr>
    </w:p>
    <w:p w14:paraId="1B090B79">
      <w:pPr>
        <w:outlineLvl w:val="9"/>
        <w:rPr>
          <w:rFonts w:hint="eastAsia" w:ascii="宋体" w:hAnsi="宋体" w:eastAsia="宋体" w:cs="宋体"/>
          <w:b w:val="0"/>
          <w:i w:val="0"/>
          <w:caps w:val="0"/>
          <w:color w:val="auto"/>
          <w:spacing w:val="0"/>
          <w:w w:val="100"/>
          <w:sz w:val="24"/>
          <w:highlight w:val="none"/>
          <w:lang w:val="en-US" w:eastAsia="zh-CN"/>
        </w:rPr>
      </w:pPr>
    </w:p>
    <w:p w14:paraId="61CDFCAF">
      <w:pPr>
        <w:outlineLvl w:val="9"/>
        <w:rPr>
          <w:rFonts w:hint="eastAsia" w:ascii="宋体" w:hAnsi="宋体" w:eastAsia="宋体" w:cs="宋体"/>
          <w:b w:val="0"/>
          <w:i w:val="0"/>
          <w:caps w:val="0"/>
          <w:color w:val="auto"/>
          <w:spacing w:val="0"/>
          <w:w w:val="100"/>
          <w:sz w:val="24"/>
          <w:highlight w:val="none"/>
          <w:lang w:val="en-US" w:eastAsia="zh-CN"/>
        </w:rPr>
      </w:pPr>
    </w:p>
    <w:p w14:paraId="22121CE3">
      <w:pPr>
        <w:pStyle w:val="7"/>
        <w:outlineLvl w:val="9"/>
        <w:rPr>
          <w:rFonts w:hint="eastAsia" w:ascii="宋体" w:hAnsi="宋体" w:eastAsia="宋体" w:cs="宋体"/>
          <w:b w:val="0"/>
          <w:i w:val="0"/>
          <w:caps w:val="0"/>
          <w:color w:val="auto"/>
          <w:spacing w:val="0"/>
          <w:w w:val="100"/>
          <w:sz w:val="24"/>
          <w:highlight w:val="none"/>
          <w:lang w:val="en-US" w:eastAsia="zh-CN"/>
        </w:rPr>
      </w:pPr>
    </w:p>
    <w:p w14:paraId="4964D3C5">
      <w:pPr>
        <w:pStyle w:val="8"/>
        <w:rPr>
          <w:rFonts w:hint="eastAsia" w:ascii="宋体" w:hAnsi="宋体" w:eastAsia="宋体" w:cs="宋体"/>
          <w:b w:val="0"/>
          <w:i w:val="0"/>
          <w:caps w:val="0"/>
          <w:color w:val="auto"/>
          <w:spacing w:val="0"/>
          <w:w w:val="100"/>
          <w:sz w:val="24"/>
          <w:highlight w:val="none"/>
          <w:lang w:val="en-US" w:eastAsia="zh-CN"/>
        </w:rPr>
      </w:pPr>
    </w:p>
    <w:p w14:paraId="41DBA4BF">
      <w:pPr>
        <w:rPr>
          <w:rFonts w:hint="eastAsia" w:ascii="宋体" w:hAnsi="宋体" w:eastAsia="宋体" w:cs="宋体"/>
          <w:b w:val="0"/>
          <w:i w:val="0"/>
          <w:caps w:val="0"/>
          <w:color w:val="auto"/>
          <w:spacing w:val="0"/>
          <w:w w:val="100"/>
          <w:sz w:val="24"/>
          <w:highlight w:val="none"/>
          <w:lang w:val="en-US" w:eastAsia="zh-CN"/>
        </w:rPr>
      </w:pPr>
    </w:p>
    <w:p w14:paraId="40D21E04">
      <w:pPr>
        <w:outlineLvl w:val="9"/>
        <w:rPr>
          <w:rFonts w:hint="eastAsia" w:ascii="宋体" w:hAnsi="宋体" w:eastAsia="宋体" w:cs="宋体"/>
          <w:b w:val="0"/>
          <w:i w:val="0"/>
          <w:caps w:val="0"/>
          <w:color w:val="auto"/>
          <w:spacing w:val="0"/>
          <w:w w:val="100"/>
          <w:sz w:val="24"/>
          <w:highlight w:val="none"/>
          <w:lang w:val="en-US" w:eastAsia="zh-CN"/>
        </w:rPr>
      </w:pPr>
    </w:p>
    <w:p w14:paraId="460FBAC6">
      <w:pPr>
        <w:pStyle w:val="7"/>
        <w:rPr>
          <w:rFonts w:hint="eastAsia" w:ascii="宋体" w:hAnsi="宋体" w:eastAsia="宋体" w:cs="宋体"/>
          <w:b w:val="0"/>
          <w:i w:val="0"/>
          <w:caps w:val="0"/>
          <w:color w:val="auto"/>
          <w:spacing w:val="0"/>
          <w:w w:val="100"/>
          <w:sz w:val="24"/>
          <w:highlight w:val="none"/>
          <w:lang w:val="en-US" w:eastAsia="zh-CN"/>
        </w:rPr>
      </w:pPr>
    </w:p>
    <w:p w14:paraId="433AAA65">
      <w:pPr>
        <w:pStyle w:val="8"/>
        <w:rPr>
          <w:rFonts w:hint="eastAsia" w:ascii="宋体" w:hAnsi="宋体" w:eastAsia="宋体" w:cs="宋体"/>
          <w:highlight w:val="none"/>
          <w:lang w:val="en-US" w:eastAsia="zh-CN"/>
        </w:rPr>
      </w:pPr>
    </w:p>
    <w:p w14:paraId="2372A8D2">
      <w:pPr>
        <w:rPr>
          <w:rFonts w:hint="eastAsia" w:ascii="宋体" w:hAnsi="宋体" w:eastAsia="宋体" w:cs="宋体"/>
          <w:color w:val="auto"/>
          <w:highlight w:val="none"/>
        </w:rPr>
      </w:pPr>
    </w:p>
    <w:p w14:paraId="5DFD6B0D">
      <w:pPr>
        <w:rPr>
          <w:rFonts w:hint="eastAsia" w:ascii="宋体" w:hAnsi="宋体" w:eastAsia="宋体" w:cs="宋体"/>
          <w:color w:val="auto"/>
          <w:highlight w:val="none"/>
        </w:rPr>
      </w:pPr>
      <w:bookmarkStart w:id="1731" w:name="_Toc30954"/>
      <w:r>
        <w:rPr>
          <w:rFonts w:hint="eastAsia" w:ascii="宋体" w:hAnsi="宋体" w:eastAsia="宋体" w:cs="宋体"/>
          <w:color w:val="auto"/>
          <w:highlight w:val="none"/>
        </w:rPr>
        <w:br w:type="page"/>
      </w:r>
    </w:p>
    <w:p w14:paraId="115F4617">
      <w:pPr>
        <w:pStyle w:val="4"/>
        <w:pageBreakBefore w:val="0"/>
        <w:kinsoku/>
        <w:wordWrap/>
        <w:overflowPunct/>
        <w:topLinePunct w:val="0"/>
        <w:bidi w:val="0"/>
        <w:spacing w:before="0" w:line="360" w:lineRule="exact"/>
        <w:jc w:val="center"/>
        <w:outlineLvl w:val="1"/>
        <w:rPr>
          <w:rFonts w:hint="eastAsia" w:ascii="宋体" w:hAnsi="宋体" w:eastAsia="宋体" w:cs="宋体"/>
          <w:color w:val="auto"/>
          <w:sz w:val="28"/>
          <w:szCs w:val="28"/>
          <w:highlight w:val="none"/>
          <w:lang w:val="en-US" w:eastAsia="zh-CN"/>
        </w:rPr>
      </w:pPr>
      <w:bookmarkStart w:id="1732" w:name="_Toc4474"/>
      <w:bookmarkStart w:id="1733" w:name="_Toc13096"/>
      <w:r>
        <w:rPr>
          <w:rFonts w:hint="eastAsia" w:ascii="宋体" w:hAnsi="宋体" w:eastAsia="宋体" w:cs="宋体"/>
          <w:color w:val="auto"/>
          <w:sz w:val="28"/>
          <w:szCs w:val="28"/>
          <w:highlight w:val="none"/>
          <w:lang w:val="en-US" w:eastAsia="zh-CN"/>
        </w:rPr>
        <w:t>初步评审—资格性审查表</w:t>
      </w:r>
      <w:bookmarkEnd w:id="1732"/>
    </w:p>
    <w:tbl>
      <w:tblPr>
        <w:tblStyle w:val="21"/>
        <w:tblW w:w="53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6784"/>
        <w:gridCol w:w="540"/>
        <w:gridCol w:w="566"/>
        <w:gridCol w:w="597"/>
      </w:tblGrid>
      <w:tr w14:paraId="4A40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347" w:type="pct"/>
            <w:vMerge w:val="restart"/>
            <w:vAlign w:val="center"/>
          </w:tcPr>
          <w:p w14:paraId="419272B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718" w:type="pct"/>
            <w:vMerge w:val="restart"/>
            <w:vAlign w:val="center"/>
          </w:tcPr>
          <w:p w14:paraId="7FDAF61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评审内容</w:t>
            </w:r>
          </w:p>
        </w:tc>
        <w:tc>
          <w:tcPr>
            <w:tcW w:w="933" w:type="pct"/>
            <w:gridSpan w:val="3"/>
            <w:vAlign w:val="center"/>
          </w:tcPr>
          <w:p w14:paraId="53BCB2C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w:t>
            </w:r>
          </w:p>
        </w:tc>
      </w:tr>
      <w:tr w14:paraId="2763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47" w:type="pct"/>
            <w:vMerge w:val="continue"/>
            <w:vAlign w:val="center"/>
          </w:tcPr>
          <w:p w14:paraId="3C9687F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p>
        </w:tc>
        <w:tc>
          <w:tcPr>
            <w:tcW w:w="3718" w:type="pct"/>
            <w:vMerge w:val="continue"/>
            <w:vAlign w:val="center"/>
          </w:tcPr>
          <w:p w14:paraId="5C6677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p>
        </w:tc>
        <w:tc>
          <w:tcPr>
            <w:tcW w:w="296" w:type="pct"/>
            <w:vAlign w:val="center"/>
          </w:tcPr>
          <w:p w14:paraId="5D7D838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是否合格</w:t>
            </w:r>
          </w:p>
        </w:tc>
        <w:tc>
          <w:tcPr>
            <w:tcW w:w="310" w:type="pct"/>
            <w:vAlign w:val="center"/>
          </w:tcPr>
          <w:p w14:paraId="0E319B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是否合格</w:t>
            </w:r>
          </w:p>
        </w:tc>
        <w:tc>
          <w:tcPr>
            <w:tcW w:w="327" w:type="pct"/>
            <w:vAlign w:val="center"/>
          </w:tcPr>
          <w:p w14:paraId="2A93870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是否合格</w:t>
            </w:r>
          </w:p>
        </w:tc>
      </w:tr>
      <w:tr w14:paraId="201B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47" w:type="pct"/>
            <w:vAlign w:val="center"/>
          </w:tcPr>
          <w:p w14:paraId="701591F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p>
        </w:tc>
        <w:tc>
          <w:tcPr>
            <w:tcW w:w="3718" w:type="pct"/>
            <w:vAlign w:val="center"/>
          </w:tcPr>
          <w:p w14:paraId="79C6E83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rPr>
            </w:pPr>
            <w:r>
              <w:rPr>
                <w:rFonts w:hint="eastAsia" w:ascii="宋体" w:hAnsi="宋体" w:cs="宋体"/>
                <w:color w:val="auto"/>
                <w:spacing w:val="-2"/>
                <w:sz w:val="24"/>
                <w:szCs w:val="24"/>
                <w:highlight w:val="none"/>
                <w:lang w:eastAsia="zh-CN"/>
              </w:rPr>
              <w:t>具有有效的营业执照</w:t>
            </w:r>
            <w:r>
              <w:rPr>
                <w:rFonts w:hint="eastAsia" w:ascii="宋体" w:hAnsi="宋体" w:eastAsia="宋体" w:cs="宋体"/>
                <w:color w:val="auto"/>
                <w:spacing w:val="-2"/>
                <w:sz w:val="24"/>
                <w:szCs w:val="24"/>
                <w:highlight w:val="none"/>
              </w:rPr>
              <w:t>；</w:t>
            </w:r>
          </w:p>
        </w:tc>
        <w:tc>
          <w:tcPr>
            <w:tcW w:w="296" w:type="pct"/>
          </w:tcPr>
          <w:p w14:paraId="6A13D5F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676EDCE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50CB9C6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2243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47" w:type="pct"/>
            <w:vAlign w:val="center"/>
          </w:tcPr>
          <w:p w14:paraId="51B27B4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2</w:t>
            </w:r>
          </w:p>
        </w:tc>
        <w:tc>
          <w:tcPr>
            <w:tcW w:w="3718" w:type="pct"/>
            <w:vAlign w:val="center"/>
          </w:tcPr>
          <w:p w14:paraId="5DB34E5D">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cs="宋体"/>
                <w:color w:val="auto"/>
                <w:spacing w:val="-2"/>
                <w:kern w:val="2"/>
                <w:sz w:val="24"/>
                <w:szCs w:val="24"/>
                <w:highlight w:val="none"/>
                <w:lang w:val="en-US" w:eastAsia="zh-CN" w:bidi="ar-SA"/>
              </w:rPr>
              <w:t>供应商需具备由公安部第三研究所颁发的网络安全等级测评与检测评估机构服务认证证书;</w:t>
            </w:r>
          </w:p>
        </w:tc>
        <w:tc>
          <w:tcPr>
            <w:tcW w:w="296" w:type="pct"/>
          </w:tcPr>
          <w:p w14:paraId="770518A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359CB1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09D62D6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00D6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47" w:type="pct"/>
            <w:vAlign w:val="center"/>
          </w:tcPr>
          <w:p w14:paraId="362E2EB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3</w:t>
            </w:r>
          </w:p>
        </w:tc>
        <w:tc>
          <w:tcPr>
            <w:tcW w:w="3718" w:type="pct"/>
            <w:vAlign w:val="center"/>
          </w:tcPr>
          <w:p w14:paraId="1977DEF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eastAsia="zh-CN"/>
              </w:rPr>
              <w:t>法定代表人资格证明</w:t>
            </w:r>
            <w:r>
              <w:rPr>
                <w:rFonts w:hint="eastAsia" w:ascii="宋体" w:hAnsi="宋体" w:eastAsia="宋体" w:cs="宋体"/>
                <w:color w:val="auto"/>
                <w:spacing w:val="-2"/>
                <w:sz w:val="24"/>
                <w:szCs w:val="24"/>
                <w:highlight w:val="none"/>
              </w:rPr>
              <w:t>；</w:t>
            </w:r>
          </w:p>
        </w:tc>
        <w:tc>
          <w:tcPr>
            <w:tcW w:w="296" w:type="pct"/>
          </w:tcPr>
          <w:p w14:paraId="585D68F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06BF85A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4A743AA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30E7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347" w:type="pct"/>
            <w:vAlign w:val="center"/>
          </w:tcPr>
          <w:p w14:paraId="091922A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4</w:t>
            </w:r>
          </w:p>
        </w:tc>
        <w:tc>
          <w:tcPr>
            <w:tcW w:w="3718" w:type="pct"/>
            <w:vAlign w:val="center"/>
          </w:tcPr>
          <w:p w14:paraId="56720D8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提供近两年内任意一年的财务审计报告（</w:t>
            </w:r>
            <w:r>
              <w:rPr>
                <w:rFonts w:hint="eastAsia" w:ascii="宋体" w:hAnsi="宋体" w:cs="宋体"/>
                <w:color w:val="auto"/>
                <w:spacing w:val="-2"/>
                <w:sz w:val="24"/>
                <w:szCs w:val="24"/>
                <w:highlight w:val="none"/>
                <w:lang w:eastAsia="zh-CN"/>
              </w:rPr>
              <w:t>成立未满十二个月的新公司可提供近三个月内任意一个月的银行资信证明</w:t>
            </w:r>
            <w:r>
              <w:rPr>
                <w:rFonts w:hint="eastAsia" w:ascii="宋体" w:hAnsi="宋体" w:eastAsia="宋体" w:cs="宋体"/>
                <w:color w:val="auto"/>
                <w:spacing w:val="-2"/>
                <w:sz w:val="24"/>
                <w:szCs w:val="24"/>
                <w:highlight w:val="none"/>
              </w:rPr>
              <w:t>）；</w:t>
            </w:r>
          </w:p>
        </w:tc>
        <w:tc>
          <w:tcPr>
            <w:tcW w:w="296" w:type="pct"/>
          </w:tcPr>
          <w:p w14:paraId="7CBBA13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4535931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5581356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4BF5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47" w:type="pct"/>
            <w:vAlign w:val="center"/>
          </w:tcPr>
          <w:p w14:paraId="5D1A560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5</w:t>
            </w:r>
          </w:p>
        </w:tc>
        <w:tc>
          <w:tcPr>
            <w:tcW w:w="3718" w:type="pct"/>
            <w:vAlign w:val="center"/>
          </w:tcPr>
          <w:p w14:paraId="3641128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依法缴纳近六个月内任意一个月</w:t>
            </w:r>
            <w:r>
              <w:rPr>
                <w:rFonts w:hint="eastAsia" w:ascii="宋体" w:hAnsi="宋体" w:eastAsia="宋体" w:cs="宋体"/>
                <w:color w:val="auto"/>
                <w:spacing w:val="-2"/>
                <w:sz w:val="24"/>
                <w:szCs w:val="24"/>
                <w:highlight w:val="none"/>
                <w:lang w:eastAsia="zh-CN"/>
              </w:rPr>
              <w:t>社会保险证明</w:t>
            </w:r>
            <w:r>
              <w:rPr>
                <w:rFonts w:hint="eastAsia" w:ascii="宋体" w:hAnsi="宋体" w:eastAsia="宋体" w:cs="宋体"/>
                <w:color w:val="auto"/>
                <w:spacing w:val="-2"/>
                <w:sz w:val="24"/>
                <w:szCs w:val="24"/>
                <w:highlight w:val="none"/>
              </w:rPr>
              <w:t>；</w:t>
            </w:r>
          </w:p>
        </w:tc>
        <w:tc>
          <w:tcPr>
            <w:tcW w:w="296" w:type="pct"/>
          </w:tcPr>
          <w:p w14:paraId="37512BC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1A00798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288F326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379A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47" w:type="pct"/>
            <w:vAlign w:val="center"/>
          </w:tcPr>
          <w:p w14:paraId="5A7B954D">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6</w:t>
            </w:r>
          </w:p>
        </w:tc>
        <w:tc>
          <w:tcPr>
            <w:tcW w:w="3718" w:type="pct"/>
            <w:vAlign w:val="center"/>
          </w:tcPr>
          <w:p w14:paraId="3E9981A8">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eastAsia="zh-CN"/>
              </w:rPr>
              <w:t>依法缴纳近六个月内任意一个月税收证明</w:t>
            </w:r>
            <w:r>
              <w:rPr>
                <w:rFonts w:hint="eastAsia" w:ascii="宋体" w:hAnsi="宋体" w:eastAsia="宋体" w:cs="宋体"/>
                <w:color w:val="auto"/>
                <w:spacing w:val="-2"/>
                <w:sz w:val="24"/>
                <w:szCs w:val="24"/>
                <w:highlight w:val="none"/>
              </w:rPr>
              <w:t>；</w:t>
            </w:r>
          </w:p>
        </w:tc>
        <w:tc>
          <w:tcPr>
            <w:tcW w:w="296" w:type="pct"/>
          </w:tcPr>
          <w:p w14:paraId="0C6EA1B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632150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266DC16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0C82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347" w:type="pct"/>
            <w:vAlign w:val="center"/>
          </w:tcPr>
          <w:p w14:paraId="0A732DB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7</w:t>
            </w:r>
          </w:p>
        </w:tc>
        <w:tc>
          <w:tcPr>
            <w:tcW w:w="3718" w:type="pct"/>
            <w:vAlign w:val="center"/>
          </w:tcPr>
          <w:p w14:paraId="42C8D96D">
            <w:pPr>
              <w:keepNext w:val="0"/>
              <w:keepLines w:val="0"/>
              <w:pageBreakBefore w:val="0"/>
              <w:widowControl w:val="0"/>
              <w:kinsoku/>
              <w:wordWrap w:val="0"/>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cs="宋体"/>
                <w:color w:val="auto"/>
                <w:spacing w:val="-2"/>
                <w:sz w:val="24"/>
                <w:szCs w:val="24"/>
                <w:highlight w:val="none"/>
                <w:lang w:eastAsia="zh-CN"/>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s://www.gsxt.gov.cn/）”列入经营异常名录信息、严重违法失信名单（黑名单）信息的；将拒绝其参加本次招标活动；</w:t>
            </w:r>
            <w:r>
              <w:rPr>
                <w:rFonts w:hint="eastAsia" w:ascii="宋体" w:hAnsi="宋体" w:eastAsia="宋体" w:cs="宋体"/>
                <w:color w:val="auto"/>
                <w:spacing w:val="-2"/>
                <w:sz w:val="24"/>
                <w:szCs w:val="24"/>
                <w:highlight w:val="none"/>
              </w:rPr>
              <w:t>（以采购代理机构或采购人查询为准）；</w:t>
            </w:r>
          </w:p>
        </w:tc>
        <w:tc>
          <w:tcPr>
            <w:tcW w:w="296" w:type="pct"/>
          </w:tcPr>
          <w:p w14:paraId="3B97172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7259586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611D2E6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3287F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347" w:type="pct"/>
            <w:vAlign w:val="center"/>
          </w:tcPr>
          <w:p w14:paraId="6CD9BD1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8</w:t>
            </w:r>
          </w:p>
        </w:tc>
        <w:tc>
          <w:tcPr>
            <w:tcW w:w="3718" w:type="pct"/>
            <w:vAlign w:val="center"/>
          </w:tcPr>
          <w:p w14:paraId="715C21D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cs="宋体"/>
                <w:color w:val="auto"/>
                <w:spacing w:val="-2"/>
                <w:sz w:val="24"/>
                <w:szCs w:val="24"/>
                <w:highlight w:val="none"/>
                <w:lang w:eastAsia="zh-CN"/>
              </w:rPr>
              <w:t>参加政府采购活动前3年内在经营活动中没有重大违法记录的书面声明</w:t>
            </w:r>
            <w:r>
              <w:rPr>
                <w:rFonts w:hint="eastAsia" w:ascii="宋体" w:hAnsi="宋体" w:eastAsia="宋体" w:cs="宋体"/>
                <w:color w:val="auto"/>
                <w:spacing w:val="-2"/>
                <w:sz w:val="24"/>
                <w:szCs w:val="24"/>
                <w:highlight w:val="none"/>
              </w:rPr>
              <w:t>；</w:t>
            </w:r>
          </w:p>
        </w:tc>
        <w:tc>
          <w:tcPr>
            <w:tcW w:w="296" w:type="pct"/>
          </w:tcPr>
          <w:p w14:paraId="38CD1A1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4E1D067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45ACE0D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44E2A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347" w:type="pct"/>
            <w:vAlign w:val="center"/>
          </w:tcPr>
          <w:p w14:paraId="3F7D132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9</w:t>
            </w:r>
          </w:p>
        </w:tc>
        <w:tc>
          <w:tcPr>
            <w:tcW w:w="3718" w:type="pct"/>
            <w:vAlign w:val="center"/>
          </w:tcPr>
          <w:p w14:paraId="136C14BF">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缴纳投标保证金的有效凭证。</w:t>
            </w:r>
          </w:p>
        </w:tc>
        <w:tc>
          <w:tcPr>
            <w:tcW w:w="296" w:type="pct"/>
          </w:tcPr>
          <w:p w14:paraId="20DA404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20F523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7CD1964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14:paraId="5A43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47" w:type="pct"/>
            <w:vAlign w:val="center"/>
          </w:tcPr>
          <w:p w14:paraId="5DA4391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lang w:val="en-US" w:eastAsia="zh-CN"/>
              </w:rPr>
            </w:pPr>
          </w:p>
        </w:tc>
        <w:tc>
          <w:tcPr>
            <w:tcW w:w="3718" w:type="pct"/>
            <w:vAlign w:val="center"/>
          </w:tcPr>
          <w:p w14:paraId="4289B917">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结论</w:t>
            </w:r>
          </w:p>
        </w:tc>
        <w:tc>
          <w:tcPr>
            <w:tcW w:w="296" w:type="pct"/>
          </w:tcPr>
          <w:p w14:paraId="0A1E910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0" w:type="pct"/>
          </w:tcPr>
          <w:p w14:paraId="40752B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7" w:type="pct"/>
          </w:tcPr>
          <w:p w14:paraId="24024F6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bl>
    <w:p w14:paraId="68A0E253">
      <w:pPr>
        <w:keepNext w:val="0"/>
        <w:keepLines w:val="0"/>
        <w:pageBreakBefore w:val="0"/>
        <w:widowControl w:val="0"/>
        <w:kinsoku/>
        <w:wordWrap/>
        <w:overflowPunct/>
        <w:topLinePunct w:val="0"/>
        <w:bidi w:val="0"/>
        <w:snapToGrid/>
        <w:spacing w:line="400" w:lineRule="exact"/>
        <w:ind w:left="6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14:paraId="7F28121A">
      <w:pPr>
        <w:keepNext w:val="0"/>
        <w:keepLines w:val="0"/>
        <w:pageBreakBefore w:val="0"/>
        <w:widowControl w:val="0"/>
        <w:kinsoku/>
        <w:wordWrap/>
        <w:overflowPunct/>
        <w:topLinePunct w:val="0"/>
        <w:bidi w:val="0"/>
        <w:snapToGrid/>
        <w:spacing w:line="400" w:lineRule="exact"/>
        <w:ind w:left="6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（1）上述各项中用“√”表示合格，“×”表示不合格；</w:t>
      </w:r>
    </w:p>
    <w:p w14:paraId="5D340E49">
      <w:pPr>
        <w:keepNext w:val="0"/>
        <w:keepLines w:val="0"/>
        <w:pageBreakBefore w:val="0"/>
        <w:widowControl w:val="0"/>
        <w:kinsoku/>
        <w:wordWrap/>
        <w:overflowPunct/>
        <w:topLinePunct w:val="0"/>
        <w:bidi w:val="0"/>
        <w:snapToGrid/>
        <w:spacing w:line="400" w:lineRule="exact"/>
        <w:ind w:left="689" w:leftChars="28" w:hanging="630" w:hanging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（2）上述各项中如有一项为“×”，则结论为“×”，表示该投标文件中存在重大偏差，不能通过初步评审；评委对某一分项评审认为不合格时，必须要写明原因。</w:t>
      </w:r>
    </w:p>
    <w:p w14:paraId="369D8C06">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（3）投标文件最终合格与否，以所有评委的评审意见中少数服从多数为原则定论。</w:t>
      </w:r>
    </w:p>
    <w:p w14:paraId="6E20D2DF">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未通过资格审查的供应商不进入评标；通过资格审查的供应商少于不足三家的，不得评标。</w:t>
      </w:r>
    </w:p>
    <w:p w14:paraId="3D7FBF6F">
      <w:pPr>
        <w:pStyle w:val="16"/>
        <w:rPr>
          <w:rFonts w:hint="eastAsia" w:ascii="宋体" w:hAnsi="宋体" w:eastAsia="宋体" w:cs="宋体"/>
          <w:b/>
          <w:bCs/>
          <w:color w:val="auto"/>
          <w:szCs w:val="21"/>
          <w:highlight w:val="none"/>
        </w:rPr>
      </w:pPr>
    </w:p>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3"/>
    <w:p w14:paraId="05A7E5C9">
      <w:pP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br w:type="page"/>
      </w:r>
    </w:p>
    <w:p w14:paraId="0767C05E">
      <w:pPr>
        <w:pStyle w:val="4"/>
        <w:pageBreakBefore w:val="0"/>
        <w:kinsoku/>
        <w:wordWrap/>
        <w:overflowPunct/>
        <w:topLinePunct w:val="0"/>
        <w:bidi w:val="0"/>
        <w:spacing w:before="0" w:line="360" w:lineRule="exact"/>
        <w:jc w:val="center"/>
        <w:outlineLvl w:val="1"/>
        <w:rPr>
          <w:rFonts w:hint="eastAsia" w:ascii="宋体" w:hAnsi="宋体" w:eastAsia="宋体" w:cs="宋体"/>
          <w:color w:val="auto"/>
          <w:sz w:val="28"/>
          <w:szCs w:val="28"/>
          <w:highlight w:val="none"/>
          <w:lang w:val="en-US" w:eastAsia="zh-CN"/>
        </w:rPr>
      </w:pPr>
      <w:bookmarkStart w:id="1734" w:name="_Toc26705"/>
      <w:bookmarkStart w:id="1735" w:name="_Toc15655"/>
      <w:r>
        <w:rPr>
          <w:rFonts w:hint="eastAsia" w:ascii="宋体" w:hAnsi="宋体" w:eastAsia="宋体" w:cs="宋体"/>
          <w:color w:val="auto"/>
          <w:sz w:val="28"/>
          <w:szCs w:val="28"/>
          <w:highlight w:val="none"/>
          <w:lang w:val="en-US" w:eastAsia="zh-CN"/>
        </w:rPr>
        <w:t>初步评审—符合性审查表</w:t>
      </w:r>
      <w:bookmarkEnd w:id="1734"/>
      <w:bookmarkEnd w:id="1735"/>
    </w:p>
    <w:tbl>
      <w:tblPr>
        <w:tblStyle w:val="21"/>
        <w:tblW w:w="53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7606"/>
        <w:gridCol w:w="764"/>
      </w:tblGrid>
      <w:tr w14:paraId="49A9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577" w:type="pct"/>
            <w:gridSpan w:val="2"/>
            <w:vAlign w:val="center"/>
          </w:tcPr>
          <w:p w14:paraId="3CA836FC">
            <w:pPr>
              <w:spacing w:line="400" w:lineRule="exact"/>
              <w:jc w:val="center"/>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评审内容</w:t>
            </w:r>
          </w:p>
        </w:tc>
        <w:tc>
          <w:tcPr>
            <w:tcW w:w="422" w:type="pct"/>
            <w:vAlign w:val="center"/>
          </w:tcPr>
          <w:p w14:paraId="51DC8A0B">
            <w:pPr>
              <w:spacing w:line="400" w:lineRule="exact"/>
              <w:jc w:val="center"/>
              <w:rPr>
                <w:rFonts w:hint="eastAsia" w:ascii="宋体" w:hAnsi="宋体" w:eastAsia="宋体" w:cs="宋体"/>
                <w:color w:val="auto"/>
                <w:spacing w:val="-2"/>
                <w:sz w:val="24"/>
                <w:szCs w:val="24"/>
                <w:highlight w:val="none"/>
              </w:rPr>
            </w:pPr>
            <w:r>
              <w:rPr>
                <w:rFonts w:hint="eastAsia" w:ascii="宋体" w:hAnsi="宋体" w:eastAsia="宋体" w:cs="宋体"/>
                <w:b/>
                <w:color w:val="auto"/>
                <w:sz w:val="24"/>
                <w:szCs w:val="24"/>
                <w:highlight w:val="none"/>
              </w:rPr>
              <w:t>评审意见</w:t>
            </w:r>
          </w:p>
        </w:tc>
      </w:tr>
      <w:tr w14:paraId="6FAD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8" w:type="pct"/>
            <w:vAlign w:val="center"/>
          </w:tcPr>
          <w:p w14:paraId="32AB7B25">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199" w:type="pct"/>
            <w:vAlign w:val="center"/>
          </w:tcPr>
          <w:p w14:paraId="0B7F5AE0">
            <w:pPr>
              <w:spacing w:line="400" w:lineRule="exact"/>
              <w:jc w:val="center"/>
              <w:rPr>
                <w:rFonts w:hint="eastAsia" w:ascii="宋体" w:hAnsi="宋体" w:eastAsia="宋体" w:cs="宋体"/>
                <w:color w:val="auto"/>
                <w:spacing w:val="-2"/>
                <w:sz w:val="24"/>
                <w:szCs w:val="24"/>
                <w:highlight w:val="none"/>
              </w:rPr>
            </w:pPr>
          </w:p>
        </w:tc>
        <w:tc>
          <w:tcPr>
            <w:tcW w:w="422" w:type="pct"/>
            <w:vAlign w:val="center"/>
          </w:tcPr>
          <w:p w14:paraId="73F2DE84">
            <w:pPr>
              <w:spacing w:line="400" w:lineRule="exact"/>
              <w:jc w:val="center"/>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是否合格</w:t>
            </w:r>
          </w:p>
        </w:tc>
      </w:tr>
      <w:tr w14:paraId="55A1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8" w:type="pct"/>
            <w:vAlign w:val="center"/>
          </w:tcPr>
          <w:p w14:paraId="7CB7087B">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p>
        </w:tc>
        <w:tc>
          <w:tcPr>
            <w:tcW w:w="4199" w:type="pct"/>
            <w:vAlign w:val="center"/>
          </w:tcPr>
          <w:p w14:paraId="4ADA9BE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各供应商投标报价未高于预算金额；</w:t>
            </w:r>
          </w:p>
        </w:tc>
        <w:tc>
          <w:tcPr>
            <w:tcW w:w="422" w:type="pct"/>
            <w:vAlign w:val="center"/>
          </w:tcPr>
          <w:p w14:paraId="6C6DE5C0">
            <w:pPr>
              <w:spacing w:line="400" w:lineRule="exact"/>
              <w:jc w:val="center"/>
              <w:rPr>
                <w:rFonts w:hint="eastAsia" w:ascii="宋体" w:hAnsi="宋体" w:eastAsia="宋体" w:cs="宋体"/>
                <w:color w:val="auto"/>
                <w:spacing w:val="-2"/>
                <w:sz w:val="24"/>
                <w:szCs w:val="24"/>
                <w:highlight w:val="none"/>
              </w:rPr>
            </w:pPr>
          </w:p>
        </w:tc>
      </w:tr>
      <w:tr w14:paraId="51F5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78" w:type="pct"/>
            <w:vAlign w:val="center"/>
          </w:tcPr>
          <w:p w14:paraId="32202F1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w:t>
            </w:r>
          </w:p>
        </w:tc>
        <w:tc>
          <w:tcPr>
            <w:tcW w:w="4199" w:type="pct"/>
            <w:vAlign w:val="center"/>
          </w:tcPr>
          <w:p w14:paraId="62666EA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评标委员会认为供应商的报价无明显低于其他通过</w:t>
            </w:r>
            <w:r>
              <w:rPr>
                <w:rFonts w:hint="eastAsia" w:ascii="宋体" w:hAnsi="宋体" w:eastAsia="宋体" w:cs="宋体"/>
                <w:color w:val="auto"/>
                <w:spacing w:val="-2"/>
                <w:sz w:val="24"/>
                <w:szCs w:val="24"/>
                <w:highlight w:val="none"/>
                <w:lang w:val="en-US" w:eastAsia="zh-CN"/>
              </w:rPr>
              <w:t>符合</w:t>
            </w:r>
            <w:r>
              <w:rPr>
                <w:rFonts w:hint="eastAsia" w:ascii="宋体" w:hAnsi="宋体" w:eastAsia="宋体" w:cs="宋体"/>
                <w:color w:val="auto"/>
                <w:spacing w:val="-2"/>
                <w:sz w:val="24"/>
                <w:szCs w:val="24"/>
                <w:highlight w:val="none"/>
              </w:rPr>
              <w:t>性审查供应商的报价的，供应商的报价不存在异常一致并成规律性的，其报价合理；</w:t>
            </w:r>
          </w:p>
        </w:tc>
        <w:tc>
          <w:tcPr>
            <w:tcW w:w="422" w:type="pct"/>
            <w:vAlign w:val="center"/>
          </w:tcPr>
          <w:p w14:paraId="036D41E5">
            <w:pPr>
              <w:spacing w:line="400" w:lineRule="exact"/>
              <w:jc w:val="center"/>
              <w:rPr>
                <w:rFonts w:hint="eastAsia" w:ascii="宋体" w:hAnsi="宋体" w:eastAsia="宋体" w:cs="宋体"/>
                <w:color w:val="auto"/>
                <w:spacing w:val="-2"/>
                <w:sz w:val="24"/>
                <w:szCs w:val="24"/>
                <w:highlight w:val="none"/>
              </w:rPr>
            </w:pPr>
          </w:p>
        </w:tc>
      </w:tr>
      <w:tr w14:paraId="6D6CE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78" w:type="pct"/>
            <w:vAlign w:val="center"/>
          </w:tcPr>
          <w:p w14:paraId="2054589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3</w:t>
            </w:r>
          </w:p>
        </w:tc>
        <w:tc>
          <w:tcPr>
            <w:tcW w:w="4199" w:type="pct"/>
            <w:vAlign w:val="center"/>
          </w:tcPr>
          <w:p w14:paraId="2933FB6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投标文件按照招标文件的规定编制、标记及签署盖章的，法定代表人</w:t>
            </w:r>
            <w:r>
              <w:rPr>
                <w:rFonts w:hint="eastAsia" w:ascii="宋体" w:hAnsi="宋体" w:eastAsia="宋体" w:cs="宋体"/>
                <w:color w:val="auto"/>
                <w:spacing w:val="-2"/>
                <w:sz w:val="24"/>
                <w:szCs w:val="24"/>
                <w:highlight w:val="none"/>
                <w:lang w:val="en-US" w:eastAsia="zh-CN"/>
              </w:rPr>
              <w:t>签</w:t>
            </w:r>
            <w:r>
              <w:rPr>
                <w:rFonts w:hint="eastAsia" w:ascii="宋体" w:hAnsi="宋体" w:eastAsia="宋体" w:cs="宋体"/>
                <w:color w:val="auto"/>
                <w:spacing w:val="-2"/>
                <w:sz w:val="24"/>
                <w:szCs w:val="24"/>
                <w:highlight w:val="none"/>
              </w:rPr>
              <w:t>章</w:t>
            </w:r>
            <w:r>
              <w:rPr>
                <w:rFonts w:hint="eastAsia" w:ascii="宋体" w:hAnsi="宋体" w:eastAsia="宋体" w:cs="宋体"/>
                <w:color w:val="auto"/>
                <w:spacing w:val="-2"/>
                <w:sz w:val="24"/>
                <w:szCs w:val="24"/>
                <w:highlight w:val="none"/>
                <w:lang w:eastAsia="zh-CN"/>
              </w:rPr>
              <w:t>；</w:t>
            </w:r>
          </w:p>
        </w:tc>
        <w:tc>
          <w:tcPr>
            <w:tcW w:w="422" w:type="pct"/>
            <w:vAlign w:val="center"/>
          </w:tcPr>
          <w:p w14:paraId="3DE88AE6">
            <w:pPr>
              <w:spacing w:line="400" w:lineRule="exact"/>
              <w:jc w:val="center"/>
              <w:rPr>
                <w:rFonts w:hint="eastAsia" w:ascii="宋体" w:hAnsi="宋体" w:eastAsia="宋体" w:cs="宋体"/>
                <w:color w:val="auto"/>
                <w:spacing w:val="-2"/>
                <w:sz w:val="24"/>
                <w:szCs w:val="24"/>
                <w:highlight w:val="none"/>
              </w:rPr>
            </w:pPr>
          </w:p>
        </w:tc>
      </w:tr>
      <w:tr w14:paraId="5A13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8" w:type="pct"/>
            <w:vAlign w:val="center"/>
          </w:tcPr>
          <w:p w14:paraId="2496D39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4</w:t>
            </w:r>
          </w:p>
        </w:tc>
        <w:tc>
          <w:tcPr>
            <w:tcW w:w="4199" w:type="pct"/>
            <w:vAlign w:val="center"/>
          </w:tcPr>
          <w:p w14:paraId="4757AD10">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按招标文件规定的格式填写，内容</w:t>
            </w:r>
            <w:r>
              <w:rPr>
                <w:rFonts w:hint="eastAsia" w:ascii="宋体" w:hAnsi="宋体" w:eastAsia="宋体" w:cs="宋体"/>
                <w:color w:val="auto"/>
                <w:spacing w:val="-2"/>
                <w:sz w:val="24"/>
                <w:szCs w:val="24"/>
                <w:highlight w:val="none"/>
                <w:lang w:val="en-US" w:eastAsia="zh-CN"/>
              </w:rPr>
              <w:t>全面</w:t>
            </w:r>
            <w:r>
              <w:rPr>
                <w:rFonts w:hint="eastAsia" w:ascii="宋体" w:hAnsi="宋体" w:eastAsia="宋体" w:cs="宋体"/>
                <w:color w:val="auto"/>
                <w:spacing w:val="-2"/>
                <w:sz w:val="24"/>
                <w:szCs w:val="24"/>
                <w:highlight w:val="none"/>
              </w:rPr>
              <w:t>；</w:t>
            </w:r>
          </w:p>
        </w:tc>
        <w:tc>
          <w:tcPr>
            <w:tcW w:w="422" w:type="pct"/>
            <w:vAlign w:val="center"/>
          </w:tcPr>
          <w:p w14:paraId="48F8A499">
            <w:pPr>
              <w:spacing w:line="400" w:lineRule="exact"/>
              <w:jc w:val="center"/>
              <w:rPr>
                <w:rFonts w:hint="eastAsia" w:ascii="宋体" w:hAnsi="宋体" w:eastAsia="宋体" w:cs="宋体"/>
                <w:color w:val="auto"/>
                <w:sz w:val="24"/>
                <w:szCs w:val="24"/>
                <w:highlight w:val="none"/>
              </w:rPr>
            </w:pPr>
          </w:p>
        </w:tc>
      </w:tr>
      <w:tr w14:paraId="0EFA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78" w:type="pct"/>
            <w:vAlign w:val="center"/>
          </w:tcPr>
          <w:p w14:paraId="63CF4555">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5</w:t>
            </w:r>
          </w:p>
        </w:tc>
        <w:tc>
          <w:tcPr>
            <w:tcW w:w="4199" w:type="pct"/>
            <w:vAlign w:val="center"/>
          </w:tcPr>
          <w:p w14:paraId="722CE3D3">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符合招标文件中规定的要求；</w:t>
            </w:r>
            <w:r>
              <w:rPr>
                <w:rFonts w:hint="eastAsia" w:ascii="宋体" w:hAnsi="宋体" w:cs="宋体"/>
                <w:color w:val="auto"/>
                <w:spacing w:val="-2"/>
                <w:sz w:val="24"/>
                <w:szCs w:val="24"/>
                <w:highlight w:val="none"/>
                <w:lang w:val="en-US" w:eastAsia="zh-CN"/>
              </w:rPr>
              <w:t>（</w:t>
            </w:r>
            <w:r>
              <w:rPr>
                <w:rFonts w:hint="eastAsia" w:ascii="宋体" w:hAnsi="宋体" w:cs="宋体"/>
                <w:b/>
                <w:bCs/>
                <w:color w:val="auto"/>
                <w:spacing w:val="-2"/>
                <w:sz w:val="24"/>
                <w:szCs w:val="24"/>
                <w:highlight w:val="none"/>
                <w:lang w:val="en-US" w:eastAsia="zh-CN"/>
              </w:rPr>
              <w:t>交货期、质保期</w:t>
            </w:r>
            <w:r>
              <w:rPr>
                <w:rFonts w:hint="eastAsia" w:ascii="宋体" w:hAnsi="宋体" w:cs="宋体"/>
                <w:color w:val="auto"/>
                <w:spacing w:val="-2"/>
                <w:sz w:val="24"/>
                <w:szCs w:val="24"/>
                <w:highlight w:val="none"/>
                <w:lang w:val="en-US" w:eastAsia="zh-CN"/>
              </w:rPr>
              <w:t>）</w:t>
            </w:r>
          </w:p>
        </w:tc>
        <w:tc>
          <w:tcPr>
            <w:tcW w:w="422" w:type="pct"/>
            <w:vAlign w:val="center"/>
          </w:tcPr>
          <w:p w14:paraId="7159B998">
            <w:pPr>
              <w:spacing w:line="400" w:lineRule="exact"/>
              <w:jc w:val="center"/>
              <w:rPr>
                <w:rFonts w:hint="eastAsia" w:ascii="宋体" w:hAnsi="宋体" w:eastAsia="宋体" w:cs="宋体"/>
                <w:color w:val="auto"/>
                <w:spacing w:val="-2"/>
                <w:sz w:val="24"/>
                <w:szCs w:val="24"/>
                <w:highlight w:val="none"/>
              </w:rPr>
            </w:pPr>
          </w:p>
        </w:tc>
      </w:tr>
      <w:tr w14:paraId="01953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8" w:type="pct"/>
            <w:vAlign w:val="center"/>
          </w:tcPr>
          <w:p w14:paraId="1FBD95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6</w:t>
            </w:r>
          </w:p>
        </w:tc>
        <w:tc>
          <w:tcPr>
            <w:tcW w:w="4199" w:type="pct"/>
            <w:vAlign w:val="center"/>
          </w:tcPr>
          <w:p w14:paraId="7AB0E17B">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没有采购人不能接受的附加条件的；</w:t>
            </w:r>
          </w:p>
        </w:tc>
        <w:tc>
          <w:tcPr>
            <w:tcW w:w="422" w:type="pct"/>
            <w:vAlign w:val="center"/>
          </w:tcPr>
          <w:p w14:paraId="6C3D8F1F">
            <w:pPr>
              <w:spacing w:line="400" w:lineRule="exact"/>
              <w:jc w:val="center"/>
              <w:rPr>
                <w:rFonts w:hint="eastAsia" w:ascii="宋体" w:hAnsi="宋体" w:eastAsia="宋体" w:cs="宋体"/>
                <w:color w:val="auto"/>
                <w:spacing w:val="-2"/>
                <w:sz w:val="24"/>
                <w:szCs w:val="24"/>
                <w:highlight w:val="none"/>
              </w:rPr>
            </w:pPr>
          </w:p>
        </w:tc>
      </w:tr>
      <w:tr w14:paraId="1B05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8" w:type="pct"/>
            <w:vAlign w:val="center"/>
          </w:tcPr>
          <w:p w14:paraId="5D36007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7</w:t>
            </w:r>
          </w:p>
        </w:tc>
        <w:tc>
          <w:tcPr>
            <w:tcW w:w="4199" w:type="pct"/>
            <w:vAlign w:val="center"/>
          </w:tcPr>
          <w:p w14:paraId="2EEC34F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不同供应商的投标文件没有错漏一致的情况；</w:t>
            </w:r>
          </w:p>
        </w:tc>
        <w:tc>
          <w:tcPr>
            <w:tcW w:w="422" w:type="pct"/>
            <w:vAlign w:val="center"/>
          </w:tcPr>
          <w:p w14:paraId="7F257454">
            <w:pPr>
              <w:spacing w:line="400" w:lineRule="exact"/>
              <w:jc w:val="center"/>
              <w:rPr>
                <w:rFonts w:hint="eastAsia" w:ascii="宋体" w:hAnsi="宋体" w:eastAsia="宋体" w:cs="宋体"/>
                <w:color w:val="auto"/>
                <w:spacing w:val="-2"/>
                <w:sz w:val="24"/>
                <w:szCs w:val="24"/>
                <w:highlight w:val="none"/>
              </w:rPr>
            </w:pPr>
          </w:p>
        </w:tc>
      </w:tr>
      <w:tr w14:paraId="6B3A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78" w:type="pct"/>
            <w:vAlign w:val="center"/>
          </w:tcPr>
          <w:p w14:paraId="6B040BC1">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8</w:t>
            </w:r>
          </w:p>
        </w:tc>
        <w:tc>
          <w:tcPr>
            <w:tcW w:w="4199" w:type="pct"/>
            <w:vAlign w:val="center"/>
          </w:tcPr>
          <w:p w14:paraId="411F6385">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供应商附有详细地址、联系人、电话标明的</w:t>
            </w:r>
            <w:r>
              <w:rPr>
                <w:rFonts w:hint="eastAsia" w:ascii="宋体" w:hAnsi="宋体" w:cs="宋体"/>
                <w:color w:val="auto"/>
                <w:spacing w:val="-2"/>
                <w:sz w:val="24"/>
                <w:szCs w:val="24"/>
                <w:highlight w:val="none"/>
                <w:lang w:eastAsia="zh-CN"/>
              </w:rPr>
              <w:t>。</w:t>
            </w:r>
          </w:p>
        </w:tc>
        <w:tc>
          <w:tcPr>
            <w:tcW w:w="422" w:type="pct"/>
            <w:vAlign w:val="center"/>
          </w:tcPr>
          <w:p w14:paraId="20F41E53">
            <w:pPr>
              <w:spacing w:line="400" w:lineRule="exact"/>
              <w:jc w:val="center"/>
              <w:rPr>
                <w:rFonts w:hint="eastAsia" w:ascii="宋体" w:hAnsi="宋体" w:eastAsia="宋体" w:cs="宋体"/>
                <w:color w:val="auto"/>
                <w:spacing w:val="-2"/>
                <w:sz w:val="24"/>
                <w:szCs w:val="24"/>
                <w:highlight w:val="none"/>
              </w:rPr>
            </w:pPr>
          </w:p>
        </w:tc>
      </w:tr>
      <w:tr w14:paraId="50251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577" w:type="pct"/>
            <w:gridSpan w:val="2"/>
            <w:vAlign w:val="center"/>
          </w:tcPr>
          <w:p w14:paraId="2934DF5C">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结论：通过评审打“√”，未通过评审打“×”</w:t>
            </w:r>
          </w:p>
        </w:tc>
        <w:tc>
          <w:tcPr>
            <w:tcW w:w="422" w:type="pct"/>
            <w:vAlign w:val="center"/>
          </w:tcPr>
          <w:p w14:paraId="4F53EE2C">
            <w:pPr>
              <w:spacing w:line="400" w:lineRule="exact"/>
              <w:ind w:firstLine="424" w:firstLineChars="180"/>
              <w:jc w:val="center"/>
              <w:rPr>
                <w:rFonts w:hint="eastAsia" w:ascii="宋体" w:hAnsi="宋体" w:eastAsia="宋体" w:cs="宋体"/>
                <w:color w:val="auto"/>
                <w:spacing w:val="-2"/>
                <w:sz w:val="24"/>
                <w:szCs w:val="24"/>
                <w:highlight w:val="none"/>
              </w:rPr>
            </w:pPr>
          </w:p>
        </w:tc>
      </w:tr>
    </w:tbl>
    <w:p w14:paraId="7AB2D76E">
      <w:pPr>
        <w:keepNext w:val="0"/>
        <w:keepLines w:val="0"/>
        <w:pageBreakBefore w:val="0"/>
        <w:widowControl w:val="0"/>
        <w:kinsoku/>
        <w:wordWrap/>
        <w:overflowPunct/>
        <w:topLinePunct w:val="0"/>
        <w:bidi w:val="0"/>
        <w:snapToGrid/>
        <w:spacing w:line="400" w:lineRule="exact"/>
        <w:ind w:left="6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14:paraId="37F7D145">
      <w:pPr>
        <w:keepNext w:val="0"/>
        <w:keepLines w:val="0"/>
        <w:pageBreakBefore w:val="0"/>
        <w:widowControl w:val="0"/>
        <w:kinsoku/>
        <w:wordWrap/>
        <w:overflowPunct/>
        <w:topLinePunct w:val="0"/>
        <w:bidi w:val="0"/>
        <w:snapToGrid/>
        <w:spacing w:line="400" w:lineRule="exact"/>
        <w:ind w:left="6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（1）上述各项中用“√”表示合格，“×”表示不合格；</w:t>
      </w:r>
    </w:p>
    <w:p w14:paraId="62A4639B">
      <w:pPr>
        <w:keepNext w:val="0"/>
        <w:keepLines w:val="0"/>
        <w:pageBreakBefore w:val="0"/>
        <w:widowControl w:val="0"/>
        <w:kinsoku/>
        <w:wordWrap/>
        <w:overflowPunct/>
        <w:topLinePunct w:val="0"/>
        <w:bidi w:val="0"/>
        <w:snapToGrid/>
        <w:spacing w:line="400" w:lineRule="exact"/>
        <w:ind w:left="689" w:leftChars="28" w:hanging="630" w:hanging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（2）上述各项中如有一项为“×”，则结论为“×”，表示该投标文件中存在重大偏差，不能通过初步评审；评委对某一分项评审认为不合格时，必须要写明原因。</w:t>
      </w:r>
    </w:p>
    <w:p w14:paraId="5589292A">
      <w:pPr>
        <w:keepNext w:val="0"/>
        <w:keepLines w:val="0"/>
        <w:pageBreakBefore w:val="0"/>
        <w:widowControl w:val="0"/>
        <w:kinsoku/>
        <w:wordWrap/>
        <w:overflowPunct/>
        <w:topLinePunct w:val="0"/>
        <w:autoSpaceDE w:val="0"/>
        <w:autoSpaceDN w:val="0"/>
        <w:bidi w:val="0"/>
        <w:adjustRightInd w:val="0"/>
        <w:snapToGrid/>
        <w:spacing w:line="400" w:lineRule="exact"/>
        <w:ind w:firstLine="0"/>
        <w:jc w:val="both"/>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（3）投标文件最终合格与否，以所有评委的评审意见中少数服从多数为原则定论。</w:t>
      </w:r>
    </w:p>
    <w:p w14:paraId="78851509">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未通过</w:t>
      </w:r>
      <w:r>
        <w:rPr>
          <w:rFonts w:hint="eastAsia" w:ascii="宋体" w:hAnsi="宋体" w:cs="宋体"/>
          <w:b/>
          <w:bCs/>
          <w:color w:val="auto"/>
          <w:szCs w:val="21"/>
          <w:highlight w:val="none"/>
          <w:lang w:val="en-US" w:eastAsia="zh-CN"/>
        </w:rPr>
        <w:t>符合</w:t>
      </w:r>
      <w:r>
        <w:rPr>
          <w:rFonts w:hint="eastAsia" w:ascii="宋体" w:hAnsi="宋体" w:eastAsia="宋体" w:cs="宋体"/>
          <w:b/>
          <w:bCs/>
          <w:color w:val="auto"/>
          <w:szCs w:val="21"/>
          <w:highlight w:val="none"/>
        </w:rPr>
        <w:t>审查的供应商不进入评标；通过</w:t>
      </w:r>
      <w:r>
        <w:rPr>
          <w:rFonts w:hint="eastAsia" w:ascii="宋体" w:hAnsi="宋体" w:cs="宋体"/>
          <w:b/>
          <w:bCs/>
          <w:color w:val="auto"/>
          <w:szCs w:val="21"/>
          <w:highlight w:val="none"/>
          <w:lang w:val="en-US" w:eastAsia="zh-CN"/>
        </w:rPr>
        <w:t>符合</w:t>
      </w:r>
      <w:r>
        <w:rPr>
          <w:rFonts w:hint="eastAsia" w:ascii="宋体" w:hAnsi="宋体" w:eastAsia="宋体" w:cs="宋体"/>
          <w:b/>
          <w:bCs/>
          <w:color w:val="auto"/>
          <w:szCs w:val="21"/>
          <w:highlight w:val="none"/>
        </w:rPr>
        <w:t>审查的供应商少于不足三家的，不得评标。</w:t>
      </w:r>
    </w:p>
    <w:p w14:paraId="0FF4910C">
      <w:pPr>
        <w:pStyle w:val="16"/>
        <w:rPr>
          <w:rFonts w:hint="eastAsia"/>
          <w:highlight w:val="none"/>
        </w:rPr>
      </w:pPr>
    </w:p>
    <w:p w14:paraId="25095676">
      <w:pPr>
        <w:pStyle w:val="8"/>
        <w:ind w:left="0" w:leftChars="0" w:firstLine="0" w:firstLineChars="0"/>
        <w:outlineLvl w:val="9"/>
        <w:rPr>
          <w:rFonts w:hint="eastAsia" w:ascii="宋体" w:hAnsi="宋体" w:eastAsia="宋体" w:cs="宋体"/>
          <w:color w:val="auto"/>
          <w:highlight w:val="none"/>
        </w:rPr>
      </w:pPr>
    </w:p>
    <w:p w14:paraId="1B0E3FF7">
      <w:pPr>
        <w:outlineLvl w:val="9"/>
        <w:rPr>
          <w:rFonts w:hint="eastAsia" w:ascii="宋体" w:hAnsi="宋体" w:eastAsia="宋体" w:cs="宋体"/>
          <w:color w:val="auto"/>
          <w:highlight w:val="none"/>
        </w:rPr>
      </w:pPr>
    </w:p>
    <w:p w14:paraId="0BFFF792">
      <w:pPr>
        <w:pStyle w:val="20"/>
        <w:outlineLvl w:val="9"/>
        <w:rPr>
          <w:rFonts w:hint="eastAsia" w:ascii="宋体" w:hAnsi="宋体" w:eastAsia="宋体" w:cs="宋体"/>
          <w:color w:val="auto"/>
          <w:highlight w:val="none"/>
        </w:rPr>
      </w:pPr>
    </w:p>
    <w:p w14:paraId="3CF05126">
      <w:pPr>
        <w:rPr>
          <w:rFonts w:hint="eastAsia" w:ascii="宋体" w:hAnsi="宋体" w:eastAsia="宋体" w:cs="宋体"/>
          <w:color w:val="auto"/>
          <w:highlight w:val="none"/>
        </w:rPr>
      </w:pPr>
      <w:r>
        <w:rPr>
          <w:rFonts w:hint="eastAsia" w:ascii="宋体" w:hAnsi="宋体" w:eastAsia="宋体" w:cs="宋体"/>
          <w:color w:val="auto"/>
          <w:highlight w:val="none"/>
        </w:rPr>
        <w:br w:type="page"/>
      </w:r>
      <w:bookmarkStart w:id="1736" w:name="_Toc31042"/>
      <w:bookmarkStart w:id="1737" w:name="_Toc4034"/>
      <w:bookmarkStart w:id="1738" w:name="_Toc29006"/>
      <w:bookmarkStart w:id="1739" w:name="_Toc21392"/>
      <w:bookmarkStart w:id="1740" w:name="_Toc11449"/>
      <w:bookmarkStart w:id="1741" w:name="_Toc4748"/>
      <w:bookmarkStart w:id="1742" w:name="_Toc19967"/>
      <w:bookmarkStart w:id="1743" w:name="_Toc26924"/>
      <w:bookmarkStart w:id="1744" w:name="_Toc5375"/>
      <w:bookmarkStart w:id="1745" w:name="_Toc3812"/>
      <w:bookmarkStart w:id="1746" w:name="_Toc21350"/>
      <w:bookmarkStart w:id="1747" w:name="_Toc31737"/>
      <w:bookmarkStart w:id="1748" w:name="_Toc20505"/>
      <w:bookmarkStart w:id="1749" w:name="_Toc17586"/>
      <w:bookmarkStart w:id="1750" w:name="_Toc359"/>
      <w:bookmarkStart w:id="1751" w:name="_Toc507399904"/>
    </w:p>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14:paraId="46DA3586">
      <w:pPr>
        <w:pStyle w:val="4"/>
        <w:pageBreakBefore w:val="0"/>
        <w:kinsoku/>
        <w:wordWrap/>
        <w:overflowPunct/>
        <w:topLinePunct w:val="0"/>
        <w:bidi w:val="0"/>
        <w:spacing w:before="0" w:line="360" w:lineRule="exact"/>
        <w:jc w:val="center"/>
        <w:outlineLvl w:val="1"/>
        <w:rPr>
          <w:rFonts w:hint="eastAsia" w:ascii="宋体" w:hAnsi="宋体" w:eastAsia="宋体" w:cs="宋体"/>
          <w:color w:val="auto"/>
          <w:sz w:val="28"/>
          <w:szCs w:val="28"/>
          <w:highlight w:val="none"/>
          <w:lang w:val="en-US" w:eastAsia="zh-CN"/>
        </w:rPr>
      </w:pPr>
      <w:bookmarkStart w:id="1752" w:name="_Toc18039"/>
      <w:bookmarkStart w:id="1753" w:name="_Toc30680"/>
      <w:r>
        <w:rPr>
          <w:rFonts w:hint="eastAsia" w:ascii="宋体" w:hAnsi="宋体" w:eastAsia="宋体" w:cs="宋体"/>
          <w:color w:val="auto"/>
          <w:sz w:val="28"/>
          <w:szCs w:val="28"/>
          <w:highlight w:val="none"/>
          <w:lang w:val="en-US" w:eastAsia="zh-CN"/>
        </w:rPr>
        <w:t>综合评分表</w:t>
      </w:r>
      <w:bookmarkEnd w:id="1752"/>
      <w:bookmarkEnd w:id="1753"/>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486"/>
        <w:gridCol w:w="6188"/>
        <w:gridCol w:w="950"/>
      </w:tblGrid>
      <w:tr w14:paraId="2B68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527" w:type="pct"/>
            <w:noWrap w:val="0"/>
            <w:vAlign w:val="center"/>
          </w:tcPr>
          <w:p w14:paraId="60C6324D">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类型</w:t>
            </w:r>
          </w:p>
        </w:tc>
        <w:tc>
          <w:tcPr>
            <w:tcW w:w="285" w:type="pct"/>
            <w:noWrap w:val="0"/>
            <w:vAlign w:val="center"/>
          </w:tcPr>
          <w:p w14:paraId="7599E19F">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c>
          <w:tcPr>
            <w:tcW w:w="3630" w:type="pct"/>
            <w:noWrap w:val="0"/>
            <w:vAlign w:val="center"/>
          </w:tcPr>
          <w:p w14:paraId="22E08551">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评分标准</w:t>
            </w:r>
          </w:p>
          <w:p w14:paraId="68E7018D">
            <w:pPr>
              <w:keepNext w:val="0"/>
              <w:keepLines w:val="0"/>
              <w:pageBreakBefore w:val="0"/>
              <w:widowControl w:val="0"/>
              <w:kinsoku/>
              <w:wordWrap/>
              <w:overflowPunct/>
              <w:topLinePunct w:val="0"/>
              <w:autoSpaceDE/>
              <w:autoSpaceDN/>
              <w:bidi w:val="0"/>
              <w:adjustRightInd/>
              <w:snapToGrid/>
              <w:spacing w:line="320" w:lineRule="exact"/>
              <w:ind w:firstLine="28"/>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 xml:space="preserve">价格：30分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商务：</w:t>
            </w:r>
            <w:r>
              <w:rPr>
                <w:rFonts w:hint="eastAsia" w:ascii="宋体" w:hAnsi="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 xml:space="preserve">分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技术：</w:t>
            </w:r>
            <w:r>
              <w:rPr>
                <w:rFonts w:hint="eastAsia" w:ascii="宋体" w:hAnsi="宋体" w:cs="宋体"/>
                <w:b/>
                <w:bCs/>
                <w:color w:val="auto"/>
                <w:sz w:val="21"/>
                <w:szCs w:val="21"/>
                <w:highlight w:val="none"/>
                <w:lang w:val="en-US" w:eastAsia="zh-CN"/>
              </w:rPr>
              <w:t>57</w:t>
            </w:r>
            <w:r>
              <w:rPr>
                <w:rFonts w:hint="eastAsia" w:ascii="宋体" w:hAnsi="宋体" w:eastAsia="宋体" w:cs="宋体"/>
                <w:b/>
                <w:bCs/>
                <w:color w:val="auto"/>
                <w:sz w:val="21"/>
                <w:szCs w:val="21"/>
                <w:highlight w:val="none"/>
              </w:rPr>
              <w:t xml:space="preserve">分       </w:t>
            </w:r>
            <w:r>
              <w:rPr>
                <w:rFonts w:hint="eastAsia" w:ascii="宋体" w:hAnsi="宋体" w:eastAsia="宋体" w:cs="宋体"/>
                <w:color w:val="auto"/>
                <w:sz w:val="21"/>
                <w:szCs w:val="21"/>
                <w:highlight w:val="none"/>
              </w:rPr>
              <w:t xml:space="preserve">       </w:t>
            </w:r>
          </w:p>
        </w:tc>
        <w:tc>
          <w:tcPr>
            <w:tcW w:w="557" w:type="pct"/>
            <w:noWrap w:val="0"/>
            <w:vAlign w:val="center"/>
          </w:tcPr>
          <w:p w14:paraId="18E5F201">
            <w:pPr>
              <w:keepNext w:val="0"/>
              <w:keepLines w:val="0"/>
              <w:pageBreakBefore w:val="0"/>
              <w:widowControl w:val="0"/>
              <w:kinsoku/>
              <w:wordWrap/>
              <w:overflowPunct/>
              <w:topLinePunct w:val="0"/>
              <w:autoSpaceDE/>
              <w:autoSpaceDN/>
              <w:bidi w:val="0"/>
              <w:adjustRightInd/>
              <w:snapToGrid/>
              <w:spacing w:before="0" w:after="0" w:line="320" w:lineRule="exact"/>
              <w:jc w:val="center"/>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说明</w:t>
            </w:r>
          </w:p>
        </w:tc>
      </w:tr>
      <w:tr w14:paraId="09D6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6" w:hRule="atLeast"/>
          <w:jc w:val="center"/>
        </w:trPr>
        <w:tc>
          <w:tcPr>
            <w:tcW w:w="527" w:type="pct"/>
            <w:noWrap w:val="0"/>
            <w:vAlign w:val="center"/>
          </w:tcPr>
          <w:p w14:paraId="6CDFBA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价格评分标准（</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分）</w:t>
            </w:r>
          </w:p>
        </w:tc>
        <w:tc>
          <w:tcPr>
            <w:tcW w:w="285" w:type="pct"/>
            <w:noWrap w:val="0"/>
            <w:vAlign w:val="center"/>
          </w:tcPr>
          <w:p w14:paraId="51FEF32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30</w:t>
            </w:r>
          </w:p>
        </w:tc>
        <w:tc>
          <w:tcPr>
            <w:tcW w:w="3630" w:type="pct"/>
            <w:noWrap w:val="0"/>
            <w:vAlign w:val="center"/>
          </w:tcPr>
          <w:p w14:paraId="06AFF1F5">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完全满足招标文件参数的投标报价中的最低价为评标基准价，按照下列公式计算每个供应商的投标价格得分。投标报价得分＝（基准价/投标报价）×价格权重×100。</w:t>
            </w:r>
            <w:r>
              <w:rPr>
                <w:rFonts w:hint="eastAsia" w:ascii="楷体" w:hAnsi="楷体" w:eastAsia="楷体" w:cs="楷体"/>
                <w:b/>
                <w:bCs/>
                <w:color w:val="auto"/>
                <w:sz w:val="21"/>
                <w:szCs w:val="21"/>
                <w:u w:val="none"/>
                <w:lang w:val="en-US" w:eastAsia="zh-CN"/>
              </w:rPr>
              <w:t>注：</w:t>
            </w:r>
            <w:r>
              <w:rPr>
                <w:rFonts w:hint="eastAsia" w:ascii="楷体" w:hAnsi="楷体" w:eastAsia="楷体" w:cs="楷体"/>
                <w:b/>
                <w:bCs/>
                <w:color w:val="auto"/>
                <w:sz w:val="21"/>
                <w:szCs w:val="21"/>
                <w:lang w:val="en-US" w:eastAsia="zh-CN"/>
              </w:rPr>
              <w:t>各供应商不得恶意低价竞价，评标委员会在评审过程中若发现出现低于市场平均价的供应商将在规定期限内要求提供对价格构成及相关印证资料（收据、发票、合同明细、协议等），若未在规定时间内（30分钟内）提供有效证明资料将按无效投标处理。</w:t>
            </w:r>
          </w:p>
        </w:tc>
        <w:tc>
          <w:tcPr>
            <w:tcW w:w="557" w:type="pct"/>
            <w:noWrap w:val="0"/>
            <w:vAlign w:val="center"/>
          </w:tcPr>
          <w:p w14:paraId="3F9854C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投标报价超过采购预算价的按废标处理</w:t>
            </w:r>
          </w:p>
        </w:tc>
      </w:tr>
      <w:tr w14:paraId="59CB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jc w:val="center"/>
        </w:trPr>
        <w:tc>
          <w:tcPr>
            <w:tcW w:w="527" w:type="pct"/>
            <w:vMerge w:val="restart"/>
            <w:noWrap w:val="0"/>
            <w:vAlign w:val="center"/>
          </w:tcPr>
          <w:p w14:paraId="67FCE6F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商务评分标准（</w:t>
            </w:r>
            <w:r>
              <w:rPr>
                <w:rFonts w:hint="eastAsia" w:ascii="宋体" w:hAnsi="宋体" w:cs="宋体"/>
                <w:color w:val="auto"/>
                <w:sz w:val="21"/>
                <w:szCs w:val="21"/>
                <w:highlight w:val="none"/>
                <w:lang w:val="en-US" w:eastAsia="zh-CN"/>
              </w:rPr>
              <w:t>13</w:t>
            </w:r>
            <w:r>
              <w:rPr>
                <w:rFonts w:hint="eastAsia" w:ascii="宋体" w:hAnsi="宋体" w:eastAsia="宋体" w:cs="宋体"/>
                <w:color w:val="auto"/>
                <w:sz w:val="21"/>
                <w:szCs w:val="21"/>
                <w:highlight w:val="none"/>
                <w:lang w:val="en-US" w:eastAsia="zh-CN"/>
              </w:rPr>
              <w:t>分）</w:t>
            </w:r>
          </w:p>
        </w:tc>
        <w:tc>
          <w:tcPr>
            <w:tcW w:w="285" w:type="pct"/>
            <w:noWrap w:val="0"/>
            <w:vAlign w:val="center"/>
          </w:tcPr>
          <w:p w14:paraId="5D1ACFE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5</w:t>
            </w:r>
          </w:p>
        </w:tc>
        <w:tc>
          <w:tcPr>
            <w:tcW w:w="3630" w:type="pct"/>
            <w:noWrap w:val="0"/>
            <w:vAlign w:val="center"/>
          </w:tcPr>
          <w:p w14:paraId="2E0F3EAA">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体系证书：</w:t>
            </w:r>
            <w:r>
              <w:rPr>
                <w:rFonts w:hint="eastAsia" w:ascii="宋体" w:hAnsi="宋体" w:cs="宋体"/>
                <w:color w:val="auto"/>
                <w:kern w:val="0"/>
                <w:sz w:val="21"/>
                <w:szCs w:val="21"/>
                <w:highlight w:val="none"/>
                <w:lang w:val="en-US" w:eastAsia="zh-CN"/>
              </w:rPr>
              <w:t>产品制造商具有ISO 22320应急管理体系认证，ISO27701隐私信息管理体系认证证书</w:t>
            </w:r>
            <w:r>
              <w:rPr>
                <w:rFonts w:hint="eastAsia" w:ascii="宋体" w:hAnsi="宋体" w:eastAsia="宋体" w:cs="宋体"/>
                <w:color w:val="auto"/>
                <w:kern w:val="0"/>
                <w:sz w:val="21"/>
                <w:szCs w:val="21"/>
                <w:highlight w:val="none"/>
                <w:lang w:val="en-US" w:eastAsia="zh-CN"/>
              </w:rPr>
              <w:t>得</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分</w:t>
            </w:r>
            <w:r>
              <w:rPr>
                <w:rFonts w:hint="eastAsia" w:ascii="宋体" w:hAnsi="宋体" w:cs="宋体"/>
                <w:color w:val="auto"/>
                <w:kern w:val="0"/>
                <w:sz w:val="21"/>
                <w:szCs w:val="21"/>
                <w:highlight w:val="none"/>
                <w:lang w:val="en-US" w:eastAsia="zh-CN"/>
              </w:rPr>
              <w:t>；</w:t>
            </w:r>
          </w:p>
          <w:p w14:paraId="226DA14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具有中国合格评定国家认可委员会（CNAS）能力认可得</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分</w:t>
            </w:r>
            <w:r>
              <w:rPr>
                <w:rFonts w:hint="eastAsia" w:ascii="宋体" w:hAnsi="宋体" w:cs="宋体"/>
                <w:color w:val="auto"/>
                <w:kern w:val="0"/>
                <w:sz w:val="21"/>
                <w:szCs w:val="21"/>
                <w:highlight w:val="none"/>
                <w:lang w:val="en-US" w:eastAsia="zh-CN"/>
              </w:rPr>
              <w:t>；</w:t>
            </w:r>
          </w:p>
          <w:p w14:paraId="32C1B0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具有其他相关资质认证（如ISO/IEC27001、ISO/IEC20000-1等）每项得</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分（投标文件内须附加盖公章的证书扫描件，否则视为无效）</w:t>
            </w:r>
          </w:p>
        </w:tc>
        <w:tc>
          <w:tcPr>
            <w:tcW w:w="557" w:type="pct"/>
            <w:noWrap w:val="0"/>
            <w:vAlign w:val="center"/>
          </w:tcPr>
          <w:p w14:paraId="2EE6467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根据需求提供必要的证明资料</w:t>
            </w:r>
          </w:p>
        </w:tc>
      </w:tr>
      <w:tr w14:paraId="7EF16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527" w:type="pct"/>
            <w:vMerge w:val="continue"/>
            <w:noWrap w:val="0"/>
            <w:vAlign w:val="center"/>
          </w:tcPr>
          <w:p w14:paraId="3650A3B3">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p>
        </w:tc>
        <w:tc>
          <w:tcPr>
            <w:tcW w:w="285" w:type="pct"/>
            <w:noWrap w:val="0"/>
            <w:vAlign w:val="center"/>
          </w:tcPr>
          <w:p w14:paraId="7B2086E6">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3630" w:type="pct"/>
            <w:noWrap w:val="0"/>
            <w:vAlign w:val="center"/>
          </w:tcPr>
          <w:p w14:paraId="2027160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
                <w:bCs/>
                <w:color w:val="auto"/>
                <w:kern w:val="0"/>
                <w:sz w:val="21"/>
                <w:szCs w:val="21"/>
                <w:highlight w:val="none"/>
                <w:lang w:val="en-US" w:eastAsia="zh-CN"/>
              </w:rPr>
            </w:pPr>
            <w:r>
              <w:rPr>
                <w:rFonts w:hint="default" w:ascii="宋体" w:hAnsi="宋体" w:eastAsia="宋体" w:cs="宋体"/>
                <w:b/>
                <w:bCs/>
                <w:color w:val="auto"/>
                <w:kern w:val="0"/>
                <w:sz w:val="21"/>
                <w:szCs w:val="21"/>
                <w:highlight w:val="none"/>
                <w:lang w:val="en-US" w:eastAsia="zh-CN"/>
              </w:rPr>
              <w:t>履约能力：</w:t>
            </w:r>
            <w:r>
              <w:rPr>
                <w:rFonts w:hint="default" w:ascii="宋体" w:hAnsi="宋体" w:eastAsia="宋体" w:cs="宋体"/>
                <w:color w:val="auto"/>
                <w:kern w:val="0"/>
                <w:sz w:val="21"/>
                <w:szCs w:val="21"/>
                <w:highlight w:val="none"/>
                <w:lang w:val="en-US" w:eastAsia="zh-CN"/>
              </w:rPr>
              <w:t>供应商针对技术参数提供详细的实施方案，包含：（1）配送方式详细实施方案；（2）项目的设备及设施实施的详细供货计划及相关流程(供货流程、退货流程、换货流程）；（3）项目人员组织保障责任分工（附本项目参与成员表及岗位分配表、项目经理职责）；（4）项目实施期间投入的车辆</w:t>
            </w:r>
            <w:r>
              <w:rPr>
                <w:rFonts w:hint="eastAsia" w:ascii="宋体" w:hAnsi="宋体" w:cs="宋体"/>
                <w:color w:val="auto"/>
                <w:kern w:val="0"/>
                <w:sz w:val="21"/>
                <w:szCs w:val="21"/>
                <w:highlight w:val="none"/>
                <w:lang w:val="en-US" w:eastAsia="zh-CN"/>
              </w:rPr>
              <w:t>、运输方案</w:t>
            </w:r>
            <w:r>
              <w:rPr>
                <w:rFonts w:hint="default" w:ascii="宋体" w:hAnsi="宋体" w:eastAsia="宋体" w:cs="宋体"/>
                <w:color w:val="auto"/>
                <w:kern w:val="0"/>
                <w:sz w:val="21"/>
                <w:szCs w:val="21"/>
                <w:highlight w:val="none"/>
                <w:lang w:val="en-US" w:eastAsia="zh-CN"/>
              </w:rPr>
              <w:t>及工器具配置方案；（</w:t>
            </w:r>
            <w:r>
              <w:rPr>
                <w:rFonts w:hint="eastAsia" w:ascii="宋体" w:hAnsi="宋体" w:cs="宋体"/>
                <w:color w:val="auto"/>
                <w:kern w:val="0"/>
                <w:sz w:val="21"/>
                <w:szCs w:val="21"/>
                <w:highlight w:val="none"/>
                <w:lang w:val="en-US" w:eastAsia="zh-CN"/>
              </w:rPr>
              <w:t>5</w:t>
            </w:r>
            <w:r>
              <w:rPr>
                <w:rFonts w:hint="default" w:ascii="宋体" w:hAnsi="宋体" w:eastAsia="宋体" w:cs="宋体"/>
                <w:color w:val="auto"/>
                <w:kern w:val="0"/>
                <w:sz w:val="21"/>
                <w:szCs w:val="21"/>
                <w:highlight w:val="none"/>
                <w:lang w:val="en-US" w:eastAsia="zh-CN"/>
              </w:rPr>
              <w:t>）应急方案，必须考虑在整个项目执行过程中可能存在风险和突发情况，针对不同的突发情形提供详细的应急措施及应对方案；（</w:t>
            </w:r>
            <w:r>
              <w:rPr>
                <w:rFonts w:hint="eastAsia" w:ascii="宋体" w:hAnsi="宋体" w:cs="宋体"/>
                <w:color w:val="auto"/>
                <w:kern w:val="0"/>
                <w:sz w:val="21"/>
                <w:szCs w:val="21"/>
                <w:highlight w:val="none"/>
                <w:lang w:val="en-US" w:eastAsia="zh-CN"/>
              </w:rPr>
              <w:t>6</w:t>
            </w:r>
            <w:r>
              <w:rPr>
                <w:rFonts w:hint="default" w:ascii="宋体" w:hAnsi="宋体" w:eastAsia="宋体" w:cs="宋体"/>
                <w:color w:val="auto"/>
                <w:kern w:val="0"/>
                <w:sz w:val="21"/>
                <w:szCs w:val="21"/>
                <w:highlight w:val="none"/>
                <w:lang w:val="en-US" w:eastAsia="zh-CN"/>
              </w:rPr>
              <w:t>）设备安装完成后统计数据并做档案管理作出详细方案；评标委员会根据项目实际情况，方案有利于项目实施且资料详细完整的每提供一项得</w:t>
            </w:r>
            <w:r>
              <w:rPr>
                <w:rFonts w:hint="eastAsia" w:ascii="宋体" w:hAnsi="宋体" w:cs="宋体"/>
                <w:color w:val="auto"/>
                <w:kern w:val="0"/>
                <w:sz w:val="21"/>
                <w:szCs w:val="21"/>
                <w:highlight w:val="none"/>
                <w:lang w:val="en-US" w:eastAsia="zh-CN"/>
              </w:rPr>
              <w:t>6</w:t>
            </w:r>
            <w:r>
              <w:rPr>
                <w:rFonts w:hint="default" w:ascii="宋体" w:hAnsi="宋体" w:eastAsia="宋体" w:cs="宋体"/>
                <w:color w:val="auto"/>
                <w:kern w:val="0"/>
                <w:sz w:val="21"/>
                <w:szCs w:val="21"/>
                <w:highlight w:val="none"/>
                <w:lang w:val="en-US" w:eastAsia="zh-CN"/>
              </w:rPr>
              <w:t>分，提供不全得0.5分，不提供不得分，此项满分</w:t>
            </w:r>
            <w:r>
              <w:rPr>
                <w:rFonts w:hint="eastAsia" w:ascii="宋体" w:hAnsi="宋体" w:cs="宋体"/>
                <w:color w:val="auto"/>
                <w:kern w:val="0"/>
                <w:sz w:val="21"/>
                <w:szCs w:val="21"/>
                <w:highlight w:val="none"/>
                <w:lang w:val="en-US" w:eastAsia="zh-CN"/>
              </w:rPr>
              <w:t>6</w:t>
            </w:r>
            <w:r>
              <w:rPr>
                <w:rFonts w:hint="default" w:ascii="宋体" w:hAnsi="宋体" w:eastAsia="宋体" w:cs="宋体"/>
                <w:color w:val="auto"/>
                <w:kern w:val="0"/>
                <w:sz w:val="21"/>
                <w:szCs w:val="21"/>
                <w:highlight w:val="none"/>
                <w:lang w:val="en-US" w:eastAsia="zh-CN"/>
              </w:rPr>
              <w:t>分。</w:t>
            </w:r>
          </w:p>
        </w:tc>
        <w:tc>
          <w:tcPr>
            <w:tcW w:w="557" w:type="pct"/>
            <w:noWrap w:val="0"/>
            <w:vAlign w:val="center"/>
          </w:tcPr>
          <w:p w14:paraId="1482DA1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color w:val="auto"/>
                <w:sz w:val="21"/>
                <w:szCs w:val="21"/>
                <w:highlight w:val="none"/>
              </w:rPr>
            </w:pPr>
          </w:p>
        </w:tc>
      </w:tr>
      <w:tr w14:paraId="5AD3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527" w:type="pct"/>
            <w:vMerge w:val="continue"/>
            <w:noWrap w:val="0"/>
            <w:vAlign w:val="center"/>
          </w:tcPr>
          <w:p w14:paraId="3CB2419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p>
        </w:tc>
        <w:tc>
          <w:tcPr>
            <w:tcW w:w="285" w:type="pct"/>
            <w:noWrap w:val="0"/>
            <w:vAlign w:val="center"/>
          </w:tcPr>
          <w:p w14:paraId="5379CFC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3630" w:type="pct"/>
            <w:noWrap w:val="0"/>
            <w:vAlign w:val="center"/>
          </w:tcPr>
          <w:p w14:paraId="693154A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质保期：</w:t>
            </w:r>
            <w:r>
              <w:rPr>
                <w:rFonts w:hint="eastAsia" w:ascii="宋体" w:hAnsi="宋体" w:eastAsia="宋体" w:cs="宋体"/>
                <w:b w:val="0"/>
                <w:bCs w:val="0"/>
                <w:color w:val="auto"/>
                <w:kern w:val="0"/>
                <w:sz w:val="21"/>
                <w:szCs w:val="21"/>
                <w:highlight w:val="none"/>
                <w:lang w:val="en-US" w:eastAsia="zh-CN"/>
              </w:rPr>
              <w:t>质保期在</w:t>
            </w:r>
            <w:r>
              <w:rPr>
                <w:rFonts w:hint="eastAsia" w:ascii="宋体" w:hAnsi="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val="en-US" w:eastAsia="zh-CN"/>
              </w:rPr>
              <w:t>年的基础上，每增加一年加</w:t>
            </w:r>
            <w:r>
              <w:rPr>
                <w:rFonts w:hint="eastAsia" w:ascii="宋体" w:hAnsi="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val="en-US" w:eastAsia="zh-CN"/>
              </w:rPr>
              <w:t>分</w:t>
            </w:r>
            <w:r>
              <w:rPr>
                <w:rFonts w:hint="eastAsia" w:ascii="宋体" w:hAnsi="宋体" w:cs="宋体"/>
                <w:b w:val="0"/>
                <w:bCs w:val="0"/>
                <w:color w:val="auto"/>
                <w:kern w:val="0"/>
                <w:sz w:val="21"/>
                <w:szCs w:val="21"/>
                <w:highlight w:val="none"/>
                <w:lang w:val="en-US" w:eastAsia="zh-CN"/>
              </w:rPr>
              <w:t>，最高得2分</w:t>
            </w:r>
            <w:r>
              <w:rPr>
                <w:rFonts w:hint="eastAsia" w:ascii="宋体" w:hAnsi="宋体" w:eastAsia="宋体" w:cs="宋体"/>
                <w:b w:val="0"/>
                <w:bCs w:val="0"/>
                <w:color w:val="auto"/>
                <w:kern w:val="0"/>
                <w:sz w:val="21"/>
                <w:szCs w:val="21"/>
                <w:highlight w:val="none"/>
                <w:lang w:val="en-US" w:eastAsia="zh-CN"/>
              </w:rPr>
              <w:t>。（须提供加盖公章的有效质保承诺，未按要求提供不得分）</w:t>
            </w:r>
          </w:p>
        </w:tc>
        <w:tc>
          <w:tcPr>
            <w:tcW w:w="557" w:type="pct"/>
            <w:noWrap w:val="0"/>
            <w:vAlign w:val="center"/>
          </w:tcPr>
          <w:p w14:paraId="5718B8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
                <w:bCs/>
                <w:color w:val="auto"/>
                <w:sz w:val="21"/>
                <w:szCs w:val="21"/>
                <w:highlight w:val="none"/>
              </w:rPr>
            </w:pPr>
          </w:p>
        </w:tc>
      </w:tr>
      <w:tr w14:paraId="55D4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1" w:hRule="atLeast"/>
          <w:jc w:val="center"/>
        </w:trPr>
        <w:tc>
          <w:tcPr>
            <w:tcW w:w="527" w:type="pct"/>
            <w:vMerge w:val="restart"/>
            <w:noWrap w:val="0"/>
            <w:vAlign w:val="center"/>
          </w:tcPr>
          <w:p w14:paraId="62CAC174">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p>
          <w:p w14:paraId="1DCDBB5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技术评分标准（</w:t>
            </w:r>
            <w:r>
              <w:rPr>
                <w:rFonts w:hint="eastAsia" w:ascii="宋体" w:hAnsi="宋体" w:cs="宋体"/>
                <w:color w:val="auto"/>
                <w:sz w:val="21"/>
                <w:szCs w:val="21"/>
                <w:highlight w:val="none"/>
                <w:lang w:val="en-US" w:eastAsia="zh-CN"/>
              </w:rPr>
              <w:t>57</w:t>
            </w:r>
            <w:r>
              <w:rPr>
                <w:rFonts w:hint="eastAsia" w:ascii="宋体" w:hAnsi="宋体" w:eastAsia="宋体" w:cs="宋体"/>
                <w:color w:val="auto"/>
                <w:sz w:val="21"/>
                <w:szCs w:val="21"/>
                <w:highlight w:val="none"/>
                <w:lang w:val="en-US" w:eastAsia="zh-CN"/>
              </w:rPr>
              <w:t>分）</w:t>
            </w:r>
          </w:p>
        </w:tc>
        <w:tc>
          <w:tcPr>
            <w:tcW w:w="285" w:type="pct"/>
            <w:noWrap w:val="0"/>
            <w:vAlign w:val="center"/>
          </w:tcPr>
          <w:p w14:paraId="7CBECA99">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630" w:type="pct"/>
            <w:noWrap w:val="0"/>
            <w:vAlign w:val="center"/>
          </w:tcPr>
          <w:p w14:paraId="59B0862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auto"/>
                <w:kern w:val="0"/>
                <w:sz w:val="21"/>
                <w:szCs w:val="21"/>
                <w:highlight w:val="red"/>
                <w:lang w:val="en-US" w:eastAsia="zh-CN"/>
              </w:rPr>
            </w:pPr>
            <w:r>
              <w:rPr>
                <w:rFonts w:hint="eastAsia" w:ascii="宋体" w:hAnsi="宋体" w:eastAsia="宋体" w:cs="宋体"/>
                <w:b/>
                <w:bCs/>
                <w:color w:val="auto"/>
                <w:kern w:val="0"/>
                <w:sz w:val="21"/>
                <w:szCs w:val="21"/>
                <w:highlight w:val="none"/>
                <w:lang w:val="en-US" w:eastAsia="zh-CN"/>
              </w:rPr>
              <w:t>人员资质：</w:t>
            </w:r>
          </w:p>
          <w:p w14:paraId="4BBFCAC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项目经理具有相关证书</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信息安全等级高级证书</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CISP等</w:t>
            </w:r>
            <w:r>
              <w:rPr>
                <w:rFonts w:hint="eastAsia" w:ascii="宋体" w:hAnsi="宋体" w:cs="宋体"/>
                <w:color w:val="auto"/>
                <w:kern w:val="0"/>
                <w:sz w:val="21"/>
                <w:szCs w:val="21"/>
                <w:highlight w:val="none"/>
                <w:lang w:val="en-US" w:eastAsia="zh-CN"/>
              </w:rPr>
              <w:t>）一人</w:t>
            </w:r>
            <w:r>
              <w:rPr>
                <w:rFonts w:hint="eastAsia" w:ascii="宋体" w:hAnsi="宋体" w:eastAsia="宋体" w:cs="宋体"/>
                <w:color w:val="auto"/>
                <w:kern w:val="0"/>
                <w:sz w:val="21"/>
                <w:szCs w:val="21"/>
                <w:highlight w:val="none"/>
                <w:lang w:val="en-US" w:eastAsia="zh-CN"/>
              </w:rPr>
              <w:t>得</w:t>
            </w:r>
            <w:r>
              <w:rPr>
                <w:rFonts w:hint="eastAsia" w:ascii="宋体" w:hAnsi="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val="en-US" w:eastAsia="zh-CN"/>
              </w:rPr>
              <w:t>分</w:t>
            </w:r>
            <w:r>
              <w:rPr>
                <w:rFonts w:hint="eastAsia" w:ascii="宋体" w:hAnsi="宋体" w:cs="宋体"/>
                <w:color w:val="auto"/>
                <w:kern w:val="0"/>
                <w:sz w:val="21"/>
                <w:szCs w:val="21"/>
                <w:highlight w:val="none"/>
                <w:lang w:val="en-US" w:eastAsia="zh-CN"/>
              </w:rPr>
              <w:t>；</w:t>
            </w:r>
          </w:p>
          <w:p w14:paraId="1685486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项目组成员数量及资质证书</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中级及以上信息安全等</w:t>
            </w:r>
            <w:r>
              <w:rPr>
                <w:rFonts w:hint="eastAsia" w:ascii="宋体" w:hAnsi="宋体" w:cs="宋体"/>
                <w:color w:val="auto"/>
                <w:kern w:val="0"/>
                <w:sz w:val="21"/>
                <w:szCs w:val="21"/>
                <w:highlight w:val="none"/>
                <w:lang w:val="en-US" w:eastAsia="zh-CN"/>
              </w:rPr>
              <w:t>，初级</w:t>
            </w:r>
            <w:r>
              <w:rPr>
                <w:rFonts w:hint="eastAsia" w:ascii="宋体" w:hAnsi="宋体" w:eastAsia="宋体" w:cs="宋体"/>
                <w:color w:val="auto"/>
                <w:kern w:val="0"/>
                <w:sz w:val="21"/>
                <w:szCs w:val="21"/>
                <w:highlight w:val="none"/>
                <w:lang w:val="en-US" w:eastAsia="zh-CN"/>
              </w:rPr>
              <w:t>信息安全专业人员证书等</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注册信息安全专业人员(CISP)</w:t>
            </w:r>
            <w:r>
              <w:rPr>
                <w:rFonts w:hint="eastAsia" w:ascii="宋体" w:hAnsi="宋体" w:cs="宋体"/>
                <w:color w:val="auto"/>
                <w:kern w:val="0"/>
                <w:sz w:val="21"/>
                <w:szCs w:val="21"/>
                <w:highlight w:val="none"/>
                <w:lang w:val="en-US" w:eastAsia="zh-CN"/>
              </w:rPr>
              <w:t>中级一人</w:t>
            </w:r>
            <w:r>
              <w:rPr>
                <w:rFonts w:hint="eastAsia" w:ascii="宋体" w:hAnsi="宋体" w:eastAsia="宋体" w:cs="宋体"/>
                <w:color w:val="auto"/>
                <w:kern w:val="0"/>
                <w:sz w:val="21"/>
                <w:szCs w:val="21"/>
                <w:highlight w:val="none"/>
                <w:lang w:val="en-US" w:eastAsia="zh-CN"/>
              </w:rPr>
              <w:t>得</w:t>
            </w:r>
            <w:r>
              <w:rPr>
                <w:rFonts w:hint="eastAsia" w:ascii="宋体" w:hAnsi="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val="en-US" w:eastAsia="zh-CN"/>
              </w:rPr>
              <w:t>分</w:t>
            </w:r>
            <w:r>
              <w:rPr>
                <w:rFonts w:hint="eastAsia" w:ascii="宋体" w:hAnsi="宋体" w:cs="宋体"/>
                <w:color w:val="auto"/>
                <w:kern w:val="0"/>
                <w:sz w:val="21"/>
                <w:szCs w:val="21"/>
                <w:highlight w:val="none"/>
                <w:lang w:val="en-US" w:eastAsia="zh-CN"/>
              </w:rPr>
              <w:t>，每增加一人得0.5分，最高得2分</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初</w:t>
            </w:r>
            <w:r>
              <w:rPr>
                <w:rFonts w:hint="eastAsia" w:ascii="宋体" w:hAnsi="宋体" w:eastAsia="宋体" w:cs="宋体"/>
                <w:color w:val="auto"/>
                <w:kern w:val="0"/>
                <w:sz w:val="21"/>
                <w:szCs w:val="21"/>
                <w:highlight w:val="none"/>
                <w:lang w:val="en-US" w:eastAsia="zh-CN"/>
              </w:rPr>
              <w:t>级</w:t>
            </w:r>
            <w:r>
              <w:rPr>
                <w:rFonts w:hint="eastAsia" w:ascii="宋体" w:hAnsi="宋体" w:cs="宋体"/>
                <w:color w:val="auto"/>
                <w:kern w:val="0"/>
                <w:sz w:val="21"/>
                <w:szCs w:val="21"/>
                <w:highlight w:val="none"/>
                <w:lang w:val="en-US" w:eastAsia="zh-CN"/>
              </w:rPr>
              <w:t>一人</w:t>
            </w:r>
            <w:r>
              <w:rPr>
                <w:rFonts w:hint="eastAsia" w:ascii="宋体" w:hAnsi="宋体" w:eastAsia="宋体" w:cs="宋体"/>
                <w:color w:val="auto"/>
                <w:kern w:val="0"/>
                <w:sz w:val="21"/>
                <w:szCs w:val="21"/>
                <w:highlight w:val="none"/>
                <w:lang w:val="en-US" w:eastAsia="zh-CN"/>
              </w:rPr>
              <w:t>得</w:t>
            </w:r>
            <w:r>
              <w:rPr>
                <w:rFonts w:hint="eastAsia" w:ascii="宋体" w:hAnsi="宋体" w:cs="宋体"/>
                <w:color w:val="auto"/>
                <w:kern w:val="0"/>
                <w:sz w:val="21"/>
                <w:szCs w:val="21"/>
                <w:highlight w:val="none"/>
                <w:lang w:val="en-US" w:eastAsia="zh-CN"/>
              </w:rPr>
              <w:t>0.5</w:t>
            </w:r>
            <w:r>
              <w:rPr>
                <w:rFonts w:hint="eastAsia" w:ascii="宋体" w:hAnsi="宋体" w:eastAsia="宋体" w:cs="宋体"/>
                <w:color w:val="auto"/>
                <w:kern w:val="0"/>
                <w:sz w:val="21"/>
                <w:szCs w:val="21"/>
                <w:highlight w:val="none"/>
                <w:lang w:val="en-US" w:eastAsia="zh-CN"/>
              </w:rPr>
              <w:t>分</w:t>
            </w:r>
            <w:r>
              <w:rPr>
                <w:rFonts w:hint="eastAsia" w:ascii="宋体" w:hAnsi="宋体" w:cs="宋体"/>
                <w:color w:val="auto"/>
                <w:kern w:val="0"/>
                <w:sz w:val="21"/>
                <w:szCs w:val="21"/>
                <w:highlight w:val="none"/>
                <w:lang w:val="en-US" w:eastAsia="zh-CN"/>
              </w:rPr>
              <w:t>，每增加一人得0.5分，最高得1分（需有人员社保缴纳证明并加盖公章）</w:t>
            </w:r>
          </w:p>
        </w:tc>
        <w:tc>
          <w:tcPr>
            <w:tcW w:w="557" w:type="pct"/>
            <w:vMerge w:val="restart"/>
            <w:noWrap w:val="0"/>
            <w:vAlign w:val="center"/>
          </w:tcPr>
          <w:p w14:paraId="70775B3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根据需求提供必要的证明资料</w:t>
            </w:r>
          </w:p>
        </w:tc>
      </w:tr>
      <w:tr w14:paraId="52EE5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2" w:hRule="atLeast"/>
          <w:jc w:val="center"/>
        </w:trPr>
        <w:tc>
          <w:tcPr>
            <w:tcW w:w="527" w:type="pct"/>
            <w:vMerge w:val="continue"/>
            <w:noWrap w:val="0"/>
            <w:vAlign w:val="center"/>
          </w:tcPr>
          <w:p w14:paraId="4E11B65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c>
          <w:tcPr>
            <w:tcW w:w="285" w:type="pct"/>
            <w:noWrap w:val="0"/>
            <w:vAlign w:val="center"/>
          </w:tcPr>
          <w:p w14:paraId="0304B99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3630" w:type="pct"/>
            <w:noWrap w:val="0"/>
            <w:vAlign w:val="center"/>
          </w:tcPr>
          <w:p w14:paraId="2CB25172">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实施方案：</w:t>
            </w:r>
            <w:r>
              <w:rPr>
                <w:rFonts w:hint="eastAsia" w:ascii="宋体" w:hAnsi="宋体" w:eastAsia="宋体" w:cs="宋体"/>
                <w:color w:val="auto"/>
                <w:kern w:val="0"/>
                <w:sz w:val="21"/>
                <w:szCs w:val="21"/>
                <w:highlight w:val="none"/>
                <w:lang w:val="en-US" w:eastAsia="zh-CN"/>
              </w:rPr>
              <w:t>①实施方案中设备质量、供货安装、项目安全措施、应急处理、进度安排完全满足项目实际要求的得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分；方案描述不清晰或有缺失内容的每一项扣1分，扣完为止；未提供的不得分。</w:t>
            </w:r>
          </w:p>
          <w:p w14:paraId="51A8B29C">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②项目安装、调试、测试</w:t>
            </w:r>
            <w:r>
              <w:rPr>
                <w:rFonts w:hint="eastAsia" w:ascii="宋体" w:hAnsi="宋体" w:cs="宋体"/>
                <w:color w:val="auto"/>
                <w:kern w:val="0"/>
                <w:sz w:val="21"/>
                <w:szCs w:val="21"/>
                <w:highlight w:val="none"/>
                <w:lang w:val="en-US" w:eastAsia="zh-CN"/>
              </w:rPr>
              <w:t>及设备后期得维修保养</w:t>
            </w:r>
            <w:r>
              <w:rPr>
                <w:rFonts w:hint="eastAsia" w:ascii="宋体" w:hAnsi="宋体" w:eastAsia="宋体" w:cs="宋体"/>
                <w:color w:val="auto"/>
                <w:kern w:val="0"/>
                <w:sz w:val="21"/>
                <w:szCs w:val="21"/>
                <w:highlight w:val="none"/>
                <w:lang w:val="en-US" w:eastAsia="zh-CN"/>
              </w:rPr>
              <w:t>方案合理且操作性较强，完全满足项目实际要求的得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分；方案描述不清晰或有缺失内容的每一项扣1分，扣完为止；未提供的不得分。</w:t>
            </w:r>
          </w:p>
          <w:p w14:paraId="0918951D">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sz w:val="21"/>
                <w:szCs w:val="21"/>
                <w:highlight w:val="none"/>
                <w:lang w:val="en-US"/>
              </w:rPr>
            </w:pPr>
            <w:r>
              <w:rPr>
                <w:rFonts w:hint="eastAsia" w:ascii="宋体" w:hAnsi="宋体" w:eastAsia="宋体" w:cs="宋体"/>
                <w:color w:val="auto"/>
                <w:kern w:val="0"/>
                <w:sz w:val="21"/>
                <w:szCs w:val="21"/>
                <w:highlight w:val="none"/>
                <w:lang w:val="en-US" w:eastAsia="zh-CN"/>
              </w:rPr>
              <w:t>③有明确的项目质量管理方案和制度，项目管理机构及职责分配合理，符合项目实际，具有操作性；完全满足项目实际要求的得</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分；方案描述不清晰或可行性低的每一项扣1分，扣完为止；未提供的不得分。</w:t>
            </w:r>
          </w:p>
        </w:tc>
        <w:tc>
          <w:tcPr>
            <w:tcW w:w="557" w:type="pct"/>
            <w:vMerge w:val="continue"/>
            <w:noWrap w:val="0"/>
            <w:vAlign w:val="center"/>
          </w:tcPr>
          <w:p w14:paraId="6964AFC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r>
      <w:tr w14:paraId="58971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jc w:val="center"/>
        </w:trPr>
        <w:tc>
          <w:tcPr>
            <w:tcW w:w="527" w:type="pct"/>
            <w:vMerge w:val="continue"/>
            <w:noWrap w:val="0"/>
            <w:vAlign w:val="center"/>
          </w:tcPr>
          <w:p w14:paraId="72E28C6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c>
          <w:tcPr>
            <w:tcW w:w="285" w:type="pct"/>
            <w:noWrap w:val="0"/>
            <w:vAlign w:val="center"/>
          </w:tcPr>
          <w:p w14:paraId="617D494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3630" w:type="pct"/>
            <w:noWrap w:val="0"/>
            <w:vAlign w:val="center"/>
          </w:tcPr>
          <w:p w14:paraId="40A5DDB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auto"/>
                <w:kern w:val="0"/>
                <w:sz w:val="21"/>
                <w:szCs w:val="21"/>
                <w:highlight w:val="red"/>
                <w:lang w:val="en-US" w:eastAsia="zh-CN"/>
              </w:rPr>
            </w:pPr>
            <w:r>
              <w:rPr>
                <w:rFonts w:hint="eastAsia" w:ascii="宋体" w:hAnsi="宋体" w:eastAsia="宋体" w:cs="宋体"/>
                <w:b/>
                <w:bCs/>
                <w:color w:val="auto"/>
                <w:kern w:val="0"/>
                <w:sz w:val="21"/>
                <w:szCs w:val="21"/>
                <w:highlight w:val="none"/>
                <w:lang w:val="en-US" w:eastAsia="zh-CN"/>
              </w:rPr>
              <w:t>培训方案：</w:t>
            </w:r>
            <w:r>
              <w:rPr>
                <w:rFonts w:hint="eastAsia" w:ascii="宋体" w:hAnsi="宋体" w:eastAsia="宋体" w:cs="宋体"/>
                <w:color w:val="auto"/>
                <w:sz w:val="21"/>
                <w:szCs w:val="21"/>
                <w:highlight w:val="none"/>
                <w:lang w:val="en-US" w:eastAsia="zh-CN"/>
              </w:rPr>
              <w:t>培训计划情况，应含详细合理的培训方案（包含：</w:t>
            </w:r>
            <w:r>
              <w:rPr>
                <w:rFonts w:hint="eastAsia" w:ascii="宋体" w:hAnsi="宋体" w:eastAsia="宋体" w:cs="宋体"/>
                <w:b w:val="0"/>
                <w:bCs w:val="0"/>
                <w:i w:val="0"/>
                <w:caps w:val="0"/>
                <w:color w:val="auto"/>
                <w:spacing w:val="0"/>
                <w:w w:val="100"/>
                <w:kern w:val="2"/>
                <w:sz w:val="24"/>
                <w:szCs w:val="24"/>
                <w:highlight w:val="none"/>
                <w:lang w:val="en-US" w:eastAsia="zh-CN" w:bidi="ar-SA"/>
              </w:rPr>
              <w:t>应详细规划培训目标、内容、方式、时间、地点、考核等关键环节</w:t>
            </w:r>
            <w:r>
              <w:rPr>
                <w:rFonts w:hint="eastAsia" w:ascii="宋体" w:hAnsi="宋体" w:eastAsia="宋体" w:cs="宋体"/>
                <w:color w:val="auto"/>
                <w:sz w:val="21"/>
                <w:szCs w:val="21"/>
                <w:highlight w:val="none"/>
                <w:lang w:val="en-US" w:eastAsia="zh-CN"/>
              </w:rPr>
              <w:t>）培训方案中包含以上每项内容，且方案切实可行，满足采购方需求得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分，每有一项内容缺失的扣</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分，每有一项内容阐述不全面、不符合项目实际情况、无法满足采购需求的扣</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分，扣完为止。</w:t>
            </w:r>
          </w:p>
        </w:tc>
        <w:tc>
          <w:tcPr>
            <w:tcW w:w="557" w:type="pct"/>
            <w:vMerge w:val="continue"/>
            <w:noWrap w:val="0"/>
            <w:vAlign w:val="center"/>
          </w:tcPr>
          <w:p w14:paraId="3C34D20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r>
      <w:tr w14:paraId="548B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jc w:val="center"/>
        </w:trPr>
        <w:tc>
          <w:tcPr>
            <w:tcW w:w="527" w:type="pct"/>
            <w:vMerge w:val="continue"/>
            <w:noWrap w:val="0"/>
            <w:vAlign w:val="center"/>
          </w:tcPr>
          <w:p w14:paraId="2E886E3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c>
          <w:tcPr>
            <w:tcW w:w="285" w:type="pct"/>
            <w:noWrap w:val="0"/>
            <w:vAlign w:val="center"/>
          </w:tcPr>
          <w:p w14:paraId="23C97B0A">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3630" w:type="pct"/>
            <w:noWrap w:val="0"/>
            <w:vAlign w:val="center"/>
          </w:tcPr>
          <w:p w14:paraId="47CC68C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售后服务：</w:t>
            </w:r>
            <w:r>
              <w:rPr>
                <w:rFonts w:hint="eastAsia" w:ascii="宋体" w:hAnsi="宋体" w:eastAsia="宋体" w:cs="宋体"/>
                <w:color w:val="auto"/>
                <w:sz w:val="21"/>
                <w:szCs w:val="21"/>
                <w:highlight w:val="none"/>
                <w:lang w:val="en-US" w:eastAsia="zh-CN"/>
              </w:rPr>
              <w:t>①供应商根据本项目的采购需求制定售后方案，包括售后维保、技术人员技术支持及咨询服务、在任何时候、任何地点均可享受到终生的免费咨询服务。方案完整，逻辑清晰，贴合采购需求，可行性高的得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分；方案较为合理，可行性较高的得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分；方案结构混乱，不贴合本项目的采购需求得</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lang w:val="en-US" w:eastAsia="zh-CN"/>
              </w:rPr>
              <w:t>分；未提供不得分。</w:t>
            </w:r>
          </w:p>
          <w:p w14:paraId="78A1141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②供应商设有正规完善的售后维修服务机构，有至少2名的专职工程师，按照项目采购需求中要求进行维修响应并排除故障的应急抢修方案，常备配件库房，提供配件库房、维修详细地址及维修工程师姓名、联系电话、设备维修工程师资格证书及身份证、近三个月社保证明复印件。人员要求资料齐全、方案合理可行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分；人员要求资料较齐全、方案较合理可行得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分；人员要求资料不齐全、方案不合理可行得</w:t>
            </w:r>
            <w:r>
              <w:rPr>
                <w:rFonts w:hint="eastAsia" w:ascii="宋体" w:hAnsi="宋体" w:cs="宋体"/>
                <w:color w:val="auto"/>
                <w:sz w:val="21"/>
                <w:szCs w:val="21"/>
                <w:highlight w:val="none"/>
                <w:lang w:val="en-US" w:eastAsia="zh-CN"/>
              </w:rPr>
              <w:t>0.5</w:t>
            </w:r>
            <w:r>
              <w:rPr>
                <w:rFonts w:hint="eastAsia" w:ascii="宋体" w:hAnsi="宋体" w:eastAsia="宋体" w:cs="宋体"/>
                <w:color w:val="auto"/>
                <w:sz w:val="21"/>
                <w:szCs w:val="21"/>
                <w:highlight w:val="none"/>
                <w:lang w:val="en-US" w:eastAsia="zh-CN"/>
              </w:rPr>
              <w:t>分；未提供不得分</w:t>
            </w:r>
            <w:r>
              <w:rPr>
                <w:rFonts w:hint="eastAsia" w:ascii="宋体" w:hAnsi="宋体" w:cs="宋体"/>
                <w:color w:val="auto"/>
                <w:sz w:val="21"/>
                <w:szCs w:val="21"/>
                <w:highlight w:val="none"/>
                <w:lang w:val="en-US" w:eastAsia="zh-CN"/>
              </w:rPr>
              <w:t>；</w:t>
            </w:r>
          </w:p>
          <w:p w14:paraId="38D3CACF">
            <w:pPr>
              <w:pStyle w:val="2"/>
              <w:rPr>
                <w:rFonts w:hint="eastAsia"/>
                <w:lang w:val="en-US" w:eastAsia="zh-CN"/>
              </w:rPr>
            </w:pPr>
            <w:r>
              <w:rPr>
                <w:rFonts w:hint="default" w:ascii="Calibri" w:hAnsi="Calibri" w:eastAsia="宋体" w:cs="Calibri"/>
                <w:color w:val="auto"/>
                <w:sz w:val="21"/>
                <w:szCs w:val="21"/>
                <w:highlight w:val="none"/>
                <w:lang w:val="en-US" w:eastAsia="zh-CN"/>
              </w:rPr>
              <w:t>③</w:t>
            </w:r>
            <w:r>
              <w:rPr>
                <w:rFonts w:hint="eastAsia" w:ascii="宋体" w:hAnsi="宋体" w:eastAsia="宋体" w:cs="宋体"/>
                <w:color w:val="auto"/>
                <w:sz w:val="21"/>
                <w:szCs w:val="21"/>
                <w:highlight w:val="none"/>
                <w:lang w:val="en-US" w:eastAsia="zh-CN"/>
              </w:rPr>
              <w:t>提供7x24小时的技术支持服务，提供固定的维修电话，承诺接到报修电话后，确保在8小时解决故障；为保证维修质量，确保维修后的设备能够正常运行，供应商提供维修质量承诺书；提供必要的备品备件，质保期内免费提供备品备件，质保期外不得高于正常市场价格（包含：详细的备品备件清单，备件名称、数量、价格）以确保在设备出现故障时能够及时更换。备品备件的数量和质量应保证为原厂产品；方案完整，逻辑清晰，贴合采购需求，可行性高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分；方案较为合理，可行性较高的得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分；方案结构混乱，不贴合本项目的采购需求得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分；未提供不得分。</w:t>
            </w:r>
          </w:p>
        </w:tc>
        <w:tc>
          <w:tcPr>
            <w:tcW w:w="557" w:type="pct"/>
            <w:vMerge w:val="continue"/>
            <w:noWrap w:val="0"/>
            <w:vAlign w:val="center"/>
          </w:tcPr>
          <w:p w14:paraId="42D4FC11">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r>
      <w:tr w14:paraId="247A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4" w:hRule="atLeast"/>
          <w:jc w:val="center"/>
        </w:trPr>
        <w:tc>
          <w:tcPr>
            <w:tcW w:w="527" w:type="pct"/>
            <w:vMerge w:val="restart"/>
            <w:noWrap w:val="0"/>
            <w:vAlign w:val="center"/>
          </w:tcPr>
          <w:p w14:paraId="69F8BFB8">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bookmarkStart w:id="1754" w:name="_Toc2878"/>
            <w:bookmarkStart w:id="1755" w:name="_Toc4781"/>
          </w:p>
        </w:tc>
        <w:tc>
          <w:tcPr>
            <w:tcW w:w="285" w:type="pct"/>
            <w:noWrap w:val="0"/>
            <w:vAlign w:val="center"/>
          </w:tcPr>
          <w:p w14:paraId="4D1F2D1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3630" w:type="pct"/>
            <w:noWrap w:val="0"/>
            <w:vAlign w:val="center"/>
          </w:tcPr>
          <w:p w14:paraId="06DB63C4">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rPr>
              <w:t>技术要求</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防火墙功能：设备需具备强大的防火墙功能，能够防御外部攻击和内部泄露；</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入侵检测与防御：设备应能实时检测并防御网络入侵行为，确保网络安全；</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加密与认证：设备需支持多种加密技术和认证机制，保障数据传输的安全性；</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日志审计：设备应能记录并分析网络活动日志，便于安全审计和追溯；</w:t>
            </w:r>
            <w:r>
              <w:rPr>
                <w:rFonts w:hint="eastAsia" w:ascii="宋体" w:hAnsi="宋体" w:cs="宋体"/>
                <w:color w:val="auto"/>
                <w:sz w:val="21"/>
                <w:szCs w:val="21"/>
                <w:highlight w:val="none"/>
                <w:lang w:val="en-US" w:eastAsia="zh-CN"/>
              </w:rPr>
              <w:t>（5）</w:t>
            </w:r>
            <w:r>
              <w:rPr>
                <w:rFonts w:hint="eastAsia" w:ascii="宋体" w:hAnsi="宋体" w:eastAsia="宋体" w:cs="宋体"/>
                <w:bCs w:val="0"/>
                <w:color w:val="auto"/>
                <w:spacing w:val="0"/>
                <w:kern w:val="2"/>
                <w:sz w:val="21"/>
                <w:szCs w:val="21"/>
                <w:highlight w:val="none"/>
                <w:lang w:val="en-US" w:eastAsia="zh-CN" w:bidi="ar-SA"/>
              </w:rPr>
              <w:t>设备应具备良好的可扩展性，以适应未来网络规模的扩大和技术的升级；</w:t>
            </w:r>
            <w:r>
              <w:rPr>
                <w:rFonts w:hint="eastAsia" w:ascii="宋体" w:hAnsi="宋体" w:cs="宋体"/>
                <w:color w:val="auto"/>
                <w:sz w:val="21"/>
                <w:szCs w:val="21"/>
                <w:highlight w:val="none"/>
                <w:lang w:val="en-US" w:eastAsia="zh-CN"/>
              </w:rPr>
              <w:t>（6）</w:t>
            </w:r>
            <w:r>
              <w:rPr>
                <w:rFonts w:hint="eastAsia" w:ascii="宋体" w:hAnsi="宋体" w:eastAsia="宋体" w:cs="宋体"/>
                <w:bCs w:val="0"/>
                <w:color w:val="auto"/>
                <w:spacing w:val="0"/>
                <w:kern w:val="2"/>
                <w:sz w:val="21"/>
                <w:szCs w:val="21"/>
                <w:highlight w:val="none"/>
                <w:lang w:val="en-US" w:eastAsia="zh-CN" w:bidi="ar-SA"/>
              </w:rPr>
              <w:t>需与采购方现有网络设备兼容，确保无缝接入；设备需具备足够的吞吐量，以满足网络流量的高峰需求；</w:t>
            </w:r>
            <w:r>
              <w:rPr>
                <w:rFonts w:hint="eastAsia" w:ascii="宋体" w:hAnsi="宋体" w:cs="宋体"/>
                <w:color w:val="auto"/>
                <w:sz w:val="21"/>
                <w:szCs w:val="21"/>
                <w:highlight w:val="none"/>
                <w:lang w:val="en-US" w:eastAsia="zh-CN"/>
              </w:rPr>
              <w:t>（7）</w:t>
            </w:r>
            <w:r>
              <w:rPr>
                <w:rFonts w:hint="eastAsia" w:ascii="宋体" w:hAnsi="宋体" w:eastAsia="宋体" w:cs="宋体"/>
                <w:bCs w:val="0"/>
                <w:color w:val="auto"/>
                <w:spacing w:val="0"/>
                <w:kern w:val="2"/>
                <w:sz w:val="21"/>
                <w:szCs w:val="21"/>
                <w:highlight w:val="none"/>
                <w:lang w:val="en-US" w:eastAsia="zh-CN" w:bidi="ar-SA"/>
              </w:rPr>
              <w:t>评标委员会根据项目实际情况，有利于项目实施且资料详细完整的每提供一项得</w:t>
            </w:r>
            <w:r>
              <w:rPr>
                <w:rFonts w:hint="eastAsia" w:ascii="宋体" w:hAnsi="宋体" w:cs="宋体"/>
                <w:bCs w:val="0"/>
                <w:color w:val="auto"/>
                <w:spacing w:val="0"/>
                <w:kern w:val="2"/>
                <w:sz w:val="21"/>
                <w:szCs w:val="21"/>
                <w:highlight w:val="none"/>
                <w:lang w:val="en-US" w:eastAsia="zh-CN" w:bidi="ar-SA"/>
              </w:rPr>
              <w:t>1</w:t>
            </w:r>
            <w:r>
              <w:rPr>
                <w:rFonts w:hint="eastAsia" w:ascii="宋体" w:hAnsi="宋体" w:eastAsia="宋体" w:cs="宋体"/>
                <w:bCs w:val="0"/>
                <w:color w:val="auto"/>
                <w:spacing w:val="0"/>
                <w:kern w:val="2"/>
                <w:sz w:val="21"/>
                <w:szCs w:val="21"/>
                <w:highlight w:val="none"/>
                <w:lang w:val="en-US" w:eastAsia="zh-CN" w:bidi="ar-SA"/>
              </w:rPr>
              <w:t>分，提供不全</w:t>
            </w:r>
            <w:r>
              <w:rPr>
                <w:rFonts w:hint="eastAsia" w:ascii="宋体" w:hAnsi="宋体" w:cs="宋体"/>
                <w:bCs w:val="0"/>
                <w:color w:val="auto"/>
                <w:spacing w:val="0"/>
                <w:kern w:val="2"/>
                <w:sz w:val="21"/>
                <w:szCs w:val="21"/>
                <w:highlight w:val="none"/>
                <w:lang w:val="en-US" w:eastAsia="zh-CN" w:bidi="ar-SA"/>
              </w:rPr>
              <w:t>或</w:t>
            </w:r>
            <w:r>
              <w:rPr>
                <w:rFonts w:hint="eastAsia" w:ascii="宋体" w:hAnsi="宋体" w:eastAsia="宋体" w:cs="宋体"/>
                <w:bCs w:val="0"/>
                <w:color w:val="auto"/>
                <w:spacing w:val="0"/>
                <w:kern w:val="2"/>
                <w:sz w:val="21"/>
                <w:szCs w:val="21"/>
                <w:highlight w:val="none"/>
                <w:lang w:val="en-US" w:eastAsia="zh-CN" w:bidi="ar-SA"/>
              </w:rPr>
              <w:t>不提供不得分，此项合计满分</w:t>
            </w:r>
            <w:r>
              <w:rPr>
                <w:rFonts w:hint="eastAsia" w:ascii="宋体" w:hAnsi="宋体" w:cs="宋体"/>
                <w:bCs w:val="0"/>
                <w:color w:val="auto"/>
                <w:spacing w:val="0"/>
                <w:kern w:val="2"/>
                <w:sz w:val="21"/>
                <w:szCs w:val="21"/>
                <w:highlight w:val="none"/>
                <w:lang w:val="en-US" w:eastAsia="zh-CN" w:bidi="ar-SA"/>
              </w:rPr>
              <w:t>7</w:t>
            </w:r>
            <w:r>
              <w:rPr>
                <w:rFonts w:hint="eastAsia" w:ascii="宋体" w:hAnsi="宋体" w:eastAsia="宋体" w:cs="宋体"/>
                <w:bCs w:val="0"/>
                <w:color w:val="auto"/>
                <w:spacing w:val="0"/>
                <w:kern w:val="2"/>
                <w:sz w:val="21"/>
                <w:szCs w:val="21"/>
                <w:highlight w:val="none"/>
                <w:lang w:val="en-US" w:eastAsia="zh-CN" w:bidi="ar-SA"/>
              </w:rPr>
              <w:t>分；</w:t>
            </w:r>
          </w:p>
          <w:p w14:paraId="15A907FD">
            <w:pPr>
              <w:pStyle w:val="2"/>
              <w:rPr>
                <w:rFonts w:hint="eastAsia" w:ascii="宋体" w:hAnsi="宋体" w:eastAsia="宋体" w:cs="宋体"/>
                <w:color w:val="auto"/>
                <w:sz w:val="21"/>
                <w:szCs w:val="21"/>
                <w:highlight w:val="none"/>
                <w:lang w:val="en-US" w:eastAsia="zh-CN"/>
              </w:rPr>
            </w:pPr>
          </w:p>
        </w:tc>
        <w:tc>
          <w:tcPr>
            <w:tcW w:w="557" w:type="pct"/>
            <w:noWrap w:val="0"/>
            <w:vAlign w:val="center"/>
          </w:tcPr>
          <w:p w14:paraId="0DFE935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r>
      <w:tr w14:paraId="1E8F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4" w:hRule="atLeast"/>
          <w:jc w:val="center"/>
        </w:trPr>
        <w:tc>
          <w:tcPr>
            <w:tcW w:w="527" w:type="pct"/>
            <w:vMerge w:val="continue"/>
            <w:noWrap w:val="0"/>
            <w:vAlign w:val="center"/>
          </w:tcPr>
          <w:p w14:paraId="61E2946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c>
          <w:tcPr>
            <w:tcW w:w="285" w:type="pct"/>
            <w:noWrap w:val="0"/>
            <w:vAlign w:val="center"/>
          </w:tcPr>
          <w:p w14:paraId="14A0044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22</w:t>
            </w:r>
          </w:p>
        </w:tc>
        <w:tc>
          <w:tcPr>
            <w:tcW w:w="3630" w:type="pct"/>
            <w:noWrap w:val="0"/>
            <w:vAlign w:val="center"/>
          </w:tcPr>
          <w:p w14:paraId="4604B4BC">
            <w:pPr>
              <w:pStyle w:val="2"/>
              <w:rPr>
                <w:rFonts w:hint="eastAsia" w:ascii="宋体" w:hAnsi="宋体" w:eastAsia="宋体" w:cs="宋体"/>
                <w:b/>
                <w:bCs/>
                <w:color w:val="auto"/>
                <w:spacing w:val="0"/>
                <w:kern w:val="2"/>
                <w:sz w:val="21"/>
                <w:szCs w:val="21"/>
                <w:highlight w:val="none"/>
                <w:lang w:val="en-US" w:eastAsia="zh-CN" w:bidi="ar-SA"/>
              </w:rPr>
            </w:pPr>
            <w:r>
              <w:rPr>
                <w:rFonts w:hint="eastAsia" w:ascii="宋体" w:hAnsi="宋体" w:eastAsia="宋体" w:cs="宋体"/>
                <w:b/>
                <w:bCs/>
                <w:color w:val="auto"/>
                <w:spacing w:val="0"/>
                <w:kern w:val="2"/>
                <w:sz w:val="21"/>
                <w:szCs w:val="21"/>
                <w:highlight w:val="none"/>
                <w:lang w:val="en-US" w:eastAsia="zh-CN" w:bidi="ar-SA"/>
              </w:rPr>
              <w:t>技术参数：</w:t>
            </w:r>
          </w:p>
          <w:p w14:paraId="5B96486F">
            <w:pPr>
              <w:pStyle w:val="2"/>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1、技术参数完全满足招标文件技术参数要求得</w:t>
            </w:r>
            <w:r>
              <w:rPr>
                <w:rFonts w:hint="eastAsia" w:ascii="宋体" w:hAnsi="宋体" w:cs="宋体"/>
                <w:bCs w:val="0"/>
                <w:color w:val="auto"/>
                <w:spacing w:val="0"/>
                <w:kern w:val="2"/>
                <w:sz w:val="21"/>
                <w:szCs w:val="21"/>
                <w:highlight w:val="none"/>
                <w:lang w:val="en-US" w:eastAsia="zh-CN" w:bidi="ar-SA"/>
              </w:rPr>
              <w:t>22</w:t>
            </w:r>
            <w:r>
              <w:rPr>
                <w:rFonts w:hint="eastAsia" w:ascii="宋体" w:hAnsi="宋体" w:eastAsia="宋体" w:cs="宋体"/>
                <w:bCs w:val="0"/>
                <w:color w:val="auto"/>
                <w:spacing w:val="0"/>
                <w:kern w:val="2"/>
                <w:sz w:val="21"/>
                <w:szCs w:val="21"/>
                <w:highlight w:val="none"/>
                <w:lang w:val="en-US" w:eastAsia="zh-CN" w:bidi="ar-SA"/>
              </w:rPr>
              <w:t>分 。标注“★”号的技术参数为“实质性响应参数”，不允许出现负偏离，否则作无效投标处理</w:t>
            </w:r>
          </w:p>
          <w:p w14:paraId="5E23BBEA">
            <w:pPr>
              <w:keepNext w:val="0"/>
              <w:keepLines w:val="0"/>
              <w:pageBreakBefore w:val="0"/>
              <w:widowControl w:val="0"/>
              <w:kinsoku/>
              <w:wordWrap/>
              <w:overflowPunct/>
              <w:topLinePunct w:val="0"/>
              <w:autoSpaceDE/>
              <w:autoSpaceDN/>
              <w:bidi w:val="0"/>
              <w:adjustRightInd/>
              <w:snapToGrid/>
              <w:spacing w:line="360" w:lineRule="exact"/>
              <w:jc w:val="left"/>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cs="宋体"/>
                <w:bCs w:val="0"/>
                <w:color w:val="auto"/>
                <w:spacing w:val="0"/>
                <w:kern w:val="2"/>
                <w:sz w:val="21"/>
                <w:szCs w:val="21"/>
                <w:highlight w:val="none"/>
                <w:lang w:val="en-US" w:eastAsia="zh-CN" w:bidi="ar-SA"/>
              </w:rPr>
              <w:t>2</w:t>
            </w:r>
            <w:r>
              <w:rPr>
                <w:rFonts w:hint="eastAsia" w:ascii="宋体" w:hAnsi="宋体" w:eastAsia="宋体" w:cs="宋体"/>
                <w:bCs w:val="0"/>
                <w:color w:val="auto"/>
                <w:spacing w:val="0"/>
                <w:kern w:val="2"/>
                <w:sz w:val="21"/>
                <w:szCs w:val="21"/>
                <w:highlight w:val="none"/>
                <w:lang w:val="en-US" w:eastAsia="zh-CN" w:bidi="ar-SA"/>
              </w:rPr>
              <w:t>、评审专家根据非核心产品技术参数负偏离部分情况进行打分，一项负偏离扣</w:t>
            </w:r>
            <w:r>
              <w:rPr>
                <w:rFonts w:hint="eastAsia" w:ascii="宋体" w:hAnsi="宋体" w:cs="宋体"/>
                <w:bCs w:val="0"/>
                <w:color w:val="auto"/>
                <w:spacing w:val="0"/>
                <w:kern w:val="2"/>
                <w:sz w:val="21"/>
                <w:szCs w:val="21"/>
                <w:highlight w:val="none"/>
                <w:lang w:val="en-US" w:eastAsia="zh-CN" w:bidi="ar-SA"/>
              </w:rPr>
              <w:t>1</w:t>
            </w:r>
            <w:r>
              <w:rPr>
                <w:rFonts w:hint="eastAsia" w:ascii="宋体" w:hAnsi="宋体" w:eastAsia="宋体" w:cs="宋体"/>
                <w:bCs w:val="0"/>
                <w:color w:val="auto"/>
                <w:spacing w:val="0"/>
                <w:kern w:val="2"/>
                <w:sz w:val="21"/>
                <w:szCs w:val="21"/>
                <w:highlight w:val="none"/>
                <w:lang w:val="en-US" w:eastAsia="zh-CN" w:bidi="ar-SA"/>
              </w:rPr>
              <w:t>分，直到此项分值扣完为止。</w:t>
            </w:r>
          </w:p>
          <w:p w14:paraId="0AE3F264">
            <w:pPr>
              <w:pStyle w:val="2"/>
              <w:rPr>
                <w:rFonts w:hint="eastAsia" w:ascii="宋体" w:hAnsi="宋体" w:eastAsia="宋体" w:cs="宋体"/>
                <w:bCs w:val="0"/>
                <w:color w:val="auto"/>
                <w:spacing w:val="0"/>
                <w:kern w:val="2"/>
                <w:sz w:val="21"/>
                <w:szCs w:val="21"/>
                <w:highlight w:val="none"/>
                <w:lang w:val="en-US" w:eastAsia="zh-CN" w:bidi="ar-SA"/>
              </w:rPr>
            </w:pPr>
            <w:r>
              <w:rPr>
                <w:rFonts w:hint="eastAsia" w:ascii="宋体" w:hAnsi="宋体" w:eastAsia="宋体" w:cs="宋体"/>
                <w:bCs w:val="0"/>
                <w:color w:val="auto"/>
                <w:spacing w:val="0"/>
                <w:kern w:val="2"/>
                <w:sz w:val="21"/>
                <w:szCs w:val="21"/>
                <w:highlight w:val="none"/>
                <w:lang w:val="en-US" w:eastAsia="zh-CN" w:bidi="ar-SA"/>
              </w:rPr>
              <w:t>注：1. 供应商需对所投产品提供参数证明文件。证明文件须提供产品彩页或使用说明书或原厂公开发表的证明文件或由国家权威质量检测机构或第三方机构出具的符合参数要求的完整的检测检验报告作为技术证明文件。2.证明文件中没有载明招标文件的相应要求参数或功能条款的，该条款按照缺失扣分。</w:t>
            </w:r>
          </w:p>
          <w:p w14:paraId="1547792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lang w:val="en-US" w:eastAsia="zh-CN"/>
              </w:rPr>
            </w:pPr>
          </w:p>
        </w:tc>
        <w:tc>
          <w:tcPr>
            <w:tcW w:w="557" w:type="pct"/>
            <w:noWrap w:val="0"/>
            <w:vAlign w:val="center"/>
          </w:tcPr>
          <w:p w14:paraId="2D90169B">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1"/>
                <w:szCs w:val="21"/>
                <w:highlight w:val="none"/>
              </w:rPr>
            </w:pPr>
          </w:p>
        </w:tc>
      </w:tr>
      <w:bookmarkEnd w:id="1751"/>
    </w:tbl>
    <w:p w14:paraId="77530EF6">
      <w:pPr>
        <w:rPr>
          <w:rFonts w:hint="eastAsia" w:ascii="宋体" w:hAnsi="宋体" w:eastAsia="宋体" w:cs="宋体"/>
          <w:b/>
          <w:color w:val="auto"/>
          <w:sz w:val="44"/>
          <w:szCs w:val="44"/>
          <w:highlight w:val="none"/>
        </w:rPr>
      </w:pPr>
    </w:p>
    <w:p w14:paraId="2B944BCD">
      <w:pPr>
        <w:pStyle w:val="7"/>
        <w:ind w:left="0" w:leftChars="0" w:firstLine="0" w:firstLineChars="0"/>
        <w:rPr>
          <w:rFonts w:hint="eastAsia" w:ascii="宋体" w:hAnsi="宋体" w:eastAsia="宋体" w:cs="宋体"/>
          <w:b/>
          <w:color w:val="auto"/>
          <w:sz w:val="44"/>
          <w:szCs w:val="44"/>
          <w:highlight w:val="none"/>
        </w:rPr>
      </w:pPr>
    </w:p>
    <w:p w14:paraId="33E76C94">
      <w:pPr>
        <w:pStyle w:val="8"/>
        <w:rPr>
          <w:rFonts w:hint="eastAsia" w:ascii="宋体" w:hAnsi="宋体" w:eastAsia="宋体" w:cs="宋体"/>
          <w:b/>
          <w:color w:val="auto"/>
          <w:sz w:val="44"/>
          <w:szCs w:val="44"/>
          <w:highlight w:val="none"/>
        </w:rPr>
      </w:pPr>
    </w:p>
    <w:p w14:paraId="001C2825">
      <w:pPr>
        <w:rPr>
          <w:rFonts w:hint="eastAsia" w:ascii="宋体" w:hAnsi="宋体" w:eastAsia="宋体" w:cs="宋体"/>
          <w:b/>
          <w:color w:val="auto"/>
          <w:sz w:val="44"/>
          <w:szCs w:val="44"/>
          <w:highlight w:val="none"/>
        </w:rPr>
      </w:pPr>
    </w:p>
    <w:p w14:paraId="430C1870">
      <w:pPr>
        <w:pStyle w:val="7"/>
        <w:rPr>
          <w:rFonts w:hint="eastAsia" w:ascii="宋体" w:hAnsi="宋体" w:eastAsia="宋体" w:cs="宋体"/>
          <w:b/>
          <w:color w:val="auto"/>
          <w:sz w:val="44"/>
          <w:szCs w:val="44"/>
          <w:highlight w:val="none"/>
        </w:rPr>
      </w:pPr>
    </w:p>
    <w:p w14:paraId="3232824D">
      <w:pPr>
        <w:pStyle w:val="8"/>
        <w:rPr>
          <w:rFonts w:hint="eastAsia" w:ascii="宋体" w:hAnsi="宋体" w:eastAsia="宋体" w:cs="宋体"/>
          <w:b/>
          <w:color w:val="auto"/>
          <w:sz w:val="44"/>
          <w:szCs w:val="44"/>
          <w:highlight w:val="none"/>
        </w:rPr>
      </w:pPr>
    </w:p>
    <w:p w14:paraId="4D189F24">
      <w:pPr>
        <w:rPr>
          <w:rFonts w:hint="eastAsia"/>
        </w:rPr>
      </w:pPr>
    </w:p>
    <w:p w14:paraId="00DB72A2">
      <w:pPr>
        <w:spacing w:line="240" w:lineRule="atLeast"/>
        <w:jc w:val="center"/>
        <w:rPr>
          <w:rFonts w:hint="eastAsia" w:ascii="宋体" w:hAnsi="宋体" w:eastAsia="宋体" w:cs="宋体"/>
          <w:b/>
          <w:color w:val="auto"/>
          <w:sz w:val="44"/>
          <w:szCs w:val="44"/>
          <w:highlight w:val="none"/>
        </w:rPr>
      </w:pPr>
    </w:p>
    <w:p w14:paraId="691B54F8">
      <w:pPr>
        <w:spacing w:line="240" w:lineRule="atLeast"/>
        <w:jc w:val="center"/>
        <w:outlineLvl w:val="9"/>
        <w:rPr>
          <w:rFonts w:hint="eastAsia" w:ascii="宋体" w:hAnsi="宋体" w:eastAsia="宋体" w:cs="宋体"/>
          <w:color w:val="auto"/>
          <w:sz w:val="44"/>
          <w:szCs w:val="44"/>
          <w:highlight w:val="none"/>
        </w:rPr>
      </w:pPr>
    </w:p>
    <w:p w14:paraId="525FC106">
      <w:pPr>
        <w:spacing w:line="240" w:lineRule="atLeast"/>
        <w:jc w:val="center"/>
        <w:outlineLvl w:val="9"/>
        <w:rPr>
          <w:rFonts w:hint="eastAsia" w:ascii="宋体" w:hAnsi="宋体" w:eastAsia="宋体" w:cs="宋体"/>
          <w:color w:val="auto"/>
          <w:sz w:val="44"/>
          <w:szCs w:val="44"/>
          <w:highlight w:val="none"/>
        </w:rPr>
      </w:pPr>
    </w:p>
    <w:p w14:paraId="30711F03">
      <w:pPr>
        <w:spacing w:line="240" w:lineRule="atLeast"/>
        <w:jc w:val="center"/>
        <w:outlineLvl w:val="9"/>
        <w:rPr>
          <w:rFonts w:hint="eastAsia" w:ascii="宋体" w:hAnsi="宋体" w:eastAsia="宋体" w:cs="宋体"/>
          <w:color w:val="auto"/>
          <w:sz w:val="44"/>
          <w:szCs w:val="44"/>
          <w:highlight w:val="none"/>
        </w:rPr>
      </w:pPr>
    </w:p>
    <w:p w14:paraId="0A4DDAC5">
      <w:pPr>
        <w:pStyle w:val="2"/>
        <w:rPr>
          <w:rFonts w:hint="eastAsia"/>
        </w:rPr>
      </w:pPr>
    </w:p>
    <w:p w14:paraId="026C1F03">
      <w:pPr>
        <w:spacing w:line="240" w:lineRule="atLeast"/>
        <w:jc w:val="center"/>
        <w:outlineLvl w:val="9"/>
        <w:rPr>
          <w:rFonts w:hint="eastAsia" w:ascii="宋体" w:hAnsi="宋体" w:cs="宋体"/>
          <w:b/>
          <w:color w:val="auto"/>
          <w:sz w:val="44"/>
          <w:szCs w:val="44"/>
          <w:highlight w:val="none"/>
          <w:lang w:val="en-US" w:eastAsia="zh-CN"/>
        </w:rPr>
      </w:pPr>
    </w:p>
    <w:p w14:paraId="2B03AE2A">
      <w:pPr>
        <w:spacing w:line="240" w:lineRule="atLeast"/>
        <w:jc w:val="center"/>
        <w:outlineLvl w:val="9"/>
        <w:rPr>
          <w:rFonts w:hint="eastAsia" w:ascii="宋体" w:hAnsi="宋体" w:cs="宋体"/>
          <w:b/>
          <w:color w:val="auto"/>
          <w:sz w:val="44"/>
          <w:szCs w:val="44"/>
          <w:highlight w:val="none"/>
          <w:lang w:val="en-US" w:eastAsia="zh-CN"/>
        </w:rPr>
      </w:pPr>
    </w:p>
    <w:p w14:paraId="222C60B8">
      <w:pPr>
        <w:spacing w:line="240" w:lineRule="atLeast"/>
        <w:jc w:val="center"/>
        <w:outlineLvl w:val="9"/>
        <w:rPr>
          <w:rFonts w:hint="eastAsia" w:ascii="宋体" w:hAnsi="宋体" w:cs="宋体"/>
          <w:b/>
          <w:color w:val="auto"/>
          <w:sz w:val="44"/>
          <w:szCs w:val="44"/>
          <w:highlight w:val="none"/>
          <w:lang w:val="en-US" w:eastAsia="zh-CN"/>
        </w:rPr>
      </w:pPr>
    </w:p>
    <w:p w14:paraId="72647725">
      <w:pPr>
        <w:spacing w:line="240" w:lineRule="atLeast"/>
        <w:jc w:val="center"/>
        <w:outlineLvl w:val="9"/>
        <w:rPr>
          <w:rFonts w:hint="eastAsia" w:ascii="宋体" w:hAnsi="宋体" w:cs="宋体"/>
          <w:b/>
          <w:color w:val="auto"/>
          <w:sz w:val="44"/>
          <w:szCs w:val="44"/>
          <w:highlight w:val="none"/>
          <w:lang w:val="en-US" w:eastAsia="zh-CN"/>
        </w:rPr>
      </w:pPr>
    </w:p>
    <w:p w14:paraId="6237AA55">
      <w:pPr>
        <w:spacing w:line="240" w:lineRule="atLeast"/>
        <w:jc w:val="center"/>
        <w:outlineLvl w:val="9"/>
        <w:rPr>
          <w:rFonts w:hint="eastAsia" w:ascii="宋体" w:hAnsi="宋体" w:cs="宋体"/>
          <w:b/>
          <w:color w:val="auto"/>
          <w:sz w:val="44"/>
          <w:szCs w:val="44"/>
          <w:highlight w:val="none"/>
          <w:lang w:val="en-US" w:eastAsia="zh-CN"/>
        </w:rPr>
      </w:pPr>
    </w:p>
    <w:p w14:paraId="553547E8">
      <w:pPr>
        <w:spacing w:line="240" w:lineRule="atLeast"/>
        <w:jc w:val="center"/>
        <w:outlineLvl w:val="9"/>
        <w:rPr>
          <w:rFonts w:hint="eastAsia" w:ascii="宋体" w:hAnsi="宋体" w:cs="宋体"/>
          <w:b/>
          <w:color w:val="auto"/>
          <w:sz w:val="44"/>
          <w:szCs w:val="44"/>
          <w:highlight w:val="none"/>
          <w:lang w:val="en-US" w:eastAsia="zh-CN"/>
        </w:rPr>
      </w:pPr>
    </w:p>
    <w:p w14:paraId="56AD5325">
      <w:pPr>
        <w:spacing w:line="240" w:lineRule="atLeast"/>
        <w:jc w:val="center"/>
        <w:outlineLvl w:val="9"/>
        <w:rPr>
          <w:rFonts w:hint="eastAsia" w:ascii="宋体" w:hAnsi="宋体" w:cs="宋体"/>
          <w:b/>
          <w:color w:val="auto"/>
          <w:sz w:val="44"/>
          <w:szCs w:val="44"/>
          <w:highlight w:val="none"/>
          <w:lang w:val="en-US" w:eastAsia="zh-CN"/>
        </w:rPr>
      </w:pPr>
    </w:p>
    <w:p w14:paraId="4AAB68C0">
      <w:pPr>
        <w:spacing w:line="240" w:lineRule="atLeast"/>
        <w:jc w:val="center"/>
        <w:outlineLvl w:val="9"/>
        <w:rPr>
          <w:rFonts w:hint="eastAsia" w:ascii="宋体" w:hAnsi="宋体" w:eastAsia="宋体" w:cs="宋体"/>
          <w:b/>
          <w:color w:val="auto"/>
          <w:sz w:val="44"/>
          <w:szCs w:val="44"/>
          <w:highlight w:val="none"/>
          <w:lang w:eastAsia="zh-CN"/>
        </w:rPr>
      </w:pPr>
      <w:r>
        <w:rPr>
          <w:rFonts w:hint="eastAsia" w:ascii="宋体" w:hAnsi="宋体" w:cs="宋体"/>
          <w:b/>
          <w:color w:val="auto"/>
          <w:sz w:val="44"/>
          <w:szCs w:val="44"/>
          <w:highlight w:val="none"/>
          <w:lang w:val="en-US" w:eastAsia="zh-CN"/>
        </w:rPr>
        <w:t>招 标 文 件</w:t>
      </w:r>
    </w:p>
    <w:p w14:paraId="66666FEF">
      <w:pPr>
        <w:spacing w:line="360" w:lineRule="auto"/>
        <w:jc w:val="center"/>
        <w:outlineLvl w:val="9"/>
        <w:rPr>
          <w:rFonts w:hint="eastAsia" w:ascii="宋体" w:hAnsi="宋体" w:eastAsia="宋体" w:cs="宋体"/>
          <w:b/>
          <w:color w:val="auto"/>
          <w:sz w:val="44"/>
          <w:szCs w:val="44"/>
          <w:highlight w:val="none"/>
        </w:rPr>
      </w:pPr>
    </w:p>
    <w:p w14:paraId="72B12082">
      <w:pPr>
        <w:spacing w:line="240" w:lineRule="atLeast"/>
        <w:jc w:val="center"/>
        <w:outlineLvl w:val="9"/>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项目编号：ZPDL(2024)069</w:t>
      </w:r>
    </w:p>
    <w:p w14:paraId="4DAB3E3B">
      <w:pPr>
        <w:spacing w:line="360" w:lineRule="auto"/>
        <w:jc w:val="center"/>
        <w:outlineLvl w:val="9"/>
        <w:rPr>
          <w:rFonts w:hint="eastAsia" w:ascii="宋体" w:hAnsi="宋体" w:eastAsia="宋体" w:cs="宋体"/>
          <w:b/>
          <w:color w:val="auto"/>
          <w:sz w:val="44"/>
          <w:szCs w:val="44"/>
          <w:highlight w:val="none"/>
        </w:rPr>
      </w:pPr>
    </w:p>
    <w:p w14:paraId="38E9BC8E">
      <w:pPr>
        <w:pStyle w:val="7"/>
        <w:ind w:firstLine="0"/>
        <w:jc w:val="center"/>
        <w:outlineLvl w:val="9"/>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 xml:space="preserve">第 </w:t>
      </w:r>
      <w:r>
        <w:rPr>
          <w:rFonts w:hint="eastAsia" w:hAnsi="宋体" w:cs="宋体"/>
          <w:b/>
          <w:color w:val="auto"/>
          <w:sz w:val="44"/>
          <w:szCs w:val="44"/>
          <w:highlight w:val="none"/>
          <w:lang w:val="en-US" w:eastAsia="zh-CN"/>
        </w:rPr>
        <w:t>三</w:t>
      </w:r>
      <w:r>
        <w:rPr>
          <w:rFonts w:hint="eastAsia" w:ascii="宋体" w:hAnsi="宋体" w:eastAsia="宋体" w:cs="宋体"/>
          <w:b/>
          <w:color w:val="auto"/>
          <w:sz w:val="44"/>
          <w:szCs w:val="44"/>
          <w:highlight w:val="none"/>
        </w:rPr>
        <w:t xml:space="preserve"> 册</w:t>
      </w:r>
    </w:p>
    <w:p w14:paraId="1ED0EDBB">
      <w:pPr>
        <w:spacing w:line="240" w:lineRule="atLeast"/>
        <w:jc w:val="center"/>
        <w:rPr>
          <w:rFonts w:hint="eastAsia" w:ascii="宋体" w:hAnsi="宋体" w:eastAsia="宋体" w:cs="宋体"/>
          <w:b/>
          <w:color w:val="auto"/>
          <w:sz w:val="32"/>
          <w:highlight w:val="none"/>
        </w:rPr>
      </w:pPr>
    </w:p>
    <w:p w14:paraId="1E382D65">
      <w:pPr>
        <w:pStyle w:val="20"/>
        <w:rPr>
          <w:rFonts w:hint="eastAsia" w:ascii="宋体" w:hAnsi="宋体" w:eastAsia="宋体" w:cs="宋体"/>
          <w:b/>
          <w:color w:val="auto"/>
          <w:sz w:val="52"/>
          <w:highlight w:val="none"/>
        </w:rPr>
      </w:pPr>
    </w:p>
    <w:p w14:paraId="6E352297">
      <w:pPr>
        <w:pStyle w:val="7"/>
        <w:ind w:firstLine="0"/>
        <w:jc w:val="center"/>
        <w:outlineLvl w:val="0"/>
        <w:rPr>
          <w:rFonts w:hint="eastAsia" w:ascii="微软雅黑" w:hAnsi="微软雅黑" w:eastAsia="微软雅黑" w:cs="微软雅黑"/>
          <w:b/>
          <w:bCs/>
          <w:color w:val="auto"/>
          <w:sz w:val="32"/>
          <w:szCs w:val="32"/>
          <w:highlight w:val="none"/>
          <w:lang w:val="en-US" w:eastAsia="zh-CN"/>
        </w:rPr>
      </w:pPr>
      <w:r>
        <w:rPr>
          <w:rFonts w:hint="eastAsia" w:ascii="宋体" w:hAnsi="宋体" w:eastAsia="宋体" w:cs="宋体"/>
          <w:b/>
          <w:color w:val="auto"/>
          <w:kern w:val="0"/>
          <w:sz w:val="30"/>
          <w:szCs w:val="20"/>
          <w:highlight w:val="none"/>
          <w:lang w:val="en-US" w:eastAsia="zh-CN" w:bidi="ar-SA"/>
        </w:rPr>
        <w:br w:type="page"/>
      </w:r>
      <w:bookmarkEnd w:id="1754"/>
      <w:bookmarkEnd w:id="1755"/>
      <w:bookmarkStart w:id="1756" w:name="_Hlt487972895"/>
      <w:bookmarkEnd w:id="1756"/>
      <w:bookmarkStart w:id="1757" w:name="_Toc216513788"/>
      <w:bookmarkEnd w:id="1757"/>
      <w:bookmarkStart w:id="1758" w:name="_Toc487900382"/>
      <w:bookmarkEnd w:id="1758"/>
      <w:bookmarkStart w:id="1759" w:name="_Toc24795"/>
      <w:bookmarkStart w:id="1760" w:name="_Toc30348"/>
      <w:bookmarkStart w:id="1761" w:name="_Toc12116"/>
      <w:bookmarkStart w:id="1762" w:name="_Toc1846"/>
      <w:bookmarkStart w:id="1763" w:name="_Toc24059"/>
      <w:bookmarkStart w:id="1764" w:name="_Toc2659"/>
      <w:bookmarkStart w:id="1765" w:name="_Toc2232"/>
      <w:bookmarkStart w:id="1766" w:name="_Toc3029"/>
      <w:bookmarkStart w:id="1767" w:name="_Toc26721"/>
      <w:r>
        <w:rPr>
          <w:rFonts w:hint="eastAsia" w:ascii="微软雅黑" w:hAnsi="微软雅黑" w:eastAsia="微软雅黑" w:cs="微软雅黑"/>
          <w:b/>
          <w:bCs/>
          <w:color w:val="auto"/>
          <w:sz w:val="32"/>
          <w:szCs w:val="32"/>
          <w:highlight w:val="none"/>
          <w:lang w:val="en-US" w:eastAsia="zh-CN"/>
        </w:rPr>
        <w:t>第7章  政府采购合同</w:t>
      </w:r>
      <w:bookmarkEnd w:id="1759"/>
      <w:bookmarkEnd w:id="1760"/>
      <w:bookmarkEnd w:id="1761"/>
    </w:p>
    <w:p w14:paraId="44D8A56D">
      <w:pPr>
        <w:outlineLvl w:val="9"/>
        <w:rPr>
          <w:rFonts w:hint="eastAsia" w:ascii="微软雅黑" w:hAnsi="微软雅黑" w:eastAsia="微软雅黑" w:cs="微软雅黑"/>
          <w:color w:val="auto"/>
          <w:highlight w:val="none"/>
        </w:rPr>
      </w:pPr>
      <w:r>
        <w:rPr>
          <w:rFonts w:hint="eastAsia" w:ascii="微软雅黑" w:hAnsi="微软雅黑" w:eastAsia="微软雅黑" w:cs="微软雅黑"/>
          <w:color w:val="auto"/>
          <w:sz w:val="24"/>
          <w:szCs w:val="24"/>
          <w:highlight w:val="none"/>
        </w:rPr>
        <w:t xml:space="preserve">合同编号：   </w:t>
      </w:r>
      <w:r>
        <w:rPr>
          <w:rFonts w:hint="eastAsia" w:ascii="微软雅黑" w:hAnsi="微软雅黑" w:eastAsia="微软雅黑" w:cs="微软雅黑"/>
          <w:color w:val="auto"/>
          <w:highlight w:val="none"/>
        </w:rPr>
        <w:t xml:space="preserve">        </w:t>
      </w:r>
    </w:p>
    <w:p w14:paraId="00346045">
      <w:pPr>
        <w:outlineLvl w:val="9"/>
        <w:rPr>
          <w:rFonts w:hint="eastAsia" w:ascii="微软雅黑" w:hAnsi="微软雅黑" w:eastAsia="微软雅黑" w:cs="微软雅黑"/>
          <w:color w:val="auto"/>
          <w:highlight w:val="none"/>
        </w:rPr>
      </w:pPr>
    </w:p>
    <w:p w14:paraId="779732A0">
      <w:pPr>
        <w:outlineLvl w:val="9"/>
        <w:rPr>
          <w:rFonts w:hint="eastAsia" w:ascii="微软雅黑" w:hAnsi="微软雅黑" w:eastAsia="微软雅黑" w:cs="微软雅黑"/>
          <w:color w:val="auto"/>
          <w:highlight w:val="none"/>
        </w:rPr>
      </w:pPr>
    </w:p>
    <w:p w14:paraId="537A4DFA">
      <w:pPr>
        <w:outlineLvl w:val="9"/>
        <w:rPr>
          <w:rFonts w:hint="eastAsia" w:ascii="微软雅黑" w:hAnsi="微软雅黑" w:eastAsia="微软雅黑" w:cs="微软雅黑"/>
          <w:color w:val="auto"/>
          <w:highlight w:val="none"/>
        </w:rPr>
      </w:pPr>
    </w:p>
    <w:p w14:paraId="3B6F9430">
      <w:pPr>
        <w:pStyle w:val="9"/>
        <w:spacing w:after="0"/>
        <w:jc w:val="center"/>
        <w:rPr>
          <w:rFonts w:hint="eastAsia" w:ascii="微软雅黑" w:hAnsi="微软雅黑" w:eastAsia="微软雅黑" w:cs="微软雅黑"/>
          <w:b/>
          <w:bCs/>
          <w:spacing w:val="-20"/>
          <w:kern w:val="44"/>
          <w:sz w:val="36"/>
          <w:szCs w:val="36"/>
        </w:rPr>
      </w:pPr>
      <w:r>
        <w:rPr>
          <w:rFonts w:hint="eastAsia" w:ascii="微软雅黑" w:hAnsi="微软雅黑" w:eastAsia="微软雅黑" w:cs="微软雅黑"/>
          <w:b/>
          <w:bCs/>
          <w:spacing w:val="-20"/>
          <w:kern w:val="44"/>
          <w:sz w:val="36"/>
          <w:szCs w:val="36"/>
        </w:rPr>
        <w:t>政府采购</w:t>
      </w:r>
      <w:r>
        <w:rPr>
          <w:rFonts w:hint="eastAsia" w:ascii="微软雅黑" w:hAnsi="微软雅黑" w:eastAsia="微软雅黑" w:cs="微软雅黑"/>
          <w:b/>
          <w:bCs/>
          <w:spacing w:val="-20"/>
          <w:kern w:val="44"/>
          <w:sz w:val="36"/>
          <w:szCs w:val="36"/>
          <w:lang w:eastAsia="zh-CN"/>
        </w:rPr>
        <w:t>货物买卖</w:t>
      </w:r>
      <w:r>
        <w:rPr>
          <w:rFonts w:hint="eastAsia" w:ascii="微软雅黑" w:hAnsi="微软雅黑" w:eastAsia="微软雅黑" w:cs="微软雅黑"/>
          <w:b/>
          <w:bCs/>
          <w:spacing w:val="-20"/>
          <w:kern w:val="44"/>
          <w:sz w:val="36"/>
          <w:szCs w:val="36"/>
        </w:rPr>
        <w:t>合同</w:t>
      </w:r>
    </w:p>
    <w:p w14:paraId="3D8F7243">
      <w:pPr>
        <w:pStyle w:val="9"/>
        <w:spacing w:after="0"/>
        <w:jc w:val="center"/>
        <w:rPr>
          <w:rFonts w:hint="eastAsia" w:ascii="微软雅黑" w:hAnsi="微软雅黑" w:eastAsia="微软雅黑" w:cs="微软雅黑"/>
          <w:b/>
          <w:bCs/>
          <w:spacing w:val="-20"/>
          <w:kern w:val="44"/>
          <w:sz w:val="36"/>
          <w:szCs w:val="36"/>
          <w:lang w:eastAsia="zh-CN"/>
        </w:rPr>
      </w:pPr>
      <w:r>
        <w:rPr>
          <w:rFonts w:hint="eastAsia" w:ascii="微软雅黑" w:hAnsi="微软雅黑" w:eastAsia="微软雅黑" w:cs="微软雅黑"/>
          <w:b/>
          <w:bCs/>
          <w:spacing w:val="-20"/>
          <w:kern w:val="44"/>
          <w:sz w:val="36"/>
          <w:szCs w:val="36"/>
          <w:lang w:eastAsia="zh-CN"/>
        </w:rPr>
        <w:t>（试行）</w:t>
      </w:r>
    </w:p>
    <w:p w14:paraId="515AF24A">
      <w:pPr>
        <w:rPr>
          <w:rFonts w:hint="eastAsia" w:ascii="微软雅黑" w:hAnsi="微软雅黑" w:eastAsia="微软雅黑" w:cs="微软雅黑"/>
          <w:b/>
          <w:bCs/>
          <w:spacing w:val="-20"/>
          <w:kern w:val="44"/>
          <w:sz w:val="40"/>
          <w:szCs w:val="40"/>
        </w:rPr>
      </w:pPr>
    </w:p>
    <w:p w14:paraId="57F93D3D">
      <w:pPr>
        <w:rPr>
          <w:rFonts w:hint="eastAsia" w:ascii="微软雅黑" w:hAnsi="微软雅黑" w:eastAsia="微软雅黑" w:cs="微软雅黑"/>
          <w:b/>
          <w:bCs/>
          <w:spacing w:val="-20"/>
          <w:kern w:val="44"/>
          <w:sz w:val="40"/>
          <w:szCs w:val="40"/>
        </w:rPr>
      </w:pPr>
    </w:p>
    <w:p w14:paraId="7B347214">
      <w:pPr>
        <w:rPr>
          <w:rFonts w:hint="eastAsia" w:ascii="微软雅黑" w:hAnsi="微软雅黑" w:eastAsia="微软雅黑" w:cs="微软雅黑"/>
          <w:b/>
          <w:bCs/>
          <w:spacing w:val="-20"/>
          <w:kern w:val="44"/>
          <w:sz w:val="40"/>
          <w:szCs w:val="40"/>
        </w:rPr>
      </w:pPr>
    </w:p>
    <w:p w14:paraId="30F3B28C">
      <w:pPr>
        <w:spacing w:line="360" w:lineRule="auto"/>
        <w:ind w:left="420" w:leftChars="200"/>
        <w:rPr>
          <w:rFonts w:hint="eastAsia" w:ascii="微软雅黑" w:hAnsi="微软雅黑" w:eastAsia="微软雅黑" w:cs="微软雅黑"/>
          <w:sz w:val="30"/>
          <w:szCs w:val="30"/>
        </w:rPr>
      </w:pPr>
      <w:r>
        <w:rPr>
          <w:rFonts w:hint="eastAsia" w:ascii="微软雅黑" w:hAnsi="微软雅黑" w:eastAsia="微软雅黑" w:cs="微软雅黑"/>
          <w:kern w:val="0"/>
          <w:sz w:val="30"/>
          <w:szCs w:val="30"/>
        </w:rPr>
        <w:t>项目名称：</w:t>
      </w:r>
      <w:r>
        <w:rPr>
          <w:rFonts w:hint="eastAsia" w:ascii="微软雅黑" w:hAnsi="微软雅黑" w:eastAsia="微软雅黑" w:cs="微软雅黑"/>
          <w:sz w:val="30"/>
          <w:szCs w:val="30"/>
          <w:u w:val="single"/>
        </w:rPr>
        <w:t xml:space="preserve">                             </w:t>
      </w:r>
    </w:p>
    <w:p w14:paraId="431689BD">
      <w:pPr>
        <w:spacing w:line="360" w:lineRule="auto"/>
        <w:ind w:left="420" w:leftChars="200"/>
        <w:rPr>
          <w:rFonts w:hint="eastAsia" w:ascii="微软雅黑" w:hAnsi="微软雅黑" w:eastAsia="微软雅黑" w:cs="微软雅黑"/>
          <w:sz w:val="30"/>
          <w:szCs w:val="30"/>
          <w:u w:val="single"/>
        </w:rPr>
      </w:pPr>
      <w:r>
        <w:rPr>
          <w:rFonts w:hint="eastAsia" w:ascii="微软雅黑" w:hAnsi="微软雅黑" w:eastAsia="微软雅黑" w:cs="微软雅黑"/>
          <w:sz w:val="30"/>
          <w:szCs w:val="30"/>
        </w:rPr>
        <w:t>合同编号：</w:t>
      </w:r>
      <w:r>
        <w:rPr>
          <w:rFonts w:hint="eastAsia" w:ascii="微软雅黑" w:hAnsi="微软雅黑" w:eastAsia="微软雅黑" w:cs="微软雅黑"/>
          <w:sz w:val="30"/>
          <w:szCs w:val="30"/>
          <w:u w:val="single"/>
        </w:rPr>
        <w:t xml:space="preserve">                             </w:t>
      </w:r>
    </w:p>
    <w:p w14:paraId="10DDF46E">
      <w:pPr>
        <w:spacing w:line="360" w:lineRule="auto"/>
        <w:ind w:left="420" w:leftChars="200"/>
        <w:rPr>
          <w:rFonts w:hint="eastAsia" w:ascii="微软雅黑" w:hAnsi="微软雅黑" w:eastAsia="微软雅黑" w:cs="微软雅黑"/>
          <w:sz w:val="30"/>
          <w:szCs w:val="30"/>
        </w:rPr>
      </w:pPr>
      <w:r>
        <w:rPr>
          <w:rFonts w:hint="eastAsia" w:ascii="微软雅黑" w:hAnsi="微软雅黑" w:eastAsia="微软雅黑" w:cs="微软雅黑"/>
          <w:sz w:val="30"/>
          <w:szCs w:val="30"/>
        </w:rPr>
        <w:t>甲    方：</w:t>
      </w:r>
      <w:r>
        <w:rPr>
          <w:rFonts w:hint="eastAsia" w:ascii="微软雅黑" w:hAnsi="微软雅黑" w:eastAsia="微软雅黑" w:cs="微软雅黑"/>
          <w:sz w:val="30"/>
          <w:szCs w:val="30"/>
          <w:u w:val="single"/>
        </w:rPr>
        <w:t xml:space="preserve">                             </w:t>
      </w:r>
    </w:p>
    <w:p w14:paraId="32564295">
      <w:pPr>
        <w:spacing w:line="360" w:lineRule="auto"/>
        <w:ind w:left="420" w:leftChars="200"/>
        <w:rPr>
          <w:rFonts w:hint="eastAsia" w:ascii="微软雅黑" w:hAnsi="微软雅黑" w:eastAsia="微软雅黑" w:cs="微软雅黑"/>
          <w:sz w:val="30"/>
          <w:szCs w:val="30"/>
          <w:u w:val="single"/>
        </w:rPr>
      </w:pPr>
      <w:r>
        <w:rPr>
          <w:rFonts w:hint="eastAsia" w:ascii="微软雅黑" w:hAnsi="微软雅黑" w:eastAsia="微软雅黑" w:cs="微软雅黑"/>
          <w:sz w:val="30"/>
          <w:szCs w:val="30"/>
        </w:rPr>
        <w:t>乙    方：</w:t>
      </w:r>
      <w:r>
        <w:rPr>
          <w:rFonts w:hint="eastAsia" w:ascii="微软雅黑" w:hAnsi="微软雅黑" w:eastAsia="微软雅黑" w:cs="微软雅黑"/>
          <w:sz w:val="30"/>
          <w:szCs w:val="30"/>
          <w:u w:val="single"/>
        </w:rPr>
        <w:t xml:space="preserve">                             </w:t>
      </w:r>
    </w:p>
    <w:p w14:paraId="6618CEBF">
      <w:pPr>
        <w:spacing w:line="360" w:lineRule="auto"/>
        <w:ind w:left="420" w:leftChars="200"/>
        <w:rPr>
          <w:rFonts w:hint="eastAsia" w:ascii="微软雅黑" w:hAnsi="微软雅黑" w:eastAsia="微软雅黑" w:cs="微软雅黑"/>
          <w:sz w:val="30"/>
          <w:szCs w:val="30"/>
        </w:rPr>
      </w:pPr>
      <w:r>
        <w:rPr>
          <w:rFonts w:hint="eastAsia" w:ascii="微软雅黑" w:hAnsi="微软雅黑" w:eastAsia="微软雅黑" w:cs="微软雅黑"/>
          <w:sz w:val="30"/>
          <w:szCs w:val="30"/>
        </w:rPr>
        <w:t>签订时间：</w:t>
      </w:r>
      <w:r>
        <w:rPr>
          <w:rFonts w:hint="eastAsia" w:ascii="微软雅黑" w:hAnsi="微软雅黑" w:eastAsia="微软雅黑" w:cs="微软雅黑"/>
          <w:sz w:val="30"/>
          <w:szCs w:val="30"/>
          <w:u w:val="single"/>
        </w:rPr>
        <w:t xml:space="preserve">                             </w:t>
      </w:r>
    </w:p>
    <w:p w14:paraId="572D83FD">
      <w:pPr>
        <w:rPr>
          <w:rFonts w:hint="eastAsia" w:ascii="微软雅黑" w:hAnsi="微软雅黑" w:eastAsia="微软雅黑" w:cs="微软雅黑"/>
          <w:sz w:val="30"/>
          <w:szCs w:val="30"/>
        </w:rPr>
      </w:pPr>
    </w:p>
    <w:p w14:paraId="42D4D39B">
      <w:pPr>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br w:type="page"/>
      </w:r>
    </w:p>
    <w:p w14:paraId="33301441">
      <w:pPr>
        <w:jc w:val="center"/>
        <w:rPr>
          <w:rFonts w:hint="eastAsia" w:ascii="微软雅黑" w:hAnsi="微软雅黑" w:eastAsia="微软雅黑" w:cs="微软雅黑"/>
          <w:sz w:val="30"/>
          <w:szCs w:val="30"/>
          <w:lang w:eastAsia="zh-CN"/>
        </w:rPr>
      </w:pPr>
      <w:r>
        <w:rPr>
          <w:rFonts w:hint="eastAsia" w:ascii="微软雅黑" w:hAnsi="微软雅黑" w:eastAsia="微软雅黑" w:cs="微软雅黑"/>
          <w:sz w:val="30"/>
          <w:szCs w:val="30"/>
          <w:lang w:eastAsia="zh-CN"/>
        </w:rPr>
        <w:t>使</w:t>
      </w: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t>用</w:t>
      </w: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t>说</w:t>
      </w:r>
      <w:r>
        <w:rPr>
          <w:rFonts w:hint="eastAsia" w:ascii="微软雅黑" w:hAnsi="微软雅黑" w:eastAsia="微软雅黑" w:cs="微软雅黑"/>
          <w:sz w:val="30"/>
          <w:szCs w:val="30"/>
          <w:lang w:val="en-US" w:eastAsia="zh-CN"/>
        </w:rPr>
        <w:t xml:space="preserve"> </w:t>
      </w:r>
      <w:r>
        <w:rPr>
          <w:rFonts w:hint="eastAsia" w:ascii="微软雅黑" w:hAnsi="微软雅黑" w:eastAsia="微软雅黑" w:cs="微软雅黑"/>
          <w:sz w:val="30"/>
          <w:szCs w:val="30"/>
          <w:lang w:eastAsia="zh-CN"/>
        </w:rPr>
        <w:t>明</w:t>
      </w:r>
    </w:p>
    <w:p w14:paraId="0FBF75A9">
      <w:pPr>
        <w:rPr>
          <w:rFonts w:hint="eastAsia" w:ascii="微软雅黑" w:hAnsi="微软雅黑" w:eastAsia="微软雅黑" w:cs="微软雅黑"/>
          <w:sz w:val="30"/>
          <w:szCs w:val="30"/>
          <w:lang w:val="en-US" w:eastAsia="zh-CN"/>
        </w:rPr>
      </w:pPr>
    </w:p>
    <w:p w14:paraId="035292CE">
      <w:pPr>
        <w:rPr>
          <w:rFonts w:hint="eastAsia" w:ascii="微软雅黑" w:hAnsi="微软雅黑" w:eastAsia="微软雅黑" w:cs="微软雅黑"/>
          <w:sz w:val="30"/>
          <w:szCs w:val="30"/>
          <w:lang w:val="en-US" w:eastAsia="zh-CN"/>
        </w:rPr>
      </w:pPr>
    </w:p>
    <w:p w14:paraId="347660E1">
      <w:pPr>
        <w:ind w:firstLine="600" w:firstLineChars="20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1.本合同标准文本适用于购买现成货物的采购项目，不包括需要供应商定制开发、创新研发的货物采购项目。</w:t>
      </w:r>
    </w:p>
    <w:p w14:paraId="1EA8A14A">
      <w:pPr>
        <w:ind w:firstLine="600" w:firstLineChars="200"/>
        <w:rPr>
          <w:rFonts w:hint="eastAsia" w:ascii="微软雅黑" w:hAnsi="微软雅黑" w:eastAsia="微软雅黑" w:cs="微软雅黑"/>
          <w:sz w:val="30"/>
          <w:szCs w:val="30"/>
          <w:lang w:val="en-US" w:eastAsia="zh-CN"/>
        </w:rPr>
      </w:pPr>
      <w:r>
        <w:rPr>
          <w:rFonts w:hint="eastAsia" w:ascii="微软雅黑" w:hAnsi="微软雅黑" w:eastAsia="微软雅黑" w:cs="微软雅黑"/>
          <w:sz w:val="30"/>
          <w:szCs w:val="30"/>
          <w:lang w:val="en-US" w:eastAsia="zh-CN"/>
        </w:rPr>
        <w:t>2.本合同标准文本为政府采购货物买卖合同编制提供参考，可以结合采购项目具体情况，对文本作必要的调整修订后使用。</w:t>
      </w:r>
    </w:p>
    <w:p w14:paraId="308209A1">
      <w:pPr>
        <w:ind w:firstLine="600" w:firstLineChars="200"/>
        <w:rPr>
          <w:rFonts w:hint="eastAsia" w:ascii="微软雅黑" w:hAnsi="微软雅黑" w:eastAsia="微软雅黑" w:cs="微软雅黑"/>
          <w:sz w:val="30"/>
          <w:szCs w:val="30"/>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微软雅黑" w:hAnsi="微软雅黑" w:eastAsia="微软雅黑" w:cs="微软雅黑"/>
          <w:sz w:val="30"/>
          <w:szCs w:val="30"/>
          <w:lang w:val="en-US" w:eastAsia="zh-CN"/>
        </w:rPr>
        <w:t>3.本合同标准文本各条款中，如涉及填写多家供应商、制造商，多种采购标的、分包主要内容等信息的，可根据采购项目具体情况添加信息项。</w:t>
      </w:r>
    </w:p>
    <w:bookmarkEnd w:id="1762"/>
    <w:bookmarkEnd w:id="1763"/>
    <w:bookmarkEnd w:id="1764"/>
    <w:bookmarkEnd w:id="1765"/>
    <w:bookmarkEnd w:id="1766"/>
    <w:bookmarkEnd w:id="1767"/>
    <w:p w14:paraId="2F641741">
      <w:pPr>
        <w:pStyle w:val="4"/>
        <w:adjustRightInd w:val="0"/>
        <w:snapToGrid w:val="0"/>
        <w:spacing w:beforeLines="0" w:line="400" w:lineRule="exact"/>
        <w:jc w:val="both"/>
        <w:rPr>
          <w:rFonts w:hint="eastAsia" w:ascii="微软雅黑" w:hAnsi="微软雅黑" w:eastAsia="微软雅黑" w:cs="微软雅黑"/>
          <w:sz w:val="28"/>
          <w:szCs w:val="28"/>
        </w:rPr>
      </w:pPr>
      <w:bookmarkStart w:id="1768" w:name="_Toc22209"/>
    </w:p>
    <w:p w14:paraId="50A7FAB6">
      <w:pPr>
        <w:pStyle w:val="4"/>
        <w:adjustRightInd w:val="0"/>
        <w:snapToGrid w:val="0"/>
        <w:spacing w:beforeLines="0" w:line="400" w:lineRule="exact"/>
        <w:jc w:val="center"/>
        <w:rPr>
          <w:rFonts w:hint="eastAsia" w:ascii="微软雅黑" w:hAnsi="微软雅黑" w:eastAsia="微软雅黑" w:cs="微软雅黑"/>
          <w:b w:val="0"/>
          <w:bCs w:val="0"/>
          <w:sz w:val="28"/>
          <w:szCs w:val="28"/>
        </w:rPr>
      </w:pPr>
      <w:bookmarkStart w:id="1769" w:name="_Toc9789"/>
      <w:bookmarkStart w:id="1770" w:name="_Toc26181"/>
      <w:bookmarkStart w:id="1771" w:name="_Toc16931"/>
      <w:r>
        <w:rPr>
          <w:rFonts w:hint="eastAsia" w:ascii="微软雅黑" w:hAnsi="微软雅黑" w:eastAsia="微软雅黑" w:cs="微软雅黑"/>
          <w:b w:val="0"/>
          <w:bCs w:val="0"/>
          <w:sz w:val="28"/>
          <w:szCs w:val="28"/>
        </w:rPr>
        <w:t>第一节 政府采购合同协议书</w:t>
      </w:r>
      <w:bookmarkEnd w:id="1768"/>
      <w:bookmarkEnd w:id="1769"/>
      <w:bookmarkEnd w:id="1770"/>
      <w:bookmarkEnd w:id="1771"/>
    </w:p>
    <w:p w14:paraId="340AB43A">
      <w:pPr>
        <w:pStyle w:val="4"/>
        <w:adjustRightInd w:val="0"/>
        <w:snapToGrid w:val="0"/>
        <w:spacing w:beforeLines="0" w:line="400" w:lineRule="exact"/>
        <w:jc w:val="center"/>
        <w:rPr>
          <w:rFonts w:hint="eastAsia" w:ascii="微软雅黑" w:hAnsi="微软雅黑" w:eastAsia="微软雅黑" w:cs="微软雅黑"/>
          <w:b w:val="0"/>
          <w:bCs w:val="0"/>
          <w:sz w:val="28"/>
          <w:szCs w:val="28"/>
        </w:rPr>
      </w:pPr>
    </w:p>
    <w:p w14:paraId="33FF9471">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szCs w:val="21"/>
        </w:rPr>
        <w:t>甲方（全称）：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（采购人</w:t>
      </w:r>
      <w:r>
        <w:rPr>
          <w:rFonts w:hint="eastAsia" w:ascii="微软雅黑" w:hAnsi="微软雅黑" w:eastAsia="微软雅黑" w:cs="微软雅黑"/>
          <w:szCs w:val="21"/>
          <w:lang w:eastAsia="zh-CN"/>
        </w:rPr>
        <w:t>、受采购人委托签订合同的单位</w:t>
      </w:r>
      <w:r>
        <w:rPr>
          <w:rFonts w:hint="eastAsia" w:ascii="微软雅黑" w:hAnsi="微软雅黑" w:eastAsia="微软雅黑" w:cs="微软雅黑"/>
          <w:szCs w:val="21"/>
        </w:rPr>
        <w:t>或采购</w:t>
      </w:r>
      <w:r>
        <w:rPr>
          <w:rFonts w:hint="eastAsia" w:ascii="微软雅黑" w:hAnsi="微软雅黑" w:eastAsia="微软雅黑" w:cs="微软雅黑"/>
          <w:szCs w:val="21"/>
          <w:lang w:val="en-US" w:eastAsia="zh-CN"/>
        </w:rPr>
        <w:tab/>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文件约定的合同甲方）</w:t>
      </w:r>
    </w:p>
    <w:p w14:paraId="7650D96F">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szCs w:val="21"/>
        </w:rPr>
        <w:t>乙方</w:t>
      </w:r>
      <w:r>
        <w:rPr>
          <w:rFonts w:hint="eastAsia" w:ascii="微软雅黑" w:hAnsi="微软雅黑" w:eastAsia="微软雅黑" w:cs="微软雅黑"/>
          <w:szCs w:val="21"/>
          <w:lang w:val="en-US" w:eastAsia="zh-CN"/>
        </w:rPr>
        <w:t>1</w:t>
      </w:r>
      <w:r>
        <w:rPr>
          <w:rFonts w:hint="eastAsia" w:ascii="微软雅黑" w:hAnsi="微软雅黑" w:eastAsia="微软雅黑" w:cs="微软雅黑"/>
          <w:szCs w:val="21"/>
        </w:rPr>
        <w:t>（全称）：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（供应商）</w:t>
      </w:r>
    </w:p>
    <w:p w14:paraId="48C9439C">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szCs w:val="21"/>
        </w:rPr>
        <w:t>乙方2（全称）：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（联合体成员供应商或其他合同主体）（如有）</w:t>
      </w:r>
    </w:p>
    <w:p w14:paraId="5B8B94FA">
      <w:pPr>
        <w:adjustRightInd w:val="0"/>
        <w:snapToGrid w:val="0"/>
        <w:spacing w:before="0" w:beforeLines="0" w:line="400" w:lineRule="exact"/>
        <w:rPr>
          <w:rFonts w:hint="eastAsia" w:ascii="微软雅黑" w:hAnsi="微软雅黑" w:eastAsia="微软雅黑" w:cs="微软雅黑"/>
          <w:szCs w:val="21"/>
        </w:rPr>
      </w:pPr>
      <w:r>
        <w:rPr>
          <w:rFonts w:hint="eastAsia" w:ascii="微软雅黑" w:hAnsi="微软雅黑" w:eastAsia="微软雅黑" w:cs="微软雅黑"/>
          <w:lang w:eastAsia="zh-CN"/>
        </w:rPr>
        <w:t>乙方</w:t>
      </w:r>
      <w:r>
        <w:rPr>
          <w:rFonts w:hint="eastAsia" w:ascii="微软雅黑" w:hAnsi="微软雅黑" w:eastAsia="微软雅黑" w:cs="微软雅黑"/>
          <w:szCs w:val="21"/>
          <w:lang w:val="en-US" w:eastAsia="zh-CN"/>
        </w:rPr>
        <w:t>3</w:t>
      </w:r>
      <w:r>
        <w:rPr>
          <w:rFonts w:hint="eastAsia" w:ascii="微软雅黑" w:hAnsi="微软雅黑" w:eastAsia="微软雅黑" w:cs="微软雅黑"/>
          <w:lang w:val="en-US" w:eastAsia="zh-CN"/>
        </w:rPr>
        <w:t>（全称）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（联合体成员供应商或其他合同主体）（如有）</w:t>
      </w:r>
    </w:p>
    <w:p w14:paraId="2DADB3F7">
      <w:pPr>
        <w:spacing w:beforeLines="0" w:line="400" w:lineRule="exact"/>
        <w:rPr>
          <w:rFonts w:hint="eastAsia" w:ascii="微软雅黑" w:hAnsi="微软雅黑" w:eastAsia="微软雅黑" w:cs="微软雅黑"/>
          <w:lang w:val="en-US" w:eastAsia="zh-CN"/>
        </w:rPr>
      </w:pPr>
    </w:p>
    <w:p w14:paraId="35503DA7">
      <w:pPr>
        <w:pStyle w:val="10"/>
        <w:adjustRightInd w:val="0"/>
        <w:snapToGrid w:val="0"/>
        <w:spacing w:before="0" w:beforeLines="0" w:after="0" w:line="400" w:lineRule="exact"/>
        <w:ind w:left="0" w:leftChars="0"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依据《中华人民共和国民法典》</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《中华人民共和国政府采购法》等有关的法律法规，以及</w:t>
      </w:r>
      <w:r>
        <w:rPr>
          <w:rFonts w:hint="eastAsia" w:ascii="微软雅黑" w:hAnsi="微软雅黑" w:eastAsia="微软雅黑" w:cs="微软雅黑"/>
          <w:i w:val="0"/>
          <w:iCs w:val="0"/>
          <w:szCs w:val="21"/>
          <w:u w:val="none"/>
          <w:lang w:eastAsia="zh-CN"/>
        </w:rPr>
        <w:t>本采购项目</w:t>
      </w:r>
      <w:r>
        <w:rPr>
          <w:rFonts w:hint="eastAsia" w:ascii="微软雅黑" w:hAnsi="微软雅黑" w:eastAsia="微软雅黑" w:cs="微软雅黑"/>
          <w:szCs w:val="21"/>
        </w:rPr>
        <w:t>的</w:t>
      </w:r>
      <w:r>
        <w:rPr>
          <w:rFonts w:hint="eastAsia" w:ascii="微软雅黑" w:hAnsi="微软雅黑" w:eastAsia="微软雅黑" w:cs="微软雅黑"/>
          <w:szCs w:val="21"/>
          <w:lang w:eastAsia="zh-CN"/>
        </w:rPr>
        <w:t>招标</w:t>
      </w:r>
      <w:r>
        <w:rPr>
          <w:rFonts w:hint="eastAsia" w:ascii="微软雅黑" w:hAnsi="微软雅黑" w:eastAsia="微软雅黑" w:cs="微软雅黑"/>
          <w:szCs w:val="21"/>
          <w:lang w:val="en-US" w:eastAsia="zh-CN"/>
        </w:rPr>
        <w:t>/谈判</w:t>
      </w:r>
      <w:r>
        <w:rPr>
          <w:rFonts w:hint="eastAsia" w:ascii="微软雅黑" w:hAnsi="微软雅黑" w:eastAsia="微软雅黑" w:cs="微软雅黑"/>
          <w:szCs w:val="21"/>
          <w:lang w:eastAsia="zh-CN"/>
        </w:rPr>
        <w:t>文件等</w:t>
      </w:r>
      <w:r>
        <w:rPr>
          <w:rFonts w:hint="eastAsia" w:ascii="微软雅黑" w:hAnsi="微软雅黑" w:eastAsia="微软雅黑" w:cs="微软雅黑"/>
          <w:szCs w:val="21"/>
        </w:rPr>
        <w:t>采购文件</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 xml:space="preserve">乙方的《投标（响应）文件》及《中标（成交）通知书》，甲乙双方同意签订本合同。具体情况及要求如下：     </w:t>
      </w:r>
    </w:p>
    <w:p w14:paraId="475BBDC2">
      <w:pPr>
        <w:numPr>
          <w:ilvl w:val="0"/>
          <w:numId w:val="1"/>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项目信息</w:t>
      </w:r>
    </w:p>
    <w:p w14:paraId="34FD85BA">
      <w:pPr>
        <w:pStyle w:val="10"/>
        <w:numPr>
          <w:ilvl w:val="0"/>
          <w:numId w:val="2"/>
        </w:numPr>
        <w:adjustRightInd w:val="0"/>
        <w:snapToGrid w:val="0"/>
        <w:spacing w:before="0" w:beforeLines="0" w:after="0" w:line="400" w:lineRule="exact"/>
        <w:ind w:left="0" w:leftChars="0" w:firstLine="480" w:firstLineChars="200"/>
        <w:rPr>
          <w:rFonts w:hint="eastAsia" w:ascii="微软雅黑" w:hAnsi="微软雅黑" w:eastAsia="微软雅黑" w:cs="微软雅黑"/>
          <w:szCs w:val="21"/>
          <w:u w:val="single"/>
        </w:rPr>
      </w:pPr>
      <w:r>
        <w:rPr>
          <w:rFonts w:hint="eastAsia" w:ascii="微软雅黑" w:hAnsi="微软雅黑" w:eastAsia="微软雅黑" w:cs="微软雅黑"/>
          <w:szCs w:val="21"/>
        </w:rPr>
        <w:t>采购项目名称：</w:t>
      </w:r>
      <w:r>
        <w:rPr>
          <w:rFonts w:hint="eastAsia" w:ascii="微软雅黑" w:hAnsi="微软雅黑" w:eastAsia="微软雅黑" w:cs="微软雅黑"/>
          <w:szCs w:val="21"/>
          <w:u w:val="single"/>
        </w:rPr>
        <w:t xml:space="preserve">                                          </w:t>
      </w:r>
    </w:p>
    <w:p w14:paraId="265CFD92">
      <w:pPr>
        <w:pStyle w:val="10"/>
        <w:numPr>
          <w:ilvl w:val="0"/>
          <w:numId w:val="0"/>
        </w:numPr>
        <w:tabs>
          <w:tab w:val="left" w:pos="999"/>
        </w:tabs>
        <w:adjustRightInd w:val="0"/>
        <w:snapToGrid w:val="0"/>
        <w:spacing w:before="0" w:beforeLines="0" w:after="0" w:line="400" w:lineRule="exact"/>
        <w:ind w:left="0" w:leftChars="0" w:firstLine="0" w:firstLineChars="0"/>
        <w:rPr>
          <w:rFonts w:hint="eastAsia" w:ascii="微软雅黑" w:hAnsi="微软雅黑" w:eastAsia="微软雅黑" w:cs="微软雅黑"/>
          <w:szCs w:val="21"/>
          <w:u w:val="none"/>
          <w:lang w:val="en-US" w:eastAsia="zh-CN"/>
        </w:rPr>
      </w:pPr>
      <w:r>
        <w:rPr>
          <w:rFonts w:hint="eastAsia" w:ascii="微软雅黑" w:hAnsi="微软雅黑" w:eastAsia="微软雅黑" w:cs="微软雅黑"/>
          <w:szCs w:val="21"/>
          <w:u w:val="none"/>
          <w:lang w:val="en-US" w:eastAsia="zh-CN"/>
        </w:rPr>
        <w:t xml:space="preserve">         采购项目编号：</w:t>
      </w:r>
      <w:r>
        <w:rPr>
          <w:rFonts w:hint="eastAsia" w:ascii="微软雅黑" w:hAnsi="微软雅黑" w:eastAsia="微软雅黑" w:cs="微软雅黑"/>
          <w:szCs w:val="21"/>
          <w:u w:val="single"/>
        </w:rPr>
        <w:t xml:space="preserve">                                          </w:t>
      </w:r>
    </w:p>
    <w:p w14:paraId="60DDE1CE">
      <w:pPr>
        <w:pStyle w:val="10"/>
        <w:adjustRightInd w:val="0"/>
        <w:snapToGrid w:val="0"/>
        <w:spacing w:before="0" w:beforeLines="0" w:after="0" w:line="400" w:lineRule="exact"/>
        <w:ind w:left="0" w:leftChars="0"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（2）采购计划编号：</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 xml:space="preserve"> </w:t>
      </w:r>
    </w:p>
    <w:p w14:paraId="21AFF9CA">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（3）项目内容：</w:t>
      </w:r>
    </w:p>
    <w:p w14:paraId="0D9AB7FB">
      <w:pPr>
        <w:adjustRightInd w:val="0"/>
        <w:snapToGrid w:val="0"/>
        <w:spacing w:before="0" w:beforeLines="0" w:line="400" w:lineRule="exact"/>
        <w:ind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采购标的及数量</w:t>
      </w:r>
      <w:r>
        <w:rPr>
          <w:rFonts w:hint="eastAsia" w:ascii="微软雅黑" w:hAnsi="微软雅黑" w:eastAsia="微软雅黑" w:cs="微软雅黑"/>
          <w:szCs w:val="21"/>
          <w:lang w:val="en-US" w:eastAsia="zh-CN"/>
        </w:rPr>
        <w:t>（台/套</w:t>
      </w:r>
      <w:r>
        <w:rPr>
          <w:rFonts w:hint="eastAsia" w:ascii="微软雅黑" w:hAnsi="微软雅黑" w:eastAsia="微软雅黑" w:cs="微软雅黑"/>
          <w:szCs w:val="21"/>
          <w:lang w:val="en" w:eastAsia="zh-CN"/>
        </w:rPr>
        <w:t>/个/架/组等</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lang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w:t>
      </w:r>
    </w:p>
    <w:p w14:paraId="45FA6CFB">
      <w:pPr>
        <w:numPr>
          <w:ilvl w:val="0"/>
          <w:numId w:val="0"/>
        </w:numPr>
        <w:adjustRightInd w:val="0"/>
        <w:snapToGrid w:val="0"/>
        <w:spacing w:before="0" w:beforeLines="0" w:line="400" w:lineRule="exact"/>
        <w:ind w:firstLine="420" w:firstLineChars="200"/>
        <w:rPr>
          <w:rFonts w:hint="eastAsia" w:ascii="微软雅黑" w:hAnsi="微软雅黑" w:eastAsia="微软雅黑" w:cs="微软雅黑"/>
          <w:szCs w:val="21"/>
          <w:lang w:val="en" w:eastAsia="zh-CN"/>
        </w:rPr>
      </w:pPr>
      <w:r>
        <w:rPr>
          <w:rFonts w:hint="eastAsia" w:ascii="微软雅黑" w:hAnsi="微软雅黑" w:eastAsia="微软雅黑" w:cs="微软雅黑"/>
          <w:szCs w:val="21"/>
          <w:highlight w:val="none"/>
          <w:u w:val="none"/>
          <w:lang w:val="en-US" w:eastAsia="zh-CN"/>
        </w:rPr>
        <w:t xml:space="preserve">     </w:t>
      </w:r>
      <w:r>
        <w:rPr>
          <w:rFonts w:hint="eastAsia" w:ascii="微软雅黑" w:hAnsi="微软雅黑" w:eastAsia="微软雅黑" w:cs="微软雅黑"/>
          <w:szCs w:val="21"/>
          <w:lang w:val="en-US" w:eastAsia="zh-CN"/>
        </w:rPr>
        <w:t>品牌：</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 w:eastAsia="zh-CN"/>
        </w:rPr>
        <w:t xml:space="preserve">     </w:t>
      </w:r>
      <w:r>
        <w:rPr>
          <w:rFonts w:hint="eastAsia" w:ascii="微软雅黑" w:hAnsi="微软雅黑" w:eastAsia="微软雅黑" w:cs="微软雅黑"/>
          <w:szCs w:val="21"/>
          <w:lang w:val="en-US" w:eastAsia="zh-CN"/>
        </w:rPr>
        <w:t>规格型号：</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lang w:val="en" w:eastAsia="zh-CN"/>
        </w:rPr>
        <w:t xml:space="preserve">   </w:t>
      </w:r>
    </w:p>
    <w:p w14:paraId="07D8D6EE">
      <w:pPr>
        <w:adjustRightInd w:val="0"/>
        <w:snapToGrid w:val="0"/>
        <w:spacing w:before="0" w:beforeLines="0" w:line="400" w:lineRule="exact"/>
        <w:ind w:firstLine="945" w:firstLineChars="450"/>
        <w:rPr>
          <w:rFonts w:hint="eastAsia" w:ascii="微软雅黑" w:hAnsi="微软雅黑" w:eastAsia="微软雅黑" w:cs="微软雅黑"/>
          <w:szCs w:val="21"/>
          <w:highlight w:val="none"/>
          <w:u w:val="single"/>
        </w:rPr>
      </w:pPr>
      <w:r>
        <w:rPr>
          <w:rFonts w:hint="eastAsia" w:ascii="微软雅黑" w:hAnsi="微软雅黑" w:eastAsia="微软雅黑" w:cs="微软雅黑"/>
          <w:szCs w:val="21"/>
          <w:highlight w:val="none"/>
          <w:u w:val="none"/>
          <w:lang w:val="en-US" w:eastAsia="zh-CN"/>
        </w:rPr>
        <w:t>采购标的的技术要求、商务要求具体见附件。</w:t>
      </w:r>
    </w:p>
    <w:p w14:paraId="57D75DCA">
      <w:pPr>
        <w:numPr>
          <w:ilvl w:val="0"/>
          <w:numId w:val="0"/>
        </w:numPr>
        <w:adjustRightInd w:val="0"/>
        <w:snapToGrid w:val="0"/>
        <w:spacing w:before="0" w:beforeLines="0" w:line="400" w:lineRule="exact"/>
        <w:ind w:firstLine="945" w:firstLineChars="4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①涉及信息类产品，请填写该产品关键部件的品牌、型号：</w:t>
      </w:r>
    </w:p>
    <w:p w14:paraId="163486F7">
      <w:pPr>
        <w:numPr>
          <w:ilvl w:val="0"/>
          <w:numId w:val="0"/>
        </w:numPr>
        <w:adjustRightInd w:val="0"/>
        <w:snapToGrid w:val="0"/>
        <w:spacing w:before="0" w:beforeLines="0" w:line="400" w:lineRule="exact"/>
        <w:ind w:firstLine="420" w:firstLineChars="200"/>
        <w:rPr>
          <w:rFonts w:hint="eastAsia" w:ascii="微软雅黑" w:hAnsi="微软雅黑" w:eastAsia="微软雅黑" w:cs="微软雅黑"/>
          <w:kern w:val="0"/>
          <w:szCs w:val="21"/>
          <w:u w:val="single"/>
          <w:lang w:val="en-US" w:eastAsia="zh-CN"/>
        </w:rPr>
      </w:pPr>
      <w:r>
        <w:rPr>
          <w:rFonts w:hint="eastAsia" w:ascii="微软雅黑" w:hAnsi="微软雅黑" w:eastAsia="微软雅黑" w:cs="微软雅黑"/>
          <w:szCs w:val="21"/>
          <w:lang w:val="en-US" w:eastAsia="zh-CN"/>
        </w:rPr>
        <w:t xml:space="preserve">     标的名称：</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u w:val="single"/>
          <w:lang w:val="en" w:eastAsia="zh-CN"/>
        </w:rPr>
        <w:t xml:space="preserve">               </w:t>
      </w:r>
      <w:r>
        <w:rPr>
          <w:rFonts w:hint="eastAsia" w:ascii="微软雅黑" w:hAnsi="微软雅黑" w:eastAsia="微软雅黑" w:cs="微软雅黑"/>
          <w:kern w:val="0"/>
          <w:szCs w:val="21"/>
          <w:u w:val="single"/>
          <w:lang w:val="en-US" w:eastAsia="zh-CN"/>
        </w:rPr>
        <w:t xml:space="preserve">    </w:t>
      </w:r>
    </w:p>
    <w:p w14:paraId="593608D7">
      <w:pPr>
        <w:numPr>
          <w:ilvl w:val="0"/>
          <w:numId w:val="0"/>
        </w:numPr>
        <w:adjustRightInd w:val="0"/>
        <w:snapToGrid w:val="0"/>
        <w:spacing w:before="0" w:beforeLines="0" w:line="400" w:lineRule="exact"/>
        <w:ind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关键部件：</w:t>
      </w:r>
      <w:r>
        <w:rPr>
          <w:rFonts w:hint="eastAsia" w:ascii="微软雅黑" w:hAnsi="微软雅黑" w:eastAsia="微软雅黑" w:cs="微软雅黑"/>
          <w:kern w:val="0"/>
          <w:szCs w:val="21"/>
          <w:u w:val="single"/>
          <w:lang w:val="en-US" w:eastAsia="zh-CN"/>
        </w:rPr>
        <w:t xml:space="preserve">          </w:t>
      </w:r>
      <w:r>
        <w:rPr>
          <w:rFonts w:hint="eastAsia" w:ascii="微软雅黑" w:hAnsi="微软雅黑" w:eastAsia="微软雅黑" w:cs="微软雅黑"/>
          <w:kern w:val="0"/>
          <w:szCs w:val="21"/>
          <w:u w:val="none"/>
          <w:lang w:val="en-US" w:eastAsia="zh-CN"/>
        </w:rPr>
        <w:t xml:space="preserve"> </w:t>
      </w:r>
      <w:r>
        <w:rPr>
          <w:rFonts w:hint="eastAsia" w:ascii="微软雅黑" w:hAnsi="微软雅黑" w:eastAsia="微软雅黑" w:cs="微软雅黑"/>
          <w:szCs w:val="21"/>
          <w:lang w:val="en-US" w:eastAsia="zh-CN"/>
        </w:rPr>
        <w:t>品牌：</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szCs w:val="21"/>
          <w:lang w:val="en-US" w:eastAsia="zh-CN"/>
        </w:rPr>
        <w:t>型号：</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w:t>
      </w:r>
    </w:p>
    <w:p w14:paraId="139074ED">
      <w:pPr>
        <w:pStyle w:val="31"/>
        <w:spacing w:beforeLine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kern w:val="2"/>
          <w:sz w:val="21"/>
          <w:szCs w:val="21"/>
          <w:lang w:val="en-US" w:eastAsia="zh-CN"/>
        </w:rPr>
        <w:t>关键部件</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品牌：</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型号：</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lang w:val="en-US" w:eastAsia="zh-CN"/>
        </w:rPr>
        <w:t xml:space="preserve"> </w:t>
      </w:r>
    </w:p>
    <w:p w14:paraId="1FBD3ECA">
      <w:pPr>
        <w:pStyle w:val="31"/>
        <w:spacing w:beforeLine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关键部件：</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品牌：</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u w:val="none"/>
          <w:lang w:val="en-US" w:eastAsia="zh-CN"/>
        </w:rPr>
        <w:t xml:space="preserve"> </w:t>
      </w:r>
      <w:r>
        <w:rPr>
          <w:rFonts w:hint="eastAsia" w:ascii="微软雅黑" w:hAnsi="微软雅黑" w:eastAsia="微软雅黑" w:cs="微软雅黑"/>
          <w:sz w:val="21"/>
          <w:szCs w:val="21"/>
          <w:lang w:val="en-US" w:eastAsia="zh-CN"/>
        </w:rPr>
        <w:t>型号：</w:t>
      </w:r>
      <w:r>
        <w:rPr>
          <w:rFonts w:hint="eastAsia" w:ascii="微软雅黑" w:hAnsi="微软雅黑" w:eastAsia="微软雅黑" w:cs="微软雅黑"/>
          <w:sz w:val="21"/>
          <w:szCs w:val="21"/>
          <w:u w:val="single"/>
          <w:lang w:val="en-US" w:eastAsia="zh-CN"/>
        </w:rPr>
        <w:t xml:space="preserve">       </w:t>
      </w:r>
    </w:p>
    <w:p w14:paraId="0D66ACCD">
      <w:pPr>
        <w:pStyle w:val="31"/>
        <w:numPr>
          <w:ilvl w:val="0"/>
          <w:numId w:val="0"/>
        </w:numPr>
        <w:adjustRightInd w:val="0"/>
        <w:snapToGrid w:val="0"/>
        <w:spacing w:before="0" w:beforeLines="0" w:line="400" w:lineRule="exact"/>
        <w:ind w:firstLine="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7F435A3B">
      <w:pPr>
        <w:pStyle w:val="31"/>
        <w:numPr>
          <w:ilvl w:val="0"/>
          <w:numId w:val="0"/>
        </w:numPr>
        <w:adjustRightInd w:val="0"/>
        <w:snapToGrid w:val="0"/>
        <w:spacing w:before="0" w:beforeLines="0" w:line="400" w:lineRule="exact"/>
        <w:ind w:firstLine="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②涉及车辆采购，请填写是否属于新能源汽车：</w:t>
      </w:r>
    </w:p>
    <w:p w14:paraId="1EEE82D8">
      <w:pPr>
        <w:pStyle w:val="31"/>
        <w:numPr>
          <w:ilvl w:val="0"/>
          <w:numId w:val="0"/>
        </w:numPr>
        <w:adjustRightInd w:val="0"/>
        <w:snapToGrid w:val="0"/>
        <w:spacing w:before="0" w:beforeLines="0" w:line="400" w:lineRule="exact"/>
        <w:ind w:firstLine="0" w:firstLineChars="0"/>
        <w:rPr>
          <w:rFonts w:hint="eastAsia" w:ascii="微软雅黑" w:hAnsi="微软雅黑" w:eastAsia="微软雅黑" w:cs="微软雅黑"/>
          <w:iCs w:val="0"/>
          <w:sz w:val="21"/>
          <w:szCs w:val="21"/>
          <w:lang w:val="en-US" w:eastAsia="zh-CN"/>
        </w:rPr>
      </w:pP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rPr>
        <w:t>是</w:t>
      </w:r>
      <w:r>
        <w:rPr>
          <w:rFonts w:hint="eastAsia" w:ascii="微软雅黑" w:hAnsi="微软雅黑" w:eastAsia="微软雅黑" w:cs="微软雅黑"/>
          <w:iCs w:val="0"/>
          <w:sz w:val="21"/>
          <w:szCs w:val="21"/>
          <w:lang w:eastAsia="zh-CN"/>
        </w:rPr>
        <w:t>，《政府采购品目分类目录》底级品目名称</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lang w:val="en-US" w:eastAsia="zh-CN"/>
        </w:rPr>
        <w:t xml:space="preserve"> 数量：</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sz w:val="21"/>
          <w:szCs w:val="21"/>
          <w:lang w:val="en-US" w:eastAsia="zh-CN"/>
        </w:rPr>
        <w:t xml:space="preserve"> 金额：</w:t>
      </w:r>
      <w:r>
        <w:rPr>
          <w:rFonts w:hint="eastAsia" w:ascii="微软雅黑" w:hAnsi="微软雅黑" w:eastAsia="微软雅黑" w:cs="微软雅黑"/>
          <w:sz w:val="21"/>
          <w:szCs w:val="21"/>
          <w:u w:val="single"/>
          <w:lang w:val="en-US" w:eastAsia="zh-CN"/>
        </w:rPr>
        <w:t xml:space="preserve">     </w:t>
      </w:r>
      <w:r>
        <w:rPr>
          <w:rFonts w:hint="eastAsia" w:ascii="微软雅黑" w:hAnsi="微软雅黑" w:eastAsia="微软雅黑" w:cs="微软雅黑"/>
          <w:iCs w:val="0"/>
          <w:sz w:val="21"/>
          <w:szCs w:val="21"/>
          <w:lang w:val="en-US" w:eastAsia="zh-CN"/>
        </w:rPr>
        <w:t xml:space="preserve"> </w:t>
      </w:r>
    </w:p>
    <w:p w14:paraId="524BAF02">
      <w:pPr>
        <w:pStyle w:val="31"/>
        <w:numPr>
          <w:ilvl w:val="0"/>
          <w:numId w:val="0"/>
        </w:numPr>
        <w:adjustRightInd w:val="0"/>
        <w:snapToGrid w:val="0"/>
        <w:spacing w:before="0" w:beforeLines="0" w:line="400" w:lineRule="exact"/>
        <w:ind w:firstLine="0" w:firstLineChars="0"/>
        <w:rPr>
          <w:rFonts w:hint="eastAsia" w:ascii="微软雅黑" w:hAnsi="微软雅黑" w:eastAsia="微软雅黑" w:cs="微软雅黑"/>
          <w:iCs w:val="0"/>
          <w:sz w:val="21"/>
          <w:szCs w:val="21"/>
          <w:lang w:eastAsia="zh-CN"/>
        </w:rPr>
      </w:pP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否</w:t>
      </w:r>
    </w:p>
    <w:p w14:paraId="5AF30687">
      <w:pPr>
        <w:pStyle w:val="31"/>
        <w:numPr>
          <w:ilvl w:val="0"/>
          <w:numId w:val="0"/>
        </w:numPr>
        <w:adjustRightInd w:val="0"/>
        <w:snapToGrid w:val="0"/>
        <w:spacing w:before="0" w:beforeLines="0" w:line="400" w:lineRule="exact"/>
        <w:ind w:left="0" w:firstLine="0" w:firstLineChars="0"/>
        <w:rPr>
          <w:rFonts w:hint="eastAsia" w:ascii="微软雅黑" w:hAnsi="微软雅黑" w:eastAsia="微软雅黑" w:cs="微软雅黑"/>
          <w:iCs w:val="0"/>
          <w:sz w:val="21"/>
          <w:szCs w:val="21"/>
          <w:lang w:val="en-US" w:eastAsia="zh-CN"/>
        </w:rPr>
      </w:pP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lang w:val="en" w:eastAsia="zh-CN"/>
        </w:rPr>
        <w:t>4</w:t>
      </w:r>
      <w:r>
        <w:rPr>
          <w:rFonts w:hint="eastAsia" w:ascii="微软雅黑" w:hAnsi="微软雅黑" w:eastAsia="微软雅黑" w:cs="微软雅黑"/>
          <w:iCs w:val="0"/>
          <w:sz w:val="21"/>
          <w:szCs w:val="21"/>
          <w:lang w:val="en-US" w:eastAsia="zh-CN"/>
        </w:rPr>
        <w:t>）政府采购组织形式：</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政府集中采购</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val="en-US" w:eastAsia="zh-CN"/>
        </w:rPr>
        <w:t xml:space="preserve">部门集中采购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val="en-US" w:eastAsia="zh-CN"/>
        </w:rPr>
        <w:t>分散采购</w:t>
      </w:r>
    </w:p>
    <w:p w14:paraId="59D44A4D">
      <w:pPr>
        <w:pStyle w:val="31"/>
        <w:numPr>
          <w:ilvl w:val="0"/>
          <w:numId w:val="0"/>
        </w:numPr>
        <w:adjustRightInd w:val="0"/>
        <w:snapToGrid w:val="0"/>
        <w:spacing w:before="0" w:beforeLines="0" w:line="400" w:lineRule="exact"/>
        <w:ind w:left="0" w:firstLine="420" w:firstLineChars="0"/>
        <w:rPr>
          <w:rFonts w:hint="eastAsia" w:ascii="微软雅黑" w:hAnsi="微软雅黑" w:eastAsia="微软雅黑" w:cs="微软雅黑"/>
          <w:iCs w:val="0"/>
          <w:sz w:val="21"/>
          <w:szCs w:val="21"/>
          <w:lang w:eastAsia="zh-CN"/>
        </w:rPr>
      </w:pPr>
      <w:r>
        <w:rPr>
          <w:rFonts w:hint="eastAsia" w:ascii="微软雅黑" w:hAnsi="微软雅黑" w:eastAsia="微软雅黑" w:cs="微软雅黑"/>
          <w:iCs w:val="0"/>
          <w:sz w:val="21"/>
          <w:szCs w:val="21"/>
          <w:lang w:val="en-US" w:eastAsia="zh-CN"/>
        </w:rPr>
        <w:t>（</w:t>
      </w:r>
      <w:r>
        <w:rPr>
          <w:rFonts w:hint="eastAsia" w:ascii="微软雅黑" w:hAnsi="微软雅黑" w:eastAsia="微软雅黑" w:cs="微软雅黑"/>
          <w:iCs w:val="0"/>
          <w:sz w:val="21"/>
          <w:szCs w:val="21"/>
          <w:lang w:val="en" w:eastAsia="zh-CN"/>
        </w:rPr>
        <w:t>5</w:t>
      </w:r>
      <w:r>
        <w:rPr>
          <w:rFonts w:hint="eastAsia" w:ascii="微软雅黑" w:hAnsi="微软雅黑" w:eastAsia="微软雅黑" w:cs="微软雅黑"/>
          <w:iCs w:val="0"/>
          <w:sz w:val="21"/>
          <w:szCs w:val="21"/>
          <w:lang w:val="en-US" w:eastAsia="zh-CN"/>
        </w:rPr>
        <w:t>）政府采购方式：</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公开招标</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邀请招标</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竞争性谈判</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竞争性磋商</w:t>
      </w:r>
    </w:p>
    <w:p w14:paraId="4BCFF8FB">
      <w:pPr>
        <w:pStyle w:val="31"/>
        <w:numPr>
          <w:ilvl w:val="0"/>
          <w:numId w:val="0"/>
        </w:numPr>
        <w:adjustRightInd w:val="0"/>
        <w:snapToGrid w:val="0"/>
        <w:spacing w:before="0" w:beforeLines="0" w:line="400" w:lineRule="exact"/>
        <w:ind w:left="0" w:firstLine="420" w:firstLineChars="0"/>
        <w:rPr>
          <w:rFonts w:hint="eastAsia" w:ascii="微软雅黑" w:hAnsi="微软雅黑" w:eastAsia="微软雅黑" w:cs="微软雅黑"/>
          <w:iCs w:val="0"/>
          <w:sz w:val="21"/>
          <w:szCs w:val="21"/>
          <w:u w:val="single"/>
          <w:lang w:val="en-US" w:eastAsia="zh-CN"/>
        </w:rPr>
      </w:pP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询价</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单一来源</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框架协议</w:t>
      </w:r>
      <w:r>
        <w:rPr>
          <w:rFonts w:hint="eastAsia" w:ascii="微软雅黑" w:hAnsi="微软雅黑" w:eastAsia="微软雅黑" w:cs="微软雅黑"/>
          <w:iCs w:val="0"/>
          <w:sz w:val="21"/>
          <w:szCs w:val="21"/>
          <w:lang w:val="en-US" w:eastAsia="zh-CN"/>
        </w:rPr>
        <w:t xml:space="preserve"> </w:t>
      </w:r>
      <w:r>
        <w:rPr>
          <w:rFonts w:hint="eastAsia" w:ascii="微软雅黑" w:hAnsi="微软雅黑" w:eastAsia="微软雅黑" w:cs="微软雅黑"/>
          <w:iCs w:val="0"/>
          <w:sz w:val="21"/>
          <w:szCs w:val="21"/>
        </w:rPr>
        <w:sym w:font="Wingdings" w:char="00A8"/>
      </w:r>
      <w:r>
        <w:rPr>
          <w:rFonts w:hint="eastAsia" w:ascii="微软雅黑" w:hAnsi="微软雅黑" w:eastAsia="微软雅黑" w:cs="微软雅黑"/>
          <w:iCs w:val="0"/>
          <w:sz w:val="21"/>
          <w:szCs w:val="21"/>
          <w:lang w:eastAsia="zh-CN"/>
        </w:rPr>
        <w:t>其他：</w:t>
      </w:r>
      <w:r>
        <w:rPr>
          <w:rFonts w:hint="eastAsia" w:ascii="微软雅黑" w:hAnsi="微软雅黑" w:eastAsia="微软雅黑" w:cs="微软雅黑"/>
          <w:iCs w:val="0"/>
          <w:sz w:val="21"/>
          <w:szCs w:val="21"/>
          <w:u w:val="single"/>
          <w:lang w:val="en-US" w:eastAsia="zh-CN"/>
        </w:rPr>
        <w:t xml:space="preserve">          </w:t>
      </w:r>
    </w:p>
    <w:p w14:paraId="5A0A6482">
      <w:pPr>
        <w:pStyle w:val="31"/>
        <w:numPr>
          <w:ilvl w:val="0"/>
          <w:numId w:val="0"/>
        </w:numPr>
        <w:adjustRightInd w:val="0"/>
        <w:snapToGrid w:val="0"/>
        <w:spacing w:before="0" w:beforeLines="0" w:line="400" w:lineRule="exact"/>
        <w:ind w:left="0" w:firstLine="420" w:firstLineChars="0"/>
        <w:rPr>
          <w:rFonts w:hint="eastAsia" w:ascii="微软雅黑" w:hAnsi="微软雅黑" w:eastAsia="微软雅黑" w:cs="微软雅黑"/>
          <w:iCs w:val="0"/>
          <w:sz w:val="21"/>
          <w:szCs w:val="21"/>
          <w:u w:val="none"/>
          <w:lang w:val="en-US" w:eastAsia="zh-CN"/>
        </w:rPr>
      </w:pPr>
      <w:r>
        <w:rPr>
          <w:rFonts w:hint="eastAsia" w:ascii="微软雅黑" w:hAnsi="微软雅黑" w:eastAsia="微软雅黑" w:cs="微软雅黑"/>
          <w:iCs w:val="0"/>
          <w:sz w:val="21"/>
          <w:szCs w:val="21"/>
          <w:u w:val="none"/>
          <w:lang w:val="en-US" w:eastAsia="zh-CN"/>
        </w:rPr>
        <w:t>（注：在框架协议采购的第二阶段，可选择使用该合同文本）</w:t>
      </w:r>
    </w:p>
    <w:p w14:paraId="65A42892">
      <w:pPr>
        <w:pStyle w:val="31"/>
        <w:numPr>
          <w:ilvl w:val="0"/>
          <w:numId w:val="0"/>
        </w:numPr>
        <w:adjustRightInd w:val="0"/>
        <w:snapToGrid w:val="0"/>
        <w:spacing w:before="0" w:beforeLines="0" w:line="400" w:lineRule="exact"/>
        <w:ind w:firstLine="220" w:firstLineChars="100"/>
        <w:rPr>
          <w:rFonts w:hint="eastAsia" w:ascii="微软雅黑" w:hAnsi="微软雅黑" w:eastAsia="微软雅黑" w:cs="微软雅黑"/>
          <w:w w:val="100"/>
          <w:kern w:val="2"/>
          <w:sz w:val="21"/>
          <w:szCs w:val="21"/>
          <w:lang w:val="en-US" w:eastAsia="zh-CN" w:bidi="ar-SA"/>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val="en" w:eastAsia="zh-CN"/>
        </w:rPr>
        <w:t>6</w:t>
      </w:r>
      <w:r>
        <w:rPr>
          <w:rFonts w:hint="eastAsia" w:ascii="微软雅黑" w:hAnsi="微软雅黑" w:eastAsia="微软雅黑" w:cs="微软雅黑"/>
          <w:szCs w:val="21"/>
          <w:lang w:val="en-US" w:eastAsia="zh-CN"/>
        </w:rPr>
        <w:t>）</w:t>
      </w:r>
      <w:r>
        <w:rPr>
          <w:rFonts w:hint="eastAsia" w:ascii="微软雅黑" w:hAnsi="微软雅黑" w:eastAsia="微软雅黑" w:cs="微软雅黑"/>
          <w:w w:val="100"/>
          <w:kern w:val="2"/>
          <w:sz w:val="21"/>
          <w:szCs w:val="21"/>
          <w:lang w:val="en-US" w:eastAsia="zh-CN" w:bidi="ar-SA"/>
        </w:rPr>
        <w:t>中标（成交）采购标的制造商是否为中小企业：</w:t>
      </w:r>
      <w:r>
        <w:rPr>
          <w:rFonts w:hint="eastAsia" w:ascii="微软雅黑" w:hAnsi="微软雅黑" w:eastAsia="微软雅黑" w:cs="微软雅黑"/>
          <w:w w:val="100"/>
          <w:kern w:val="2"/>
          <w:sz w:val="21"/>
          <w:szCs w:val="21"/>
          <w:lang w:val="en-US" w:eastAsia="zh-CN" w:bidi="ar-SA"/>
        </w:rPr>
        <w:sym w:font="Wingdings" w:char="00A8"/>
      </w:r>
      <w:r>
        <w:rPr>
          <w:rFonts w:hint="eastAsia" w:ascii="微软雅黑" w:hAnsi="微软雅黑" w:eastAsia="微软雅黑" w:cs="微软雅黑"/>
          <w:w w:val="100"/>
          <w:kern w:val="2"/>
          <w:sz w:val="21"/>
          <w:szCs w:val="21"/>
          <w:lang w:val="en-US" w:eastAsia="zh-CN" w:bidi="ar-SA"/>
        </w:rPr>
        <w:t xml:space="preserve">是      </w:t>
      </w:r>
      <w:r>
        <w:rPr>
          <w:rFonts w:hint="eastAsia" w:ascii="微软雅黑" w:hAnsi="微软雅黑" w:eastAsia="微软雅黑" w:cs="微软雅黑"/>
          <w:w w:val="100"/>
          <w:kern w:val="2"/>
          <w:sz w:val="21"/>
          <w:szCs w:val="21"/>
          <w:lang w:val="en-US" w:eastAsia="zh-CN" w:bidi="ar-SA"/>
        </w:rPr>
        <w:sym w:font="Wingdings" w:char="00A8"/>
      </w:r>
      <w:r>
        <w:rPr>
          <w:rFonts w:hint="eastAsia" w:ascii="微软雅黑" w:hAnsi="微软雅黑" w:eastAsia="微软雅黑" w:cs="微软雅黑"/>
          <w:w w:val="100"/>
          <w:kern w:val="2"/>
          <w:sz w:val="21"/>
          <w:szCs w:val="21"/>
          <w:lang w:val="en-US" w:eastAsia="zh-CN" w:bidi="ar-SA"/>
        </w:rPr>
        <w:t>否</w:t>
      </w:r>
    </w:p>
    <w:p w14:paraId="49CDB66E">
      <w:pPr>
        <w:numPr>
          <w:ilvl w:val="0"/>
          <w:numId w:val="0"/>
        </w:numPr>
        <w:adjustRightInd w:val="0"/>
        <w:snapToGrid w:val="0"/>
        <w:spacing w:before="0" w:beforeLines="0" w:line="400" w:lineRule="exact"/>
        <w:ind w:left="0" w:leftChars="0" w:firstLine="0" w:firstLineChars="0"/>
        <w:rPr>
          <w:rFonts w:hint="eastAsia" w:ascii="微软雅黑" w:hAnsi="微软雅黑" w:eastAsia="微软雅黑" w:cs="微软雅黑"/>
          <w:iCs/>
          <w:szCs w:val="21"/>
        </w:rPr>
      </w:pPr>
      <w:r>
        <w:rPr>
          <w:rFonts w:hint="eastAsia" w:ascii="微软雅黑" w:hAnsi="微软雅黑" w:eastAsia="微软雅黑" w:cs="微软雅黑"/>
          <w:w w:val="100"/>
          <w:szCs w:val="21"/>
          <w:lang w:val="en-US" w:eastAsia="zh-CN"/>
        </w:rPr>
        <w:t xml:space="preserve">         本合同</w:t>
      </w:r>
      <w:r>
        <w:rPr>
          <w:rFonts w:hint="eastAsia" w:ascii="微软雅黑" w:hAnsi="微软雅黑" w:eastAsia="微软雅黑" w:cs="微软雅黑"/>
          <w:w w:val="100"/>
          <w:szCs w:val="21"/>
        </w:rPr>
        <w:t>是否</w:t>
      </w:r>
      <w:r>
        <w:rPr>
          <w:rFonts w:hint="eastAsia" w:ascii="微软雅黑" w:hAnsi="微软雅黑" w:eastAsia="微软雅黑" w:cs="微软雅黑"/>
          <w:w w:val="100"/>
          <w:szCs w:val="21"/>
          <w:lang w:eastAsia="zh-CN"/>
        </w:rPr>
        <w:t>为专门面向</w:t>
      </w:r>
      <w:r>
        <w:rPr>
          <w:rFonts w:hint="eastAsia" w:ascii="微软雅黑" w:hAnsi="微软雅黑" w:eastAsia="微软雅黑" w:cs="微软雅黑"/>
          <w:w w:val="100"/>
          <w:szCs w:val="21"/>
        </w:rPr>
        <w:t>中小企业</w:t>
      </w:r>
      <w:r>
        <w:rPr>
          <w:rFonts w:hint="eastAsia" w:ascii="微软雅黑" w:hAnsi="微软雅黑" w:eastAsia="微软雅黑" w:cs="微软雅黑"/>
          <w:w w:val="100"/>
          <w:szCs w:val="21"/>
          <w:lang w:eastAsia="zh-CN"/>
        </w:rPr>
        <w:t>的采</w:t>
      </w:r>
      <w:r>
        <w:rPr>
          <w:rFonts w:hint="eastAsia" w:ascii="微软雅黑" w:hAnsi="微软雅黑" w:eastAsia="微软雅黑" w:cs="微软雅黑"/>
          <w:w w:val="100"/>
          <w:szCs w:val="21"/>
          <w:shd w:val="clear" w:color="auto" w:fill="auto"/>
          <w:lang w:eastAsia="zh-CN"/>
        </w:rPr>
        <w:t>购</w:t>
      </w:r>
      <w:r>
        <w:rPr>
          <w:rFonts w:hint="eastAsia" w:ascii="微软雅黑" w:hAnsi="微软雅黑" w:eastAsia="微软雅黑" w:cs="微软雅黑"/>
          <w:w w:val="100"/>
          <w:szCs w:val="21"/>
          <w:shd w:val="clear" w:color="auto" w:fill="auto"/>
        </w:rPr>
        <w:t>合同</w:t>
      </w:r>
      <w:r>
        <w:rPr>
          <w:rFonts w:hint="eastAsia" w:ascii="微软雅黑" w:hAnsi="微软雅黑" w:eastAsia="微软雅黑" w:cs="微软雅黑"/>
          <w:w w:val="100"/>
          <w:szCs w:val="21"/>
          <w:shd w:val="clear" w:color="auto" w:fill="auto"/>
          <w:lang w:eastAsia="zh-CN"/>
        </w:rPr>
        <w:t>（中小企业预留合同）</w:t>
      </w:r>
      <w:r>
        <w:rPr>
          <w:rFonts w:hint="eastAsia" w:ascii="微软雅黑" w:hAnsi="微软雅黑" w:eastAsia="微软雅黑" w:cs="微软雅黑"/>
          <w:szCs w:val="21"/>
          <w:shd w:val="clear" w:color="auto" w:fill="auto"/>
        </w:rPr>
        <w:t>：</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02505B77">
      <w:pPr>
        <w:numPr>
          <w:ilvl w:val="0"/>
          <w:numId w:val="0"/>
        </w:numPr>
        <w:adjustRightInd w:val="0"/>
        <w:snapToGrid w:val="0"/>
        <w:spacing w:before="0" w:beforeLines="0" w:line="400" w:lineRule="exact"/>
        <w:ind w:firstLine="0" w:firstLineChars="0"/>
        <w:rPr>
          <w:rFonts w:hint="eastAsia" w:ascii="微软雅黑" w:hAnsi="微软雅黑" w:eastAsia="微软雅黑" w:cs="微软雅黑"/>
          <w:iCs/>
          <w:szCs w:val="21"/>
        </w:rPr>
      </w:pPr>
      <w:r>
        <w:rPr>
          <w:rFonts w:hint="eastAsia" w:ascii="微软雅黑" w:hAnsi="微软雅黑" w:eastAsia="微软雅黑" w:cs="微软雅黑"/>
          <w:lang w:val="en-US" w:eastAsia="zh-CN"/>
        </w:rPr>
        <w:t xml:space="preserve">         若本项目不专门面向中小企业采购，是否给予小微企业评审优惠：</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3CDF3FA6">
      <w:pPr>
        <w:numPr>
          <w:ilvl w:val="0"/>
          <w:numId w:val="0"/>
        </w:numPr>
        <w:adjustRightInd w:val="0"/>
        <w:snapToGrid w:val="0"/>
        <w:spacing w:before="0" w:beforeLines="0" w:line="400" w:lineRule="exact"/>
        <w:ind w:firstLine="0" w:firstLineChars="0"/>
        <w:rPr>
          <w:rFonts w:hint="eastAsia" w:ascii="微软雅黑" w:hAnsi="微软雅黑" w:eastAsia="微软雅黑" w:cs="微软雅黑"/>
          <w:iCs/>
          <w:szCs w:val="21"/>
        </w:rPr>
      </w:pPr>
      <w:r>
        <w:rPr>
          <w:rFonts w:hint="eastAsia" w:ascii="微软雅黑" w:hAnsi="微软雅黑" w:eastAsia="微软雅黑" w:cs="微软雅黑"/>
          <w:lang w:val="en-US" w:eastAsia="zh-CN"/>
        </w:rPr>
        <w:t xml:space="preserve">         中标（成交）采购标的制造商是否为残疾人福利性单位：</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280C0442">
      <w:pPr>
        <w:numPr>
          <w:ilvl w:val="0"/>
          <w:numId w:val="0"/>
        </w:numPr>
        <w:snapToGrid w:val="0"/>
        <w:spacing w:beforeLines="0" w:line="400" w:lineRule="exact"/>
        <w:ind w:firstLine="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中标（成交）采购标的制造商是否为监狱企业：</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61D8D74F">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 w:eastAsia="zh-CN"/>
        </w:rPr>
        <w:t>7</w:t>
      </w:r>
      <w:r>
        <w:rPr>
          <w:rFonts w:hint="eastAsia" w:ascii="微软雅黑" w:hAnsi="微软雅黑" w:eastAsia="微软雅黑" w:cs="微软雅黑"/>
          <w:szCs w:val="21"/>
        </w:rPr>
        <w:t>）合同是否分包：</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是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否</w:t>
      </w:r>
    </w:p>
    <w:p w14:paraId="613F6F18">
      <w:pPr>
        <w:adjustRightInd w:val="0"/>
        <w:snapToGrid w:val="0"/>
        <w:spacing w:before="0" w:beforeLines="0" w:line="400" w:lineRule="exact"/>
        <w:ind w:firstLine="840" w:firstLineChars="400"/>
        <w:rPr>
          <w:rFonts w:hint="eastAsia" w:ascii="微软雅黑" w:hAnsi="微软雅黑" w:eastAsia="微软雅黑" w:cs="微软雅黑"/>
          <w:szCs w:val="21"/>
          <w:u w:val="single"/>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分包主要内容：</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56D6D117">
      <w:pPr>
        <w:adjustRightInd w:val="0"/>
        <w:snapToGrid w:val="0"/>
        <w:spacing w:before="0" w:beforeLines="0" w:line="400" w:lineRule="exact"/>
        <w:ind w:firstLine="840" w:firstLineChars="400"/>
        <w:rPr>
          <w:rFonts w:hint="eastAsia" w:ascii="微软雅黑" w:hAnsi="微软雅黑" w:eastAsia="微软雅黑" w:cs="微软雅黑"/>
          <w:szCs w:val="21"/>
          <w:highlight w:val="none"/>
        </w:rPr>
      </w:pPr>
      <w:r>
        <w:rPr>
          <w:rFonts w:hint="eastAsia" w:ascii="微软雅黑" w:hAnsi="微软雅黑" w:eastAsia="微软雅黑" w:cs="微软雅黑"/>
          <w:szCs w:val="21"/>
          <w:u w:val="none"/>
          <w:lang w:val="en-US" w:eastAsia="zh-CN"/>
        </w:rPr>
        <w:t xml:space="preserve"> </w:t>
      </w:r>
      <w:r>
        <w:rPr>
          <w:rFonts w:hint="eastAsia" w:ascii="微软雅黑" w:hAnsi="微软雅黑" w:eastAsia="微软雅黑" w:cs="微软雅黑"/>
          <w:szCs w:val="21"/>
        </w:rPr>
        <w:t>分包</w:t>
      </w:r>
      <w:r>
        <w:rPr>
          <w:rFonts w:hint="eastAsia" w:ascii="微软雅黑" w:hAnsi="微软雅黑" w:eastAsia="微软雅黑" w:cs="微软雅黑"/>
          <w:szCs w:val="21"/>
          <w:highlight w:val="none"/>
        </w:rPr>
        <w:t>供应商</w:t>
      </w:r>
      <w:r>
        <w:rPr>
          <w:rFonts w:hint="eastAsia" w:ascii="微软雅黑" w:hAnsi="微软雅黑" w:eastAsia="微软雅黑" w:cs="微软雅黑"/>
          <w:szCs w:val="21"/>
          <w:highlight w:val="none"/>
          <w:lang w:eastAsia="zh-CN"/>
        </w:rPr>
        <w:t>/制造商</w:t>
      </w:r>
      <w:r>
        <w:rPr>
          <w:rFonts w:hint="eastAsia" w:ascii="微软雅黑" w:hAnsi="微软雅黑" w:eastAsia="微软雅黑" w:cs="微软雅黑"/>
          <w:szCs w:val="21"/>
          <w:highlight w:val="none"/>
        </w:rPr>
        <w:t>名称</w:t>
      </w:r>
      <w:r>
        <w:rPr>
          <w:rFonts w:hint="eastAsia" w:ascii="微软雅黑" w:hAnsi="微软雅黑" w:eastAsia="微软雅黑" w:cs="微软雅黑"/>
          <w:szCs w:val="21"/>
          <w:highlight w:val="none"/>
          <w:lang w:eastAsia="zh-CN"/>
        </w:rPr>
        <w:t>（如供应商和制造商不同，请分别填写）</w:t>
      </w:r>
      <w:r>
        <w:rPr>
          <w:rFonts w:hint="eastAsia" w:ascii="微软雅黑" w:hAnsi="微软雅黑" w:eastAsia="微软雅黑" w:cs="微软雅黑"/>
          <w:szCs w:val="21"/>
          <w:highlight w:val="none"/>
        </w:rPr>
        <w:t>：</w:t>
      </w:r>
    </w:p>
    <w:p w14:paraId="62292435">
      <w:pPr>
        <w:adjustRightInd w:val="0"/>
        <w:snapToGrid w:val="0"/>
        <w:spacing w:before="0" w:beforeLines="0" w:line="400" w:lineRule="exact"/>
        <w:ind w:firstLine="840" w:firstLineChars="400"/>
        <w:rPr>
          <w:rFonts w:hint="eastAsia" w:ascii="微软雅黑" w:hAnsi="微软雅黑" w:eastAsia="微软雅黑" w:cs="微软雅黑"/>
          <w:szCs w:val="21"/>
          <w:highlight w:val="none"/>
          <w:u w:val="single"/>
        </w:rPr>
      </w:pPr>
      <w:r>
        <w:rPr>
          <w:rFonts w:hint="eastAsia" w:ascii="微软雅黑" w:hAnsi="微软雅黑" w:eastAsia="微软雅黑" w:cs="微软雅黑"/>
          <w:szCs w:val="21"/>
          <w:highlight w:val="none"/>
          <w:u w:val="none"/>
        </w:rPr>
        <w:t xml:space="preserve"> </w:t>
      </w:r>
      <w:r>
        <w:rPr>
          <w:rFonts w:hint="eastAsia" w:ascii="微软雅黑" w:hAnsi="微软雅黑" w:eastAsia="微软雅黑" w:cs="微软雅黑"/>
          <w:szCs w:val="21"/>
          <w:highlight w:val="none"/>
          <w:u w:val="single"/>
          <w:lang w:val="en-US" w:eastAsia="zh-CN"/>
        </w:rPr>
        <w:t xml:space="preserve">  </w:t>
      </w:r>
      <w:r>
        <w:rPr>
          <w:rFonts w:hint="eastAsia" w:ascii="微软雅黑" w:hAnsi="微软雅黑" w:eastAsia="微软雅黑" w:cs="微软雅黑"/>
          <w:szCs w:val="21"/>
          <w:highlight w:val="none"/>
          <w:u w:val="single"/>
        </w:rPr>
        <w:t xml:space="preserve">                                 </w:t>
      </w:r>
      <w:r>
        <w:rPr>
          <w:rFonts w:hint="eastAsia" w:ascii="微软雅黑" w:hAnsi="微软雅黑" w:eastAsia="微软雅黑" w:cs="微软雅黑"/>
          <w:szCs w:val="21"/>
          <w:highlight w:val="none"/>
          <w:u w:val="single"/>
          <w:lang w:val="en-US" w:eastAsia="zh-CN"/>
        </w:rPr>
        <w:t xml:space="preserve">                       </w:t>
      </w:r>
    </w:p>
    <w:p w14:paraId="20D20443">
      <w:pPr>
        <w:adjustRightInd w:val="0"/>
        <w:snapToGrid w:val="0"/>
        <w:spacing w:before="0" w:beforeLines="0" w:line="400" w:lineRule="exact"/>
        <w:ind w:firstLine="840" w:firstLineChars="400"/>
        <w:rPr>
          <w:rFonts w:hint="eastAsia" w:ascii="微软雅黑" w:hAnsi="微软雅黑" w:eastAsia="微软雅黑" w:cs="微软雅黑"/>
          <w:szCs w:val="21"/>
        </w:rPr>
      </w:pPr>
      <w:r>
        <w:rPr>
          <w:rFonts w:hint="eastAsia" w:ascii="微软雅黑" w:hAnsi="微软雅黑" w:eastAsia="微软雅黑" w:cs="微软雅黑"/>
          <w:szCs w:val="21"/>
          <w:highlight w:val="none"/>
          <w:lang w:val="en-US" w:eastAsia="zh-CN"/>
        </w:rPr>
        <w:t xml:space="preserve"> </w:t>
      </w:r>
      <w:r>
        <w:rPr>
          <w:rFonts w:hint="eastAsia" w:ascii="微软雅黑" w:hAnsi="微软雅黑" w:eastAsia="微软雅黑" w:cs="微软雅黑"/>
          <w:szCs w:val="21"/>
          <w:highlight w:val="none"/>
        </w:rPr>
        <w:t>分包供应商</w:t>
      </w:r>
      <w:r>
        <w:rPr>
          <w:rFonts w:hint="eastAsia" w:ascii="微软雅黑" w:hAnsi="微软雅黑" w:eastAsia="微软雅黑" w:cs="微软雅黑"/>
          <w:szCs w:val="21"/>
          <w:highlight w:val="none"/>
          <w:lang w:val="en-US" w:eastAsia="zh-CN"/>
        </w:rPr>
        <w:t>/</w:t>
      </w:r>
      <w:r>
        <w:rPr>
          <w:rFonts w:hint="eastAsia" w:ascii="微软雅黑" w:hAnsi="微软雅黑" w:eastAsia="微软雅黑" w:cs="微软雅黑"/>
          <w:szCs w:val="21"/>
          <w:highlight w:val="none"/>
          <w:lang w:eastAsia="zh-CN"/>
        </w:rPr>
        <w:t>制造商</w:t>
      </w:r>
      <w:r>
        <w:rPr>
          <w:rFonts w:hint="eastAsia" w:ascii="微软雅黑" w:hAnsi="微软雅黑" w:eastAsia="微软雅黑" w:cs="微软雅黑"/>
          <w:szCs w:val="21"/>
        </w:rPr>
        <w:t>类型</w:t>
      </w:r>
      <w:r>
        <w:rPr>
          <w:rFonts w:hint="eastAsia" w:ascii="微软雅黑" w:hAnsi="微软雅黑" w:eastAsia="微软雅黑" w:cs="微软雅黑"/>
          <w:szCs w:val="21"/>
          <w:highlight w:val="none"/>
          <w:lang w:eastAsia="zh-CN"/>
        </w:rPr>
        <w:t>（如果供应商和制造商不同，只填写制造商类型）</w:t>
      </w:r>
      <w:r>
        <w:rPr>
          <w:rFonts w:hint="eastAsia" w:ascii="微软雅黑" w:hAnsi="微软雅黑" w:eastAsia="微软雅黑" w:cs="微软雅黑"/>
          <w:szCs w:val="21"/>
        </w:rPr>
        <w:t>：</w:t>
      </w:r>
    </w:p>
    <w:p w14:paraId="02D11DEB">
      <w:pPr>
        <w:adjustRightInd w:val="0"/>
        <w:snapToGrid w:val="0"/>
        <w:spacing w:beforeLines="0" w:line="400" w:lineRule="exact"/>
        <w:ind w:firstLine="840" w:firstLineChars="40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大型企业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中型企业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小微型企业</w:t>
      </w:r>
      <w:r>
        <w:rPr>
          <w:rFonts w:hint="eastAsia" w:ascii="微软雅黑" w:hAnsi="微软雅黑" w:eastAsia="微软雅黑" w:cs="微软雅黑"/>
          <w:iCs/>
          <w:szCs w:val="21"/>
          <w:lang w:val="en-US" w:eastAsia="zh-CN"/>
        </w:rPr>
        <w:t xml:space="preserve">  </w:t>
      </w:r>
    </w:p>
    <w:p w14:paraId="173DD6A0">
      <w:pPr>
        <w:adjustRightInd w:val="0"/>
        <w:snapToGrid w:val="0"/>
        <w:spacing w:beforeLines="0" w:line="400" w:lineRule="exact"/>
        <w:ind w:firstLine="840" w:firstLineChars="400"/>
        <w:rPr>
          <w:rFonts w:hint="eastAsia" w:ascii="微软雅黑" w:hAnsi="微软雅黑" w:eastAsia="微软雅黑" w:cs="微软雅黑"/>
          <w:u w:val="none"/>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残疾人福利性单位</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监狱</w:t>
      </w:r>
      <w:r>
        <w:rPr>
          <w:rFonts w:hint="eastAsia" w:ascii="微软雅黑" w:hAnsi="微软雅黑" w:eastAsia="微软雅黑" w:cs="微软雅黑"/>
          <w:iCs/>
          <w:szCs w:val="21"/>
        </w:rPr>
        <w:t>企业</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其他</w:t>
      </w:r>
    </w:p>
    <w:p w14:paraId="30A3C32F">
      <w:pPr>
        <w:numPr>
          <w:ilvl w:val="0"/>
          <w:numId w:val="0"/>
        </w:numPr>
        <w:adjustRightInd w:val="0"/>
        <w:snapToGrid w:val="0"/>
        <w:spacing w:before="0" w:beforeLines="0" w:line="400" w:lineRule="exact"/>
        <w:ind w:left="0" w:leftChars="0" w:firstLine="0" w:firstLineChars="0"/>
        <w:rPr>
          <w:rFonts w:hint="eastAsia" w:ascii="微软雅黑" w:hAnsi="微软雅黑" w:eastAsia="微软雅黑" w:cs="微软雅黑"/>
          <w:iCs/>
          <w:szCs w:val="21"/>
          <w:highlight w:val="none"/>
        </w:rPr>
      </w:pPr>
      <w:r>
        <w:rPr>
          <w:rFonts w:hint="eastAsia" w:ascii="微软雅黑" w:hAnsi="微软雅黑" w:eastAsia="微软雅黑" w:cs="微软雅黑"/>
          <w:szCs w:val="21"/>
          <w:highlight w:val="none"/>
          <w:u w:val="none"/>
          <w:lang w:val="en-US" w:eastAsia="zh-CN"/>
        </w:rPr>
        <w:t xml:space="preserve">    （</w:t>
      </w:r>
      <w:r>
        <w:rPr>
          <w:rFonts w:hint="eastAsia" w:ascii="微软雅黑" w:hAnsi="微软雅黑" w:eastAsia="微软雅黑" w:cs="微软雅黑"/>
          <w:szCs w:val="21"/>
          <w:highlight w:val="none"/>
          <w:u w:val="none"/>
          <w:lang w:val="en" w:eastAsia="zh-CN"/>
        </w:rPr>
        <w:t>8</w:t>
      </w:r>
      <w:r>
        <w:rPr>
          <w:rFonts w:hint="eastAsia" w:ascii="微软雅黑" w:hAnsi="微软雅黑" w:eastAsia="微软雅黑" w:cs="微软雅黑"/>
          <w:szCs w:val="21"/>
          <w:highlight w:val="none"/>
          <w:u w:val="none"/>
          <w:lang w:val="en-US" w:eastAsia="zh-CN"/>
        </w:rPr>
        <w:t>）中标（成交）供应商是否为外商投资企业：</w:t>
      </w:r>
      <w:r>
        <w:rPr>
          <w:rFonts w:hint="eastAsia" w:ascii="微软雅黑" w:hAnsi="微软雅黑" w:eastAsia="微软雅黑" w:cs="微软雅黑"/>
          <w:iCs/>
          <w:szCs w:val="21"/>
          <w:highlight w:val="none"/>
        </w:rPr>
        <w:sym w:font="Wingdings" w:char="00A8"/>
      </w:r>
      <w:r>
        <w:rPr>
          <w:rFonts w:hint="eastAsia" w:ascii="微软雅黑" w:hAnsi="微软雅黑" w:eastAsia="微软雅黑" w:cs="微软雅黑"/>
          <w:iCs/>
          <w:szCs w:val="21"/>
          <w:highlight w:val="none"/>
        </w:rPr>
        <w:t xml:space="preserve">是       </w:t>
      </w:r>
      <w:r>
        <w:rPr>
          <w:rFonts w:hint="eastAsia" w:ascii="微软雅黑" w:hAnsi="微软雅黑" w:eastAsia="微软雅黑" w:cs="微软雅黑"/>
          <w:iCs/>
          <w:szCs w:val="21"/>
          <w:highlight w:val="none"/>
        </w:rPr>
        <w:sym w:font="Wingdings" w:char="00A8"/>
      </w:r>
      <w:r>
        <w:rPr>
          <w:rFonts w:hint="eastAsia" w:ascii="微软雅黑" w:hAnsi="微软雅黑" w:eastAsia="微软雅黑" w:cs="微软雅黑"/>
          <w:iCs/>
          <w:szCs w:val="21"/>
          <w:highlight w:val="none"/>
        </w:rPr>
        <w:t>否</w:t>
      </w:r>
    </w:p>
    <w:p w14:paraId="61E3E9F4">
      <w:pPr>
        <w:pStyle w:val="31"/>
        <w:tabs>
          <w:tab w:val="left" w:pos="1340"/>
        </w:tabs>
        <w:spacing w:beforeLines="0"/>
        <w:rPr>
          <w:rFonts w:hint="eastAsia" w:ascii="微软雅黑" w:hAnsi="微软雅黑" w:eastAsia="微软雅黑" w:cs="微软雅黑"/>
          <w:sz w:val="21"/>
          <w:szCs w:val="21"/>
          <w:highlight w:val="none"/>
          <w:u w:val="single"/>
        </w:rPr>
      </w:pPr>
      <w:r>
        <w:rPr>
          <w:rFonts w:hint="eastAsia" w:ascii="微软雅黑" w:hAnsi="微软雅黑" w:eastAsia="微软雅黑" w:cs="微软雅黑"/>
          <w:sz w:val="21"/>
          <w:szCs w:val="21"/>
          <w:highlight w:val="none"/>
          <w:u w:val="none"/>
          <w:lang w:val="en-US" w:eastAsia="zh-CN"/>
        </w:rPr>
        <w:t xml:space="preserve">     外商投资企业类型：</w:t>
      </w:r>
      <w:r>
        <w:rPr>
          <w:rFonts w:hint="eastAsia" w:ascii="微软雅黑" w:hAnsi="微软雅黑" w:eastAsia="微软雅黑" w:cs="微软雅黑"/>
          <w:iCs/>
          <w:sz w:val="21"/>
          <w:szCs w:val="21"/>
          <w:highlight w:val="none"/>
        </w:rPr>
        <w:sym w:font="Wingdings" w:char="00A8"/>
      </w:r>
      <w:r>
        <w:rPr>
          <w:rFonts w:hint="eastAsia" w:ascii="微软雅黑" w:hAnsi="微软雅黑" w:eastAsia="微软雅黑" w:cs="微软雅黑"/>
          <w:sz w:val="21"/>
          <w:szCs w:val="21"/>
          <w:highlight w:val="none"/>
          <w:u w:val="none"/>
          <w:lang w:val="en-US" w:eastAsia="zh-CN"/>
        </w:rPr>
        <w:t xml:space="preserve">全部由外国投资者投资  </w:t>
      </w:r>
      <w:r>
        <w:rPr>
          <w:rFonts w:hint="eastAsia" w:ascii="微软雅黑" w:hAnsi="微软雅黑" w:eastAsia="微软雅黑" w:cs="微软雅黑"/>
          <w:iCs/>
          <w:sz w:val="21"/>
          <w:szCs w:val="21"/>
          <w:highlight w:val="none"/>
        </w:rPr>
        <w:sym w:font="Wingdings" w:char="00A8"/>
      </w:r>
      <w:r>
        <w:rPr>
          <w:rFonts w:hint="eastAsia" w:ascii="微软雅黑" w:hAnsi="微软雅黑" w:eastAsia="微软雅黑" w:cs="微软雅黑"/>
          <w:iCs/>
          <w:sz w:val="21"/>
          <w:szCs w:val="21"/>
          <w:highlight w:val="none"/>
          <w:lang w:val="en-US" w:eastAsia="zh-CN"/>
        </w:rPr>
        <w:t>部分由外国投资者投资</w:t>
      </w:r>
    </w:p>
    <w:p w14:paraId="34D03B9F">
      <w:pPr>
        <w:numPr>
          <w:ilvl w:val="0"/>
          <w:numId w:val="0"/>
        </w:numPr>
        <w:adjustRightInd w:val="0"/>
        <w:snapToGrid w:val="0"/>
        <w:spacing w:before="0" w:beforeLines="0" w:line="400" w:lineRule="exact"/>
        <w:ind w:firstLine="420" w:firstLineChars="20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b w:val="0"/>
          <w:bCs w:val="0"/>
          <w:sz w:val="21"/>
          <w:szCs w:val="21"/>
          <w:u w:val="none"/>
          <w:lang w:val="en-US" w:eastAsia="zh-CN"/>
        </w:rPr>
        <w:t>（</w:t>
      </w:r>
      <w:r>
        <w:rPr>
          <w:rFonts w:hint="eastAsia" w:ascii="微软雅黑" w:hAnsi="微软雅黑" w:eastAsia="微软雅黑" w:cs="微软雅黑"/>
          <w:b w:val="0"/>
          <w:bCs w:val="0"/>
          <w:sz w:val="21"/>
          <w:szCs w:val="21"/>
          <w:u w:val="none"/>
          <w:lang w:val="en" w:eastAsia="zh-CN"/>
        </w:rPr>
        <w:t>9</w:t>
      </w:r>
      <w:r>
        <w:rPr>
          <w:rFonts w:hint="eastAsia" w:ascii="微软雅黑" w:hAnsi="微软雅黑" w:eastAsia="微软雅黑" w:cs="微软雅黑"/>
          <w:b w:val="0"/>
          <w:bCs w:val="0"/>
          <w:sz w:val="21"/>
          <w:szCs w:val="21"/>
          <w:u w:val="none"/>
          <w:lang w:val="en-US" w:eastAsia="zh-CN"/>
        </w:rPr>
        <w:t>）是否涉及进口产品：</w:t>
      </w:r>
    </w:p>
    <w:p w14:paraId="17F6E007">
      <w:pPr>
        <w:numPr>
          <w:ilvl w:val="0"/>
          <w:numId w:val="0"/>
        </w:numPr>
        <w:adjustRightInd w:val="0"/>
        <w:snapToGrid w:val="0"/>
        <w:spacing w:before="0" w:beforeLines="0" w:line="400" w:lineRule="exact"/>
        <w:ind w:firstLine="840" w:firstLineChars="400"/>
        <w:rPr>
          <w:rFonts w:hint="eastAsia" w:ascii="微软雅黑" w:hAnsi="微软雅黑" w:eastAsia="微软雅黑" w:cs="微软雅黑"/>
          <w:szCs w:val="21"/>
          <w:u w:val="single"/>
          <w:lang w:val="en-US" w:eastAsia="zh-CN"/>
        </w:rPr>
      </w:pPr>
      <w:r>
        <w:rPr>
          <w:rFonts w:hint="eastAsia" w:ascii="微软雅黑" w:hAnsi="微软雅黑" w:eastAsia="微软雅黑" w:cs="微软雅黑"/>
          <w:iCs w:val="0"/>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是</w:t>
      </w:r>
      <w:r>
        <w:rPr>
          <w:rFonts w:hint="eastAsia" w:ascii="微软雅黑" w:hAnsi="微软雅黑" w:eastAsia="微软雅黑" w:cs="微软雅黑"/>
          <w:iCs w:val="0"/>
          <w:szCs w:val="21"/>
          <w:lang w:eastAsia="zh-CN"/>
        </w:rPr>
        <w:t>，《政府采购品目分类目录》底级品目名称</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金额：</w:t>
      </w:r>
      <w:r>
        <w:rPr>
          <w:rFonts w:hint="eastAsia" w:ascii="微软雅黑" w:hAnsi="微软雅黑" w:eastAsia="微软雅黑" w:cs="微软雅黑"/>
          <w:szCs w:val="21"/>
          <w:u w:val="single"/>
          <w:lang w:val="en-US" w:eastAsia="zh-CN"/>
        </w:rPr>
        <w:t xml:space="preserve">        </w:t>
      </w:r>
    </w:p>
    <w:p w14:paraId="528B356D">
      <w:pPr>
        <w:numPr>
          <w:ilvl w:val="0"/>
          <w:numId w:val="0"/>
        </w:numPr>
        <w:adjustRightInd w:val="0"/>
        <w:snapToGrid w:val="0"/>
        <w:spacing w:before="0" w:beforeLines="0" w:line="400" w:lineRule="exact"/>
        <w:ind w:firstLine="840" w:firstLineChars="400"/>
        <w:rPr>
          <w:rFonts w:hint="eastAsia" w:ascii="微软雅黑" w:hAnsi="微软雅黑" w:eastAsia="微软雅黑" w:cs="微软雅黑"/>
          <w:iCs w:val="0"/>
          <w:szCs w:val="21"/>
        </w:rPr>
      </w:pPr>
      <w:r>
        <w:rPr>
          <w:rFonts w:hint="eastAsia" w:ascii="微软雅黑" w:hAnsi="微软雅黑" w:eastAsia="微软雅黑" w:cs="微软雅黑"/>
          <w:szCs w:val="21"/>
          <w:lang w:val="en-US" w:eastAsia="zh-CN"/>
        </w:rPr>
        <w:t xml:space="preserve">        国别：</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lang w:val="en-US" w:eastAsia="zh-CN"/>
        </w:rPr>
        <w:t xml:space="preserve"> 品牌：</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none"/>
          <w:lang w:val="en-US" w:eastAsia="zh-CN"/>
        </w:rPr>
        <w:t xml:space="preserve"> 规格型号：</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iCs w:val="0"/>
          <w:szCs w:val="21"/>
        </w:rPr>
        <w:t xml:space="preserve">      </w:t>
      </w:r>
    </w:p>
    <w:p w14:paraId="490EFA1E">
      <w:pPr>
        <w:adjustRightInd w:val="0"/>
        <w:snapToGrid w:val="0"/>
        <w:spacing w:before="0" w:beforeLines="0" w:line="400" w:lineRule="exact"/>
        <w:ind w:firstLine="840" w:firstLineChars="400"/>
        <w:rPr>
          <w:rFonts w:hint="eastAsia" w:ascii="微软雅黑" w:hAnsi="微软雅黑" w:eastAsia="微软雅黑" w:cs="微软雅黑"/>
          <w:szCs w:val="21"/>
          <w:u w:val="none"/>
          <w:lang w:val="en-US" w:eastAsia="zh-CN"/>
        </w:rPr>
      </w:pPr>
      <w:r>
        <w:rPr>
          <w:rFonts w:hint="eastAsia" w:ascii="微软雅黑" w:hAnsi="微软雅黑" w:eastAsia="微软雅黑" w:cs="微软雅黑"/>
          <w:iCs w:val="0"/>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lang w:eastAsia="zh-CN"/>
        </w:rPr>
        <w:t>否</w:t>
      </w:r>
    </w:p>
    <w:p w14:paraId="77A6B2FA">
      <w:pPr>
        <w:numPr>
          <w:ilvl w:val="0"/>
          <w:numId w:val="0"/>
        </w:numPr>
        <w:tabs>
          <w:tab w:val="left" w:pos="740"/>
        </w:tabs>
        <w:adjustRightInd w:val="0"/>
        <w:snapToGrid w:val="0"/>
        <w:spacing w:before="0" w:beforeLines="0" w:line="400" w:lineRule="exact"/>
        <w:ind w:left="0" w:firstLine="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b w:val="0"/>
          <w:bCs w:val="0"/>
          <w:sz w:val="21"/>
          <w:szCs w:val="21"/>
          <w:u w:val="none"/>
          <w:lang w:val="en-US" w:eastAsia="zh-CN"/>
        </w:rPr>
        <w:t xml:space="preserve">    （1</w:t>
      </w:r>
      <w:r>
        <w:rPr>
          <w:rFonts w:hint="eastAsia" w:ascii="微软雅黑" w:hAnsi="微软雅黑" w:eastAsia="微软雅黑" w:cs="微软雅黑"/>
          <w:b w:val="0"/>
          <w:bCs w:val="0"/>
          <w:sz w:val="21"/>
          <w:szCs w:val="21"/>
          <w:u w:val="none"/>
          <w:lang w:val="en" w:eastAsia="zh-CN"/>
        </w:rPr>
        <w:t>0</w:t>
      </w:r>
      <w:r>
        <w:rPr>
          <w:rFonts w:hint="eastAsia" w:ascii="微软雅黑" w:hAnsi="微软雅黑" w:eastAsia="微软雅黑" w:cs="微软雅黑"/>
          <w:b w:val="0"/>
          <w:bCs w:val="0"/>
          <w:sz w:val="21"/>
          <w:szCs w:val="21"/>
          <w:u w:val="none"/>
          <w:lang w:val="en-US" w:eastAsia="zh-CN"/>
        </w:rPr>
        <w:t>）是否涉及节能产品：</w:t>
      </w:r>
    </w:p>
    <w:p w14:paraId="270A3F6D">
      <w:pPr>
        <w:numPr>
          <w:ilvl w:val="0"/>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b w:val="0"/>
          <w:bCs w:val="0"/>
          <w:sz w:val="21"/>
          <w:szCs w:val="21"/>
          <w:u w:val="none"/>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是</w:t>
      </w:r>
      <w:r>
        <w:rPr>
          <w:rFonts w:hint="eastAsia" w:ascii="微软雅黑" w:hAnsi="微软雅黑" w:eastAsia="微软雅黑" w:cs="微软雅黑"/>
          <w:iCs w:val="0"/>
          <w:szCs w:val="21"/>
          <w:lang w:eastAsia="zh-CN"/>
        </w:rPr>
        <w:t>，《节能产品政府采购品目清单》的底级品目名称：</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iCs/>
          <w:szCs w:val="21"/>
          <w:lang w:val="en-US" w:eastAsia="zh-CN"/>
        </w:rPr>
        <w:t xml:space="preserve">     </w:t>
      </w:r>
    </w:p>
    <w:p w14:paraId="74D14FC7">
      <w:pPr>
        <w:numPr>
          <w:ilvl w:val="0"/>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强制采购</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优先采购</w:t>
      </w:r>
      <w:r>
        <w:rPr>
          <w:rFonts w:hint="eastAsia" w:ascii="微软雅黑" w:hAnsi="微软雅黑" w:eastAsia="微软雅黑" w:cs="微软雅黑"/>
          <w:iCs/>
          <w:szCs w:val="21"/>
          <w:lang w:val="en-US" w:eastAsia="zh-CN"/>
        </w:rPr>
        <w:t xml:space="preserve">    </w:t>
      </w:r>
    </w:p>
    <w:p w14:paraId="64EBE49E">
      <w:pPr>
        <w:numPr>
          <w:ilvl w:val="0"/>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val="0"/>
          <w:szCs w:val="21"/>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否</w:t>
      </w:r>
    </w:p>
    <w:p w14:paraId="7C2DA112">
      <w:pPr>
        <w:numPr>
          <w:ilvl w:val="0"/>
          <w:numId w:val="0"/>
        </w:numPr>
        <w:tabs>
          <w:tab w:val="left" w:pos="740"/>
        </w:tabs>
        <w:adjustRightInd w:val="0"/>
        <w:snapToGrid w:val="0"/>
        <w:spacing w:before="0" w:beforeLines="0" w:line="400" w:lineRule="exact"/>
        <w:ind w:left="0" w:firstLine="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b w:val="0"/>
          <w:bCs w:val="0"/>
          <w:sz w:val="21"/>
          <w:szCs w:val="21"/>
          <w:u w:val="none"/>
          <w:lang w:val="en-US" w:eastAsia="zh-CN"/>
        </w:rPr>
        <w:t xml:space="preserve">          是否涉及环境标志产品：</w:t>
      </w:r>
    </w:p>
    <w:p w14:paraId="6E262CF6">
      <w:pPr>
        <w:numPr>
          <w:ilvl w:val="0"/>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val="0"/>
          <w:szCs w:val="21"/>
          <w:lang w:eastAsia="zh-CN"/>
        </w:rPr>
      </w:pPr>
      <w:r>
        <w:rPr>
          <w:rFonts w:hint="eastAsia" w:ascii="微软雅黑" w:hAnsi="微软雅黑" w:eastAsia="微软雅黑" w:cs="微软雅黑"/>
          <w:b w:val="0"/>
          <w:bCs w:val="0"/>
          <w:sz w:val="21"/>
          <w:szCs w:val="21"/>
          <w:u w:val="none"/>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是</w:t>
      </w:r>
      <w:r>
        <w:rPr>
          <w:rFonts w:hint="eastAsia" w:ascii="微软雅黑" w:hAnsi="微软雅黑" w:eastAsia="微软雅黑" w:cs="微软雅黑"/>
          <w:iCs w:val="0"/>
          <w:szCs w:val="21"/>
          <w:lang w:eastAsia="zh-CN"/>
        </w:rPr>
        <w:t>，《环境标志产品政府采购品目清单》的底级品目名称：</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iCs/>
          <w:szCs w:val="21"/>
          <w:lang w:val="en-US" w:eastAsia="zh-CN"/>
        </w:rPr>
        <w:t xml:space="preserve"> </w:t>
      </w:r>
    </w:p>
    <w:p w14:paraId="6818A2E0">
      <w:pPr>
        <w:numPr>
          <w:ilvl w:val="0"/>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强制采购</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优先采购</w:t>
      </w:r>
      <w:r>
        <w:rPr>
          <w:rFonts w:hint="eastAsia" w:ascii="微软雅黑" w:hAnsi="微软雅黑" w:eastAsia="微软雅黑" w:cs="微软雅黑"/>
          <w:iCs/>
          <w:szCs w:val="21"/>
          <w:lang w:val="en-US" w:eastAsia="zh-CN"/>
        </w:rPr>
        <w:t xml:space="preserve">    </w:t>
      </w:r>
    </w:p>
    <w:p w14:paraId="699C7C32">
      <w:pPr>
        <w:numPr>
          <w:ilvl w:val="0"/>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否</w:t>
      </w:r>
    </w:p>
    <w:p w14:paraId="7885E450">
      <w:pPr>
        <w:pStyle w:val="31"/>
        <w:numPr>
          <w:ilvl w:val="0"/>
          <w:numId w:val="0"/>
        </w:numPr>
        <w:adjustRightInd w:val="0"/>
        <w:snapToGrid w:val="0"/>
        <w:spacing w:before="0" w:beforeLines="0" w:line="400" w:lineRule="exact"/>
        <w:ind w:firstLine="0" w:firstLineChars="0"/>
        <w:rPr>
          <w:rFonts w:hint="eastAsia" w:ascii="微软雅黑" w:hAnsi="微软雅黑" w:eastAsia="微软雅黑" w:cs="微软雅黑"/>
          <w:iCs w:val="0"/>
          <w:kern w:val="2"/>
          <w:sz w:val="21"/>
          <w:szCs w:val="21"/>
          <w:u w:val="none"/>
          <w:lang w:val="en-US" w:eastAsia="zh-CN"/>
        </w:rPr>
      </w:pPr>
      <w:r>
        <w:rPr>
          <w:rFonts w:hint="eastAsia" w:ascii="微软雅黑" w:hAnsi="微软雅黑" w:eastAsia="微软雅黑" w:cs="微软雅黑"/>
          <w:b w:val="0"/>
          <w:bCs w:val="0"/>
          <w:sz w:val="21"/>
          <w:szCs w:val="21"/>
          <w:u w:val="none"/>
          <w:lang w:val="en-US" w:eastAsia="zh-CN"/>
        </w:rPr>
        <w:t xml:space="preserve">          </w:t>
      </w:r>
      <w:r>
        <w:rPr>
          <w:rFonts w:hint="eastAsia" w:ascii="微软雅黑" w:hAnsi="微软雅黑" w:eastAsia="微软雅黑" w:cs="微软雅黑"/>
          <w:b w:val="0"/>
          <w:bCs w:val="0"/>
          <w:kern w:val="2"/>
          <w:sz w:val="21"/>
          <w:szCs w:val="21"/>
          <w:u w:val="none"/>
          <w:lang w:val="en-US" w:eastAsia="zh-CN"/>
        </w:rPr>
        <w:t>是否涉及绿色产品：</w:t>
      </w:r>
      <w:r>
        <w:rPr>
          <w:rFonts w:hint="eastAsia" w:ascii="微软雅黑" w:hAnsi="微软雅黑" w:eastAsia="微软雅黑" w:cs="微软雅黑"/>
          <w:iCs w:val="0"/>
          <w:kern w:val="2"/>
          <w:sz w:val="21"/>
          <w:szCs w:val="21"/>
          <w:u w:val="none"/>
          <w:lang w:val="en-US" w:eastAsia="zh-CN"/>
        </w:rPr>
        <w:t xml:space="preserve"> </w:t>
      </w:r>
    </w:p>
    <w:p w14:paraId="2E6BEF25">
      <w:pPr>
        <w:pStyle w:val="31"/>
        <w:spacing w:beforeLines="0"/>
        <w:ind w:firstLine="420" w:firstLineChars="0"/>
        <w:rPr>
          <w:rFonts w:hint="eastAsia" w:ascii="微软雅黑" w:hAnsi="微软雅黑" w:eastAsia="微软雅黑" w:cs="微软雅黑"/>
          <w:szCs w:val="21"/>
          <w:u w:val="single"/>
          <w:lang w:val="en-US" w:eastAsia="zh-CN"/>
        </w:rPr>
      </w:pPr>
      <w:r>
        <w:rPr>
          <w:rFonts w:hint="eastAsia" w:ascii="微软雅黑" w:hAnsi="微软雅黑" w:eastAsia="微软雅黑" w:cs="微软雅黑"/>
          <w:iCs w:val="0"/>
          <w:kern w:val="2"/>
          <w:sz w:val="21"/>
          <w:szCs w:val="21"/>
          <w:u w:val="none"/>
          <w:lang w:val="en-US" w:eastAsia="zh-CN"/>
        </w:rPr>
        <w:t xml:space="preserve">     </w:t>
      </w:r>
      <w:r>
        <w:rPr>
          <w:rFonts w:hint="eastAsia" w:ascii="微软雅黑" w:hAnsi="微软雅黑" w:eastAsia="微软雅黑" w:cs="微软雅黑"/>
          <w:iCs w:val="0"/>
          <w:kern w:val="2"/>
          <w:sz w:val="21"/>
          <w:szCs w:val="21"/>
          <w:u w:val="none"/>
        </w:rPr>
        <w:sym w:font="Wingdings" w:char="00A8"/>
      </w:r>
      <w:r>
        <w:rPr>
          <w:rFonts w:hint="eastAsia" w:ascii="微软雅黑" w:hAnsi="微软雅黑" w:eastAsia="微软雅黑" w:cs="微软雅黑"/>
          <w:iCs w:val="0"/>
          <w:kern w:val="2"/>
          <w:sz w:val="21"/>
          <w:szCs w:val="21"/>
          <w:u w:val="none"/>
        </w:rPr>
        <w:t>是</w:t>
      </w:r>
      <w:r>
        <w:rPr>
          <w:rFonts w:hint="eastAsia" w:ascii="微软雅黑" w:hAnsi="微软雅黑" w:eastAsia="微软雅黑" w:cs="微软雅黑"/>
          <w:iCs w:val="0"/>
          <w:kern w:val="2"/>
          <w:sz w:val="21"/>
          <w:szCs w:val="21"/>
          <w:u w:val="none"/>
          <w:lang w:eastAsia="zh-CN"/>
        </w:rPr>
        <w:t>，绿色产品政府采购相关政策确定的底级品目名称：</w:t>
      </w:r>
      <w:r>
        <w:rPr>
          <w:rFonts w:hint="eastAsia" w:ascii="微软雅黑" w:hAnsi="微软雅黑" w:eastAsia="微软雅黑" w:cs="微软雅黑"/>
          <w:szCs w:val="21"/>
          <w:u w:val="single"/>
          <w:lang w:val="en-US" w:eastAsia="zh-CN"/>
        </w:rPr>
        <w:t xml:space="preserve">         </w:t>
      </w:r>
    </w:p>
    <w:p w14:paraId="0C1DD9D0">
      <w:pPr>
        <w:numPr>
          <w:ilvl w:val="0"/>
          <w:numId w:val="0"/>
        </w:numPr>
        <w:tabs>
          <w:tab w:val="left" w:pos="740"/>
        </w:tabs>
        <w:adjustRightInd w:val="0"/>
        <w:snapToGrid w:val="0"/>
        <w:spacing w:before="0" w:beforeLines="0" w:line="400" w:lineRule="exact"/>
        <w:ind w:firstLine="0" w:firstLineChars="0"/>
        <w:rPr>
          <w:rFonts w:hint="eastAsia" w:ascii="微软雅黑" w:hAnsi="微软雅黑" w:eastAsia="微软雅黑" w:cs="微软雅黑"/>
          <w:iCs/>
          <w:szCs w:val="21"/>
          <w:lang w:val="en-US"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强制采购</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优先采购</w:t>
      </w:r>
      <w:r>
        <w:rPr>
          <w:rFonts w:hint="eastAsia" w:ascii="微软雅黑" w:hAnsi="微软雅黑" w:eastAsia="微软雅黑" w:cs="微软雅黑"/>
          <w:iCs/>
          <w:szCs w:val="21"/>
          <w:lang w:val="en-US" w:eastAsia="zh-CN"/>
        </w:rPr>
        <w:t xml:space="preserve">    </w:t>
      </w:r>
    </w:p>
    <w:p w14:paraId="5446FB1E">
      <w:pPr>
        <w:pStyle w:val="31"/>
        <w:spacing w:beforeLines="0"/>
        <w:ind w:firstLine="420" w:firstLineChars="0"/>
        <w:rPr>
          <w:rFonts w:hint="eastAsia" w:ascii="微软雅黑" w:hAnsi="微软雅黑" w:eastAsia="微软雅黑" w:cs="微软雅黑"/>
          <w:b w:val="0"/>
          <w:bCs w:val="0"/>
          <w:sz w:val="21"/>
          <w:szCs w:val="21"/>
          <w:u w:val="none"/>
          <w:lang w:val="en-US" w:eastAsia="zh-CN"/>
        </w:rPr>
      </w:pPr>
      <w:r>
        <w:rPr>
          <w:rFonts w:hint="eastAsia" w:ascii="微软雅黑" w:hAnsi="微软雅黑" w:eastAsia="微软雅黑" w:cs="微软雅黑"/>
          <w:iCs w:val="0"/>
          <w:kern w:val="2"/>
          <w:sz w:val="21"/>
          <w:szCs w:val="21"/>
          <w:u w:val="none"/>
          <w:lang w:val="en-US" w:eastAsia="zh-CN"/>
        </w:rPr>
        <w:t xml:space="preserve">     </w:t>
      </w:r>
      <w:r>
        <w:rPr>
          <w:rFonts w:hint="eastAsia" w:ascii="微软雅黑" w:hAnsi="微软雅黑" w:eastAsia="微软雅黑" w:cs="微软雅黑"/>
          <w:iCs w:val="0"/>
          <w:kern w:val="2"/>
          <w:sz w:val="21"/>
          <w:szCs w:val="21"/>
          <w:u w:val="none"/>
        </w:rPr>
        <w:sym w:font="Wingdings" w:char="00A8"/>
      </w:r>
      <w:r>
        <w:rPr>
          <w:rFonts w:hint="eastAsia" w:ascii="微软雅黑" w:hAnsi="微软雅黑" w:eastAsia="微软雅黑" w:cs="微软雅黑"/>
          <w:iCs w:val="0"/>
          <w:kern w:val="2"/>
          <w:sz w:val="21"/>
          <w:szCs w:val="21"/>
          <w:u w:val="none"/>
        </w:rPr>
        <w:t>否</w:t>
      </w:r>
    </w:p>
    <w:p w14:paraId="727B14E8">
      <w:pPr>
        <w:numPr>
          <w:ilvl w:val="0"/>
          <w:numId w:val="0"/>
        </w:numPr>
        <w:adjustRightInd w:val="0"/>
        <w:snapToGrid w:val="0"/>
        <w:spacing w:before="0" w:beforeLines="0" w:line="400" w:lineRule="exact"/>
        <w:ind w:firstLine="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（1</w:t>
      </w:r>
      <w:r>
        <w:rPr>
          <w:rFonts w:hint="eastAsia" w:ascii="微软雅黑" w:hAnsi="微软雅黑" w:eastAsia="微软雅黑" w:cs="微软雅黑"/>
          <w:szCs w:val="21"/>
          <w:lang w:val="en" w:eastAsia="zh-CN"/>
        </w:rPr>
        <w:t>1</w:t>
      </w:r>
      <w:r>
        <w:rPr>
          <w:rFonts w:hint="eastAsia" w:ascii="微软雅黑" w:hAnsi="微软雅黑" w:eastAsia="微软雅黑" w:cs="微软雅黑"/>
          <w:szCs w:val="21"/>
          <w:lang w:val="en-US" w:eastAsia="zh-CN"/>
        </w:rPr>
        <w:t>）涉及商品包装和快递包装的，是否参考</w:t>
      </w:r>
      <w:r>
        <w:rPr>
          <w:rFonts w:hint="eastAsia" w:ascii="微软雅黑" w:hAnsi="微软雅黑" w:eastAsia="微软雅黑" w:cs="微软雅黑"/>
          <w:szCs w:val="21"/>
        </w:rPr>
        <w:t>《商品包装政府采购需求标准（试行）》、《快递包装政府采购需求标准（试行）》</w:t>
      </w:r>
      <w:r>
        <w:rPr>
          <w:rFonts w:hint="eastAsia" w:ascii="微软雅黑" w:hAnsi="微软雅黑" w:eastAsia="微软雅黑" w:cs="微软雅黑"/>
          <w:szCs w:val="21"/>
          <w:lang w:eastAsia="zh-CN"/>
        </w:rPr>
        <w:t>明确产品及相关快递服务的具体包装要求：</w:t>
      </w:r>
    </w:p>
    <w:p w14:paraId="1E8466E1">
      <w:pPr>
        <w:numPr>
          <w:ilvl w:val="0"/>
          <w:numId w:val="0"/>
        </w:numPr>
        <w:adjustRightInd w:val="0"/>
        <w:snapToGrid w:val="0"/>
        <w:spacing w:before="0" w:beforeLines="0" w:line="400" w:lineRule="exact"/>
        <w:ind w:firstLine="840" w:firstLineChars="400"/>
        <w:rPr>
          <w:rFonts w:hint="eastAsia" w:ascii="微软雅黑" w:hAnsi="微软雅黑" w:eastAsia="微软雅黑" w:cs="微软雅黑"/>
          <w:iCs w:val="0"/>
          <w:szCs w:val="21"/>
          <w:lang w:val="en-US" w:eastAsia="zh-CN"/>
        </w:rPr>
      </w:pP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 xml:space="preserve">是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rPr>
        <w:t>否</w:t>
      </w:r>
      <w:r>
        <w:rPr>
          <w:rFonts w:hint="eastAsia" w:ascii="微软雅黑" w:hAnsi="微软雅黑" w:eastAsia="微软雅黑" w:cs="微软雅黑"/>
          <w:iCs w:val="0"/>
          <w:szCs w:val="21"/>
          <w:lang w:val="en-US" w:eastAsia="zh-CN"/>
        </w:rPr>
        <w:t xml:space="preserve">      </w:t>
      </w:r>
      <w:r>
        <w:rPr>
          <w:rFonts w:hint="eastAsia" w:ascii="微软雅黑" w:hAnsi="微软雅黑" w:eastAsia="微软雅黑" w:cs="微软雅黑"/>
          <w:iCs w:val="0"/>
          <w:szCs w:val="21"/>
        </w:rPr>
        <w:sym w:font="Wingdings" w:char="00A8"/>
      </w:r>
      <w:r>
        <w:rPr>
          <w:rFonts w:hint="eastAsia" w:ascii="微软雅黑" w:hAnsi="微软雅黑" w:eastAsia="微软雅黑" w:cs="微软雅黑"/>
          <w:iCs w:val="0"/>
          <w:szCs w:val="21"/>
          <w:lang w:eastAsia="zh-CN"/>
        </w:rPr>
        <w:t>不涉及</w:t>
      </w:r>
    </w:p>
    <w:p w14:paraId="0B92DF68">
      <w:pPr>
        <w:numPr>
          <w:ilvl w:val="0"/>
          <w:numId w:val="1"/>
        </w:numPr>
        <w:adjustRightInd w:val="0"/>
        <w:snapToGrid w:val="0"/>
        <w:spacing w:before="0" w:beforeLines="0" w:line="400" w:lineRule="exact"/>
        <w:ind w:firstLine="420" w:firstLineChars="200"/>
        <w:rPr>
          <w:rFonts w:hint="eastAsia" w:ascii="微软雅黑" w:hAnsi="微软雅黑" w:eastAsia="微软雅黑" w:cs="微软雅黑"/>
          <w:b/>
          <w:szCs w:val="21"/>
          <w:highlight w:val="none"/>
        </w:rPr>
      </w:pPr>
      <w:r>
        <w:rPr>
          <w:rFonts w:hint="eastAsia" w:ascii="微软雅黑" w:hAnsi="微软雅黑" w:eastAsia="微软雅黑" w:cs="微软雅黑"/>
          <w:b/>
          <w:szCs w:val="21"/>
          <w:highlight w:val="none"/>
        </w:rPr>
        <w:t>合同金额</w:t>
      </w:r>
    </w:p>
    <w:p w14:paraId="29C9D7A8">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（1）合同金额小写：</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28752390">
      <w:pPr>
        <w:adjustRightInd w:val="0"/>
        <w:snapToGrid w:val="0"/>
        <w:spacing w:before="0" w:beforeLines="0" w:line="400" w:lineRule="exact"/>
        <w:ind w:left="0" w:firstLine="0" w:firstLineChars="0"/>
        <w:rPr>
          <w:rFonts w:hint="eastAsia" w:ascii="微软雅黑" w:hAnsi="微软雅黑" w:eastAsia="微软雅黑" w:cs="微软雅黑"/>
          <w:szCs w:val="21"/>
          <w:u w:val="single"/>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大写：</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3BCD420B">
      <w:pPr>
        <w:adjustRightInd w:val="0"/>
        <w:snapToGrid w:val="0"/>
        <w:spacing w:before="0" w:beforeLines="0" w:line="400" w:lineRule="exact"/>
        <w:ind w:firstLine="0" w:firstLineChars="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分包金额</w:t>
      </w:r>
      <w:r>
        <w:rPr>
          <w:rFonts w:hint="eastAsia" w:ascii="微软雅黑" w:hAnsi="微软雅黑" w:eastAsia="微软雅黑" w:cs="微软雅黑"/>
          <w:szCs w:val="21"/>
          <w:lang w:eastAsia="zh-CN"/>
        </w:rPr>
        <w:t>（如有）</w:t>
      </w:r>
      <w:r>
        <w:rPr>
          <w:rFonts w:hint="eastAsia" w:ascii="微软雅黑" w:hAnsi="微软雅黑" w:eastAsia="微软雅黑" w:cs="微软雅黑"/>
          <w:szCs w:val="21"/>
        </w:rPr>
        <w:t>小写：</w:t>
      </w:r>
      <w:r>
        <w:rPr>
          <w:rFonts w:hint="eastAsia" w:ascii="微软雅黑" w:hAnsi="微软雅黑" w:eastAsia="微软雅黑" w:cs="微软雅黑"/>
          <w:szCs w:val="21"/>
          <w:u w:val="single"/>
        </w:rPr>
        <w:t xml:space="preserve">                   </w:t>
      </w:r>
    </w:p>
    <w:p w14:paraId="626E7C61">
      <w:pPr>
        <w:adjustRightInd w:val="0"/>
        <w:snapToGrid w:val="0"/>
        <w:spacing w:before="0" w:beforeLines="0" w:line="400" w:lineRule="exact"/>
        <w:ind w:firstLine="0" w:firstLineChars="0"/>
        <w:rPr>
          <w:rFonts w:hint="eastAsia" w:ascii="微软雅黑" w:hAnsi="微软雅黑" w:eastAsia="微软雅黑" w:cs="微软雅黑"/>
          <w:szCs w:val="21"/>
          <w:u w:val="single"/>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大写：</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p>
    <w:p w14:paraId="03599A32">
      <w:pPr>
        <w:adjustRightInd w:val="0"/>
        <w:snapToGrid w:val="0"/>
        <w:spacing w:before="0" w:beforeLines="0" w:line="400" w:lineRule="exact"/>
        <w:ind w:firstLine="0" w:firstLineChars="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（注：固定单价合同应填写单价和最高限价）</w:t>
      </w:r>
    </w:p>
    <w:p w14:paraId="4EA45360">
      <w:pPr>
        <w:numPr>
          <w:ilvl w:val="0"/>
          <w:numId w:val="0"/>
        </w:numPr>
        <w:adjustRightInd w:val="0"/>
        <w:snapToGrid w:val="0"/>
        <w:spacing w:before="0" w:beforeLines="0" w:line="400" w:lineRule="exact"/>
        <w:ind w:firstLine="0" w:firstLineChars="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合同定价方式</w:t>
      </w:r>
      <w:r>
        <w:rPr>
          <w:rFonts w:hint="eastAsia" w:ascii="微软雅黑" w:hAnsi="微软雅黑" w:eastAsia="微软雅黑" w:cs="微软雅黑"/>
          <w:szCs w:val="21"/>
          <w:lang w:eastAsia="zh-CN"/>
        </w:rPr>
        <w:t>（采用组合定价方式的，可以勾选多项）</w:t>
      </w:r>
      <w:r>
        <w:rPr>
          <w:rFonts w:hint="eastAsia" w:ascii="微软雅黑" w:hAnsi="微软雅黑" w:eastAsia="微软雅黑" w:cs="微软雅黑"/>
          <w:szCs w:val="21"/>
        </w:rPr>
        <w:t>：</w:t>
      </w:r>
    </w:p>
    <w:p w14:paraId="1AE29F65">
      <w:pPr>
        <w:adjustRightInd w:val="0"/>
        <w:snapToGrid w:val="0"/>
        <w:spacing w:before="0" w:beforeLines="0" w:line="400" w:lineRule="exact"/>
        <w:ind w:firstLine="420" w:firstLineChars="200"/>
        <w:rPr>
          <w:rFonts w:hint="eastAsia" w:ascii="微软雅黑" w:hAnsi="微软雅黑" w:eastAsia="微软雅黑" w:cs="微软雅黑"/>
          <w:szCs w:val="21"/>
          <w:lang w:eastAsia="zh-CN"/>
        </w:rPr>
      </w:pP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固定总价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固定单价</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固定费率</w:t>
      </w:r>
      <w:r>
        <w:rPr>
          <w:rFonts w:hint="eastAsia" w:ascii="微软雅黑" w:hAnsi="微软雅黑" w:eastAsia="微软雅黑" w:cs="微软雅黑"/>
          <w:iCs/>
          <w:szCs w:val="21"/>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 xml:space="preserve">成本补偿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rPr>
        <w:t>绩效激励</w:t>
      </w:r>
      <w:r>
        <w:rPr>
          <w:rFonts w:hint="eastAsia" w:ascii="微软雅黑" w:hAnsi="微软雅黑" w:eastAsia="微软雅黑" w:cs="微软雅黑"/>
          <w:iCs/>
          <w:szCs w:val="21"/>
          <w:lang w:val="en-US" w:eastAsia="zh-CN"/>
        </w:rPr>
        <w:t xml:space="preserve"> </w:t>
      </w:r>
      <w:r>
        <w:rPr>
          <w:rFonts w:hint="eastAsia" w:ascii="微软雅黑" w:hAnsi="微软雅黑" w:eastAsia="微软雅黑" w:cs="微软雅黑"/>
          <w:iCs/>
          <w:szCs w:val="21"/>
        </w:rPr>
        <w:sym w:font="Wingdings" w:char="00A8"/>
      </w:r>
      <w:r>
        <w:rPr>
          <w:rFonts w:hint="eastAsia" w:ascii="微软雅黑" w:hAnsi="微软雅黑" w:eastAsia="微软雅黑" w:cs="微软雅黑"/>
          <w:iCs/>
          <w:szCs w:val="21"/>
          <w:lang w:eastAsia="zh-CN"/>
        </w:rPr>
        <w:t>其他</w:t>
      </w:r>
      <w:r>
        <w:rPr>
          <w:rFonts w:hint="eastAsia" w:ascii="微软雅黑" w:hAnsi="微软雅黑" w:eastAsia="微软雅黑" w:cs="微软雅黑"/>
          <w:szCs w:val="21"/>
          <w:u w:val="single"/>
        </w:rPr>
        <w:t xml:space="preserve">       </w:t>
      </w:r>
    </w:p>
    <w:p w14:paraId="60FB850F">
      <w:pPr>
        <w:pStyle w:val="27"/>
        <w:spacing w:beforeLines="0" w:line="400" w:lineRule="exact"/>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lang w:val="en-US" w:eastAsia="zh-CN"/>
        </w:rPr>
        <w:t>3</w:t>
      </w:r>
      <w:r>
        <w:rPr>
          <w:rFonts w:hint="eastAsia" w:ascii="微软雅黑" w:hAnsi="微软雅黑" w:eastAsia="微软雅黑" w:cs="微软雅黑"/>
        </w:rPr>
        <w:t>）付款方式（按项目实际勾选填写）：</w:t>
      </w:r>
    </w:p>
    <w:p w14:paraId="6B11BC38">
      <w:pPr>
        <w:adjustRightInd w:val="0"/>
        <w:snapToGrid w:val="0"/>
        <w:spacing w:before="0" w:beforeLines="0" w:line="400" w:lineRule="exact"/>
        <w:ind w:firstLine="630" w:firstLineChars="300"/>
        <w:rPr>
          <w:rFonts w:hint="eastAsia" w:ascii="微软雅黑" w:hAnsi="微软雅黑" w:eastAsia="微软雅黑" w:cs="微软雅黑"/>
          <w:szCs w:val="21"/>
          <w:u w:val="single"/>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全额付款：</w:t>
      </w:r>
      <w:r>
        <w:rPr>
          <w:rFonts w:hint="eastAsia" w:ascii="微软雅黑" w:hAnsi="微软雅黑" w:eastAsia="微软雅黑" w:cs="微软雅黑"/>
          <w:szCs w:val="21"/>
          <w:u w:val="single"/>
        </w:rPr>
        <w:t xml:space="preserve">     （应</w:t>
      </w:r>
      <w:r>
        <w:rPr>
          <w:rFonts w:hint="eastAsia" w:ascii="微软雅黑" w:hAnsi="微软雅黑" w:eastAsia="微软雅黑" w:cs="微软雅黑"/>
          <w:szCs w:val="21"/>
          <w:u w:val="single"/>
          <w:lang w:eastAsia="zh-CN"/>
        </w:rPr>
        <w:t>明确</w:t>
      </w:r>
      <w:r>
        <w:rPr>
          <w:rFonts w:hint="eastAsia" w:ascii="微软雅黑" w:hAnsi="微软雅黑" w:eastAsia="微软雅黑" w:cs="微软雅黑"/>
          <w:szCs w:val="21"/>
          <w:u w:val="single"/>
        </w:rPr>
        <w:t>一次性支付合同款项</w:t>
      </w:r>
      <w:r>
        <w:rPr>
          <w:rFonts w:hint="eastAsia" w:ascii="微软雅黑" w:hAnsi="微软雅黑" w:eastAsia="微软雅黑" w:cs="微软雅黑"/>
          <w:szCs w:val="21"/>
          <w:u w:val="single"/>
          <w:lang w:eastAsia="zh-CN"/>
        </w:rPr>
        <w:t>的条件</w:t>
      </w:r>
      <w:r>
        <w:rPr>
          <w:rFonts w:hint="eastAsia" w:ascii="微软雅黑" w:hAnsi="微软雅黑" w:eastAsia="微软雅黑" w:cs="微软雅黑"/>
          <w:szCs w:val="21"/>
          <w:u w:val="single"/>
        </w:rPr>
        <w:t xml:space="preserve">）                    </w:t>
      </w:r>
    </w:p>
    <w:p w14:paraId="5AD08018">
      <w:pPr>
        <w:snapToGrid w:val="0"/>
        <w:spacing w:beforeLines="0" w:line="400" w:lineRule="exact"/>
        <w:ind w:firstLine="630" w:firstLineChars="300"/>
        <w:rPr>
          <w:rFonts w:hint="eastAsia" w:ascii="微软雅黑" w:hAnsi="微软雅黑" w:eastAsia="微软雅黑" w:cs="微软雅黑"/>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分期付款：</w:t>
      </w:r>
      <w:r>
        <w:rPr>
          <w:rFonts w:hint="eastAsia" w:ascii="微软雅黑" w:hAnsi="微软雅黑" w:eastAsia="微软雅黑" w:cs="微软雅黑"/>
          <w:szCs w:val="21"/>
          <w:u w:val="single"/>
        </w:rPr>
        <w:t xml:space="preserve">  （应明确分期支付合同款项的各期比例和支付条件</w:t>
      </w:r>
      <w:r>
        <w:rPr>
          <w:rFonts w:hint="eastAsia" w:ascii="微软雅黑" w:hAnsi="微软雅黑" w:eastAsia="微软雅黑" w:cs="微软雅黑"/>
          <w:szCs w:val="21"/>
          <w:u w:val="single"/>
          <w:lang w:eastAsia="zh-CN"/>
        </w:rPr>
        <w:t>，各期支付条件应与分期履约验收情况挂钩</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none"/>
          <w:lang w:eastAsia="zh-CN"/>
        </w:rPr>
        <w:t>，</w:t>
      </w:r>
      <w:r>
        <w:rPr>
          <w:rFonts w:hint="eastAsia" w:ascii="微软雅黑" w:hAnsi="微软雅黑" w:eastAsia="微软雅黑" w:cs="微软雅黑"/>
          <w:szCs w:val="21"/>
          <w:lang w:eastAsia="zh-CN"/>
        </w:rPr>
        <w:t>其中涉及预付款的</w:t>
      </w:r>
      <w:r>
        <w:rPr>
          <w:rFonts w:hint="eastAsia" w:ascii="微软雅黑" w:hAnsi="微软雅黑" w:eastAsia="微软雅黑" w:cs="微软雅黑"/>
          <w:szCs w:val="21"/>
        </w:rPr>
        <w:t>：</w:t>
      </w:r>
      <w:r>
        <w:rPr>
          <w:rFonts w:hint="eastAsia" w:ascii="微软雅黑" w:hAnsi="微软雅黑" w:eastAsia="微软雅黑" w:cs="微软雅黑"/>
          <w:szCs w:val="21"/>
          <w:u w:val="single"/>
        </w:rPr>
        <w:t xml:space="preserve"> （应明确预付款的支付比例和支付条件） </w:t>
      </w:r>
    </w:p>
    <w:p w14:paraId="34C904D6">
      <w:pPr>
        <w:adjustRightInd w:val="0"/>
        <w:snapToGrid w:val="0"/>
        <w:spacing w:before="0" w:beforeLines="0" w:line="400" w:lineRule="exact"/>
        <w:ind w:firstLine="630" w:firstLineChars="300"/>
        <w:rPr>
          <w:rFonts w:hint="eastAsia" w:ascii="微软雅黑" w:hAnsi="微软雅黑" w:eastAsia="微软雅黑" w:cs="微软雅黑"/>
          <w:szCs w:val="21"/>
          <w:u w:val="single"/>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成本补偿：</w:t>
      </w:r>
      <w:r>
        <w:rPr>
          <w:rFonts w:hint="eastAsia" w:ascii="微软雅黑" w:hAnsi="微软雅黑" w:eastAsia="微软雅黑" w:cs="微软雅黑"/>
          <w:szCs w:val="21"/>
          <w:u w:val="single"/>
        </w:rPr>
        <w:t xml:space="preserve">      （应明确按照成本补偿方式的支付方式和支付条件）   </w:t>
      </w:r>
    </w:p>
    <w:p w14:paraId="757E4751">
      <w:pPr>
        <w:adjustRightInd w:val="0"/>
        <w:snapToGrid w:val="0"/>
        <w:spacing w:before="0" w:beforeLines="0" w:line="400" w:lineRule="exact"/>
        <w:ind w:firstLine="630" w:firstLineChars="300"/>
        <w:rPr>
          <w:rFonts w:hint="eastAsia" w:ascii="微软雅黑" w:hAnsi="微软雅黑" w:eastAsia="微软雅黑" w:cs="微软雅黑"/>
          <w:szCs w:val="21"/>
        </w:rPr>
      </w:pPr>
      <w:r>
        <w:rPr>
          <w:rFonts w:hint="eastAsia" w:ascii="微软雅黑" w:hAnsi="微软雅黑" w:eastAsia="微软雅黑" w:cs="微软雅黑"/>
          <w:szCs w:val="21"/>
        </w:rPr>
        <w:sym w:font="Wingdings" w:char="00A8"/>
      </w:r>
      <w:r>
        <w:rPr>
          <w:rFonts w:hint="eastAsia" w:ascii="微软雅黑" w:hAnsi="微软雅黑" w:eastAsia="微软雅黑" w:cs="微软雅黑"/>
          <w:szCs w:val="21"/>
        </w:rPr>
        <w:t>绩效激励：</w:t>
      </w:r>
      <w:r>
        <w:rPr>
          <w:rFonts w:hint="eastAsia" w:ascii="微软雅黑" w:hAnsi="微软雅黑" w:eastAsia="微软雅黑" w:cs="微软雅黑"/>
          <w:szCs w:val="21"/>
          <w:u w:val="single"/>
        </w:rPr>
        <w:t xml:space="preserve">      （应明确按照绩效激励方式的支付方式和支付条件）   </w:t>
      </w:r>
    </w:p>
    <w:p w14:paraId="5F4E16CD">
      <w:pPr>
        <w:numPr>
          <w:ilvl w:val="0"/>
          <w:numId w:val="1"/>
        </w:numPr>
        <w:adjustRightInd w:val="0"/>
        <w:snapToGrid w:val="0"/>
        <w:spacing w:before="0" w:beforeLines="0" w:line="400" w:lineRule="exact"/>
        <w:ind w:firstLine="420" w:firstLineChars="200"/>
        <w:rPr>
          <w:rFonts w:hint="eastAsia" w:ascii="微软雅黑" w:hAnsi="微软雅黑" w:eastAsia="微软雅黑" w:cs="微软雅黑"/>
          <w:b/>
          <w:bCs w:val="0"/>
          <w:szCs w:val="21"/>
          <w:u w:val="single"/>
        </w:rPr>
      </w:pPr>
      <w:r>
        <w:rPr>
          <w:rFonts w:hint="eastAsia" w:ascii="微软雅黑" w:hAnsi="微软雅黑" w:eastAsia="微软雅黑" w:cs="微软雅黑"/>
          <w:b/>
          <w:bCs w:val="0"/>
          <w:szCs w:val="21"/>
        </w:rPr>
        <w:t>合同履行</w:t>
      </w:r>
    </w:p>
    <w:p w14:paraId="0D5E1EB5">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（1）起始日期：</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月</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日，完成日期：</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月</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日。</w:t>
      </w:r>
    </w:p>
    <w:p w14:paraId="189426D3">
      <w:pPr>
        <w:adjustRightInd w:val="0"/>
        <w:snapToGrid w:val="0"/>
        <w:spacing w:before="0" w:beforeLines="0" w:line="400" w:lineRule="exact"/>
        <w:ind w:firstLine="420" w:firstLineChars="200"/>
        <w:rPr>
          <w:rFonts w:hint="eastAsia" w:ascii="微软雅黑" w:hAnsi="微软雅黑" w:eastAsia="微软雅黑" w:cs="微软雅黑"/>
          <w:szCs w:val="21"/>
          <w:u w:val="single"/>
        </w:rPr>
      </w:pPr>
      <w:r>
        <w:rPr>
          <w:rFonts w:hint="eastAsia" w:ascii="微软雅黑" w:hAnsi="微软雅黑" w:eastAsia="微软雅黑" w:cs="微软雅黑"/>
          <w:szCs w:val="21"/>
        </w:rPr>
        <w:t>（2）</w:t>
      </w:r>
      <w:r>
        <w:rPr>
          <w:rFonts w:hint="eastAsia" w:ascii="微软雅黑" w:hAnsi="微软雅黑" w:eastAsia="微软雅黑" w:cs="微软雅黑"/>
          <w:szCs w:val="21"/>
          <w:lang w:eastAsia="zh-CN"/>
        </w:rPr>
        <w:t>履约</w:t>
      </w:r>
      <w:r>
        <w:rPr>
          <w:rFonts w:hint="eastAsia" w:ascii="微软雅黑" w:hAnsi="微软雅黑" w:eastAsia="微软雅黑" w:cs="微软雅黑"/>
          <w:szCs w:val="21"/>
        </w:rPr>
        <w:t>地点</w:t>
      </w:r>
      <w:r>
        <w:rPr>
          <w:rFonts w:hint="eastAsia" w:ascii="微软雅黑" w:hAnsi="微软雅黑" w:eastAsia="微软雅黑" w:cs="微软雅黑"/>
          <w:b w:val="0"/>
          <w:bCs/>
          <w:szCs w:val="21"/>
        </w:rPr>
        <w:t>：</w:t>
      </w:r>
      <w:r>
        <w:rPr>
          <w:rFonts w:hint="eastAsia" w:ascii="微软雅黑" w:hAnsi="微软雅黑" w:eastAsia="微软雅黑" w:cs="微软雅黑"/>
          <w:szCs w:val="21"/>
          <w:u w:val="single"/>
        </w:rPr>
        <w:t xml:space="preserve">                             </w:t>
      </w:r>
    </w:p>
    <w:p w14:paraId="5EB4F065">
      <w:pPr>
        <w:adjustRightInd w:val="0"/>
        <w:snapToGrid w:val="0"/>
        <w:spacing w:before="0" w:beforeLines="0" w:line="400" w:lineRule="exact"/>
        <w:ind w:firstLine="420" w:firstLineChars="200"/>
        <w:rPr>
          <w:rFonts w:hint="eastAsia" w:ascii="微软雅黑" w:hAnsi="微软雅黑" w:eastAsia="微软雅黑" w:cs="微软雅黑"/>
          <w:sz w:val="21"/>
          <w:szCs w:val="21"/>
          <w:lang w:eastAsia="zh-CN"/>
        </w:rPr>
      </w:pPr>
      <w:r>
        <w:rPr>
          <w:rFonts w:hint="eastAsia" w:ascii="微软雅黑" w:hAnsi="微软雅黑" w:eastAsia="微软雅黑" w:cs="微软雅黑"/>
          <w:bCs/>
          <w:szCs w:val="21"/>
        </w:rPr>
        <w:t>（3）履约担保：</w:t>
      </w:r>
      <w:r>
        <w:rPr>
          <w:rFonts w:hint="eastAsia" w:ascii="微软雅黑" w:hAnsi="微软雅黑" w:eastAsia="微软雅黑" w:cs="微软雅黑"/>
          <w:sz w:val="21"/>
          <w:lang w:val="en-US" w:eastAsia="zh-CN"/>
        </w:rPr>
        <w:t>是否收取履约保证金：</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sz w:val="21"/>
          <w:szCs w:val="21"/>
          <w:lang w:eastAsia="zh-CN"/>
        </w:rPr>
        <w:t>是</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sz w:val="21"/>
          <w:szCs w:val="21"/>
          <w:lang w:eastAsia="zh-CN"/>
        </w:rPr>
        <w:t>否</w:t>
      </w:r>
    </w:p>
    <w:p w14:paraId="30A20B00">
      <w:pPr>
        <w:pStyle w:val="31"/>
        <w:spacing w:beforeLines="0"/>
        <w:rPr>
          <w:rFonts w:hint="eastAsia" w:ascii="微软雅黑" w:hAnsi="微软雅黑" w:eastAsia="微软雅黑" w:cs="微软雅黑"/>
          <w:sz w:val="21"/>
          <w:lang w:val="en-US" w:eastAsia="zh-CN"/>
        </w:rPr>
      </w:pPr>
      <w:r>
        <w:rPr>
          <w:rFonts w:hint="eastAsia" w:ascii="微软雅黑" w:hAnsi="微软雅黑" w:eastAsia="微软雅黑" w:cs="微软雅黑"/>
          <w:bCs/>
          <w:szCs w:val="21"/>
          <w:u w:val="none"/>
          <w:lang w:val="en-US" w:eastAsia="zh-CN"/>
        </w:rPr>
        <w:t xml:space="preserve">  </w:t>
      </w:r>
      <w:r>
        <w:rPr>
          <w:rFonts w:hint="eastAsia" w:ascii="微软雅黑" w:hAnsi="微软雅黑" w:eastAsia="微软雅黑" w:cs="微软雅黑"/>
          <w:sz w:val="21"/>
          <w:lang w:val="en-US" w:eastAsia="zh-CN"/>
        </w:rPr>
        <w:t xml:space="preserve">  收取履约保证金形式：</w:t>
      </w:r>
      <w:r>
        <w:rPr>
          <w:rFonts w:hint="eastAsia" w:ascii="微软雅黑" w:hAnsi="微软雅黑" w:eastAsia="微软雅黑" w:cs="微软雅黑"/>
          <w:bCs/>
          <w:sz w:val="21"/>
          <w:szCs w:val="21"/>
          <w:u w:val="single"/>
        </w:rPr>
        <w:t xml:space="preserve">                            </w:t>
      </w:r>
    </w:p>
    <w:p w14:paraId="0FF6F846">
      <w:pPr>
        <w:pStyle w:val="31"/>
        <w:spacing w:beforeLines="0"/>
        <w:rPr>
          <w:rFonts w:hint="eastAsia" w:ascii="微软雅黑" w:hAnsi="微软雅黑" w:eastAsia="微软雅黑" w:cs="微软雅黑"/>
          <w:sz w:val="21"/>
          <w:lang w:val="en-US" w:eastAsia="zh-CN"/>
        </w:rPr>
      </w:pPr>
      <w:r>
        <w:rPr>
          <w:rFonts w:hint="eastAsia" w:ascii="微软雅黑" w:hAnsi="微软雅黑" w:eastAsia="微软雅黑" w:cs="微软雅黑"/>
          <w:sz w:val="21"/>
          <w:lang w:val="en-US" w:eastAsia="zh-CN"/>
        </w:rPr>
        <w:t xml:space="preserve">    收取履约保证金金额：</w:t>
      </w:r>
      <w:r>
        <w:rPr>
          <w:rFonts w:hint="eastAsia" w:ascii="微软雅黑" w:hAnsi="微软雅黑" w:eastAsia="微软雅黑" w:cs="微软雅黑"/>
          <w:bCs/>
          <w:sz w:val="21"/>
          <w:szCs w:val="21"/>
          <w:u w:val="single"/>
        </w:rPr>
        <w:t xml:space="preserve">                            </w:t>
      </w:r>
    </w:p>
    <w:p w14:paraId="5583E437">
      <w:pPr>
        <w:snapToGrid w:val="0"/>
        <w:spacing w:beforeLines="0" w:line="400" w:lineRule="exact"/>
        <w:ind w:firstLine="420" w:firstLineChars="200"/>
        <w:rPr>
          <w:rFonts w:hint="eastAsia" w:ascii="微软雅黑" w:hAnsi="微软雅黑" w:eastAsia="微软雅黑" w:cs="微软雅黑"/>
          <w:sz w:val="21"/>
          <w:lang w:val="en-US" w:eastAsia="zh-CN"/>
        </w:rPr>
      </w:pPr>
      <w:r>
        <w:rPr>
          <w:rFonts w:hint="eastAsia" w:ascii="微软雅黑" w:hAnsi="微软雅黑" w:eastAsia="微软雅黑" w:cs="微软雅黑"/>
          <w:bCs/>
          <w:szCs w:val="21"/>
          <w:u w:val="none"/>
          <w:lang w:val="en-US" w:eastAsia="zh-CN"/>
        </w:rPr>
        <w:t xml:space="preserve">    履约担保期限</w:t>
      </w:r>
      <w:r>
        <w:rPr>
          <w:rFonts w:hint="eastAsia" w:ascii="微软雅黑" w:hAnsi="微软雅黑" w:eastAsia="微软雅黑" w:cs="微软雅黑"/>
          <w:bCs/>
          <w:szCs w:val="21"/>
          <w:u w:val="none"/>
          <w:lang w:eastAsia="zh-CN"/>
        </w:rPr>
        <w:t>：</w:t>
      </w:r>
      <w:r>
        <w:rPr>
          <w:rFonts w:hint="eastAsia" w:ascii="微软雅黑" w:hAnsi="微软雅黑" w:eastAsia="微软雅黑" w:cs="微软雅黑"/>
          <w:bCs/>
          <w:sz w:val="21"/>
          <w:szCs w:val="21"/>
          <w:u w:val="single"/>
        </w:rPr>
        <w:t xml:space="preserve">      </w:t>
      </w:r>
      <w:r>
        <w:rPr>
          <w:rFonts w:hint="eastAsia" w:ascii="微软雅黑" w:hAnsi="微软雅黑" w:eastAsia="微软雅黑" w:cs="微软雅黑"/>
          <w:bCs/>
          <w:sz w:val="21"/>
          <w:szCs w:val="21"/>
          <w:u w:val="single"/>
          <w:lang w:val="en-US" w:eastAsia="zh-CN"/>
        </w:rPr>
        <w:t xml:space="preserve">                     </w:t>
      </w:r>
      <w:r>
        <w:rPr>
          <w:rFonts w:hint="eastAsia" w:ascii="微软雅黑" w:hAnsi="微软雅黑" w:eastAsia="微软雅黑" w:cs="微软雅黑"/>
          <w:bCs/>
          <w:sz w:val="21"/>
          <w:szCs w:val="21"/>
          <w:u w:val="single"/>
        </w:rPr>
        <w:t xml:space="preserve">       </w:t>
      </w:r>
    </w:p>
    <w:p w14:paraId="3F2516FE">
      <w:p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（4）分期履行要求：</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u w:val="single"/>
        </w:rPr>
        <w:t xml:space="preserve"> </w:t>
      </w:r>
    </w:p>
    <w:p w14:paraId="3885CC61">
      <w:pPr>
        <w:adjustRightInd w:val="0"/>
        <w:snapToGrid w:val="0"/>
        <w:spacing w:before="0" w:beforeLines="0" w:line="400" w:lineRule="exact"/>
        <w:ind w:firstLine="420" w:firstLineChars="200"/>
        <w:rPr>
          <w:rFonts w:hint="eastAsia" w:ascii="微软雅黑" w:hAnsi="微软雅黑" w:eastAsia="微软雅黑" w:cs="微软雅黑"/>
          <w:szCs w:val="21"/>
          <w:u w:val="single"/>
        </w:rPr>
      </w:pPr>
      <w:r>
        <w:rPr>
          <w:rFonts w:hint="eastAsia" w:ascii="微软雅黑" w:hAnsi="微软雅黑" w:eastAsia="微软雅黑" w:cs="微软雅黑"/>
          <w:bCs/>
          <w:szCs w:val="21"/>
        </w:rPr>
        <w:t>（5）</w:t>
      </w:r>
      <w:r>
        <w:rPr>
          <w:rFonts w:hint="eastAsia" w:ascii="微软雅黑" w:hAnsi="微软雅黑" w:eastAsia="微软雅黑" w:cs="微软雅黑"/>
          <w:bCs/>
          <w:szCs w:val="21"/>
          <w:lang w:eastAsia="zh-CN"/>
        </w:rPr>
        <w:t>风险处置措施和替代方案</w:t>
      </w:r>
      <w:r>
        <w:rPr>
          <w:rFonts w:hint="eastAsia" w:ascii="微软雅黑" w:hAnsi="微软雅黑" w:eastAsia="微软雅黑" w:cs="微软雅黑"/>
          <w:bCs/>
          <w:szCs w:val="21"/>
        </w:rPr>
        <w:t>：</w:t>
      </w:r>
      <w:r>
        <w:rPr>
          <w:rFonts w:hint="eastAsia" w:ascii="微软雅黑" w:hAnsi="微软雅黑" w:eastAsia="微软雅黑" w:cs="微软雅黑"/>
          <w:color w:val="0000FF"/>
          <w:szCs w:val="21"/>
          <w:u w:val="single"/>
        </w:rPr>
        <w:t xml:space="preserve"> </w:t>
      </w:r>
      <w:r>
        <w:rPr>
          <w:rFonts w:hint="eastAsia" w:ascii="微软雅黑" w:hAnsi="微软雅黑" w:eastAsia="微软雅黑" w:cs="微软雅黑"/>
          <w:color w:val="000000"/>
          <w:szCs w:val="21"/>
          <w:u w:val="single"/>
        </w:rPr>
        <w:t xml:space="preserve">              </w:t>
      </w:r>
      <w:r>
        <w:rPr>
          <w:rFonts w:hint="eastAsia" w:ascii="微软雅黑" w:hAnsi="微软雅黑" w:eastAsia="微软雅黑" w:cs="微软雅黑"/>
          <w:szCs w:val="21"/>
          <w:u w:val="single"/>
        </w:rPr>
        <w:t xml:space="preserve">                                                </w:t>
      </w:r>
    </w:p>
    <w:p w14:paraId="35467850">
      <w:pPr>
        <w:numPr>
          <w:ilvl w:val="0"/>
          <w:numId w:val="1"/>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合同验收</w:t>
      </w:r>
    </w:p>
    <w:p w14:paraId="0ECF0D87">
      <w:pPr>
        <w:numPr>
          <w:ilvl w:val="0"/>
          <w:numId w:val="3"/>
        </w:num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验收组织方式：</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自行组织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委托第三方组织</w:t>
      </w:r>
    </w:p>
    <w:p w14:paraId="4AC1C030">
      <w:pPr>
        <w:numPr>
          <w:ilvl w:val="0"/>
          <w:numId w:val="0"/>
        </w:numPr>
        <w:adjustRightInd w:val="0"/>
        <w:snapToGrid w:val="0"/>
        <w:spacing w:before="0" w:beforeLines="0" w:line="400" w:lineRule="exact"/>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bCs/>
          <w:szCs w:val="21"/>
        </w:rPr>
        <w:t>验收主体：</w:t>
      </w:r>
      <w:r>
        <w:rPr>
          <w:rFonts w:hint="eastAsia" w:ascii="微软雅黑" w:hAnsi="微软雅黑" w:eastAsia="微软雅黑" w:cs="微软雅黑"/>
          <w:bCs/>
          <w:szCs w:val="21"/>
          <w:u w:val="single"/>
        </w:rPr>
        <w:t xml:space="preserve">                  </w:t>
      </w:r>
    </w:p>
    <w:p w14:paraId="19B4DEF1">
      <w:pPr>
        <w:adjustRightInd w:val="0"/>
        <w:snapToGrid w:val="0"/>
        <w:spacing w:before="0" w:beforeLines="0" w:line="400" w:lineRule="exact"/>
        <w:ind w:firstLine="0" w:firstLineChars="0"/>
        <w:rPr>
          <w:rFonts w:hint="eastAsia" w:ascii="微软雅黑" w:hAnsi="微软雅黑" w:eastAsia="微软雅黑" w:cs="微软雅黑"/>
          <w:bCs/>
          <w:szCs w:val="21"/>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bCs/>
          <w:szCs w:val="21"/>
        </w:rPr>
        <w:t>是否邀请本项目的其他供应商</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52BCA18A">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rPr>
        <w:t>是否邀请专家</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0666FF10">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rPr>
        <w:t>是否邀请服务对象</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4C02C766">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rPr>
        <w:t>是否邀请第三方检测机构</w:t>
      </w:r>
      <w:r>
        <w:rPr>
          <w:rFonts w:hint="eastAsia" w:ascii="微软雅黑" w:hAnsi="微软雅黑" w:eastAsia="微软雅黑" w:cs="微软雅黑"/>
          <w:bCs/>
          <w:szCs w:val="21"/>
          <w:lang w:eastAsia="zh-CN"/>
        </w:rPr>
        <w:t>参加验收</w:t>
      </w:r>
      <w:r>
        <w:rPr>
          <w:rFonts w:hint="eastAsia" w:ascii="微软雅黑" w:hAnsi="微软雅黑" w:eastAsia="微软雅黑" w:cs="微软雅黑"/>
          <w:bCs/>
          <w:szCs w:val="21"/>
        </w:rPr>
        <w:t>：</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5C466A00">
      <w:pPr>
        <w:adjustRightInd w:val="0"/>
        <w:snapToGrid w:val="0"/>
        <w:spacing w:before="0" w:beforeLines="0" w:line="400" w:lineRule="exact"/>
        <w:ind w:firstLine="840" w:firstLineChars="400"/>
        <w:rPr>
          <w:rFonts w:hint="eastAsia" w:ascii="微软雅黑" w:hAnsi="微软雅黑" w:eastAsia="微软雅黑" w:cs="微软雅黑"/>
          <w:bCs/>
          <w:szCs w:val="21"/>
        </w:rPr>
      </w:pPr>
      <w:r>
        <w:rPr>
          <w:rFonts w:hint="eastAsia" w:ascii="微软雅黑" w:hAnsi="微软雅黑" w:eastAsia="微软雅黑" w:cs="微软雅黑"/>
          <w:bCs/>
          <w:szCs w:val="21"/>
          <w:lang w:eastAsia="zh-CN"/>
        </w:rPr>
        <w:t>是否进行抽查检测：</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是</w:t>
      </w:r>
      <w:r>
        <w:rPr>
          <w:rFonts w:hint="eastAsia" w:ascii="微软雅黑" w:hAnsi="微软雅黑" w:eastAsia="微软雅黑" w:cs="微软雅黑"/>
          <w:bCs/>
          <w:szCs w:val="21"/>
          <w:lang w:eastAsia="zh-CN"/>
        </w:rPr>
        <w:t>，抽查比例：</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val="en-US" w:eastAsia="zh-CN"/>
        </w:rPr>
        <w:t xml:space="preserve">     </w:t>
      </w:r>
      <w:r>
        <w:rPr>
          <w:rFonts w:hint="eastAsia" w:ascii="微软雅黑" w:hAnsi="微软雅黑" w:eastAsia="微软雅黑" w:cs="微软雅黑"/>
          <w:bCs/>
          <w:szCs w:val="21"/>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4AA088F9">
      <w:pPr>
        <w:adjustRightInd w:val="0"/>
        <w:snapToGrid w:val="0"/>
        <w:spacing w:before="0" w:beforeLines="0" w:line="400" w:lineRule="exact"/>
        <w:ind w:firstLine="840" w:firstLineChars="400"/>
        <w:rPr>
          <w:rFonts w:hint="eastAsia" w:ascii="微软雅黑" w:hAnsi="微软雅黑" w:eastAsia="微软雅黑" w:cs="微软雅黑"/>
          <w:bCs/>
          <w:szCs w:val="21"/>
          <w:u w:val="single"/>
          <w:lang w:eastAsia="zh-CN"/>
        </w:rPr>
      </w:pPr>
      <w:r>
        <w:rPr>
          <w:rFonts w:hint="eastAsia" w:ascii="微软雅黑" w:hAnsi="微软雅黑" w:eastAsia="微软雅黑" w:cs="微软雅黑"/>
          <w:bCs/>
          <w:szCs w:val="21"/>
          <w:lang w:val="en-US" w:eastAsia="zh-CN"/>
        </w:rPr>
        <w:t>是否存在破坏性检测：</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是</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u w:val="single"/>
          <w:lang w:eastAsia="zh-CN"/>
        </w:rPr>
        <w:t>（应明确对被破坏的检测产品的处理方式）</w:t>
      </w:r>
    </w:p>
    <w:p w14:paraId="39D885E8">
      <w:pPr>
        <w:adjustRightInd w:val="0"/>
        <w:snapToGrid w:val="0"/>
        <w:spacing w:before="0" w:beforeLines="0" w:line="400" w:lineRule="exact"/>
        <w:ind w:firstLine="840" w:firstLineChars="400"/>
        <w:rPr>
          <w:rFonts w:hint="eastAsia" w:ascii="微软雅黑" w:hAnsi="微软雅黑" w:eastAsia="微软雅黑" w:cs="微软雅黑"/>
          <w:bCs/>
          <w:szCs w:val="21"/>
          <w:lang w:eastAsia="zh-CN"/>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否</w:t>
      </w:r>
    </w:p>
    <w:p w14:paraId="4AA6F670">
      <w:pPr>
        <w:adjustRightInd w:val="0"/>
        <w:snapToGrid w:val="0"/>
        <w:spacing w:before="0" w:beforeLines="0" w:line="400" w:lineRule="exact"/>
        <w:ind w:firstLine="840" w:firstLineChars="400"/>
        <w:rPr>
          <w:rFonts w:hint="eastAsia" w:ascii="微软雅黑" w:hAnsi="微软雅黑" w:eastAsia="微软雅黑" w:cs="微软雅黑"/>
          <w:bCs/>
          <w:szCs w:val="21"/>
          <w:u w:val="single"/>
        </w:rPr>
      </w:pPr>
      <w:r>
        <w:rPr>
          <w:rFonts w:hint="eastAsia" w:ascii="微软雅黑" w:hAnsi="微软雅黑" w:eastAsia="微软雅黑" w:cs="微软雅黑"/>
          <w:bCs/>
          <w:szCs w:val="21"/>
        </w:rPr>
        <w:t>验收组织的其他事项：</w:t>
      </w:r>
      <w:r>
        <w:rPr>
          <w:rFonts w:hint="eastAsia" w:ascii="微软雅黑" w:hAnsi="微软雅黑" w:eastAsia="微软雅黑" w:cs="微软雅黑"/>
          <w:bCs/>
          <w:szCs w:val="21"/>
          <w:u w:val="single"/>
        </w:rPr>
        <w:t xml:space="preserve">                </w:t>
      </w:r>
    </w:p>
    <w:p w14:paraId="7EFF28B2">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（2）履约验收时间：</w:t>
      </w:r>
      <w:r>
        <w:rPr>
          <w:rFonts w:hint="eastAsia" w:ascii="微软雅黑" w:hAnsi="微软雅黑" w:eastAsia="微软雅黑" w:cs="微软雅黑"/>
          <w:bCs/>
          <w:szCs w:val="21"/>
          <w:u w:val="single"/>
        </w:rPr>
        <w:t>（计划于何时验收/供应商提出验收申请之日起   日内组织验收）</w:t>
      </w:r>
      <w:r>
        <w:rPr>
          <w:rFonts w:hint="eastAsia" w:ascii="微软雅黑" w:hAnsi="微软雅黑" w:eastAsia="微软雅黑" w:cs="微软雅黑"/>
          <w:bCs/>
          <w:szCs w:val="21"/>
          <w:u w:val="single"/>
          <w:lang w:val="en-US" w:eastAsia="zh-CN"/>
        </w:rPr>
        <w:t xml:space="preserve"> </w:t>
      </w:r>
    </w:p>
    <w:p w14:paraId="6BF026C0">
      <w:p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（3）履约验收方式：</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 xml:space="preserve">一次性验收         </w:t>
      </w:r>
    </w:p>
    <w:p w14:paraId="7E59F3E3">
      <w:pPr>
        <w:adjustRightInd w:val="0"/>
        <w:snapToGrid w:val="0"/>
        <w:spacing w:before="0" w:beforeLines="0" w:line="400" w:lineRule="exact"/>
        <w:ind w:firstLine="0" w:firstLineChars="0"/>
        <w:rPr>
          <w:rFonts w:hint="eastAsia" w:ascii="微软雅黑" w:hAnsi="微软雅黑" w:eastAsia="微软雅黑" w:cs="微软雅黑"/>
          <w:bCs/>
          <w:szCs w:val="21"/>
          <w:lang w:val="en-US" w:eastAsia="zh-CN"/>
        </w:rPr>
      </w:pPr>
      <w:r>
        <w:rPr>
          <w:rFonts w:hint="eastAsia" w:ascii="微软雅黑" w:hAnsi="微软雅黑" w:eastAsia="微软雅黑" w:cs="微软雅黑"/>
          <w:bCs/>
          <w:szCs w:val="21"/>
          <w:lang w:val="en-US" w:eastAsia="zh-CN"/>
        </w:rPr>
        <w:t xml:space="preserve">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Cs w:val="21"/>
        </w:rPr>
        <w:t>分期/分项验收</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（应明确分期</w:t>
      </w:r>
      <w:r>
        <w:rPr>
          <w:rFonts w:hint="eastAsia" w:ascii="微软雅黑" w:hAnsi="微软雅黑" w:eastAsia="微软雅黑" w:cs="微软雅黑"/>
          <w:bCs/>
          <w:szCs w:val="21"/>
          <w:u w:val="single"/>
          <w:lang w:val="en" w:eastAsia="zh-CN"/>
        </w:rPr>
        <w:t>/分项验收的工作安排</w:t>
      </w:r>
      <w:r>
        <w:rPr>
          <w:rFonts w:hint="eastAsia" w:ascii="微软雅黑" w:hAnsi="微软雅黑" w:eastAsia="微软雅黑" w:cs="微软雅黑"/>
          <w:bCs/>
          <w:szCs w:val="21"/>
          <w:u w:val="single"/>
          <w:lang w:eastAsia="zh-CN"/>
        </w:rPr>
        <w:t>）</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val="en-US" w:eastAsia="zh-CN"/>
        </w:rPr>
        <w:t xml:space="preserve"> </w:t>
      </w:r>
    </w:p>
    <w:p w14:paraId="30ED7A39">
      <w:pPr>
        <w:adjustRightInd w:val="0"/>
        <w:snapToGrid w:val="0"/>
        <w:spacing w:before="0" w:beforeLines="0" w:line="400" w:lineRule="exact"/>
        <w:ind w:firstLine="420" w:firstLineChars="200"/>
        <w:rPr>
          <w:rFonts w:hint="eastAsia" w:ascii="微软雅黑" w:hAnsi="微软雅黑" w:eastAsia="微软雅黑" w:cs="微软雅黑"/>
          <w:bCs/>
          <w:szCs w:val="21"/>
        </w:rPr>
      </w:pPr>
      <w:r>
        <w:rPr>
          <w:rFonts w:hint="eastAsia" w:ascii="微软雅黑" w:hAnsi="微软雅黑" w:eastAsia="微软雅黑" w:cs="微软雅黑"/>
          <w:bCs/>
          <w:szCs w:val="21"/>
        </w:rPr>
        <w:t>（4）履约验收程序：</w:t>
      </w:r>
      <w:r>
        <w:rPr>
          <w:rFonts w:hint="eastAsia" w:ascii="微软雅黑" w:hAnsi="微软雅黑" w:eastAsia="微软雅黑" w:cs="微软雅黑"/>
          <w:bCs/>
          <w:szCs w:val="21"/>
          <w:u w:val="single"/>
        </w:rPr>
        <w:t xml:space="preserve">                                         </w:t>
      </w:r>
    </w:p>
    <w:p w14:paraId="77553C36">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（5）履约验收的内容：</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szCs w:val="21"/>
          <w:u w:val="single"/>
          <w:lang w:eastAsia="zh-CN"/>
        </w:rPr>
        <w:t>（应当包括每一项技术和商务要求的履约情况，特别是落实政府采购扶持中小企业，支持绿色发展和乡村振兴等政策情况）</w:t>
      </w:r>
      <w:r>
        <w:rPr>
          <w:rFonts w:hint="eastAsia" w:ascii="微软雅黑" w:hAnsi="微软雅黑" w:eastAsia="微软雅黑" w:cs="微软雅黑"/>
          <w:bCs/>
          <w:szCs w:val="21"/>
          <w:u w:val="single"/>
        </w:rPr>
        <w:t xml:space="preserve">                                      </w:t>
      </w:r>
    </w:p>
    <w:p w14:paraId="083D304F">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（6）履约验收标准：</w:t>
      </w:r>
      <w:r>
        <w:rPr>
          <w:rFonts w:hint="eastAsia" w:ascii="微软雅黑" w:hAnsi="微软雅黑" w:eastAsia="微软雅黑" w:cs="微软雅黑"/>
          <w:bCs/>
          <w:szCs w:val="21"/>
          <w:u w:val="single"/>
        </w:rPr>
        <w:t xml:space="preserve">                                         </w:t>
      </w:r>
    </w:p>
    <w:p w14:paraId="5D210035">
      <w:pPr>
        <w:pStyle w:val="31"/>
        <w:spacing w:beforeLines="0"/>
        <w:rPr>
          <w:rFonts w:hint="eastAsia" w:ascii="微软雅黑" w:hAnsi="微软雅黑" w:eastAsia="微软雅黑" w:cs="微软雅黑"/>
          <w:sz w:val="21"/>
          <w:lang w:eastAsia="zh-CN"/>
        </w:rPr>
      </w:pPr>
      <w:r>
        <w:rPr>
          <w:rFonts w:hint="eastAsia" w:ascii="微软雅黑" w:hAnsi="微软雅黑" w:eastAsia="微软雅黑" w:cs="微软雅黑"/>
          <w:bCs/>
          <w:sz w:val="21"/>
          <w:szCs w:val="21"/>
          <w:u w:val="none"/>
          <w:lang w:eastAsia="zh-CN"/>
        </w:rPr>
        <w:t>（</w:t>
      </w:r>
      <w:r>
        <w:rPr>
          <w:rFonts w:hint="eastAsia" w:ascii="微软雅黑" w:hAnsi="微软雅黑" w:eastAsia="微软雅黑" w:cs="微软雅黑"/>
          <w:bCs/>
          <w:sz w:val="21"/>
          <w:szCs w:val="21"/>
          <w:u w:val="none"/>
          <w:lang w:val="en-US" w:eastAsia="zh-CN"/>
        </w:rPr>
        <w:t>7</w:t>
      </w:r>
      <w:r>
        <w:rPr>
          <w:rFonts w:hint="eastAsia" w:ascii="微软雅黑" w:hAnsi="微软雅黑" w:eastAsia="微软雅黑" w:cs="微软雅黑"/>
          <w:bCs/>
          <w:sz w:val="21"/>
          <w:szCs w:val="21"/>
          <w:u w:val="none"/>
          <w:lang w:eastAsia="zh-CN"/>
        </w:rPr>
        <w:t>）是否以采购活动中供应商提供的样品作为参考：</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 w:val="21"/>
          <w:szCs w:val="21"/>
        </w:rPr>
        <w:t xml:space="preserve">是  </w:t>
      </w:r>
      <w:r>
        <w:rPr>
          <w:rFonts w:hint="eastAsia" w:ascii="微软雅黑" w:hAnsi="微软雅黑" w:eastAsia="微软雅黑" w:cs="微软雅黑"/>
          <w:sz w:val="21"/>
          <w:szCs w:val="21"/>
        </w:rPr>
        <w:sym w:font="Wingdings" w:char="00A8"/>
      </w:r>
      <w:r>
        <w:rPr>
          <w:rFonts w:hint="eastAsia" w:ascii="微软雅黑" w:hAnsi="微软雅黑" w:eastAsia="微软雅黑" w:cs="微软雅黑"/>
          <w:bCs/>
          <w:sz w:val="21"/>
          <w:szCs w:val="21"/>
        </w:rPr>
        <w:t>否</w:t>
      </w:r>
    </w:p>
    <w:p w14:paraId="2AF99CD8">
      <w:pPr>
        <w:adjustRightInd w:val="0"/>
        <w:snapToGrid w:val="0"/>
        <w:spacing w:before="0" w:beforeLines="0" w:line="400" w:lineRule="exact"/>
        <w:ind w:firstLine="420" w:firstLineChars="200"/>
        <w:rPr>
          <w:rFonts w:hint="eastAsia" w:ascii="微软雅黑" w:hAnsi="微软雅黑" w:eastAsia="微软雅黑" w:cs="微软雅黑"/>
          <w:bCs/>
          <w:szCs w:val="21"/>
          <w:u w:val="single"/>
        </w:rPr>
      </w:pPr>
      <w:r>
        <w:rPr>
          <w:rFonts w:hint="eastAsia" w:ascii="微软雅黑" w:hAnsi="微软雅黑" w:eastAsia="微软雅黑" w:cs="微软雅黑"/>
          <w:bCs/>
          <w:szCs w:val="21"/>
        </w:rPr>
        <w:t>（8）履约验收其他事项：</w:t>
      </w:r>
      <w:r>
        <w:rPr>
          <w:rFonts w:hint="eastAsia" w:ascii="微软雅黑" w:hAnsi="微软雅黑" w:eastAsia="微软雅黑" w:cs="微软雅黑"/>
          <w:bCs/>
          <w:szCs w:val="21"/>
          <w:u w:val="single"/>
        </w:rPr>
        <w:t xml:space="preserve">      </w:t>
      </w:r>
      <w:r>
        <w:rPr>
          <w:rFonts w:hint="eastAsia" w:ascii="微软雅黑" w:hAnsi="微软雅黑" w:eastAsia="微软雅黑" w:cs="微软雅黑"/>
          <w:bCs/>
          <w:i w:val="0"/>
          <w:iCs w:val="0"/>
          <w:szCs w:val="21"/>
          <w:u w:val="single"/>
        </w:rPr>
        <w:t>（产权过户登记等）</w:t>
      </w:r>
      <w:r>
        <w:rPr>
          <w:rFonts w:hint="eastAsia" w:ascii="微软雅黑" w:hAnsi="微软雅黑" w:eastAsia="微软雅黑" w:cs="微软雅黑"/>
          <w:bCs/>
          <w:szCs w:val="21"/>
          <w:u w:val="single"/>
        </w:rPr>
        <w:t xml:space="preserve">          </w:t>
      </w:r>
    </w:p>
    <w:p w14:paraId="6952D2AE">
      <w:pPr>
        <w:numPr>
          <w:ilvl w:val="0"/>
          <w:numId w:val="1"/>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组成合同的文件</w:t>
      </w:r>
    </w:p>
    <w:p w14:paraId="29987326">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本协议书与下列文件一起构成合同文件，如下述文件之间有任何抵触、矛盾或歧义，应按以下顺序解释：</w:t>
      </w:r>
    </w:p>
    <w:p w14:paraId="41B586B5">
      <w:pPr>
        <w:adjustRightInd w:val="0"/>
        <w:snapToGrid w:val="0"/>
        <w:spacing w:before="0" w:beforeLines="0" w:line="400" w:lineRule="exact"/>
        <w:ind w:firstLine="420" w:firstLineChars="20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rPr>
        <w:t>（1）</w:t>
      </w:r>
      <w:r>
        <w:rPr>
          <w:rFonts w:hint="eastAsia" w:ascii="微软雅黑" w:hAnsi="微软雅黑" w:eastAsia="微软雅黑" w:cs="微软雅黑"/>
          <w:color w:val="auto"/>
          <w:szCs w:val="21"/>
          <w:lang w:eastAsia="zh-CN"/>
        </w:rPr>
        <w:t>政府采购</w:t>
      </w:r>
      <w:r>
        <w:rPr>
          <w:rFonts w:hint="eastAsia" w:ascii="微软雅黑" w:hAnsi="微软雅黑" w:eastAsia="微软雅黑" w:cs="微软雅黑"/>
          <w:color w:val="auto"/>
          <w:szCs w:val="21"/>
        </w:rPr>
        <w:t>合同协议书及其变更、补充</w:t>
      </w:r>
      <w:r>
        <w:rPr>
          <w:rFonts w:hint="eastAsia" w:ascii="微软雅黑" w:hAnsi="微软雅黑" w:eastAsia="微软雅黑" w:cs="微软雅黑"/>
          <w:color w:val="auto"/>
          <w:szCs w:val="21"/>
          <w:lang w:eastAsia="zh-CN"/>
        </w:rPr>
        <w:t>协议</w:t>
      </w:r>
    </w:p>
    <w:p w14:paraId="262BED09">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）政府采购合同专用条款</w:t>
      </w:r>
    </w:p>
    <w:p w14:paraId="373636C0">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）政府采购合同通用条款</w:t>
      </w:r>
    </w:p>
    <w:p w14:paraId="6605B537">
      <w:pPr>
        <w:adjustRightInd w:val="0"/>
        <w:snapToGrid w:val="0"/>
        <w:spacing w:before="0" w:beforeLines="0" w:line="400" w:lineRule="exact"/>
        <w:ind w:firstLine="420" w:firstLineChars="20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rPr>
        <w:t>（</w:t>
      </w:r>
      <w:r>
        <w:rPr>
          <w:rFonts w:hint="eastAsia" w:ascii="微软雅黑" w:hAnsi="微软雅黑" w:eastAsia="微软雅黑" w:cs="微软雅黑"/>
          <w:color w:val="auto"/>
          <w:szCs w:val="21"/>
          <w:lang w:val="en-US" w:eastAsia="zh-CN"/>
        </w:rPr>
        <w:t>4</w:t>
      </w:r>
      <w:r>
        <w:rPr>
          <w:rFonts w:hint="eastAsia" w:ascii="微软雅黑" w:hAnsi="微软雅黑" w:eastAsia="微软雅黑" w:cs="微软雅黑"/>
          <w:color w:val="auto"/>
          <w:szCs w:val="21"/>
        </w:rPr>
        <w:t>）中标</w:t>
      </w:r>
      <w:r>
        <w:rPr>
          <w:rFonts w:hint="eastAsia" w:ascii="微软雅黑" w:hAnsi="微软雅黑" w:eastAsia="微软雅黑" w:cs="微软雅黑"/>
          <w:color w:val="auto"/>
          <w:szCs w:val="21"/>
          <w:lang w:eastAsia="zh-CN"/>
        </w:rPr>
        <w:t>（成交）</w:t>
      </w:r>
      <w:r>
        <w:rPr>
          <w:rFonts w:hint="eastAsia" w:ascii="微软雅黑" w:hAnsi="微软雅黑" w:eastAsia="微软雅黑" w:cs="微软雅黑"/>
          <w:color w:val="auto"/>
          <w:szCs w:val="21"/>
        </w:rPr>
        <w:t>通知书</w:t>
      </w:r>
    </w:p>
    <w:p w14:paraId="1758CCB3">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）投标（响应）文件</w:t>
      </w:r>
    </w:p>
    <w:p w14:paraId="5194CB3A">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（6）采购文件</w:t>
      </w:r>
    </w:p>
    <w:p w14:paraId="54E8715E">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（7）有关技术文件，图纸</w:t>
      </w:r>
    </w:p>
    <w:p w14:paraId="1897D289">
      <w:pPr>
        <w:pStyle w:val="31"/>
        <w:spacing w:beforeLines="0"/>
        <w:rPr>
          <w:rFonts w:hint="eastAsia" w:ascii="微软雅黑" w:hAnsi="微软雅黑" w:eastAsia="微软雅黑" w:cs="微软雅黑"/>
          <w:kern w:val="2"/>
          <w:sz w:val="21"/>
          <w:highlight w:val="none"/>
          <w:lang w:eastAsia="zh-CN"/>
        </w:rPr>
      </w:pP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8</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bCs w:val="0"/>
          <w:color w:val="000000"/>
          <w:kern w:val="2"/>
          <w:sz w:val="21"/>
          <w:szCs w:val="21"/>
          <w:highlight w:val="none"/>
          <w:lang w:eastAsia="zh-CN"/>
        </w:rPr>
        <w:t>国家法律、行政法规和规章制度规定或合同约定的作为合同组成部分的其他文件</w:t>
      </w:r>
    </w:p>
    <w:p w14:paraId="13245287">
      <w:pPr>
        <w:numPr>
          <w:ilvl w:val="0"/>
          <w:numId w:val="1"/>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合同生效</w:t>
      </w:r>
    </w:p>
    <w:p w14:paraId="0D194A5B">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本合同自</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生效。</w:t>
      </w:r>
    </w:p>
    <w:p w14:paraId="0A7A83E8">
      <w:pPr>
        <w:numPr>
          <w:ilvl w:val="0"/>
          <w:numId w:val="1"/>
        </w:numPr>
        <w:adjustRightInd w:val="0"/>
        <w:snapToGrid w:val="0"/>
        <w:spacing w:before="0" w:beforeLines="0" w:line="400" w:lineRule="exact"/>
        <w:ind w:firstLine="420" w:firstLineChars="200"/>
        <w:rPr>
          <w:rFonts w:hint="eastAsia" w:ascii="微软雅黑" w:hAnsi="微软雅黑" w:eastAsia="微软雅黑" w:cs="微软雅黑"/>
          <w:b/>
          <w:szCs w:val="21"/>
        </w:rPr>
      </w:pPr>
      <w:r>
        <w:rPr>
          <w:rFonts w:hint="eastAsia" w:ascii="微软雅黑" w:hAnsi="微软雅黑" w:eastAsia="微软雅黑" w:cs="微软雅黑"/>
          <w:b/>
          <w:szCs w:val="21"/>
        </w:rPr>
        <w:t>合同份数</w:t>
      </w:r>
    </w:p>
    <w:p w14:paraId="1225004C">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本合同一式</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份，</w:t>
      </w:r>
      <w:r>
        <w:rPr>
          <w:rFonts w:hint="eastAsia" w:ascii="微软雅黑" w:hAnsi="微软雅黑" w:eastAsia="微软雅黑" w:cs="微软雅黑"/>
          <w:szCs w:val="21"/>
          <w:lang w:eastAsia="zh-CN"/>
        </w:rPr>
        <w:t>甲方</w:t>
      </w:r>
      <w:r>
        <w:rPr>
          <w:rFonts w:hint="eastAsia" w:ascii="微软雅黑" w:hAnsi="微软雅黑" w:eastAsia="微软雅黑" w:cs="微软雅黑"/>
          <w:szCs w:val="21"/>
        </w:rPr>
        <w:t>执</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份，</w:t>
      </w:r>
      <w:r>
        <w:rPr>
          <w:rFonts w:hint="eastAsia" w:ascii="微软雅黑" w:hAnsi="微软雅黑" w:eastAsia="微软雅黑" w:cs="微软雅黑"/>
          <w:szCs w:val="21"/>
          <w:lang w:eastAsia="zh-CN"/>
        </w:rPr>
        <w:t>乙方</w:t>
      </w:r>
      <w:r>
        <w:rPr>
          <w:rFonts w:hint="eastAsia" w:ascii="微软雅黑" w:hAnsi="微软雅黑" w:eastAsia="微软雅黑" w:cs="微软雅黑"/>
          <w:szCs w:val="21"/>
        </w:rPr>
        <w:t>执</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u w:val="single"/>
          <w:lang w:val="en-US" w:eastAsia="zh-CN"/>
        </w:rPr>
        <w:t xml:space="preserve"> </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份，均具有同等法律效力。</w:t>
      </w:r>
    </w:p>
    <w:p w14:paraId="65E91A47">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合同订立时间：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年</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月</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日</w:t>
      </w:r>
    </w:p>
    <w:p w14:paraId="6DA878AD">
      <w:pPr>
        <w:adjustRightInd w:val="0"/>
        <w:snapToGrid w:val="0"/>
        <w:spacing w:before="0" w:beforeLines="0" w:line="40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合同订立地点：</w:t>
      </w:r>
      <w:r>
        <w:rPr>
          <w:rFonts w:hint="eastAsia" w:ascii="微软雅黑" w:hAnsi="微软雅黑" w:eastAsia="微软雅黑" w:cs="微软雅黑"/>
          <w:szCs w:val="21"/>
          <w:u w:val="single"/>
        </w:rPr>
        <w:t xml:space="preserve">                           </w:t>
      </w:r>
    </w:p>
    <w:p w14:paraId="387BFAEB">
      <w:pPr>
        <w:adjustRightInd w:val="0"/>
        <w:snapToGrid w:val="0"/>
        <w:spacing w:before="0" w:beforeLines="0" w:line="400" w:lineRule="exact"/>
        <w:ind w:firstLine="420" w:firstLineChars="200"/>
        <w:rPr>
          <w:rFonts w:hint="eastAsia" w:ascii="微软雅黑" w:hAnsi="微软雅黑" w:eastAsia="微软雅黑" w:cs="微软雅黑"/>
        </w:rPr>
      </w:pPr>
      <w:r>
        <w:rPr>
          <w:rFonts w:hint="eastAsia" w:ascii="微软雅黑" w:hAnsi="微软雅黑" w:eastAsia="微软雅黑" w:cs="微软雅黑"/>
          <w:szCs w:val="21"/>
        </w:rPr>
        <w:t>附件：具体标</w:t>
      </w:r>
      <w:r>
        <w:rPr>
          <w:rFonts w:hint="eastAsia" w:ascii="微软雅黑" w:hAnsi="微软雅黑" w:eastAsia="微软雅黑" w:cs="微软雅黑"/>
          <w:szCs w:val="21"/>
          <w:lang w:eastAsia="zh-CN"/>
        </w:rPr>
        <w:t>的及其</w:t>
      </w:r>
      <w:r>
        <w:rPr>
          <w:rFonts w:hint="eastAsia" w:ascii="微软雅黑" w:hAnsi="微软雅黑" w:eastAsia="微软雅黑" w:cs="微软雅黑"/>
          <w:szCs w:val="21"/>
          <w:highlight w:val="none"/>
          <w:u w:val="none"/>
          <w:lang w:val="en-US" w:eastAsia="zh-CN"/>
        </w:rPr>
        <w:t>技术要求和商务要求</w:t>
      </w:r>
      <w:r>
        <w:rPr>
          <w:rFonts w:hint="eastAsia" w:ascii="微软雅黑" w:hAnsi="微软雅黑" w:eastAsia="微软雅黑" w:cs="微软雅黑"/>
          <w:szCs w:val="21"/>
        </w:rPr>
        <w:t>、联合协议、分包</w:t>
      </w:r>
      <w:r>
        <w:rPr>
          <w:rFonts w:hint="eastAsia" w:ascii="微软雅黑" w:hAnsi="微软雅黑" w:eastAsia="微软雅黑" w:cs="微软雅黑"/>
          <w:szCs w:val="21"/>
          <w:lang w:eastAsia="zh-CN"/>
        </w:rPr>
        <w:t>意向</w:t>
      </w:r>
      <w:r>
        <w:rPr>
          <w:rFonts w:hint="eastAsia" w:ascii="微软雅黑" w:hAnsi="微软雅黑" w:eastAsia="微软雅黑" w:cs="微软雅黑"/>
          <w:szCs w:val="21"/>
        </w:rPr>
        <w:t>协议等。</w:t>
      </w:r>
    </w:p>
    <w:p w14:paraId="166DACA5">
      <w:pPr>
        <w:pStyle w:val="27"/>
        <w:spacing w:beforeLines="0" w:line="400" w:lineRule="exact"/>
        <w:rPr>
          <w:rFonts w:hint="eastAsia" w:ascii="微软雅黑" w:hAnsi="微软雅黑" w:eastAsia="微软雅黑" w:cs="微软雅黑"/>
        </w:rPr>
      </w:pPr>
    </w:p>
    <w:p w14:paraId="07825507">
      <w:pPr>
        <w:pStyle w:val="4"/>
        <w:spacing w:beforeLines="0" w:line="400" w:lineRule="exact"/>
        <w:rPr>
          <w:rFonts w:hint="eastAsia" w:ascii="微软雅黑" w:hAnsi="微软雅黑" w:eastAsia="微软雅黑" w:cs="微软雅黑"/>
          <w:b w:val="0"/>
          <w:bCs w:val="0"/>
          <w:sz w:val="21"/>
          <w:szCs w:val="21"/>
          <w:highlight w:val="none"/>
          <w:lang w:val="en-US" w:eastAsia="zh-CN"/>
        </w:rPr>
      </w:pPr>
      <w:r>
        <w:rPr>
          <w:rFonts w:hint="eastAsia" w:ascii="微软雅黑" w:hAnsi="微软雅黑" w:eastAsia="微软雅黑" w:cs="微软雅黑"/>
          <w:lang w:val="en"/>
        </w:rPr>
        <w:t xml:space="preserve">   </w:t>
      </w:r>
    </w:p>
    <w:p w14:paraId="7F31982B">
      <w:pPr>
        <w:rPr>
          <w:rFonts w:hint="eastAsia" w:ascii="微软雅黑" w:hAnsi="微软雅黑" w:eastAsia="微软雅黑" w:cs="微软雅黑"/>
        </w:rPr>
      </w:pPr>
      <w:r>
        <w:rPr>
          <w:rFonts w:hint="eastAsia" w:ascii="微软雅黑" w:hAnsi="微软雅黑" w:eastAsia="微软雅黑" w:cs="微软雅黑"/>
        </w:rPr>
        <w:br w:type="page"/>
      </w:r>
    </w:p>
    <w:p w14:paraId="4DBC1A56">
      <w:pPr>
        <w:pStyle w:val="27"/>
        <w:rPr>
          <w:rFonts w:hint="eastAsia" w:ascii="微软雅黑" w:hAnsi="微软雅黑" w:eastAsia="微软雅黑" w:cs="微软雅黑"/>
        </w:rPr>
      </w:pPr>
    </w:p>
    <w:tbl>
      <w:tblPr>
        <w:tblStyle w:val="21"/>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05"/>
        <w:gridCol w:w="2557"/>
        <w:gridCol w:w="2098"/>
        <w:gridCol w:w="2244"/>
      </w:tblGrid>
      <w:tr w14:paraId="5E1699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510767C2">
            <w:pPr>
              <w:adjustRightInd w:val="0"/>
              <w:snapToGrid w:val="0"/>
              <w:spacing w:line="300" w:lineRule="exact"/>
              <w:jc w:val="center"/>
              <w:rPr>
                <w:rFonts w:hint="eastAsia" w:ascii="微软雅黑" w:hAnsi="微软雅黑" w:eastAsia="微软雅黑" w:cs="微软雅黑"/>
              </w:rPr>
            </w:pPr>
            <w:r>
              <w:rPr>
                <w:rFonts w:hint="eastAsia" w:ascii="微软雅黑" w:hAnsi="微软雅黑" w:eastAsia="微软雅黑" w:cs="微软雅黑"/>
                <w:szCs w:val="21"/>
              </w:rPr>
              <w:t>甲方（采购人</w:t>
            </w:r>
            <w:r>
              <w:rPr>
                <w:rFonts w:hint="eastAsia" w:ascii="微软雅黑" w:hAnsi="微软雅黑" w:eastAsia="微软雅黑" w:cs="微软雅黑"/>
                <w:szCs w:val="21"/>
                <w:lang w:eastAsia="zh-CN"/>
              </w:rPr>
              <w:t>、受采购人委托签订合同的单位</w:t>
            </w:r>
            <w:r>
              <w:rPr>
                <w:rFonts w:hint="eastAsia" w:ascii="微软雅黑" w:hAnsi="微软雅黑" w:eastAsia="微软雅黑" w:cs="微软雅黑"/>
                <w:szCs w:val="21"/>
              </w:rPr>
              <w:t>或采购文件约定的合同甲方）</w:t>
            </w:r>
          </w:p>
        </w:tc>
        <w:tc>
          <w:tcPr>
            <w:tcW w:w="2437" w:type="pct"/>
            <w:gridSpan w:val="2"/>
            <w:tcBorders>
              <w:left w:val="single" w:color="auto" w:sz="2" w:space="0"/>
              <w:bottom w:val="single" w:color="auto" w:sz="2" w:space="0"/>
            </w:tcBorders>
            <w:noWrap w:val="0"/>
            <w:vAlign w:val="center"/>
          </w:tcPr>
          <w:p w14:paraId="792AE988">
            <w:pPr>
              <w:adjustRightInd w:val="0"/>
              <w:snapToGrid w:val="0"/>
              <w:spacing w:line="300" w:lineRule="exact"/>
              <w:jc w:val="center"/>
              <w:rPr>
                <w:rFonts w:hint="eastAsia" w:ascii="微软雅黑" w:hAnsi="微软雅黑" w:eastAsia="微软雅黑" w:cs="微软雅黑"/>
              </w:rPr>
            </w:pPr>
            <w:r>
              <w:rPr>
                <w:rFonts w:hint="eastAsia" w:ascii="微软雅黑" w:hAnsi="微软雅黑" w:eastAsia="微软雅黑" w:cs="微软雅黑"/>
                <w:szCs w:val="21"/>
              </w:rPr>
              <w:t>乙方（供应商）</w:t>
            </w:r>
          </w:p>
        </w:tc>
      </w:tr>
      <w:tr w14:paraId="6DD6CE6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48605E93">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单位名称（公章</w:t>
            </w:r>
            <w:r>
              <w:rPr>
                <w:rFonts w:hint="eastAsia" w:ascii="微软雅黑" w:hAnsi="微软雅黑" w:eastAsia="微软雅黑" w:cs="微软雅黑"/>
                <w:szCs w:val="21"/>
                <w:lang w:eastAsia="zh-CN"/>
              </w:rPr>
              <w:t>或合同章</w:t>
            </w:r>
            <w:r>
              <w:rPr>
                <w:rFonts w:hint="eastAsia" w:ascii="微软雅黑" w:hAnsi="微软雅黑" w:eastAsia="微软雅黑" w:cs="微软雅黑"/>
                <w:szCs w:val="21"/>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4E32676">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6B48CB7">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单位名称（公章</w:t>
            </w:r>
            <w:r>
              <w:rPr>
                <w:rFonts w:hint="eastAsia" w:ascii="微软雅黑" w:hAnsi="微软雅黑" w:eastAsia="微软雅黑" w:cs="微软雅黑"/>
                <w:szCs w:val="21"/>
                <w:lang w:eastAsia="zh-CN"/>
              </w:rPr>
              <w:t>或合同章</w:t>
            </w:r>
            <w:r>
              <w:rPr>
                <w:rFonts w:hint="eastAsia" w:ascii="微软雅黑" w:hAnsi="微软雅黑" w:eastAsia="微软雅黑" w:cs="微软雅黑"/>
                <w:szCs w:val="21"/>
              </w:rPr>
              <w:t>）</w:t>
            </w:r>
          </w:p>
        </w:tc>
        <w:tc>
          <w:tcPr>
            <w:tcW w:w="1259" w:type="pct"/>
            <w:tcBorders>
              <w:top w:val="single" w:color="auto" w:sz="2" w:space="0"/>
              <w:left w:val="single" w:color="auto" w:sz="2" w:space="0"/>
              <w:bottom w:val="single" w:color="auto" w:sz="2" w:space="0"/>
            </w:tcBorders>
            <w:noWrap w:val="0"/>
            <w:vAlign w:val="center"/>
          </w:tcPr>
          <w:p w14:paraId="1EDDC0F4">
            <w:pPr>
              <w:adjustRightInd w:val="0"/>
              <w:snapToGrid w:val="0"/>
              <w:spacing w:line="300" w:lineRule="exact"/>
              <w:jc w:val="center"/>
              <w:rPr>
                <w:rFonts w:hint="eastAsia" w:ascii="微软雅黑" w:hAnsi="微软雅黑" w:eastAsia="微软雅黑" w:cs="微软雅黑"/>
                <w:spacing w:val="20"/>
                <w:szCs w:val="21"/>
              </w:rPr>
            </w:pPr>
          </w:p>
        </w:tc>
      </w:tr>
      <w:tr w14:paraId="144418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6B1414F2">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法定代表人</w:t>
            </w:r>
          </w:p>
          <w:p w14:paraId="67A37CAA">
            <w:pPr>
              <w:adjustRightInd w:val="0"/>
              <w:snapToGrid w:val="0"/>
              <w:spacing w:line="300" w:lineRule="exact"/>
              <w:ind w:firstLine="100" w:firstLineChars="48"/>
              <w:jc w:val="center"/>
              <w:rPr>
                <w:rFonts w:hint="eastAsia" w:ascii="微软雅黑" w:hAnsi="微软雅黑" w:eastAsia="微软雅黑" w:cs="微软雅黑"/>
                <w:szCs w:val="21"/>
              </w:rPr>
            </w:pPr>
            <w:r>
              <w:rPr>
                <w:rFonts w:hint="eastAsia" w:ascii="微软雅黑" w:hAnsi="微软雅黑" w:eastAsia="微软雅黑" w:cs="微软雅黑"/>
                <w:szCs w:val="21"/>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7701151C">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right w:val="single" w:color="auto" w:sz="2" w:space="0"/>
            </w:tcBorders>
            <w:noWrap w:val="0"/>
            <w:vAlign w:val="center"/>
          </w:tcPr>
          <w:p w14:paraId="749970A0">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法定代表人</w:t>
            </w:r>
          </w:p>
          <w:p w14:paraId="0BCC8892">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或其委托代理人（签章）</w:t>
            </w:r>
          </w:p>
        </w:tc>
        <w:tc>
          <w:tcPr>
            <w:tcW w:w="1259" w:type="pct"/>
            <w:tcBorders>
              <w:top w:val="single" w:color="auto" w:sz="2" w:space="0"/>
              <w:left w:val="single" w:color="auto" w:sz="2" w:space="0"/>
              <w:bottom w:val="single" w:color="auto" w:sz="2" w:space="0"/>
            </w:tcBorders>
            <w:noWrap w:val="0"/>
            <w:vAlign w:val="center"/>
          </w:tcPr>
          <w:p w14:paraId="1BDFBF8D">
            <w:pPr>
              <w:adjustRightInd w:val="0"/>
              <w:snapToGrid w:val="0"/>
              <w:spacing w:line="300" w:lineRule="exact"/>
              <w:jc w:val="center"/>
              <w:rPr>
                <w:rFonts w:hint="eastAsia" w:ascii="微软雅黑" w:hAnsi="微软雅黑" w:eastAsia="微软雅黑" w:cs="微软雅黑"/>
                <w:szCs w:val="21"/>
              </w:rPr>
            </w:pPr>
          </w:p>
        </w:tc>
      </w:tr>
      <w:tr w14:paraId="34D99E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64241D2D">
            <w:pPr>
              <w:adjustRightInd w:val="0"/>
              <w:snapToGrid w:val="0"/>
              <w:spacing w:line="300" w:lineRule="exact"/>
              <w:jc w:val="center"/>
              <w:rPr>
                <w:rFonts w:hint="eastAsia" w:ascii="微软雅黑" w:hAnsi="微软雅黑" w:eastAsia="微软雅黑" w:cs="微软雅黑"/>
                <w:szCs w:val="21"/>
              </w:rPr>
            </w:pPr>
          </w:p>
        </w:tc>
        <w:tc>
          <w:tcPr>
            <w:tcW w:w="1436" w:type="pct"/>
            <w:vMerge w:val="continue"/>
            <w:tcBorders>
              <w:left w:val="single" w:color="auto" w:sz="2" w:space="0"/>
              <w:bottom w:val="single" w:color="auto" w:sz="2" w:space="0"/>
              <w:right w:val="single" w:color="auto" w:sz="2" w:space="0"/>
            </w:tcBorders>
            <w:noWrap w:val="0"/>
            <w:vAlign w:val="center"/>
          </w:tcPr>
          <w:p w14:paraId="08B5CF8D">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C16A62F">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4186644">
            <w:pPr>
              <w:adjustRightInd w:val="0"/>
              <w:snapToGrid w:val="0"/>
              <w:spacing w:line="300" w:lineRule="exact"/>
              <w:jc w:val="center"/>
              <w:rPr>
                <w:rFonts w:hint="eastAsia" w:ascii="微软雅黑" w:hAnsi="微软雅黑" w:eastAsia="微软雅黑" w:cs="微软雅黑"/>
                <w:spacing w:val="20"/>
                <w:szCs w:val="21"/>
              </w:rPr>
            </w:pPr>
          </w:p>
        </w:tc>
      </w:tr>
      <w:tr w14:paraId="3D6651E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E7C0474">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住</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FF11ADF">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29E09A">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住</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lang w:eastAsia="zh-CN"/>
              </w:rPr>
              <w:t>所</w:t>
            </w:r>
          </w:p>
        </w:tc>
        <w:tc>
          <w:tcPr>
            <w:tcW w:w="1259" w:type="pct"/>
            <w:tcBorders>
              <w:top w:val="single" w:color="auto" w:sz="2" w:space="0"/>
              <w:left w:val="single" w:color="auto" w:sz="2" w:space="0"/>
              <w:bottom w:val="single" w:color="auto" w:sz="2" w:space="0"/>
            </w:tcBorders>
            <w:noWrap w:val="0"/>
            <w:vAlign w:val="center"/>
          </w:tcPr>
          <w:p w14:paraId="05D6DF76">
            <w:pPr>
              <w:adjustRightInd w:val="0"/>
              <w:snapToGrid w:val="0"/>
              <w:spacing w:line="300" w:lineRule="exact"/>
              <w:jc w:val="center"/>
              <w:rPr>
                <w:rFonts w:hint="eastAsia" w:ascii="微软雅黑" w:hAnsi="微软雅黑" w:eastAsia="微软雅黑" w:cs="微软雅黑"/>
                <w:spacing w:val="20"/>
                <w:szCs w:val="21"/>
              </w:rPr>
            </w:pPr>
          </w:p>
        </w:tc>
      </w:tr>
      <w:tr w14:paraId="36A67C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2E61F27">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5625F7A">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806050D">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 系 人</w:t>
            </w:r>
          </w:p>
        </w:tc>
        <w:tc>
          <w:tcPr>
            <w:tcW w:w="1259" w:type="pct"/>
            <w:tcBorders>
              <w:top w:val="single" w:color="auto" w:sz="2" w:space="0"/>
              <w:left w:val="single" w:color="auto" w:sz="2" w:space="0"/>
              <w:bottom w:val="single" w:color="auto" w:sz="2" w:space="0"/>
            </w:tcBorders>
            <w:noWrap w:val="0"/>
            <w:vAlign w:val="center"/>
          </w:tcPr>
          <w:p w14:paraId="3D4275E5">
            <w:pPr>
              <w:adjustRightInd w:val="0"/>
              <w:snapToGrid w:val="0"/>
              <w:spacing w:line="300" w:lineRule="exact"/>
              <w:jc w:val="center"/>
              <w:rPr>
                <w:rFonts w:hint="eastAsia" w:ascii="微软雅黑" w:hAnsi="微软雅黑" w:eastAsia="微软雅黑" w:cs="微软雅黑"/>
                <w:spacing w:val="20"/>
                <w:szCs w:val="21"/>
              </w:rPr>
            </w:pPr>
          </w:p>
        </w:tc>
      </w:tr>
      <w:tr w14:paraId="11B1D6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1199050">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FB1104C">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6054A56">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联系电话</w:t>
            </w:r>
          </w:p>
        </w:tc>
        <w:tc>
          <w:tcPr>
            <w:tcW w:w="1259" w:type="pct"/>
            <w:tcBorders>
              <w:top w:val="single" w:color="auto" w:sz="2" w:space="0"/>
              <w:left w:val="single" w:color="auto" w:sz="2" w:space="0"/>
              <w:bottom w:val="single" w:color="auto" w:sz="2" w:space="0"/>
            </w:tcBorders>
            <w:noWrap w:val="0"/>
            <w:vAlign w:val="center"/>
          </w:tcPr>
          <w:p w14:paraId="177CC78B">
            <w:pPr>
              <w:adjustRightInd w:val="0"/>
              <w:snapToGrid w:val="0"/>
              <w:spacing w:line="300" w:lineRule="exact"/>
              <w:jc w:val="center"/>
              <w:rPr>
                <w:rFonts w:hint="eastAsia" w:ascii="微软雅黑" w:hAnsi="微软雅黑" w:eastAsia="微软雅黑" w:cs="微软雅黑"/>
                <w:spacing w:val="20"/>
                <w:szCs w:val="21"/>
              </w:rPr>
            </w:pPr>
          </w:p>
        </w:tc>
      </w:tr>
      <w:tr w14:paraId="309E44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B3B131B">
            <w:pPr>
              <w:adjustRightInd w:val="0"/>
              <w:snapToGrid w:val="0"/>
              <w:spacing w:line="300" w:lineRule="exact"/>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1C871A3">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44B31F5">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5E3E01D8">
            <w:pPr>
              <w:adjustRightInd w:val="0"/>
              <w:snapToGrid w:val="0"/>
              <w:spacing w:line="300" w:lineRule="exact"/>
              <w:jc w:val="center"/>
              <w:rPr>
                <w:rFonts w:hint="eastAsia" w:ascii="微软雅黑" w:hAnsi="微软雅黑" w:eastAsia="微软雅黑" w:cs="微软雅黑"/>
                <w:spacing w:val="20"/>
                <w:szCs w:val="21"/>
              </w:rPr>
            </w:pPr>
          </w:p>
        </w:tc>
      </w:tr>
      <w:tr w14:paraId="286F7C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BE88C92">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E61C1BA">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F73598A">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邮政编码</w:t>
            </w:r>
          </w:p>
        </w:tc>
        <w:tc>
          <w:tcPr>
            <w:tcW w:w="1259" w:type="pct"/>
            <w:tcBorders>
              <w:top w:val="single" w:color="auto" w:sz="2" w:space="0"/>
              <w:left w:val="single" w:color="auto" w:sz="2" w:space="0"/>
              <w:bottom w:val="single" w:color="auto" w:sz="2" w:space="0"/>
            </w:tcBorders>
            <w:noWrap w:val="0"/>
            <w:vAlign w:val="center"/>
          </w:tcPr>
          <w:p w14:paraId="1E31D2BB">
            <w:pPr>
              <w:adjustRightInd w:val="0"/>
              <w:snapToGrid w:val="0"/>
              <w:spacing w:line="300" w:lineRule="exact"/>
              <w:jc w:val="center"/>
              <w:rPr>
                <w:rFonts w:hint="eastAsia" w:ascii="微软雅黑" w:hAnsi="微软雅黑" w:eastAsia="微软雅黑" w:cs="微软雅黑"/>
                <w:spacing w:val="20"/>
                <w:szCs w:val="21"/>
              </w:rPr>
            </w:pPr>
          </w:p>
        </w:tc>
      </w:tr>
      <w:tr w14:paraId="163558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F29AA8E">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7D78824">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3DB5B83">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电子邮箱</w:t>
            </w:r>
          </w:p>
        </w:tc>
        <w:tc>
          <w:tcPr>
            <w:tcW w:w="1259" w:type="pct"/>
            <w:tcBorders>
              <w:top w:val="single" w:color="auto" w:sz="2" w:space="0"/>
              <w:left w:val="single" w:color="auto" w:sz="2" w:space="0"/>
              <w:bottom w:val="single" w:color="auto" w:sz="2" w:space="0"/>
            </w:tcBorders>
            <w:noWrap w:val="0"/>
            <w:vAlign w:val="center"/>
          </w:tcPr>
          <w:p w14:paraId="51DEB7DB">
            <w:pPr>
              <w:adjustRightInd w:val="0"/>
              <w:snapToGrid w:val="0"/>
              <w:spacing w:line="300" w:lineRule="exact"/>
              <w:jc w:val="center"/>
              <w:rPr>
                <w:rFonts w:hint="eastAsia" w:ascii="微软雅黑" w:hAnsi="微软雅黑" w:eastAsia="微软雅黑" w:cs="微软雅黑"/>
                <w:spacing w:val="20"/>
                <w:szCs w:val="21"/>
              </w:rPr>
            </w:pPr>
          </w:p>
        </w:tc>
      </w:tr>
      <w:tr w14:paraId="6917C9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07FFAF6">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5FBD4B4C">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3A26C7E">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统一社会信用代码</w:t>
            </w:r>
          </w:p>
        </w:tc>
        <w:tc>
          <w:tcPr>
            <w:tcW w:w="1259" w:type="pct"/>
            <w:tcBorders>
              <w:top w:val="single" w:color="auto" w:sz="2" w:space="0"/>
              <w:left w:val="single" w:color="auto" w:sz="2" w:space="0"/>
              <w:bottom w:val="single" w:color="auto" w:sz="2" w:space="0"/>
            </w:tcBorders>
            <w:noWrap w:val="0"/>
            <w:vAlign w:val="center"/>
          </w:tcPr>
          <w:p w14:paraId="02D394B4">
            <w:pPr>
              <w:adjustRightInd w:val="0"/>
              <w:snapToGrid w:val="0"/>
              <w:spacing w:line="300" w:lineRule="exact"/>
              <w:jc w:val="center"/>
              <w:rPr>
                <w:rFonts w:hint="eastAsia" w:ascii="微软雅黑" w:hAnsi="微软雅黑" w:eastAsia="微软雅黑" w:cs="微软雅黑"/>
                <w:spacing w:val="20"/>
                <w:szCs w:val="21"/>
              </w:rPr>
            </w:pPr>
          </w:p>
        </w:tc>
      </w:tr>
      <w:tr w14:paraId="03DDDB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B1B7B24">
            <w:pPr>
              <w:adjustRightInd w:val="0"/>
              <w:snapToGrid w:val="0"/>
              <w:spacing w:line="300" w:lineRule="exact"/>
              <w:jc w:val="center"/>
              <w:rPr>
                <w:rFonts w:hint="eastAsia" w:ascii="微软雅黑" w:hAnsi="微软雅黑" w:eastAsia="微软雅黑" w:cs="微软雅黑"/>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8DCF70">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697D369">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开户名称</w:t>
            </w:r>
          </w:p>
        </w:tc>
        <w:tc>
          <w:tcPr>
            <w:tcW w:w="1259" w:type="pct"/>
            <w:tcBorders>
              <w:top w:val="single" w:color="auto" w:sz="2" w:space="0"/>
              <w:left w:val="single" w:color="auto" w:sz="2" w:space="0"/>
              <w:bottom w:val="single" w:color="auto" w:sz="2" w:space="0"/>
            </w:tcBorders>
            <w:noWrap w:val="0"/>
            <w:vAlign w:val="center"/>
          </w:tcPr>
          <w:p w14:paraId="3E80B8CD">
            <w:pPr>
              <w:adjustRightInd w:val="0"/>
              <w:snapToGrid w:val="0"/>
              <w:spacing w:line="300" w:lineRule="exact"/>
              <w:jc w:val="center"/>
              <w:rPr>
                <w:rFonts w:hint="eastAsia" w:ascii="微软雅黑" w:hAnsi="微软雅黑" w:eastAsia="微软雅黑" w:cs="微软雅黑"/>
                <w:spacing w:val="20"/>
                <w:szCs w:val="21"/>
              </w:rPr>
            </w:pPr>
          </w:p>
        </w:tc>
      </w:tr>
      <w:tr w14:paraId="31C0E1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9744B96">
            <w:pPr>
              <w:adjustRightInd w:val="0"/>
              <w:snapToGrid w:val="0"/>
              <w:spacing w:line="300" w:lineRule="exact"/>
              <w:jc w:val="center"/>
              <w:rPr>
                <w:rFonts w:hint="eastAsia" w:ascii="微软雅黑" w:hAnsi="微软雅黑" w:eastAsia="微软雅黑" w:cs="微软雅黑"/>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D413F78">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52CC594C">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开户银行</w:t>
            </w:r>
          </w:p>
        </w:tc>
        <w:tc>
          <w:tcPr>
            <w:tcW w:w="1259" w:type="pct"/>
            <w:tcBorders>
              <w:top w:val="single" w:color="auto" w:sz="2" w:space="0"/>
              <w:left w:val="single" w:color="auto" w:sz="2" w:space="0"/>
              <w:bottom w:val="single" w:color="auto" w:sz="2" w:space="0"/>
            </w:tcBorders>
            <w:noWrap w:val="0"/>
            <w:vAlign w:val="center"/>
          </w:tcPr>
          <w:p w14:paraId="5EC4FD04">
            <w:pPr>
              <w:adjustRightInd w:val="0"/>
              <w:snapToGrid w:val="0"/>
              <w:spacing w:line="300" w:lineRule="exact"/>
              <w:jc w:val="center"/>
              <w:rPr>
                <w:rFonts w:hint="eastAsia" w:ascii="微软雅黑" w:hAnsi="微软雅黑" w:eastAsia="微软雅黑" w:cs="微软雅黑"/>
                <w:spacing w:val="20"/>
                <w:szCs w:val="21"/>
              </w:rPr>
            </w:pPr>
          </w:p>
        </w:tc>
      </w:tr>
      <w:tr w14:paraId="2C72EB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6D291C03">
            <w:pPr>
              <w:adjustRightInd w:val="0"/>
              <w:snapToGrid w:val="0"/>
              <w:spacing w:line="300" w:lineRule="exact"/>
              <w:jc w:val="center"/>
              <w:rPr>
                <w:rFonts w:hint="eastAsia" w:ascii="微软雅黑" w:hAnsi="微软雅黑" w:eastAsia="微软雅黑" w:cs="微软雅黑"/>
                <w:szCs w:val="21"/>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7DB5C78">
            <w:pPr>
              <w:adjustRightInd w:val="0"/>
              <w:snapToGrid w:val="0"/>
              <w:spacing w:line="300" w:lineRule="exact"/>
              <w:jc w:val="center"/>
              <w:rPr>
                <w:rFonts w:hint="eastAsia" w:ascii="微软雅黑" w:hAnsi="微软雅黑" w:eastAsia="微软雅黑" w:cs="微软雅黑"/>
                <w:szCs w:val="21"/>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02B3CB">
            <w:pPr>
              <w:adjustRightInd w:val="0"/>
              <w:snapToGrid w:val="0"/>
              <w:spacing w:line="30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银行账号</w:t>
            </w:r>
          </w:p>
        </w:tc>
        <w:tc>
          <w:tcPr>
            <w:tcW w:w="1259" w:type="pct"/>
            <w:tcBorders>
              <w:top w:val="single" w:color="auto" w:sz="2" w:space="0"/>
              <w:left w:val="single" w:color="auto" w:sz="2" w:space="0"/>
              <w:bottom w:val="single" w:color="auto" w:sz="2" w:space="0"/>
            </w:tcBorders>
            <w:noWrap w:val="0"/>
            <w:vAlign w:val="center"/>
          </w:tcPr>
          <w:p w14:paraId="38AF6C98">
            <w:pPr>
              <w:adjustRightInd w:val="0"/>
              <w:snapToGrid w:val="0"/>
              <w:spacing w:line="300" w:lineRule="exact"/>
              <w:jc w:val="center"/>
              <w:rPr>
                <w:rFonts w:hint="eastAsia" w:ascii="微软雅黑" w:hAnsi="微软雅黑" w:eastAsia="微软雅黑" w:cs="微软雅黑"/>
                <w:spacing w:val="20"/>
                <w:szCs w:val="21"/>
              </w:rPr>
            </w:pPr>
          </w:p>
        </w:tc>
      </w:tr>
      <w:tr w14:paraId="3397C8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438138CA">
            <w:pPr>
              <w:pStyle w:val="10"/>
              <w:adjustRightInd w:val="0"/>
              <w:snapToGrid w:val="0"/>
              <w:spacing w:before="156" w:beforeLines="50" w:after="0" w:line="360" w:lineRule="auto"/>
              <w:ind w:left="0" w:leftChars="0"/>
              <w:jc w:val="left"/>
              <w:rPr>
                <w:rFonts w:hint="eastAsia" w:ascii="微软雅黑" w:hAnsi="微软雅黑" w:eastAsia="微软雅黑" w:cs="微软雅黑"/>
                <w:spacing w:val="20"/>
                <w:szCs w:val="21"/>
              </w:rPr>
            </w:pPr>
            <w:r>
              <w:rPr>
                <w:rFonts w:hint="eastAsia" w:ascii="微软雅黑" w:hAnsi="微软雅黑" w:eastAsia="微软雅黑" w:cs="微软雅黑"/>
                <w:szCs w:val="21"/>
              </w:rPr>
              <w:t>注：涉及联合体或其他合同主体的信息应按上表格式加列。</w:t>
            </w:r>
          </w:p>
        </w:tc>
      </w:tr>
    </w:tbl>
    <w:p w14:paraId="6F13FB25">
      <w:pPr>
        <w:pStyle w:val="4"/>
        <w:adjustRightInd w:val="0"/>
        <w:snapToGrid w:val="0"/>
        <w:spacing w:before="156" w:beforeLines="50"/>
        <w:jc w:val="center"/>
        <w:rPr>
          <w:rFonts w:hint="eastAsia" w:ascii="微软雅黑" w:hAnsi="微软雅黑" w:eastAsia="微软雅黑" w:cs="微软雅黑"/>
          <w:sz w:val="28"/>
          <w:szCs w:val="28"/>
        </w:rPr>
      </w:pPr>
      <w:r>
        <w:rPr>
          <w:rFonts w:hint="eastAsia" w:ascii="微软雅黑" w:hAnsi="微软雅黑" w:eastAsia="微软雅黑" w:cs="微软雅黑"/>
          <w:sz w:val="21"/>
          <w:szCs w:val="21"/>
          <w:u w:val="single"/>
        </w:rPr>
        <w:br w:type="page"/>
      </w:r>
      <w:bookmarkStart w:id="1772" w:name="_Toc15179"/>
      <w:bookmarkStart w:id="1773" w:name="_Toc7387"/>
      <w:bookmarkStart w:id="1774" w:name="_Toc27624"/>
      <w:r>
        <w:rPr>
          <w:rFonts w:hint="eastAsia" w:ascii="微软雅黑" w:hAnsi="微软雅黑" w:eastAsia="微软雅黑" w:cs="微软雅黑"/>
          <w:b w:val="0"/>
          <w:bCs w:val="0"/>
          <w:sz w:val="28"/>
          <w:szCs w:val="28"/>
        </w:rPr>
        <w:t>第二节 政府采购合同通用条款</w:t>
      </w:r>
      <w:bookmarkEnd w:id="1772"/>
      <w:bookmarkEnd w:id="1773"/>
      <w:bookmarkEnd w:id="1774"/>
    </w:p>
    <w:p w14:paraId="018976B2">
      <w:pPr>
        <w:tabs>
          <w:tab w:val="left" w:pos="8820"/>
          <w:tab w:val="left" w:pos="9345"/>
          <w:tab w:val="left" w:pos="9765"/>
        </w:tabs>
        <w:adjustRightInd w:val="0"/>
        <w:snapToGrid w:val="0"/>
        <w:spacing w:before="0" w:line="400" w:lineRule="exact"/>
        <w:jc w:val="left"/>
        <w:rPr>
          <w:rFonts w:hint="eastAsia" w:ascii="微软雅黑" w:hAnsi="微软雅黑" w:eastAsia="微软雅黑" w:cs="微软雅黑"/>
          <w:b/>
          <w:bCs/>
          <w:sz w:val="24"/>
        </w:rPr>
      </w:pPr>
      <w:r>
        <w:rPr>
          <w:rFonts w:hint="eastAsia" w:ascii="微软雅黑" w:hAnsi="微软雅黑" w:eastAsia="微软雅黑" w:cs="微软雅黑"/>
          <w:b/>
          <w:sz w:val="24"/>
        </w:rPr>
        <w:t>1.</w:t>
      </w:r>
      <w:r>
        <w:rPr>
          <w:rFonts w:hint="eastAsia" w:ascii="微软雅黑" w:hAnsi="微软雅黑" w:eastAsia="微软雅黑" w:cs="微软雅黑"/>
          <w:b/>
          <w:sz w:val="24"/>
          <w:lang w:val="en-US" w:eastAsia="zh-CN"/>
        </w:rPr>
        <w:t xml:space="preserve"> </w:t>
      </w:r>
      <w:r>
        <w:rPr>
          <w:rFonts w:hint="eastAsia" w:ascii="微软雅黑" w:hAnsi="微软雅黑" w:eastAsia="微软雅黑" w:cs="微软雅黑"/>
          <w:b/>
          <w:bCs/>
          <w:sz w:val="24"/>
        </w:rPr>
        <w:t>定义</w:t>
      </w:r>
    </w:p>
    <w:p w14:paraId="579A5FF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1.1合同当事人</w:t>
      </w:r>
    </w:p>
    <w:p w14:paraId="5A946DC6">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（1）采购人（以下称甲方）是指使用财政性资金，通过政府采购方式向供应商购买货物</w:t>
      </w:r>
      <w:r>
        <w:rPr>
          <w:rFonts w:hint="eastAsia" w:ascii="微软雅黑" w:hAnsi="微软雅黑" w:eastAsia="微软雅黑" w:cs="微软雅黑"/>
          <w:color w:val="auto"/>
          <w:szCs w:val="21"/>
          <w:highlight w:val="none"/>
          <w:lang w:val="en-US" w:eastAsia="zh-CN"/>
        </w:rPr>
        <w:t>及其相关服务的</w:t>
      </w:r>
      <w:r>
        <w:rPr>
          <w:rFonts w:hint="eastAsia" w:ascii="微软雅黑" w:hAnsi="微软雅黑" w:eastAsia="微软雅黑" w:cs="微软雅黑"/>
          <w:color w:val="auto"/>
          <w:szCs w:val="21"/>
          <w:highlight w:val="none"/>
        </w:rPr>
        <w:t>国家机关、事业单位、团体组织。</w:t>
      </w:r>
    </w:p>
    <w:p w14:paraId="231B9EA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（2）供应商（以下称</w:t>
      </w:r>
      <w:r>
        <w:rPr>
          <w:rFonts w:hint="eastAsia" w:ascii="微软雅黑" w:hAnsi="微软雅黑" w:eastAsia="微软雅黑" w:cs="微软雅黑"/>
          <w:color w:val="auto"/>
          <w:szCs w:val="21"/>
          <w:highlight w:val="none"/>
          <w:lang w:eastAsia="zh-CN"/>
        </w:rPr>
        <w:t>乙</w:t>
      </w:r>
      <w:r>
        <w:rPr>
          <w:rFonts w:hint="eastAsia" w:ascii="微软雅黑" w:hAnsi="微软雅黑" w:eastAsia="微软雅黑" w:cs="微软雅黑"/>
          <w:color w:val="auto"/>
          <w:szCs w:val="21"/>
          <w:highlight w:val="none"/>
        </w:rPr>
        <w:t>方）是指参加政府采购活动并且中标（成交），向采购人提供</w:t>
      </w:r>
      <w:r>
        <w:rPr>
          <w:rFonts w:hint="eastAsia" w:ascii="微软雅黑" w:hAnsi="微软雅黑" w:eastAsia="微软雅黑" w:cs="微软雅黑"/>
          <w:color w:val="auto"/>
          <w:szCs w:val="21"/>
          <w:highlight w:val="none"/>
          <w:lang w:val="en-US" w:eastAsia="zh-CN"/>
        </w:rPr>
        <w:t>合同约定的货物及其相关服务的法人、非法人组织或者自然人</w:t>
      </w:r>
      <w:r>
        <w:rPr>
          <w:rFonts w:hint="eastAsia" w:ascii="微软雅黑" w:hAnsi="微软雅黑" w:eastAsia="微软雅黑" w:cs="微软雅黑"/>
          <w:color w:val="auto"/>
          <w:szCs w:val="21"/>
          <w:highlight w:val="none"/>
        </w:rPr>
        <w:t>。</w:t>
      </w:r>
    </w:p>
    <w:p w14:paraId="363D4EE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（3）其他合同主体是指除采购人和供应商以外，</w:t>
      </w:r>
      <w:r>
        <w:rPr>
          <w:rFonts w:hint="eastAsia" w:ascii="微软雅黑" w:hAnsi="微软雅黑" w:eastAsia="微软雅黑" w:cs="微软雅黑"/>
          <w:bCs/>
          <w:color w:val="000000"/>
          <w:szCs w:val="21"/>
        </w:rPr>
        <w:t>依法参与合同缔结或履行，享有权利、承担义务的合同当事人</w:t>
      </w:r>
      <w:r>
        <w:rPr>
          <w:rFonts w:hint="eastAsia" w:ascii="微软雅黑" w:hAnsi="微软雅黑" w:eastAsia="微软雅黑" w:cs="微软雅黑"/>
          <w:color w:val="auto"/>
          <w:szCs w:val="21"/>
          <w:highlight w:val="none"/>
        </w:rPr>
        <w:t>。</w:t>
      </w:r>
    </w:p>
    <w:p w14:paraId="1AA3DAD3">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1.2本合同下列术语应解释为：</w:t>
      </w:r>
    </w:p>
    <w:p w14:paraId="09C5B9DF">
      <w:pPr>
        <w:adjustRightInd w:val="0"/>
        <w:snapToGrid w:val="0"/>
        <w:spacing w:before="0" w:beforeLines="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（1）“合同”系指</w:t>
      </w:r>
      <w:r>
        <w:rPr>
          <w:rFonts w:hint="eastAsia" w:ascii="微软雅黑" w:hAnsi="微软雅黑" w:eastAsia="微软雅黑" w:cs="微软雅黑"/>
          <w:bCs/>
          <w:color w:val="000000"/>
          <w:szCs w:val="21"/>
        </w:rPr>
        <w:t>合同当事人意思表示达成一致的任何协议，包括签署的</w:t>
      </w:r>
      <w:r>
        <w:rPr>
          <w:rFonts w:hint="eastAsia" w:ascii="微软雅黑" w:hAnsi="微软雅黑" w:eastAsia="微软雅黑" w:cs="微软雅黑"/>
          <w:color w:val="auto"/>
          <w:szCs w:val="21"/>
          <w:lang w:eastAsia="zh-CN"/>
        </w:rPr>
        <w:t>政府采购</w:t>
      </w:r>
      <w:r>
        <w:rPr>
          <w:rFonts w:hint="eastAsia" w:ascii="微软雅黑" w:hAnsi="微软雅黑" w:eastAsia="微软雅黑" w:cs="微软雅黑"/>
          <w:color w:val="auto"/>
          <w:szCs w:val="21"/>
        </w:rPr>
        <w:t>合同协议书及其变更、补充</w:t>
      </w:r>
      <w:r>
        <w:rPr>
          <w:rFonts w:hint="eastAsia" w:ascii="微软雅黑" w:hAnsi="微软雅黑" w:eastAsia="微软雅黑" w:cs="微软雅黑"/>
          <w:color w:val="auto"/>
          <w:szCs w:val="21"/>
          <w:lang w:eastAsia="zh-CN"/>
        </w:rPr>
        <w:t>协议，</w:t>
      </w:r>
      <w:r>
        <w:rPr>
          <w:rFonts w:hint="eastAsia" w:ascii="微软雅黑" w:hAnsi="微软雅黑" w:eastAsia="微软雅黑" w:cs="微软雅黑"/>
          <w:szCs w:val="21"/>
        </w:rPr>
        <w:t>政府采购合同专用条款</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政府采购合同通用条款</w:t>
      </w:r>
      <w:r>
        <w:rPr>
          <w:rFonts w:hint="eastAsia" w:ascii="微软雅黑" w:hAnsi="微软雅黑" w:eastAsia="微软雅黑" w:cs="微软雅黑"/>
          <w:szCs w:val="21"/>
          <w:lang w:eastAsia="zh-CN"/>
        </w:rPr>
        <w:t>，</w:t>
      </w:r>
      <w:r>
        <w:rPr>
          <w:rFonts w:hint="eastAsia" w:ascii="微软雅黑" w:hAnsi="微软雅黑" w:eastAsia="微软雅黑" w:cs="微软雅黑"/>
          <w:color w:val="auto"/>
          <w:szCs w:val="21"/>
        </w:rPr>
        <w:t>中标</w:t>
      </w:r>
      <w:r>
        <w:rPr>
          <w:rFonts w:hint="eastAsia" w:ascii="微软雅黑" w:hAnsi="微软雅黑" w:eastAsia="微软雅黑" w:cs="微软雅黑"/>
          <w:color w:val="auto"/>
          <w:szCs w:val="21"/>
          <w:lang w:eastAsia="zh-CN"/>
        </w:rPr>
        <w:t>（成交）</w:t>
      </w:r>
      <w:r>
        <w:rPr>
          <w:rFonts w:hint="eastAsia" w:ascii="微软雅黑" w:hAnsi="微软雅黑" w:eastAsia="微软雅黑" w:cs="微软雅黑"/>
          <w:color w:val="auto"/>
          <w:szCs w:val="21"/>
        </w:rPr>
        <w:t>通知书</w:t>
      </w:r>
      <w:r>
        <w:rPr>
          <w:rFonts w:hint="eastAsia" w:ascii="微软雅黑" w:hAnsi="微软雅黑" w:eastAsia="微软雅黑" w:cs="微软雅黑"/>
          <w:color w:val="auto"/>
          <w:szCs w:val="21"/>
          <w:lang w:eastAsia="zh-CN"/>
        </w:rPr>
        <w:t>，</w:t>
      </w:r>
      <w:r>
        <w:rPr>
          <w:rFonts w:hint="eastAsia" w:ascii="微软雅黑" w:hAnsi="微软雅黑" w:eastAsia="微软雅黑" w:cs="微软雅黑"/>
          <w:szCs w:val="21"/>
        </w:rPr>
        <w:t>投标（响应）文件</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采购文件</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有关技术文件</w:t>
      </w:r>
      <w:r>
        <w:rPr>
          <w:rFonts w:hint="eastAsia" w:ascii="微软雅黑" w:hAnsi="微软雅黑" w:eastAsia="微软雅黑" w:cs="微软雅黑"/>
          <w:szCs w:val="21"/>
          <w:lang w:eastAsia="zh-CN"/>
        </w:rPr>
        <w:t>和</w:t>
      </w:r>
      <w:r>
        <w:rPr>
          <w:rFonts w:hint="eastAsia" w:ascii="微软雅黑" w:hAnsi="微软雅黑" w:eastAsia="微软雅黑" w:cs="微软雅黑"/>
          <w:szCs w:val="21"/>
        </w:rPr>
        <w:t>图纸</w:t>
      </w:r>
      <w:r>
        <w:rPr>
          <w:rFonts w:hint="eastAsia" w:ascii="微软雅黑" w:hAnsi="微软雅黑" w:eastAsia="微软雅黑" w:cs="微软雅黑"/>
          <w:szCs w:val="21"/>
          <w:lang w:eastAsia="zh-CN"/>
        </w:rPr>
        <w:t>，以及</w:t>
      </w:r>
      <w:r>
        <w:rPr>
          <w:rFonts w:hint="eastAsia" w:ascii="微软雅黑" w:hAnsi="微软雅黑" w:eastAsia="微软雅黑" w:cs="微软雅黑"/>
          <w:bCs w:val="0"/>
          <w:color w:val="000000"/>
          <w:kern w:val="2"/>
          <w:sz w:val="21"/>
          <w:szCs w:val="21"/>
          <w:highlight w:val="none"/>
          <w:lang w:eastAsia="zh-CN"/>
        </w:rPr>
        <w:t>国家法律、行政法规和规章制度规定或合同约定的作为合同组成部分的其他文件</w:t>
      </w:r>
      <w:r>
        <w:rPr>
          <w:rFonts w:hint="eastAsia" w:ascii="微软雅黑" w:hAnsi="微软雅黑" w:eastAsia="微软雅黑" w:cs="微软雅黑"/>
          <w:color w:val="auto"/>
          <w:szCs w:val="21"/>
          <w:highlight w:val="none"/>
        </w:rPr>
        <w:t>。</w:t>
      </w:r>
    </w:p>
    <w:p w14:paraId="3224924B">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）“合同价</w:t>
      </w:r>
      <w:r>
        <w:rPr>
          <w:rFonts w:hint="eastAsia" w:ascii="微软雅黑" w:hAnsi="微软雅黑" w:eastAsia="微软雅黑" w:cs="微软雅黑"/>
          <w:color w:val="auto"/>
          <w:szCs w:val="21"/>
          <w:highlight w:val="none"/>
          <w:lang w:val="en-US" w:eastAsia="zh-CN"/>
        </w:rPr>
        <w:t>款</w:t>
      </w:r>
      <w:r>
        <w:rPr>
          <w:rFonts w:hint="eastAsia" w:ascii="微软雅黑" w:hAnsi="微软雅黑" w:eastAsia="微软雅黑" w:cs="微软雅黑"/>
          <w:color w:val="auto"/>
          <w:szCs w:val="21"/>
          <w:highlight w:val="none"/>
        </w:rPr>
        <w:t>”系指根据本合同规定乙方在全面履行合同义务后甲方应支付给乙方的价款。</w:t>
      </w:r>
    </w:p>
    <w:p w14:paraId="1198C7CB">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lang w:eastAsia="zh-CN"/>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）“货物”系指乙方根据本合同规定须向甲方提供的各种形态和种类的物品，包括原材料、设备、产品（</w:t>
      </w:r>
      <w:r>
        <w:rPr>
          <w:rFonts w:hint="eastAsia" w:ascii="微软雅黑" w:hAnsi="微软雅黑" w:eastAsia="微软雅黑" w:cs="微软雅黑"/>
          <w:color w:val="000000"/>
          <w:szCs w:val="21"/>
          <w:highlight w:val="none"/>
        </w:rPr>
        <w:t>包括软件）及相关的其备品备件、工具、手册及</w:t>
      </w:r>
      <w:r>
        <w:rPr>
          <w:rFonts w:hint="eastAsia" w:ascii="微软雅黑" w:hAnsi="微软雅黑" w:eastAsia="微软雅黑" w:cs="微软雅黑"/>
          <w:color w:val="000000"/>
          <w:szCs w:val="21"/>
          <w:highlight w:val="none"/>
          <w:lang w:val="en"/>
        </w:rPr>
        <w:t>其他</w:t>
      </w:r>
      <w:r>
        <w:rPr>
          <w:rFonts w:hint="eastAsia" w:ascii="微软雅黑" w:hAnsi="微软雅黑" w:eastAsia="微软雅黑" w:cs="微软雅黑"/>
          <w:color w:val="000000"/>
          <w:szCs w:val="21"/>
          <w:highlight w:val="none"/>
        </w:rPr>
        <w:t>技术资料和材料</w:t>
      </w:r>
      <w:r>
        <w:rPr>
          <w:rFonts w:hint="eastAsia" w:ascii="微软雅黑" w:hAnsi="微软雅黑" w:eastAsia="微软雅黑" w:cs="微软雅黑"/>
          <w:color w:val="000000"/>
          <w:szCs w:val="21"/>
          <w:highlight w:val="none"/>
          <w:lang w:eastAsia="zh-CN"/>
        </w:rPr>
        <w:t>等</w:t>
      </w:r>
      <w:r>
        <w:rPr>
          <w:rFonts w:hint="eastAsia" w:ascii="微软雅黑" w:hAnsi="微软雅黑" w:eastAsia="微软雅黑" w:cs="微软雅黑"/>
          <w:color w:val="000000"/>
          <w:szCs w:val="21"/>
          <w:highlight w:val="none"/>
        </w:rPr>
        <w:t>。</w:t>
      </w:r>
    </w:p>
    <w:p w14:paraId="0433D549">
      <w:pPr>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yellow"/>
          <w:lang w:eastAsia="zh-CN"/>
        </w:rPr>
      </w:pPr>
      <w:r>
        <w:rPr>
          <w:rFonts w:hint="eastAsia" w:ascii="微软雅黑" w:hAnsi="微软雅黑" w:eastAsia="微软雅黑" w:cs="微软雅黑"/>
          <w:color w:val="000000"/>
          <w:szCs w:val="21"/>
          <w:highlight w:val="none"/>
        </w:rPr>
        <w:t>（</w:t>
      </w:r>
      <w:r>
        <w:rPr>
          <w:rFonts w:hint="eastAsia" w:ascii="微软雅黑" w:hAnsi="微软雅黑" w:eastAsia="微软雅黑" w:cs="微软雅黑"/>
          <w:color w:val="000000"/>
          <w:szCs w:val="21"/>
          <w:highlight w:val="none"/>
          <w:lang w:val="en-US" w:eastAsia="zh-CN"/>
        </w:rPr>
        <w:t>4</w:t>
      </w:r>
      <w:r>
        <w:rPr>
          <w:rFonts w:hint="eastAsia" w:ascii="微软雅黑" w:hAnsi="微软雅黑" w:eastAsia="微软雅黑" w:cs="微软雅黑"/>
          <w:color w:val="000000"/>
          <w:szCs w:val="21"/>
          <w:highlight w:val="none"/>
        </w:rPr>
        <w:t>）“</w:t>
      </w:r>
      <w:r>
        <w:rPr>
          <w:rFonts w:hint="eastAsia" w:ascii="微软雅黑" w:hAnsi="微软雅黑" w:eastAsia="微软雅黑" w:cs="微软雅黑"/>
          <w:color w:val="auto"/>
          <w:szCs w:val="21"/>
          <w:highlight w:val="none"/>
          <w:lang w:val="en-US" w:eastAsia="zh-CN"/>
        </w:rPr>
        <w:t>相关</w:t>
      </w:r>
      <w:r>
        <w:rPr>
          <w:rFonts w:hint="eastAsia" w:ascii="微软雅黑" w:hAnsi="微软雅黑" w:eastAsia="微软雅黑" w:cs="微软雅黑"/>
          <w:color w:val="000000"/>
          <w:szCs w:val="21"/>
          <w:highlight w:val="none"/>
        </w:rPr>
        <w:t>服务”系指根据合同规定，乙方应提供的</w:t>
      </w:r>
      <w:r>
        <w:rPr>
          <w:rFonts w:hint="eastAsia" w:ascii="微软雅黑" w:hAnsi="微软雅黑" w:eastAsia="微软雅黑" w:cs="微软雅黑"/>
          <w:color w:val="000000"/>
          <w:szCs w:val="21"/>
          <w:highlight w:val="none"/>
          <w:lang w:val="en-US" w:eastAsia="zh-CN"/>
        </w:rPr>
        <w:t>与货物有关的</w:t>
      </w:r>
      <w:r>
        <w:rPr>
          <w:rFonts w:hint="eastAsia" w:ascii="微软雅黑" w:hAnsi="微软雅黑" w:eastAsia="微软雅黑" w:cs="微软雅黑"/>
          <w:color w:val="000000"/>
          <w:szCs w:val="21"/>
          <w:highlight w:val="none"/>
        </w:rPr>
        <w:t>技术、管理和</w:t>
      </w:r>
      <w:r>
        <w:rPr>
          <w:rFonts w:hint="eastAsia" w:ascii="微软雅黑" w:hAnsi="微软雅黑" w:eastAsia="微软雅黑" w:cs="微软雅黑"/>
          <w:color w:val="000000"/>
          <w:szCs w:val="21"/>
          <w:highlight w:val="none"/>
          <w:lang w:val="en"/>
        </w:rPr>
        <w:t>其他</w:t>
      </w:r>
      <w:r>
        <w:rPr>
          <w:rFonts w:hint="eastAsia" w:ascii="微软雅黑" w:hAnsi="微软雅黑" w:eastAsia="微软雅黑" w:cs="微软雅黑"/>
          <w:color w:val="000000"/>
          <w:szCs w:val="21"/>
          <w:highlight w:val="none"/>
        </w:rPr>
        <w:t>服务，包括但不限于：管理和质量保证、运输、保险、检验、现场准备、安装、集成、调试、培训、维修、</w:t>
      </w:r>
      <w:r>
        <w:rPr>
          <w:rFonts w:hint="eastAsia" w:ascii="微软雅黑" w:hAnsi="微软雅黑" w:eastAsia="微软雅黑" w:cs="微软雅黑"/>
          <w:color w:val="000000"/>
          <w:szCs w:val="21"/>
          <w:highlight w:val="none"/>
          <w:lang w:eastAsia="zh-CN"/>
        </w:rPr>
        <w:t>废弃处置、</w:t>
      </w:r>
      <w:r>
        <w:rPr>
          <w:rFonts w:hint="eastAsia" w:ascii="微软雅黑" w:hAnsi="微软雅黑" w:eastAsia="微软雅黑" w:cs="微软雅黑"/>
          <w:color w:val="000000"/>
          <w:szCs w:val="21"/>
          <w:highlight w:val="none"/>
        </w:rPr>
        <w:t>技术支持等以及合同中规定乙方应承担的</w:t>
      </w:r>
      <w:r>
        <w:rPr>
          <w:rFonts w:hint="eastAsia" w:ascii="微软雅黑" w:hAnsi="微软雅黑" w:eastAsia="微软雅黑" w:cs="微软雅黑"/>
          <w:color w:val="000000"/>
          <w:szCs w:val="21"/>
          <w:highlight w:val="none"/>
          <w:lang w:val="en"/>
        </w:rPr>
        <w:t>其他</w:t>
      </w:r>
      <w:r>
        <w:rPr>
          <w:rFonts w:hint="eastAsia" w:ascii="微软雅黑" w:hAnsi="微软雅黑" w:eastAsia="微软雅黑" w:cs="微软雅黑"/>
          <w:color w:val="000000"/>
          <w:szCs w:val="21"/>
          <w:highlight w:val="none"/>
        </w:rPr>
        <w:t>义务。</w:t>
      </w:r>
    </w:p>
    <w:p w14:paraId="26ED4510">
      <w:pPr>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yellow"/>
          <w:lang w:eastAsia="zh-CN"/>
        </w:rPr>
      </w:pPr>
      <w:r>
        <w:rPr>
          <w:rFonts w:hint="eastAsia" w:ascii="微软雅黑" w:hAnsi="微软雅黑" w:eastAsia="微软雅黑" w:cs="微软雅黑"/>
          <w:color w:val="000000"/>
          <w:szCs w:val="21"/>
          <w:highlight w:val="none"/>
        </w:rPr>
        <w:t>（</w:t>
      </w:r>
      <w:r>
        <w:rPr>
          <w:rFonts w:hint="eastAsia" w:ascii="微软雅黑" w:hAnsi="微软雅黑" w:eastAsia="微软雅黑" w:cs="微软雅黑"/>
          <w:color w:val="000000"/>
          <w:szCs w:val="21"/>
          <w:highlight w:val="none"/>
          <w:lang w:val="en-US" w:eastAsia="zh-CN"/>
        </w:rPr>
        <w:t>5</w:t>
      </w:r>
      <w:r>
        <w:rPr>
          <w:rFonts w:hint="eastAsia" w:ascii="微软雅黑" w:hAnsi="微软雅黑" w:eastAsia="微软雅黑" w:cs="微软雅黑"/>
          <w:color w:val="000000"/>
          <w:szCs w:val="21"/>
          <w:highlight w:val="none"/>
        </w:rPr>
        <w:t>）“分包”系指中标</w:t>
      </w:r>
      <w:r>
        <w:rPr>
          <w:rFonts w:hint="eastAsia" w:ascii="微软雅黑" w:hAnsi="微软雅黑" w:eastAsia="微软雅黑" w:cs="微软雅黑"/>
          <w:color w:val="000000"/>
          <w:szCs w:val="21"/>
          <w:highlight w:val="none"/>
          <w:lang w:eastAsia="zh-CN"/>
        </w:rPr>
        <w:t>（</w:t>
      </w:r>
      <w:r>
        <w:rPr>
          <w:rFonts w:hint="eastAsia" w:ascii="微软雅黑" w:hAnsi="微软雅黑" w:eastAsia="微软雅黑" w:cs="微软雅黑"/>
          <w:color w:val="000000"/>
          <w:szCs w:val="21"/>
          <w:highlight w:val="none"/>
        </w:rPr>
        <w:t>成交</w:t>
      </w:r>
      <w:r>
        <w:rPr>
          <w:rFonts w:hint="eastAsia" w:ascii="微软雅黑" w:hAnsi="微软雅黑" w:eastAsia="微软雅黑" w:cs="微软雅黑"/>
          <w:color w:val="000000"/>
          <w:szCs w:val="21"/>
          <w:highlight w:val="none"/>
          <w:lang w:eastAsia="zh-CN"/>
        </w:rPr>
        <w:t>）</w:t>
      </w:r>
      <w:r>
        <w:rPr>
          <w:rFonts w:hint="eastAsia" w:ascii="微软雅黑" w:hAnsi="微软雅黑" w:eastAsia="微软雅黑" w:cs="微软雅黑"/>
          <w:color w:val="000000"/>
          <w:szCs w:val="21"/>
          <w:highlight w:val="none"/>
        </w:rPr>
        <w:t>供应商按采购文件、投标（响应）文件的规定，根据分包意向协议，将中标</w:t>
      </w:r>
      <w:r>
        <w:rPr>
          <w:rFonts w:hint="eastAsia" w:ascii="微软雅黑" w:hAnsi="微软雅黑" w:eastAsia="微软雅黑" w:cs="微软雅黑"/>
          <w:color w:val="000000"/>
          <w:szCs w:val="21"/>
          <w:highlight w:val="none"/>
          <w:lang w:eastAsia="zh-CN"/>
        </w:rPr>
        <w:t>（</w:t>
      </w:r>
      <w:r>
        <w:rPr>
          <w:rFonts w:hint="eastAsia" w:ascii="微软雅黑" w:hAnsi="微软雅黑" w:eastAsia="微软雅黑" w:cs="微软雅黑"/>
          <w:color w:val="000000"/>
          <w:szCs w:val="21"/>
          <w:highlight w:val="none"/>
        </w:rPr>
        <w:t>成交</w:t>
      </w:r>
      <w:r>
        <w:rPr>
          <w:rFonts w:hint="eastAsia" w:ascii="微软雅黑" w:hAnsi="微软雅黑" w:eastAsia="微软雅黑" w:cs="微软雅黑"/>
          <w:color w:val="000000"/>
          <w:szCs w:val="21"/>
          <w:highlight w:val="none"/>
          <w:lang w:eastAsia="zh-CN"/>
        </w:rPr>
        <w:t>）</w:t>
      </w:r>
      <w:r>
        <w:rPr>
          <w:rFonts w:hint="eastAsia" w:ascii="微软雅黑" w:hAnsi="微软雅黑" w:eastAsia="微软雅黑" w:cs="微软雅黑"/>
          <w:color w:val="000000"/>
          <w:szCs w:val="21"/>
          <w:highlight w:val="none"/>
        </w:rPr>
        <w:t>项目中的部分履约内容，分给具有相应资质条件的供应商履行合同的行为。</w:t>
      </w:r>
    </w:p>
    <w:p w14:paraId="4FEE097D">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w:t>
      </w:r>
      <w:r>
        <w:rPr>
          <w:rFonts w:hint="eastAsia" w:ascii="微软雅黑" w:hAnsi="微软雅黑" w:eastAsia="微软雅黑" w:cs="微软雅黑"/>
          <w:color w:val="000000"/>
          <w:szCs w:val="21"/>
          <w:highlight w:val="none"/>
          <w:lang w:val="en-US" w:eastAsia="zh-CN"/>
        </w:rPr>
        <w:t>6</w:t>
      </w:r>
      <w:r>
        <w:rPr>
          <w:rFonts w:hint="eastAsia" w:ascii="微软雅黑" w:hAnsi="微软雅黑" w:eastAsia="微软雅黑" w:cs="微软雅黑"/>
          <w:color w:val="000000"/>
          <w:szCs w:val="21"/>
          <w:highlight w:val="none"/>
        </w:rPr>
        <w:t>）</w:t>
      </w:r>
      <w:r>
        <w:rPr>
          <w:rFonts w:hint="eastAsia" w:ascii="微软雅黑" w:hAnsi="微软雅黑" w:eastAsia="微软雅黑" w:cs="微软雅黑"/>
          <w:szCs w:val="21"/>
        </w:rPr>
        <w:t>“联合体”系指</w:t>
      </w:r>
      <w:r>
        <w:rPr>
          <w:rFonts w:hint="eastAsia" w:ascii="微软雅黑" w:hAnsi="微软雅黑" w:eastAsia="微软雅黑" w:cs="微软雅黑"/>
          <w:szCs w:val="21"/>
          <w:lang w:eastAsia="zh-CN"/>
        </w:rPr>
        <w:t>由</w:t>
      </w:r>
      <w:r>
        <w:rPr>
          <w:rFonts w:hint="eastAsia" w:ascii="微软雅黑" w:hAnsi="微软雅黑" w:eastAsia="微软雅黑" w:cs="微软雅黑"/>
          <w:szCs w:val="21"/>
        </w:rPr>
        <w:t>两个以上的自然人、法人或者</w:t>
      </w:r>
      <w:r>
        <w:rPr>
          <w:rFonts w:hint="eastAsia" w:ascii="微软雅黑" w:hAnsi="微软雅黑" w:eastAsia="微软雅黑" w:cs="微软雅黑"/>
          <w:szCs w:val="21"/>
          <w:lang w:val="en-US" w:eastAsia="zh-CN"/>
        </w:rPr>
        <w:t>非法人</w:t>
      </w:r>
      <w:r>
        <w:rPr>
          <w:rFonts w:hint="eastAsia" w:ascii="微软雅黑" w:hAnsi="微软雅黑" w:eastAsia="微软雅黑" w:cs="微软雅黑"/>
          <w:szCs w:val="21"/>
        </w:rPr>
        <w:t>组织组成，</w:t>
      </w:r>
      <w:r>
        <w:rPr>
          <w:rFonts w:hint="eastAsia" w:ascii="微软雅黑" w:hAnsi="微软雅黑" w:eastAsia="微软雅黑" w:cs="微软雅黑"/>
          <w:szCs w:val="21"/>
          <w:lang w:eastAsia="zh-CN"/>
        </w:rPr>
        <w:t>以一个供应商的身份共同参加政府采购的主体</w:t>
      </w:r>
      <w:r>
        <w:rPr>
          <w:rFonts w:hint="eastAsia" w:ascii="微软雅黑" w:hAnsi="微软雅黑" w:eastAsia="微软雅黑" w:cs="微软雅黑"/>
          <w:color w:val="000000"/>
          <w:szCs w:val="21"/>
          <w:highlight w:val="none"/>
          <w:lang w:eastAsia="zh-CN"/>
        </w:rPr>
        <w:t>。</w:t>
      </w:r>
      <w:r>
        <w:rPr>
          <w:rFonts w:hint="eastAsia" w:ascii="微软雅黑" w:hAnsi="微软雅黑" w:eastAsia="微软雅黑" w:cs="微软雅黑"/>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微软雅黑" w:hAnsi="微软雅黑" w:eastAsia="微软雅黑" w:cs="微软雅黑"/>
          <w:color w:val="000000"/>
          <w:szCs w:val="21"/>
          <w:highlight w:val="none"/>
          <w:lang w:eastAsia="zh-CN"/>
        </w:rPr>
        <w:t>甲方</w:t>
      </w:r>
      <w:r>
        <w:rPr>
          <w:rFonts w:hint="eastAsia" w:ascii="微软雅黑" w:hAnsi="微软雅黑" w:eastAsia="微软雅黑" w:cs="微软雅黑"/>
          <w:color w:val="000000"/>
          <w:szCs w:val="21"/>
          <w:highlight w:val="none"/>
        </w:rPr>
        <w:t>承担连带责任。联合体具体要求见【</w:t>
      </w:r>
      <w:r>
        <w:rPr>
          <w:rFonts w:hint="eastAsia" w:ascii="微软雅黑" w:hAnsi="微软雅黑" w:eastAsia="微软雅黑" w:cs="微软雅黑"/>
          <w:b/>
          <w:bCs/>
          <w:color w:val="000000"/>
          <w:szCs w:val="21"/>
          <w:highlight w:val="none"/>
        </w:rPr>
        <w:t>政府采购合同专用条款</w:t>
      </w:r>
      <w:r>
        <w:rPr>
          <w:rFonts w:hint="eastAsia" w:ascii="微软雅黑" w:hAnsi="微软雅黑" w:eastAsia="微软雅黑" w:cs="微软雅黑"/>
          <w:color w:val="000000"/>
          <w:szCs w:val="21"/>
          <w:highlight w:val="none"/>
        </w:rPr>
        <w:t>】。</w:t>
      </w:r>
    </w:p>
    <w:p w14:paraId="000F3524">
      <w:pPr>
        <w:tabs>
          <w:tab w:val="left" w:pos="570"/>
          <w:tab w:val="left" w:pos="9240"/>
          <w:tab w:val="left" w:pos="9555"/>
        </w:tabs>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rPr>
        <w:t>（</w:t>
      </w:r>
      <w:r>
        <w:rPr>
          <w:rFonts w:hint="eastAsia" w:ascii="微软雅黑" w:hAnsi="微软雅黑" w:eastAsia="微软雅黑" w:cs="微软雅黑"/>
          <w:color w:val="000000"/>
          <w:szCs w:val="21"/>
          <w:highlight w:val="none"/>
          <w:lang w:val="en-US" w:eastAsia="zh-CN"/>
        </w:rPr>
        <w:t>7</w:t>
      </w:r>
      <w:r>
        <w:rPr>
          <w:rFonts w:hint="eastAsia" w:ascii="微软雅黑" w:hAnsi="微软雅黑" w:eastAsia="微软雅黑" w:cs="微软雅黑"/>
          <w:color w:val="000000"/>
          <w:szCs w:val="21"/>
          <w:highlight w:val="none"/>
        </w:rPr>
        <w:t>）其他术语解释，见【</w:t>
      </w:r>
      <w:r>
        <w:rPr>
          <w:rFonts w:hint="eastAsia" w:ascii="微软雅黑" w:hAnsi="微软雅黑" w:eastAsia="微软雅黑" w:cs="微软雅黑"/>
          <w:b/>
          <w:bCs/>
          <w:color w:val="000000"/>
          <w:szCs w:val="21"/>
          <w:highlight w:val="none"/>
        </w:rPr>
        <w:t>政府采购合同专用条款</w:t>
      </w:r>
      <w:r>
        <w:rPr>
          <w:rFonts w:hint="eastAsia" w:ascii="微软雅黑" w:hAnsi="微软雅黑" w:eastAsia="微软雅黑" w:cs="微软雅黑"/>
          <w:color w:val="000000"/>
          <w:szCs w:val="21"/>
          <w:highlight w:val="none"/>
        </w:rPr>
        <w:t>】。</w:t>
      </w:r>
    </w:p>
    <w:p w14:paraId="067112F2">
      <w:pPr>
        <w:numPr>
          <w:ilvl w:val="0"/>
          <w:numId w:val="4"/>
        </w:numPr>
        <w:autoSpaceDE w:val="0"/>
        <w:autoSpaceDN w:val="0"/>
        <w:adjustRightInd w:val="0"/>
        <w:snapToGrid w:val="0"/>
        <w:spacing w:before="0" w:line="400" w:lineRule="exact"/>
        <w:jc w:val="left"/>
        <w:rPr>
          <w:rFonts w:hint="eastAsia" w:ascii="微软雅黑" w:hAnsi="微软雅黑" w:eastAsia="微软雅黑" w:cs="微软雅黑"/>
          <w:b/>
          <w:bCs/>
          <w:color w:val="000000"/>
          <w:sz w:val="24"/>
          <w:highlight w:val="none"/>
        </w:rPr>
      </w:pPr>
      <w:r>
        <w:rPr>
          <w:rFonts w:hint="eastAsia" w:ascii="微软雅黑" w:hAnsi="微软雅黑" w:eastAsia="微软雅黑" w:cs="微软雅黑"/>
          <w:b/>
          <w:color w:val="000000"/>
          <w:sz w:val="24"/>
          <w:highlight w:val="none"/>
        </w:rPr>
        <w:t>合同标的及金额</w:t>
      </w:r>
    </w:p>
    <w:p w14:paraId="5314D915">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b/>
          <w:bCs/>
          <w:i/>
          <w:iCs/>
          <w:color w:val="000000"/>
          <w:szCs w:val="21"/>
          <w:highlight w:val="none"/>
        </w:rPr>
      </w:pPr>
      <w:r>
        <w:rPr>
          <w:rFonts w:hint="eastAsia" w:ascii="微软雅黑" w:hAnsi="微软雅黑" w:eastAsia="微软雅黑" w:cs="微软雅黑"/>
          <w:color w:val="000000"/>
          <w:szCs w:val="21"/>
          <w:highlight w:val="none"/>
          <w:lang w:eastAsia="zh-CN"/>
        </w:rPr>
        <w:t>2</w:t>
      </w:r>
      <w:r>
        <w:rPr>
          <w:rFonts w:hint="eastAsia" w:ascii="微软雅黑" w:hAnsi="微软雅黑" w:eastAsia="微软雅黑" w:cs="微软雅黑"/>
          <w:color w:val="000000"/>
          <w:szCs w:val="21"/>
          <w:highlight w:val="none"/>
        </w:rPr>
        <w:t>.1 合同标的及金额应与中标（成交）结果一致。乙方为履行本合同而发生的所有费用均应包含在合同</w:t>
      </w:r>
      <w:r>
        <w:rPr>
          <w:rFonts w:hint="eastAsia" w:ascii="微软雅黑" w:hAnsi="微软雅黑" w:eastAsia="微软雅黑" w:cs="微软雅黑"/>
          <w:color w:val="000000"/>
          <w:szCs w:val="21"/>
          <w:highlight w:val="none"/>
          <w:lang w:eastAsia="zh-CN"/>
        </w:rPr>
        <w:t>价款</w:t>
      </w:r>
      <w:r>
        <w:rPr>
          <w:rFonts w:hint="eastAsia" w:ascii="微软雅黑" w:hAnsi="微软雅黑" w:eastAsia="微软雅黑" w:cs="微软雅黑"/>
          <w:color w:val="000000"/>
          <w:szCs w:val="21"/>
          <w:highlight w:val="none"/>
        </w:rPr>
        <w:t>中，甲方不再另行支付</w:t>
      </w:r>
      <w:r>
        <w:rPr>
          <w:rFonts w:hint="eastAsia" w:ascii="微软雅黑" w:hAnsi="微软雅黑" w:eastAsia="微软雅黑" w:cs="微软雅黑"/>
          <w:color w:val="000000"/>
          <w:szCs w:val="21"/>
          <w:highlight w:val="none"/>
          <w:lang w:val="en"/>
        </w:rPr>
        <w:t>其他</w:t>
      </w:r>
      <w:r>
        <w:rPr>
          <w:rFonts w:hint="eastAsia" w:ascii="微软雅黑" w:hAnsi="微软雅黑" w:eastAsia="微软雅黑" w:cs="微软雅黑"/>
          <w:color w:val="000000"/>
          <w:szCs w:val="21"/>
          <w:highlight w:val="none"/>
        </w:rPr>
        <w:t>任何费用。</w:t>
      </w:r>
    </w:p>
    <w:p w14:paraId="09C5EAEB">
      <w:pPr>
        <w:adjustRightInd w:val="0"/>
        <w:snapToGrid w:val="0"/>
        <w:spacing w:before="0" w:line="400" w:lineRule="exact"/>
        <w:jc w:val="left"/>
        <w:rPr>
          <w:rFonts w:hint="eastAsia" w:ascii="微软雅黑" w:hAnsi="微软雅黑" w:eastAsia="微软雅黑" w:cs="微软雅黑"/>
          <w:b/>
          <w:color w:val="000000"/>
          <w:sz w:val="24"/>
          <w:highlight w:val="none"/>
        </w:rPr>
      </w:pPr>
      <w:r>
        <w:rPr>
          <w:rFonts w:hint="eastAsia" w:ascii="微软雅黑" w:hAnsi="微软雅黑" w:eastAsia="微软雅黑" w:cs="微软雅黑"/>
          <w:b/>
          <w:color w:val="000000"/>
          <w:sz w:val="24"/>
          <w:highlight w:val="none"/>
          <w:lang w:eastAsia="zh-CN"/>
        </w:rPr>
        <w:t>3</w:t>
      </w:r>
      <w:r>
        <w:rPr>
          <w:rFonts w:hint="eastAsia" w:ascii="微软雅黑" w:hAnsi="微软雅黑" w:eastAsia="微软雅黑" w:cs="微软雅黑"/>
          <w:b/>
          <w:color w:val="000000"/>
          <w:sz w:val="24"/>
          <w:highlight w:val="none"/>
          <w:lang w:val="en-US" w:eastAsia="zh-CN"/>
        </w:rPr>
        <w:t xml:space="preserve">. </w:t>
      </w:r>
      <w:r>
        <w:rPr>
          <w:rFonts w:hint="eastAsia" w:ascii="微软雅黑" w:hAnsi="微软雅黑" w:eastAsia="微软雅黑" w:cs="微软雅黑"/>
          <w:b/>
          <w:color w:val="000000"/>
          <w:sz w:val="24"/>
          <w:highlight w:val="none"/>
        </w:rPr>
        <w:t>履行合同的时间、地点和方式</w:t>
      </w:r>
    </w:p>
    <w:p w14:paraId="0D39C56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3</w:t>
      </w:r>
      <w:r>
        <w:rPr>
          <w:rFonts w:hint="eastAsia" w:ascii="微软雅黑" w:hAnsi="微软雅黑" w:eastAsia="微软雅黑" w:cs="微软雅黑"/>
          <w:color w:val="000000"/>
          <w:szCs w:val="21"/>
          <w:highlight w:val="none"/>
        </w:rPr>
        <w:t xml:space="preserve">.1 </w:t>
      </w:r>
      <w:r>
        <w:rPr>
          <w:rFonts w:hint="eastAsia" w:ascii="微软雅黑" w:hAnsi="微软雅黑" w:eastAsia="微软雅黑" w:cs="微软雅黑"/>
          <w:szCs w:val="21"/>
        </w:rPr>
        <w:t>乙方应当在约定的时间、地点</w:t>
      </w:r>
      <w:r>
        <w:rPr>
          <w:rFonts w:hint="eastAsia" w:ascii="微软雅黑" w:hAnsi="微软雅黑" w:eastAsia="微软雅黑" w:cs="微软雅黑"/>
          <w:szCs w:val="21"/>
          <w:lang w:eastAsia="zh-CN"/>
        </w:rPr>
        <w:t>，按照约定</w:t>
      </w:r>
      <w:r>
        <w:rPr>
          <w:rFonts w:hint="eastAsia" w:ascii="微软雅黑" w:hAnsi="微软雅黑" w:eastAsia="微软雅黑" w:cs="微软雅黑"/>
          <w:szCs w:val="21"/>
        </w:rPr>
        <w:t>方式履行合同。</w:t>
      </w:r>
    </w:p>
    <w:p w14:paraId="5CD59B22">
      <w:pPr>
        <w:autoSpaceDE w:val="0"/>
        <w:autoSpaceDN w:val="0"/>
        <w:adjustRightInd w:val="0"/>
        <w:snapToGrid w:val="0"/>
        <w:spacing w:before="0" w:line="400" w:lineRule="exact"/>
        <w:jc w:val="left"/>
        <w:rPr>
          <w:rFonts w:hint="eastAsia" w:ascii="微软雅黑" w:hAnsi="微软雅黑" w:eastAsia="微软雅黑" w:cs="微软雅黑"/>
          <w:b/>
          <w:bCs/>
          <w:color w:val="000000"/>
          <w:sz w:val="24"/>
          <w:highlight w:val="none"/>
        </w:rPr>
      </w:pPr>
      <w:r>
        <w:rPr>
          <w:rFonts w:hint="eastAsia" w:ascii="微软雅黑" w:hAnsi="微软雅黑" w:eastAsia="微软雅黑" w:cs="微软雅黑"/>
          <w:b/>
          <w:bCs/>
          <w:color w:val="000000"/>
          <w:sz w:val="24"/>
          <w:highlight w:val="none"/>
          <w:lang w:eastAsia="zh-CN"/>
        </w:rPr>
        <w:t>4</w:t>
      </w:r>
      <w:r>
        <w:rPr>
          <w:rFonts w:hint="eastAsia" w:ascii="微软雅黑" w:hAnsi="微软雅黑" w:eastAsia="微软雅黑" w:cs="微软雅黑"/>
          <w:b/>
          <w:bCs/>
          <w:color w:val="000000"/>
          <w:sz w:val="24"/>
          <w:highlight w:val="none"/>
          <w:lang w:val="en-US" w:eastAsia="zh-CN"/>
        </w:rPr>
        <w:t xml:space="preserve">. </w:t>
      </w:r>
      <w:r>
        <w:rPr>
          <w:rFonts w:hint="eastAsia" w:ascii="微软雅黑" w:hAnsi="微软雅黑" w:eastAsia="微软雅黑" w:cs="微软雅黑"/>
          <w:b/>
          <w:bCs/>
          <w:color w:val="000000"/>
          <w:sz w:val="24"/>
          <w:highlight w:val="none"/>
        </w:rPr>
        <w:t>甲方的权利和义务</w:t>
      </w:r>
    </w:p>
    <w:p w14:paraId="025A5AC1">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4</w:t>
      </w:r>
      <w:r>
        <w:rPr>
          <w:rFonts w:hint="eastAsia" w:ascii="微软雅黑" w:hAnsi="微软雅黑" w:eastAsia="微软雅黑" w:cs="微软雅黑"/>
          <w:color w:val="000000"/>
          <w:szCs w:val="21"/>
          <w:highlight w:val="none"/>
        </w:rPr>
        <w:t>.1 签署合同后，甲方</w:t>
      </w:r>
      <w:r>
        <w:rPr>
          <w:rFonts w:hint="eastAsia" w:ascii="微软雅黑" w:hAnsi="微软雅黑" w:eastAsia="微软雅黑" w:cs="微软雅黑"/>
          <w:color w:val="000000"/>
          <w:szCs w:val="21"/>
          <w:highlight w:val="none"/>
          <w:lang w:eastAsia="zh-CN"/>
        </w:rPr>
        <w:t>应</w:t>
      </w:r>
      <w:r>
        <w:rPr>
          <w:rFonts w:hint="eastAsia" w:ascii="微软雅黑" w:hAnsi="微软雅黑" w:eastAsia="微软雅黑" w:cs="微软雅黑"/>
          <w:color w:val="000000"/>
          <w:szCs w:val="21"/>
          <w:highlight w:val="none"/>
        </w:rPr>
        <w:t>确定</w:t>
      </w:r>
      <w:r>
        <w:rPr>
          <w:rFonts w:hint="eastAsia" w:ascii="微软雅黑" w:hAnsi="微软雅黑" w:eastAsia="微软雅黑" w:cs="微软雅黑"/>
          <w:color w:val="000000"/>
          <w:szCs w:val="21"/>
          <w:highlight w:val="none"/>
          <w:lang w:val="en-US" w:eastAsia="zh-CN"/>
        </w:rPr>
        <w:t>项目负责人（或项目联系人）</w:t>
      </w:r>
      <w:r>
        <w:rPr>
          <w:rFonts w:hint="eastAsia" w:ascii="微软雅黑" w:hAnsi="微软雅黑" w:eastAsia="微软雅黑" w:cs="微软雅黑"/>
          <w:color w:val="000000"/>
          <w:szCs w:val="21"/>
          <w:highlight w:val="none"/>
        </w:rPr>
        <w:t>，负责与本合同有关的事务。甲方有权对乙方的履约行为进行检查，并及时确认乙方提交的事项。甲方应当配合乙方完成相关项目实施工作。</w:t>
      </w:r>
    </w:p>
    <w:p w14:paraId="2AE67521">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4</w:t>
      </w:r>
      <w:r>
        <w:rPr>
          <w:rFonts w:hint="eastAsia" w:ascii="微软雅黑" w:hAnsi="微软雅黑" w:eastAsia="微软雅黑" w:cs="微软雅黑"/>
          <w:color w:val="000000"/>
          <w:szCs w:val="21"/>
          <w:highlight w:val="none"/>
        </w:rPr>
        <w:t>.2 甲方有权要求乙方按时提交各阶段有关安排计划，并有权定期核对乙方提供货物数量、规格、质量等内容。甲方有权督促乙方工作并要求乙方更换不符合要求的货物。</w:t>
      </w:r>
    </w:p>
    <w:p w14:paraId="4C1FD457">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4</w:t>
      </w:r>
      <w:r>
        <w:rPr>
          <w:rFonts w:hint="eastAsia" w:ascii="微软雅黑" w:hAnsi="微软雅黑" w:eastAsia="微软雅黑" w:cs="微软雅黑"/>
          <w:color w:val="000000"/>
          <w:szCs w:val="21"/>
          <w:highlight w:val="none"/>
        </w:rPr>
        <w:t>.3 甲方有权要求乙方对缺陷部分予以修复，并按合同约定享有货物保修及其他合同约定的权利。</w:t>
      </w:r>
    </w:p>
    <w:p w14:paraId="35DD62A8">
      <w:pPr>
        <w:snapToGrid w:val="0"/>
        <w:spacing w:line="400" w:lineRule="exact"/>
        <w:ind w:firstLine="420" w:firstLineChars="200"/>
        <w:rPr>
          <w:rFonts w:hint="eastAsia" w:ascii="微软雅黑" w:hAnsi="微软雅黑" w:eastAsia="微软雅黑" w:cs="微软雅黑"/>
          <w:lang w:val="en-US" w:eastAsia="zh-CN"/>
        </w:rPr>
      </w:pPr>
      <w:r>
        <w:rPr>
          <w:rFonts w:hint="eastAsia" w:ascii="微软雅黑" w:hAnsi="微软雅黑" w:eastAsia="微软雅黑" w:cs="微软雅黑"/>
          <w:color w:val="000000"/>
          <w:szCs w:val="21"/>
          <w:highlight w:val="none"/>
          <w:lang w:val="en-US" w:eastAsia="zh-CN"/>
        </w:rPr>
        <w:t>4.4 甲方应当按照合同约定及时对交付的货物进行验收，</w:t>
      </w:r>
      <w:r>
        <w:rPr>
          <w:rFonts w:hint="eastAsia" w:ascii="微软雅黑" w:hAnsi="微软雅黑" w:eastAsia="微软雅黑" w:cs="微软雅黑"/>
          <w:b w:val="0"/>
          <w:bCs w:val="0"/>
          <w:szCs w:val="21"/>
          <w:highlight w:val="none"/>
          <w:lang w:eastAsia="zh-CN"/>
        </w:rPr>
        <w:t>未</w:t>
      </w:r>
      <w:r>
        <w:rPr>
          <w:rFonts w:hint="eastAsia" w:ascii="微软雅黑" w:hAnsi="微软雅黑" w:eastAsia="微软雅黑" w:cs="微软雅黑"/>
          <w:color w:val="000000"/>
          <w:szCs w:val="21"/>
          <w:highlight w:val="none"/>
          <w:lang w:val="en-US" w:eastAsia="zh-CN"/>
        </w:rPr>
        <w:t>在</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b w:val="0"/>
          <w:bCs w:val="0"/>
          <w:szCs w:val="21"/>
          <w:highlight w:val="none"/>
          <w:lang w:eastAsia="zh-CN"/>
        </w:rPr>
        <w:t>约定的期限内对乙方履约提出任何异议或者向乙方作出任何说明的，</w:t>
      </w:r>
      <w:r>
        <w:rPr>
          <w:rFonts w:hint="eastAsia" w:ascii="微软雅黑" w:hAnsi="微软雅黑" w:eastAsia="微软雅黑" w:cs="微软雅黑"/>
          <w:color w:val="000000"/>
          <w:szCs w:val="21"/>
          <w:highlight w:val="none"/>
          <w:lang w:val="en-US" w:eastAsia="zh-CN"/>
        </w:rPr>
        <w:t>视为验收通过。</w:t>
      </w:r>
    </w:p>
    <w:p w14:paraId="6A33D3FF">
      <w:pPr>
        <w:autoSpaceDE w:val="0"/>
        <w:autoSpaceDN w:val="0"/>
        <w:adjustRightInd w:val="0"/>
        <w:snapToGrid w:val="0"/>
        <w:spacing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4</w:t>
      </w:r>
      <w:r>
        <w:rPr>
          <w:rFonts w:hint="eastAsia" w:ascii="微软雅黑" w:hAnsi="微软雅黑" w:eastAsia="微软雅黑" w:cs="微软雅黑"/>
          <w:color w:val="000000"/>
          <w:szCs w:val="21"/>
          <w:highlight w:val="none"/>
        </w:rPr>
        <w:t>.</w:t>
      </w:r>
      <w:r>
        <w:rPr>
          <w:rFonts w:hint="eastAsia" w:ascii="微软雅黑" w:hAnsi="微软雅黑" w:eastAsia="微软雅黑" w:cs="微软雅黑"/>
          <w:color w:val="000000"/>
          <w:szCs w:val="21"/>
          <w:highlight w:val="none"/>
          <w:lang w:val="en-US" w:eastAsia="zh-CN"/>
        </w:rPr>
        <w:t>5</w:t>
      </w:r>
      <w:r>
        <w:rPr>
          <w:rFonts w:hint="eastAsia" w:ascii="微软雅黑" w:hAnsi="微软雅黑" w:eastAsia="微软雅黑" w:cs="微软雅黑"/>
          <w:color w:val="000000"/>
          <w:szCs w:val="21"/>
          <w:highlight w:val="none"/>
        </w:rPr>
        <w:t xml:space="preserve"> 甲方应当根据合同约定</w:t>
      </w:r>
      <w:r>
        <w:rPr>
          <w:rFonts w:hint="eastAsia" w:ascii="微软雅黑" w:hAnsi="微软雅黑" w:eastAsia="微软雅黑" w:cs="微软雅黑"/>
          <w:color w:val="000000"/>
          <w:szCs w:val="21"/>
          <w:highlight w:val="none"/>
          <w:lang w:eastAsia="zh-CN"/>
        </w:rPr>
        <w:t>及</w:t>
      </w:r>
      <w:r>
        <w:rPr>
          <w:rFonts w:hint="eastAsia" w:ascii="微软雅黑" w:hAnsi="微软雅黑" w:eastAsia="微软雅黑" w:cs="微软雅黑"/>
          <w:color w:val="000000"/>
          <w:szCs w:val="21"/>
          <w:highlight w:val="none"/>
        </w:rPr>
        <w:t>时向乙方支付</w:t>
      </w:r>
      <w:r>
        <w:rPr>
          <w:rFonts w:hint="eastAsia" w:ascii="微软雅黑" w:hAnsi="微软雅黑" w:eastAsia="微软雅黑" w:cs="微软雅黑"/>
          <w:color w:val="000000"/>
          <w:szCs w:val="21"/>
          <w:highlight w:val="none"/>
          <w:lang w:eastAsia="zh-CN"/>
        </w:rPr>
        <w:t>合同价款，不得以内部人员变更、履行内部付款流程等为由，拒绝或迟延支付。</w:t>
      </w:r>
    </w:p>
    <w:p w14:paraId="5E3F0F8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4</w:t>
      </w:r>
      <w:r>
        <w:rPr>
          <w:rFonts w:hint="eastAsia" w:ascii="微软雅黑" w:hAnsi="微软雅黑" w:eastAsia="微软雅黑" w:cs="微软雅黑"/>
          <w:color w:val="000000"/>
          <w:szCs w:val="21"/>
          <w:highlight w:val="none"/>
        </w:rPr>
        <w:t>.</w:t>
      </w:r>
      <w:r>
        <w:rPr>
          <w:rFonts w:hint="eastAsia" w:ascii="微软雅黑" w:hAnsi="微软雅黑" w:eastAsia="微软雅黑" w:cs="微软雅黑"/>
          <w:color w:val="000000"/>
          <w:szCs w:val="21"/>
          <w:highlight w:val="none"/>
          <w:lang w:val="en-US" w:eastAsia="zh-CN"/>
        </w:rPr>
        <w:t>6</w:t>
      </w:r>
      <w:r>
        <w:rPr>
          <w:rFonts w:hint="eastAsia" w:ascii="微软雅黑" w:hAnsi="微软雅黑" w:eastAsia="微软雅黑" w:cs="微软雅黑"/>
          <w:color w:val="000000"/>
          <w:szCs w:val="21"/>
          <w:highlight w:val="none"/>
        </w:rPr>
        <w:t xml:space="preserve"> 国家法律法规规定</w:t>
      </w:r>
      <w:r>
        <w:rPr>
          <w:rFonts w:hint="eastAsia" w:ascii="微软雅黑" w:hAnsi="微软雅黑" w:eastAsia="微软雅黑" w:cs="微软雅黑"/>
          <w:color w:val="000000"/>
          <w:szCs w:val="21"/>
          <w:highlight w:val="none"/>
          <w:lang w:eastAsia="zh-CN"/>
        </w:rPr>
        <w:t>及</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color w:val="000000"/>
          <w:szCs w:val="21"/>
          <w:highlight w:val="none"/>
          <w:lang w:eastAsia="zh-CN"/>
        </w:rPr>
        <w:t>约定应</w:t>
      </w:r>
      <w:r>
        <w:rPr>
          <w:rFonts w:hint="eastAsia" w:ascii="微软雅黑" w:hAnsi="微软雅黑" w:eastAsia="微软雅黑" w:cs="微软雅黑"/>
          <w:color w:val="000000"/>
          <w:szCs w:val="21"/>
          <w:highlight w:val="none"/>
        </w:rPr>
        <w:t>由甲方承担的其他义务和责任。</w:t>
      </w:r>
    </w:p>
    <w:p w14:paraId="51C5F27B">
      <w:pPr>
        <w:autoSpaceDE w:val="0"/>
        <w:autoSpaceDN w:val="0"/>
        <w:adjustRightInd w:val="0"/>
        <w:snapToGrid w:val="0"/>
        <w:spacing w:before="0" w:line="400" w:lineRule="exact"/>
        <w:jc w:val="left"/>
        <w:rPr>
          <w:rFonts w:hint="eastAsia" w:ascii="微软雅黑" w:hAnsi="微软雅黑" w:eastAsia="微软雅黑" w:cs="微软雅黑"/>
          <w:b/>
          <w:bCs/>
          <w:color w:val="000000"/>
          <w:sz w:val="24"/>
          <w:highlight w:val="none"/>
        </w:rPr>
      </w:pPr>
      <w:r>
        <w:rPr>
          <w:rFonts w:hint="eastAsia" w:ascii="微软雅黑" w:hAnsi="微软雅黑" w:eastAsia="微软雅黑" w:cs="微软雅黑"/>
          <w:b/>
          <w:bCs/>
          <w:color w:val="000000"/>
          <w:sz w:val="24"/>
          <w:highlight w:val="none"/>
          <w:lang w:eastAsia="zh-CN"/>
        </w:rPr>
        <w:t>5</w:t>
      </w:r>
      <w:r>
        <w:rPr>
          <w:rFonts w:hint="eastAsia" w:ascii="微软雅黑" w:hAnsi="微软雅黑" w:eastAsia="微软雅黑" w:cs="微软雅黑"/>
          <w:b/>
          <w:bCs/>
          <w:color w:val="000000"/>
          <w:sz w:val="24"/>
          <w:highlight w:val="none"/>
          <w:lang w:val="en-US" w:eastAsia="zh-CN"/>
        </w:rPr>
        <w:t xml:space="preserve">. </w:t>
      </w:r>
      <w:r>
        <w:rPr>
          <w:rFonts w:hint="eastAsia" w:ascii="微软雅黑" w:hAnsi="微软雅黑" w:eastAsia="微软雅黑" w:cs="微软雅黑"/>
          <w:b/>
          <w:bCs/>
          <w:color w:val="000000"/>
          <w:sz w:val="24"/>
          <w:highlight w:val="none"/>
        </w:rPr>
        <w:t>乙方的权利和义务</w:t>
      </w:r>
    </w:p>
    <w:p w14:paraId="57DC3F82">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5</w:t>
      </w:r>
      <w:r>
        <w:rPr>
          <w:rFonts w:hint="eastAsia" w:ascii="微软雅黑" w:hAnsi="微软雅黑" w:eastAsia="微软雅黑" w:cs="微软雅黑"/>
          <w:color w:val="000000"/>
          <w:szCs w:val="21"/>
          <w:highlight w:val="none"/>
        </w:rPr>
        <w:t>.1 签署合同后，乙方</w:t>
      </w:r>
      <w:r>
        <w:rPr>
          <w:rFonts w:hint="eastAsia" w:ascii="微软雅黑" w:hAnsi="微软雅黑" w:eastAsia="微软雅黑" w:cs="微软雅黑"/>
          <w:color w:val="000000"/>
          <w:szCs w:val="21"/>
          <w:highlight w:val="none"/>
          <w:lang w:eastAsia="zh-CN"/>
        </w:rPr>
        <w:t>应</w:t>
      </w:r>
      <w:r>
        <w:rPr>
          <w:rFonts w:hint="eastAsia" w:ascii="微软雅黑" w:hAnsi="微软雅黑" w:eastAsia="微软雅黑" w:cs="微软雅黑"/>
          <w:color w:val="000000"/>
          <w:szCs w:val="21"/>
          <w:highlight w:val="none"/>
        </w:rPr>
        <w:t>确定</w:t>
      </w:r>
      <w:r>
        <w:rPr>
          <w:rFonts w:hint="eastAsia" w:ascii="微软雅黑" w:hAnsi="微软雅黑" w:eastAsia="微软雅黑" w:cs="微软雅黑"/>
          <w:color w:val="000000"/>
          <w:szCs w:val="21"/>
          <w:highlight w:val="none"/>
          <w:lang w:val="en-US" w:eastAsia="zh-CN"/>
        </w:rPr>
        <w:t>项目负责人（或项目联系人）</w:t>
      </w:r>
      <w:r>
        <w:rPr>
          <w:rFonts w:hint="eastAsia" w:ascii="微软雅黑" w:hAnsi="微软雅黑" w:eastAsia="微软雅黑" w:cs="微软雅黑"/>
          <w:color w:val="000000"/>
          <w:szCs w:val="21"/>
          <w:highlight w:val="none"/>
        </w:rPr>
        <w:t>，负责与本合同有关的事务。</w:t>
      </w:r>
    </w:p>
    <w:p w14:paraId="30403CDA">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5</w:t>
      </w:r>
      <w:r>
        <w:rPr>
          <w:rFonts w:hint="eastAsia" w:ascii="微软雅黑" w:hAnsi="微软雅黑" w:eastAsia="微软雅黑" w:cs="微软雅黑"/>
          <w:color w:val="000000"/>
          <w:szCs w:val="21"/>
          <w:highlight w:val="none"/>
        </w:rPr>
        <w:t>.2 乙方应按照合同要求履约，充分合理安排，确保提供的货物</w:t>
      </w:r>
      <w:r>
        <w:rPr>
          <w:rFonts w:hint="eastAsia" w:ascii="微软雅黑" w:hAnsi="微软雅黑" w:eastAsia="微软雅黑" w:cs="微软雅黑"/>
          <w:color w:val="000000"/>
          <w:szCs w:val="21"/>
          <w:highlight w:val="none"/>
          <w:lang w:eastAsia="zh-CN"/>
        </w:rPr>
        <w:t>及相关</w:t>
      </w:r>
      <w:r>
        <w:rPr>
          <w:rFonts w:hint="eastAsia" w:ascii="微软雅黑" w:hAnsi="微软雅黑" w:eastAsia="微软雅黑" w:cs="微软雅黑"/>
          <w:color w:val="000000"/>
          <w:szCs w:val="21"/>
          <w:highlight w:val="none"/>
        </w:rPr>
        <w:t>服务符合合同</w:t>
      </w:r>
      <w:r>
        <w:rPr>
          <w:rFonts w:hint="eastAsia" w:ascii="微软雅黑" w:hAnsi="微软雅黑" w:eastAsia="微软雅黑" w:cs="微软雅黑"/>
          <w:color w:val="000000"/>
          <w:szCs w:val="21"/>
          <w:highlight w:val="none"/>
          <w:lang w:eastAsia="zh-CN"/>
        </w:rPr>
        <w:t>有关</w:t>
      </w:r>
      <w:r>
        <w:rPr>
          <w:rFonts w:hint="eastAsia" w:ascii="微软雅黑" w:hAnsi="微软雅黑" w:eastAsia="微软雅黑" w:cs="微软雅黑"/>
          <w:color w:val="000000"/>
          <w:szCs w:val="21"/>
          <w:highlight w:val="none"/>
        </w:rPr>
        <w:t>要求。接受项目行业管理部门及政府有关部门的指导，配合甲方的履约检查</w:t>
      </w:r>
      <w:r>
        <w:rPr>
          <w:rFonts w:hint="eastAsia" w:ascii="微软雅黑" w:hAnsi="微软雅黑" w:eastAsia="微软雅黑" w:cs="微软雅黑"/>
          <w:color w:val="000000"/>
          <w:szCs w:val="21"/>
          <w:highlight w:val="none"/>
          <w:lang w:eastAsia="zh-CN"/>
        </w:rPr>
        <w:t>及验收</w:t>
      </w:r>
      <w:r>
        <w:rPr>
          <w:rFonts w:hint="eastAsia" w:ascii="微软雅黑" w:hAnsi="微软雅黑" w:eastAsia="微软雅黑" w:cs="微软雅黑"/>
          <w:color w:val="000000"/>
          <w:szCs w:val="21"/>
          <w:highlight w:val="none"/>
        </w:rPr>
        <w:t>，并负责项目实施过程中的所有协调工作。</w:t>
      </w:r>
    </w:p>
    <w:p w14:paraId="0322E479">
      <w:pPr>
        <w:pStyle w:val="9"/>
        <w:spacing w:after="0" w:line="400" w:lineRule="exact"/>
        <w:ind w:firstLine="422" w:firstLineChars="176"/>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5</w:t>
      </w:r>
      <w:r>
        <w:rPr>
          <w:rFonts w:hint="eastAsia" w:ascii="微软雅黑" w:hAnsi="微软雅黑" w:eastAsia="微软雅黑" w:cs="微软雅黑"/>
          <w:color w:val="000000"/>
          <w:szCs w:val="21"/>
          <w:highlight w:val="none"/>
        </w:rPr>
        <w:t>.3乙方有权根据合同约定向甲方收取</w:t>
      </w:r>
      <w:r>
        <w:rPr>
          <w:rFonts w:hint="eastAsia" w:ascii="微软雅黑" w:hAnsi="微软雅黑" w:eastAsia="微软雅黑" w:cs="微软雅黑"/>
          <w:color w:val="000000"/>
          <w:szCs w:val="21"/>
          <w:highlight w:val="none"/>
          <w:lang w:eastAsia="zh-CN"/>
        </w:rPr>
        <w:t>合同价款</w:t>
      </w:r>
      <w:r>
        <w:rPr>
          <w:rFonts w:hint="eastAsia" w:ascii="微软雅黑" w:hAnsi="微软雅黑" w:eastAsia="微软雅黑" w:cs="微软雅黑"/>
          <w:color w:val="000000"/>
          <w:szCs w:val="21"/>
          <w:highlight w:val="none"/>
        </w:rPr>
        <w:t>。</w:t>
      </w:r>
    </w:p>
    <w:p w14:paraId="2143DD44">
      <w:pPr>
        <w:pStyle w:val="9"/>
        <w:spacing w:after="0" w:line="400" w:lineRule="exact"/>
        <w:ind w:firstLine="422" w:firstLineChars="176"/>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5</w:t>
      </w:r>
      <w:r>
        <w:rPr>
          <w:rFonts w:hint="eastAsia" w:ascii="微软雅黑" w:hAnsi="微软雅黑" w:eastAsia="微软雅黑" w:cs="微软雅黑"/>
          <w:color w:val="000000"/>
          <w:szCs w:val="21"/>
          <w:highlight w:val="none"/>
        </w:rPr>
        <w:t>.4国家法律法规规定</w:t>
      </w:r>
      <w:r>
        <w:rPr>
          <w:rFonts w:hint="eastAsia" w:ascii="微软雅黑" w:hAnsi="微软雅黑" w:eastAsia="微软雅黑" w:cs="微软雅黑"/>
          <w:color w:val="000000"/>
          <w:szCs w:val="21"/>
          <w:highlight w:val="none"/>
          <w:lang w:eastAsia="zh-CN"/>
        </w:rPr>
        <w:t>及</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b w:val="0"/>
          <w:bCs w:val="0"/>
          <w:szCs w:val="21"/>
          <w:highlight w:val="none"/>
          <w:lang w:eastAsia="zh-CN"/>
        </w:rPr>
        <w:t>约定应</w:t>
      </w:r>
      <w:r>
        <w:rPr>
          <w:rFonts w:hint="eastAsia" w:ascii="微软雅黑" w:hAnsi="微软雅黑" w:eastAsia="微软雅黑" w:cs="微软雅黑"/>
          <w:color w:val="000000"/>
          <w:szCs w:val="21"/>
          <w:highlight w:val="none"/>
        </w:rPr>
        <w:t>由乙方承担的其他义务和责任。</w:t>
      </w:r>
    </w:p>
    <w:p w14:paraId="636C990D">
      <w:pPr>
        <w:numPr>
          <w:ilvl w:val="0"/>
          <w:numId w:val="5"/>
        </w:numPr>
        <w:autoSpaceDE w:val="0"/>
        <w:autoSpaceDN w:val="0"/>
        <w:adjustRightInd w:val="0"/>
        <w:snapToGrid w:val="0"/>
        <w:spacing w:before="0" w:line="400" w:lineRule="exact"/>
        <w:jc w:val="left"/>
        <w:rPr>
          <w:rFonts w:hint="eastAsia" w:ascii="微软雅黑" w:hAnsi="微软雅黑" w:eastAsia="微软雅黑" w:cs="微软雅黑"/>
          <w:b/>
          <w:bCs/>
          <w:color w:val="000000"/>
          <w:sz w:val="24"/>
          <w:highlight w:val="none"/>
        </w:rPr>
      </w:pPr>
      <w:r>
        <w:rPr>
          <w:rFonts w:hint="eastAsia" w:ascii="微软雅黑" w:hAnsi="微软雅黑" w:eastAsia="微软雅黑" w:cs="微软雅黑"/>
          <w:b/>
          <w:bCs/>
          <w:color w:val="000000"/>
          <w:sz w:val="24"/>
          <w:highlight w:val="none"/>
        </w:rPr>
        <w:t>合同履</w:t>
      </w:r>
      <w:r>
        <w:rPr>
          <w:rFonts w:hint="eastAsia" w:ascii="微软雅黑" w:hAnsi="微软雅黑" w:eastAsia="微软雅黑" w:cs="微软雅黑"/>
          <w:b/>
          <w:bCs/>
          <w:color w:val="000000"/>
          <w:sz w:val="24"/>
          <w:highlight w:val="none"/>
          <w:lang w:val="en-US" w:eastAsia="zh-CN"/>
        </w:rPr>
        <w:t>行</w:t>
      </w:r>
    </w:p>
    <w:p w14:paraId="6CC4ED0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6</w:t>
      </w:r>
      <w:r>
        <w:rPr>
          <w:rFonts w:hint="eastAsia" w:ascii="微软雅黑" w:hAnsi="微软雅黑" w:eastAsia="微软雅黑" w:cs="微软雅黑"/>
          <w:color w:val="000000"/>
          <w:szCs w:val="21"/>
          <w:highlight w:val="none"/>
        </w:rPr>
        <w:t>.1 甲乙双方应当按照</w:t>
      </w:r>
      <w:r>
        <w:rPr>
          <w:rFonts w:hint="eastAsia" w:ascii="微软雅黑" w:hAnsi="微软雅黑" w:eastAsia="微软雅黑" w:cs="微软雅黑"/>
          <w:b/>
          <w:bCs/>
          <w:szCs w:val="21"/>
          <w:highlight w:val="none"/>
        </w:rPr>
        <w:t>【政府采购合同专用条款】</w:t>
      </w:r>
      <w:r>
        <w:rPr>
          <w:rFonts w:hint="eastAsia" w:ascii="微软雅黑" w:hAnsi="微软雅黑" w:eastAsia="微软雅黑" w:cs="微软雅黑"/>
          <w:color w:val="000000"/>
          <w:szCs w:val="21"/>
          <w:highlight w:val="none"/>
        </w:rPr>
        <w:t>约定顺序履行合同义务；如果没有先后顺序的，应当同时履行。</w:t>
      </w:r>
    </w:p>
    <w:p w14:paraId="5B6ACF2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rPr>
      </w:pPr>
      <w:r>
        <w:rPr>
          <w:rFonts w:hint="eastAsia" w:ascii="微软雅黑" w:hAnsi="微软雅黑" w:eastAsia="微软雅黑" w:cs="微软雅黑"/>
          <w:color w:val="000000"/>
          <w:szCs w:val="21"/>
          <w:highlight w:val="none"/>
          <w:lang w:eastAsia="zh-CN"/>
        </w:rPr>
        <w:t>6</w:t>
      </w:r>
      <w:r>
        <w:rPr>
          <w:rFonts w:hint="eastAsia" w:ascii="微软雅黑" w:hAnsi="微软雅黑" w:eastAsia="微软雅黑" w:cs="微软雅黑"/>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10C166C1">
      <w:pPr>
        <w:adjustRightInd w:val="0"/>
        <w:snapToGrid w:val="0"/>
        <w:spacing w:before="0" w:line="400" w:lineRule="exact"/>
        <w:jc w:val="left"/>
        <w:rPr>
          <w:rFonts w:hint="eastAsia" w:ascii="微软雅黑" w:hAnsi="微软雅黑" w:eastAsia="微软雅黑" w:cs="微软雅黑"/>
          <w:b/>
          <w:bCs/>
          <w:color w:val="000000"/>
          <w:sz w:val="24"/>
          <w:highlight w:val="none"/>
        </w:rPr>
      </w:pPr>
      <w:r>
        <w:rPr>
          <w:rFonts w:hint="eastAsia" w:ascii="微软雅黑" w:hAnsi="微软雅黑" w:eastAsia="微软雅黑" w:cs="微软雅黑"/>
          <w:b/>
          <w:bCs/>
          <w:color w:val="000000"/>
          <w:sz w:val="24"/>
          <w:highlight w:val="none"/>
          <w:lang w:eastAsia="zh-CN"/>
        </w:rPr>
        <w:t>7</w:t>
      </w:r>
      <w:r>
        <w:rPr>
          <w:rFonts w:hint="eastAsia" w:ascii="微软雅黑" w:hAnsi="微软雅黑" w:eastAsia="微软雅黑" w:cs="微软雅黑"/>
          <w:b/>
          <w:bCs/>
          <w:color w:val="000000"/>
          <w:sz w:val="24"/>
          <w:highlight w:val="none"/>
          <w:lang w:val="en-US" w:eastAsia="zh-CN"/>
        </w:rPr>
        <w:t xml:space="preserve">. </w:t>
      </w:r>
      <w:r>
        <w:rPr>
          <w:rFonts w:hint="eastAsia" w:ascii="微软雅黑" w:hAnsi="微软雅黑" w:eastAsia="微软雅黑" w:cs="微软雅黑"/>
          <w:b/>
          <w:bCs/>
          <w:color w:val="000000"/>
          <w:sz w:val="24"/>
          <w:highlight w:val="none"/>
        </w:rPr>
        <w:t>货物包装、运输</w:t>
      </w:r>
      <w:r>
        <w:rPr>
          <w:rFonts w:hint="eastAsia" w:ascii="微软雅黑" w:hAnsi="微软雅黑" w:eastAsia="微软雅黑" w:cs="微软雅黑"/>
          <w:b/>
          <w:bCs/>
          <w:color w:val="000000"/>
          <w:sz w:val="24"/>
          <w:highlight w:val="none"/>
          <w:lang w:eastAsia="zh-CN"/>
        </w:rPr>
        <w:t>、</w:t>
      </w:r>
      <w:r>
        <w:rPr>
          <w:rFonts w:hint="eastAsia" w:ascii="微软雅黑" w:hAnsi="微软雅黑" w:eastAsia="微软雅黑" w:cs="微软雅黑"/>
          <w:b/>
          <w:bCs/>
          <w:color w:val="000000"/>
          <w:sz w:val="24"/>
          <w:highlight w:val="none"/>
        </w:rPr>
        <w:t>保险</w:t>
      </w:r>
      <w:r>
        <w:rPr>
          <w:rFonts w:hint="eastAsia" w:ascii="微软雅黑" w:hAnsi="微软雅黑" w:eastAsia="微软雅黑" w:cs="微软雅黑"/>
          <w:b/>
          <w:bCs/>
          <w:color w:val="000000"/>
          <w:sz w:val="24"/>
          <w:highlight w:val="none"/>
          <w:lang w:eastAsia="zh-CN"/>
        </w:rPr>
        <w:t>和交付</w:t>
      </w:r>
      <w:r>
        <w:rPr>
          <w:rFonts w:hint="eastAsia" w:ascii="微软雅黑" w:hAnsi="微软雅黑" w:eastAsia="微软雅黑" w:cs="微软雅黑"/>
          <w:b/>
          <w:bCs/>
          <w:color w:val="000000"/>
          <w:sz w:val="24"/>
          <w:highlight w:val="none"/>
        </w:rPr>
        <w:t>要求</w:t>
      </w:r>
    </w:p>
    <w:p w14:paraId="1458E77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7</w:t>
      </w:r>
      <w:r>
        <w:rPr>
          <w:rFonts w:hint="eastAsia" w:ascii="微软雅黑" w:hAnsi="微软雅黑" w:eastAsia="微软雅黑" w:cs="微软雅黑"/>
          <w:color w:val="000000"/>
          <w:szCs w:val="21"/>
          <w:highlight w:val="none"/>
        </w:rPr>
        <w:t>.1 本合同</w:t>
      </w:r>
      <w:r>
        <w:rPr>
          <w:rFonts w:hint="eastAsia" w:ascii="微软雅黑" w:hAnsi="微软雅黑" w:eastAsia="微软雅黑" w:cs="微软雅黑"/>
          <w:bCs/>
          <w:color w:val="000000"/>
          <w:szCs w:val="21"/>
          <w:highlight w:val="none"/>
        </w:rPr>
        <w:t>涉及商品包装</w:t>
      </w:r>
      <w:r>
        <w:rPr>
          <w:rFonts w:hint="eastAsia" w:ascii="微软雅黑" w:hAnsi="微软雅黑" w:eastAsia="微软雅黑" w:cs="微软雅黑"/>
          <w:bCs/>
          <w:color w:val="000000"/>
          <w:szCs w:val="21"/>
          <w:highlight w:val="none"/>
          <w:lang w:eastAsia="zh-CN"/>
        </w:rPr>
        <w:t>、</w:t>
      </w:r>
      <w:r>
        <w:rPr>
          <w:rFonts w:hint="eastAsia" w:ascii="微软雅黑" w:hAnsi="微软雅黑" w:eastAsia="微软雅黑" w:cs="微软雅黑"/>
          <w:bCs/>
          <w:color w:val="000000"/>
          <w:szCs w:val="21"/>
          <w:highlight w:val="none"/>
        </w:rPr>
        <w:t>快递包装的，</w:t>
      </w:r>
      <w:r>
        <w:rPr>
          <w:rFonts w:hint="eastAsia" w:ascii="微软雅黑" w:hAnsi="微软雅黑" w:eastAsia="微软雅黑" w:cs="微软雅黑"/>
          <w:color w:val="000000"/>
          <w:szCs w:val="21"/>
          <w:highlight w:val="none"/>
        </w:rPr>
        <w:t>除</w:t>
      </w:r>
      <w:r>
        <w:rPr>
          <w:rFonts w:hint="eastAsia" w:ascii="微软雅黑" w:hAnsi="微软雅黑" w:eastAsia="微软雅黑" w:cs="微软雅黑"/>
          <w:b/>
          <w:color w:val="000000"/>
          <w:szCs w:val="21"/>
          <w:highlight w:val="none"/>
        </w:rPr>
        <w:t>【政府采购合同专用条款】</w:t>
      </w:r>
      <w:r>
        <w:rPr>
          <w:rFonts w:hint="eastAsia" w:ascii="微软雅黑" w:hAnsi="微软雅黑" w:eastAsia="微软雅黑" w:cs="微软雅黑"/>
          <w:bCs/>
          <w:color w:val="000000"/>
          <w:szCs w:val="21"/>
          <w:highlight w:val="none"/>
        </w:rPr>
        <w:t>另有</w:t>
      </w:r>
      <w:r>
        <w:rPr>
          <w:rFonts w:hint="eastAsia" w:ascii="微软雅黑" w:hAnsi="微软雅黑" w:eastAsia="微软雅黑" w:cs="微软雅黑"/>
          <w:bCs/>
          <w:color w:val="000000"/>
          <w:szCs w:val="21"/>
          <w:highlight w:val="none"/>
          <w:lang w:eastAsia="zh-CN"/>
        </w:rPr>
        <w:t>约</w:t>
      </w:r>
      <w:r>
        <w:rPr>
          <w:rFonts w:hint="eastAsia" w:ascii="微软雅黑" w:hAnsi="微软雅黑" w:eastAsia="微软雅黑" w:cs="微软雅黑"/>
          <w:bCs/>
          <w:color w:val="000000"/>
          <w:szCs w:val="21"/>
          <w:highlight w:val="none"/>
        </w:rPr>
        <w:t>定</w:t>
      </w:r>
      <w:r>
        <w:rPr>
          <w:rFonts w:hint="eastAsia" w:ascii="微软雅黑" w:hAnsi="微软雅黑" w:eastAsia="微软雅黑" w:cs="微软雅黑"/>
          <w:bCs/>
          <w:color w:val="000000"/>
          <w:szCs w:val="21"/>
          <w:highlight w:val="none"/>
          <w:lang w:eastAsia="zh-CN"/>
        </w:rPr>
        <w:t>外</w:t>
      </w:r>
      <w:r>
        <w:rPr>
          <w:rFonts w:hint="eastAsia" w:ascii="微软雅黑" w:hAnsi="微软雅黑" w:eastAsia="微软雅黑" w:cs="微软雅黑"/>
          <w:bCs/>
          <w:color w:val="000000"/>
          <w:szCs w:val="21"/>
          <w:highlight w:val="none"/>
        </w:rPr>
        <w:t>，</w:t>
      </w:r>
      <w:r>
        <w:rPr>
          <w:rFonts w:hint="eastAsia" w:ascii="微软雅黑" w:hAnsi="微软雅黑" w:eastAsia="微软雅黑" w:cs="微软雅黑"/>
          <w:color w:val="000000"/>
          <w:szCs w:val="21"/>
          <w:highlight w:val="none"/>
        </w:rPr>
        <w:t>包装应适应远距离运输、防潮、防震、防锈和防野蛮装卸等要求，确保货物安全无损地运抵</w:t>
      </w:r>
      <w:r>
        <w:rPr>
          <w:rFonts w:hint="eastAsia" w:ascii="微软雅黑" w:hAnsi="微软雅黑" w:eastAsia="微软雅黑" w:cs="微软雅黑"/>
          <w:b/>
          <w:color w:val="000000"/>
          <w:szCs w:val="21"/>
          <w:highlight w:val="none"/>
        </w:rPr>
        <w:t>【政府采购合同专用条款】</w:t>
      </w:r>
      <w:r>
        <w:rPr>
          <w:rFonts w:hint="eastAsia" w:ascii="微软雅黑" w:hAnsi="微软雅黑" w:eastAsia="微软雅黑" w:cs="微软雅黑"/>
          <w:b w:val="0"/>
          <w:bCs/>
          <w:color w:val="000000"/>
          <w:szCs w:val="21"/>
          <w:highlight w:val="none"/>
          <w:lang w:eastAsia="zh-CN"/>
        </w:rPr>
        <w:t>约定的</w:t>
      </w:r>
      <w:r>
        <w:rPr>
          <w:rFonts w:hint="eastAsia" w:ascii="微软雅黑" w:hAnsi="微软雅黑" w:eastAsia="微软雅黑" w:cs="微软雅黑"/>
          <w:color w:val="000000"/>
          <w:szCs w:val="21"/>
          <w:highlight w:val="none"/>
        </w:rPr>
        <w:t>指定现场。</w:t>
      </w:r>
    </w:p>
    <w:p w14:paraId="41CA4EED">
      <w:pPr>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7</w:t>
      </w:r>
      <w:r>
        <w:rPr>
          <w:rFonts w:hint="eastAsia" w:ascii="微软雅黑" w:hAnsi="微软雅黑" w:eastAsia="微软雅黑" w:cs="微软雅黑"/>
          <w:color w:val="000000"/>
          <w:szCs w:val="21"/>
          <w:highlight w:val="none"/>
        </w:rPr>
        <w:t>.2 除</w:t>
      </w:r>
      <w:r>
        <w:rPr>
          <w:rFonts w:hint="eastAsia" w:ascii="微软雅黑" w:hAnsi="微软雅黑" w:eastAsia="微软雅黑" w:cs="微软雅黑"/>
          <w:b/>
          <w:color w:val="000000"/>
          <w:szCs w:val="21"/>
          <w:highlight w:val="none"/>
        </w:rPr>
        <w:t>【政府采购合同专用条款】</w:t>
      </w:r>
      <w:r>
        <w:rPr>
          <w:rFonts w:hint="eastAsia" w:ascii="微软雅黑" w:hAnsi="微软雅黑" w:eastAsia="微软雅黑" w:cs="微软雅黑"/>
          <w:bCs/>
          <w:color w:val="000000"/>
          <w:szCs w:val="21"/>
          <w:highlight w:val="none"/>
        </w:rPr>
        <w:t>另有</w:t>
      </w:r>
      <w:r>
        <w:rPr>
          <w:rFonts w:hint="eastAsia" w:ascii="微软雅黑" w:hAnsi="微软雅黑" w:eastAsia="微软雅黑" w:cs="微软雅黑"/>
          <w:bCs/>
          <w:color w:val="000000"/>
          <w:szCs w:val="21"/>
          <w:highlight w:val="none"/>
          <w:lang w:eastAsia="zh-CN"/>
        </w:rPr>
        <w:t>约</w:t>
      </w:r>
      <w:r>
        <w:rPr>
          <w:rFonts w:hint="eastAsia" w:ascii="微软雅黑" w:hAnsi="微软雅黑" w:eastAsia="微软雅黑" w:cs="微软雅黑"/>
          <w:bCs/>
          <w:color w:val="000000"/>
          <w:szCs w:val="21"/>
          <w:highlight w:val="none"/>
        </w:rPr>
        <w:t>定</w:t>
      </w:r>
      <w:r>
        <w:rPr>
          <w:rFonts w:hint="eastAsia" w:ascii="微软雅黑" w:hAnsi="微软雅黑" w:eastAsia="微软雅黑" w:cs="微软雅黑"/>
          <w:bCs/>
          <w:color w:val="000000"/>
          <w:szCs w:val="21"/>
          <w:highlight w:val="none"/>
          <w:lang w:eastAsia="zh-CN"/>
        </w:rPr>
        <w:t>外</w:t>
      </w:r>
      <w:r>
        <w:rPr>
          <w:rFonts w:hint="eastAsia" w:ascii="微软雅黑" w:hAnsi="微软雅黑" w:eastAsia="微软雅黑" w:cs="微软雅黑"/>
          <w:bCs/>
          <w:color w:val="000000"/>
          <w:szCs w:val="21"/>
          <w:highlight w:val="none"/>
        </w:rPr>
        <w:t>，</w:t>
      </w:r>
      <w:r>
        <w:rPr>
          <w:rFonts w:hint="eastAsia" w:ascii="微软雅黑" w:hAnsi="微软雅黑" w:eastAsia="微软雅黑" w:cs="微软雅黑"/>
          <w:color w:val="000000"/>
          <w:szCs w:val="21"/>
          <w:highlight w:val="none"/>
        </w:rPr>
        <w:t>乙方负责办理将货物运抵本合同规定的交货地点</w:t>
      </w:r>
      <w:r>
        <w:rPr>
          <w:rFonts w:hint="eastAsia" w:ascii="微软雅黑" w:hAnsi="微软雅黑" w:eastAsia="微软雅黑" w:cs="微软雅黑"/>
          <w:color w:val="000000"/>
          <w:szCs w:val="21"/>
          <w:highlight w:val="none"/>
          <w:lang w:eastAsia="zh-CN"/>
        </w:rPr>
        <w:t>，并装卸、交付至甲方</w:t>
      </w:r>
      <w:r>
        <w:rPr>
          <w:rFonts w:hint="eastAsia" w:ascii="微软雅黑" w:hAnsi="微软雅黑" w:eastAsia="微软雅黑" w:cs="微软雅黑"/>
          <w:color w:val="000000"/>
          <w:szCs w:val="21"/>
          <w:highlight w:val="none"/>
        </w:rPr>
        <w:t>的一切运输事项，相关费用应</w:t>
      </w:r>
      <w:r>
        <w:rPr>
          <w:rFonts w:hint="eastAsia" w:ascii="微软雅黑" w:hAnsi="微软雅黑" w:eastAsia="微软雅黑" w:cs="微软雅黑"/>
          <w:color w:val="000000"/>
          <w:szCs w:val="21"/>
          <w:highlight w:val="none"/>
          <w:lang w:eastAsia="zh-CN"/>
        </w:rPr>
        <w:t>包含</w:t>
      </w:r>
      <w:r>
        <w:rPr>
          <w:rFonts w:hint="eastAsia" w:ascii="微软雅黑" w:hAnsi="微软雅黑" w:eastAsia="微软雅黑" w:cs="微软雅黑"/>
          <w:color w:val="000000"/>
          <w:szCs w:val="21"/>
          <w:highlight w:val="none"/>
        </w:rPr>
        <w:t>在合同</w:t>
      </w:r>
      <w:r>
        <w:rPr>
          <w:rFonts w:hint="eastAsia" w:ascii="微软雅黑" w:hAnsi="微软雅黑" w:eastAsia="微软雅黑" w:cs="微软雅黑"/>
          <w:color w:val="000000"/>
          <w:szCs w:val="21"/>
          <w:highlight w:val="none"/>
          <w:lang w:eastAsia="zh-CN"/>
        </w:rPr>
        <w:t>价款</w:t>
      </w:r>
      <w:r>
        <w:rPr>
          <w:rFonts w:hint="eastAsia" w:ascii="微软雅黑" w:hAnsi="微软雅黑" w:eastAsia="微软雅黑" w:cs="微软雅黑"/>
          <w:color w:val="000000"/>
          <w:szCs w:val="21"/>
          <w:highlight w:val="none"/>
        </w:rPr>
        <w:t>中。</w:t>
      </w:r>
    </w:p>
    <w:p w14:paraId="28CD1DC4">
      <w:pPr>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7</w:t>
      </w:r>
      <w:r>
        <w:rPr>
          <w:rFonts w:hint="eastAsia" w:ascii="微软雅黑" w:hAnsi="微软雅黑" w:eastAsia="微软雅黑" w:cs="微软雅黑"/>
          <w:color w:val="000000"/>
          <w:szCs w:val="21"/>
          <w:highlight w:val="none"/>
        </w:rPr>
        <w:t>.3 货物保险要求按</w:t>
      </w:r>
      <w:r>
        <w:rPr>
          <w:rFonts w:hint="eastAsia" w:ascii="微软雅黑" w:hAnsi="微软雅黑" w:eastAsia="微软雅黑" w:cs="微软雅黑"/>
          <w:b/>
          <w:color w:val="000000"/>
          <w:szCs w:val="21"/>
          <w:highlight w:val="none"/>
        </w:rPr>
        <w:t>【政府采购合同专用条款】</w:t>
      </w:r>
      <w:r>
        <w:rPr>
          <w:rFonts w:hint="eastAsia" w:ascii="微软雅黑" w:hAnsi="微软雅黑" w:eastAsia="微软雅黑" w:cs="微软雅黑"/>
          <w:bCs/>
          <w:color w:val="000000"/>
          <w:szCs w:val="21"/>
          <w:highlight w:val="none"/>
        </w:rPr>
        <w:t>规定执行</w:t>
      </w:r>
      <w:r>
        <w:rPr>
          <w:rFonts w:hint="eastAsia" w:ascii="微软雅黑" w:hAnsi="微软雅黑" w:eastAsia="微软雅黑" w:cs="微软雅黑"/>
          <w:color w:val="000000"/>
          <w:szCs w:val="21"/>
          <w:highlight w:val="none"/>
        </w:rPr>
        <w:t>。</w:t>
      </w:r>
    </w:p>
    <w:p w14:paraId="5309622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7</w:t>
      </w:r>
      <w:r>
        <w:rPr>
          <w:rFonts w:hint="eastAsia" w:ascii="微软雅黑" w:hAnsi="微软雅黑" w:eastAsia="微软雅黑" w:cs="微软雅黑"/>
          <w:color w:val="000000"/>
          <w:szCs w:val="21"/>
          <w:highlight w:val="none"/>
        </w:rPr>
        <w:t xml:space="preserve">.4 </w:t>
      </w:r>
      <w:r>
        <w:rPr>
          <w:rFonts w:hint="eastAsia" w:ascii="微软雅黑" w:hAnsi="微软雅黑" w:eastAsia="微软雅黑" w:cs="微软雅黑"/>
          <w:color w:val="000000"/>
          <w:szCs w:val="21"/>
          <w:highlight w:val="none"/>
          <w:lang w:val="en-US" w:eastAsia="zh-CN"/>
        </w:rPr>
        <w:t>除采购活动</w:t>
      </w:r>
      <w:r>
        <w:rPr>
          <w:rFonts w:hint="eastAsia" w:ascii="微软雅黑" w:hAnsi="微软雅黑" w:eastAsia="微软雅黑" w:cs="微软雅黑"/>
          <w:color w:val="000000"/>
          <w:szCs w:val="21"/>
          <w:highlight w:val="none"/>
        </w:rPr>
        <w:t>对商品包装</w:t>
      </w:r>
      <w:r>
        <w:rPr>
          <w:rFonts w:hint="eastAsia" w:ascii="微软雅黑" w:hAnsi="微软雅黑" w:eastAsia="微软雅黑" w:cs="微软雅黑"/>
          <w:color w:val="000000"/>
          <w:szCs w:val="21"/>
          <w:highlight w:val="none"/>
          <w:lang w:eastAsia="zh-CN"/>
        </w:rPr>
        <w:t>、</w:t>
      </w:r>
      <w:r>
        <w:rPr>
          <w:rFonts w:hint="eastAsia" w:ascii="微软雅黑" w:hAnsi="微软雅黑" w:eastAsia="微软雅黑" w:cs="微软雅黑"/>
          <w:color w:val="000000"/>
          <w:szCs w:val="21"/>
          <w:highlight w:val="none"/>
        </w:rPr>
        <w:t>快递包装</w:t>
      </w:r>
      <w:r>
        <w:rPr>
          <w:rFonts w:hint="eastAsia" w:ascii="微软雅黑" w:hAnsi="微软雅黑" w:eastAsia="微软雅黑" w:cs="微软雅黑"/>
          <w:color w:val="000000"/>
          <w:szCs w:val="21"/>
          <w:highlight w:val="none"/>
          <w:lang w:val="en-US" w:eastAsia="zh-CN"/>
        </w:rPr>
        <w:t>达成具体约定外</w:t>
      </w:r>
      <w:r>
        <w:rPr>
          <w:rFonts w:hint="eastAsia" w:ascii="微软雅黑" w:hAnsi="微软雅黑" w:eastAsia="微软雅黑" w:cs="微软雅黑"/>
          <w:color w:val="000000"/>
          <w:szCs w:val="21"/>
          <w:highlight w:val="none"/>
        </w:rPr>
        <w:t>，乙方提供产品及相关快递服务</w:t>
      </w:r>
      <w:r>
        <w:rPr>
          <w:rFonts w:hint="eastAsia" w:ascii="微软雅黑" w:hAnsi="微软雅黑" w:eastAsia="微软雅黑" w:cs="微软雅黑"/>
          <w:color w:val="000000"/>
          <w:szCs w:val="21"/>
          <w:highlight w:val="none"/>
          <w:lang w:val="en-US" w:eastAsia="zh-CN"/>
        </w:rPr>
        <w:t>涉及到</w:t>
      </w:r>
      <w:r>
        <w:rPr>
          <w:rFonts w:hint="eastAsia" w:ascii="微软雅黑" w:hAnsi="微软雅黑" w:eastAsia="微软雅黑" w:cs="微软雅黑"/>
          <w:color w:val="000000"/>
          <w:szCs w:val="21"/>
          <w:highlight w:val="none"/>
        </w:rPr>
        <w:t>具体包装要求</w:t>
      </w:r>
      <w:r>
        <w:rPr>
          <w:rFonts w:hint="eastAsia" w:ascii="微软雅黑" w:hAnsi="微软雅黑" w:eastAsia="微软雅黑" w:cs="微软雅黑"/>
          <w:color w:val="000000"/>
          <w:szCs w:val="21"/>
          <w:highlight w:val="none"/>
          <w:lang w:val="en-US" w:eastAsia="zh-CN"/>
        </w:rPr>
        <w:t>的，</w:t>
      </w:r>
      <w:r>
        <w:rPr>
          <w:rFonts w:hint="eastAsia" w:ascii="微软雅黑" w:hAnsi="微软雅黑" w:eastAsia="微软雅黑" w:cs="微软雅黑"/>
          <w:color w:val="000000"/>
          <w:szCs w:val="21"/>
          <w:highlight w:val="none"/>
        </w:rPr>
        <w:t>应</w:t>
      </w:r>
      <w:r>
        <w:rPr>
          <w:rFonts w:hint="eastAsia" w:ascii="微软雅黑" w:hAnsi="微软雅黑" w:eastAsia="微软雅黑" w:cs="微软雅黑"/>
          <w:color w:val="000000"/>
          <w:szCs w:val="21"/>
          <w:highlight w:val="none"/>
          <w:lang w:val="en-US" w:eastAsia="zh-CN"/>
        </w:rPr>
        <w:t>不低于</w:t>
      </w:r>
      <w:r>
        <w:rPr>
          <w:rFonts w:hint="eastAsia" w:ascii="微软雅黑" w:hAnsi="微软雅黑" w:eastAsia="微软雅黑" w:cs="微软雅黑"/>
          <w:color w:val="000000"/>
          <w:szCs w:val="21"/>
          <w:highlight w:val="none"/>
        </w:rPr>
        <w:t>《商品包装政府采购需求标准（试行）</w:t>
      </w:r>
      <w:r>
        <w:rPr>
          <w:rFonts w:hint="eastAsia" w:ascii="微软雅黑" w:hAnsi="微软雅黑" w:eastAsia="微软雅黑" w:cs="微软雅黑"/>
          <w:color w:val="000000"/>
          <w:szCs w:val="21"/>
          <w:highlight w:val="none"/>
          <w:lang w:eastAsia="zh-CN"/>
        </w:rPr>
        <w:t>》《</w:t>
      </w:r>
      <w:r>
        <w:rPr>
          <w:rFonts w:hint="eastAsia" w:ascii="微软雅黑" w:hAnsi="微软雅黑" w:eastAsia="微软雅黑" w:cs="微软雅黑"/>
          <w:color w:val="000000"/>
          <w:szCs w:val="21"/>
          <w:highlight w:val="none"/>
        </w:rPr>
        <w:t>快递包装政府采购需求标准（试行）》</w:t>
      </w:r>
      <w:r>
        <w:rPr>
          <w:rFonts w:hint="eastAsia" w:ascii="微软雅黑" w:hAnsi="微软雅黑" w:eastAsia="微软雅黑" w:cs="微软雅黑"/>
          <w:color w:val="000000"/>
          <w:szCs w:val="21"/>
          <w:highlight w:val="none"/>
          <w:lang w:val="en-US" w:eastAsia="zh-CN"/>
        </w:rPr>
        <w:t>标准</w:t>
      </w:r>
      <w:r>
        <w:rPr>
          <w:rFonts w:hint="eastAsia" w:ascii="微软雅黑" w:hAnsi="微软雅黑" w:eastAsia="微软雅黑" w:cs="微软雅黑"/>
          <w:color w:val="000000"/>
          <w:szCs w:val="21"/>
          <w:highlight w:val="none"/>
        </w:rPr>
        <w:t>，并作为履约验收的内容，必要时甲方可以要求乙方在履约验收环节出具检测报告。</w:t>
      </w:r>
    </w:p>
    <w:p w14:paraId="469F3C85">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val="en-US" w:eastAsia="zh-CN"/>
        </w:rPr>
        <w:t xml:space="preserve">7.5 </w:t>
      </w:r>
      <w:r>
        <w:rPr>
          <w:rFonts w:hint="eastAsia" w:ascii="微软雅黑" w:hAnsi="微软雅黑" w:eastAsia="微软雅黑" w:cs="微软雅黑"/>
          <w:color w:val="000000"/>
          <w:szCs w:val="21"/>
        </w:rPr>
        <w:t>乙方在运输到达之前</w:t>
      </w:r>
      <w:r>
        <w:rPr>
          <w:rFonts w:hint="eastAsia" w:ascii="微软雅黑" w:hAnsi="微软雅黑" w:eastAsia="微软雅黑" w:cs="微软雅黑"/>
          <w:color w:val="000000"/>
          <w:szCs w:val="21"/>
          <w:lang w:eastAsia="zh-CN"/>
        </w:rPr>
        <w:t>应</w:t>
      </w:r>
      <w:r>
        <w:rPr>
          <w:rFonts w:hint="eastAsia" w:ascii="微软雅黑" w:hAnsi="微软雅黑" w:eastAsia="微软雅黑" w:cs="微软雅黑"/>
          <w:color w:val="000000"/>
          <w:szCs w:val="21"/>
        </w:rPr>
        <w:t>提前通知</w:t>
      </w:r>
      <w:r>
        <w:rPr>
          <w:rFonts w:hint="eastAsia" w:ascii="微软雅黑" w:hAnsi="微软雅黑" w:eastAsia="微软雅黑" w:cs="微软雅黑"/>
          <w:color w:val="000000"/>
          <w:szCs w:val="21"/>
          <w:lang w:eastAsia="zh-CN"/>
        </w:rPr>
        <w:t>甲方</w:t>
      </w:r>
      <w:r>
        <w:rPr>
          <w:rFonts w:hint="eastAsia" w:ascii="微软雅黑" w:hAnsi="微软雅黑" w:eastAsia="微软雅黑" w:cs="微软雅黑"/>
          <w:color w:val="000000"/>
          <w:szCs w:val="21"/>
        </w:rPr>
        <w:t>，并提示货物运输装卸的注意事项</w:t>
      </w:r>
      <w:r>
        <w:rPr>
          <w:rFonts w:hint="eastAsia" w:ascii="微软雅黑" w:hAnsi="微软雅黑" w:eastAsia="微软雅黑" w:cs="微软雅黑"/>
          <w:color w:val="000000"/>
          <w:szCs w:val="21"/>
          <w:lang w:eastAsia="zh-CN"/>
        </w:rPr>
        <w:t>，甲方配合乙方做好货物的接收工作。</w:t>
      </w:r>
    </w:p>
    <w:p w14:paraId="5304C22F">
      <w:pPr>
        <w:pStyle w:val="31"/>
        <w:rPr>
          <w:rFonts w:hint="eastAsia" w:ascii="微软雅黑" w:hAnsi="微软雅黑" w:eastAsia="微软雅黑" w:cs="微软雅黑"/>
          <w:sz w:val="21"/>
          <w:lang w:val="en-US" w:eastAsia="zh-CN"/>
        </w:rPr>
      </w:pPr>
      <w:r>
        <w:rPr>
          <w:rFonts w:hint="eastAsia" w:ascii="微软雅黑" w:hAnsi="微软雅黑" w:eastAsia="微软雅黑" w:cs="微软雅黑"/>
          <w:color w:val="000000"/>
          <w:kern w:val="2"/>
          <w:sz w:val="21"/>
          <w:szCs w:val="21"/>
          <w:highlight w:val="none"/>
          <w:lang w:val="en-US" w:eastAsia="zh-CN"/>
        </w:rPr>
        <w:t xml:space="preserve">7.6 </w:t>
      </w:r>
      <w:r>
        <w:rPr>
          <w:rFonts w:hint="eastAsia" w:ascii="微软雅黑" w:hAnsi="微软雅黑" w:eastAsia="微软雅黑" w:cs="微软雅黑"/>
          <w:color w:val="000000"/>
          <w:kern w:val="2"/>
          <w:sz w:val="21"/>
          <w:szCs w:val="21"/>
          <w:highlight w:val="none"/>
        </w:rPr>
        <w:t>如因包装</w:t>
      </w:r>
      <w:r>
        <w:rPr>
          <w:rFonts w:hint="eastAsia" w:ascii="微软雅黑" w:hAnsi="微软雅黑" w:eastAsia="微软雅黑" w:cs="微软雅黑"/>
          <w:color w:val="000000"/>
          <w:kern w:val="2"/>
          <w:sz w:val="21"/>
          <w:szCs w:val="21"/>
          <w:highlight w:val="none"/>
          <w:lang w:eastAsia="zh-CN"/>
        </w:rPr>
        <w:t>、运输</w:t>
      </w:r>
      <w:r>
        <w:rPr>
          <w:rFonts w:hint="eastAsia" w:ascii="微软雅黑" w:hAnsi="微软雅黑" w:eastAsia="微软雅黑" w:cs="微软雅黑"/>
          <w:color w:val="000000"/>
          <w:kern w:val="2"/>
          <w:sz w:val="21"/>
          <w:szCs w:val="21"/>
          <w:highlight w:val="none"/>
        </w:rPr>
        <w:t>问题导致货物</w:t>
      </w:r>
      <w:r>
        <w:rPr>
          <w:rFonts w:hint="eastAsia" w:ascii="微软雅黑" w:hAnsi="微软雅黑" w:eastAsia="微软雅黑" w:cs="微软雅黑"/>
          <w:color w:val="000000"/>
          <w:kern w:val="2"/>
          <w:sz w:val="21"/>
          <w:szCs w:val="21"/>
          <w:highlight w:val="none"/>
          <w:lang w:eastAsia="zh-CN"/>
        </w:rPr>
        <w:t>损毁、丢失</w:t>
      </w:r>
      <w:r>
        <w:rPr>
          <w:rFonts w:hint="eastAsia" w:ascii="微软雅黑" w:hAnsi="微软雅黑" w:eastAsia="微软雅黑" w:cs="微软雅黑"/>
          <w:color w:val="000000"/>
          <w:kern w:val="2"/>
          <w:sz w:val="21"/>
          <w:szCs w:val="21"/>
          <w:highlight w:val="none"/>
        </w:rPr>
        <w:t>或者品质下降，</w:t>
      </w:r>
      <w:r>
        <w:rPr>
          <w:rFonts w:hint="eastAsia" w:ascii="微软雅黑" w:hAnsi="微软雅黑" w:eastAsia="微软雅黑" w:cs="微软雅黑"/>
          <w:color w:val="000000"/>
          <w:kern w:val="2"/>
          <w:sz w:val="21"/>
          <w:szCs w:val="21"/>
          <w:highlight w:val="none"/>
          <w:lang w:eastAsia="zh-CN"/>
        </w:rPr>
        <w:t>甲方</w:t>
      </w:r>
      <w:r>
        <w:rPr>
          <w:rFonts w:hint="eastAsia" w:ascii="微软雅黑" w:hAnsi="微软雅黑" w:eastAsia="微软雅黑" w:cs="微软雅黑"/>
          <w:color w:val="000000"/>
          <w:kern w:val="2"/>
          <w:sz w:val="21"/>
          <w:szCs w:val="21"/>
          <w:highlight w:val="none"/>
        </w:rPr>
        <w:t>有权要求降价、换货、拒收部分或整批货物，由此</w:t>
      </w:r>
      <w:r>
        <w:rPr>
          <w:rFonts w:hint="eastAsia" w:ascii="微软雅黑" w:hAnsi="微软雅黑" w:eastAsia="微软雅黑" w:cs="微软雅黑"/>
          <w:color w:val="000000"/>
          <w:kern w:val="2"/>
          <w:sz w:val="21"/>
          <w:szCs w:val="21"/>
          <w:highlight w:val="none"/>
          <w:lang w:eastAsia="zh-CN"/>
        </w:rPr>
        <w:t>产生</w:t>
      </w:r>
      <w:r>
        <w:rPr>
          <w:rFonts w:hint="eastAsia" w:ascii="微软雅黑" w:hAnsi="微软雅黑" w:eastAsia="微软雅黑" w:cs="微软雅黑"/>
          <w:color w:val="000000"/>
          <w:kern w:val="2"/>
          <w:sz w:val="21"/>
          <w:szCs w:val="21"/>
          <w:highlight w:val="none"/>
        </w:rPr>
        <w:t>的费用和损失，均由</w:t>
      </w:r>
      <w:r>
        <w:rPr>
          <w:rFonts w:hint="eastAsia" w:ascii="微软雅黑" w:hAnsi="微软雅黑" w:eastAsia="微软雅黑" w:cs="微软雅黑"/>
          <w:color w:val="000000"/>
          <w:kern w:val="2"/>
          <w:sz w:val="21"/>
          <w:szCs w:val="21"/>
          <w:highlight w:val="none"/>
          <w:lang w:eastAsia="zh-CN"/>
        </w:rPr>
        <w:t>乙方</w:t>
      </w:r>
      <w:r>
        <w:rPr>
          <w:rFonts w:hint="eastAsia" w:ascii="微软雅黑" w:hAnsi="微软雅黑" w:eastAsia="微软雅黑" w:cs="微软雅黑"/>
          <w:color w:val="000000"/>
          <w:kern w:val="2"/>
          <w:sz w:val="21"/>
          <w:szCs w:val="21"/>
          <w:highlight w:val="none"/>
        </w:rPr>
        <w:t>承担。</w:t>
      </w:r>
    </w:p>
    <w:p w14:paraId="2F6E278C">
      <w:pPr>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000000"/>
          <w:sz w:val="24"/>
          <w:highlight w:val="none"/>
          <w:lang w:eastAsia="zh-CN"/>
        </w:rPr>
        <w:t>8</w:t>
      </w:r>
      <w:r>
        <w:rPr>
          <w:rFonts w:hint="eastAsia" w:ascii="微软雅黑" w:hAnsi="微软雅黑" w:eastAsia="微软雅黑" w:cs="微软雅黑"/>
          <w:b/>
          <w:color w:val="000000"/>
          <w:sz w:val="24"/>
          <w:highlight w:val="none"/>
          <w:lang w:val="en-US" w:eastAsia="zh-CN"/>
        </w:rPr>
        <w:t xml:space="preserve">. </w:t>
      </w:r>
      <w:r>
        <w:rPr>
          <w:rFonts w:hint="eastAsia" w:ascii="微软雅黑" w:hAnsi="微软雅黑" w:eastAsia="微软雅黑" w:cs="微软雅黑"/>
          <w:b/>
          <w:color w:val="auto"/>
          <w:sz w:val="24"/>
          <w:highlight w:val="none"/>
        </w:rPr>
        <w:t>质量标准和保证</w:t>
      </w:r>
    </w:p>
    <w:p w14:paraId="3341F32D">
      <w:pPr>
        <w:pStyle w:val="12"/>
        <w:adjustRightInd w:val="0"/>
        <w:snapToGrid w:val="0"/>
        <w:spacing w:before="0" w:line="400" w:lineRule="exact"/>
        <w:ind w:firstLine="420" w:firstLineChars="200"/>
        <w:jc w:val="left"/>
        <w:rPr>
          <w:rFonts w:hint="eastAsia" w:ascii="微软雅黑" w:hAnsi="微软雅黑" w:eastAsia="微软雅黑" w:cs="微软雅黑"/>
          <w:b/>
          <w:color w:val="auto"/>
          <w:highlight w:val="none"/>
        </w:rPr>
      </w:pPr>
      <w:r>
        <w:rPr>
          <w:rFonts w:hint="eastAsia" w:ascii="微软雅黑" w:hAnsi="微软雅黑" w:eastAsia="微软雅黑" w:cs="微软雅黑"/>
          <w:color w:val="auto"/>
          <w:highlight w:val="none"/>
          <w:lang w:eastAsia="zh-CN"/>
        </w:rPr>
        <w:t>8</w:t>
      </w:r>
      <w:r>
        <w:rPr>
          <w:rFonts w:hint="eastAsia" w:ascii="微软雅黑" w:hAnsi="微软雅黑" w:eastAsia="微软雅黑" w:cs="微软雅黑"/>
          <w:color w:val="auto"/>
          <w:highlight w:val="none"/>
        </w:rPr>
        <w:t>.1 质量标准</w:t>
      </w:r>
    </w:p>
    <w:p w14:paraId="1058562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（1）本合同下</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的货物应符合</w:t>
      </w:r>
      <w:r>
        <w:rPr>
          <w:rFonts w:hint="eastAsia" w:ascii="微软雅黑" w:hAnsi="微软雅黑" w:eastAsia="微软雅黑" w:cs="微软雅黑"/>
          <w:color w:val="auto"/>
          <w:szCs w:val="21"/>
          <w:highlight w:val="none"/>
          <w:lang w:eastAsia="zh-CN"/>
        </w:rPr>
        <w:t>合同</w:t>
      </w:r>
      <w:r>
        <w:rPr>
          <w:rFonts w:hint="eastAsia" w:ascii="微软雅黑" w:hAnsi="微软雅黑" w:eastAsia="微软雅黑" w:cs="微软雅黑"/>
          <w:color w:val="000000"/>
          <w:szCs w:val="21"/>
          <w:lang w:eastAsia="zh-CN"/>
        </w:rPr>
        <w:t>约</w:t>
      </w:r>
      <w:r>
        <w:rPr>
          <w:rFonts w:hint="eastAsia" w:ascii="微软雅黑" w:hAnsi="微软雅黑" w:eastAsia="微软雅黑" w:cs="微软雅黑"/>
          <w:color w:val="000000"/>
          <w:szCs w:val="21"/>
        </w:rPr>
        <w:t>定的</w:t>
      </w:r>
      <w:r>
        <w:rPr>
          <w:rFonts w:hint="eastAsia" w:ascii="微软雅黑" w:hAnsi="微软雅黑" w:eastAsia="微软雅黑" w:cs="微软雅黑"/>
          <w:szCs w:val="21"/>
        </w:rPr>
        <w:t>品牌、规格型号、技术性能、配置、质量、数量等要求。</w:t>
      </w:r>
      <w:r>
        <w:rPr>
          <w:rFonts w:hint="eastAsia" w:ascii="微软雅黑" w:hAnsi="微软雅黑" w:eastAsia="微软雅黑" w:cs="微软雅黑"/>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微软雅黑" w:hAnsi="微软雅黑" w:eastAsia="微软雅黑" w:cs="微软雅黑"/>
          <w:color w:val="auto"/>
          <w:szCs w:val="21"/>
          <w:highlight w:val="none"/>
          <w:lang w:eastAsia="zh-CN"/>
        </w:rPr>
        <w:t>。</w:t>
      </w:r>
    </w:p>
    <w:p w14:paraId="779DF1F3">
      <w:pPr>
        <w:pStyle w:val="12"/>
        <w:adjustRightInd w:val="0"/>
        <w:snapToGrid w:val="0"/>
        <w:spacing w:before="0" w:line="400" w:lineRule="exact"/>
        <w:ind w:firstLine="420" w:firstLineChars="200"/>
        <w:jc w:val="left"/>
        <w:rPr>
          <w:rFonts w:hint="eastAsia" w:ascii="微软雅黑" w:hAnsi="微软雅黑" w:eastAsia="微软雅黑" w:cs="微软雅黑"/>
          <w:color w:val="auto"/>
          <w:highlight w:val="none"/>
        </w:rPr>
      </w:pPr>
      <w:r>
        <w:rPr>
          <w:rFonts w:hint="eastAsia" w:ascii="微软雅黑" w:hAnsi="微软雅黑" w:eastAsia="微软雅黑" w:cs="微软雅黑"/>
          <w:color w:val="auto"/>
          <w:highlight w:val="none"/>
        </w:rPr>
        <w:t>（2）采用中华人民共和国法定计量单位。</w:t>
      </w:r>
    </w:p>
    <w:p w14:paraId="109B9423">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（3）乙方所</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的货物应符合国家有关安全、环保、卫生</w:t>
      </w:r>
      <w:r>
        <w:rPr>
          <w:rFonts w:hint="eastAsia" w:ascii="微软雅黑" w:hAnsi="微软雅黑" w:eastAsia="微软雅黑" w:cs="微软雅黑"/>
          <w:color w:val="auto"/>
          <w:szCs w:val="21"/>
          <w:highlight w:val="none"/>
          <w:lang w:eastAsia="zh-CN"/>
        </w:rPr>
        <w:t>的</w:t>
      </w:r>
      <w:r>
        <w:rPr>
          <w:rFonts w:hint="eastAsia" w:ascii="微软雅黑" w:hAnsi="微软雅黑" w:eastAsia="微软雅黑" w:cs="微软雅黑"/>
          <w:color w:val="auto"/>
          <w:szCs w:val="21"/>
          <w:highlight w:val="none"/>
        </w:rPr>
        <w:t>规定。</w:t>
      </w:r>
    </w:p>
    <w:p w14:paraId="0CE4D80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（4）乙方应向甲方提交所</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货物的技术文件，包括相应的中文技术文件，如：产品目录、图纸、操作手册、使用说明、维护手册或服务指南</w:t>
      </w:r>
      <w:r>
        <w:rPr>
          <w:rFonts w:hint="eastAsia" w:ascii="微软雅黑" w:hAnsi="微软雅黑" w:eastAsia="微软雅黑" w:cs="微软雅黑"/>
          <w:color w:val="auto"/>
          <w:szCs w:val="21"/>
          <w:highlight w:val="none"/>
          <w:lang w:eastAsia="zh-CN"/>
        </w:rPr>
        <w:t>等</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eastAsia="zh-CN"/>
        </w:rPr>
        <w:t>上述</w:t>
      </w:r>
      <w:r>
        <w:rPr>
          <w:rFonts w:hint="eastAsia" w:ascii="微软雅黑" w:hAnsi="微软雅黑" w:eastAsia="微软雅黑" w:cs="微软雅黑"/>
          <w:color w:val="auto"/>
          <w:szCs w:val="21"/>
          <w:highlight w:val="none"/>
        </w:rPr>
        <w:t>文件应包装好随货物一同发运。</w:t>
      </w:r>
    </w:p>
    <w:p w14:paraId="69691D4D">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8</w:t>
      </w:r>
      <w:r>
        <w:rPr>
          <w:rFonts w:hint="eastAsia" w:ascii="微软雅黑" w:hAnsi="微软雅黑" w:eastAsia="微软雅黑" w:cs="微软雅黑"/>
          <w:color w:val="auto"/>
          <w:szCs w:val="21"/>
          <w:highlight w:val="none"/>
        </w:rPr>
        <w:t>.2 保证</w:t>
      </w:r>
    </w:p>
    <w:p w14:paraId="71679D4C">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（1）乙方应保证</w:t>
      </w:r>
      <w:r>
        <w:rPr>
          <w:rFonts w:hint="eastAsia" w:ascii="微软雅黑" w:hAnsi="微软雅黑" w:eastAsia="微软雅黑" w:cs="微软雅黑"/>
          <w:color w:val="auto"/>
          <w:szCs w:val="21"/>
          <w:highlight w:val="none"/>
          <w:lang w:eastAsia="zh-CN"/>
        </w:rPr>
        <w:t>提供的货物</w:t>
      </w:r>
      <w:r>
        <w:rPr>
          <w:rFonts w:hint="eastAsia" w:ascii="微软雅黑" w:hAnsi="微软雅黑" w:eastAsia="微软雅黑" w:cs="微软雅黑"/>
          <w:color w:val="auto"/>
          <w:szCs w:val="21"/>
          <w:highlight w:val="none"/>
        </w:rPr>
        <w:t>完全符合合同规定的质量、规格和性能要求。乙方应保证货物在正确安装、正常使用和保养条件下，</w:t>
      </w:r>
      <w:r>
        <w:rPr>
          <w:rFonts w:hint="eastAsia" w:ascii="微软雅黑" w:hAnsi="微软雅黑" w:eastAsia="微软雅黑" w:cs="微软雅黑"/>
          <w:szCs w:val="21"/>
        </w:rPr>
        <w:t>在其使用寿命期内具</w:t>
      </w:r>
      <w:r>
        <w:rPr>
          <w:rFonts w:hint="eastAsia" w:ascii="微软雅黑" w:hAnsi="微软雅黑" w:eastAsia="微软雅黑" w:cs="微软雅黑"/>
          <w:szCs w:val="21"/>
          <w:lang w:eastAsia="zh-CN"/>
        </w:rPr>
        <w:t>备合同约定</w:t>
      </w:r>
      <w:r>
        <w:rPr>
          <w:rFonts w:hint="eastAsia" w:ascii="微软雅黑" w:hAnsi="微软雅黑" w:eastAsia="微软雅黑" w:cs="微软雅黑"/>
          <w:szCs w:val="21"/>
        </w:rPr>
        <w:t>的性能</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eastAsia="zh-CN"/>
        </w:rPr>
        <w:t>存在</w:t>
      </w:r>
      <w:r>
        <w:rPr>
          <w:rFonts w:hint="eastAsia" w:ascii="微软雅黑" w:hAnsi="微软雅黑" w:eastAsia="微软雅黑" w:cs="微软雅黑"/>
          <w:color w:val="auto"/>
          <w:szCs w:val="21"/>
          <w:highlight w:val="none"/>
        </w:rPr>
        <w:t>质量保证期的，货物最终交付验收</w:t>
      </w:r>
      <w:r>
        <w:rPr>
          <w:rFonts w:hint="eastAsia" w:ascii="微软雅黑" w:hAnsi="微软雅黑" w:eastAsia="微软雅黑" w:cs="微软雅黑"/>
          <w:color w:val="auto"/>
          <w:szCs w:val="21"/>
          <w:highlight w:val="none"/>
          <w:lang w:eastAsia="zh-CN"/>
        </w:rPr>
        <w:t>合格</w:t>
      </w:r>
      <w:r>
        <w:rPr>
          <w:rFonts w:hint="eastAsia" w:ascii="微软雅黑" w:hAnsi="微软雅黑" w:eastAsia="微软雅黑" w:cs="微软雅黑"/>
          <w:color w:val="auto"/>
          <w:szCs w:val="21"/>
          <w:highlight w:val="none"/>
        </w:rPr>
        <w:t>后</w:t>
      </w:r>
      <w:r>
        <w:rPr>
          <w:rFonts w:hint="eastAsia" w:ascii="微软雅黑" w:hAnsi="微软雅黑" w:eastAsia="微软雅黑" w:cs="微软雅黑"/>
          <w:color w:val="auto"/>
          <w:szCs w:val="21"/>
          <w:highlight w:val="none"/>
          <w:lang w:eastAsia="zh-CN"/>
        </w:rPr>
        <w:t>在</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规定或乙方</w:t>
      </w:r>
      <w:r>
        <w:rPr>
          <w:rFonts w:hint="eastAsia" w:ascii="微软雅黑" w:hAnsi="微软雅黑" w:eastAsia="微软雅黑" w:cs="微软雅黑"/>
          <w:color w:val="auto"/>
          <w:szCs w:val="21"/>
          <w:highlight w:val="none"/>
          <w:lang w:eastAsia="zh-CN"/>
        </w:rPr>
        <w:t>书面</w:t>
      </w:r>
      <w:r>
        <w:rPr>
          <w:rFonts w:hint="eastAsia" w:ascii="微软雅黑" w:hAnsi="微软雅黑" w:eastAsia="微软雅黑" w:cs="微软雅黑"/>
          <w:color w:val="auto"/>
          <w:szCs w:val="21"/>
          <w:highlight w:val="none"/>
        </w:rPr>
        <w:t>承诺（两者以较长的为准）的质量保证期内，本保证保持有效。</w:t>
      </w:r>
    </w:p>
    <w:p w14:paraId="0FEC2BC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（2）在质量保证期内所发现的缺陷，甲方应尽快以书面形式通知乙方。</w:t>
      </w:r>
    </w:p>
    <w:p w14:paraId="622BE4B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（3）乙方收到通知后</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应在</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规定的响应时间内以合理的速度免费维修或更换有缺陷的货物或部件。</w:t>
      </w:r>
    </w:p>
    <w:p w14:paraId="595A6042">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微软雅黑" w:hAnsi="微软雅黑" w:eastAsia="微软雅黑" w:cs="微软雅黑"/>
          <w:color w:val="000000"/>
          <w:szCs w:val="21"/>
          <w:highlight w:val="none"/>
          <w:lang w:val="en-US" w:eastAsia="zh-CN"/>
        </w:rPr>
        <w:t>5</w:t>
      </w:r>
      <w:r>
        <w:rPr>
          <w:rFonts w:hint="eastAsia" w:ascii="微软雅黑" w:hAnsi="微软雅黑" w:eastAsia="微软雅黑" w:cs="微软雅黑"/>
          <w:color w:val="auto"/>
          <w:szCs w:val="21"/>
          <w:highlight w:val="none"/>
        </w:rPr>
        <w:t>.1条规定以书面形式</w:t>
      </w:r>
      <w:r>
        <w:rPr>
          <w:rFonts w:hint="eastAsia" w:ascii="微软雅黑" w:hAnsi="微软雅黑" w:eastAsia="微软雅黑" w:cs="微软雅黑"/>
          <w:color w:val="000000"/>
          <w:szCs w:val="21"/>
          <w:highlight w:val="none"/>
          <w:lang w:eastAsia="zh-CN"/>
        </w:rPr>
        <w:t>追究</w:t>
      </w:r>
      <w:r>
        <w:rPr>
          <w:rFonts w:hint="eastAsia" w:ascii="微软雅黑" w:hAnsi="微软雅黑" w:eastAsia="微软雅黑" w:cs="微软雅黑"/>
          <w:color w:val="auto"/>
          <w:szCs w:val="21"/>
          <w:highlight w:val="none"/>
        </w:rPr>
        <w:t>乙方</w:t>
      </w:r>
      <w:r>
        <w:rPr>
          <w:rFonts w:hint="eastAsia" w:ascii="微软雅黑" w:hAnsi="微软雅黑" w:eastAsia="微软雅黑" w:cs="微软雅黑"/>
          <w:color w:val="000000"/>
          <w:szCs w:val="21"/>
          <w:highlight w:val="none"/>
          <w:lang w:eastAsia="zh-CN"/>
        </w:rPr>
        <w:t>的违约责任</w:t>
      </w:r>
      <w:r>
        <w:rPr>
          <w:rFonts w:hint="eastAsia" w:ascii="微软雅黑" w:hAnsi="微软雅黑" w:eastAsia="微软雅黑" w:cs="微软雅黑"/>
          <w:color w:val="auto"/>
          <w:szCs w:val="21"/>
          <w:highlight w:val="none"/>
        </w:rPr>
        <w:t>。</w:t>
      </w:r>
    </w:p>
    <w:p w14:paraId="410A1376">
      <w:pPr>
        <w:adjustRightInd w:val="0"/>
        <w:snapToGrid w:val="0"/>
        <w:spacing w:before="0" w:line="400" w:lineRule="exact"/>
        <w:ind w:firstLine="420" w:firstLineChars="200"/>
        <w:jc w:val="left"/>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（5）乙方在约定的时间内未能弥补缺陷，甲方可采取必要的补救措施，但其风险和费用将由乙方承担，甲方根据合同</w:t>
      </w:r>
      <w:r>
        <w:rPr>
          <w:rFonts w:hint="eastAsia" w:ascii="微软雅黑" w:hAnsi="微软雅黑" w:eastAsia="微软雅黑" w:cs="微软雅黑"/>
          <w:color w:val="auto"/>
          <w:szCs w:val="21"/>
          <w:highlight w:val="none"/>
          <w:lang w:eastAsia="zh-CN"/>
        </w:rPr>
        <w:t>约定</w:t>
      </w:r>
      <w:r>
        <w:rPr>
          <w:rFonts w:hint="eastAsia" w:ascii="微软雅黑" w:hAnsi="微软雅黑" w:eastAsia="微软雅黑" w:cs="微软雅黑"/>
          <w:color w:val="auto"/>
          <w:szCs w:val="21"/>
          <w:highlight w:val="none"/>
        </w:rPr>
        <w:t>对乙方行使的其他权利不受影响。</w:t>
      </w:r>
    </w:p>
    <w:p w14:paraId="1AB156CE">
      <w:pPr>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000000"/>
          <w:sz w:val="24"/>
          <w:highlight w:val="none"/>
          <w:lang w:eastAsia="zh-CN"/>
        </w:rPr>
        <w:t>9</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000000"/>
          <w:sz w:val="24"/>
          <w:highlight w:val="none"/>
          <w:lang w:val="en-US" w:eastAsia="zh-CN"/>
        </w:rPr>
        <w:t xml:space="preserve"> </w:t>
      </w:r>
      <w:r>
        <w:rPr>
          <w:rFonts w:hint="eastAsia" w:ascii="微软雅黑" w:hAnsi="微软雅黑" w:eastAsia="微软雅黑" w:cs="微软雅黑"/>
          <w:b/>
          <w:bCs/>
          <w:color w:val="auto"/>
          <w:sz w:val="24"/>
          <w:highlight w:val="none"/>
        </w:rPr>
        <w:t>权利瑕疵担保</w:t>
      </w:r>
    </w:p>
    <w:p w14:paraId="289AA1F2">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9</w:t>
      </w:r>
      <w:r>
        <w:rPr>
          <w:rFonts w:hint="eastAsia" w:ascii="微软雅黑" w:hAnsi="微软雅黑" w:eastAsia="微软雅黑" w:cs="微软雅黑"/>
          <w:color w:val="000000"/>
          <w:szCs w:val="21"/>
          <w:highlight w:val="none"/>
        </w:rPr>
        <w:t>.1 乙方保证对其出售的货物享有合法的权利。</w:t>
      </w:r>
    </w:p>
    <w:p w14:paraId="5421CC02">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9</w:t>
      </w:r>
      <w:r>
        <w:rPr>
          <w:rFonts w:hint="eastAsia" w:ascii="微软雅黑" w:hAnsi="微软雅黑" w:eastAsia="微软雅黑" w:cs="微软雅黑"/>
          <w:color w:val="000000"/>
          <w:szCs w:val="21"/>
          <w:highlight w:val="none"/>
        </w:rPr>
        <w:t xml:space="preserve">.2 </w:t>
      </w:r>
      <w:r>
        <w:rPr>
          <w:rFonts w:hint="eastAsia" w:ascii="微软雅黑" w:hAnsi="微软雅黑" w:eastAsia="微软雅黑" w:cs="微软雅黑"/>
          <w:szCs w:val="15"/>
        </w:rPr>
        <w:t>乙方保证在交付的货物上不存在抵押权等担保物权。</w:t>
      </w:r>
    </w:p>
    <w:p w14:paraId="71325B01">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000000"/>
          <w:szCs w:val="21"/>
          <w:highlight w:val="none"/>
        </w:rPr>
      </w:pPr>
      <w:r>
        <w:rPr>
          <w:rFonts w:hint="eastAsia" w:ascii="微软雅黑" w:hAnsi="微软雅黑" w:eastAsia="微软雅黑" w:cs="微软雅黑"/>
          <w:color w:val="000000"/>
          <w:szCs w:val="21"/>
          <w:highlight w:val="none"/>
          <w:lang w:eastAsia="zh-CN"/>
        </w:rPr>
        <w:t>9</w:t>
      </w:r>
      <w:r>
        <w:rPr>
          <w:rFonts w:hint="eastAsia" w:ascii="微软雅黑" w:hAnsi="微软雅黑" w:eastAsia="微软雅黑" w:cs="微软雅黑"/>
          <w:color w:val="000000"/>
          <w:szCs w:val="21"/>
          <w:highlight w:val="none"/>
        </w:rPr>
        <w:t>.3 如甲方使用</w:t>
      </w:r>
      <w:r>
        <w:rPr>
          <w:rFonts w:hint="eastAsia" w:ascii="微软雅黑" w:hAnsi="微软雅黑" w:eastAsia="微软雅黑" w:cs="微软雅黑"/>
          <w:color w:val="000000"/>
          <w:szCs w:val="21"/>
          <w:highlight w:val="none"/>
          <w:lang w:val="en-US" w:eastAsia="zh-CN"/>
        </w:rPr>
        <w:t>上述</w:t>
      </w:r>
      <w:r>
        <w:rPr>
          <w:rFonts w:hint="eastAsia" w:ascii="微软雅黑" w:hAnsi="微软雅黑" w:eastAsia="微软雅黑" w:cs="微软雅黑"/>
          <w:color w:val="000000"/>
          <w:szCs w:val="21"/>
          <w:highlight w:val="none"/>
        </w:rPr>
        <w:t>货物构成</w:t>
      </w:r>
      <w:r>
        <w:rPr>
          <w:rFonts w:hint="eastAsia" w:ascii="微软雅黑" w:hAnsi="微软雅黑" w:eastAsia="微软雅黑" w:cs="微软雅黑"/>
          <w:color w:val="000000"/>
          <w:szCs w:val="21"/>
          <w:highlight w:val="none"/>
          <w:lang w:val="en-US" w:eastAsia="zh-CN"/>
        </w:rPr>
        <w:t>对第三人</w:t>
      </w:r>
      <w:r>
        <w:rPr>
          <w:rFonts w:hint="eastAsia" w:ascii="微软雅黑" w:hAnsi="微软雅黑" w:eastAsia="微软雅黑" w:cs="微软雅黑"/>
          <w:color w:val="000000"/>
          <w:szCs w:val="21"/>
          <w:highlight w:val="none"/>
        </w:rPr>
        <w:t>侵权的，则由乙方承担全部责任。</w:t>
      </w:r>
    </w:p>
    <w:p w14:paraId="0E664BBD">
      <w:pPr>
        <w:autoSpaceDE w:val="0"/>
        <w:autoSpaceDN w:val="0"/>
        <w:adjustRightInd w:val="0"/>
        <w:snapToGrid w:val="0"/>
        <w:spacing w:before="0" w:line="400" w:lineRule="exact"/>
        <w:jc w:val="left"/>
        <w:rPr>
          <w:rFonts w:hint="eastAsia" w:ascii="微软雅黑" w:hAnsi="微软雅黑" w:eastAsia="微软雅黑" w:cs="微软雅黑"/>
          <w:b/>
          <w:bCs/>
          <w:color w:val="000000"/>
          <w:sz w:val="24"/>
          <w:highlight w:val="none"/>
        </w:rPr>
      </w:pPr>
      <w:r>
        <w:rPr>
          <w:rFonts w:hint="eastAsia" w:ascii="微软雅黑" w:hAnsi="微软雅黑" w:eastAsia="微软雅黑" w:cs="微软雅黑"/>
          <w:b/>
          <w:bCs/>
          <w:color w:val="000000"/>
          <w:sz w:val="24"/>
          <w:highlight w:val="none"/>
        </w:rPr>
        <w:t>1</w:t>
      </w:r>
      <w:r>
        <w:rPr>
          <w:rFonts w:hint="eastAsia" w:ascii="微软雅黑" w:hAnsi="微软雅黑" w:eastAsia="微软雅黑" w:cs="微软雅黑"/>
          <w:b/>
          <w:bCs/>
          <w:color w:val="000000"/>
          <w:sz w:val="24"/>
          <w:highlight w:val="none"/>
          <w:lang w:eastAsia="zh-CN"/>
        </w:rPr>
        <w:t>0</w:t>
      </w:r>
      <w:r>
        <w:rPr>
          <w:rFonts w:hint="eastAsia" w:ascii="微软雅黑" w:hAnsi="微软雅黑" w:eastAsia="微软雅黑" w:cs="微软雅黑"/>
          <w:b/>
          <w:bCs/>
          <w:color w:val="000000"/>
          <w:sz w:val="24"/>
          <w:highlight w:val="none"/>
        </w:rPr>
        <w:t>.</w:t>
      </w:r>
      <w:r>
        <w:rPr>
          <w:rFonts w:hint="eastAsia" w:ascii="微软雅黑" w:hAnsi="微软雅黑" w:eastAsia="微软雅黑" w:cs="微软雅黑"/>
          <w:b/>
          <w:bCs/>
          <w:color w:val="000000"/>
          <w:sz w:val="24"/>
          <w:highlight w:val="none"/>
          <w:lang w:val="en-US" w:eastAsia="zh-CN"/>
        </w:rPr>
        <w:t xml:space="preserve"> </w:t>
      </w:r>
      <w:r>
        <w:rPr>
          <w:rFonts w:hint="eastAsia" w:ascii="微软雅黑" w:hAnsi="微软雅黑" w:eastAsia="微软雅黑" w:cs="微软雅黑"/>
          <w:b/>
          <w:bCs/>
          <w:color w:val="000000"/>
          <w:sz w:val="24"/>
          <w:highlight w:val="none"/>
        </w:rPr>
        <w:t>知识产权保护</w:t>
      </w:r>
    </w:p>
    <w:p w14:paraId="3AF4575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000000"/>
          <w:szCs w:val="21"/>
          <w:highlight w:val="none"/>
        </w:rPr>
        <w:t>1</w:t>
      </w:r>
      <w:r>
        <w:rPr>
          <w:rFonts w:hint="eastAsia" w:ascii="微软雅黑" w:hAnsi="微软雅黑" w:eastAsia="微软雅黑" w:cs="微软雅黑"/>
          <w:color w:val="000000"/>
          <w:szCs w:val="21"/>
          <w:highlight w:val="none"/>
          <w:lang w:eastAsia="zh-CN"/>
        </w:rPr>
        <w:t>0</w:t>
      </w:r>
      <w:r>
        <w:rPr>
          <w:rFonts w:hint="eastAsia" w:ascii="微软雅黑" w:hAnsi="微软雅黑" w:eastAsia="微软雅黑" w:cs="微软雅黑"/>
          <w:color w:val="000000"/>
          <w:szCs w:val="21"/>
          <w:highlight w:val="none"/>
        </w:rPr>
        <w:t>.1 乙方对其所销售的货物应当享有知识产权或经权利人合法授权，保证没有侵犯任</w:t>
      </w:r>
      <w:r>
        <w:rPr>
          <w:rFonts w:hint="eastAsia" w:ascii="微软雅黑" w:hAnsi="微软雅黑" w:eastAsia="微软雅黑" w:cs="微软雅黑"/>
          <w:color w:val="auto"/>
          <w:szCs w:val="21"/>
          <w:highlight w:val="none"/>
        </w:rPr>
        <w:t>何第三人的知识产权等权利。</w:t>
      </w:r>
      <w:bookmarkStart w:id="1775" w:name="_Hlk163047038"/>
      <w:r>
        <w:rPr>
          <w:rFonts w:hint="eastAsia" w:ascii="微软雅黑" w:hAnsi="微软雅黑" w:eastAsia="微软雅黑" w:cs="微软雅黑"/>
          <w:szCs w:val="15"/>
        </w:rPr>
        <w:t>因违反前述约定对第三人构成侵权的，应当由乙方向第三人承担法律责任；甲方依法向第三人赔偿后，有权向乙方追偿。甲方有其他损失的，乙方应当赔偿</w:t>
      </w:r>
      <w:bookmarkEnd w:id="1775"/>
      <w:r>
        <w:rPr>
          <w:rFonts w:hint="eastAsia" w:ascii="微软雅黑" w:hAnsi="微软雅黑" w:eastAsia="微软雅黑" w:cs="微软雅黑"/>
          <w:color w:val="auto"/>
          <w:szCs w:val="21"/>
          <w:highlight w:val="none"/>
        </w:rPr>
        <w:t>。</w:t>
      </w:r>
    </w:p>
    <w:p w14:paraId="052F061C">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1</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保密义务</w:t>
      </w:r>
    </w:p>
    <w:p w14:paraId="1D7F8A6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szCs w:val="15"/>
        </w:rPr>
      </w:pPr>
      <w:r>
        <w:rPr>
          <w:rFonts w:hint="eastAsia" w:ascii="微软雅黑" w:hAnsi="微软雅黑" w:eastAsia="微软雅黑" w:cs="微软雅黑"/>
          <w:szCs w:val="15"/>
          <w:lang w:val="en-US" w:eastAsia="zh-CN"/>
        </w:rPr>
        <w:t xml:space="preserve">11.1 </w:t>
      </w:r>
      <w:r>
        <w:rPr>
          <w:rFonts w:hint="eastAsia" w:ascii="微软雅黑" w:hAnsi="微软雅黑" w:eastAsia="微软雅黑" w:cs="微软雅黑"/>
          <w:szCs w:val="15"/>
        </w:rPr>
        <w:t>甲、乙双方</w:t>
      </w:r>
      <w:r>
        <w:rPr>
          <w:rFonts w:hint="eastAsia" w:ascii="微软雅黑" w:hAnsi="微软雅黑" w:eastAsia="微软雅黑" w:cs="微软雅黑"/>
          <w:szCs w:val="15"/>
          <w:lang w:eastAsia="zh-CN"/>
        </w:rPr>
        <w:t>对</w:t>
      </w:r>
      <w:r>
        <w:rPr>
          <w:rFonts w:hint="eastAsia" w:ascii="微软雅黑" w:hAnsi="微软雅黑" w:eastAsia="微软雅黑" w:cs="微软雅黑"/>
          <w:szCs w:val="15"/>
        </w:rPr>
        <w:t>采购和合同履行过程中所获悉的</w:t>
      </w:r>
      <w:r>
        <w:rPr>
          <w:rFonts w:hint="eastAsia" w:ascii="微软雅黑" w:hAnsi="微软雅黑" w:eastAsia="微软雅黑" w:cs="微软雅黑"/>
          <w:szCs w:val="15"/>
          <w:lang w:eastAsia="zh-CN"/>
        </w:rPr>
        <w:t>国家秘密、工作秘密、</w:t>
      </w:r>
      <w:r>
        <w:rPr>
          <w:rFonts w:hint="eastAsia" w:ascii="微软雅黑" w:hAnsi="微软雅黑" w:eastAsia="微软雅黑" w:cs="微软雅黑"/>
          <w:szCs w:val="15"/>
        </w:rPr>
        <w:t>商业秘密或者其他应当保密的信息，均有保密义务</w:t>
      </w:r>
      <w:r>
        <w:rPr>
          <w:rFonts w:hint="eastAsia" w:ascii="微软雅黑" w:hAnsi="微软雅黑" w:eastAsia="微软雅黑" w:cs="微软雅黑"/>
          <w:szCs w:val="15"/>
          <w:lang w:eastAsia="zh-CN"/>
        </w:rPr>
        <w:t>且不受合同有效期所限，直至该信息成为公开信息</w:t>
      </w:r>
      <w:r>
        <w:rPr>
          <w:rFonts w:hint="eastAsia" w:ascii="微软雅黑" w:hAnsi="微软雅黑" w:eastAsia="微软雅黑" w:cs="微软雅黑"/>
          <w:szCs w:val="15"/>
        </w:rPr>
        <w:t>。泄露、不正当地使用</w:t>
      </w:r>
      <w:r>
        <w:rPr>
          <w:rFonts w:hint="eastAsia" w:ascii="微软雅黑" w:hAnsi="微软雅黑" w:eastAsia="微软雅黑" w:cs="微软雅黑"/>
          <w:szCs w:val="15"/>
          <w:lang w:eastAsia="zh-CN"/>
        </w:rPr>
        <w:t>国家秘密、工作秘密、</w:t>
      </w:r>
      <w:r>
        <w:rPr>
          <w:rFonts w:hint="eastAsia" w:ascii="微软雅黑" w:hAnsi="微软雅黑" w:eastAsia="微软雅黑" w:cs="微软雅黑"/>
          <w:szCs w:val="15"/>
        </w:rPr>
        <w:t>商业秘密或者</w:t>
      </w:r>
      <w:r>
        <w:rPr>
          <w:rFonts w:hint="eastAsia" w:ascii="微软雅黑" w:hAnsi="微软雅黑" w:eastAsia="微软雅黑" w:cs="微软雅黑"/>
          <w:szCs w:val="15"/>
          <w:lang w:eastAsia="zh-CN"/>
        </w:rPr>
        <w:t>其他应当保密的</w:t>
      </w:r>
      <w:r>
        <w:rPr>
          <w:rFonts w:hint="eastAsia" w:ascii="微软雅黑" w:hAnsi="微软雅黑" w:eastAsia="微软雅黑" w:cs="微软雅黑"/>
          <w:szCs w:val="15"/>
        </w:rPr>
        <w:t>信息，应当承担</w:t>
      </w:r>
      <w:r>
        <w:rPr>
          <w:rFonts w:hint="eastAsia" w:ascii="微软雅黑" w:hAnsi="微软雅黑" w:eastAsia="微软雅黑" w:cs="微软雅黑"/>
          <w:szCs w:val="15"/>
          <w:lang w:eastAsia="zh-CN"/>
        </w:rPr>
        <w:t>相应</w:t>
      </w:r>
      <w:r>
        <w:rPr>
          <w:rFonts w:hint="eastAsia" w:ascii="微软雅黑" w:hAnsi="微软雅黑" w:eastAsia="微软雅黑" w:cs="微软雅黑"/>
          <w:szCs w:val="15"/>
        </w:rPr>
        <w:t>责任。其他应当保密的信息由双方在</w:t>
      </w:r>
      <w:r>
        <w:rPr>
          <w:rFonts w:hint="eastAsia" w:ascii="微软雅黑" w:hAnsi="微软雅黑" w:eastAsia="微软雅黑" w:cs="微软雅黑"/>
          <w:b/>
          <w:bCs/>
          <w:szCs w:val="15"/>
        </w:rPr>
        <w:t>【政府采购合同专用条款】</w:t>
      </w:r>
      <w:r>
        <w:rPr>
          <w:rFonts w:hint="eastAsia" w:ascii="微软雅黑" w:hAnsi="微软雅黑" w:eastAsia="微软雅黑" w:cs="微软雅黑"/>
          <w:szCs w:val="15"/>
        </w:rPr>
        <w:t>中约定。</w:t>
      </w:r>
    </w:p>
    <w:p w14:paraId="362A62E5">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2</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合同价款支付</w:t>
      </w:r>
    </w:p>
    <w:p w14:paraId="6BB6B64F">
      <w:pPr>
        <w:autoSpaceDE/>
        <w:autoSpaceDN/>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2</w:t>
      </w:r>
      <w:r>
        <w:rPr>
          <w:rFonts w:hint="eastAsia" w:ascii="微软雅黑" w:hAnsi="微软雅黑" w:eastAsia="微软雅黑" w:cs="微软雅黑"/>
          <w:color w:val="auto"/>
          <w:szCs w:val="21"/>
          <w:highlight w:val="none"/>
        </w:rPr>
        <w:t xml:space="preserve">.1 </w:t>
      </w:r>
      <w:r>
        <w:rPr>
          <w:rFonts w:hint="eastAsia" w:ascii="微软雅黑" w:hAnsi="微软雅黑" w:eastAsia="微软雅黑" w:cs="微软雅黑"/>
          <w:color w:val="auto"/>
          <w:szCs w:val="21"/>
          <w:highlight w:val="none"/>
          <w:lang w:eastAsia="zh-CN"/>
        </w:rPr>
        <w:t>合同价款支付</w:t>
      </w:r>
      <w:r>
        <w:rPr>
          <w:rFonts w:hint="eastAsia" w:ascii="微软雅黑" w:hAnsi="微软雅黑" w:eastAsia="微软雅黑" w:cs="微软雅黑"/>
          <w:color w:val="auto"/>
          <w:szCs w:val="21"/>
          <w:highlight w:val="none"/>
        </w:rPr>
        <w:t>按照国库集中支付</w:t>
      </w:r>
      <w:r>
        <w:rPr>
          <w:rFonts w:hint="eastAsia" w:ascii="微软雅黑" w:hAnsi="微软雅黑" w:eastAsia="微软雅黑" w:cs="微软雅黑"/>
          <w:color w:val="auto"/>
          <w:szCs w:val="21"/>
          <w:highlight w:val="none"/>
          <w:lang w:eastAsia="zh-CN"/>
        </w:rPr>
        <w:t>制度及财政管理相关</w:t>
      </w:r>
      <w:r>
        <w:rPr>
          <w:rFonts w:hint="eastAsia" w:ascii="微软雅黑" w:hAnsi="微软雅黑" w:eastAsia="微软雅黑" w:cs="微软雅黑"/>
          <w:color w:val="auto"/>
          <w:szCs w:val="21"/>
          <w:highlight w:val="none"/>
        </w:rPr>
        <w:t>规定执行。</w:t>
      </w:r>
    </w:p>
    <w:p w14:paraId="5D3470C6">
      <w:pPr>
        <w:pStyle w:val="4"/>
        <w:spacing w:line="400" w:lineRule="exact"/>
        <w:ind w:firstLine="420" w:firstLineChars="200"/>
        <w:rPr>
          <w:rFonts w:hint="eastAsia" w:ascii="微软雅黑" w:hAnsi="微软雅黑" w:eastAsia="微软雅黑" w:cs="微软雅黑"/>
          <w:color w:val="auto"/>
          <w:highlight w:val="none"/>
          <w:lang w:eastAsia="zh-CN"/>
        </w:rPr>
      </w:pPr>
      <w:bookmarkStart w:id="1776" w:name="_Toc14748"/>
      <w:bookmarkStart w:id="1777" w:name="_Toc18070"/>
      <w:bookmarkStart w:id="1778" w:name="_Toc28584"/>
      <w:r>
        <w:rPr>
          <w:rFonts w:hint="eastAsia" w:ascii="微软雅黑" w:hAnsi="微软雅黑" w:eastAsia="微软雅黑" w:cs="微软雅黑"/>
          <w:b w:val="0"/>
          <w:bCs w:val="0"/>
          <w:color w:val="auto"/>
          <w:sz w:val="21"/>
          <w:szCs w:val="21"/>
          <w:highlight w:val="none"/>
          <w:lang w:val="en-US" w:eastAsia="zh-CN"/>
        </w:rPr>
        <w:t xml:space="preserve">12.2 </w:t>
      </w:r>
      <w:r>
        <w:rPr>
          <w:rFonts w:hint="eastAsia" w:ascii="微软雅黑" w:hAnsi="微软雅黑" w:eastAsia="微软雅黑" w:cs="微软雅黑"/>
          <w:b w:val="0"/>
          <w:bCs w:val="0"/>
          <w:color w:val="auto"/>
          <w:kern w:val="2"/>
          <w:sz w:val="21"/>
          <w:szCs w:val="21"/>
          <w:highlight w:val="none"/>
        </w:rPr>
        <w:t>对于满足合同约定支付条件的，</w:t>
      </w:r>
      <w:r>
        <w:rPr>
          <w:rFonts w:hint="eastAsia" w:ascii="微软雅黑" w:hAnsi="微软雅黑" w:eastAsia="微软雅黑" w:cs="微软雅黑"/>
          <w:b w:val="0"/>
          <w:bCs w:val="0"/>
          <w:color w:val="auto"/>
          <w:kern w:val="2"/>
          <w:sz w:val="21"/>
          <w:szCs w:val="21"/>
          <w:highlight w:val="none"/>
          <w:lang w:val="en-US" w:eastAsia="zh-CN"/>
        </w:rPr>
        <w:t>甲方</w:t>
      </w:r>
      <w:r>
        <w:rPr>
          <w:rFonts w:hint="eastAsia" w:ascii="微软雅黑" w:hAnsi="微软雅黑" w:eastAsia="微软雅黑" w:cs="微软雅黑"/>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微软雅黑" w:hAnsi="微软雅黑" w:eastAsia="微软雅黑" w:cs="微软雅黑"/>
          <w:b w:val="0"/>
          <w:bCs w:val="0"/>
          <w:color w:val="auto"/>
          <w:kern w:val="2"/>
          <w:sz w:val="21"/>
          <w:szCs w:val="21"/>
          <w:highlight w:val="none"/>
        </w:rPr>
        <w:t>将资金支付到合同约定的</w:t>
      </w:r>
      <w:r>
        <w:rPr>
          <w:rFonts w:hint="eastAsia" w:ascii="微软雅黑" w:hAnsi="微软雅黑" w:eastAsia="微软雅黑" w:cs="微软雅黑"/>
          <w:b w:val="0"/>
          <w:bCs w:val="0"/>
          <w:color w:val="auto"/>
          <w:kern w:val="2"/>
          <w:sz w:val="21"/>
          <w:szCs w:val="21"/>
          <w:highlight w:val="none"/>
          <w:lang w:eastAsia="zh-CN"/>
        </w:rPr>
        <w:t>乙方</w:t>
      </w:r>
      <w:r>
        <w:rPr>
          <w:rFonts w:hint="eastAsia" w:ascii="微软雅黑" w:hAnsi="微软雅黑" w:eastAsia="微软雅黑" w:cs="微软雅黑"/>
          <w:b w:val="0"/>
          <w:bCs w:val="0"/>
          <w:color w:val="auto"/>
          <w:kern w:val="2"/>
          <w:sz w:val="21"/>
          <w:szCs w:val="21"/>
          <w:highlight w:val="none"/>
        </w:rPr>
        <w:t>账户，不得以机构变动、人员更替、政策调整等为由迟延付款，不得将采购文件和合同中未规定的义务作为向</w:t>
      </w:r>
      <w:r>
        <w:rPr>
          <w:rFonts w:hint="eastAsia" w:ascii="微软雅黑" w:hAnsi="微软雅黑" w:eastAsia="微软雅黑" w:cs="微软雅黑"/>
          <w:b w:val="0"/>
          <w:bCs w:val="0"/>
          <w:color w:val="auto"/>
          <w:kern w:val="2"/>
          <w:sz w:val="21"/>
          <w:szCs w:val="21"/>
          <w:highlight w:val="none"/>
          <w:lang w:val="en-US" w:eastAsia="zh-CN"/>
        </w:rPr>
        <w:t>乙方</w:t>
      </w:r>
      <w:r>
        <w:rPr>
          <w:rFonts w:hint="eastAsia" w:ascii="微软雅黑" w:hAnsi="微软雅黑" w:eastAsia="微软雅黑" w:cs="微软雅黑"/>
          <w:b w:val="0"/>
          <w:bCs w:val="0"/>
          <w:color w:val="auto"/>
          <w:kern w:val="2"/>
          <w:sz w:val="21"/>
          <w:szCs w:val="21"/>
          <w:highlight w:val="none"/>
        </w:rPr>
        <w:t>付款的条件。具体合同价款支付时间在【</w:t>
      </w:r>
      <w:r>
        <w:rPr>
          <w:rFonts w:hint="eastAsia" w:ascii="微软雅黑" w:hAnsi="微软雅黑" w:eastAsia="微软雅黑" w:cs="微软雅黑"/>
          <w:b/>
          <w:bCs/>
          <w:color w:val="auto"/>
          <w:kern w:val="2"/>
          <w:sz w:val="21"/>
          <w:szCs w:val="21"/>
          <w:highlight w:val="none"/>
        </w:rPr>
        <w:t>政府采购合同专用条款</w:t>
      </w:r>
      <w:r>
        <w:rPr>
          <w:rFonts w:hint="eastAsia" w:ascii="微软雅黑" w:hAnsi="微软雅黑" w:eastAsia="微软雅黑" w:cs="微软雅黑"/>
          <w:b w:val="0"/>
          <w:bCs w:val="0"/>
          <w:color w:val="auto"/>
          <w:kern w:val="2"/>
          <w:sz w:val="21"/>
          <w:szCs w:val="21"/>
          <w:highlight w:val="none"/>
        </w:rPr>
        <w:t>】中</w:t>
      </w:r>
      <w:r>
        <w:rPr>
          <w:rFonts w:hint="eastAsia" w:ascii="微软雅黑" w:hAnsi="微软雅黑" w:eastAsia="微软雅黑" w:cs="微软雅黑"/>
          <w:b w:val="0"/>
          <w:bCs w:val="0"/>
          <w:color w:val="auto"/>
          <w:kern w:val="2"/>
          <w:sz w:val="21"/>
          <w:szCs w:val="21"/>
          <w:highlight w:val="none"/>
          <w:lang w:eastAsia="zh-CN"/>
        </w:rPr>
        <w:t>约</w:t>
      </w:r>
      <w:r>
        <w:rPr>
          <w:rFonts w:hint="eastAsia" w:ascii="微软雅黑" w:hAnsi="微软雅黑" w:eastAsia="微软雅黑" w:cs="微软雅黑"/>
          <w:b w:val="0"/>
          <w:bCs w:val="0"/>
          <w:color w:val="auto"/>
          <w:kern w:val="2"/>
          <w:sz w:val="21"/>
          <w:szCs w:val="21"/>
          <w:highlight w:val="none"/>
        </w:rPr>
        <w:t>定。</w:t>
      </w:r>
      <w:bookmarkEnd w:id="1776"/>
      <w:bookmarkEnd w:id="1777"/>
      <w:bookmarkEnd w:id="1778"/>
    </w:p>
    <w:p w14:paraId="0F0F55B7">
      <w:pPr>
        <w:pStyle w:val="9"/>
        <w:spacing w:after="0" w:line="400" w:lineRule="exact"/>
        <w:rPr>
          <w:rFonts w:hint="eastAsia" w:ascii="微软雅黑" w:hAnsi="微软雅黑" w:eastAsia="微软雅黑" w:cs="微软雅黑"/>
          <w:b/>
          <w:bCs/>
          <w:color w:val="auto"/>
          <w:sz w:val="24"/>
          <w:szCs w:val="24"/>
          <w:highlight w:val="none"/>
        </w:rPr>
      </w:pPr>
      <w:r>
        <w:rPr>
          <w:rFonts w:hint="eastAsia" w:ascii="微软雅黑" w:hAnsi="微软雅黑" w:eastAsia="微软雅黑" w:cs="微软雅黑"/>
          <w:b/>
          <w:bCs/>
          <w:color w:val="auto"/>
          <w:sz w:val="24"/>
          <w:szCs w:val="24"/>
          <w:highlight w:val="none"/>
        </w:rPr>
        <w:t>1</w:t>
      </w:r>
      <w:r>
        <w:rPr>
          <w:rFonts w:hint="eastAsia" w:ascii="微软雅黑" w:hAnsi="微软雅黑" w:eastAsia="微软雅黑" w:cs="微软雅黑"/>
          <w:b/>
          <w:bCs/>
          <w:color w:val="auto"/>
          <w:sz w:val="24"/>
          <w:szCs w:val="24"/>
          <w:highlight w:val="none"/>
          <w:lang w:eastAsia="zh-CN"/>
        </w:rPr>
        <w:t>3</w:t>
      </w:r>
      <w:r>
        <w:rPr>
          <w:rFonts w:hint="eastAsia" w:ascii="微软雅黑" w:hAnsi="微软雅黑" w:eastAsia="微软雅黑" w:cs="微软雅黑"/>
          <w:b/>
          <w:bCs/>
          <w:color w:val="auto"/>
          <w:sz w:val="24"/>
          <w:szCs w:val="24"/>
          <w:highlight w:val="none"/>
        </w:rPr>
        <w:t>.</w:t>
      </w:r>
      <w:r>
        <w:rPr>
          <w:rFonts w:hint="eastAsia" w:ascii="微软雅黑" w:hAnsi="微软雅黑" w:eastAsia="微软雅黑" w:cs="微软雅黑"/>
          <w:b/>
          <w:bCs/>
          <w:color w:val="auto"/>
          <w:sz w:val="24"/>
          <w:szCs w:val="24"/>
          <w:highlight w:val="none"/>
          <w:lang w:val="en-US" w:eastAsia="zh-CN"/>
        </w:rPr>
        <w:t xml:space="preserve"> </w:t>
      </w:r>
      <w:r>
        <w:rPr>
          <w:rFonts w:hint="eastAsia" w:ascii="微软雅黑" w:hAnsi="微软雅黑" w:eastAsia="微软雅黑" w:cs="微软雅黑"/>
          <w:b/>
          <w:bCs/>
          <w:color w:val="auto"/>
          <w:sz w:val="24"/>
          <w:szCs w:val="24"/>
          <w:highlight w:val="none"/>
        </w:rPr>
        <w:t>履约保证金</w:t>
      </w:r>
    </w:p>
    <w:p w14:paraId="411DB277">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3</w:t>
      </w:r>
      <w:r>
        <w:rPr>
          <w:rFonts w:hint="eastAsia" w:ascii="微软雅黑" w:hAnsi="微软雅黑" w:eastAsia="微软雅黑" w:cs="微软雅黑"/>
          <w:color w:val="auto"/>
          <w:szCs w:val="21"/>
          <w:highlight w:val="none"/>
        </w:rPr>
        <w:t xml:space="preserve">.1 </w:t>
      </w:r>
      <w:r>
        <w:rPr>
          <w:rFonts w:hint="eastAsia" w:ascii="微软雅黑" w:hAnsi="微软雅黑" w:eastAsia="微软雅黑" w:cs="微软雅黑"/>
          <w:szCs w:val="15"/>
        </w:rPr>
        <w:t>乙方应当以支票、汇票、本票或者金融机构、担保机构出具的保函等非现金形式提交。</w:t>
      </w:r>
    </w:p>
    <w:p w14:paraId="598A8DC1">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3</w:t>
      </w:r>
      <w:r>
        <w:rPr>
          <w:rFonts w:hint="eastAsia" w:ascii="微软雅黑" w:hAnsi="微软雅黑" w:eastAsia="微软雅黑" w:cs="微软雅黑"/>
          <w:color w:val="auto"/>
          <w:szCs w:val="21"/>
          <w:highlight w:val="none"/>
        </w:rPr>
        <w:t>.2 如果乙方</w:t>
      </w:r>
      <w:r>
        <w:rPr>
          <w:rFonts w:hint="eastAsia" w:ascii="微软雅黑" w:hAnsi="微软雅黑" w:eastAsia="微软雅黑" w:cs="微软雅黑"/>
          <w:color w:val="auto"/>
          <w:szCs w:val="21"/>
          <w:highlight w:val="none"/>
          <w:lang w:eastAsia="zh-CN"/>
        </w:rPr>
        <w:t>出现</w:t>
      </w:r>
      <w:r>
        <w:rPr>
          <w:rFonts w:hint="eastAsia" w:ascii="微软雅黑" w:hAnsi="微软雅黑" w:eastAsia="微软雅黑" w:cs="微软雅黑"/>
          <w:b/>
          <w:bCs/>
          <w:szCs w:val="15"/>
          <w:highlight w:val="none"/>
        </w:rPr>
        <w:t>【政府采购合同专用条款】</w:t>
      </w:r>
      <w:r>
        <w:rPr>
          <w:rFonts w:hint="eastAsia" w:ascii="微软雅黑" w:hAnsi="微软雅黑" w:eastAsia="微软雅黑" w:cs="微软雅黑"/>
          <w:b w:val="0"/>
          <w:bCs w:val="0"/>
          <w:szCs w:val="15"/>
          <w:highlight w:val="none"/>
          <w:lang w:eastAsia="zh-CN"/>
        </w:rPr>
        <w:t>约定</w:t>
      </w:r>
      <w:r>
        <w:rPr>
          <w:rFonts w:hint="eastAsia" w:ascii="微软雅黑" w:hAnsi="微软雅黑" w:eastAsia="微软雅黑" w:cs="微软雅黑"/>
          <w:b w:val="0"/>
          <w:bCs w:val="0"/>
          <w:szCs w:val="15"/>
          <w:lang w:eastAsia="zh-CN"/>
        </w:rPr>
        <w:t>情形的</w:t>
      </w:r>
      <w:r>
        <w:rPr>
          <w:rFonts w:hint="eastAsia" w:ascii="微软雅黑" w:hAnsi="微软雅黑" w:eastAsia="微软雅黑" w:cs="微软雅黑"/>
          <w:color w:val="auto"/>
          <w:szCs w:val="21"/>
          <w:highlight w:val="none"/>
        </w:rPr>
        <w:t>，履约保证金不予退还；如果乙方未能按合同约定全面履行义务，甲方有权从履约保证金中取得补偿或赔偿，</w:t>
      </w:r>
      <w:r>
        <w:rPr>
          <w:rFonts w:hint="eastAsia" w:ascii="微软雅黑" w:hAnsi="微软雅黑" w:eastAsia="微软雅黑" w:cs="微软雅黑"/>
          <w:color w:val="auto"/>
          <w:szCs w:val="21"/>
          <w:highlight w:val="none"/>
          <w:lang w:eastAsia="zh-CN"/>
        </w:rPr>
        <w:t>且</w:t>
      </w:r>
      <w:r>
        <w:rPr>
          <w:rFonts w:hint="eastAsia" w:ascii="微软雅黑" w:hAnsi="微软雅黑" w:eastAsia="微软雅黑" w:cs="微软雅黑"/>
          <w:color w:val="auto"/>
          <w:szCs w:val="21"/>
          <w:highlight w:val="none"/>
        </w:rPr>
        <w:t>不影响甲方要求乙方承担合同约定的超过履约保证金的违约责任的权利。</w:t>
      </w:r>
    </w:p>
    <w:p w14:paraId="1E7B8C34">
      <w:pPr>
        <w:spacing w:line="400" w:lineRule="exact"/>
        <w:ind w:firstLine="420"/>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3</w:t>
      </w:r>
      <w:r>
        <w:rPr>
          <w:rFonts w:hint="eastAsia" w:ascii="微软雅黑" w:hAnsi="微软雅黑" w:eastAsia="微软雅黑" w:cs="微软雅黑"/>
          <w:color w:val="auto"/>
          <w:szCs w:val="21"/>
          <w:highlight w:val="none"/>
        </w:rPr>
        <w:t>.3 甲方在项目通过验收后按照</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规定的时间内将履约保证金退还乙方；逾期退还的，乙方可要求甲方支付违约金，违约金按照</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规定支付。</w:t>
      </w:r>
    </w:p>
    <w:p w14:paraId="5D7A5EB4">
      <w:p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4</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color w:val="auto"/>
          <w:sz w:val="24"/>
          <w:highlight w:val="none"/>
        </w:rPr>
        <w:t>售后服务</w:t>
      </w:r>
    </w:p>
    <w:p w14:paraId="209140F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4</w:t>
      </w:r>
      <w:r>
        <w:rPr>
          <w:rFonts w:hint="eastAsia" w:ascii="微软雅黑" w:hAnsi="微软雅黑" w:eastAsia="微软雅黑" w:cs="微软雅黑"/>
          <w:color w:val="auto"/>
          <w:szCs w:val="21"/>
          <w:highlight w:val="none"/>
        </w:rPr>
        <w:t>.1 除项目不涉及或采购活动中明确约定无须承担外，乙方还应提供下列服务：</w:t>
      </w:r>
    </w:p>
    <w:p w14:paraId="748C100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（1）货物的现场移动、安装、调试、启动监督及技术支持；</w:t>
      </w:r>
    </w:p>
    <w:p w14:paraId="224CEC8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（2）提供货物组装和维修所需的专用工具和辅助材料；</w:t>
      </w:r>
    </w:p>
    <w:p w14:paraId="268111F2">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（3）在</w:t>
      </w:r>
      <w:r>
        <w:rPr>
          <w:rFonts w:hint="eastAsia" w:ascii="微软雅黑" w:hAnsi="微软雅黑" w:eastAsia="微软雅黑" w:cs="微软雅黑"/>
          <w:b/>
          <w:bCs/>
          <w:szCs w:val="15"/>
          <w:highlight w:val="none"/>
        </w:rPr>
        <w:t>【政府采购合同专用条款】</w:t>
      </w:r>
      <w:r>
        <w:rPr>
          <w:rFonts w:hint="eastAsia" w:ascii="微软雅黑" w:hAnsi="微软雅黑" w:eastAsia="微软雅黑" w:cs="微软雅黑"/>
          <w:color w:val="auto"/>
          <w:szCs w:val="21"/>
          <w:highlight w:val="none"/>
          <w:lang w:eastAsia="zh-CN"/>
        </w:rPr>
        <w:t>约定</w:t>
      </w:r>
      <w:r>
        <w:rPr>
          <w:rFonts w:hint="eastAsia" w:ascii="微软雅黑" w:hAnsi="微软雅黑" w:eastAsia="微软雅黑" w:cs="微软雅黑"/>
          <w:color w:val="auto"/>
          <w:szCs w:val="21"/>
          <w:highlight w:val="none"/>
        </w:rPr>
        <w:t>的期限内对所有的货物实施运行监督、维修，但前提条件是该服务并不能免除乙方在质量保证期内所承担的义务；</w:t>
      </w:r>
    </w:p>
    <w:p w14:paraId="2B9F775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（4）在制造商</w:t>
      </w:r>
      <w:r>
        <w:rPr>
          <w:rFonts w:hint="eastAsia" w:ascii="微软雅黑" w:hAnsi="微软雅黑" w:eastAsia="微软雅黑" w:cs="微软雅黑"/>
          <w:color w:val="auto"/>
          <w:szCs w:val="21"/>
          <w:highlight w:val="none"/>
          <w:lang w:eastAsia="zh-CN"/>
        </w:rPr>
        <w:t>所在地</w:t>
      </w:r>
      <w:r>
        <w:rPr>
          <w:rFonts w:hint="eastAsia" w:ascii="微软雅黑" w:hAnsi="微软雅黑" w:eastAsia="微软雅黑" w:cs="微软雅黑"/>
          <w:color w:val="auto"/>
          <w:szCs w:val="21"/>
          <w:highlight w:val="none"/>
        </w:rPr>
        <w:t>或</w:t>
      </w:r>
      <w:r>
        <w:rPr>
          <w:rFonts w:hint="eastAsia" w:ascii="微软雅黑" w:hAnsi="微软雅黑" w:eastAsia="微软雅黑" w:cs="微软雅黑"/>
          <w:color w:val="auto"/>
          <w:szCs w:val="21"/>
          <w:highlight w:val="none"/>
          <w:lang w:eastAsia="zh-CN"/>
        </w:rPr>
        <w:t>指定</w:t>
      </w:r>
      <w:r>
        <w:rPr>
          <w:rFonts w:hint="eastAsia" w:ascii="微软雅黑" w:hAnsi="微软雅黑" w:eastAsia="微软雅黑" w:cs="微软雅黑"/>
          <w:color w:val="auto"/>
          <w:szCs w:val="21"/>
          <w:highlight w:val="none"/>
        </w:rPr>
        <w:t>现场就货物的安装、启动、运营、维护</w:t>
      </w:r>
      <w:r>
        <w:rPr>
          <w:rFonts w:hint="eastAsia" w:ascii="微软雅黑" w:hAnsi="微软雅黑" w:eastAsia="微软雅黑" w:cs="微软雅黑"/>
          <w:color w:val="auto"/>
          <w:szCs w:val="21"/>
          <w:highlight w:val="none"/>
          <w:lang w:eastAsia="zh-CN"/>
        </w:rPr>
        <w:t>、废弃处置等</w:t>
      </w:r>
      <w:r>
        <w:rPr>
          <w:rFonts w:hint="eastAsia" w:ascii="微软雅黑" w:hAnsi="微软雅黑" w:eastAsia="微软雅黑" w:cs="微软雅黑"/>
          <w:color w:val="auto"/>
          <w:szCs w:val="21"/>
          <w:highlight w:val="none"/>
        </w:rPr>
        <w:t>对甲方操作人员进行培训</w:t>
      </w:r>
      <w:r>
        <w:rPr>
          <w:rFonts w:hint="eastAsia" w:ascii="微软雅黑" w:hAnsi="微软雅黑" w:eastAsia="微软雅黑" w:cs="微软雅黑"/>
          <w:szCs w:val="15"/>
          <w:lang w:eastAsia="zh-CN"/>
        </w:rPr>
        <w:t>；</w:t>
      </w:r>
    </w:p>
    <w:p w14:paraId="7A920A61">
      <w:pPr>
        <w:pStyle w:val="31"/>
        <w:rPr>
          <w:rFonts w:hint="eastAsia" w:ascii="微软雅黑" w:hAnsi="微软雅黑" w:eastAsia="微软雅黑" w:cs="微软雅黑"/>
          <w:sz w:val="21"/>
          <w:szCs w:val="21"/>
        </w:rPr>
      </w:pPr>
      <w:r>
        <w:rPr>
          <w:rFonts w:hint="eastAsia" w:ascii="微软雅黑" w:hAnsi="微软雅黑" w:eastAsia="微软雅黑" w:cs="微软雅黑"/>
          <w:sz w:val="21"/>
          <w:szCs w:val="21"/>
        </w:rPr>
        <w:t>（5）依照法律、行政法规的规定或者按照</w:t>
      </w:r>
      <w:r>
        <w:rPr>
          <w:rFonts w:hint="eastAsia" w:ascii="微软雅黑" w:hAnsi="微软雅黑" w:eastAsia="微软雅黑" w:cs="微软雅黑"/>
          <w:b/>
          <w:bCs/>
          <w:sz w:val="21"/>
          <w:szCs w:val="21"/>
        </w:rPr>
        <w:t>【政府采购合同专用条款】</w:t>
      </w:r>
      <w:r>
        <w:rPr>
          <w:rFonts w:hint="eastAsia" w:ascii="微软雅黑" w:hAnsi="微软雅黑" w:eastAsia="微软雅黑" w:cs="微软雅黑"/>
          <w:sz w:val="21"/>
          <w:szCs w:val="21"/>
        </w:rPr>
        <w:t>约定，货物在有效使用年限届满后应予回收的，乙方负有自行或者委托第三人对货物予以回收的义务；</w:t>
      </w:r>
    </w:p>
    <w:p w14:paraId="5FCDC397">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规定由乙方提供的其他服务。</w:t>
      </w:r>
    </w:p>
    <w:p w14:paraId="46435922">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.2 乙方提供的</w:t>
      </w:r>
      <w:r>
        <w:rPr>
          <w:rFonts w:hint="eastAsia" w:ascii="微软雅黑" w:hAnsi="微软雅黑" w:eastAsia="微软雅黑" w:cs="微软雅黑"/>
          <w:color w:val="auto"/>
          <w:szCs w:val="21"/>
          <w:highlight w:val="none"/>
          <w:lang w:eastAsia="zh-CN"/>
        </w:rPr>
        <w:t>售后</w:t>
      </w:r>
      <w:r>
        <w:rPr>
          <w:rFonts w:hint="eastAsia" w:ascii="微软雅黑" w:hAnsi="微软雅黑" w:eastAsia="微软雅黑" w:cs="微软雅黑"/>
          <w:color w:val="auto"/>
          <w:szCs w:val="21"/>
          <w:highlight w:val="none"/>
        </w:rPr>
        <w:t>服务的费用</w:t>
      </w:r>
      <w:r>
        <w:rPr>
          <w:rFonts w:hint="eastAsia" w:ascii="微软雅黑" w:hAnsi="微软雅黑" w:eastAsia="微软雅黑" w:cs="微软雅黑"/>
          <w:color w:val="auto"/>
          <w:szCs w:val="21"/>
          <w:highlight w:val="none"/>
          <w:lang w:val="en-US" w:eastAsia="zh-CN"/>
        </w:rPr>
        <w:t>已</w:t>
      </w:r>
      <w:r>
        <w:rPr>
          <w:rFonts w:hint="eastAsia" w:ascii="微软雅黑" w:hAnsi="微软雅黑" w:eastAsia="微软雅黑" w:cs="微软雅黑"/>
          <w:color w:val="auto"/>
          <w:szCs w:val="21"/>
          <w:highlight w:val="none"/>
        </w:rPr>
        <w:t>包含在合同价款中，甲方不再另行支付。</w:t>
      </w:r>
    </w:p>
    <w:p w14:paraId="7A83FD5B">
      <w:pPr>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eastAsia="zh-CN"/>
        </w:rPr>
        <w:t>5</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违约责任</w:t>
      </w:r>
    </w:p>
    <w:p w14:paraId="47BCA213">
      <w:pPr>
        <w:adjustRightInd w:val="0"/>
        <w:snapToGrid w:val="0"/>
        <w:spacing w:before="0" w:line="400" w:lineRule="exact"/>
        <w:ind w:firstLine="420" w:firstLineChars="200"/>
        <w:jc w:val="left"/>
        <w:rPr>
          <w:rFonts w:hint="eastAsia" w:ascii="微软雅黑" w:hAnsi="微软雅黑" w:eastAsia="微软雅黑" w:cs="微软雅黑"/>
          <w:bCs/>
          <w:color w:val="auto"/>
          <w:szCs w:val="21"/>
          <w:highlight w:val="none"/>
        </w:rPr>
      </w:pPr>
      <w:r>
        <w:rPr>
          <w:rFonts w:hint="eastAsia" w:ascii="微软雅黑" w:hAnsi="微软雅黑" w:eastAsia="微软雅黑" w:cs="微软雅黑"/>
          <w:bCs/>
          <w:color w:val="auto"/>
          <w:szCs w:val="21"/>
          <w:highlight w:val="none"/>
        </w:rPr>
        <w:t>1</w:t>
      </w:r>
      <w:r>
        <w:rPr>
          <w:rFonts w:hint="eastAsia" w:ascii="微软雅黑" w:hAnsi="微软雅黑" w:eastAsia="微软雅黑" w:cs="微软雅黑"/>
          <w:bCs/>
          <w:color w:val="auto"/>
          <w:szCs w:val="21"/>
          <w:highlight w:val="none"/>
          <w:lang w:eastAsia="zh-CN"/>
        </w:rPr>
        <w:t>5</w:t>
      </w:r>
      <w:r>
        <w:rPr>
          <w:rFonts w:hint="eastAsia" w:ascii="微软雅黑" w:hAnsi="微软雅黑" w:eastAsia="微软雅黑" w:cs="微软雅黑"/>
          <w:bCs/>
          <w:color w:val="auto"/>
          <w:szCs w:val="21"/>
          <w:highlight w:val="none"/>
        </w:rPr>
        <w:t>.1质量瑕疵的</w:t>
      </w:r>
      <w:r>
        <w:rPr>
          <w:rFonts w:hint="eastAsia" w:ascii="微软雅黑" w:hAnsi="微软雅黑" w:eastAsia="微软雅黑" w:cs="微软雅黑"/>
          <w:bCs/>
          <w:color w:val="auto"/>
          <w:szCs w:val="21"/>
          <w:highlight w:val="none"/>
          <w:lang w:eastAsia="zh-CN"/>
        </w:rPr>
        <w:t>违约责任</w:t>
      </w:r>
    </w:p>
    <w:p w14:paraId="628B8741">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乙方</w:t>
      </w:r>
      <w:r>
        <w:rPr>
          <w:rFonts w:hint="eastAsia" w:ascii="微软雅黑" w:hAnsi="微软雅黑" w:eastAsia="微软雅黑" w:cs="微软雅黑"/>
          <w:color w:val="auto"/>
          <w:szCs w:val="21"/>
          <w:highlight w:val="none"/>
          <w:lang w:eastAsia="zh-CN"/>
        </w:rPr>
        <w:t>提供</w:t>
      </w:r>
      <w:r>
        <w:rPr>
          <w:rFonts w:hint="eastAsia" w:ascii="微软雅黑" w:hAnsi="微软雅黑" w:eastAsia="微软雅黑" w:cs="微软雅黑"/>
          <w:color w:val="auto"/>
          <w:szCs w:val="21"/>
          <w:highlight w:val="none"/>
        </w:rPr>
        <w:t>的产品不符合</w:t>
      </w:r>
      <w:r>
        <w:rPr>
          <w:rFonts w:hint="eastAsia" w:ascii="微软雅黑" w:hAnsi="微软雅黑" w:eastAsia="微软雅黑" w:cs="微软雅黑"/>
          <w:color w:val="auto"/>
          <w:szCs w:val="21"/>
          <w:highlight w:val="none"/>
          <w:lang w:eastAsia="zh-CN"/>
        </w:rPr>
        <w:t>合同约定的</w:t>
      </w:r>
      <w:r>
        <w:rPr>
          <w:rFonts w:hint="eastAsia" w:ascii="微软雅黑" w:hAnsi="微软雅黑" w:eastAsia="微软雅黑" w:cs="微软雅黑"/>
          <w:color w:val="auto"/>
          <w:szCs w:val="21"/>
          <w:highlight w:val="none"/>
        </w:rPr>
        <w:t>质量标准或存在产品质量缺陷，</w:t>
      </w:r>
      <w:r>
        <w:rPr>
          <w:rFonts w:hint="eastAsia" w:ascii="微软雅黑" w:hAnsi="微软雅黑" w:eastAsia="微软雅黑" w:cs="微软雅黑"/>
          <w:color w:val="auto"/>
          <w:szCs w:val="21"/>
          <w:highlight w:val="none"/>
          <w:lang w:eastAsia="zh-CN"/>
        </w:rPr>
        <w:t>甲方有权要求乙方根据</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b w:val="0"/>
          <w:bCs/>
          <w:color w:val="auto"/>
          <w:szCs w:val="21"/>
          <w:highlight w:val="none"/>
          <w:lang w:eastAsia="zh-CN"/>
        </w:rPr>
        <w:t>要求</w:t>
      </w:r>
      <w:r>
        <w:rPr>
          <w:rFonts w:hint="eastAsia" w:ascii="微软雅黑" w:hAnsi="微软雅黑" w:eastAsia="微软雅黑" w:cs="微软雅黑"/>
          <w:color w:val="auto"/>
          <w:szCs w:val="21"/>
          <w:highlight w:val="none"/>
          <w:lang w:eastAsia="zh-CN"/>
        </w:rPr>
        <w:t>及时修理、重作、更换，并承担由此给甲</w:t>
      </w:r>
      <w:r>
        <w:rPr>
          <w:rFonts w:hint="eastAsia" w:ascii="微软雅黑" w:hAnsi="微软雅黑" w:eastAsia="微软雅黑" w:cs="微软雅黑"/>
          <w:color w:val="auto"/>
          <w:szCs w:val="21"/>
          <w:highlight w:val="none"/>
        </w:rPr>
        <w:t>方</w:t>
      </w:r>
      <w:r>
        <w:rPr>
          <w:rFonts w:hint="eastAsia" w:ascii="微软雅黑" w:hAnsi="微软雅黑" w:eastAsia="微软雅黑" w:cs="微软雅黑"/>
          <w:color w:val="auto"/>
          <w:szCs w:val="21"/>
          <w:highlight w:val="none"/>
          <w:lang w:eastAsia="zh-CN"/>
        </w:rPr>
        <w:t>造成的损失</w:t>
      </w:r>
      <w:r>
        <w:rPr>
          <w:rFonts w:hint="eastAsia" w:ascii="微软雅黑" w:hAnsi="微软雅黑" w:eastAsia="微软雅黑" w:cs="微软雅黑"/>
          <w:color w:val="auto"/>
          <w:szCs w:val="21"/>
          <w:highlight w:val="none"/>
        </w:rPr>
        <w:t>。</w:t>
      </w:r>
    </w:p>
    <w:p w14:paraId="76CA132F">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bCs/>
          <w:color w:val="auto"/>
          <w:szCs w:val="21"/>
          <w:highlight w:val="none"/>
        </w:rPr>
      </w:pPr>
      <w:r>
        <w:rPr>
          <w:rFonts w:hint="eastAsia" w:ascii="微软雅黑" w:hAnsi="微软雅黑" w:eastAsia="微软雅黑" w:cs="微软雅黑"/>
          <w:bCs/>
          <w:color w:val="auto"/>
          <w:szCs w:val="21"/>
          <w:highlight w:val="none"/>
        </w:rPr>
        <w:t>1</w:t>
      </w:r>
      <w:r>
        <w:rPr>
          <w:rFonts w:hint="eastAsia" w:ascii="微软雅黑" w:hAnsi="微软雅黑" w:eastAsia="微软雅黑" w:cs="微软雅黑"/>
          <w:bCs/>
          <w:color w:val="auto"/>
          <w:szCs w:val="21"/>
          <w:highlight w:val="none"/>
          <w:lang w:eastAsia="zh-CN"/>
        </w:rPr>
        <w:t>5</w:t>
      </w:r>
      <w:r>
        <w:rPr>
          <w:rFonts w:hint="eastAsia" w:ascii="微软雅黑" w:hAnsi="微软雅黑" w:eastAsia="微软雅黑" w:cs="微软雅黑"/>
          <w:bCs/>
          <w:color w:val="auto"/>
          <w:szCs w:val="21"/>
          <w:highlight w:val="none"/>
        </w:rPr>
        <w:t>.2 迟延交货的违约责任</w:t>
      </w:r>
    </w:p>
    <w:p w14:paraId="1B81763E">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（1）乙方应按照本合同规定的时间、地点交货和提供</w:t>
      </w:r>
      <w:r>
        <w:rPr>
          <w:rFonts w:hint="eastAsia" w:ascii="微软雅黑" w:hAnsi="微软雅黑" w:eastAsia="微软雅黑" w:cs="微软雅黑"/>
          <w:color w:val="auto"/>
          <w:szCs w:val="21"/>
          <w:highlight w:val="none"/>
          <w:lang w:eastAsia="zh-CN"/>
        </w:rPr>
        <w:t>相关</w:t>
      </w:r>
      <w:r>
        <w:rPr>
          <w:rFonts w:hint="eastAsia" w:ascii="微软雅黑" w:hAnsi="微软雅黑" w:eastAsia="微软雅黑" w:cs="微软雅黑"/>
          <w:color w:val="auto"/>
          <w:szCs w:val="21"/>
          <w:highlight w:val="none"/>
        </w:rPr>
        <w:t>服务。在履行合同过程中，如果乙方遇到可能</w:t>
      </w:r>
      <w:r>
        <w:rPr>
          <w:rFonts w:hint="eastAsia" w:ascii="微软雅黑" w:hAnsi="微软雅黑" w:eastAsia="微软雅黑" w:cs="微软雅黑"/>
          <w:color w:val="auto"/>
          <w:szCs w:val="21"/>
          <w:highlight w:val="none"/>
          <w:lang w:eastAsia="zh-CN"/>
        </w:rPr>
        <w:t>影响</w:t>
      </w:r>
      <w:r>
        <w:rPr>
          <w:rFonts w:hint="eastAsia" w:ascii="微软雅黑" w:hAnsi="微软雅黑" w:eastAsia="微软雅黑" w:cs="微软雅黑"/>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微软雅黑" w:hAnsi="微软雅黑" w:eastAsia="微软雅黑" w:cs="微软雅黑"/>
          <w:color w:val="auto"/>
          <w:szCs w:val="21"/>
          <w:highlight w:val="none"/>
          <w:lang w:eastAsia="zh-CN"/>
        </w:rPr>
        <w:t>长</w:t>
      </w:r>
      <w:r>
        <w:rPr>
          <w:rFonts w:hint="eastAsia" w:ascii="微软雅黑" w:hAnsi="微软雅黑" w:eastAsia="微软雅黑" w:cs="微软雅黑"/>
          <w:color w:val="auto"/>
          <w:szCs w:val="21"/>
          <w:highlight w:val="none"/>
        </w:rPr>
        <w:t>交货时间或延期提供服务。</w:t>
      </w:r>
    </w:p>
    <w:p w14:paraId="330CBEE5">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lang w:eastAsia="zh-CN"/>
        </w:rPr>
      </w:pPr>
      <w:r>
        <w:rPr>
          <w:rFonts w:hint="eastAsia" w:ascii="微软雅黑" w:hAnsi="微软雅黑" w:eastAsia="微软雅黑" w:cs="微软雅黑"/>
          <w:color w:val="auto"/>
          <w:szCs w:val="21"/>
          <w:highlight w:val="none"/>
        </w:rPr>
        <w:t>（2）如果乙方没有按照合同规定的时间交货和提供</w:t>
      </w:r>
      <w:r>
        <w:rPr>
          <w:rFonts w:hint="eastAsia" w:ascii="微软雅黑" w:hAnsi="微软雅黑" w:eastAsia="微软雅黑" w:cs="微软雅黑"/>
          <w:color w:val="auto"/>
          <w:szCs w:val="21"/>
          <w:highlight w:val="none"/>
          <w:lang w:eastAsia="zh-CN"/>
        </w:rPr>
        <w:t>相关</w:t>
      </w:r>
      <w:r>
        <w:rPr>
          <w:rFonts w:hint="eastAsia" w:ascii="微软雅黑" w:hAnsi="微软雅黑" w:eastAsia="微软雅黑" w:cs="微软雅黑"/>
          <w:color w:val="auto"/>
          <w:szCs w:val="21"/>
          <w:highlight w:val="none"/>
        </w:rPr>
        <w:t>服务，甲方有权从货款中扣除误期赔偿费而不影响合同项下的其他补救方法，赔偿费按</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color w:val="auto"/>
          <w:szCs w:val="21"/>
          <w:highlight w:val="none"/>
        </w:rPr>
        <w:t>规定执行。如果涉及公共利益，且赔偿金额无法弥补公共利益损失，</w:t>
      </w:r>
      <w:r>
        <w:rPr>
          <w:rFonts w:hint="eastAsia" w:ascii="微软雅黑" w:hAnsi="微软雅黑" w:eastAsia="微软雅黑" w:cs="微软雅黑"/>
          <w:color w:val="auto"/>
          <w:szCs w:val="21"/>
          <w:highlight w:val="none"/>
          <w:lang w:eastAsia="zh-CN"/>
        </w:rPr>
        <w:t>甲方</w:t>
      </w:r>
      <w:r>
        <w:rPr>
          <w:rFonts w:hint="eastAsia" w:ascii="微软雅黑" w:hAnsi="微软雅黑" w:eastAsia="微软雅黑" w:cs="微软雅黑"/>
          <w:color w:val="auto"/>
          <w:szCs w:val="21"/>
          <w:highlight w:val="none"/>
        </w:rPr>
        <w:t>可要求继续履行或者</w:t>
      </w:r>
      <w:r>
        <w:rPr>
          <w:rFonts w:hint="eastAsia" w:ascii="微软雅黑" w:hAnsi="微软雅黑" w:eastAsia="微软雅黑" w:cs="微软雅黑"/>
          <w:color w:val="auto"/>
          <w:szCs w:val="21"/>
          <w:highlight w:val="none"/>
          <w:lang w:eastAsia="zh-CN"/>
        </w:rPr>
        <w:t>采取其他补救措施</w:t>
      </w:r>
      <w:r>
        <w:rPr>
          <w:rFonts w:hint="eastAsia" w:ascii="微软雅黑" w:hAnsi="微软雅黑" w:eastAsia="微软雅黑" w:cs="微软雅黑"/>
          <w:color w:val="auto"/>
          <w:szCs w:val="21"/>
          <w:highlight w:val="none"/>
        </w:rPr>
        <w:t>。</w:t>
      </w:r>
    </w:p>
    <w:p w14:paraId="1DD2F41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eastAsia="zh-CN"/>
        </w:rPr>
        <w:t>5</w:t>
      </w:r>
      <w:r>
        <w:rPr>
          <w:rFonts w:hint="eastAsia" w:ascii="微软雅黑" w:hAnsi="微软雅黑" w:eastAsia="微软雅黑" w:cs="微软雅黑"/>
          <w:color w:val="auto"/>
          <w:szCs w:val="21"/>
          <w:highlight w:val="none"/>
        </w:rPr>
        <w:t>.3 迟延支付的违约责任</w:t>
      </w:r>
    </w:p>
    <w:p w14:paraId="3879C24A">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甲方存在迟延支付乙方合同款项的，应当承担</w:t>
      </w:r>
      <w:r>
        <w:rPr>
          <w:rFonts w:hint="eastAsia" w:ascii="微软雅黑" w:hAnsi="微软雅黑" w:eastAsia="微软雅黑" w:cs="微软雅黑"/>
          <w:b/>
          <w:bCs/>
          <w:color w:val="auto"/>
          <w:szCs w:val="21"/>
          <w:highlight w:val="none"/>
        </w:rPr>
        <w:t>【政府采购合同专用条款】</w:t>
      </w:r>
      <w:r>
        <w:rPr>
          <w:rFonts w:hint="eastAsia" w:ascii="微软雅黑" w:hAnsi="微软雅黑" w:eastAsia="微软雅黑" w:cs="微软雅黑"/>
          <w:color w:val="auto"/>
          <w:szCs w:val="21"/>
          <w:highlight w:val="none"/>
        </w:rPr>
        <w:t>规定的逾期付款利息。</w:t>
      </w:r>
    </w:p>
    <w:p w14:paraId="3A9E3AEA">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bCs/>
          <w:color w:val="auto"/>
          <w:szCs w:val="21"/>
          <w:highlight w:val="none"/>
        </w:rPr>
        <w:t>1</w:t>
      </w:r>
      <w:r>
        <w:rPr>
          <w:rFonts w:hint="eastAsia" w:ascii="微软雅黑" w:hAnsi="微软雅黑" w:eastAsia="微软雅黑" w:cs="微软雅黑"/>
          <w:bCs/>
          <w:color w:val="auto"/>
          <w:szCs w:val="21"/>
          <w:highlight w:val="none"/>
          <w:lang w:eastAsia="zh-CN"/>
        </w:rPr>
        <w:t>5</w:t>
      </w:r>
      <w:r>
        <w:rPr>
          <w:rFonts w:hint="eastAsia" w:ascii="微软雅黑" w:hAnsi="微软雅黑" w:eastAsia="微软雅黑" w:cs="微软雅黑"/>
          <w:bCs/>
          <w:color w:val="auto"/>
          <w:szCs w:val="21"/>
          <w:highlight w:val="none"/>
        </w:rPr>
        <w:t>.4其他违约责任根据项目实际需要按</w:t>
      </w:r>
      <w:r>
        <w:rPr>
          <w:rFonts w:hint="eastAsia" w:ascii="微软雅黑" w:hAnsi="微软雅黑" w:eastAsia="微软雅黑" w:cs="微软雅黑"/>
          <w:b/>
          <w:bCs/>
          <w:color w:val="auto"/>
          <w:szCs w:val="21"/>
          <w:highlight w:val="none"/>
        </w:rPr>
        <w:t>【政府采购合同专用条款】</w:t>
      </w:r>
      <w:r>
        <w:rPr>
          <w:rFonts w:hint="eastAsia" w:ascii="微软雅黑" w:hAnsi="微软雅黑" w:eastAsia="微软雅黑" w:cs="微软雅黑"/>
          <w:color w:val="auto"/>
          <w:szCs w:val="21"/>
          <w:highlight w:val="none"/>
        </w:rPr>
        <w:t>规定执行。</w:t>
      </w:r>
    </w:p>
    <w:p w14:paraId="1BDF108F">
      <w:pPr>
        <w:numPr>
          <w:ilvl w:val="0"/>
          <w:numId w:val="6"/>
        </w:num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合同变更</w:t>
      </w:r>
      <w:r>
        <w:rPr>
          <w:rFonts w:hint="eastAsia" w:ascii="微软雅黑" w:hAnsi="微软雅黑" w:eastAsia="微软雅黑" w:cs="微软雅黑"/>
          <w:b/>
          <w:color w:val="auto"/>
          <w:sz w:val="24"/>
          <w:highlight w:val="none"/>
          <w:lang w:eastAsia="zh-CN"/>
        </w:rPr>
        <w:t>、中止与终止</w:t>
      </w:r>
    </w:p>
    <w:p w14:paraId="5E426F5B">
      <w:pPr>
        <w:autoSpaceDE/>
        <w:autoSpaceDN/>
        <w:adjustRightInd w:val="0"/>
        <w:snapToGrid w:val="0"/>
        <w:spacing w:before="0" w:line="400" w:lineRule="exact"/>
        <w:ind w:firstLine="0" w:firstLineChars="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val="en-US" w:eastAsia="zh-CN"/>
        </w:rPr>
        <w:t xml:space="preserve">    </w:t>
      </w: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.1合同的</w:t>
      </w:r>
      <w:r>
        <w:rPr>
          <w:rFonts w:hint="eastAsia" w:ascii="微软雅黑" w:hAnsi="微软雅黑" w:eastAsia="微软雅黑" w:cs="微软雅黑"/>
          <w:color w:val="auto"/>
          <w:szCs w:val="21"/>
          <w:highlight w:val="none"/>
          <w:lang w:eastAsia="zh-CN"/>
        </w:rPr>
        <w:t>变更</w:t>
      </w:r>
    </w:p>
    <w:p w14:paraId="29033FD4">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政府采购合同履行中，</w:t>
      </w:r>
      <w:r>
        <w:rPr>
          <w:rFonts w:hint="eastAsia" w:ascii="微软雅黑" w:hAnsi="微软雅黑" w:eastAsia="微软雅黑" w:cs="微软雅黑"/>
          <w:color w:val="auto"/>
          <w:szCs w:val="21"/>
          <w:highlight w:val="none"/>
        </w:rPr>
        <w:t>在不改变合同其他条款的前提下，甲方可以在合同价款10%的范围内追加与合同标的相同的货物，并就此与乙方协商</w:t>
      </w:r>
      <w:r>
        <w:rPr>
          <w:rFonts w:hint="eastAsia" w:ascii="微软雅黑" w:hAnsi="微软雅黑" w:eastAsia="微软雅黑" w:cs="微软雅黑"/>
          <w:color w:val="auto"/>
          <w:szCs w:val="21"/>
          <w:highlight w:val="none"/>
          <w:lang w:eastAsia="zh-CN"/>
        </w:rPr>
        <w:t>一致后</w:t>
      </w:r>
      <w:r>
        <w:rPr>
          <w:rFonts w:hint="eastAsia" w:ascii="微软雅黑" w:hAnsi="微软雅黑" w:eastAsia="微软雅黑" w:cs="微软雅黑"/>
          <w:color w:val="auto"/>
          <w:szCs w:val="21"/>
          <w:highlight w:val="none"/>
        </w:rPr>
        <w:t>签订补充协议。</w:t>
      </w:r>
    </w:p>
    <w:p w14:paraId="174E1622">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合同的中止</w:t>
      </w:r>
    </w:p>
    <w:p w14:paraId="650F487D">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（1）合同履行过程中因供应商就采购文件、采购过程或结果提起投诉的，甲方认为有必要的，</w:t>
      </w:r>
      <w:r>
        <w:rPr>
          <w:rFonts w:hint="eastAsia" w:ascii="微软雅黑" w:hAnsi="微软雅黑" w:eastAsia="微软雅黑" w:cs="微软雅黑"/>
          <w:color w:val="auto"/>
          <w:szCs w:val="21"/>
          <w:highlight w:val="none"/>
          <w:lang w:eastAsia="zh-CN"/>
        </w:rPr>
        <w:t>可以</w:t>
      </w:r>
      <w:r>
        <w:rPr>
          <w:rFonts w:hint="eastAsia" w:ascii="微软雅黑" w:hAnsi="微软雅黑" w:eastAsia="微软雅黑" w:cs="微软雅黑"/>
          <w:color w:val="auto"/>
          <w:szCs w:val="21"/>
          <w:highlight w:val="none"/>
        </w:rPr>
        <w:t>中止合同的履行。</w:t>
      </w:r>
    </w:p>
    <w:p w14:paraId="0F39F126">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合同履行过程中，</w:t>
      </w:r>
      <w:r>
        <w:rPr>
          <w:rFonts w:hint="eastAsia" w:ascii="微软雅黑" w:hAnsi="微软雅黑" w:eastAsia="微软雅黑" w:cs="微软雅黑"/>
          <w:color w:val="auto"/>
          <w:szCs w:val="21"/>
          <w:highlight w:val="none"/>
        </w:rPr>
        <w:t>如果乙方出现以下情形之一的：1．经营状况严重恶化；2．转移财产、抽逃资金，以逃避债务；3．丧失商业信誉；4．有丧失或者可能丧失履约能力的其他情形</w:t>
      </w:r>
      <w:r>
        <w:rPr>
          <w:rFonts w:hint="eastAsia" w:ascii="微软雅黑" w:hAnsi="微软雅黑" w:eastAsia="微软雅黑" w:cs="微软雅黑"/>
          <w:color w:val="auto"/>
          <w:szCs w:val="21"/>
          <w:highlight w:val="none"/>
          <w:lang w:eastAsia="zh-CN"/>
        </w:rPr>
        <w:t>，乙方有义务及时告知甲方</w:t>
      </w:r>
      <w:r>
        <w:rPr>
          <w:rFonts w:hint="eastAsia" w:ascii="微软雅黑" w:hAnsi="微软雅黑" w:eastAsia="微软雅黑" w:cs="微软雅黑"/>
          <w:color w:val="auto"/>
          <w:szCs w:val="21"/>
          <w:highlight w:val="none"/>
        </w:rPr>
        <w:t>。甲方</w:t>
      </w:r>
      <w:r>
        <w:rPr>
          <w:rFonts w:hint="eastAsia" w:ascii="微软雅黑" w:hAnsi="微软雅黑" w:eastAsia="微软雅黑" w:cs="微软雅黑"/>
          <w:color w:val="auto"/>
          <w:szCs w:val="21"/>
          <w:highlight w:val="none"/>
          <w:lang w:eastAsia="zh-CN"/>
        </w:rPr>
        <w:t>有权</w:t>
      </w:r>
      <w:r>
        <w:rPr>
          <w:rFonts w:hint="eastAsia" w:ascii="微软雅黑" w:hAnsi="微软雅黑" w:eastAsia="微软雅黑" w:cs="微软雅黑"/>
          <w:color w:val="auto"/>
          <w:szCs w:val="21"/>
          <w:highlight w:val="none"/>
        </w:rPr>
        <w:t>以书面形式通知乙方中止合同</w:t>
      </w:r>
      <w:r>
        <w:rPr>
          <w:rFonts w:hint="eastAsia" w:ascii="微软雅黑" w:hAnsi="微软雅黑" w:eastAsia="微软雅黑" w:cs="微软雅黑"/>
          <w:color w:val="auto"/>
          <w:szCs w:val="21"/>
          <w:highlight w:val="none"/>
          <w:lang w:eastAsia="zh-CN"/>
        </w:rPr>
        <w:t>并要求乙方在合理期限内消除相关情形或者提供适当担保。</w:t>
      </w:r>
      <w:r>
        <w:rPr>
          <w:rFonts w:hint="eastAsia" w:ascii="微软雅黑" w:hAnsi="微软雅黑" w:eastAsia="微软雅黑" w:cs="微软雅黑"/>
          <w:color w:val="auto"/>
          <w:szCs w:val="21"/>
          <w:highlight w:val="none"/>
        </w:rPr>
        <w:t>乙方提供适当担保的，</w:t>
      </w:r>
      <w:r>
        <w:rPr>
          <w:rFonts w:hint="eastAsia" w:ascii="微软雅黑" w:hAnsi="微软雅黑" w:eastAsia="微软雅黑" w:cs="微软雅黑"/>
          <w:color w:val="auto"/>
          <w:szCs w:val="21"/>
          <w:highlight w:val="none"/>
          <w:lang w:eastAsia="zh-CN"/>
        </w:rPr>
        <w:t>合同继续</w:t>
      </w:r>
      <w:r>
        <w:rPr>
          <w:rFonts w:hint="eastAsia" w:ascii="微软雅黑" w:hAnsi="微软雅黑" w:eastAsia="微软雅黑" w:cs="微软雅黑"/>
          <w:color w:val="auto"/>
          <w:szCs w:val="21"/>
          <w:highlight w:val="none"/>
        </w:rPr>
        <w:t>履行</w:t>
      </w:r>
      <w:r>
        <w:rPr>
          <w:rFonts w:hint="eastAsia" w:ascii="微软雅黑" w:hAnsi="微软雅黑" w:eastAsia="微软雅黑" w:cs="微软雅黑"/>
          <w:color w:val="auto"/>
          <w:szCs w:val="21"/>
          <w:highlight w:val="none"/>
          <w:lang w:eastAsia="zh-CN"/>
        </w:rPr>
        <w:t>；乙</w:t>
      </w:r>
      <w:r>
        <w:rPr>
          <w:rFonts w:hint="eastAsia" w:ascii="微软雅黑" w:hAnsi="微软雅黑" w:eastAsia="微软雅黑" w:cs="微软雅黑"/>
          <w:color w:val="auto"/>
          <w:szCs w:val="21"/>
          <w:highlight w:val="none"/>
        </w:rPr>
        <w:t>方在合理期限内未恢复履约能力且未提供适当担保的，视为拒绝</w:t>
      </w:r>
      <w:r>
        <w:rPr>
          <w:rFonts w:hint="eastAsia" w:ascii="微软雅黑" w:hAnsi="微软雅黑" w:eastAsia="微软雅黑" w:cs="微软雅黑"/>
          <w:color w:val="auto"/>
          <w:szCs w:val="21"/>
          <w:highlight w:val="none"/>
          <w:lang w:eastAsia="zh-CN"/>
        </w:rPr>
        <w:t>继续</w:t>
      </w:r>
      <w:r>
        <w:rPr>
          <w:rFonts w:hint="eastAsia" w:ascii="微软雅黑" w:hAnsi="微软雅黑" w:eastAsia="微软雅黑" w:cs="微软雅黑"/>
          <w:color w:val="auto"/>
          <w:szCs w:val="21"/>
          <w:highlight w:val="none"/>
        </w:rPr>
        <w:t>履约，甲方</w:t>
      </w:r>
      <w:r>
        <w:rPr>
          <w:rFonts w:hint="eastAsia" w:ascii="微软雅黑" w:hAnsi="微软雅黑" w:eastAsia="微软雅黑" w:cs="微软雅黑"/>
          <w:color w:val="auto"/>
          <w:szCs w:val="21"/>
          <w:highlight w:val="none"/>
          <w:lang w:eastAsia="zh-CN"/>
        </w:rPr>
        <w:t>有权</w:t>
      </w:r>
      <w:r>
        <w:rPr>
          <w:rFonts w:hint="eastAsia" w:ascii="微软雅黑" w:hAnsi="微软雅黑" w:eastAsia="微软雅黑" w:cs="微软雅黑"/>
          <w:color w:val="auto"/>
          <w:szCs w:val="21"/>
          <w:highlight w:val="none"/>
        </w:rPr>
        <w:t>解除合同并要求乙方承担</w:t>
      </w:r>
      <w:r>
        <w:rPr>
          <w:rFonts w:hint="eastAsia" w:ascii="微软雅黑" w:hAnsi="微软雅黑" w:eastAsia="微软雅黑" w:cs="微软雅黑"/>
          <w:color w:val="auto"/>
          <w:szCs w:val="21"/>
          <w:highlight w:val="none"/>
          <w:lang w:eastAsia="zh-CN"/>
        </w:rPr>
        <w:t>由此给甲方造成的损失</w:t>
      </w:r>
      <w:r>
        <w:rPr>
          <w:rFonts w:hint="eastAsia" w:ascii="微软雅黑" w:hAnsi="微软雅黑" w:eastAsia="微软雅黑" w:cs="微软雅黑"/>
          <w:color w:val="auto"/>
          <w:szCs w:val="21"/>
          <w:highlight w:val="none"/>
        </w:rPr>
        <w:t>。</w:t>
      </w:r>
    </w:p>
    <w:p w14:paraId="78270486">
      <w:pPr>
        <w:pStyle w:val="31"/>
        <w:jc w:val="both"/>
        <w:rPr>
          <w:rFonts w:hint="eastAsia" w:ascii="微软雅黑" w:hAnsi="微软雅黑" w:eastAsia="微软雅黑" w:cs="微软雅黑"/>
          <w:sz w:val="21"/>
        </w:rPr>
      </w:pPr>
      <w:r>
        <w:rPr>
          <w:rFonts w:hint="eastAsia" w:ascii="微软雅黑" w:hAnsi="微软雅黑" w:eastAsia="微软雅黑" w:cs="微软雅黑"/>
          <w:sz w:val="21"/>
        </w:rPr>
        <w:t>（3）乙方分立、合并或者变更住所的，应当及时以书面形式告知甲方。乙方没有</w:t>
      </w:r>
      <w:r>
        <w:rPr>
          <w:rFonts w:hint="eastAsia" w:ascii="微软雅黑" w:hAnsi="微软雅黑" w:eastAsia="微软雅黑" w:cs="微软雅黑"/>
          <w:sz w:val="21"/>
          <w:lang w:eastAsia="zh-CN"/>
        </w:rPr>
        <w:t>及时告知</w:t>
      </w:r>
      <w:r>
        <w:rPr>
          <w:rFonts w:hint="eastAsia" w:ascii="微软雅黑" w:hAnsi="微软雅黑" w:eastAsia="微软雅黑" w:cs="微软雅黑"/>
          <w:sz w:val="21"/>
        </w:rPr>
        <w:t>甲方，致使</w:t>
      </w:r>
      <w:r>
        <w:rPr>
          <w:rFonts w:hint="eastAsia" w:ascii="微软雅黑" w:hAnsi="微软雅黑" w:eastAsia="微软雅黑" w:cs="微软雅黑"/>
          <w:sz w:val="21"/>
          <w:lang w:eastAsia="zh-CN"/>
        </w:rPr>
        <w:t>合同</w:t>
      </w:r>
      <w:r>
        <w:rPr>
          <w:rFonts w:hint="eastAsia" w:ascii="微软雅黑" w:hAnsi="微软雅黑" w:eastAsia="微软雅黑" w:cs="微软雅黑"/>
          <w:sz w:val="21"/>
        </w:rPr>
        <w:t>履行发生困难的，甲方可以中止合同履行并要求乙方承担由此给甲方造成的损失。</w:t>
      </w:r>
    </w:p>
    <w:p w14:paraId="5E4D9341">
      <w:pPr>
        <w:snapToGrid w:val="0"/>
        <w:spacing w:line="400" w:lineRule="exact"/>
        <w:ind w:firstLine="420" w:firstLineChars="200"/>
        <w:jc w:val="left"/>
        <w:rPr>
          <w:rFonts w:hint="eastAsia" w:ascii="微软雅黑" w:hAnsi="微软雅黑" w:eastAsia="微软雅黑" w:cs="微软雅黑"/>
          <w:sz w:val="21"/>
        </w:rPr>
      </w:pP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）甲方不得以行政区划调整、政府换届、机构或者职能调整以及相关责任人更替为由中止合同。</w:t>
      </w:r>
    </w:p>
    <w:p w14:paraId="5D8DC846">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6</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合同的终止</w:t>
      </w:r>
    </w:p>
    <w:p w14:paraId="15D0B88A">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（1）合同因有效期限届满而终止；</w:t>
      </w:r>
    </w:p>
    <w:p w14:paraId="445AFFB2">
      <w:pPr>
        <w:snapToGrid w:val="0"/>
        <w:spacing w:line="400" w:lineRule="exact"/>
        <w:ind w:firstLine="420" w:firstLineChars="200"/>
        <w:rPr>
          <w:rFonts w:hint="eastAsia" w:ascii="微软雅黑" w:hAnsi="微软雅黑" w:eastAsia="微软雅黑" w:cs="微软雅黑"/>
          <w:szCs w:val="21"/>
          <w:lang w:eastAsia="zh-CN"/>
        </w:rPr>
      </w:pPr>
      <w:r>
        <w:rPr>
          <w:rFonts w:hint="eastAsia" w:ascii="微软雅黑" w:hAnsi="微软雅黑" w:eastAsia="微软雅黑" w:cs="微软雅黑"/>
          <w:color w:val="auto"/>
          <w:szCs w:val="21"/>
          <w:highlight w:val="none"/>
        </w:rPr>
        <w:t>（2）乙方未</w:t>
      </w:r>
      <w:r>
        <w:rPr>
          <w:rFonts w:hint="eastAsia" w:ascii="微软雅黑" w:hAnsi="微软雅黑" w:eastAsia="微软雅黑" w:cs="微软雅黑"/>
          <w:color w:val="auto"/>
          <w:szCs w:val="21"/>
          <w:highlight w:val="none"/>
          <w:lang w:eastAsia="zh-CN"/>
        </w:rPr>
        <w:t>按</w:t>
      </w:r>
      <w:r>
        <w:rPr>
          <w:rFonts w:hint="eastAsia" w:ascii="微软雅黑" w:hAnsi="微软雅黑" w:eastAsia="微软雅黑" w:cs="微软雅黑"/>
          <w:color w:val="auto"/>
          <w:szCs w:val="21"/>
          <w:highlight w:val="none"/>
        </w:rPr>
        <w:t>合同约定履行，构成根本性违约的，甲方有权终止合同</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szCs w:val="21"/>
        </w:rPr>
        <w:t>并追究乙方的违约责</w:t>
      </w:r>
      <w:r>
        <w:rPr>
          <w:rFonts w:hint="eastAsia" w:ascii="微软雅黑" w:hAnsi="微软雅黑" w:eastAsia="微软雅黑" w:cs="微软雅黑"/>
          <w:szCs w:val="21"/>
          <w:lang w:val="en-US" w:eastAsia="zh-CN"/>
        </w:rPr>
        <w:t>任</w:t>
      </w:r>
      <w:r>
        <w:rPr>
          <w:rFonts w:hint="eastAsia" w:ascii="微软雅黑" w:hAnsi="微软雅黑" w:eastAsia="微软雅黑" w:cs="微软雅黑"/>
          <w:color w:val="auto"/>
          <w:szCs w:val="21"/>
          <w:highlight w:val="none"/>
        </w:rPr>
        <w:t>。</w:t>
      </w:r>
    </w:p>
    <w:p w14:paraId="6999B38C">
      <w:pPr>
        <w:pStyle w:val="31"/>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 xml:space="preserve">16.4 </w:t>
      </w:r>
      <w:r>
        <w:rPr>
          <w:rFonts w:hint="eastAsia" w:ascii="微软雅黑" w:hAnsi="微软雅黑" w:eastAsia="微软雅黑" w:cs="微软雅黑"/>
          <w:color w:val="auto"/>
          <w:kern w:val="2"/>
          <w:sz w:val="21"/>
          <w:szCs w:val="21"/>
          <w:highlight w:val="none"/>
          <w:lang w:val="en-US" w:eastAsia="zh-CN"/>
        </w:rPr>
        <w:t>涉及国家利益、社会公共利益的情形</w:t>
      </w:r>
    </w:p>
    <w:p w14:paraId="29D00332">
      <w:pPr>
        <w:pStyle w:val="31"/>
        <w:jc w:val="both"/>
        <w:rPr>
          <w:rFonts w:hint="eastAsia" w:ascii="微软雅黑" w:hAnsi="微软雅黑" w:eastAsia="微软雅黑" w:cs="微软雅黑"/>
          <w:sz w:val="21"/>
        </w:rPr>
      </w:pPr>
      <w:r>
        <w:rPr>
          <w:rFonts w:hint="eastAsia" w:ascii="微软雅黑" w:hAnsi="微软雅黑" w:eastAsia="微软雅黑" w:cs="微软雅黑"/>
          <w:sz w:val="21"/>
        </w:rPr>
        <w:t>政府采购合同继续履行将损害国家利益和社会公共利益的，双方当事人</w:t>
      </w:r>
      <w:r>
        <w:rPr>
          <w:rFonts w:hint="eastAsia" w:ascii="微软雅黑" w:hAnsi="微软雅黑" w:eastAsia="微软雅黑" w:cs="微软雅黑"/>
          <w:sz w:val="21"/>
          <w:highlight w:val="none"/>
          <w:lang w:val="en-US" w:eastAsia="zh-CN"/>
        </w:rPr>
        <w:t>应当变更、</w:t>
      </w:r>
      <w:r>
        <w:rPr>
          <w:rFonts w:hint="eastAsia" w:ascii="微软雅黑" w:hAnsi="微软雅黑" w:eastAsia="微软雅黑" w:cs="微软雅黑"/>
          <w:sz w:val="21"/>
        </w:rPr>
        <w:t>中止</w:t>
      </w:r>
      <w:r>
        <w:rPr>
          <w:rFonts w:hint="eastAsia" w:ascii="微软雅黑" w:hAnsi="微软雅黑" w:eastAsia="微软雅黑" w:cs="微软雅黑"/>
          <w:sz w:val="21"/>
          <w:lang w:eastAsia="zh-CN"/>
        </w:rPr>
        <w:t>或者终止</w:t>
      </w:r>
      <w:r>
        <w:rPr>
          <w:rFonts w:hint="eastAsia" w:ascii="微软雅黑" w:hAnsi="微软雅黑" w:eastAsia="微软雅黑" w:cs="微软雅黑"/>
          <w:sz w:val="21"/>
        </w:rPr>
        <w:t>合同。有过错的一方应当承担赔偿责任，双方都有过错的，各自承担相应的责任。</w:t>
      </w:r>
    </w:p>
    <w:p w14:paraId="64A592E8">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1</w:t>
      </w:r>
      <w:r>
        <w:rPr>
          <w:rFonts w:hint="eastAsia" w:ascii="微软雅黑" w:hAnsi="微软雅黑" w:eastAsia="微软雅黑" w:cs="微软雅黑"/>
          <w:b/>
          <w:bCs/>
          <w:color w:val="auto"/>
          <w:sz w:val="24"/>
          <w:highlight w:val="none"/>
          <w:lang w:val="en-US" w:eastAsia="zh-CN"/>
        </w:rPr>
        <w:t>7</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合同分包</w:t>
      </w:r>
    </w:p>
    <w:p w14:paraId="62478499">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7</w:t>
      </w:r>
      <w:r>
        <w:rPr>
          <w:rFonts w:hint="eastAsia" w:ascii="微软雅黑" w:hAnsi="微软雅黑" w:eastAsia="微软雅黑" w:cs="微软雅黑"/>
          <w:color w:val="auto"/>
          <w:szCs w:val="21"/>
          <w:highlight w:val="none"/>
        </w:rPr>
        <w:t>.1 乙方不得</w:t>
      </w:r>
      <w:r>
        <w:rPr>
          <w:rFonts w:hint="eastAsia" w:ascii="微软雅黑" w:hAnsi="微软雅黑" w:eastAsia="微软雅黑" w:cs="微软雅黑"/>
          <w:color w:val="auto"/>
          <w:szCs w:val="21"/>
          <w:highlight w:val="none"/>
          <w:lang w:eastAsia="zh-CN"/>
        </w:rPr>
        <w:t>将合同转包给其他供应商。涉及合同分包的，乙方</w:t>
      </w:r>
      <w:r>
        <w:rPr>
          <w:rFonts w:hint="eastAsia" w:ascii="微软雅黑" w:hAnsi="微软雅黑" w:eastAsia="微软雅黑" w:cs="微软雅黑"/>
          <w:color w:val="auto"/>
          <w:szCs w:val="21"/>
          <w:highlight w:val="none"/>
          <w:lang w:val="en-US" w:eastAsia="zh-CN"/>
        </w:rPr>
        <w:t>应</w:t>
      </w:r>
      <w:r>
        <w:rPr>
          <w:rFonts w:hint="eastAsia" w:ascii="微软雅黑" w:hAnsi="微软雅黑" w:eastAsia="微软雅黑" w:cs="微软雅黑"/>
          <w:color w:val="auto"/>
          <w:szCs w:val="21"/>
          <w:highlight w:val="none"/>
          <w:lang w:eastAsia="zh-CN"/>
        </w:rPr>
        <w:t>根据采购文件和投标（响应）文件规定进行</w:t>
      </w:r>
      <w:r>
        <w:rPr>
          <w:rFonts w:hint="eastAsia" w:ascii="微软雅黑" w:hAnsi="微软雅黑" w:eastAsia="微软雅黑" w:cs="微软雅黑"/>
          <w:color w:val="auto"/>
          <w:szCs w:val="21"/>
          <w:highlight w:val="none"/>
        </w:rPr>
        <w:t>合同分包。</w:t>
      </w:r>
    </w:p>
    <w:p w14:paraId="31908181">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1</w:t>
      </w:r>
      <w:r>
        <w:rPr>
          <w:rFonts w:hint="eastAsia" w:ascii="微软雅黑" w:hAnsi="微软雅黑" w:eastAsia="微软雅黑" w:cs="微软雅黑"/>
          <w:color w:val="auto"/>
          <w:szCs w:val="21"/>
          <w:highlight w:val="none"/>
          <w:lang w:val="en-US" w:eastAsia="zh-CN"/>
        </w:rPr>
        <w:t>7</w:t>
      </w:r>
      <w:r>
        <w:rPr>
          <w:rFonts w:hint="eastAsia" w:ascii="微软雅黑" w:hAnsi="微软雅黑" w:eastAsia="微软雅黑" w:cs="微软雅黑"/>
          <w:color w:val="auto"/>
          <w:szCs w:val="21"/>
          <w:highlight w:val="none"/>
        </w:rPr>
        <w:t>.2 乙方执行政府采购政策向中小企业依法分包的</w:t>
      </w:r>
      <w:r>
        <w:rPr>
          <w:rFonts w:hint="eastAsia" w:ascii="微软雅黑" w:hAnsi="微软雅黑" w:eastAsia="微软雅黑" w:cs="微软雅黑"/>
          <w:color w:val="auto"/>
          <w:szCs w:val="21"/>
          <w:highlight w:val="none"/>
          <w:lang w:eastAsia="zh-CN"/>
        </w:rPr>
        <w:t>，</w:t>
      </w:r>
      <w:r>
        <w:rPr>
          <w:rFonts w:hint="eastAsia" w:ascii="微软雅黑" w:hAnsi="微软雅黑" w:eastAsia="微软雅黑" w:cs="微软雅黑"/>
          <w:color w:val="auto"/>
          <w:szCs w:val="21"/>
          <w:highlight w:val="none"/>
        </w:rPr>
        <w:t>乙方应当按采购文件</w:t>
      </w:r>
      <w:r>
        <w:rPr>
          <w:rFonts w:hint="eastAsia" w:ascii="微软雅黑" w:hAnsi="微软雅黑" w:eastAsia="微软雅黑" w:cs="微软雅黑"/>
          <w:color w:val="auto"/>
          <w:szCs w:val="21"/>
          <w:highlight w:val="none"/>
          <w:lang w:eastAsia="zh-CN"/>
        </w:rPr>
        <w:t>和</w:t>
      </w:r>
      <w:r>
        <w:rPr>
          <w:rFonts w:hint="eastAsia" w:ascii="微软雅黑" w:hAnsi="微软雅黑" w:eastAsia="微软雅黑" w:cs="微软雅黑"/>
          <w:color w:val="auto"/>
          <w:szCs w:val="21"/>
          <w:highlight w:val="none"/>
        </w:rPr>
        <w:t>投标（响应）文件签订分包</w:t>
      </w:r>
      <w:r>
        <w:rPr>
          <w:rFonts w:hint="eastAsia" w:ascii="微软雅黑" w:hAnsi="微软雅黑" w:eastAsia="微软雅黑" w:cs="微软雅黑"/>
          <w:color w:val="auto"/>
          <w:szCs w:val="21"/>
          <w:highlight w:val="none"/>
          <w:lang w:eastAsia="zh-CN"/>
        </w:rPr>
        <w:t>意向</w:t>
      </w:r>
      <w:r>
        <w:rPr>
          <w:rFonts w:hint="eastAsia" w:ascii="微软雅黑" w:hAnsi="微软雅黑" w:eastAsia="微软雅黑" w:cs="微软雅黑"/>
          <w:color w:val="auto"/>
          <w:szCs w:val="21"/>
          <w:highlight w:val="none"/>
        </w:rPr>
        <w:t>协议，分包</w:t>
      </w:r>
      <w:r>
        <w:rPr>
          <w:rFonts w:hint="eastAsia" w:ascii="微软雅黑" w:hAnsi="微软雅黑" w:eastAsia="微软雅黑" w:cs="微软雅黑"/>
          <w:color w:val="auto"/>
          <w:szCs w:val="21"/>
          <w:highlight w:val="none"/>
          <w:lang w:eastAsia="zh-CN"/>
        </w:rPr>
        <w:t>意向</w:t>
      </w:r>
      <w:r>
        <w:rPr>
          <w:rFonts w:hint="eastAsia" w:ascii="微软雅黑" w:hAnsi="微软雅黑" w:eastAsia="微软雅黑" w:cs="微软雅黑"/>
          <w:color w:val="auto"/>
          <w:szCs w:val="21"/>
          <w:highlight w:val="none"/>
        </w:rPr>
        <w:t>协议属于本合同组成部分。</w:t>
      </w:r>
    </w:p>
    <w:p w14:paraId="70D4B8E6">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lang w:eastAsia="zh-CN"/>
        </w:rPr>
        <w:t>1</w:t>
      </w:r>
      <w:r>
        <w:rPr>
          <w:rFonts w:hint="eastAsia" w:ascii="微软雅黑" w:hAnsi="微软雅黑" w:eastAsia="微软雅黑" w:cs="微软雅黑"/>
          <w:b/>
          <w:bCs/>
          <w:color w:val="auto"/>
          <w:sz w:val="24"/>
          <w:highlight w:val="none"/>
          <w:lang w:val="en-US" w:eastAsia="zh-CN"/>
        </w:rPr>
        <w:t>8</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不可抗力</w:t>
      </w:r>
    </w:p>
    <w:p w14:paraId="7D9F91BB">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1</w:t>
      </w:r>
      <w:r>
        <w:rPr>
          <w:rFonts w:hint="eastAsia" w:ascii="微软雅黑" w:hAnsi="微软雅黑" w:eastAsia="微软雅黑" w:cs="微软雅黑"/>
          <w:color w:val="auto"/>
          <w:szCs w:val="21"/>
          <w:highlight w:val="none"/>
          <w:lang w:val="en-US" w:eastAsia="zh-CN"/>
        </w:rPr>
        <w:t>8</w:t>
      </w:r>
      <w:r>
        <w:rPr>
          <w:rFonts w:hint="eastAsia" w:ascii="微软雅黑" w:hAnsi="微软雅黑" w:eastAsia="微软雅黑" w:cs="微软雅黑"/>
          <w:color w:val="auto"/>
          <w:szCs w:val="21"/>
          <w:highlight w:val="none"/>
        </w:rPr>
        <w:t>.1 不可抗力是指合同双方不能预见、不能避免且不能克服的客观情况。</w:t>
      </w:r>
    </w:p>
    <w:p w14:paraId="1FF49D40">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1</w:t>
      </w:r>
      <w:r>
        <w:rPr>
          <w:rFonts w:hint="eastAsia" w:ascii="微软雅黑" w:hAnsi="微软雅黑" w:eastAsia="微软雅黑" w:cs="微软雅黑"/>
          <w:color w:val="auto"/>
          <w:szCs w:val="21"/>
          <w:highlight w:val="none"/>
          <w:lang w:val="en-US" w:eastAsia="zh-CN"/>
        </w:rPr>
        <w:t>8</w:t>
      </w:r>
      <w:r>
        <w:rPr>
          <w:rFonts w:hint="eastAsia" w:ascii="微软雅黑" w:hAnsi="微软雅黑" w:eastAsia="微软雅黑" w:cs="微软雅黑"/>
          <w:color w:val="auto"/>
          <w:szCs w:val="21"/>
          <w:highlight w:val="none"/>
        </w:rPr>
        <w:t>.2 任何一方对由于不可抗力造成的部分或全部不能履行合同不承担违约责任。但迟延履行后发生不可抗力的，不能免除责任。</w:t>
      </w:r>
    </w:p>
    <w:p w14:paraId="21B0587C">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lang w:eastAsia="zh-CN"/>
        </w:rPr>
        <w:t>1</w:t>
      </w:r>
      <w:r>
        <w:rPr>
          <w:rFonts w:hint="eastAsia" w:ascii="微软雅黑" w:hAnsi="微软雅黑" w:eastAsia="微软雅黑" w:cs="微软雅黑"/>
          <w:color w:val="auto"/>
          <w:szCs w:val="21"/>
          <w:highlight w:val="none"/>
          <w:lang w:val="en-US" w:eastAsia="zh-CN"/>
        </w:rPr>
        <w:t>8</w:t>
      </w:r>
      <w:r>
        <w:rPr>
          <w:rFonts w:hint="eastAsia" w:ascii="微软雅黑" w:hAnsi="微软雅黑" w:eastAsia="微软雅黑" w:cs="微软雅黑"/>
          <w:color w:val="auto"/>
          <w:szCs w:val="21"/>
          <w:highlight w:val="none"/>
        </w:rPr>
        <w:t>.3 遇有不可抗力的一方，应及时将事件情况以书面形式</w:t>
      </w:r>
      <w:r>
        <w:rPr>
          <w:rFonts w:hint="eastAsia" w:ascii="微软雅黑" w:hAnsi="微软雅黑" w:eastAsia="微软雅黑" w:cs="微软雅黑"/>
          <w:color w:val="auto"/>
          <w:szCs w:val="21"/>
          <w:highlight w:val="none"/>
          <w:lang w:eastAsia="zh-CN"/>
        </w:rPr>
        <w:t>告</w:t>
      </w:r>
      <w:r>
        <w:rPr>
          <w:rFonts w:hint="eastAsia" w:ascii="微软雅黑" w:hAnsi="微软雅黑" w:eastAsia="微软雅黑" w:cs="微软雅黑"/>
          <w:color w:val="auto"/>
          <w:szCs w:val="21"/>
          <w:highlight w:val="none"/>
        </w:rPr>
        <w:t>知另一方，并在事件发生后及时向另一方提交合同不能履行或部分不能履行或需要延期履行</w:t>
      </w:r>
      <w:r>
        <w:rPr>
          <w:rFonts w:hint="eastAsia" w:ascii="微软雅黑" w:hAnsi="微软雅黑" w:eastAsia="微软雅黑" w:cs="微软雅黑"/>
          <w:color w:val="auto"/>
          <w:szCs w:val="21"/>
          <w:highlight w:val="none"/>
          <w:lang w:eastAsia="zh-CN"/>
        </w:rPr>
        <w:t>的详细</w:t>
      </w:r>
      <w:r>
        <w:rPr>
          <w:rFonts w:hint="eastAsia" w:ascii="微软雅黑" w:hAnsi="微软雅黑" w:eastAsia="微软雅黑" w:cs="微软雅黑"/>
          <w:color w:val="auto"/>
          <w:szCs w:val="21"/>
          <w:highlight w:val="none"/>
        </w:rPr>
        <w:t>报告</w:t>
      </w:r>
      <w:r>
        <w:rPr>
          <w:rFonts w:hint="eastAsia" w:ascii="微软雅黑" w:hAnsi="微软雅黑" w:eastAsia="微软雅黑" w:cs="微软雅黑"/>
          <w:color w:val="auto"/>
          <w:szCs w:val="21"/>
          <w:highlight w:val="none"/>
          <w:lang w:eastAsia="zh-CN"/>
        </w:rPr>
        <w:t>，以</w:t>
      </w:r>
      <w:r>
        <w:rPr>
          <w:rFonts w:hint="eastAsia" w:ascii="微软雅黑" w:hAnsi="微软雅黑" w:eastAsia="微软雅黑" w:cs="微软雅黑"/>
          <w:color w:val="auto"/>
          <w:szCs w:val="21"/>
          <w:highlight w:val="none"/>
          <w:lang w:val="en-US" w:eastAsia="zh-CN"/>
        </w:rPr>
        <w:t>及证明不可抗力发生及其持续时间的证据</w:t>
      </w:r>
      <w:r>
        <w:rPr>
          <w:rFonts w:hint="eastAsia" w:ascii="微软雅黑" w:hAnsi="微软雅黑" w:eastAsia="微软雅黑" w:cs="微软雅黑"/>
          <w:color w:val="auto"/>
          <w:szCs w:val="21"/>
          <w:highlight w:val="none"/>
        </w:rPr>
        <w:t>。</w:t>
      </w:r>
    </w:p>
    <w:p w14:paraId="3E998832">
      <w:pPr>
        <w:autoSpaceDE w:val="0"/>
        <w:autoSpaceDN w:val="0"/>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lang w:val="en-US" w:eastAsia="zh-CN"/>
        </w:rPr>
        <w:t>19</w:t>
      </w:r>
      <w:r>
        <w:rPr>
          <w:rFonts w:hint="eastAsia" w:ascii="微软雅黑" w:hAnsi="微软雅黑" w:eastAsia="微软雅黑" w:cs="微软雅黑"/>
          <w:b/>
          <w:bCs/>
          <w:color w:val="auto"/>
          <w:sz w:val="24"/>
          <w:highlight w:val="none"/>
        </w:rPr>
        <w:t>.</w:t>
      </w:r>
      <w:r>
        <w:rPr>
          <w:rFonts w:hint="eastAsia" w:ascii="微软雅黑" w:hAnsi="微软雅黑" w:eastAsia="微软雅黑" w:cs="微软雅黑"/>
          <w:b/>
          <w:bCs/>
          <w:color w:val="auto"/>
          <w:sz w:val="24"/>
          <w:highlight w:val="none"/>
          <w:lang w:val="en-US" w:eastAsia="zh-CN"/>
        </w:rPr>
        <w:t xml:space="preserve"> </w:t>
      </w:r>
      <w:r>
        <w:rPr>
          <w:rFonts w:hint="eastAsia" w:ascii="微软雅黑" w:hAnsi="微软雅黑" w:eastAsia="微软雅黑" w:cs="微软雅黑"/>
          <w:b/>
          <w:bCs/>
          <w:color w:val="auto"/>
          <w:sz w:val="24"/>
          <w:highlight w:val="none"/>
        </w:rPr>
        <w:t>解决争议的方法</w:t>
      </w:r>
    </w:p>
    <w:p w14:paraId="382170DA">
      <w:pPr>
        <w:pStyle w:val="31"/>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19</w:t>
      </w:r>
      <w:r>
        <w:rPr>
          <w:rFonts w:hint="eastAsia" w:ascii="微软雅黑" w:hAnsi="微软雅黑" w:eastAsia="微软雅黑" w:cs="微软雅黑"/>
          <w:sz w:val="21"/>
        </w:rPr>
        <w:t>.1 因本合同及合同有关事项发生的争议，由</w:t>
      </w:r>
      <w:r>
        <w:rPr>
          <w:rFonts w:hint="eastAsia" w:ascii="微软雅黑" w:hAnsi="微软雅黑" w:eastAsia="微软雅黑" w:cs="微软雅黑"/>
          <w:sz w:val="21"/>
          <w:lang w:eastAsia="zh-CN"/>
        </w:rPr>
        <w:t>甲乙双</w:t>
      </w:r>
      <w:r>
        <w:rPr>
          <w:rFonts w:hint="eastAsia" w:ascii="微软雅黑" w:hAnsi="微软雅黑" w:eastAsia="微软雅黑" w:cs="微软雅黑"/>
          <w:sz w:val="21"/>
        </w:rPr>
        <w:t>方友好协商解决。协商不成时，可以</w:t>
      </w:r>
      <w:r>
        <w:rPr>
          <w:rFonts w:hint="eastAsia" w:ascii="微软雅黑" w:hAnsi="微软雅黑" w:eastAsia="微软雅黑" w:cs="微软雅黑"/>
          <w:sz w:val="21"/>
          <w:lang w:eastAsia="zh-CN"/>
        </w:rPr>
        <w:t>向有关组织申请</w:t>
      </w:r>
      <w:r>
        <w:rPr>
          <w:rFonts w:hint="eastAsia" w:ascii="微软雅黑" w:hAnsi="微软雅黑" w:eastAsia="微软雅黑" w:cs="微软雅黑"/>
          <w:sz w:val="21"/>
        </w:rPr>
        <w:t>调解。合同一方或</w:t>
      </w:r>
      <w:r>
        <w:rPr>
          <w:rFonts w:hint="eastAsia" w:ascii="微软雅黑" w:hAnsi="微软雅黑" w:eastAsia="微软雅黑" w:cs="微软雅黑"/>
          <w:sz w:val="21"/>
          <w:lang w:eastAsia="zh-CN"/>
        </w:rPr>
        <w:t>双</w:t>
      </w:r>
      <w:r>
        <w:rPr>
          <w:rFonts w:hint="eastAsia" w:ascii="微软雅黑" w:hAnsi="微软雅黑" w:eastAsia="微软雅黑" w:cs="微软雅黑"/>
          <w:sz w:val="21"/>
        </w:rPr>
        <w:t>方不愿调解或调解不成的，可以通过仲裁或诉讼的方式解决争议。</w:t>
      </w:r>
    </w:p>
    <w:p w14:paraId="69C28435">
      <w:pPr>
        <w:pStyle w:val="31"/>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19</w:t>
      </w:r>
      <w:r>
        <w:rPr>
          <w:rFonts w:hint="eastAsia" w:ascii="微软雅黑" w:hAnsi="微软雅黑" w:eastAsia="微软雅黑" w:cs="微软雅黑"/>
          <w:sz w:val="21"/>
        </w:rPr>
        <w:t>.2 选择仲裁的，应在</w:t>
      </w:r>
      <w:r>
        <w:rPr>
          <w:rFonts w:hint="eastAsia" w:ascii="微软雅黑" w:hAnsi="微软雅黑" w:eastAsia="微软雅黑" w:cs="微软雅黑"/>
          <w:b/>
          <w:bCs/>
          <w:color w:val="auto"/>
          <w:sz w:val="21"/>
          <w:szCs w:val="21"/>
          <w:highlight w:val="none"/>
        </w:rPr>
        <w:t>【政府采购合同专用条款】</w:t>
      </w:r>
      <w:r>
        <w:rPr>
          <w:rFonts w:hint="eastAsia" w:ascii="微软雅黑" w:hAnsi="微软雅黑" w:eastAsia="微软雅黑" w:cs="微软雅黑"/>
          <w:sz w:val="21"/>
        </w:rPr>
        <w:t>中明确仲裁机构及仲裁地；通过诉讼方式解决的，可以在</w:t>
      </w:r>
      <w:r>
        <w:rPr>
          <w:rFonts w:hint="eastAsia" w:ascii="微软雅黑" w:hAnsi="微软雅黑" w:eastAsia="微软雅黑" w:cs="微软雅黑"/>
          <w:b/>
          <w:bCs/>
          <w:color w:val="auto"/>
          <w:sz w:val="21"/>
          <w:szCs w:val="21"/>
          <w:highlight w:val="none"/>
        </w:rPr>
        <w:t>【政府采购合同专用条款】</w:t>
      </w:r>
      <w:r>
        <w:rPr>
          <w:rFonts w:hint="eastAsia" w:ascii="微软雅黑" w:hAnsi="微软雅黑" w:eastAsia="微软雅黑" w:cs="微软雅黑"/>
          <w:sz w:val="21"/>
        </w:rPr>
        <w:t>中进一步约定选择与争议有实际联系的地点的人民法院管辖，但管辖法院的约定不得违反级别管辖和专属管辖的规定。</w:t>
      </w:r>
    </w:p>
    <w:p w14:paraId="45E2E9F2">
      <w:pPr>
        <w:pStyle w:val="31"/>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19</w:t>
      </w:r>
      <w:r>
        <w:rPr>
          <w:rFonts w:hint="eastAsia" w:ascii="微软雅黑" w:hAnsi="微软雅黑" w:eastAsia="微软雅黑" w:cs="微软雅黑"/>
          <w:sz w:val="21"/>
        </w:rPr>
        <w:t>.3 如</w:t>
      </w:r>
      <w:r>
        <w:rPr>
          <w:rFonts w:hint="eastAsia" w:ascii="微软雅黑" w:hAnsi="微软雅黑" w:eastAsia="微软雅黑" w:cs="微软雅黑"/>
          <w:sz w:val="21"/>
          <w:lang w:eastAsia="zh-CN"/>
        </w:rPr>
        <w:t>甲乙双方</w:t>
      </w:r>
      <w:r>
        <w:rPr>
          <w:rFonts w:hint="eastAsia" w:ascii="微软雅黑" w:hAnsi="微软雅黑" w:eastAsia="微软雅黑" w:cs="微软雅黑"/>
          <w:sz w:val="21"/>
        </w:rPr>
        <w:t>有争议的事项不影响合同其他部分的履行，在争议解决期间，合同其他部分应</w:t>
      </w:r>
      <w:r>
        <w:rPr>
          <w:rFonts w:hint="eastAsia" w:ascii="微软雅黑" w:hAnsi="微软雅黑" w:eastAsia="微软雅黑" w:cs="微软雅黑"/>
          <w:sz w:val="21"/>
          <w:lang w:eastAsia="zh-CN"/>
        </w:rPr>
        <w:t>当</w:t>
      </w:r>
      <w:r>
        <w:rPr>
          <w:rFonts w:hint="eastAsia" w:ascii="微软雅黑" w:hAnsi="微软雅黑" w:eastAsia="微软雅黑" w:cs="微软雅黑"/>
          <w:sz w:val="21"/>
        </w:rPr>
        <w:t>继续履行。</w:t>
      </w:r>
    </w:p>
    <w:p w14:paraId="7F0069CA">
      <w:pPr>
        <w:autoSpaceDE w:val="0"/>
        <w:autoSpaceDN w:val="0"/>
        <w:adjustRightInd w:val="0"/>
        <w:snapToGrid w:val="0"/>
        <w:spacing w:before="0" w:line="400" w:lineRule="exact"/>
        <w:jc w:val="left"/>
        <w:rPr>
          <w:rFonts w:hint="eastAsia" w:ascii="微软雅黑" w:hAnsi="微软雅黑" w:eastAsia="微软雅黑" w:cs="微软雅黑"/>
          <w:color w:val="auto"/>
          <w:sz w:val="24"/>
          <w:highlight w:val="none"/>
        </w:rPr>
      </w:pPr>
      <w:r>
        <w:rPr>
          <w:rFonts w:hint="eastAsia" w:ascii="微软雅黑" w:hAnsi="微软雅黑" w:eastAsia="微软雅黑" w:cs="微软雅黑"/>
          <w:b/>
          <w:color w:val="auto"/>
          <w:sz w:val="24"/>
          <w:highlight w:val="none"/>
          <w:lang w:val="en-US" w:eastAsia="zh-CN"/>
        </w:rPr>
        <w:t>20</w:t>
      </w:r>
      <w:r>
        <w:rPr>
          <w:rFonts w:hint="eastAsia" w:ascii="微软雅黑" w:hAnsi="微软雅黑" w:eastAsia="微软雅黑" w:cs="微软雅黑"/>
          <w:b/>
          <w:color w:val="auto"/>
          <w:sz w:val="24"/>
          <w:highlight w:val="none"/>
        </w:rPr>
        <w:t>.</w:t>
      </w:r>
      <w:r>
        <w:rPr>
          <w:rFonts w:hint="eastAsia" w:ascii="微软雅黑" w:hAnsi="微软雅黑" w:eastAsia="微软雅黑" w:cs="微软雅黑"/>
          <w:b/>
          <w:color w:val="auto"/>
          <w:sz w:val="24"/>
          <w:highlight w:val="none"/>
          <w:lang w:val="en-US" w:eastAsia="zh-CN"/>
        </w:rPr>
        <w:t xml:space="preserve"> </w:t>
      </w:r>
      <w:r>
        <w:rPr>
          <w:rFonts w:hint="eastAsia" w:ascii="微软雅黑" w:hAnsi="微软雅黑" w:eastAsia="微软雅黑" w:cs="微软雅黑"/>
          <w:b/>
          <w:color w:val="auto"/>
          <w:sz w:val="24"/>
          <w:highlight w:val="none"/>
        </w:rPr>
        <w:t>政府采购政策</w:t>
      </w:r>
    </w:p>
    <w:p w14:paraId="172940C8">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lang w:val="en-US" w:eastAsia="zh-CN"/>
        </w:rPr>
      </w:pPr>
      <w:r>
        <w:rPr>
          <w:rFonts w:hint="eastAsia" w:ascii="微软雅黑" w:hAnsi="微软雅黑" w:eastAsia="微软雅黑" w:cs="微软雅黑"/>
          <w:color w:val="auto"/>
          <w:szCs w:val="21"/>
          <w:highlight w:val="none"/>
          <w:lang w:val="en-US" w:eastAsia="zh-CN"/>
        </w:rPr>
        <w:t xml:space="preserve">20.1 </w:t>
      </w:r>
      <w:r>
        <w:rPr>
          <w:rFonts w:hint="eastAsia" w:ascii="微软雅黑" w:hAnsi="微软雅黑" w:eastAsia="微软雅黑" w:cs="微软雅黑"/>
          <w:lang w:val="en-GB"/>
        </w:rPr>
        <w:t>本合同应当按照规定执行政府采购政策。</w:t>
      </w:r>
    </w:p>
    <w:p w14:paraId="1CA0F9A6">
      <w:pPr>
        <w:autoSpaceDE w:val="0"/>
        <w:autoSpaceDN w:val="0"/>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 xml:space="preserve"> 本合同依法执行政府采购政策的方式和内容，属于合同履约验收的范围。</w:t>
      </w:r>
      <w:r>
        <w:rPr>
          <w:rFonts w:hint="eastAsia" w:ascii="微软雅黑" w:hAnsi="微软雅黑" w:eastAsia="微软雅黑" w:cs="微软雅黑"/>
          <w:sz w:val="21"/>
          <w:lang w:eastAsia="zh-CN"/>
        </w:rPr>
        <w:t>甲乙双方</w:t>
      </w:r>
      <w:r>
        <w:rPr>
          <w:rFonts w:hint="eastAsia" w:ascii="微软雅黑" w:hAnsi="微软雅黑" w:eastAsia="微软雅黑" w:cs="微软雅黑"/>
          <w:lang w:val="en-GB"/>
        </w:rPr>
        <w:t>未按规定要求执行政府采购政策造成损失的</w:t>
      </w:r>
      <w:r>
        <w:rPr>
          <w:rFonts w:hint="eastAsia" w:ascii="微软雅黑" w:hAnsi="微软雅黑" w:eastAsia="微软雅黑" w:cs="微软雅黑"/>
          <w:color w:val="auto"/>
          <w:szCs w:val="21"/>
          <w:highlight w:val="none"/>
        </w:rPr>
        <w:t>，有过错的一方应当承担赔偿责任，双方都有过错的，各自承担相应的责任。</w:t>
      </w:r>
    </w:p>
    <w:p w14:paraId="58B082FF">
      <w:pPr>
        <w:pStyle w:val="9"/>
        <w:spacing w:after="0" w:line="400" w:lineRule="exact"/>
        <w:ind w:firstLine="480" w:firstLineChars="200"/>
        <w:rPr>
          <w:rFonts w:hint="eastAsia" w:ascii="微软雅黑" w:hAnsi="微软雅黑" w:eastAsia="微软雅黑" w:cs="微软雅黑"/>
          <w:color w:val="auto"/>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0</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 xml:space="preserve"> 对于</w:t>
      </w:r>
      <w:r>
        <w:rPr>
          <w:rFonts w:hint="eastAsia" w:ascii="微软雅黑" w:hAnsi="微软雅黑" w:eastAsia="微软雅黑" w:cs="微软雅黑"/>
          <w:color w:val="auto"/>
          <w:szCs w:val="21"/>
          <w:highlight w:val="none"/>
          <w:lang w:eastAsia="zh-CN"/>
        </w:rPr>
        <w:t>为落实中小企业支持政策，</w:t>
      </w:r>
      <w:r>
        <w:rPr>
          <w:rFonts w:hint="eastAsia" w:ascii="微软雅黑" w:hAnsi="微软雅黑" w:eastAsia="微软雅黑" w:cs="微软雅黑"/>
          <w:color w:val="auto"/>
          <w:szCs w:val="21"/>
          <w:highlight w:val="none"/>
        </w:rPr>
        <w:t>通过采购项目</w:t>
      </w:r>
      <w:r>
        <w:rPr>
          <w:rFonts w:hint="eastAsia" w:ascii="微软雅黑" w:hAnsi="微软雅黑" w:eastAsia="微软雅黑" w:cs="微软雅黑"/>
          <w:color w:val="auto"/>
          <w:szCs w:val="21"/>
          <w:highlight w:val="none"/>
          <w:lang w:eastAsia="zh-CN"/>
        </w:rPr>
        <w:t>整体</w:t>
      </w:r>
      <w:r>
        <w:rPr>
          <w:rFonts w:hint="eastAsia" w:ascii="微软雅黑" w:hAnsi="微软雅黑" w:eastAsia="微软雅黑" w:cs="微软雅黑"/>
          <w:color w:val="auto"/>
          <w:szCs w:val="21"/>
          <w:highlight w:val="none"/>
        </w:rPr>
        <w:t>预留、</w:t>
      </w:r>
      <w:r>
        <w:rPr>
          <w:rFonts w:hint="eastAsia" w:ascii="微软雅黑" w:hAnsi="微软雅黑" w:eastAsia="微软雅黑" w:cs="微软雅黑"/>
          <w:color w:val="auto"/>
          <w:szCs w:val="21"/>
          <w:highlight w:val="none"/>
          <w:lang w:eastAsia="zh-CN"/>
        </w:rPr>
        <w:t>设置</w:t>
      </w:r>
      <w:r>
        <w:rPr>
          <w:rFonts w:hint="eastAsia" w:ascii="微软雅黑" w:hAnsi="微软雅黑" w:eastAsia="微软雅黑" w:cs="微软雅黑"/>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71D482D">
      <w:p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rPr>
        <w:t>2</w:t>
      </w:r>
      <w:r>
        <w:rPr>
          <w:rFonts w:hint="eastAsia" w:ascii="微软雅黑" w:hAnsi="微软雅黑" w:eastAsia="微软雅黑" w:cs="微软雅黑"/>
          <w:b/>
          <w:color w:val="auto"/>
          <w:sz w:val="24"/>
          <w:highlight w:val="none"/>
          <w:lang w:val="en-US" w:eastAsia="zh-CN"/>
        </w:rPr>
        <w:t>1</w:t>
      </w:r>
      <w:r>
        <w:rPr>
          <w:rFonts w:hint="eastAsia" w:ascii="微软雅黑" w:hAnsi="微软雅黑" w:eastAsia="微软雅黑" w:cs="微软雅黑"/>
          <w:b/>
          <w:color w:val="auto"/>
          <w:sz w:val="24"/>
          <w:highlight w:val="none"/>
        </w:rPr>
        <w:t>.</w:t>
      </w:r>
      <w:r>
        <w:rPr>
          <w:rFonts w:hint="eastAsia" w:ascii="微软雅黑" w:hAnsi="微软雅黑" w:eastAsia="微软雅黑" w:cs="微软雅黑"/>
          <w:b/>
          <w:color w:val="auto"/>
          <w:sz w:val="24"/>
          <w:highlight w:val="none"/>
          <w:lang w:val="en-US" w:eastAsia="zh-CN"/>
        </w:rPr>
        <w:t xml:space="preserve"> </w:t>
      </w:r>
      <w:r>
        <w:rPr>
          <w:rFonts w:hint="eastAsia" w:ascii="微软雅黑" w:hAnsi="微软雅黑" w:eastAsia="微软雅黑" w:cs="微软雅黑"/>
          <w:b/>
          <w:color w:val="auto"/>
          <w:sz w:val="24"/>
          <w:highlight w:val="none"/>
        </w:rPr>
        <w:t>法律适用</w:t>
      </w:r>
    </w:p>
    <w:p w14:paraId="20172B26">
      <w:pPr>
        <w:pStyle w:val="31"/>
        <w:jc w:val="both"/>
        <w:rPr>
          <w:rFonts w:hint="eastAsia" w:ascii="微软雅黑" w:hAnsi="微软雅黑" w:eastAsia="微软雅黑" w:cs="微软雅黑"/>
          <w:sz w:val="21"/>
        </w:rPr>
      </w:pP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1</w:t>
      </w:r>
      <w:r>
        <w:rPr>
          <w:rFonts w:hint="eastAsia" w:ascii="微软雅黑" w:hAnsi="微软雅黑" w:eastAsia="微软雅黑" w:cs="微软雅黑"/>
          <w:sz w:val="21"/>
        </w:rPr>
        <w:t>.1 本合同的订立、生效、解释、履行及与本合同有关的争议解决，均适用法律、行政法规。</w:t>
      </w:r>
    </w:p>
    <w:p w14:paraId="299FEFD8">
      <w:pPr>
        <w:pStyle w:val="31"/>
        <w:jc w:val="both"/>
        <w:rPr>
          <w:rFonts w:hint="eastAsia" w:ascii="微软雅黑" w:hAnsi="微软雅黑" w:eastAsia="微软雅黑" w:cs="微软雅黑"/>
          <w:sz w:val="21"/>
        </w:rPr>
      </w:pP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1</w:t>
      </w:r>
      <w:r>
        <w:rPr>
          <w:rFonts w:hint="eastAsia" w:ascii="微软雅黑" w:hAnsi="微软雅黑" w:eastAsia="微软雅黑" w:cs="微软雅黑"/>
          <w:sz w:val="21"/>
        </w:rPr>
        <w:t>.2 本合同条款与法律、行政法规的强制性规定不一致的，双方当事人应按照法律、行政法规的强制性规定修改本合同的相关条款。</w:t>
      </w:r>
    </w:p>
    <w:p w14:paraId="10B6D408">
      <w:pPr>
        <w:numPr>
          <w:ilvl w:val="0"/>
          <w:numId w:val="0"/>
        </w:numPr>
        <w:autoSpaceDE w:val="0"/>
        <w:autoSpaceDN w:val="0"/>
        <w:adjustRightInd w:val="0"/>
        <w:snapToGrid w:val="0"/>
        <w:spacing w:before="0" w:line="400" w:lineRule="exact"/>
        <w:jc w:val="left"/>
        <w:rPr>
          <w:rFonts w:hint="eastAsia" w:ascii="微软雅黑" w:hAnsi="微软雅黑" w:eastAsia="微软雅黑" w:cs="微软雅黑"/>
          <w:b/>
          <w:color w:val="auto"/>
          <w:sz w:val="24"/>
          <w:highlight w:val="none"/>
        </w:rPr>
      </w:pPr>
      <w:r>
        <w:rPr>
          <w:rFonts w:hint="eastAsia" w:ascii="微软雅黑" w:hAnsi="微软雅黑" w:eastAsia="微软雅黑" w:cs="微软雅黑"/>
          <w:b/>
          <w:color w:val="auto"/>
          <w:sz w:val="24"/>
          <w:highlight w:val="none"/>
          <w:lang w:val="en-US" w:eastAsia="zh-CN"/>
        </w:rPr>
        <w:t xml:space="preserve">22. </w:t>
      </w:r>
      <w:r>
        <w:rPr>
          <w:rFonts w:hint="eastAsia" w:ascii="微软雅黑" w:hAnsi="微软雅黑" w:eastAsia="微软雅黑" w:cs="微软雅黑"/>
          <w:b/>
          <w:color w:val="auto"/>
          <w:sz w:val="24"/>
          <w:highlight w:val="none"/>
        </w:rPr>
        <w:t>通知</w:t>
      </w:r>
    </w:p>
    <w:p w14:paraId="57F4EA58">
      <w:pPr>
        <w:pStyle w:val="31"/>
        <w:jc w:val="both"/>
        <w:rPr>
          <w:rFonts w:hint="eastAsia" w:ascii="微软雅黑" w:hAnsi="微软雅黑" w:eastAsia="微软雅黑" w:cs="微软雅黑"/>
          <w:sz w:val="21"/>
        </w:rPr>
      </w:pP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2</w:t>
      </w:r>
      <w:r>
        <w:rPr>
          <w:rFonts w:hint="eastAsia" w:ascii="微软雅黑" w:hAnsi="微软雅黑" w:eastAsia="微软雅黑" w:cs="微软雅黑"/>
          <w:sz w:val="21"/>
        </w:rPr>
        <w:t>.1</w:t>
      </w:r>
      <w:r>
        <w:rPr>
          <w:rFonts w:hint="eastAsia" w:ascii="微软雅黑" w:hAnsi="微软雅黑" w:eastAsia="微软雅黑" w:cs="微软雅黑"/>
          <w:sz w:val="21"/>
          <w:lang w:val="en-US" w:eastAsia="zh-CN"/>
        </w:rPr>
        <w:t xml:space="preserve"> </w:t>
      </w:r>
      <w:r>
        <w:rPr>
          <w:rFonts w:hint="eastAsia" w:ascii="微软雅黑" w:hAnsi="微软雅黑" w:eastAsia="微软雅黑" w:cs="微软雅黑"/>
          <w:sz w:val="21"/>
        </w:rPr>
        <w:t>本合同任何一方向对方发出的通知、信件、数据电文等，应当发送至本合同第一部分《政府采购合同协议书》所约定的通讯地址、联系人、联系电话或电子邮箱。</w:t>
      </w:r>
    </w:p>
    <w:p w14:paraId="5F886375">
      <w:pPr>
        <w:pStyle w:val="31"/>
        <w:ind w:firstLine="0" w:firstLineChars="0"/>
        <w:jc w:val="both"/>
        <w:rPr>
          <w:rFonts w:hint="eastAsia" w:ascii="微软雅黑" w:hAnsi="微软雅黑" w:eastAsia="微软雅黑" w:cs="微软雅黑"/>
          <w:sz w:val="21"/>
        </w:rPr>
      </w:pPr>
      <w:r>
        <w:rPr>
          <w:rFonts w:hint="eastAsia" w:ascii="微软雅黑" w:hAnsi="微软雅黑" w:eastAsia="微软雅黑" w:cs="微软雅黑"/>
          <w:sz w:val="21"/>
          <w:lang w:val="en-US" w:eastAsia="zh-CN"/>
        </w:rPr>
        <w:t xml:space="preserve">    </w:t>
      </w: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2</w:t>
      </w:r>
      <w:r>
        <w:rPr>
          <w:rFonts w:hint="eastAsia" w:ascii="微软雅黑" w:hAnsi="微软雅黑" w:eastAsia="微软雅黑" w:cs="微软雅黑"/>
          <w:sz w:val="21"/>
        </w:rPr>
        <w:t>.2</w:t>
      </w:r>
      <w:r>
        <w:rPr>
          <w:rFonts w:hint="eastAsia" w:ascii="微软雅黑" w:hAnsi="微软雅黑" w:eastAsia="微软雅黑" w:cs="微软雅黑"/>
          <w:sz w:val="21"/>
          <w:lang w:val="en-US" w:eastAsia="zh-CN"/>
        </w:rPr>
        <w:t xml:space="preserve"> </w:t>
      </w:r>
      <w:r>
        <w:rPr>
          <w:rFonts w:hint="eastAsia" w:ascii="微软雅黑" w:hAnsi="微软雅黑" w:eastAsia="微软雅黑" w:cs="微软雅黑"/>
          <w:sz w:val="21"/>
        </w:rPr>
        <w:t>一方当事人变更名称、</w:t>
      </w:r>
      <w:r>
        <w:rPr>
          <w:rFonts w:hint="eastAsia" w:ascii="微软雅黑" w:hAnsi="微软雅黑" w:eastAsia="微软雅黑" w:cs="微软雅黑"/>
          <w:sz w:val="21"/>
          <w:lang w:eastAsia="zh-CN"/>
        </w:rPr>
        <w:t>住所</w:t>
      </w:r>
      <w:r>
        <w:rPr>
          <w:rFonts w:hint="eastAsia" w:ascii="微软雅黑" w:hAnsi="微软雅黑" w:eastAsia="微软雅黑" w:cs="微软雅黑"/>
          <w:sz w:val="21"/>
        </w:rPr>
        <w:t>、联系人、联系电话或电子邮箱</w:t>
      </w:r>
      <w:r>
        <w:rPr>
          <w:rFonts w:hint="eastAsia" w:ascii="微软雅黑" w:hAnsi="微软雅黑" w:eastAsia="微软雅黑" w:cs="微软雅黑"/>
          <w:sz w:val="21"/>
          <w:lang w:eastAsia="zh-CN"/>
        </w:rPr>
        <w:t>等信息</w:t>
      </w:r>
      <w:r>
        <w:rPr>
          <w:rFonts w:hint="eastAsia" w:ascii="微软雅黑" w:hAnsi="微软雅黑" w:eastAsia="微软雅黑" w:cs="微软雅黑"/>
          <w:sz w:val="21"/>
        </w:rPr>
        <w:t>的，应当在变更后3日内及时书面通知对方，对方实际收到变更通知前的送达仍为有效送达。</w:t>
      </w:r>
    </w:p>
    <w:p w14:paraId="1DC74CBE">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3</w:t>
      </w:r>
      <w:r>
        <w:rPr>
          <w:rFonts w:hint="eastAsia" w:ascii="微软雅黑" w:hAnsi="微软雅黑" w:eastAsia="微软雅黑" w:cs="微软雅黑"/>
          <w:color w:val="auto"/>
          <w:szCs w:val="21"/>
          <w:highlight w:val="none"/>
        </w:rPr>
        <w:t>本合同一方给另一方的通知均应采用书面形式，传真或快递送到本合同中规定的对方的地址和办理签收手续。</w:t>
      </w:r>
    </w:p>
    <w:p w14:paraId="451CFD1D">
      <w:pPr>
        <w:adjustRightInd w:val="0"/>
        <w:snapToGrid w:val="0"/>
        <w:spacing w:before="0" w:line="400" w:lineRule="exact"/>
        <w:ind w:firstLine="420" w:firstLineChars="200"/>
        <w:jc w:val="left"/>
        <w:rPr>
          <w:rFonts w:hint="eastAsia" w:ascii="微软雅黑" w:hAnsi="微软雅黑" w:eastAsia="微软雅黑" w:cs="微软雅黑"/>
          <w:color w:val="auto"/>
          <w:szCs w:val="21"/>
          <w:highlight w:val="none"/>
        </w:rPr>
      </w:pPr>
      <w:r>
        <w:rPr>
          <w:rFonts w:hint="eastAsia" w:ascii="微软雅黑" w:hAnsi="微软雅黑" w:eastAsia="微软雅黑" w:cs="微软雅黑"/>
          <w:color w:val="auto"/>
          <w:szCs w:val="21"/>
          <w:highlight w:val="none"/>
        </w:rPr>
        <w:t>2</w:t>
      </w:r>
      <w:r>
        <w:rPr>
          <w:rFonts w:hint="eastAsia" w:ascii="微软雅黑" w:hAnsi="微软雅黑" w:eastAsia="微软雅黑" w:cs="微软雅黑"/>
          <w:color w:val="auto"/>
          <w:szCs w:val="21"/>
          <w:highlight w:val="none"/>
          <w:lang w:val="en-US" w:eastAsia="zh-CN"/>
        </w:rPr>
        <w:t>2</w:t>
      </w:r>
      <w:r>
        <w:rPr>
          <w:rFonts w:hint="eastAsia" w:ascii="微软雅黑" w:hAnsi="微软雅黑" w:eastAsia="微软雅黑" w:cs="微软雅黑"/>
          <w:color w:val="auto"/>
          <w:szCs w:val="21"/>
          <w:highlight w:val="none"/>
        </w:rPr>
        <w:t>.</w:t>
      </w:r>
      <w:r>
        <w:rPr>
          <w:rFonts w:hint="eastAsia" w:ascii="微软雅黑" w:hAnsi="微软雅黑" w:eastAsia="微软雅黑" w:cs="微软雅黑"/>
          <w:color w:val="auto"/>
          <w:szCs w:val="21"/>
          <w:highlight w:val="none"/>
          <w:lang w:val="en-US" w:eastAsia="zh-CN"/>
        </w:rPr>
        <w:t>4</w:t>
      </w:r>
      <w:r>
        <w:rPr>
          <w:rFonts w:hint="eastAsia" w:ascii="微软雅黑" w:hAnsi="微软雅黑" w:eastAsia="微软雅黑" w:cs="微软雅黑"/>
          <w:color w:val="auto"/>
          <w:szCs w:val="21"/>
          <w:highlight w:val="none"/>
        </w:rPr>
        <w:t>通知以送达之日或通知书中规定的生效之日起生效，两者中以较迟之日为准。</w:t>
      </w:r>
    </w:p>
    <w:p w14:paraId="314E3E6D">
      <w:pPr>
        <w:numPr>
          <w:ilvl w:val="0"/>
          <w:numId w:val="7"/>
        </w:numPr>
        <w:adjustRightInd w:val="0"/>
        <w:snapToGrid w:val="0"/>
        <w:spacing w:before="0" w:line="400" w:lineRule="exact"/>
        <w:jc w:val="left"/>
        <w:rPr>
          <w:rFonts w:hint="eastAsia" w:ascii="微软雅黑" w:hAnsi="微软雅黑" w:eastAsia="微软雅黑" w:cs="微软雅黑"/>
          <w:b/>
          <w:bCs/>
          <w:color w:val="auto"/>
          <w:sz w:val="24"/>
          <w:highlight w:val="none"/>
        </w:rPr>
      </w:pPr>
      <w:r>
        <w:rPr>
          <w:rFonts w:hint="eastAsia" w:ascii="微软雅黑" w:hAnsi="微软雅黑" w:eastAsia="微软雅黑" w:cs="微软雅黑"/>
          <w:b/>
          <w:bCs/>
          <w:color w:val="auto"/>
          <w:sz w:val="24"/>
          <w:highlight w:val="none"/>
        </w:rPr>
        <w:t>合同未尽事项</w:t>
      </w:r>
    </w:p>
    <w:p w14:paraId="5D5D227B">
      <w:pPr>
        <w:adjustRightInd w:val="0"/>
        <w:snapToGrid w:val="0"/>
        <w:spacing w:before="0" w:line="400" w:lineRule="exact"/>
        <w:ind w:firstLine="420" w:firstLineChars="200"/>
        <w:jc w:val="left"/>
        <w:rPr>
          <w:rFonts w:hint="eastAsia" w:ascii="微软雅黑" w:hAnsi="微软雅黑" w:eastAsia="微软雅黑" w:cs="微软雅黑"/>
          <w:bCs/>
          <w:color w:val="auto"/>
          <w:szCs w:val="21"/>
          <w:highlight w:val="none"/>
        </w:rPr>
      </w:pPr>
      <w:r>
        <w:rPr>
          <w:rFonts w:hint="eastAsia" w:ascii="微软雅黑" w:hAnsi="微软雅黑" w:eastAsia="微软雅黑" w:cs="微软雅黑"/>
          <w:bCs/>
          <w:color w:val="auto"/>
          <w:szCs w:val="21"/>
          <w:highlight w:val="none"/>
        </w:rPr>
        <w:t>2</w:t>
      </w:r>
      <w:r>
        <w:rPr>
          <w:rFonts w:hint="eastAsia" w:ascii="微软雅黑" w:hAnsi="微软雅黑" w:eastAsia="微软雅黑" w:cs="微软雅黑"/>
          <w:bCs/>
          <w:color w:val="auto"/>
          <w:szCs w:val="21"/>
          <w:highlight w:val="none"/>
          <w:lang w:val="en-US" w:eastAsia="zh-CN"/>
        </w:rPr>
        <w:t>3</w:t>
      </w:r>
      <w:r>
        <w:rPr>
          <w:rFonts w:hint="eastAsia" w:ascii="微软雅黑" w:hAnsi="微软雅黑" w:eastAsia="微软雅黑" w:cs="微软雅黑"/>
          <w:bCs/>
          <w:color w:val="auto"/>
          <w:szCs w:val="21"/>
          <w:highlight w:val="none"/>
        </w:rPr>
        <w:t>.1合同未尽事项见</w:t>
      </w:r>
      <w:r>
        <w:rPr>
          <w:rFonts w:hint="eastAsia" w:ascii="微软雅黑" w:hAnsi="微软雅黑" w:eastAsia="微软雅黑" w:cs="微软雅黑"/>
          <w:b/>
          <w:color w:val="auto"/>
          <w:szCs w:val="21"/>
          <w:highlight w:val="none"/>
        </w:rPr>
        <w:t>【政府采购合同专用条款】</w:t>
      </w:r>
      <w:r>
        <w:rPr>
          <w:rFonts w:hint="eastAsia" w:ascii="微软雅黑" w:hAnsi="微软雅黑" w:eastAsia="微软雅黑" w:cs="微软雅黑"/>
          <w:bCs/>
          <w:color w:val="auto"/>
          <w:szCs w:val="21"/>
          <w:highlight w:val="none"/>
        </w:rPr>
        <w:t>。</w:t>
      </w:r>
    </w:p>
    <w:p w14:paraId="2BF78D32">
      <w:pPr>
        <w:adjustRightInd w:val="0"/>
        <w:snapToGrid w:val="0"/>
        <w:spacing w:line="400" w:lineRule="exact"/>
        <w:ind w:firstLine="0" w:firstLineChars="0"/>
        <w:jc w:val="left"/>
        <w:rPr>
          <w:rFonts w:hint="eastAsia" w:ascii="微软雅黑" w:hAnsi="微软雅黑" w:eastAsia="微软雅黑" w:cs="微软雅黑"/>
          <w:color w:val="auto"/>
          <w:sz w:val="28"/>
          <w:szCs w:val="28"/>
        </w:rPr>
      </w:pPr>
      <w:r>
        <w:rPr>
          <w:rFonts w:hint="eastAsia" w:ascii="微软雅黑" w:hAnsi="微软雅黑" w:eastAsia="微软雅黑" w:cs="微软雅黑"/>
          <w:bCs/>
          <w:color w:val="auto"/>
          <w:szCs w:val="21"/>
          <w:highlight w:val="none"/>
          <w:lang w:val="en-US" w:eastAsia="zh-CN"/>
        </w:rPr>
        <w:t xml:space="preserve">    23.2 合同附件与合同正文具有同等的法律效力。</w:t>
      </w:r>
      <w:bookmarkStart w:id="1779" w:name="_Toc20313"/>
    </w:p>
    <w:p w14:paraId="1E425714">
      <w:pPr>
        <w:adjustRightInd w:val="0"/>
        <w:snapToGrid w:val="0"/>
        <w:jc w:val="center"/>
        <w:rPr>
          <w:rFonts w:hint="eastAsia" w:ascii="微软雅黑" w:hAnsi="微软雅黑" w:eastAsia="微软雅黑" w:cs="微软雅黑"/>
          <w:b w:val="0"/>
          <w:bCs w:val="0"/>
          <w:sz w:val="28"/>
          <w:szCs w:val="28"/>
        </w:rPr>
      </w:pPr>
      <w:r>
        <w:rPr>
          <w:rFonts w:hint="eastAsia" w:ascii="微软雅黑" w:hAnsi="微软雅黑" w:eastAsia="微软雅黑" w:cs="微软雅黑"/>
          <w:b w:val="0"/>
          <w:bCs w:val="0"/>
          <w:sz w:val="28"/>
          <w:szCs w:val="28"/>
        </w:rPr>
        <w:br w:type="page"/>
      </w:r>
    </w:p>
    <w:p w14:paraId="1AB9A161">
      <w:pPr>
        <w:pStyle w:val="4"/>
        <w:adjustRightInd w:val="0"/>
        <w:snapToGrid w:val="0"/>
        <w:jc w:val="center"/>
        <w:rPr>
          <w:rFonts w:hint="eastAsia" w:ascii="微软雅黑" w:hAnsi="微软雅黑" w:eastAsia="微软雅黑" w:cs="微软雅黑"/>
          <w:b w:val="0"/>
          <w:bCs w:val="0"/>
          <w:sz w:val="28"/>
          <w:szCs w:val="28"/>
        </w:rPr>
      </w:pPr>
      <w:bookmarkStart w:id="1780" w:name="_Toc9284"/>
      <w:bookmarkStart w:id="1781" w:name="_Toc29846"/>
      <w:bookmarkStart w:id="1782" w:name="_Toc24782"/>
      <w:r>
        <w:rPr>
          <w:rFonts w:hint="eastAsia" w:ascii="微软雅黑" w:hAnsi="微软雅黑" w:eastAsia="微软雅黑" w:cs="微软雅黑"/>
          <w:b w:val="0"/>
          <w:bCs w:val="0"/>
          <w:sz w:val="28"/>
          <w:szCs w:val="28"/>
        </w:rPr>
        <w:t>第三节 政府采购合同专用条款</w:t>
      </w:r>
      <w:bookmarkEnd w:id="1779"/>
      <w:bookmarkEnd w:id="1780"/>
      <w:bookmarkEnd w:id="1781"/>
      <w:bookmarkEnd w:id="1782"/>
    </w:p>
    <w:tbl>
      <w:tblPr>
        <w:tblStyle w:val="21"/>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961A4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569CFE6">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D04B249">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第1.2（</w:t>
            </w: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）项</w:t>
            </w:r>
          </w:p>
        </w:tc>
        <w:tc>
          <w:tcPr>
            <w:tcW w:w="1742" w:type="dxa"/>
            <w:noWrap w:val="0"/>
            <w:vAlign w:val="center"/>
          </w:tcPr>
          <w:p w14:paraId="17612167">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lang w:eastAsia="zh-CN"/>
              </w:rPr>
              <w:t>联合体具体要求</w:t>
            </w:r>
          </w:p>
        </w:tc>
        <w:tc>
          <w:tcPr>
            <w:tcW w:w="5170" w:type="dxa"/>
            <w:noWrap w:val="0"/>
            <w:vAlign w:val="center"/>
          </w:tcPr>
          <w:p w14:paraId="77B33CF8">
            <w:pPr>
              <w:adjustRightInd w:val="0"/>
              <w:snapToGrid w:val="0"/>
              <w:jc w:val="left"/>
              <w:rPr>
                <w:rFonts w:hint="eastAsia" w:ascii="微软雅黑" w:hAnsi="微软雅黑" w:eastAsia="微软雅黑" w:cs="微软雅黑"/>
                <w:szCs w:val="21"/>
              </w:rPr>
            </w:pPr>
          </w:p>
        </w:tc>
      </w:tr>
      <w:tr w14:paraId="30C9D1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662D9E37">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20677865">
            <w:pPr>
              <w:adjustRightInd w:val="0"/>
              <w:snapToGrid w:val="0"/>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第1.2（</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）项</w:t>
            </w:r>
          </w:p>
        </w:tc>
        <w:tc>
          <w:tcPr>
            <w:tcW w:w="1742" w:type="dxa"/>
            <w:noWrap w:val="0"/>
            <w:vAlign w:val="center"/>
          </w:tcPr>
          <w:p w14:paraId="3322140A">
            <w:pPr>
              <w:adjustRightInd w:val="0"/>
              <w:snapToGrid w:val="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其他术语解释</w:t>
            </w:r>
          </w:p>
        </w:tc>
        <w:tc>
          <w:tcPr>
            <w:tcW w:w="5170" w:type="dxa"/>
            <w:noWrap w:val="0"/>
            <w:vAlign w:val="center"/>
          </w:tcPr>
          <w:p w14:paraId="773D552E">
            <w:pPr>
              <w:adjustRightInd w:val="0"/>
              <w:snapToGrid w:val="0"/>
              <w:jc w:val="left"/>
              <w:rPr>
                <w:rFonts w:hint="eastAsia" w:ascii="微软雅黑" w:hAnsi="微软雅黑" w:eastAsia="微软雅黑" w:cs="微软雅黑"/>
                <w:kern w:val="2"/>
                <w:sz w:val="21"/>
                <w:szCs w:val="21"/>
                <w:lang w:val="en-US" w:eastAsia="zh-CN" w:bidi="ar-SA"/>
              </w:rPr>
            </w:pPr>
          </w:p>
        </w:tc>
      </w:tr>
      <w:tr w14:paraId="73392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1AEF3B2">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0215799E">
            <w:pPr>
              <w:adjustRightInd w:val="0"/>
              <w:snapToGrid w:val="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4.4款</w:t>
            </w:r>
          </w:p>
        </w:tc>
        <w:tc>
          <w:tcPr>
            <w:tcW w:w="1742" w:type="dxa"/>
            <w:noWrap w:val="0"/>
            <w:vAlign w:val="center"/>
          </w:tcPr>
          <w:p w14:paraId="360DBBC9">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履约验收中甲方提出异议或作出说明的期限</w:t>
            </w:r>
          </w:p>
        </w:tc>
        <w:tc>
          <w:tcPr>
            <w:tcW w:w="5170" w:type="dxa"/>
            <w:noWrap w:val="0"/>
            <w:vAlign w:val="center"/>
          </w:tcPr>
          <w:p w14:paraId="179D513D">
            <w:pPr>
              <w:adjustRightInd w:val="0"/>
              <w:snapToGrid w:val="0"/>
              <w:jc w:val="left"/>
              <w:rPr>
                <w:rFonts w:hint="eastAsia" w:ascii="微软雅黑" w:hAnsi="微软雅黑" w:eastAsia="微软雅黑" w:cs="微软雅黑"/>
                <w:kern w:val="2"/>
                <w:sz w:val="21"/>
                <w:szCs w:val="21"/>
                <w:lang w:val="en-US" w:eastAsia="zh-CN" w:bidi="ar-SA"/>
              </w:rPr>
            </w:pPr>
          </w:p>
        </w:tc>
      </w:tr>
      <w:tr w14:paraId="7898D1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F378360">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6C516C7C">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4.6款</w:t>
            </w:r>
          </w:p>
        </w:tc>
        <w:tc>
          <w:tcPr>
            <w:tcW w:w="1742" w:type="dxa"/>
            <w:noWrap w:val="0"/>
            <w:vAlign w:val="center"/>
          </w:tcPr>
          <w:p w14:paraId="28D54F5E">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约定甲方承担的其他义务和责任</w:t>
            </w:r>
          </w:p>
        </w:tc>
        <w:tc>
          <w:tcPr>
            <w:tcW w:w="5170" w:type="dxa"/>
            <w:noWrap w:val="0"/>
            <w:vAlign w:val="center"/>
          </w:tcPr>
          <w:p w14:paraId="7D253E08">
            <w:pPr>
              <w:adjustRightInd w:val="0"/>
              <w:snapToGrid w:val="0"/>
              <w:jc w:val="left"/>
              <w:rPr>
                <w:rFonts w:hint="eastAsia" w:ascii="微软雅黑" w:hAnsi="微软雅黑" w:eastAsia="微软雅黑" w:cs="微软雅黑"/>
                <w:kern w:val="2"/>
                <w:sz w:val="21"/>
                <w:szCs w:val="21"/>
                <w:lang w:val="en-US" w:eastAsia="zh-CN" w:bidi="ar-SA"/>
              </w:rPr>
            </w:pPr>
          </w:p>
        </w:tc>
      </w:tr>
      <w:tr w14:paraId="59470C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38FCD63">
            <w:pPr>
              <w:adjustRightInd w:val="0"/>
              <w:snapToGrid w:val="0"/>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第二节</w:t>
            </w:r>
          </w:p>
          <w:p w14:paraId="0D5AEC0C">
            <w:pPr>
              <w:snapToGrid w:val="0"/>
              <w:jc w:val="center"/>
              <w:rPr>
                <w:rFonts w:hint="eastAsia" w:ascii="微软雅黑" w:hAnsi="微软雅黑" w:eastAsia="微软雅黑" w:cs="微软雅黑"/>
                <w:lang w:val="en-US" w:eastAsia="zh-CN"/>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5.4款</w:t>
            </w:r>
          </w:p>
        </w:tc>
        <w:tc>
          <w:tcPr>
            <w:tcW w:w="1742" w:type="dxa"/>
            <w:noWrap w:val="0"/>
            <w:vAlign w:val="center"/>
          </w:tcPr>
          <w:p w14:paraId="5EED34C3">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约定乙方承担的其他义务和责任</w:t>
            </w:r>
          </w:p>
        </w:tc>
        <w:tc>
          <w:tcPr>
            <w:tcW w:w="5170" w:type="dxa"/>
            <w:noWrap w:val="0"/>
            <w:vAlign w:val="center"/>
          </w:tcPr>
          <w:p w14:paraId="28C8A68C">
            <w:pPr>
              <w:adjustRightInd w:val="0"/>
              <w:snapToGrid w:val="0"/>
              <w:jc w:val="left"/>
              <w:rPr>
                <w:rFonts w:hint="eastAsia" w:ascii="微软雅黑" w:hAnsi="微软雅黑" w:eastAsia="微软雅黑" w:cs="微软雅黑"/>
                <w:kern w:val="2"/>
                <w:sz w:val="21"/>
                <w:szCs w:val="21"/>
                <w:lang w:val="en-US" w:eastAsia="zh-CN" w:bidi="ar-SA"/>
              </w:rPr>
            </w:pPr>
          </w:p>
        </w:tc>
      </w:tr>
      <w:tr w14:paraId="539F42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EB8E02B">
            <w:pPr>
              <w:adjustRightInd w:val="0"/>
              <w:snapToGrid w:val="0"/>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第二节</w:t>
            </w:r>
          </w:p>
          <w:p w14:paraId="643E5999">
            <w:pPr>
              <w:snapToGrid w:val="0"/>
              <w:jc w:val="center"/>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第</w:t>
            </w:r>
            <w:r>
              <w:rPr>
                <w:rFonts w:hint="eastAsia" w:ascii="微软雅黑" w:hAnsi="微软雅黑" w:eastAsia="微软雅黑" w:cs="微软雅黑"/>
                <w:szCs w:val="21"/>
                <w:lang w:val="en-US" w:eastAsia="zh-CN"/>
              </w:rPr>
              <w:t>6.1款</w:t>
            </w:r>
          </w:p>
        </w:tc>
        <w:tc>
          <w:tcPr>
            <w:tcW w:w="1742" w:type="dxa"/>
            <w:noWrap w:val="0"/>
            <w:vAlign w:val="center"/>
          </w:tcPr>
          <w:p w14:paraId="6430824A">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履行合同义务的顺序</w:t>
            </w:r>
          </w:p>
        </w:tc>
        <w:tc>
          <w:tcPr>
            <w:tcW w:w="5170" w:type="dxa"/>
            <w:noWrap w:val="0"/>
            <w:vAlign w:val="center"/>
          </w:tcPr>
          <w:p w14:paraId="391405E9">
            <w:pPr>
              <w:adjustRightInd w:val="0"/>
              <w:snapToGrid w:val="0"/>
              <w:jc w:val="left"/>
              <w:rPr>
                <w:rFonts w:hint="eastAsia" w:ascii="微软雅黑" w:hAnsi="微软雅黑" w:eastAsia="微软雅黑" w:cs="微软雅黑"/>
                <w:kern w:val="2"/>
                <w:sz w:val="21"/>
                <w:szCs w:val="21"/>
                <w:lang w:val="en-US" w:eastAsia="zh-CN" w:bidi="ar-SA"/>
              </w:rPr>
            </w:pPr>
          </w:p>
        </w:tc>
      </w:tr>
      <w:tr w14:paraId="2FF8DD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533E198F">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DD0A098">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款</w:t>
            </w:r>
          </w:p>
        </w:tc>
        <w:tc>
          <w:tcPr>
            <w:tcW w:w="1742" w:type="dxa"/>
            <w:noWrap w:val="0"/>
            <w:vAlign w:val="center"/>
          </w:tcPr>
          <w:p w14:paraId="7CE1FFF1">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包装</w:t>
            </w:r>
            <w:r>
              <w:rPr>
                <w:rFonts w:hint="eastAsia" w:ascii="微软雅黑" w:hAnsi="微软雅黑" w:eastAsia="微软雅黑" w:cs="微软雅黑"/>
                <w:szCs w:val="21"/>
                <w:lang w:eastAsia="zh-CN"/>
              </w:rPr>
              <w:t>特殊要求</w:t>
            </w:r>
          </w:p>
        </w:tc>
        <w:tc>
          <w:tcPr>
            <w:tcW w:w="5170" w:type="dxa"/>
            <w:noWrap w:val="0"/>
            <w:vAlign w:val="center"/>
          </w:tcPr>
          <w:p w14:paraId="42ABBA98">
            <w:pPr>
              <w:rPr>
                <w:rFonts w:hint="eastAsia" w:ascii="微软雅黑" w:hAnsi="微软雅黑" w:eastAsia="微软雅黑" w:cs="微软雅黑"/>
              </w:rPr>
            </w:pPr>
          </w:p>
        </w:tc>
      </w:tr>
      <w:tr w14:paraId="229610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5B7C1FE8">
            <w:pPr>
              <w:adjustRightInd w:val="0"/>
              <w:snapToGrid w:val="0"/>
              <w:jc w:val="center"/>
              <w:rPr>
                <w:rFonts w:hint="eastAsia" w:ascii="微软雅黑" w:hAnsi="微软雅黑" w:eastAsia="微软雅黑" w:cs="微软雅黑"/>
                <w:szCs w:val="21"/>
              </w:rPr>
            </w:pPr>
          </w:p>
        </w:tc>
        <w:tc>
          <w:tcPr>
            <w:tcW w:w="1742" w:type="dxa"/>
            <w:noWrap w:val="0"/>
            <w:vAlign w:val="center"/>
          </w:tcPr>
          <w:p w14:paraId="1735793B">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指定现场</w:t>
            </w:r>
          </w:p>
        </w:tc>
        <w:tc>
          <w:tcPr>
            <w:tcW w:w="5170" w:type="dxa"/>
            <w:noWrap w:val="0"/>
            <w:vAlign w:val="center"/>
          </w:tcPr>
          <w:p w14:paraId="50315657">
            <w:pPr>
              <w:rPr>
                <w:rFonts w:hint="eastAsia" w:ascii="微软雅黑" w:hAnsi="微软雅黑" w:eastAsia="微软雅黑" w:cs="微软雅黑"/>
              </w:rPr>
            </w:pPr>
          </w:p>
        </w:tc>
      </w:tr>
      <w:tr w14:paraId="1CB41F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18442D8E">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63AC9B7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.2</w:t>
            </w:r>
            <w:r>
              <w:rPr>
                <w:rFonts w:hint="eastAsia" w:ascii="微软雅黑" w:hAnsi="微软雅黑" w:eastAsia="微软雅黑" w:cs="微软雅黑"/>
                <w:szCs w:val="21"/>
                <w:lang w:val="en-US" w:eastAsia="zh-CN"/>
              </w:rPr>
              <w:t>款</w:t>
            </w:r>
          </w:p>
        </w:tc>
        <w:tc>
          <w:tcPr>
            <w:tcW w:w="1742" w:type="dxa"/>
            <w:noWrap w:val="0"/>
            <w:vAlign w:val="center"/>
          </w:tcPr>
          <w:p w14:paraId="05BC1194">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运输特殊要求</w:t>
            </w:r>
          </w:p>
        </w:tc>
        <w:tc>
          <w:tcPr>
            <w:tcW w:w="5170" w:type="dxa"/>
            <w:noWrap w:val="0"/>
            <w:vAlign w:val="center"/>
          </w:tcPr>
          <w:p w14:paraId="4094DD5F">
            <w:pPr>
              <w:rPr>
                <w:rFonts w:hint="eastAsia" w:ascii="微软雅黑" w:hAnsi="微软雅黑" w:eastAsia="微软雅黑" w:cs="微软雅黑"/>
              </w:rPr>
            </w:pPr>
          </w:p>
        </w:tc>
      </w:tr>
      <w:tr w14:paraId="6A2F38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3AD098A6">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ECC19C4">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.3</w:t>
            </w:r>
            <w:r>
              <w:rPr>
                <w:rFonts w:hint="eastAsia" w:ascii="微软雅黑" w:hAnsi="微软雅黑" w:eastAsia="微软雅黑" w:cs="微软雅黑"/>
                <w:szCs w:val="21"/>
                <w:lang w:val="en-US" w:eastAsia="zh-CN"/>
              </w:rPr>
              <w:t>款</w:t>
            </w:r>
          </w:p>
        </w:tc>
        <w:tc>
          <w:tcPr>
            <w:tcW w:w="1742" w:type="dxa"/>
            <w:noWrap w:val="0"/>
            <w:vAlign w:val="center"/>
          </w:tcPr>
          <w:p w14:paraId="0C22BA84">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保险要求</w:t>
            </w:r>
          </w:p>
        </w:tc>
        <w:tc>
          <w:tcPr>
            <w:tcW w:w="5170" w:type="dxa"/>
            <w:noWrap w:val="0"/>
            <w:vAlign w:val="center"/>
          </w:tcPr>
          <w:p w14:paraId="6A0718EC">
            <w:pPr>
              <w:rPr>
                <w:rFonts w:hint="eastAsia" w:ascii="微软雅黑" w:hAnsi="微软雅黑" w:eastAsia="微软雅黑" w:cs="微软雅黑"/>
              </w:rPr>
            </w:pPr>
          </w:p>
        </w:tc>
      </w:tr>
      <w:tr w14:paraId="160227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602D847">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3087C3F">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8</w:t>
            </w:r>
            <w:r>
              <w:rPr>
                <w:rFonts w:hint="eastAsia" w:ascii="微软雅黑" w:hAnsi="微软雅黑" w:eastAsia="微软雅黑" w:cs="微软雅黑"/>
                <w:szCs w:val="21"/>
              </w:rPr>
              <w:t>.2（1）项</w:t>
            </w:r>
          </w:p>
        </w:tc>
        <w:tc>
          <w:tcPr>
            <w:tcW w:w="1742" w:type="dxa"/>
            <w:noWrap w:val="0"/>
            <w:vAlign w:val="center"/>
          </w:tcPr>
          <w:p w14:paraId="38E84082">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质量保证期</w:t>
            </w:r>
          </w:p>
        </w:tc>
        <w:tc>
          <w:tcPr>
            <w:tcW w:w="5170" w:type="dxa"/>
            <w:noWrap w:val="0"/>
            <w:vAlign w:val="center"/>
          </w:tcPr>
          <w:p w14:paraId="608039C4">
            <w:pPr>
              <w:autoSpaceDE w:val="0"/>
              <w:autoSpaceDN w:val="0"/>
              <w:adjustRightInd w:val="0"/>
              <w:snapToGrid w:val="0"/>
              <w:ind w:firstLine="420" w:firstLineChars="200"/>
              <w:jc w:val="left"/>
              <w:rPr>
                <w:rFonts w:hint="eastAsia" w:ascii="微软雅黑" w:hAnsi="微软雅黑" w:eastAsia="微软雅黑" w:cs="微软雅黑"/>
                <w:szCs w:val="21"/>
              </w:rPr>
            </w:pPr>
          </w:p>
        </w:tc>
      </w:tr>
      <w:tr w14:paraId="1CFBD1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B0A2263">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0737910">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8</w:t>
            </w:r>
            <w:r>
              <w:rPr>
                <w:rFonts w:hint="eastAsia" w:ascii="微软雅黑" w:hAnsi="微软雅黑" w:eastAsia="微软雅黑" w:cs="微软雅黑"/>
                <w:szCs w:val="21"/>
              </w:rPr>
              <w:t>.2（3）项</w:t>
            </w:r>
          </w:p>
        </w:tc>
        <w:tc>
          <w:tcPr>
            <w:tcW w:w="1742" w:type="dxa"/>
            <w:noWrap w:val="0"/>
            <w:vAlign w:val="center"/>
          </w:tcPr>
          <w:p w14:paraId="0C126B2B">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lang w:eastAsia="zh-CN"/>
              </w:rPr>
              <w:t>货物质量缺陷</w:t>
            </w:r>
          </w:p>
          <w:p w14:paraId="3C8A519B">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响应时间</w:t>
            </w:r>
          </w:p>
        </w:tc>
        <w:tc>
          <w:tcPr>
            <w:tcW w:w="5170" w:type="dxa"/>
            <w:noWrap w:val="0"/>
            <w:vAlign w:val="center"/>
          </w:tcPr>
          <w:p w14:paraId="6BA0216E">
            <w:pPr>
              <w:adjustRightInd w:val="0"/>
              <w:snapToGrid w:val="0"/>
              <w:jc w:val="left"/>
              <w:rPr>
                <w:rFonts w:hint="eastAsia" w:ascii="微软雅黑" w:hAnsi="微软雅黑" w:eastAsia="微软雅黑" w:cs="微软雅黑"/>
                <w:szCs w:val="21"/>
              </w:rPr>
            </w:pPr>
          </w:p>
        </w:tc>
      </w:tr>
      <w:tr w14:paraId="3868AE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AB3F49">
            <w:pPr>
              <w:snapToGrid w:val="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第二节</w:t>
            </w:r>
          </w:p>
          <w:p w14:paraId="36DD0651">
            <w:pPr>
              <w:pStyle w:val="31"/>
              <w:ind w:firstLine="0" w:firstLineChars="0"/>
              <w:jc w:val="center"/>
              <w:rPr>
                <w:rFonts w:hint="eastAsia" w:ascii="微软雅黑" w:hAnsi="微软雅黑" w:eastAsia="微软雅黑" w:cs="微软雅黑"/>
                <w:lang w:val="en-US" w:eastAsia="zh-CN"/>
              </w:rPr>
            </w:pPr>
            <w:r>
              <w:rPr>
                <w:rFonts w:hint="eastAsia" w:ascii="微软雅黑" w:hAnsi="微软雅黑" w:eastAsia="微软雅黑" w:cs="微软雅黑"/>
                <w:szCs w:val="21"/>
                <w:lang w:val="en-US" w:eastAsia="zh-CN"/>
              </w:rPr>
              <w:t>第11.1款</w:t>
            </w:r>
          </w:p>
        </w:tc>
        <w:tc>
          <w:tcPr>
            <w:tcW w:w="1742" w:type="dxa"/>
            <w:noWrap w:val="0"/>
            <w:vAlign w:val="center"/>
          </w:tcPr>
          <w:p w14:paraId="62DA2BCC">
            <w:pPr>
              <w:adjustRightInd w:val="0"/>
              <w:snapToGrid w:val="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其他应当保密的信息</w:t>
            </w:r>
          </w:p>
        </w:tc>
        <w:tc>
          <w:tcPr>
            <w:tcW w:w="5170" w:type="dxa"/>
            <w:noWrap w:val="0"/>
            <w:vAlign w:val="center"/>
          </w:tcPr>
          <w:p w14:paraId="0123264C">
            <w:pPr>
              <w:adjustRightInd w:val="0"/>
              <w:snapToGrid w:val="0"/>
              <w:jc w:val="left"/>
              <w:rPr>
                <w:rFonts w:hint="eastAsia" w:ascii="微软雅黑" w:hAnsi="微软雅黑" w:eastAsia="微软雅黑" w:cs="微软雅黑"/>
                <w:szCs w:val="21"/>
              </w:rPr>
            </w:pPr>
          </w:p>
        </w:tc>
      </w:tr>
      <w:tr w14:paraId="1A99D2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32BB2409">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3D1D9A6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.2款</w:t>
            </w:r>
          </w:p>
        </w:tc>
        <w:tc>
          <w:tcPr>
            <w:tcW w:w="1742" w:type="dxa"/>
            <w:noWrap w:val="0"/>
            <w:vAlign w:val="center"/>
          </w:tcPr>
          <w:p w14:paraId="0592FB2C">
            <w:pPr>
              <w:adjustRightInd w:val="0"/>
              <w:snapToGrid w:val="0"/>
              <w:jc w:val="left"/>
              <w:rPr>
                <w:rFonts w:hint="eastAsia" w:ascii="微软雅黑" w:hAnsi="微软雅黑" w:eastAsia="微软雅黑" w:cs="微软雅黑"/>
                <w:szCs w:val="21"/>
                <w:lang w:eastAsia="zh-CN"/>
              </w:rPr>
            </w:pPr>
            <w:r>
              <w:rPr>
                <w:rFonts w:hint="eastAsia" w:ascii="微软雅黑" w:hAnsi="微软雅黑" w:eastAsia="微软雅黑" w:cs="微软雅黑"/>
                <w:szCs w:val="21"/>
              </w:rPr>
              <w:t>合同价款支付</w:t>
            </w:r>
            <w:r>
              <w:rPr>
                <w:rFonts w:hint="eastAsia" w:ascii="微软雅黑" w:hAnsi="微软雅黑" w:eastAsia="微软雅黑" w:cs="微软雅黑"/>
                <w:szCs w:val="21"/>
                <w:lang w:eastAsia="zh-CN"/>
              </w:rPr>
              <w:t>时间</w:t>
            </w:r>
          </w:p>
        </w:tc>
        <w:tc>
          <w:tcPr>
            <w:tcW w:w="5170" w:type="dxa"/>
            <w:noWrap w:val="0"/>
            <w:vAlign w:val="center"/>
          </w:tcPr>
          <w:p w14:paraId="6873CD42">
            <w:pPr>
              <w:adjustRightInd w:val="0"/>
              <w:snapToGrid w:val="0"/>
              <w:jc w:val="left"/>
              <w:rPr>
                <w:rFonts w:hint="eastAsia" w:ascii="微软雅黑" w:hAnsi="微软雅黑" w:eastAsia="微软雅黑" w:cs="微软雅黑"/>
                <w:szCs w:val="21"/>
              </w:rPr>
            </w:pPr>
          </w:p>
        </w:tc>
      </w:tr>
      <w:tr w14:paraId="3F12F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74DA9780">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D35A2F3">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13.2</w:t>
            </w:r>
            <w:r>
              <w:rPr>
                <w:rFonts w:hint="eastAsia" w:ascii="微软雅黑" w:hAnsi="微软雅黑" w:eastAsia="微软雅黑" w:cs="微软雅黑"/>
                <w:szCs w:val="21"/>
              </w:rPr>
              <w:t>款</w:t>
            </w:r>
          </w:p>
        </w:tc>
        <w:tc>
          <w:tcPr>
            <w:tcW w:w="1742" w:type="dxa"/>
            <w:noWrap w:val="0"/>
            <w:vAlign w:val="center"/>
          </w:tcPr>
          <w:p w14:paraId="66B2AD28">
            <w:pPr>
              <w:adjustRightInd w:val="0"/>
              <w:snapToGrid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履约保证金不予退还的情形</w:t>
            </w:r>
          </w:p>
        </w:tc>
        <w:tc>
          <w:tcPr>
            <w:tcW w:w="5170" w:type="dxa"/>
            <w:noWrap w:val="0"/>
            <w:vAlign w:val="center"/>
          </w:tcPr>
          <w:p w14:paraId="38D43395">
            <w:pPr>
              <w:adjustRightInd w:val="0"/>
              <w:snapToGrid w:val="0"/>
              <w:jc w:val="left"/>
              <w:rPr>
                <w:rFonts w:hint="eastAsia" w:ascii="微软雅黑" w:hAnsi="微软雅黑" w:eastAsia="微软雅黑" w:cs="微软雅黑"/>
                <w:szCs w:val="21"/>
              </w:rPr>
            </w:pPr>
          </w:p>
        </w:tc>
      </w:tr>
      <w:tr w14:paraId="472BA7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D3F7D0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36D9D060">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13.3</w:t>
            </w:r>
            <w:r>
              <w:rPr>
                <w:rFonts w:hint="eastAsia" w:ascii="微软雅黑" w:hAnsi="微软雅黑" w:eastAsia="微软雅黑" w:cs="微软雅黑"/>
                <w:szCs w:val="21"/>
              </w:rPr>
              <w:t>款</w:t>
            </w:r>
          </w:p>
        </w:tc>
        <w:tc>
          <w:tcPr>
            <w:tcW w:w="1742" w:type="dxa"/>
            <w:noWrap w:val="0"/>
            <w:vAlign w:val="center"/>
          </w:tcPr>
          <w:p w14:paraId="3030F5D6">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履约保证金退还时间及</w:t>
            </w:r>
            <w:r>
              <w:rPr>
                <w:rFonts w:hint="eastAsia" w:ascii="微软雅黑" w:hAnsi="微软雅黑" w:eastAsia="微软雅黑" w:cs="微软雅黑"/>
                <w:szCs w:val="21"/>
                <w:lang w:eastAsia="zh-CN"/>
              </w:rPr>
              <w:t>逾期退还的</w:t>
            </w:r>
            <w:r>
              <w:rPr>
                <w:rFonts w:hint="eastAsia" w:ascii="微软雅黑" w:hAnsi="微软雅黑" w:eastAsia="微软雅黑" w:cs="微软雅黑"/>
                <w:szCs w:val="21"/>
              </w:rPr>
              <w:t>违约金</w:t>
            </w:r>
          </w:p>
        </w:tc>
        <w:tc>
          <w:tcPr>
            <w:tcW w:w="5170" w:type="dxa"/>
            <w:noWrap w:val="0"/>
            <w:vAlign w:val="center"/>
          </w:tcPr>
          <w:p w14:paraId="2F3E6316">
            <w:pPr>
              <w:adjustRightInd w:val="0"/>
              <w:snapToGrid w:val="0"/>
              <w:jc w:val="left"/>
              <w:rPr>
                <w:rFonts w:hint="eastAsia" w:ascii="微软雅黑" w:hAnsi="微软雅黑" w:eastAsia="微软雅黑" w:cs="微软雅黑"/>
                <w:szCs w:val="21"/>
              </w:rPr>
            </w:pPr>
          </w:p>
        </w:tc>
      </w:tr>
      <w:tr w14:paraId="1C8216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4D465B27">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5AC78AC6">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3</w:t>
            </w:r>
            <w:r>
              <w:rPr>
                <w:rFonts w:hint="eastAsia" w:ascii="微软雅黑" w:hAnsi="微软雅黑" w:eastAsia="微软雅黑" w:cs="微软雅黑"/>
                <w:szCs w:val="21"/>
              </w:rPr>
              <w:t>）项</w:t>
            </w:r>
          </w:p>
        </w:tc>
        <w:tc>
          <w:tcPr>
            <w:tcW w:w="1742" w:type="dxa"/>
            <w:noWrap w:val="0"/>
            <w:vAlign w:val="center"/>
          </w:tcPr>
          <w:p w14:paraId="3C876F08">
            <w:pPr>
              <w:adjustRightInd w:val="0"/>
              <w:snapToGrid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运行监督、维修期限</w:t>
            </w:r>
          </w:p>
        </w:tc>
        <w:tc>
          <w:tcPr>
            <w:tcW w:w="5170" w:type="dxa"/>
            <w:noWrap w:val="0"/>
            <w:vAlign w:val="center"/>
          </w:tcPr>
          <w:p w14:paraId="075706BC">
            <w:pPr>
              <w:adjustRightInd w:val="0"/>
              <w:snapToGrid w:val="0"/>
              <w:jc w:val="left"/>
              <w:rPr>
                <w:rFonts w:hint="eastAsia" w:ascii="微软雅黑" w:hAnsi="微软雅黑" w:eastAsia="微软雅黑" w:cs="微软雅黑"/>
                <w:szCs w:val="21"/>
              </w:rPr>
            </w:pPr>
          </w:p>
        </w:tc>
      </w:tr>
      <w:tr w14:paraId="7B03CF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2E33BC4C">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4B814FCB">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）项</w:t>
            </w:r>
          </w:p>
        </w:tc>
        <w:tc>
          <w:tcPr>
            <w:tcW w:w="1742" w:type="dxa"/>
            <w:noWrap w:val="0"/>
            <w:vAlign w:val="center"/>
          </w:tcPr>
          <w:p w14:paraId="25AC1972">
            <w:pPr>
              <w:adjustRightInd w:val="0"/>
              <w:snapToGrid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货物回收的约定</w:t>
            </w:r>
          </w:p>
        </w:tc>
        <w:tc>
          <w:tcPr>
            <w:tcW w:w="5170" w:type="dxa"/>
            <w:noWrap w:val="0"/>
            <w:vAlign w:val="center"/>
          </w:tcPr>
          <w:p w14:paraId="450E36FE">
            <w:pPr>
              <w:adjustRightInd w:val="0"/>
              <w:snapToGrid w:val="0"/>
              <w:jc w:val="left"/>
              <w:rPr>
                <w:rFonts w:hint="eastAsia" w:ascii="微软雅黑" w:hAnsi="微软雅黑" w:eastAsia="微软雅黑" w:cs="微软雅黑"/>
                <w:szCs w:val="21"/>
              </w:rPr>
            </w:pPr>
          </w:p>
        </w:tc>
      </w:tr>
      <w:tr w14:paraId="26B3C1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B9899DD">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300892FD">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）项</w:t>
            </w:r>
          </w:p>
        </w:tc>
        <w:tc>
          <w:tcPr>
            <w:tcW w:w="1742" w:type="dxa"/>
            <w:noWrap w:val="0"/>
            <w:vAlign w:val="center"/>
          </w:tcPr>
          <w:p w14:paraId="7927EAF4">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乙方提供的其他服务</w:t>
            </w:r>
          </w:p>
        </w:tc>
        <w:tc>
          <w:tcPr>
            <w:tcW w:w="5170" w:type="dxa"/>
            <w:noWrap w:val="0"/>
            <w:vAlign w:val="center"/>
          </w:tcPr>
          <w:p w14:paraId="46A71EBD">
            <w:pPr>
              <w:adjustRightInd w:val="0"/>
              <w:snapToGrid w:val="0"/>
              <w:jc w:val="left"/>
              <w:rPr>
                <w:rFonts w:hint="eastAsia" w:ascii="微软雅黑" w:hAnsi="微软雅黑" w:eastAsia="微软雅黑" w:cs="微软雅黑"/>
                <w:szCs w:val="21"/>
              </w:rPr>
            </w:pPr>
          </w:p>
        </w:tc>
      </w:tr>
      <w:tr w14:paraId="2565B1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A0E25E4">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3E3C7686">
            <w:pPr>
              <w:adjustRightInd w:val="0"/>
              <w:snapToGrid w:val="0"/>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1款</w:t>
            </w:r>
          </w:p>
        </w:tc>
        <w:tc>
          <w:tcPr>
            <w:tcW w:w="1742" w:type="dxa"/>
            <w:noWrap w:val="0"/>
            <w:vAlign w:val="center"/>
          </w:tcPr>
          <w:p w14:paraId="2E57EF07">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color w:val="auto"/>
                <w:szCs w:val="21"/>
                <w:highlight w:val="none"/>
                <w:lang w:eastAsia="zh-CN"/>
              </w:rPr>
              <w:t>修理、重作、更换相关具体规定</w:t>
            </w:r>
          </w:p>
        </w:tc>
        <w:tc>
          <w:tcPr>
            <w:tcW w:w="5170" w:type="dxa"/>
            <w:noWrap w:val="0"/>
            <w:vAlign w:val="center"/>
          </w:tcPr>
          <w:p w14:paraId="1CF56C7B">
            <w:pPr>
              <w:adjustRightInd w:val="0"/>
              <w:snapToGrid w:val="0"/>
              <w:jc w:val="left"/>
              <w:rPr>
                <w:rFonts w:hint="eastAsia" w:ascii="微软雅黑" w:hAnsi="微软雅黑" w:eastAsia="微软雅黑" w:cs="微软雅黑"/>
                <w:szCs w:val="21"/>
              </w:rPr>
            </w:pPr>
          </w:p>
        </w:tc>
      </w:tr>
      <w:tr w14:paraId="3DDDE3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914CF59">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0D37C47">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.2（2）项</w:t>
            </w:r>
          </w:p>
        </w:tc>
        <w:tc>
          <w:tcPr>
            <w:tcW w:w="1742" w:type="dxa"/>
            <w:noWrap w:val="0"/>
            <w:vAlign w:val="center"/>
          </w:tcPr>
          <w:p w14:paraId="2E47C9DA">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迟延交货赔偿费</w:t>
            </w:r>
          </w:p>
        </w:tc>
        <w:tc>
          <w:tcPr>
            <w:tcW w:w="5170" w:type="dxa"/>
            <w:noWrap w:val="0"/>
            <w:vAlign w:val="center"/>
          </w:tcPr>
          <w:p w14:paraId="10D711B5">
            <w:pPr>
              <w:adjustRightInd w:val="0"/>
              <w:snapToGrid w:val="0"/>
              <w:jc w:val="left"/>
              <w:rPr>
                <w:rFonts w:hint="eastAsia" w:ascii="微软雅黑" w:hAnsi="微软雅黑" w:eastAsia="微软雅黑" w:cs="微软雅黑"/>
                <w:szCs w:val="21"/>
                <w:u w:val="single"/>
              </w:rPr>
            </w:pPr>
          </w:p>
        </w:tc>
      </w:tr>
      <w:tr w14:paraId="5FC7D7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E88DB8C">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5950AE01">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3款</w:t>
            </w:r>
          </w:p>
        </w:tc>
        <w:tc>
          <w:tcPr>
            <w:tcW w:w="1742" w:type="dxa"/>
            <w:noWrap w:val="0"/>
            <w:vAlign w:val="center"/>
          </w:tcPr>
          <w:p w14:paraId="39FC72B4">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逾期付款利息</w:t>
            </w:r>
          </w:p>
        </w:tc>
        <w:tc>
          <w:tcPr>
            <w:tcW w:w="5170" w:type="dxa"/>
            <w:noWrap w:val="0"/>
            <w:vAlign w:val="center"/>
          </w:tcPr>
          <w:p w14:paraId="33210755">
            <w:pPr>
              <w:adjustRightInd w:val="0"/>
              <w:snapToGrid w:val="0"/>
              <w:jc w:val="left"/>
              <w:rPr>
                <w:rFonts w:hint="eastAsia" w:ascii="微软雅黑" w:hAnsi="微软雅黑" w:eastAsia="微软雅黑" w:cs="微软雅黑"/>
                <w:szCs w:val="21"/>
                <w:u w:val="single"/>
              </w:rPr>
            </w:pPr>
          </w:p>
        </w:tc>
      </w:tr>
      <w:tr w14:paraId="4C2D5D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4555D3E7">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3AE1540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第1</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.4</w:t>
            </w:r>
            <w:r>
              <w:rPr>
                <w:rFonts w:hint="eastAsia" w:ascii="微软雅黑" w:hAnsi="微软雅黑" w:eastAsia="微软雅黑" w:cs="微软雅黑"/>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2E4D4505">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rPr>
              <w:t>其他违约责任</w:t>
            </w:r>
          </w:p>
        </w:tc>
        <w:tc>
          <w:tcPr>
            <w:tcW w:w="5170" w:type="dxa"/>
            <w:tcBorders>
              <w:left w:val="single" w:color="auto" w:sz="2" w:space="0"/>
              <w:bottom w:val="single" w:color="auto" w:sz="2" w:space="0"/>
            </w:tcBorders>
            <w:noWrap w:val="0"/>
            <w:vAlign w:val="center"/>
          </w:tcPr>
          <w:p w14:paraId="3AC4A659">
            <w:pPr>
              <w:adjustRightInd w:val="0"/>
              <w:snapToGrid w:val="0"/>
              <w:jc w:val="left"/>
              <w:rPr>
                <w:rFonts w:hint="eastAsia" w:ascii="微软雅黑" w:hAnsi="微软雅黑" w:eastAsia="微软雅黑" w:cs="微软雅黑"/>
                <w:szCs w:val="21"/>
                <w:u w:val="single"/>
              </w:rPr>
            </w:pPr>
          </w:p>
        </w:tc>
      </w:tr>
      <w:tr w14:paraId="6D2565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7434BA2A">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7BD5894E">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w:t>
            </w:r>
            <w:r>
              <w:rPr>
                <w:rFonts w:hint="eastAsia" w:ascii="微软雅黑" w:hAnsi="微软雅黑" w:eastAsia="微软雅黑" w:cs="微软雅黑"/>
                <w:szCs w:val="21"/>
                <w:lang w:val="en-US" w:eastAsia="zh-CN"/>
              </w:rPr>
              <w:t>19</w:t>
            </w:r>
            <w:r>
              <w:rPr>
                <w:rFonts w:hint="eastAsia" w:ascii="微软雅黑" w:hAnsi="微软雅黑" w:eastAsia="微软雅黑" w:cs="微软雅黑"/>
                <w:szCs w:val="21"/>
              </w:rPr>
              <w:t>.2</w:t>
            </w:r>
            <w:r>
              <w:rPr>
                <w:rFonts w:hint="eastAsia" w:ascii="微软雅黑" w:hAnsi="微软雅黑" w:eastAsia="微软雅黑" w:cs="微软雅黑"/>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02696701">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解决争议的方法</w:t>
            </w:r>
          </w:p>
        </w:tc>
        <w:tc>
          <w:tcPr>
            <w:tcW w:w="5170" w:type="dxa"/>
            <w:tcBorders>
              <w:top w:val="single" w:color="auto" w:sz="2" w:space="0"/>
              <w:left w:val="single" w:color="auto" w:sz="2" w:space="0"/>
            </w:tcBorders>
            <w:noWrap w:val="0"/>
            <w:vAlign w:val="center"/>
          </w:tcPr>
          <w:p w14:paraId="2643C6A3">
            <w:pPr>
              <w:autoSpaceDE w:val="0"/>
              <w:autoSpaceDN w:val="0"/>
              <w:adjustRightInd w:val="0"/>
              <w:snapToGrid w:val="0"/>
              <w:spacing w:line="400" w:lineRule="exact"/>
              <w:jc w:val="left"/>
              <w:rPr>
                <w:rFonts w:hint="eastAsia" w:ascii="微软雅黑" w:hAnsi="微软雅黑" w:eastAsia="微软雅黑" w:cs="微软雅黑"/>
                <w:b w:val="0"/>
                <w:bCs w:val="0"/>
                <w:iCs/>
                <w:szCs w:val="21"/>
              </w:rPr>
            </w:pPr>
            <w:r>
              <w:rPr>
                <w:rFonts w:hint="eastAsia" w:ascii="微软雅黑" w:hAnsi="微软雅黑" w:eastAsia="微软雅黑" w:cs="微软雅黑"/>
                <w:b w:val="0"/>
                <w:bCs w:val="0"/>
                <w:iCs/>
                <w:szCs w:val="21"/>
              </w:rPr>
              <w:t>因本合同及合同有关事项发生的争议，按下列第</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种方式解决：</w:t>
            </w:r>
          </w:p>
          <w:p w14:paraId="7B4F4550">
            <w:pPr>
              <w:autoSpaceDE w:val="0"/>
              <w:autoSpaceDN w:val="0"/>
              <w:adjustRightInd w:val="0"/>
              <w:snapToGrid w:val="0"/>
              <w:spacing w:line="400" w:lineRule="exact"/>
              <w:jc w:val="left"/>
              <w:rPr>
                <w:rFonts w:hint="eastAsia" w:ascii="微软雅黑" w:hAnsi="微软雅黑" w:eastAsia="微软雅黑" w:cs="微软雅黑"/>
                <w:b w:val="0"/>
                <w:bCs w:val="0"/>
                <w:iCs/>
                <w:szCs w:val="21"/>
              </w:rPr>
            </w:pPr>
            <w:r>
              <w:rPr>
                <w:rFonts w:hint="eastAsia" w:ascii="微软雅黑" w:hAnsi="微软雅黑" w:eastAsia="微软雅黑" w:cs="微软雅黑"/>
                <w:b w:val="0"/>
                <w:bCs w:val="0"/>
                <w:iCs/>
                <w:szCs w:val="21"/>
              </w:rPr>
              <w:t>（1）向</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仲裁委员会申请仲裁，仲裁地点为</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w:t>
            </w:r>
          </w:p>
          <w:p w14:paraId="2387E666">
            <w:pPr>
              <w:adjustRightInd w:val="0"/>
              <w:snapToGrid w:val="0"/>
              <w:ind w:firstLine="0" w:firstLineChars="0"/>
              <w:jc w:val="left"/>
              <w:rPr>
                <w:rFonts w:hint="eastAsia" w:ascii="微软雅黑" w:hAnsi="微软雅黑" w:eastAsia="微软雅黑" w:cs="微软雅黑"/>
                <w:szCs w:val="21"/>
                <w:u w:val="single"/>
              </w:rPr>
            </w:pPr>
            <w:r>
              <w:rPr>
                <w:rFonts w:hint="eastAsia" w:ascii="微软雅黑" w:hAnsi="微软雅黑" w:eastAsia="微软雅黑" w:cs="微软雅黑"/>
                <w:b w:val="0"/>
                <w:bCs w:val="0"/>
                <w:iCs/>
                <w:szCs w:val="21"/>
              </w:rPr>
              <w:t>（2）向</w:t>
            </w:r>
            <w:r>
              <w:rPr>
                <w:rFonts w:hint="eastAsia" w:ascii="微软雅黑" w:hAnsi="微软雅黑" w:eastAsia="微软雅黑" w:cs="微软雅黑"/>
                <w:b w:val="0"/>
                <w:bCs w:val="0"/>
                <w:iCs/>
                <w:szCs w:val="21"/>
                <w:u w:val="single"/>
              </w:rPr>
              <w:t xml:space="preserve">                    </w:t>
            </w:r>
            <w:r>
              <w:rPr>
                <w:rFonts w:hint="eastAsia" w:ascii="微软雅黑" w:hAnsi="微软雅黑" w:eastAsia="微软雅黑" w:cs="微软雅黑"/>
                <w:b w:val="0"/>
                <w:bCs w:val="0"/>
                <w:iCs/>
                <w:szCs w:val="21"/>
              </w:rPr>
              <w:t>人民法院起诉。</w:t>
            </w:r>
          </w:p>
        </w:tc>
      </w:tr>
      <w:tr w14:paraId="7522B9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7979ABA6">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第二节</w:t>
            </w:r>
          </w:p>
          <w:p w14:paraId="265E76C5">
            <w:pPr>
              <w:adjustRightInd w:val="0"/>
              <w:snapToGrid w:val="0"/>
              <w:jc w:val="center"/>
              <w:rPr>
                <w:rFonts w:hint="eastAsia" w:ascii="微软雅黑" w:hAnsi="微软雅黑" w:eastAsia="微软雅黑" w:cs="微软雅黑"/>
                <w:szCs w:val="21"/>
              </w:rPr>
            </w:pPr>
            <w:r>
              <w:rPr>
                <w:rFonts w:hint="eastAsia" w:ascii="微软雅黑" w:hAnsi="微软雅黑" w:eastAsia="微软雅黑" w:cs="微软雅黑"/>
                <w:szCs w:val="21"/>
              </w:rPr>
              <w:t>第2</w:t>
            </w:r>
            <w:r>
              <w:rPr>
                <w:rFonts w:hint="eastAsia" w:ascii="微软雅黑" w:hAnsi="微软雅黑" w:eastAsia="微软雅黑" w:cs="微软雅黑"/>
                <w:szCs w:val="21"/>
                <w:lang w:val="en-US" w:eastAsia="zh-CN"/>
              </w:rPr>
              <w:t>3.1</w:t>
            </w:r>
            <w:r>
              <w:rPr>
                <w:rFonts w:hint="eastAsia" w:ascii="微软雅黑" w:hAnsi="微软雅黑" w:eastAsia="微软雅黑" w:cs="微软雅黑"/>
                <w:szCs w:val="21"/>
                <w:lang w:eastAsia="zh-CN"/>
              </w:rPr>
              <w:t>款</w:t>
            </w:r>
          </w:p>
        </w:tc>
        <w:tc>
          <w:tcPr>
            <w:tcW w:w="1742" w:type="dxa"/>
            <w:noWrap w:val="0"/>
            <w:vAlign w:val="center"/>
          </w:tcPr>
          <w:p w14:paraId="4BF87670">
            <w:pPr>
              <w:adjustRightInd w:val="0"/>
              <w:snapToGrid w:val="0"/>
              <w:jc w:val="left"/>
              <w:rPr>
                <w:rFonts w:hint="eastAsia" w:ascii="微软雅黑" w:hAnsi="微软雅黑" w:eastAsia="微软雅黑" w:cs="微软雅黑"/>
                <w:szCs w:val="21"/>
              </w:rPr>
            </w:pPr>
            <w:r>
              <w:rPr>
                <w:rFonts w:hint="eastAsia" w:ascii="微软雅黑" w:hAnsi="微软雅黑" w:eastAsia="微软雅黑" w:cs="微软雅黑"/>
                <w:bCs/>
                <w:color w:val="auto"/>
                <w:szCs w:val="21"/>
                <w:highlight w:val="none"/>
                <w:lang w:eastAsia="zh-CN"/>
              </w:rPr>
              <w:t>其他专用条款</w:t>
            </w:r>
          </w:p>
        </w:tc>
        <w:tc>
          <w:tcPr>
            <w:tcW w:w="5170" w:type="dxa"/>
            <w:noWrap w:val="0"/>
            <w:vAlign w:val="center"/>
          </w:tcPr>
          <w:p w14:paraId="495D61D7">
            <w:pPr>
              <w:adjustRightInd w:val="0"/>
              <w:snapToGrid w:val="0"/>
              <w:jc w:val="left"/>
              <w:rPr>
                <w:rFonts w:hint="eastAsia" w:ascii="微软雅黑" w:hAnsi="微软雅黑" w:eastAsia="微软雅黑" w:cs="微软雅黑"/>
                <w:szCs w:val="21"/>
                <w:lang w:val="en-US" w:eastAsia="zh-CN"/>
              </w:rPr>
            </w:pPr>
          </w:p>
        </w:tc>
      </w:tr>
    </w:tbl>
    <w:p w14:paraId="26D7FD14">
      <w:pPr>
        <w:outlineLvl w:val="9"/>
        <w:rPr>
          <w:rFonts w:hint="eastAsia" w:ascii="微软雅黑" w:hAnsi="微软雅黑" w:eastAsia="微软雅黑" w:cs="微软雅黑"/>
          <w:color w:val="auto"/>
          <w:sz w:val="24"/>
          <w:szCs w:val="24"/>
          <w:highlight w:val="none"/>
        </w:rPr>
      </w:pPr>
    </w:p>
    <w:p w14:paraId="7EC7B186">
      <w:pPr>
        <w:keepNext w:val="0"/>
        <w:keepLines w:val="0"/>
        <w:pageBreakBefore w:val="0"/>
        <w:kinsoku/>
        <w:wordWrap/>
        <w:overflowPunct/>
        <w:topLinePunct w:val="0"/>
        <w:bidi w:val="0"/>
        <w:snapToGrid/>
        <w:spacing w:line="400" w:lineRule="exact"/>
        <w:textAlignment w:val="auto"/>
        <w:outlineLvl w:val="9"/>
        <w:rPr>
          <w:rFonts w:hint="eastAsia" w:ascii="宋体" w:hAnsi="宋体" w:eastAsia="宋体" w:cs="宋体"/>
          <w:color w:val="auto"/>
          <w:highlight w:val="none"/>
        </w:rPr>
      </w:pPr>
    </w:p>
    <w:p w14:paraId="048FCA6C">
      <w:pPr>
        <w:keepNext w:val="0"/>
        <w:keepLines w:val="0"/>
        <w:pageBreakBefore w:val="0"/>
        <w:kinsoku/>
        <w:wordWrap/>
        <w:overflowPunct/>
        <w:topLinePunct w:val="0"/>
        <w:bidi w:val="0"/>
        <w:snapToGrid/>
        <w:spacing w:line="400" w:lineRule="exact"/>
        <w:textAlignment w:val="auto"/>
      </w:pPr>
    </w:p>
    <w:sectPr>
      <w:headerReference r:id="rId5" w:type="default"/>
      <w:footerReference r:id="rId6" w:type="default"/>
      <w:pgSz w:w="11907" w:h="16840"/>
      <w:pgMar w:top="1474" w:right="1273" w:bottom="1474" w:left="1814"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02910E3-DBAA-4B6E-8B4E-5246DAAF12C9}"/>
  </w:font>
  <w:font w:name="Arial">
    <w:panose1 w:val="020B0604020202020204"/>
    <w:charset w:val="01"/>
    <w:family w:val="swiss"/>
    <w:pitch w:val="default"/>
    <w:sig w:usb0="E0002EFF" w:usb1="C000785B" w:usb2="00000009" w:usb3="00000000" w:csb0="400001FF" w:csb1="FFFF0000"/>
    <w:embedRegular r:id="rId2" w:fontKey="{C7753176-EDB6-4E54-BB31-C84EF872A36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4DEF7EA-DC73-446B-9040-04D109F9CFF9}"/>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embedRegular r:id="rId4" w:fontKey="{3C9F7B2F-7866-46A7-83A7-D24F70BCA8D1}"/>
  </w:font>
  <w:font w:name="楷体">
    <w:panose1 w:val="02010609060101010101"/>
    <w:charset w:val="86"/>
    <w:family w:val="auto"/>
    <w:pitch w:val="default"/>
    <w:sig w:usb0="800002BF" w:usb1="38CF7CFA" w:usb2="00000016" w:usb3="00000000" w:csb0="00040001" w:csb1="00000000"/>
    <w:embedRegular r:id="rId5" w:fontKey="{989D2687-FF40-4413-8F23-AF86D7D9142E}"/>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CA7DD">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6B5FF">
                          <w:pPr>
                            <w:pStyle w:val="13"/>
                          </w:pPr>
                          <w:r>
                            <w:t xml:space="preserve">— </w:t>
                          </w:r>
                          <w:r>
                            <w:fldChar w:fldCharType="begin"/>
                          </w:r>
                          <w:r>
                            <w:instrText xml:space="preserve"> PAGE  \* MERGEFORMAT </w:instrText>
                          </w:r>
                          <w:r>
                            <w:fldChar w:fldCharType="separate"/>
                          </w:r>
                          <w:r>
                            <w:t>6</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FF6B5FF">
                    <w:pPr>
                      <w:pStyle w:val="13"/>
                    </w:pPr>
                    <w:r>
                      <w:t xml:space="preserve">— </w:t>
                    </w:r>
                    <w:r>
                      <w:fldChar w:fldCharType="begin"/>
                    </w:r>
                    <w:r>
                      <w:instrText xml:space="preserve"> PAGE  \* MERGEFORMAT </w:instrText>
                    </w:r>
                    <w:r>
                      <w:fldChar w:fldCharType="separate"/>
                    </w:r>
                    <w:r>
                      <w:t>6</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45E70">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9A7FB">
                          <w:pPr>
                            <w:pStyle w:val="13"/>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3E9A7FB">
                    <w:pPr>
                      <w:pStyle w:val="13"/>
                    </w:pPr>
                    <w:r>
                      <w:fldChar w:fldCharType="begin"/>
                    </w:r>
                    <w:r>
                      <w:instrText xml:space="preserve"> PAGE  \* MERGEFORMAT </w:instrText>
                    </w:r>
                    <w:r>
                      <w:fldChar w:fldCharType="separate"/>
                    </w:r>
                    <w:r>
                      <w:t>69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4A7B4">
    <w:pPr>
      <w:pStyle w:val="14"/>
      <w:pBdr>
        <w:bottom w:val="double" w:color="auto" w:sz="8" w:space="1"/>
      </w:pBdr>
    </w:pPr>
    <w:r>
      <w:rPr>
        <w:rFonts w:hint="eastAsia" w:eastAsia="宋体"/>
        <w:lang w:eastAsia="zh-CN"/>
      </w:rPr>
      <w:drawing>
        <wp:anchor distT="0" distB="0" distL="114300" distR="114300" simplePos="0" relativeHeight="251660288" behindDoc="0" locked="0" layoutInCell="1" allowOverlap="1">
          <wp:simplePos x="0" y="0"/>
          <wp:positionH relativeFrom="column">
            <wp:posOffset>-56515</wp:posOffset>
          </wp:positionH>
          <wp:positionV relativeFrom="paragraph">
            <wp:posOffset>-290195</wp:posOffset>
          </wp:positionV>
          <wp:extent cx="1644015" cy="386715"/>
          <wp:effectExtent l="0" t="0" r="1905" b="9525"/>
          <wp:wrapTopAndBottom/>
          <wp:docPr id="6" name="图片 8" descr="261f7aca10d0d8084039fed5cf35b43"/>
          <wp:cNvGraphicFramePr/>
          <a:graphic xmlns:a="http://schemas.openxmlformats.org/drawingml/2006/main">
            <a:graphicData uri="http://schemas.openxmlformats.org/drawingml/2006/picture">
              <pic:pic xmlns:pic="http://schemas.openxmlformats.org/drawingml/2006/picture">
                <pic:nvPicPr>
                  <pic:cNvPr id="6" name="图片 8" descr="261f7aca10d0d8084039fed5cf35b43"/>
                  <pic:cNvPicPr/>
                </pic:nvPicPr>
                <pic:blipFill>
                  <a:blip r:embed="rId1">
                    <a:clrChange>
                      <a:clrFrom>
                        <a:srgbClr val="FFFFFF"/>
                      </a:clrFrom>
                      <a:clrTo>
                        <a:srgbClr val="FFFFFF">
                          <a:alpha val="0"/>
                        </a:srgbClr>
                      </a:clrTo>
                    </a:clrChange>
                  </a:blip>
                  <a:stretch>
                    <a:fillRect/>
                  </a:stretch>
                </pic:blipFill>
                <pic:spPr>
                  <a:xfrm>
                    <a:off x="0" y="0"/>
                    <a:ext cx="1644015" cy="38671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DDC39">
    <w:pPr>
      <w:pStyle w:val="14"/>
      <w:pBdr>
        <w:bottom w:val="double" w:color="auto" w:sz="8" w:space="0"/>
      </w:pBdr>
      <w:jc w:val="left"/>
    </w:pPr>
    <w:r>
      <w:rPr>
        <w:rFonts w:hint="eastAsia" w:eastAsia="宋体"/>
        <w:lang w:eastAsia="zh-CN"/>
      </w:rPr>
      <w:drawing>
        <wp:anchor distT="0" distB="0" distL="114300" distR="114300" simplePos="0" relativeHeight="251661312" behindDoc="0" locked="0" layoutInCell="1" allowOverlap="1">
          <wp:simplePos x="0" y="0"/>
          <wp:positionH relativeFrom="column">
            <wp:posOffset>-67310</wp:posOffset>
          </wp:positionH>
          <wp:positionV relativeFrom="paragraph">
            <wp:posOffset>-290195</wp:posOffset>
          </wp:positionV>
          <wp:extent cx="1644015" cy="386715"/>
          <wp:effectExtent l="0" t="0" r="1905" b="9525"/>
          <wp:wrapTopAndBottom/>
          <wp:docPr id="2" name="图片 8" descr="261f7aca10d0d8084039fed5cf35b43"/>
          <wp:cNvGraphicFramePr/>
          <a:graphic xmlns:a="http://schemas.openxmlformats.org/drawingml/2006/main">
            <a:graphicData uri="http://schemas.openxmlformats.org/drawingml/2006/picture">
              <pic:pic xmlns:pic="http://schemas.openxmlformats.org/drawingml/2006/picture">
                <pic:nvPicPr>
                  <pic:cNvPr id="2" name="图片 8" descr="261f7aca10d0d8084039fed5cf35b43"/>
                  <pic:cNvPicPr/>
                </pic:nvPicPr>
                <pic:blipFill>
                  <a:blip r:embed="rId1">
                    <a:clrChange>
                      <a:clrFrom>
                        <a:srgbClr val="FFFFFF"/>
                      </a:clrFrom>
                      <a:clrTo>
                        <a:srgbClr val="FFFFFF">
                          <a:alpha val="0"/>
                        </a:srgbClr>
                      </a:clrTo>
                    </a:clrChange>
                  </a:blip>
                  <a:stretch>
                    <a:fillRect/>
                  </a:stretch>
                </pic:blipFill>
                <pic:spPr>
                  <a:xfrm>
                    <a:off x="0" y="0"/>
                    <a:ext cx="1644015" cy="386715"/>
                  </a:xfrm>
                  <a:prstGeom prst="rect">
                    <a:avLst/>
                  </a:prstGeom>
                  <a:noFill/>
                  <a:ln>
                    <a:noFill/>
                  </a:ln>
                </pic:spPr>
              </pic:pic>
            </a:graphicData>
          </a:graphic>
        </wp:anchor>
      </w:drawing>
    </w:r>
  </w:p>
  <w:p w14:paraId="494E54B7">
    <w:pPr>
      <w:pStyle w:val="14"/>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7A0F6431"/>
    <w:multiLevelType w:val="singleLevel"/>
    <w:tmpl w:val="7A0F6431"/>
    <w:lvl w:ilvl="0" w:tentative="0">
      <w:start w:val="1"/>
      <w:numFmt w:val="decimal"/>
      <w:suff w:val="space"/>
      <w:lvlText w:val="%1."/>
      <w:lvlJc w:val="left"/>
    </w:lvl>
  </w:abstractNum>
  <w:num w:numId="1">
    <w:abstractNumId w:val="6"/>
  </w:num>
  <w:num w:numId="2">
    <w:abstractNumId w:val="1"/>
  </w:num>
  <w:num w:numId="3">
    <w:abstractNumId w:val="5"/>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jYTM3ZDQ1N2M4MmM3ZmY2OGIxOThmYTRjNjk1ZDMifQ=="/>
  </w:docVars>
  <w:rsids>
    <w:rsidRoot w:val="00000000"/>
    <w:rsid w:val="000E3FC3"/>
    <w:rsid w:val="02704AC6"/>
    <w:rsid w:val="027F5138"/>
    <w:rsid w:val="02810265"/>
    <w:rsid w:val="02D172CE"/>
    <w:rsid w:val="02E35293"/>
    <w:rsid w:val="02F3677C"/>
    <w:rsid w:val="030E7E36"/>
    <w:rsid w:val="035A2E3C"/>
    <w:rsid w:val="056F1060"/>
    <w:rsid w:val="05DE6ECE"/>
    <w:rsid w:val="06576F9B"/>
    <w:rsid w:val="07697D31"/>
    <w:rsid w:val="09B2776D"/>
    <w:rsid w:val="0A12645E"/>
    <w:rsid w:val="0A195A3E"/>
    <w:rsid w:val="0A4C661C"/>
    <w:rsid w:val="0AA73EE5"/>
    <w:rsid w:val="0AAB1D2A"/>
    <w:rsid w:val="0ADB5A7E"/>
    <w:rsid w:val="0B823340"/>
    <w:rsid w:val="0BFF2A12"/>
    <w:rsid w:val="0C5458B2"/>
    <w:rsid w:val="0D7116ED"/>
    <w:rsid w:val="0D844D19"/>
    <w:rsid w:val="0EC35A5A"/>
    <w:rsid w:val="10D26947"/>
    <w:rsid w:val="11366ED6"/>
    <w:rsid w:val="120212A3"/>
    <w:rsid w:val="12365993"/>
    <w:rsid w:val="13B30CB1"/>
    <w:rsid w:val="13F05A62"/>
    <w:rsid w:val="14973315"/>
    <w:rsid w:val="149A4376"/>
    <w:rsid w:val="15AA2158"/>
    <w:rsid w:val="17231CAA"/>
    <w:rsid w:val="17D905BB"/>
    <w:rsid w:val="181342F7"/>
    <w:rsid w:val="190E24E6"/>
    <w:rsid w:val="193F08F1"/>
    <w:rsid w:val="194752D4"/>
    <w:rsid w:val="19687E48"/>
    <w:rsid w:val="1A3D7527"/>
    <w:rsid w:val="1C515E33"/>
    <w:rsid w:val="1CD87093"/>
    <w:rsid w:val="1D74500E"/>
    <w:rsid w:val="1D921938"/>
    <w:rsid w:val="1DBC7AB5"/>
    <w:rsid w:val="1DD43CFE"/>
    <w:rsid w:val="1E4A5D6E"/>
    <w:rsid w:val="1E51362D"/>
    <w:rsid w:val="20915ED7"/>
    <w:rsid w:val="21005974"/>
    <w:rsid w:val="234611FA"/>
    <w:rsid w:val="242A0B1C"/>
    <w:rsid w:val="24392523"/>
    <w:rsid w:val="246E5D54"/>
    <w:rsid w:val="249066B4"/>
    <w:rsid w:val="24B76603"/>
    <w:rsid w:val="253F0791"/>
    <w:rsid w:val="25B85CB3"/>
    <w:rsid w:val="25D52D09"/>
    <w:rsid w:val="25FC3DF2"/>
    <w:rsid w:val="260A6FE8"/>
    <w:rsid w:val="2658667D"/>
    <w:rsid w:val="26B532BF"/>
    <w:rsid w:val="27187EB1"/>
    <w:rsid w:val="27F54F9D"/>
    <w:rsid w:val="28E31299"/>
    <w:rsid w:val="29995DFC"/>
    <w:rsid w:val="29D07A70"/>
    <w:rsid w:val="2A685EFA"/>
    <w:rsid w:val="2A7C19A5"/>
    <w:rsid w:val="2A7F27EA"/>
    <w:rsid w:val="2B675F20"/>
    <w:rsid w:val="2B8704EF"/>
    <w:rsid w:val="2BA3741E"/>
    <w:rsid w:val="2CD31625"/>
    <w:rsid w:val="2CFF066C"/>
    <w:rsid w:val="2D594220"/>
    <w:rsid w:val="2D60110A"/>
    <w:rsid w:val="2DFD104F"/>
    <w:rsid w:val="2E0C2477"/>
    <w:rsid w:val="2F0F1E74"/>
    <w:rsid w:val="2F713371"/>
    <w:rsid w:val="30124AE0"/>
    <w:rsid w:val="301A33BC"/>
    <w:rsid w:val="305B02AF"/>
    <w:rsid w:val="30683E50"/>
    <w:rsid w:val="30AB6B41"/>
    <w:rsid w:val="31552F50"/>
    <w:rsid w:val="31903F88"/>
    <w:rsid w:val="31AB2B70"/>
    <w:rsid w:val="329E4FF3"/>
    <w:rsid w:val="32B759A1"/>
    <w:rsid w:val="32D0288E"/>
    <w:rsid w:val="33AB6E58"/>
    <w:rsid w:val="33CA229E"/>
    <w:rsid w:val="35581269"/>
    <w:rsid w:val="37717115"/>
    <w:rsid w:val="386073C0"/>
    <w:rsid w:val="39904B26"/>
    <w:rsid w:val="3A3173BE"/>
    <w:rsid w:val="3A9D6DFE"/>
    <w:rsid w:val="3B0A0908"/>
    <w:rsid w:val="3C2D6FA3"/>
    <w:rsid w:val="3C3945D7"/>
    <w:rsid w:val="3CB11983"/>
    <w:rsid w:val="3CC46AB8"/>
    <w:rsid w:val="3D001AEE"/>
    <w:rsid w:val="3D473A54"/>
    <w:rsid w:val="3DCD5B9A"/>
    <w:rsid w:val="3DF37D79"/>
    <w:rsid w:val="3E1B1B0E"/>
    <w:rsid w:val="3F23643C"/>
    <w:rsid w:val="42154762"/>
    <w:rsid w:val="426C3C56"/>
    <w:rsid w:val="42AC04F6"/>
    <w:rsid w:val="42C30598"/>
    <w:rsid w:val="43050ED6"/>
    <w:rsid w:val="435E5C94"/>
    <w:rsid w:val="43754D8C"/>
    <w:rsid w:val="43FC5E58"/>
    <w:rsid w:val="44DC0EBA"/>
    <w:rsid w:val="44E26451"/>
    <w:rsid w:val="44EE3419"/>
    <w:rsid w:val="45C049E4"/>
    <w:rsid w:val="45D87F80"/>
    <w:rsid w:val="45E5444B"/>
    <w:rsid w:val="45EE77A4"/>
    <w:rsid w:val="461C02D1"/>
    <w:rsid w:val="46234F92"/>
    <w:rsid w:val="469D6B77"/>
    <w:rsid w:val="46A77EE2"/>
    <w:rsid w:val="46DC75FC"/>
    <w:rsid w:val="48043633"/>
    <w:rsid w:val="4832149E"/>
    <w:rsid w:val="48F30C2D"/>
    <w:rsid w:val="496274DF"/>
    <w:rsid w:val="49892A30"/>
    <w:rsid w:val="49A32653"/>
    <w:rsid w:val="4AA76173"/>
    <w:rsid w:val="4BE11211"/>
    <w:rsid w:val="4BEA4CB0"/>
    <w:rsid w:val="4C066EC9"/>
    <w:rsid w:val="4C303F46"/>
    <w:rsid w:val="4DA86F92"/>
    <w:rsid w:val="4DD5087C"/>
    <w:rsid w:val="4E0631B0"/>
    <w:rsid w:val="4EB64BD7"/>
    <w:rsid w:val="4EF23735"/>
    <w:rsid w:val="4F594F5C"/>
    <w:rsid w:val="4FA63C97"/>
    <w:rsid w:val="4FDC241B"/>
    <w:rsid w:val="50EC2B32"/>
    <w:rsid w:val="51C82A3A"/>
    <w:rsid w:val="51E0194E"/>
    <w:rsid w:val="520774F7"/>
    <w:rsid w:val="526D2419"/>
    <w:rsid w:val="52974D1F"/>
    <w:rsid w:val="52B2697B"/>
    <w:rsid w:val="52F1546C"/>
    <w:rsid w:val="531225F7"/>
    <w:rsid w:val="532D1275"/>
    <w:rsid w:val="5450222F"/>
    <w:rsid w:val="54981761"/>
    <w:rsid w:val="55A90FF1"/>
    <w:rsid w:val="55FD30EB"/>
    <w:rsid w:val="57194F71"/>
    <w:rsid w:val="575413CC"/>
    <w:rsid w:val="57902ABF"/>
    <w:rsid w:val="592A16CF"/>
    <w:rsid w:val="593C5E0D"/>
    <w:rsid w:val="595175DE"/>
    <w:rsid w:val="5A6B2D19"/>
    <w:rsid w:val="5B785CC2"/>
    <w:rsid w:val="5B8B4C4D"/>
    <w:rsid w:val="5D0B4AEB"/>
    <w:rsid w:val="5D35760E"/>
    <w:rsid w:val="5D4F0ABC"/>
    <w:rsid w:val="5D7E3710"/>
    <w:rsid w:val="5D9562FF"/>
    <w:rsid w:val="5DAF5613"/>
    <w:rsid w:val="5DFB3B55"/>
    <w:rsid w:val="5E681246"/>
    <w:rsid w:val="5E810B1D"/>
    <w:rsid w:val="5E893A6A"/>
    <w:rsid w:val="5ECE1AC8"/>
    <w:rsid w:val="5F180F96"/>
    <w:rsid w:val="60392ADF"/>
    <w:rsid w:val="60852569"/>
    <w:rsid w:val="612E4AA0"/>
    <w:rsid w:val="61BF394A"/>
    <w:rsid w:val="628F156F"/>
    <w:rsid w:val="629512F3"/>
    <w:rsid w:val="62EF64B1"/>
    <w:rsid w:val="63FF0976"/>
    <w:rsid w:val="640B731B"/>
    <w:rsid w:val="649564C9"/>
    <w:rsid w:val="65744A4C"/>
    <w:rsid w:val="65AE4402"/>
    <w:rsid w:val="65C62B98"/>
    <w:rsid w:val="65D26342"/>
    <w:rsid w:val="65EC326E"/>
    <w:rsid w:val="663E687D"/>
    <w:rsid w:val="66B35C73"/>
    <w:rsid w:val="672A3F5C"/>
    <w:rsid w:val="67650AF0"/>
    <w:rsid w:val="68012F0F"/>
    <w:rsid w:val="68BB130F"/>
    <w:rsid w:val="69CC12FA"/>
    <w:rsid w:val="6A232E0D"/>
    <w:rsid w:val="6C740136"/>
    <w:rsid w:val="6CD94515"/>
    <w:rsid w:val="6E20671F"/>
    <w:rsid w:val="6E5A6ED5"/>
    <w:rsid w:val="6EC10BAA"/>
    <w:rsid w:val="6F945ADC"/>
    <w:rsid w:val="70041D30"/>
    <w:rsid w:val="71381023"/>
    <w:rsid w:val="721F5E63"/>
    <w:rsid w:val="730E64E0"/>
    <w:rsid w:val="7363682B"/>
    <w:rsid w:val="73C24F96"/>
    <w:rsid w:val="74251D33"/>
    <w:rsid w:val="756467EF"/>
    <w:rsid w:val="757A4300"/>
    <w:rsid w:val="77FE04E7"/>
    <w:rsid w:val="79283222"/>
    <w:rsid w:val="796C5D0E"/>
    <w:rsid w:val="79BA116F"/>
    <w:rsid w:val="7B167B29"/>
    <w:rsid w:val="7B1D5512"/>
    <w:rsid w:val="7C050C72"/>
    <w:rsid w:val="7D6513F2"/>
    <w:rsid w:val="7D6F02BD"/>
    <w:rsid w:val="7DC335C2"/>
    <w:rsid w:val="7E2E5C88"/>
    <w:rsid w:val="7F1F3426"/>
    <w:rsid w:val="7F2E4931"/>
    <w:rsid w:val="7F54171E"/>
    <w:rsid w:val="7F7233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5"/>
    <w:qFormat/>
    <w:uiPriority w:val="0"/>
    <w:pPr>
      <w:keepNext/>
      <w:keepLines/>
      <w:autoSpaceDE w:val="0"/>
      <w:autoSpaceDN w:val="0"/>
      <w:adjustRightInd w:val="0"/>
      <w:spacing w:before="240" w:after="120" w:line="300" w:lineRule="auto"/>
      <w:jc w:val="center"/>
      <w:outlineLvl w:val="0"/>
    </w:pPr>
    <w:rPr>
      <w:rFonts w:ascii="宋体"/>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qFormat/>
    <w:uiPriority w:val="0"/>
    <w:pPr>
      <w:spacing w:before="360" w:after="120"/>
      <w:jc w:val="left"/>
      <w:outlineLvl w:val="2"/>
    </w:pPr>
    <w:rPr>
      <w:rFonts w:ascii="宋体" w:hAnsi="Times New Roman" w:eastAsia="宋体"/>
      <w:sz w:val="24"/>
      <w:u w:val="single"/>
    </w:rPr>
  </w:style>
  <w:style w:type="paragraph" w:styleId="6">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表格文字"/>
    <w:basedOn w:val="1"/>
    <w:autoRedefine/>
    <w:qFormat/>
    <w:uiPriority w:val="0"/>
    <w:pPr>
      <w:spacing w:before="25" w:after="25"/>
      <w:jc w:val="left"/>
    </w:pPr>
    <w:rPr>
      <w:bCs/>
      <w:spacing w:val="10"/>
      <w:kern w:val="0"/>
      <w:sz w:val="24"/>
    </w:rPr>
  </w:style>
  <w:style w:type="paragraph" w:styleId="7">
    <w:name w:val="Normal Indent"/>
    <w:basedOn w:val="1"/>
    <w:next w:val="8"/>
    <w:qFormat/>
    <w:uiPriority w:val="0"/>
    <w:pPr>
      <w:autoSpaceDE w:val="0"/>
      <w:autoSpaceDN w:val="0"/>
      <w:adjustRightInd w:val="0"/>
      <w:ind w:firstLine="420"/>
      <w:jc w:val="left"/>
    </w:pPr>
    <w:rPr>
      <w:rFonts w:ascii="宋体" w:hAnsi="Times New Roman"/>
      <w:kern w:val="0"/>
      <w:sz w:val="24"/>
      <w:szCs w:val="20"/>
    </w:rPr>
  </w:style>
  <w:style w:type="paragraph" w:styleId="8">
    <w:name w:val="toa heading"/>
    <w:basedOn w:val="1"/>
    <w:next w:val="1"/>
    <w:qFormat/>
    <w:uiPriority w:val="0"/>
    <w:pPr>
      <w:widowControl/>
      <w:spacing w:before="120"/>
      <w:ind w:firstLine="3584"/>
    </w:pPr>
  </w:style>
  <w:style w:type="paragraph" w:styleId="9">
    <w:name w:val="Body Text"/>
    <w:basedOn w:val="1"/>
    <w:next w:val="1"/>
    <w:qFormat/>
    <w:uiPriority w:val="0"/>
    <w:pPr>
      <w:tabs>
        <w:tab w:val="left" w:pos="567"/>
      </w:tabs>
      <w:spacing w:before="120" w:line="22" w:lineRule="atLeast"/>
    </w:pPr>
    <w:rPr>
      <w:rFonts w:ascii="宋体" w:hAnsi="宋体"/>
      <w:sz w:val="24"/>
    </w:rPr>
  </w:style>
  <w:style w:type="paragraph" w:styleId="10">
    <w:name w:val="Body Text Indent"/>
    <w:basedOn w:val="1"/>
    <w:qFormat/>
    <w:uiPriority w:val="0"/>
    <w:pPr>
      <w:spacing w:line="360" w:lineRule="auto"/>
      <w:ind w:firstLine="570"/>
    </w:pPr>
    <w:rPr>
      <w:rFonts w:ascii="Times New Roman" w:hAnsi="Times New Roman"/>
      <w:sz w:val="24"/>
    </w:r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szCs w:val="20"/>
    </w:rPr>
  </w:style>
  <w:style w:type="paragraph" w:styleId="13">
    <w:name w:val="footer"/>
    <w:basedOn w:val="1"/>
    <w:qFormat/>
    <w:uiPriority w:val="0"/>
    <w:pPr>
      <w:tabs>
        <w:tab w:val="center" w:pos="4153"/>
        <w:tab w:val="right" w:pos="8306"/>
      </w:tabs>
      <w:autoSpaceDE w:val="0"/>
      <w:autoSpaceDN w:val="0"/>
      <w:adjustRightInd w:val="0"/>
      <w:snapToGrid w:val="0"/>
      <w:jc w:val="left"/>
    </w:pPr>
    <w:rPr>
      <w:rFonts w:ascii="宋体" w:hAnsi="Times New Roman"/>
      <w:kern w:val="0"/>
      <w:sz w:val="18"/>
      <w:szCs w:val="20"/>
    </w:rPr>
  </w:style>
  <w:style w:type="paragraph" w:styleId="14">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5">
    <w:name w:val="toc 1"/>
    <w:basedOn w:val="1"/>
    <w:next w:val="1"/>
    <w:qFormat/>
    <w:uiPriority w:val="0"/>
    <w:rPr>
      <w:rFonts w:ascii="Times New Roman" w:hAnsi="Times New Roman"/>
    </w:rPr>
  </w:style>
  <w:style w:type="paragraph" w:styleId="16">
    <w:name w:val="footnote text"/>
    <w:basedOn w:val="1"/>
    <w:next w:val="9"/>
    <w:qFormat/>
    <w:uiPriority w:val="0"/>
    <w:pPr>
      <w:snapToGrid w:val="0"/>
      <w:jc w:val="left"/>
    </w:pPr>
    <w:rPr>
      <w:rFonts w:ascii="Times New Roman" w:hAnsi="Times New Roman"/>
      <w:sz w:val="18"/>
    </w:rPr>
  </w:style>
  <w:style w:type="paragraph" w:styleId="17">
    <w:name w:val="toc 2"/>
    <w:basedOn w:val="1"/>
    <w:next w:val="1"/>
    <w:qFormat/>
    <w:uiPriority w:val="0"/>
    <w:pPr>
      <w:ind w:left="420" w:leftChars="200"/>
    </w:pPr>
    <w:rPr>
      <w:rFonts w:ascii="Times New Roman" w:hAnsi="Times New Roman"/>
    </w:rPr>
  </w:style>
  <w:style w:type="paragraph" w:styleId="18">
    <w:name w:val="Normal (Web)"/>
    <w:basedOn w:val="1"/>
    <w:qFormat/>
    <w:uiPriority w:val="0"/>
    <w:pPr>
      <w:spacing w:beforeAutospacing="1" w:afterAutospacing="1"/>
      <w:jc w:val="left"/>
    </w:pPr>
    <w:rPr>
      <w:kern w:val="0"/>
      <w:sz w:val="24"/>
    </w:rPr>
  </w:style>
  <w:style w:type="paragraph" w:styleId="19">
    <w:name w:val="Body Text First Indent"/>
    <w:basedOn w:val="9"/>
    <w:next w:val="1"/>
    <w:qFormat/>
    <w:uiPriority w:val="0"/>
    <w:pPr>
      <w:spacing w:after="120" w:line="240" w:lineRule="auto"/>
      <w:ind w:firstLine="420" w:firstLineChars="100"/>
    </w:pPr>
    <w:rPr>
      <w:rFonts w:ascii="Calibri" w:hAnsi="Calibri"/>
      <w:sz w:val="18"/>
      <w:szCs w:val="18"/>
    </w:rPr>
  </w:style>
  <w:style w:type="paragraph" w:styleId="20">
    <w:name w:val="Body Text First Indent 2"/>
    <w:basedOn w:val="10"/>
    <w:next w:val="7"/>
    <w:qFormat/>
    <w:uiPriority w:val="0"/>
    <w:pPr>
      <w:ind w:firstLine="420" w:firstLineChars="2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character" w:customStyle="1" w:styleId="25">
    <w:name w:val="标题 1 Char"/>
    <w:link w:val="3"/>
    <w:qFormat/>
    <w:uiPriority w:val="0"/>
    <w:rPr>
      <w:rFonts w:ascii="宋体"/>
      <w:kern w:val="44"/>
      <w:sz w:val="32"/>
      <w:szCs w:val="20"/>
    </w:rPr>
  </w:style>
  <w:style w:type="paragraph" w:customStyle="1" w:styleId="26">
    <w:name w:val="普通(网站)1"/>
    <w:basedOn w:val="1"/>
    <w:qFormat/>
    <w:uiPriority w:val="2"/>
    <w:pPr>
      <w:spacing w:before="75" w:after="75"/>
      <w:ind w:left="0" w:right="0" w:firstLine="0"/>
      <w:jc w:val="left"/>
    </w:pPr>
    <w:rPr>
      <w:kern w:val="0"/>
      <w:sz w:val="24"/>
      <w:lang w:val="en-US" w:eastAsia="zh-CN" w:bidi="ar"/>
    </w:rPr>
  </w:style>
  <w:style w:type="paragraph" w:customStyle="1" w:styleId="27">
    <w:name w:val="列出段落1"/>
    <w:basedOn w:val="1"/>
    <w:qFormat/>
    <w:uiPriority w:val="0"/>
    <w:pPr>
      <w:ind w:firstLine="420" w:firstLineChars="200"/>
    </w:pPr>
  </w:style>
  <w:style w:type="paragraph" w:customStyle="1" w:styleId="28">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29">
    <w:name w:val="索引 11"/>
    <w:basedOn w:val="1"/>
    <w:next w:val="1"/>
    <w:qFormat/>
    <w:uiPriority w:val="0"/>
    <w:pPr>
      <w:spacing w:line="360" w:lineRule="auto"/>
    </w:pPr>
    <w:rPr>
      <w:rFonts w:ascii="仿宋_GB2312" w:eastAsia="仿宋_GB2312"/>
      <w:sz w:val="24"/>
      <w:szCs w:val="20"/>
    </w:rPr>
  </w:style>
  <w:style w:type="paragraph" w:customStyle="1" w:styleId="30">
    <w:name w:val="纯文本1"/>
    <w:basedOn w:val="1"/>
    <w:qFormat/>
    <w:uiPriority w:val="0"/>
    <w:rPr>
      <w:rFonts w:ascii="宋体" w:hAnsi="Courier New"/>
      <w:kern w:val="0"/>
      <w:sz w:val="20"/>
      <w:szCs w:val="20"/>
    </w:rPr>
  </w:style>
  <w:style w:type="paragraph" w:customStyle="1" w:styleId="3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52711</Words>
  <Characters>56946</Characters>
  <Lines>0</Lines>
  <Paragraphs>0</Paragraphs>
  <TotalTime>13</TotalTime>
  <ScaleCrop>false</ScaleCrop>
  <LinksUpToDate>false</LinksUpToDate>
  <CharactersWithSpaces>62925</CharactersWithSpaces>
  <Application>WPS Office_12.1.0.18345_F1E327BC-269C-435d-A152-05C5408002CA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2023-10-23T05:34:00Z</dcterms:created>
  <dc:creator>Administrator</dc:creator>
  <cp:lastModifiedBy>总要快乐、</cp:lastModifiedBy>
  <dcterms:modified xsi:type="dcterms:W3CDTF">2024-10-31T05:45:28Z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2052-12.1.0.18345</vt:lpwstr>
  </property>
  <property fmtid="{D5CDD505-2E9C-101B-9397-08002B2CF9AE}" pid="3" name="ICV">
    <vt:lpwstr>8F340CF082E94048B1C6D7030332F912_13</vt:lpwstr>
  </property>
</Properties>
</file>