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067A6">
      <w:pPr>
        <w:spacing w:before="240" w:beforeLines="100" w:after="240" w:afterLines="100" w:line="240" w:lineRule="atLeast"/>
        <w:jc w:val="center"/>
        <w:rPr>
          <w:rFonts w:ascii="方正小标宋_GBK" w:hAnsi="方正小标宋_GBK" w:eastAsia="方正小标宋_GBK" w:cs="方正小标宋_GBK"/>
          <w:b/>
          <w:sz w:val="44"/>
          <w:szCs w:val="44"/>
        </w:rPr>
      </w:pPr>
      <w:r>
        <w:rPr>
          <w:rFonts w:ascii="方正小标宋_GBK" w:hAnsi="方正小标宋_GBK" w:eastAsia="方正小标宋_GBK" w:cs="方正小标宋_GBK"/>
          <w:b/>
          <w:sz w:val="44"/>
          <w:szCs w:val="44"/>
        </w:rPr>
        <w:t>莎车县人民医院信息化绩效核算平台</w:t>
      </w:r>
    </w:p>
    <w:p w14:paraId="6A687B5F">
      <w:pPr>
        <w:spacing w:before="240" w:beforeLines="100" w:after="240" w:afterLines="100" w:line="240" w:lineRule="atLeast"/>
        <w:jc w:val="center"/>
        <w:rPr>
          <w:rFonts w:ascii="方正小标宋_GBK" w:hAnsi="方正小标宋_GBK" w:eastAsia="方正小标宋_GBK" w:cs="方正小标宋_GBK"/>
          <w:b/>
          <w:sz w:val="44"/>
          <w:szCs w:val="44"/>
        </w:rPr>
      </w:pPr>
      <w:r>
        <w:rPr>
          <w:rFonts w:ascii="方正小标宋_GBK" w:hAnsi="方正小标宋_GBK" w:eastAsia="方正小标宋_GBK" w:cs="方正小标宋_GBK"/>
          <w:b/>
          <w:sz w:val="44"/>
          <w:szCs w:val="44"/>
        </w:rPr>
        <w:t>采购项目</w:t>
      </w:r>
      <w:r>
        <w:rPr>
          <w:rFonts w:hint="eastAsia" w:ascii="方正小标宋_GBK" w:hAnsi="方正小标宋_GBK" w:eastAsia="方正小标宋_GBK" w:cs="方正小标宋_GBK"/>
          <w:b/>
          <w:sz w:val="44"/>
          <w:szCs w:val="44"/>
        </w:rPr>
        <w:t>竞争性磋商文件</w:t>
      </w:r>
    </w:p>
    <w:p w14:paraId="606818EE">
      <w:pPr>
        <w:pStyle w:val="12"/>
        <w:topLinePunct/>
        <w:spacing w:before="57" w:line="224" w:lineRule="auto"/>
        <w:jc w:val="center"/>
        <w:outlineLvl w:val="0"/>
        <w:rPr>
          <w:rFonts w:ascii="方正小标宋简体" w:hAnsi="方正小标宋简体" w:eastAsia="方正小标宋简体" w:cs="方正小标宋简体"/>
          <w:spacing w:val="5"/>
          <w:sz w:val="32"/>
          <w:szCs w:val="32"/>
        </w:rPr>
      </w:pPr>
      <w:bookmarkStart w:id="0" w:name="_Toc14602"/>
    </w:p>
    <w:p w14:paraId="64845055">
      <w:pPr>
        <w:pStyle w:val="12"/>
        <w:topLinePunct/>
        <w:spacing w:before="57" w:line="224" w:lineRule="auto"/>
        <w:jc w:val="center"/>
        <w:outlineLvl w:val="0"/>
        <w:rPr>
          <w:rFonts w:ascii="方正小标宋简体" w:hAnsi="方正小标宋简体" w:eastAsia="方正小标宋简体" w:cs="方正小标宋简体"/>
          <w:spacing w:val="5"/>
          <w:sz w:val="32"/>
          <w:szCs w:val="32"/>
        </w:rPr>
      </w:pPr>
    </w:p>
    <w:p w14:paraId="2DA70AB1">
      <w:pPr>
        <w:pStyle w:val="48"/>
        <w:rPr>
          <w:rFonts w:ascii="方正小标宋简体" w:hAnsi="方正小标宋简体" w:eastAsia="方正小标宋简体" w:cs="方正小标宋简体"/>
          <w:sz w:val="32"/>
          <w:szCs w:val="32"/>
        </w:rPr>
      </w:pPr>
    </w:p>
    <w:p w14:paraId="6DE531F1">
      <w:pPr>
        <w:pStyle w:val="12"/>
        <w:topLinePunct/>
        <w:spacing w:before="57" w:line="224" w:lineRule="auto"/>
        <w:jc w:val="center"/>
        <w:outlineLvl w:val="0"/>
        <w:rPr>
          <w:rFonts w:ascii="方正小标宋_GBK" w:hAnsi="方正小标宋_GBK" w:eastAsia="方正小标宋_GBK" w:cs="方正小标宋_GBK"/>
          <w:b/>
          <w:bCs/>
          <w:sz w:val="36"/>
          <w:szCs w:val="36"/>
        </w:rPr>
      </w:pPr>
      <w:bookmarkStart w:id="1" w:name="_Toc20705"/>
      <w:bookmarkStart w:id="2" w:name="_Toc4344"/>
      <w:r>
        <w:rPr>
          <w:rFonts w:hint="eastAsia" w:ascii="方正小标宋_GBK" w:hAnsi="方正小标宋_GBK" w:eastAsia="方正小标宋_GBK" w:cs="方正小标宋_GBK"/>
          <w:b/>
          <w:bCs/>
          <w:spacing w:val="5"/>
          <w:sz w:val="36"/>
          <w:szCs w:val="36"/>
        </w:rPr>
        <w:t>【电子评标】</w:t>
      </w:r>
      <w:bookmarkEnd w:id="0"/>
      <w:bookmarkEnd w:id="1"/>
      <w:bookmarkEnd w:id="2"/>
    </w:p>
    <w:p w14:paraId="6A2E6225">
      <w:pPr>
        <w:pStyle w:val="6"/>
        <w:rPr>
          <w:rFonts w:ascii="方正小标宋简体" w:hAnsi="方正小标宋简体" w:eastAsia="方正小标宋简体" w:cs="方正小标宋简体"/>
          <w:sz w:val="32"/>
          <w:szCs w:val="32"/>
        </w:rPr>
      </w:pPr>
    </w:p>
    <w:p w14:paraId="29EF96ED">
      <w:pPr>
        <w:pStyle w:val="6"/>
        <w:rPr>
          <w:rFonts w:ascii="方正小标宋简体" w:hAnsi="方正小标宋简体" w:eastAsia="方正小标宋简体" w:cs="方正小标宋简体"/>
          <w:sz w:val="32"/>
          <w:szCs w:val="32"/>
        </w:rPr>
      </w:pPr>
    </w:p>
    <w:p w14:paraId="61978333">
      <w:pPr>
        <w:rPr>
          <w:rFonts w:ascii="方正小标宋简体" w:hAnsi="方正小标宋简体" w:eastAsia="方正小标宋简体" w:cs="方正小标宋简体"/>
          <w:sz w:val="32"/>
          <w:szCs w:val="32"/>
        </w:rPr>
      </w:pPr>
    </w:p>
    <w:p w14:paraId="4C1C29FA">
      <w:pPr>
        <w:pStyle w:val="12"/>
        <w:topLinePunct/>
        <w:spacing w:before="0" w:line="560" w:lineRule="exact"/>
        <w:ind w:firstLine="1265" w:firstLineChars="400"/>
        <w:rPr>
          <w:rFonts w:ascii="Times New Roman" w:hAnsi="Times New Roman" w:eastAsia="方正小标宋_GBK"/>
          <w:b/>
          <w:bCs/>
          <w:spacing w:val="-2"/>
          <w:sz w:val="32"/>
          <w:szCs w:val="32"/>
        </w:rPr>
      </w:pPr>
      <w:r>
        <w:rPr>
          <w:rFonts w:ascii="Times New Roman" w:hAnsi="Times New Roman" w:eastAsia="方正小标宋_GBK"/>
          <w:b/>
          <w:bCs/>
          <w:spacing w:val="-2"/>
          <w:sz w:val="32"/>
          <w:szCs w:val="32"/>
        </w:rPr>
        <w:t xml:space="preserve">项目编号：   </w:t>
      </w:r>
      <w:r>
        <w:rPr>
          <w:rFonts w:ascii="Times New Roman" w:hAnsi="Times New Roman" w:eastAsia="方正小标宋_GBK"/>
          <w:spacing w:val="-2"/>
          <w:sz w:val="32"/>
          <w:szCs w:val="32"/>
        </w:rPr>
        <w:t xml:space="preserve"> </w:t>
      </w:r>
      <w:r>
        <w:rPr>
          <w:rFonts w:ascii="Times New Roman" w:hAnsi="Times New Roman" w:eastAsia="方正小标宋_GBK"/>
          <w:b/>
          <w:bCs/>
          <w:spacing w:val="-2"/>
          <w:sz w:val="32"/>
          <w:szCs w:val="32"/>
        </w:rPr>
        <w:t>KSSCX（CS）2024-00</w:t>
      </w:r>
      <w:r>
        <w:rPr>
          <w:rFonts w:hint="eastAsia" w:ascii="Times New Roman" w:hAnsi="Times New Roman" w:eastAsia="方正小标宋_GBK"/>
          <w:b/>
          <w:bCs/>
          <w:spacing w:val="-2"/>
          <w:sz w:val="32"/>
          <w:szCs w:val="32"/>
        </w:rPr>
        <w:t>4</w:t>
      </w:r>
      <w:r>
        <w:rPr>
          <w:rFonts w:ascii="Times New Roman" w:hAnsi="Times New Roman" w:eastAsia="方正小标宋_GBK"/>
          <w:b/>
          <w:bCs/>
          <w:spacing w:val="-2"/>
          <w:sz w:val="32"/>
          <w:szCs w:val="32"/>
        </w:rPr>
        <w:t xml:space="preserve">号     </w:t>
      </w:r>
    </w:p>
    <w:p w14:paraId="475959B8">
      <w:pPr>
        <w:pStyle w:val="12"/>
        <w:topLinePunct/>
        <w:spacing w:before="0" w:line="560" w:lineRule="exact"/>
        <w:ind w:firstLine="1257" w:firstLineChars="400"/>
        <w:rPr>
          <w:rFonts w:ascii="Times New Roman" w:hAnsi="Times New Roman" w:eastAsia="方正小标宋_GBK"/>
          <w:b/>
          <w:bCs/>
          <w:spacing w:val="-2"/>
          <w:sz w:val="32"/>
          <w:szCs w:val="32"/>
        </w:rPr>
      </w:pPr>
      <w:r>
        <w:rPr>
          <w:rFonts w:ascii="Times New Roman" w:hAnsi="Times New Roman" w:eastAsia="方正小标宋_GBK"/>
          <w:b/>
          <w:bCs/>
          <w:spacing w:val="-3"/>
          <w:sz w:val="32"/>
          <w:szCs w:val="32"/>
        </w:rPr>
        <w:t>采购单位：</w:t>
      </w:r>
      <w:r>
        <w:rPr>
          <w:rFonts w:ascii="Times New Roman" w:hAnsi="Times New Roman" w:eastAsia="方正小标宋_GBK"/>
          <w:spacing w:val="-2"/>
          <w:sz w:val="32"/>
          <w:szCs w:val="32"/>
        </w:rPr>
        <w:t xml:space="preserve">  </w:t>
      </w:r>
      <w:r>
        <w:rPr>
          <w:rFonts w:hint="eastAsia" w:ascii="Times New Roman" w:hAnsi="Times New Roman" w:eastAsia="方正小标宋_GBK"/>
          <w:spacing w:val="-2"/>
          <w:sz w:val="32"/>
          <w:szCs w:val="32"/>
        </w:rPr>
        <w:t xml:space="preserve">  </w:t>
      </w:r>
      <w:r>
        <w:rPr>
          <w:rFonts w:ascii="Times New Roman" w:hAnsi="Times New Roman" w:eastAsia="方正小标宋_GBK"/>
          <w:spacing w:val="-2"/>
          <w:sz w:val="32"/>
          <w:szCs w:val="32"/>
        </w:rPr>
        <w:t xml:space="preserve">  </w:t>
      </w:r>
      <w:r>
        <w:rPr>
          <w:rFonts w:hint="eastAsia" w:ascii="Times New Roman" w:hAnsi="Times New Roman" w:eastAsia="方正小标宋_GBK"/>
          <w:b/>
          <w:bCs/>
          <w:spacing w:val="-2"/>
          <w:sz w:val="32"/>
          <w:szCs w:val="32"/>
        </w:rPr>
        <w:t xml:space="preserve">  莎车县人民医院</w:t>
      </w:r>
    </w:p>
    <w:p w14:paraId="6ED6CDA2">
      <w:pPr>
        <w:pStyle w:val="12"/>
        <w:topLinePunct/>
        <w:spacing w:before="0" w:line="560" w:lineRule="exact"/>
        <w:ind w:firstLine="1265" w:firstLineChars="400"/>
        <w:rPr>
          <w:rFonts w:ascii="Times New Roman" w:hAnsi="Times New Roman" w:eastAsia="方正小标宋_GBK"/>
          <w:b/>
          <w:bCs/>
          <w:spacing w:val="-2"/>
          <w:sz w:val="32"/>
          <w:szCs w:val="32"/>
          <w:u w:val="single"/>
        </w:rPr>
      </w:pPr>
      <w:r>
        <w:rPr>
          <w:rFonts w:ascii="Times New Roman" w:hAnsi="Times New Roman" w:eastAsia="方正小标宋_GBK"/>
          <w:b/>
          <w:bCs/>
          <w:spacing w:val="-2"/>
          <w:sz w:val="32"/>
          <w:szCs w:val="32"/>
        </w:rPr>
        <w:t xml:space="preserve">联 系 人：      </w:t>
      </w:r>
      <w:r>
        <w:rPr>
          <w:rFonts w:hint="eastAsia" w:ascii="Times New Roman" w:hAnsi="Times New Roman" w:eastAsia="方正小标宋_GBK"/>
          <w:b/>
          <w:bCs/>
          <w:spacing w:val="-2"/>
          <w:sz w:val="32"/>
          <w:szCs w:val="32"/>
        </w:rPr>
        <w:t xml:space="preserve">     </w:t>
      </w:r>
      <w:r>
        <w:rPr>
          <w:rFonts w:hint="eastAsia" w:ascii="Times New Roman" w:hAnsi="Times New Roman" w:eastAsia="方正小标宋_GBK"/>
          <w:spacing w:val="-2"/>
          <w:sz w:val="32"/>
          <w:szCs w:val="32"/>
        </w:rPr>
        <w:t xml:space="preserve"> </w:t>
      </w:r>
      <w:r>
        <w:rPr>
          <w:rFonts w:hint="eastAsia" w:ascii="Times New Roman" w:hAnsi="Times New Roman" w:eastAsia="方正小标宋_GBK"/>
          <w:b/>
          <w:bCs/>
          <w:spacing w:val="-2"/>
          <w:sz w:val="32"/>
          <w:szCs w:val="32"/>
        </w:rPr>
        <w:t>张佳微</w:t>
      </w:r>
      <w:r>
        <w:rPr>
          <w:rFonts w:ascii="Times New Roman" w:hAnsi="Times New Roman" w:eastAsia="方正小标宋_GBK"/>
          <w:b/>
          <w:bCs/>
          <w:spacing w:val="-2"/>
          <w:sz w:val="32"/>
          <w:szCs w:val="32"/>
        </w:rPr>
        <w:t xml:space="preserve">       </w:t>
      </w:r>
      <w:r>
        <w:rPr>
          <w:rFonts w:hint="eastAsia" w:ascii="Times New Roman" w:hAnsi="Times New Roman" w:eastAsia="方正小标宋_GBK"/>
          <w:b/>
          <w:bCs/>
          <w:spacing w:val="-2"/>
          <w:sz w:val="32"/>
          <w:szCs w:val="32"/>
        </w:rPr>
        <w:t xml:space="preserve">        </w:t>
      </w:r>
    </w:p>
    <w:p w14:paraId="5935C788">
      <w:pPr>
        <w:pStyle w:val="12"/>
        <w:topLinePunct/>
        <w:spacing w:before="0" w:line="560" w:lineRule="exact"/>
        <w:ind w:firstLine="1265" w:firstLineChars="400"/>
        <w:rPr>
          <w:rFonts w:ascii="Times New Roman" w:hAnsi="Times New Roman" w:eastAsia="方正小标宋_GBK"/>
          <w:b/>
          <w:bCs/>
          <w:spacing w:val="-2"/>
          <w:sz w:val="32"/>
          <w:szCs w:val="32"/>
          <w:u w:val="single"/>
        </w:rPr>
      </w:pPr>
      <w:r>
        <w:rPr>
          <w:rFonts w:ascii="Times New Roman" w:hAnsi="Times New Roman" w:eastAsia="方正小标宋_GBK"/>
          <w:b/>
          <w:bCs/>
          <w:spacing w:val="-2"/>
          <w:sz w:val="32"/>
          <w:szCs w:val="32"/>
        </w:rPr>
        <w:t>联系电话：</w:t>
      </w:r>
      <w:r>
        <w:rPr>
          <w:rFonts w:ascii="Times New Roman" w:hAnsi="Times New Roman" w:eastAsia="方正小标宋_GBK"/>
          <w:spacing w:val="-2"/>
          <w:sz w:val="32"/>
          <w:szCs w:val="32"/>
        </w:rPr>
        <w:t xml:space="preserve">         </w:t>
      </w:r>
      <w:r>
        <w:rPr>
          <w:rFonts w:hint="eastAsia" w:ascii="Times New Roman" w:hAnsi="Times New Roman" w:eastAsia="方正小标宋_GBK"/>
          <w:b/>
          <w:bCs/>
          <w:spacing w:val="-2"/>
          <w:sz w:val="32"/>
          <w:szCs w:val="32"/>
        </w:rPr>
        <w:t>15022908510</w:t>
      </w:r>
      <w:r>
        <w:rPr>
          <w:rFonts w:ascii="Times New Roman" w:hAnsi="Times New Roman" w:eastAsia="方正小标宋_GBK"/>
          <w:spacing w:val="-2"/>
          <w:sz w:val="32"/>
          <w:szCs w:val="32"/>
        </w:rPr>
        <w:t xml:space="preserve">           </w:t>
      </w:r>
      <w:r>
        <w:rPr>
          <w:rFonts w:hint="eastAsia" w:ascii="Times New Roman" w:hAnsi="Times New Roman" w:eastAsia="方正小标宋_GBK"/>
          <w:spacing w:val="-2"/>
          <w:sz w:val="32"/>
          <w:szCs w:val="32"/>
        </w:rPr>
        <w:t xml:space="preserve"> </w:t>
      </w:r>
    </w:p>
    <w:p w14:paraId="3FF410DC">
      <w:pPr>
        <w:pStyle w:val="12"/>
        <w:topLinePunct/>
        <w:spacing w:before="0" w:line="560" w:lineRule="exact"/>
        <w:ind w:firstLine="1257" w:firstLineChars="400"/>
        <w:rPr>
          <w:rFonts w:ascii="Times New Roman" w:hAnsi="Times New Roman" w:eastAsia="方正小标宋_GBK"/>
          <w:sz w:val="32"/>
          <w:szCs w:val="32"/>
        </w:rPr>
      </w:pPr>
      <w:r>
        <w:rPr>
          <w:rFonts w:ascii="Times New Roman" w:hAnsi="Times New Roman" w:eastAsia="方正小标宋_GBK"/>
          <w:b/>
          <w:bCs/>
          <w:spacing w:val="-3"/>
          <w:sz w:val="32"/>
          <w:szCs w:val="32"/>
        </w:rPr>
        <w:t>采购代理机构：</w:t>
      </w:r>
      <w:r>
        <w:rPr>
          <w:rFonts w:ascii="Times New Roman" w:hAnsi="Times New Roman" w:eastAsia="方正小标宋_GBK"/>
          <w:spacing w:val="-3"/>
          <w:sz w:val="32"/>
          <w:szCs w:val="32"/>
        </w:rPr>
        <w:t xml:space="preserve">   </w:t>
      </w:r>
      <w:r>
        <w:rPr>
          <w:rFonts w:ascii="Times New Roman" w:hAnsi="Times New Roman" w:eastAsia="方正小标宋_GBK"/>
          <w:b/>
          <w:bCs/>
          <w:spacing w:val="-2"/>
          <w:sz w:val="32"/>
          <w:szCs w:val="32"/>
        </w:rPr>
        <w:t xml:space="preserve">莎车县政府采购中心 </w:t>
      </w:r>
      <w:r>
        <w:rPr>
          <w:rFonts w:ascii="Times New Roman" w:hAnsi="Times New Roman" w:eastAsia="方正小标宋_GBK"/>
          <w:spacing w:val="-3"/>
          <w:sz w:val="32"/>
          <w:szCs w:val="32"/>
        </w:rPr>
        <w:t xml:space="preserve">     </w:t>
      </w:r>
    </w:p>
    <w:p w14:paraId="05F5DCFF">
      <w:pPr>
        <w:pStyle w:val="12"/>
        <w:topLinePunct/>
        <w:spacing w:before="0" w:line="560" w:lineRule="exact"/>
        <w:ind w:firstLine="1265" w:firstLineChars="400"/>
        <w:rPr>
          <w:rFonts w:ascii="Times New Roman" w:hAnsi="Times New Roman" w:eastAsia="方正小标宋_GBK"/>
          <w:b/>
          <w:bCs/>
          <w:spacing w:val="-2"/>
          <w:sz w:val="32"/>
          <w:szCs w:val="32"/>
        </w:rPr>
      </w:pPr>
      <w:r>
        <w:rPr>
          <w:rFonts w:ascii="Times New Roman" w:hAnsi="Times New Roman" w:eastAsia="方正小标宋_GBK"/>
          <w:b/>
          <w:bCs/>
          <w:spacing w:val="-2"/>
          <w:sz w:val="32"/>
          <w:szCs w:val="32"/>
        </w:rPr>
        <w:t xml:space="preserve">联 系 人：            </w:t>
      </w:r>
      <w:r>
        <w:rPr>
          <w:rFonts w:hint="eastAsia" w:ascii="Times New Roman" w:hAnsi="Times New Roman" w:eastAsia="方正小标宋_GBK"/>
          <w:b/>
          <w:bCs/>
          <w:spacing w:val="-2"/>
          <w:sz w:val="32"/>
          <w:szCs w:val="32"/>
        </w:rPr>
        <w:t>田</w:t>
      </w:r>
      <w:r>
        <w:rPr>
          <w:rFonts w:ascii="Times New Roman" w:hAnsi="Times New Roman" w:eastAsia="方正小标宋_GBK"/>
          <w:b/>
          <w:bCs/>
          <w:spacing w:val="-2"/>
          <w:sz w:val="32"/>
          <w:szCs w:val="32"/>
        </w:rPr>
        <w:t xml:space="preserve">  </w:t>
      </w:r>
      <w:r>
        <w:rPr>
          <w:rFonts w:hint="eastAsia" w:ascii="Times New Roman" w:hAnsi="Times New Roman" w:eastAsia="方正小标宋_GBK"/>
          <w:b/>
          <w:bCs/>
          <w:spacing w:val="-2"/>
          <w:sz w:val="32"/>
          <w:szCs w:val="32"/>
        </w:rPr>
        <w:t>莉</w:t>
      </w:r>
      <w:r>
        <w:rPr>
          <w:rFonts w:ascii="Times New Roman" w:hAnsi="Times New Roman" w:eastAsia="方正小标宋_GBK"/>
          <w:b/>
          <w:bCs/>
          <w:spacing w:val="-2"/>
          <w:sz w:val="32"/>
          <w:szCs w:val="32"/>
        </w:rPr>
        <w:t xml:space="preserve">              </w:t>
      </w:r>
    </w:p>
    <w:p w14:paraId="67924D95">
      <w:pPr>
        <w:pStyle w:val="12"/>
        <w:topLinePunct/>
        <w:spacing w:before="0" w:line="560" w:lineRule="exact"/>
        <w:ind w:firstLine="1265" w:firstLineChars="400"/>
        <w:rPr>
          <w:rFonts w:ascii="Times New Roman" w:hAnsi="Times New Roman" w:eastAsia="方正小标宋_GBK"/>
          <w:spacing w:val="-2"/>
          <w:sz w:val="32"/>
          <w:szCs w:val="32"/>
        </w:rPr>
      </w:pPr>
      <w:r>
        <w:rPr>
          <w:rFonts w:ascii="Times New Roman" w:hAnsi="Times New Roman" w:eastAsia="方正小标宋_GBK"/>
          <w:b/>
          <w:bCs/>
          <w:spacing w:val="-2"/>
          <w:sz w:val="32"/>
          <w:szCs w:val="32"/>
        </w:rPr>
        <w:t>联系电话：</w:t>
      </w:r>
      <w:r>
        <w:rPr>
          <w:rFonts w:ascii="Times New Roman" w:hAnsi="Times New Roman" w:eastAsia="方正小标宋_GBK"/>
          <w:spacing w:val="-2"/>
          <w:sz w:val="32"/>
          <w:szCs w:val="32"/>
        </w:rPr>
        <w:t xml:space="preserve">         </w:t>
      </w:r>
      <w:r>
        <w:rPr>
          <w:rFonts w:ascii="Times New Roman" w:hAnsi="Times New Roman" w:eastAsia="方正小标宋_GBK"/>
          <w:b/>
          <w:bCs/>
          <w:spacing w:val="-2"/>
          <w:sz w:val="32"/>
          <w:szCs w:val="32"/>
        </w:rPr>
        <w:t xml:space="preserve">0998-8512672 </w:t>
      </w:r>
      <w:r>
        <w:rPr>
          <w:rFonts w:ascii="Times New Roman" w:hAnsi="Times New Roman" w:eastAsia="方正小标宋_GBK"/>
          <w:spacing w:val="-2"/>
          <w:sz w:val="32"/>
          <w:szCs w:val="32"/>
        </w:rPr>
        <w:t xml:space="preserve">          </w:t>
      </w:r>
    </w:p>
    <w:p w14:paraId="210ACCA4">
      <w:pPr>
        <w:topLinePunct/>
        <w:spacing w:line="560" w:lineRule="exact"/>
        <w:rPr>
          <w:rFonts w:eastAsia="方正小标宋_GBK"/>
          <w:sz w:val="32"/>
          <w:szCs w:val="32"/>
        </w:rPr>
      </w:pPr>
    </w:p>
    <w:p w14:paraId="7134A65C">
      <w:pPr>
        <w:topLinePunct/>
        <w:spacing w:line="560" w:lineRule="exact"/>
        <w:rPr>
          <w:rFonts w:eastAsia="方正小标宋_GBK"/>
          <w:b/>
          <w:bCs/>
          <w:sz w:val="32"/>
          <w:szCs w:val="32"/>
        </w:rPr>
      </w:pPr>
    </w:p>
    <w:p w14:paraId="281389A3">
      <w:pPr>
        <w:pStyle w:val="12"/>
        <w:topLinePunct/>
        <w:spacing w:before="0" w:line="560" w:lineRule="exact"/>
        <w:jc w:val="center"/>
        <w:rPr>
          <w:rFonts w:ascii="Times New Roman" w:hAnsi="Times New Roman" w:eastAsia="方正小标宋_GBK"/>
          <w:b/>
          <w:bCs/>
          <w:sz w:val="32"/>
          <w:szCs w:val="32"/>
        </w:rPr>
        <w:sectPr>
          <w:headerReference r:id="rId3" w:type="default"/>
          <w:pgSz w:w="11906" w:h="16839"/>
          <w:pgMar w:top="1984" w:right="1531" w:bottom="1701" w:left="1531" w:header="852" w:footer="0" w:gutter="0"/>
          <w:pgNumType w:start="0"/>
          <w:cols w:space="720" w:num="1"/>
        </w:sectPr>
      </w:pPr>
      <w:r>
        <w:rPr>
          <w:rFonts w:ascii="Times New Roman" w:hAnsi="Times New Roman" w:eastAsia="方正小标宋_GBK"/>
          <w:b/>
          <w:bCs/>
          <w:spacing w:val="-7"/>
          <w:sz w:val="32"/>
          <w:szCs w:val="32"/>
        </w:rPr>
        <w:t>日期：2024年</w:t>
      </w:r>
      <w:r>
        <w:rPr>
          <w:rFonts w:hint="eastAsia" w:ascii="Times New Roman" w:hAnsi="Times New Roman" w:eastAsia="方正小标宋_GBK"/>
          <w:b/>
          <w:bCs/>
          <w:spacing w:val="-7"/>
          <w:sz w:val="32"/>
          <w:szCs w:val="32"/>
        </w:rPr>
        <w:t>12</w:t>
      </w:r>
      <w:r>
        <w:rPr>
          <w:rFonts w:ascii="Times New Roman" w:hAnsi="Times New Roman" w:eastAsia="方正小标宋_GBK"/>
          <w:b/>
          <w:bCs/>
          <w:spacing w:val="-7"/>
          <w:sz w:val="32"/>
          <w:szCs w:val="32"/>
        </w:rPr>
        <w:t>月</w:t>
      </w:r>
    </w:p>
    <w:p w14:paraId="7A5508FF">
      <w:pPr>
        <w:snapToGrid w:val="0"/>
        <w:spacing w:line="400" w:lineRule="exact"/>
        <w:ind w:left="1079" w:leftChars="257" w:hanging="540"/>
        <w:jc w:val="center"/>
        <w:textAlignment w:val="baseline"/>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目  录</w:t>
      </w:r>
    </w:p>
    <w:p w14:paraId="6D18262F">
      <w:pPr>
        <w:pStyle w:val="26"/>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p>
    <w:p w14:paraId="4506CF02">
      <w:pPr>
        <w:pStyle w:val="26"/>
      </w:pPr>
      <w:r>
        <w:fldChar w:fldCharType="begin"/>
      </w:r>
      <w:r>
        <w:instrText xml:space="preserve"> HYPERLINK \l "_Toc20107" </w:instrText>
      </w:r>
      <w:r>
        <w:fldChar w:fldCharType="separate"/>
      </w:r>
      <w:r>
        <w:t>第1章  供应商须知</w:t>
      </w:r>
      <w:r>
        <w:tab/>
      </w:r>
      <w:r>
        <w:fldChar w:fldCharType="begin"/>
      </w:r>
      <w:r>
        <w:instrText xml:space="preserve"> PAGEREF _Toc20107 \h </w:instrText>
      </w:r>
      <w:r>
        <w:fldChar w:fldCharType="separate"/>
      </w:r>
      <w:r>
        <w:t>1</w:t>
      </w:r>
      <w:r>
        <w:fldChar w:fldCharType="end"/>
      </w:r>
      <w:r>
        <w:fldChar w:fldCharType="end"/>
      </w:r>
    </w:p>
    <w:p w14:paraId="75067E31">
      <w:pPr>
        <w:pStyle w:val="32"/>
        <w:tabs>
          <w:tab w:val="right" w:leader="dot" w:pos="8844"/>
        </w:tabs>
        <w:rPr>
          <w:rFonts w:eastAsia="方正仿宋_GBK"/>
          <w:sz w:val="24"/>
        </w:rPr>
      </w:pPr>
      <w:r>
        <w:fldChar w:fldCharType="begin"/>
      </w:r>
      <w:r>
        <w:instrText xml:space="preserve"> HYPERLINK \l "_Toc8093" </w:instrText>
      </w:r>
      <w:r>
        <w:fldChar w:fldCharType="separate"/>
      </w:r>
      <w:r>
        <w:rPr>
          <w:rFonts w:eastAsia="方正仿宋_GBK"/>
          <w:b/>
          <w:bCs/>
          <w:sz w:val="24"/>
        </w:rPr>
        <w:t>一   总 则</w:t>
      </w:r>
      <w:r>
        <w:rPr>
          <w:rFonts w:eastAsia="方正仿宋_GBK"/>
          <w:sz w:val="24"/>
        </w:rPr>
        <w:tab/>
      </w:r>
      <w:r>
        <w:rPr>
          <w:rFonts w:eastAsia="方正仿宋_GBK"/>
          <w:sz w:val="24"/>
        </w:rPr>
        <w:fldChar w:fldCharType="begin"/>
      </w:r>
      <w:r>
        <w:rPr>
          <w:rFonts w:eastAsia="方正仿宋_GBK"/>
          <w:sz w:val="24"/>
        </w:rPr>
        <w:instrText xml:space="preserve"> PAGEREF _Toc8093 \h </w:instrText>
      </w:r>
      <w:r>
        <w:rPr>
          <w:rFonts w:eastAsia="方正仿宋_GBK"/>
          <w:sz w:val="24"/>
        </w:rPr>
        <w:fldChar w:fldCharType="separate"/>
      </w:r>
      <w:r>
        <w:rPr>
          <w:rFonts w:eastAsia="方正仿宋_GBK"/>
          <w:sz w:val="24"/>
        </w:rPr>
        <w:t>1</w:t>
      </w:r>
      <w:r>
        <w:rPr>
          <w:rFonts w:eastAsia="方正仿宋_GBK"/>
          <w:sz w:val="24"/>
        </w:rPr>
        <w:fldChar w:fldCharType="end"/>
      </w:r>
      <w:r>
        <w:rPr>
          <w:rFonts w:eastAsia="方正仿宋_GBK"/>
          <w:sz w:val="24"/>
        </w:rPr>
        <w:fldChar w:fldCharType="end"/>
      </w:r>
    </w:p>
    <w:p w14:paraId="40F443CA">
      <w:pPr>
        <w:pStyle w:val="17"/>
        <w:tabs>
          <w:tab w:val="right" w:leader="dot" w:pos="8844"/>
          <w:tab w:val="clear" w:pos="1260"/>
          <w:tab w:val="clear" w:pos="8630"/>
        </w:tabs>
        <w:rPr>
          <w:rFonts w:eastAsia="方正仿宋_GBK"/>
          <w:sz w:val="24"/>
        </w:rPr>
      </w:pPr>
      <w:r>
        <w:fldChar w:fldCharType="begin"/>
      </w:r>
      <w:r>
        <w:instrText xml:space="preserve"> HYPERLINK \l "_Toc31076" </w:instrText>
      </w:r>
      <w:r>
        <w:fldChar w:fldCharType="separate"/>
      </w:r>
      <w:r>
        <w:rPr>
          <w:rFonts w:eastAsia="方正仿宋_GBK"/>
          <w:sz w:val="24"/>
        </w:rPr>
        <w:t>1.采购人、采购代理机构及磋商供应商</w:t>
      </w:r>
      <w:r>
        <w:rPr>
          <w:rFonts w:eastAsia="方正仿宋_GBK"/>
          <w:sz w:val="24"/>
        </w:rPr>
        <w:tab/>
      </w:r>
      <w:r>
        <w:rPr>
          <w:rFonts w:eastAsia="方正仿宋_GBK"/>
          <w:sz w:val="24"/>
        </w:rPr>
        <w:fldChar w:fldCharType="begin"/>
      </w:r>
      <w:r>
        <w:rPr>
          <w:rFonts w:eastAsia="方正仿宋_GBK"/>
          <w:sz w:val="24"/>
        </w:rPr>
        <w:instrText xml:space="preserve"> PAGEREF _Toc31076 \h </w:instrText>
      </w:r>
      <w:r>
        <w:rPr>
          <w:rFonts w:eastAsia="方正仿宋_GBK"/>
          <w:sz w:val="24"/>
        </w:rPr>
        <w:fldChar w:fldCharType="separate"/>
      </w:r>
      <w:r>
        <w:rPr>
          <w:rFonts w:eastAsia="方正仿宋_GBK"/>
          <w:sz w:val="24"/>
        </w:rPr>
        <w:t>1</w:t>
      </w:r>
      <w:r>
        <w:rPr>
          <w:rFonts w:eastAsia="方正仿宋_GBK"/>
          <w:sz w:val="24"/>
        </w:rPr>
        <w:fldChar w:fldCharType="end"/>
      </w:r>
      <w:r>
        <w:rPr>
          <w:rFonts w:eastAsia="方正仿宋_GBK"/>
          <w:sz w:val="24"/>
        </w:rPr>
        <w:fldChar w:fldCharType="end"/>
      </w:r>
    </w:p>
    <w:p w14:paraId="57B777E1">
      <w:pPr>
        <w:pStyle w:val="17"/>
        <w:tabs>
          <w:tab w:val="right" w:leader="dot" w:pos="8844"/>
          <w:tab w:val="clear" w:pos="1260"/>
          <w:tab w:val="clear" w:pos="8630"/>
        </w:tabs>
        <w:rPr>
          <w:rFonts w:eastAsia="方正仿宋_GBK"/>
          <w:sz w:val="24"/>
        </w:rPr>
      </w:pPr>
      <w:r>
        <w:fldChar w:fldCharType="begin"/>
      </w:r>
      <w:r>
        <w:instrText xml:space="preserve"> HYPERLINK \l "_Toc17289" </w:instrText>
      </w:r>
      <w:r>
        <w:fldChar w:fldCharType="separate"/>
      </w:r>
      <w:r>
        <w:rPr>
          <w:rFonts w:eastAsia="方正仿宋_GBK"/>
          <w:sz w:val="24"/>
        </w:rPr>
        <w:t>2.资金来源</w:t>
      </w:r>
      <w:r>
        <w:rPr>
          <w:rFonts w:eastAsia="方正仿宋_GBK"/>
          <w:sz w:val="24"/>
        </w:rPr>
        <w:tab/>
      </w:r>
      <w:r>
        <w:rPr>
          <w:rFonts w:eastAsia="方正仿宋_GBK"/>
          <w:sz w:val="24"/>
        </w:rPr>
        <w:fldChar w:fldCharType="begin"/>
      </w:r>
      <w:r>
        <w:rPr>
          <w:rFonts w:eastAsia="方正仿宋_GBK"/>
          <w:sz w:val="24"/>
        </w:rPr>
        <w:instrText xml:space="preserve"> PAGEREF _Toc17289 \h </w:instrText>
      </w:r>
      <w:r>
        <w:rPr>
          <w:rFonts w:eastAsia="方正仿宋_GBK"/>
          <w:sz w:val="24"/>
        </w:rPr>
        <w:fldChar w:fldCharType="separate"/>
      </w:r>
      <w:r>
        <w:rPr>
          <w:rFonts w:eastAsia="方正仿宋_GBK"/>
          <w:sz w:val="24"/>
        </w:rPr>
        <w:t>2</w:t>
      </w:r>
      <w:r>
        <w:rPr>
          <w:rFonts w:eastAsia="方正仿宋_GBK"/>
          <w:sz w:val="24"/>
        </w:rPr>
        <w:fldChar w:fldCharType="end"/>
      </w:r>
      <w:r>
        <w:rPr>
          <w:rFonts w:eastAsia="方正仿宋_GBK"/>
          <w:sz w:val="24"/>
        </w:rPr>
        <w:fldChar w:fldCharType="end"/>
      </w:r>
    </w:p>
    <w:p w14:paraId="208C0FD6">
      <w:pPr>
        <w:pStyle w:val="17"/>
        <w:tabs>
          <w:tab w:val="right" w:leader="dot" w:pos="8844"/>
          <w:tab w:val="clear" w:pos="1260"/>
          <w:tab w:val="clear" w:pos="8630"/>
        </w:tabs>
        <w:rPr>
          <w:rFonts w:eastAsia="方正仿宋_GBK"/>
          <w:sz w:val="24"/>
        </w:rPr>
      </w:pPr>
      <w:r>
        <w:fldChar w:fldCharType="begin"/>
      </w:r>
      <w:r>
        <w:instrText xml:space="preserve"> HYPERLINK \l "_Toc25438" </w:instrText>
      </w:r>
      <w:r>
        <w:fldChar w:fldCharType="separate"/>
      </w:r>
      <w:r>
        <w:rPr>
          <w:rFonts w:eastAsia="方正仿宋_GBK"/>
          <w:sz w:val="24"/>
        </w:rPr>
        <w:t>3.磋商费用</w:t>
      </w:r>
      <w:r>
        <w:rPr>
          <w:rFonts w:eastAsia="方正仿宋_GBK"/>
          <w:sz w:val="24"/>
        </w:rPr>
        <w:tab/>
      </w:r>
      <w:r>
        <w:rPr>
          <w:rFonts w:eastAsia="方正仿宋_GBK"/>
          <w:sz w:val="24"/>
        </w:rPr>
        <w:fldChar w:fldCharType="begin"/>
      </w:r>
      <w:r>
        <w:rPr>
          <w:rFonts w:eastAsia="方正仿宋_GBK"/>
          <w:sz w:val="24"/>
        </w:rPr>
        <w:instrText xml:space="preserve"> PAGEREF _Toc25438 \h </w:instrText>
      </w:r>
      <w:r>
        <w:rPr>
          <w:rFonts w:eastAsia="方正仿宋_GBK"/>
          <w:sz w:val="24"/>
        </w:rPr>
        <w:fldChar w:fldCharType="separate"/>
      </w:r>
      <w:r>
        <w:rPr>
          <w:rFonts w:eastAsia="方正仿宋_GBK"/>
          <w:sz w:val="24"/>
        </w:rPr>
        <w:t>2</w:t>
      </w:r>
      <w:r>
        <w:rPr>
          <w:rFonts w:eastAsia="方正仿宋_GBK"/>
          <w:sz w:val="24"/>
        </w:rPr>
        <w:fldChar w:fldCharType="end"/>
      </w:r>
      <w:r>
        <w:rPr>
          <w:rFonts w:eastAsia="方正仿宋_GBK"/>
          <w:sz w:val="24"/>
        </w:rPr>
        <w:fldChar w:fldCharType="end"/>
      </w:r>
    </w:p>
    <w:p w14:paraId="059D0207">
      <w:pPr>
        <w:pStyle w:val="17"/>
        <w:tabs>
          <w:tab w:val="right" w:leader="dot" w:pos="8844"/>
          <w:tab w:val="clear" w:pos="1260"/>
          <w:tab w:val="clear" w:pos="8630"/>
        </w:tabs>
        <w:rPr>
          <w:rFonts w:eastAsia="方正仿宋_GBK"/>
          <w:sz w:val="24"/>
        </w:rPr>
      </w:pPr>
      <w:r>
        <w:fldChar w:fldCharType="begin"/>
      </w:r>
      <w:r>
        <w:instrText xml:space="preserve"> HYPERLINK \l "_Toc15108" </w:instrText>
      </w:r>
      <w:r>
        <w:fldChar w:fldCharType="separate"/>
      </w:r>
      <w:r>
        <w:rPr>
          <w:rFonts w:eastAsia="方正仿宋_GBK"/>
          <w:sz w:val="24"/>
        </w:rPr>
        <w:t>4.适用法律</w:t>
      </w:r>
      <w:r>
        <w:rPr>
          <w:rFonts w:eastAsia="方正仿宋_GBK"/>
          <w:sz w:val="24"/>
        </w:rPr>
        <w:tab/>
      </w:r>
      <w:r>
        <w:rPr>
          <w:rFonts w:eastAsia="方正仿宋_GBK"/>
          <w:sz w:val="24"/>
        </w:rPr>
        <w:fldChar w:fldCharType="begin"/>
      </w:r>
      <w:r>
        <w:rPr>
          <w:rFonts w:eastAsia="方正仿宋_GBK"/>
          <w:sz w:val="24"/>
        </w:rPr>
        <w:instrText xml:space="preserve"> PAGEREF _Toc15108 \h </w:instrText>
      </w:r>
      <w:r>
        <w:rPr>
          <w:rFonts w:eastAsia="方正仿宋_GBK"/>
          <w:sz w:val="24"/>
        </w:rPr>
        <w:fldChar w:fldCharType="separate"/>
      </w:r>
      <w:r>
        <w:rPr>
          <w:rFonts w:eastAsia="方正仿宋_GBK"/>
          <w:sz w:val="24"/>
        </w:rPr>
        <w:t>2</w:t>
      </w:r>
      <w:r>
        <w:rPr>
          <w:rFonts w:eastAsia="方正仿宋_GBK"/>
          <w:sz w:val="24"/>
        </w:rPr>
        <w:fldChar w:fldCharType="end"/>
      </w:r>
      <w:r>
        <w:rPr>
          <w:rFonts w:eastAsia="方正仿宋_GBK"/>
          <w:sz w:val="24"/>
        </w:rPr>
        <w:fldChar w:fldCharType="end"/>
      </w:r>
    </w:p>
    <w:p w14:paraId="2D0B26EF">
      <w:pPr>
        <w:pStyle w:val="32"/>
        <w:tabs>
          <w:tab w:val="right" w:leader="dot" w:pos="8844"/>
        </w:tabs>
        <w:rPr>
          <w:rFonts w:eastAsia="方正仿宋_GBK"/>
          <w:sz w:val="24"/>
        </w:rPr>
      </w:pPr>
      <w:r>
        <w:fldChar w:fldCharType="begin"/>
      </w:r>
      <w:r>
        <w:instrText xml:space="preserve"> HYPERLINK \l "_Toc14548" </w:instrText>
      </w:r>
      <w:r>
        <w:fldChar w:fldCharType="separate"/>
      </w:r>
      <w:r>
        <w:rPr>
          <w:rFonts w:eastAsia="方正仿宋_GBK"/>
          <w:b/>
          <w:bCs/>
          <w:sz w:val="24"/>
        </w:rPr>
        <w:t>二   磋商文件</w:t>
      </w:r>
      <w:r>
        <w:rPr>
          <w:rFonts w:eastAsia="方正仿宋_GBK"/>
          <w:sz w:val="24"/>
        </w:rPr>
        <w:tab/>
      </w:r>
      <w:r>
        <w:rPr>
          <w:rFonts w:eastAsia="方正仿宋_GBK"/>
          <w:sz w:val="24"/>
        </w:rPr>
        <w:fldChar w:fldCharType="begin"/>
      </w:r>
      <w:r>
        <w:rPr>
          <w:rFonts w:eastAsia="方正仿宋_GBK"/>
          <w:sz w:val="24"/>
        </w:rPr>
        <w:instrText xml:space="preserve"> PAGEREF _Toc14548 \h </w:instrText>
      </w:r>
      <w:r>
        <w:rPr>
          <w:rFonts w:eastAsia="方正仿宋_GBK"/>
          <w:sz w:val="24"/>
        </w:rPr>
        <w:fldChar w:fldCharType="separate"/>
      </w:r>
      <w:r>
        <w:rPr>
          <w:rFonts w:eastAsia="方正仿宋_GBK"/>
          <w:sz w:val="24"/>
        </w:rPr>
        <w:t>3</w:t>
      </w:r>
      <w:r>
        <w:rPr>
          <w:rFonts w:eastAsia="方正仿宋_GBK"/>
          <w:sz w:val="24"/>
        </w:rPr>
        <w:fldChar w:fldCharType="end"/>
      </w:r>
      <w:r>
        <w:rPr>
          <w:rFonts w:eastAsia="方正仿宋_GBK"/>
          <w:sz w:val="24"/>
        </w:rPr>
        <w:fldChar w:fldCharType="end"/>
      </w:r>
    </w:p>
    <w:p w14:paraId="444D17E1">
      <w:pPr>
        <w:pStyle w:val="17"/>
        <w:tabs>
          <w:tab w:val="right" w:leader="dot" w:pos="8844"/>
          <w:tab w:val="clear" w:pos="1260"/>
          <w:tab w:val="clear" w:pos="8630"/>
        </w:tabs>
        <w:rPr>
          <w:rFonts w:eastAsia="方正仿宋_GBK"/>
          <w:sz w:val="24"/>
        </w:rPr>
      </w:pPr>
      <w:r>
        <w:fldChar w:fldCharType="begin"/>
      </w:r>
      <w:r>
        <w:instrText xml:space="preserve"> HYPERLINK \l "_Toc29326" </w:instrText>
      </w:r>
      <w:r>
        <w:fldChar w:fldCharType="separate"/>
      </w:r>
      <w:r>
        <w:rPr>
          <w:rFonts w:eastAsia="方正仿宋_GBK"/>
          <w:sz w:val="24"/>
        </w:rPr>
        <w:t>5.磋商文件构成</w:t>
      </w:r>
      <w:r>
        <w:rPr>
          <w:rFonts w:eastAsia="方正仿宋_GBK"/>
          <w:sz w:val="24"/>
        </w:rPr>
        <w:tab/>
      </w:r>
      <w:r>
        <w:rPr>
          <w:rFonts w:eastAsia="方正仿宋_GBK"/>
          <w:sz w:val="24"/>
        </w:rPr>
        <w:fldChar w:fldCharType="begin"/>
      </w:r>
      <w:r>
        <w:rPr>
          <w:rFonts w:eastAsia="方正仿宋_GBK"/>
          <w:sz w:val="24"/>
        </w:rPr>
        <w:instrText xml:space="preserve"> PAGEREF _Toc29326 \h </w:instrText>
      </w:r>
      <w:r>
        <w:rPr>
          <w:rFonts w:eastAsia="方正仿宋_GBK"/>
          <w:sz w:val="24"/>
        </w:rPr>
        <w:fldChar w:fldCharType="separate"/>
      </w:r>
      <w:r>
        <w:rPr>
          <w:rFonts w:eastAsia="方正仿宋_GBK"/>
          <w:sz w:val="24"/>
        </w:rPr>
        <w:t>3</w:t>
      </w:r>
      <w:r>
        <w:rPr>
          <w:rFonts w:eastAsia="方正仿宋_GBK"/>
          <w:sz w:val="24"/>
        </w:rPr>
        <w:fldChar w:fldCharType="end"/>
      </w:r>
      <w:r>
        <w:rPr>
          <w:rFonts w:eastAsia="方正仿宋_GBK"/>
          <w:sz w:val="24"/>
        </w:rPr>
        <w:fldChar w:fldCharType="end"/>
      </w:r>
    </w:p>
    <w:p w14:paraId="7B3E491B">
      <w:pPr>
        <w:pStyle w:val="17"/>
        <w:tabs>
          <w:tab w:val="right" w:leader="dot" w:pos="8844"/>
          <w:tab w:val="clear" w:pos="1260"/>
          <w:tab w:val="clear" w:pos="8630"/>
        </w:tabs>
        <w:rPr>
          <w:rFonts w:eastAsia="方正仿宋_GBK"/>
          <w:sz w:val="24"/>
        </w:rPr>
      </w:pPr>
      <w:r>
        <w:fldChar w:fldCharType="begin"/>
      </w:r>
      <w:r>
        <w:instrText xml:space="preserve"> HYPERLINK \l "_Toc10128" </w:instrText>
      </w:r>
      <w:r>
        <w:fldChar w:fldCharType="separate"/>
      </w:r>
      <w:r>
        <w:rPr>
          <w:rFonts w:eastAsia="方正仿宋_GBK"/>
          <w:sz w:val="24"/>
        </w:rPr>
        <w:t>6.磋商文件的澄清与修改</w:t>
      </w:r>
      <w:r>
        <w:rPr>
          <w:rFonts w:eastAsia="方正仿宋_GBK"/>
          <w:sz w:val="24"/>
        </w:rPr>
        <w:tab/>
      </w:r>
      <w:r>
        <w:rPr>
          <w:rFonts w:eastAsia="方正仿宋_GBK"/>
          <w:sz w:val="24"/>
        </w:rPr>
        <w:fldChar w:fldCharType="begin"/>
      </w:r>
      <w:r>
        <w:rPr>
          <w:rFonts w:eastAsia="方正仿宋_GBK"/>
          <w:sz w:val="24"/>
        </w:rPr>
        <w:instrText xml:space="preserve"> PAGEREF _Toc10128 \h </w:instrText>
      </w:r>
      <w:r>
        <w:rPr>
          <w:rFonts w:eastAsia="方正仿宋_GBK"/>
          <w:sz w:val="24"/>
        </w:rPr>
        <w:fldChar w:fldCharType="separate"/>
      </w:r>
      <w:r>
        <w:rPr>
          <w:rFonts w:eastAsia="方正仿宋_GBK"/>
          <w:sz w:val="24"/>
        </w:rPr>
        <w:t>3</w:t>
      </w:r>
      <w:r>
        <w:rPr>
          <w:rFonts w:eastAsia="方正仿宋_GBK"/>
          <w:sz w:val="24"/>
        </w:rPr>
        <w:fldChar w:fldCharType="end"/>
      </w:r>
      <w:r>
        <w:rPr>
          <w:rFonts w:eastAsia="方正仿宋_GBK"/>
          <w:sz w:val="24"/>
        </w:rPr>
        <w:fldChar w:fldCharType="end"/>
      </w:r>
    </w:p>
    <w:p w14:paraId="33F44552">
      <w:pPr>
        <w:pStyle w:val="17"/>
        <w:tabs>
          <w:tab w:val="right" w:leader="dot" w:pos="8844"/>
          <w:tab w:val="clear" w:pos="1260"/>
          <w:tab w:val="clear" w:pos="8630"/>
        </w:tabs>
        <w:rPr>
          <w:rFonts w:eastAsia="方正仿宋_GBK"/>
          <w:sz w:val="24"/>
        </w:rPr>
      </w:pPr>
      <w:r>
        <w:fldChar w:fldCharType="begin"/>
      </w:r>
      <w:r>
        <w:instrText xml:space="preserve"> HYPERLINK \l "_Toc12013" </w:instrText>
      </w:r>
      <w:r>
        <w:fldChar w:fldCharType="separate"/>
      </w:r>
      <w:r>
        <w:rPr>
          <w:rFonts w:eastAsia="方正仿宋_GBK"/>
          <w:sz w:val="24"/>
        </w:rPr>
        <w:t>7.响应截止时间的顺延</w:t>
      </w:r>
      <w:r>
        <w:rPr>
          <w:rFonts w:eastAsia="方正仿宋_GBK"/>
          <w:sz w:val="24"/>
        </w:rPr>
        <w:tab/>
      </w:r>
      <w:r>
        <w:rPr>
          <w:rFonts w:eastAsia="方正仿宋_GBK"/>
          <w:sz w:val="24"/>
        </w:rPr>
        <w:fldChar w:fldCharType="begin"/>
      </w:r>
      <w:r>
        <w:rPr>
          <w:rFonts w:eastAsia="方正仿宋_GBK"/>
          <w:sz w:val="24"/>
        </w:rPr>
        <w:instrText xml:space="preserve"> PAGEREF _Toc12013 \h </w:instrText>
      </w:r>
      <w:r>
        <w:rPr>
          <w:rFonts w:eastAsia="方正仿宋_GBK"/>
          <w:sz w:val="24"/>
        </w:rPr>
        <w:fldChar w:fldCharType="separate"/>
      </w:r>
      <w:r>
        <w:rPr>
          <w:rFonts w:eastAsia="方正仿宋_GBK"/>
          <w:sz w:val="24"/>
        </w:rPr>
        <w:t>4</w:t>
      </w:r>
      <w:r>
        <w:rPr>
          <w:rFonts w:eastAsia="方正仿宋_GBK"/>
          <w:sz w:val="24"/>
        </w:rPr>
        <w:fldChar w:fldCharType="end"/>
      </w:r>
      <w:r>
        <w:rPr>
          <w:rFonts w:eastAsia="方正仿宋_GBK"/>
          <w:sz w:val="24"/>
        </w:rPr>
        <w:fldChar w:fldCharType="end"/>
      </w:r>
    </w:p>
    <w:p w14:paraId="76413918">
      <w:pPr>
        <w:pStyle w:val="32"/>
        <w:tabs>
          <w:tab w:val="right" w:leader="dot" w:pos="8844"/>
        </w:tabs>
        <w:rPr>
          <w:rFonts w:eastAsia="方正仿宋_GBK"/>
          <w:sz w:val="24"/>
        </w:rPr>
      </w:pPr>
      <w:r>
        <w:fldChar w:fldCharType="begin"/>
      </w:r>
      <w:r>
        <w:instrText xml:space="preserve"> HYPERLINK \l "_Toc32471" </w:instrText>
      </w:r>
      <w:r>
        <w:fldChar w:fldCharType="separate"/>
      </w:r>
      <w:r>
        <w:rPr>
          <w:rFonts w:eastAsia="方正仿宋_GBK"/>
          <w:b/>
          <w:bCs/>
          <w:sz w:val="24"/>
        </w:rPr>
        <w:t>三   响应文件的编制</w:t>
      </w:r>
      <w:r>
        <w:rPr>
          <w:rFonts w:eastAsia="方正仿宋_GBK"/>
          <w:sz w:val="24"/>
        </w:rPr>
        <w:tab/>
      </w:r>
      <w:r>
        <w:rPr>
          <w:rFonts w:eastAsia="方正仿宋_GBK"/>
          <w:sz w:val="24"/>
        </w:rPr>
        <w:fldChar w:fldCharType="begin"/>
      </w:r>
      <w:r>
        <w:rPr>
          <w:rFonts w:eastAsia="方正仿宋_GBK"/>
          <w:sz w:val="24"/>
        </w:rPr>
        <w:instrText xml:space="preserve"> PAGEREF _Toc32471 \h </w:instrText>
      </w:r>
      <w:r>
        <w:rPr>
          <w:rFonts w:eastAsia="方正仿宋_GBK"/>
          <w:sz w:val="24"/>
        </w:rPr>
        <w:fldChar w:fldCharType="separate"/>
      </w:r>
      <w:r>
        <w:rPr>
          <w:rFonts w:eastAsia="方正仿宋_GBK"/>
          <w:sz w:val="24"/>
        </w:rPr>
        <w:t>4</w:t>
      </w:r>
      <w:r>
        <w:rPr>
          <w:rFonts w:eastAsia="方正仿宋_GBK"/>
          <w:sz w:val="24"/>
        </w:rPr>
        <w:fldChar w:fldCharType="end"/>
      </w:r>
      <w:r>
        <w:rPr>
          <w:rFonts w:eastAsia="方正仿宋_GBK"/>
          <w:sz w:val="24"/>
        </w:rPr>
        <w:fldChar w:fldCharType="end"/>
      </w:r>
    </w:p>
    <w:p w14:paraId="51B226AA">
      <w:pPr>
        <w:pStyle w:val="17"/>
        <w:tabs>
          <w:tab w:val="right" w:leader="dot" w:pos="8844"/>
          <w:tab w:val="clear" w:pos="1260"/>
          <w:tab w:val="clear" w:pos="8630"/>
        </w:tabs>
        <w:rPr>
          <w:rFonts w:eastAsia="方正仿宋_GBK"/>
          <w:sz w:val="24"/>
        </w:rPr>
      </w:pPr>
      <w:r>
        <w:fldChar w:fldCharType="begin"/>
      </w:r>
      <w:r>
        <w:instrText xml:space="preserve"> HYPERLINK \l "_Toc4483" </w:instrText>
      </w:r>
      <w:r>
        <w:fldChar w:fldCharType="separate"/>
      </w:r>
      <w:r>
        <w:rPr>
          <w:rFonts w:eastAsia="方正仿宋_GBK"/>
          <w:sz w:val="24"/>
        </w:rPr>
        <w:t>8.响应范围及文字、计量单位要求</w:t>
      </w:r>
      <w:r>
        <w:rPr>
          <w:rFonts w:eastAsia="方正仿宋_GBK"/>
          <w:sz w:val="24"/>
        </w:rPr>
        <w:tab/>
      </w:r>
      <w:r>
        <w:rPr>
          <w:rFonts w:eastAsia="方正仿宋_GBK"/>
          <w:sz w:val="24"/>
        </w:rPr>
        <w:fldChar w:fldCharType="begin"/>
      </w:r>
      <w:r>
        <w:rPr>
          <w:rFonts w:eastAsia="方正仿宋_GBK"/>
          <w:sz w:val="24"/>
        </w:rPr>
        <w:instrText xml:space="preserve"> PAGEREF _Toc4483 \h </w:instrText>
      </w:r>
      <w:r>
        <w:rPr>
          <w:rFonts w:eastAsia="方正仿宋_GBK"/>
          <w:sz w:val="24"/>
        </w:rPr>
        <w:fldChar w:fldCharType="separate"/>
      </w:r>
      <w:r>
        <w:rPr>
          <w:rFonts w:eastAsia="方正仿宋_GBK"/>
          <w:sz w:val="24"/>
        </w:rPr>
        <w:t>4</w:t>
      </w:r>
      <w:r>
        <w:rPr>
          <w:rFonts w:eastAsia="方正仿宋_GBK"/>
          <w:sz w:val="24"/>
        </w:rPr>
        <w:fldChar w:fldCharType="end"/>
      </w:r>
      <w:r>
        <w:rPr>
          <w:rFonts w:eastAsia="方正仿宋_GBK"/>
          <w:sz w:val="24"/>
        </w:rPr>
        <w:fldChar w:fldCharType="end"/>
      </w:r>
    </w:p>
    <w:p w14:paraId="135E1256">
      <w:pPr>
        <w:pStyle w:val="17"/>
        <w:tabs>
          <w:tab w:val="right" w:leader="dot" w:pos="8844"/>
          <w:tab w:val="clear" w:pos="1260"/>
          <w:tab w:val="clear" w:pos="8630"/>
        </w:tabs>
        <w:rPr>
          <w:rFonts w:eastAsia="方正仿宋_GBK"/>
          <w:sz w:val="24"/>
        </w:rPr>
      </w:pPr>
      <w:r>
        <w:fldChar w:fldCharType="begin"/>
      </w:r>
      <w:r>
        <w:instrText xml:space="preserve"> HYPERLINK \l "_Toc17780" </w:instrText>
      </w:r>
      <w:r>
        <w:fldChar w:fldCharType="separate"/>
      </w:r>
      <w:r>
        <w:rPr>
          <w:rFonts w:eastAsia="方正仿宋_GBK"/>
          <w:sz w:val="24"/>
        </w:rPr>
        <w:t>9.响应文件的组成</w:t>
      </w:r>
      <w:r>
        <w:rPr>
          <w:rFonts w:eastAsia="方正仿宋_GBK"/>
          <w:sz w:val="24"/>
        </w:rPr>
        <w:tab/>
      </w:r>
      <w:r>
        <w:rPr>
          <w:rFonts w:eastAsia="方正仿宋_GBK"/>
          <w:sz w:val="24"/>
        </w:rPr>
        <w:fldChar w:fldCharType="begin"/>
      </w:r>
      <w:r>
        <w:rPr>
          <w:rFonts w:eastAsia="方正仿宋_GBK"/>
          <w:sz w:val="24"/>
        </w:rPr>
        <w:instrText xml:space="preserve"> PAGEREF _Toc17780 \h </w:instrText>
      </w:r>
      <w:r>
        <w:rPr>
          <w:rFonts w:eastAsia="方正仿宋_GBK"/>
          <w:sz w:val="24"/>
        </w:rPr>
        <w:fldChar w:fldCharType="separate"/>
      </w:r>
      <w:r>
        <w:rPr>
          <w:rFonts w:eastAsia="方正仿宋_GBK"/>
          <w:sz w:val="24"/>
        </w:rPr>
        <w:t>4</w:t>
      </w:r>
      <w:r>
        <w:rPr>
          <w:rFonts w:eastAsia="方正仿宋_GBK"/>
          <w:sz w:val="24"/>
        </w:rPr>
        <w:fldChar w:fldCharType="end"/>
      </w:r>
      <w:r>
        <w:rPr>
          <w:rFonts w:eastAsia="方正仿宋_GBK"/>
          <w:sz w:val="24"/>
        </w:rPr>
        <w:fldChar w:fldCharType="end"/>
      </w:r>
    </w:p>
    <w:p w14:paraId="7CEFAD7D">
      <w:pPr>
        <w:pStyle w:val="17"/>
        <w:tabs>
          <w:tab w:val="right" w:pos="3200"/>
          <w:tab w:val="right" w:leader="dot" w:pos="8844"/>
          <w:tab w:val="clear" w:pos="1260"/>
          <w:tab w:val="clear" w:pos="8630"/>
        </w:tabs>
        <w:rPr>
          <w:rFonts w:eastAsia="方正仿宋_GBK"/>
          <w:sz w:val="24"/>
        </w:rPr>
      </w:pPr>
      <w:r>
        <w:fldChar w:fldCharType="begin"/>
      </w:r>
      <w:r>
        <w:instrText xml:space="preserve"> HYPERLINK \l "_Toc15869" </w:instrText>
      </w:r>
      <w:r>
        <w:fldChar w:fldCharType="separate"/>
      </w:r>
      <w:r>
        <w:rPr>
          <w:rFonts w:eastAsia="方正仿宋_GBK"/>
          <w:sz w:val="24"/>
        </w:rPr>
        <w:t>10.</w:t>
      </w:r>
      <w:r>
        <w:rPr>
          <w:rFonts w:eastAsia="方正仿宋_GBK"/>
          <w:sz w:val="24"/>
        </w:rPr>
        <w:tab/>
      </w:r>
      <w:r>
        <w:rPr>
          <w:rFonts w:eastAsia="方正仿宋_GBK"/>
          <w:sz w:val="24"/>
        </w:rPr>
        <w:t>证明响应标的的合格性和符合磋商文件规定的技术文件</w:t>
      </w:r>
      <w:r>
        <w:rPr>
          <w:rFonts w:eastAsia="方正仿宋_GBK"/>
          <w:sz w:val="24"/>
        </w:rPr>
        <w:tab/>
      </w:r>
      <w:r>
        <w:rPr>
          <w:rFonts w:eastAsia="方正仿宋_GBK"/>
          <w:sz w:val="24"/>
        </w:rPr>
        <w:fldChar w:fldCharType="begin"/>
      </w:r>
      <w:r>
        <w:rPr>
          <w:rFonts w:eastAsia="方正仿宋_GBK"/>
          <w:sz w:val="24"/>
        </w:rPr>
        <w:instrText xml:space="preserve"> PAGEREF _Toc15869 \h </w:instrText>
      </w:r>
      <w:r>
        <w:rPr>
          <w:rFonts w:eastAsia="方正仿宋_GBK"/>
          <w:sz w:val="24"/>
        </w:rPr>
        <w:fldChar w:fldCharType="separate"/>
      </w:r>
      <w:r>
        <w:rPr>
          <w:rFonts w:eastAsia="方正仿宋_GBK"/>
          <w:sz w:val="24"/>
        </w:rPr>
        <w:t>4</w:t>
      </w:r>
      <w:r>
        <w:rPr>
          <w:rFonts w:eastAsia="方正仿宋_GBK"/>
          <w:sz w:val="24"/>
        </w:rPr>
        <w:fldChar w:fldCharType="end"/>
      </w:r>
      <w:r>
        <w:rPr>
          <w:rFonts w:eastAsia="方正仿宋_GBK"/>
          <w:sz w:val="24"/>
        </w:rPr>
        <w:fldChar w:fldCharType="end"/>
      </w:r>
    </w:p>
    <w:p w14:paraId="088036B4">
      <w:pPr>
        <w:pStyle w:val="17"/>
        <w:tabs>
          <w:tab w:val="right" w:leader="dot" w:pos="8844"/>
          <w:tab w:val="clear" w:pos="1260"/>
          <w:tab w:val="clear" w:pos="8630"/>
        </w:tabs>
        <w:rPr>
          <w:rFonts w:eastAsia="方正仿宋_GBK"/>
          <w:sz w:val="24"/>
        </w:rPr>
      </w:pPr>
      <w:r>
        <w:fldChar w:fldCharType="begin"/>
      </w:r>
      <w:r>
        <w:instrText xml:space="preserve"> HYPERLINK \l "_Toc25289" </w:instrText>
      </w:r>
      <w:r>
        <w:fldChar w:fldCharType="separate"/>
      </w:r>
      <w:r>
        <w:rPr>
          <w:rFonts w:eastAsia="方正仿宋_GBK"/>
          <w:sz w:val="24"/>
        </w:rPr>
        <w:t>11.投标报价</w:t>
      </w:r>
      <w:r>
        <w:rPr>
          <w:rFonts w:eastAsia="方正仿宋_GBK"/>
          <w:sz w:val="24"/>
        </w:rPr>
        <w:tab/>
      </w:r>
      <w:r>
        <w:rPr>
          <w:rFonts w:eastAsia="方正仿宋_GBK"/>
          <w:sz w:val="24"/>
        </w:rPr>
        <w:fldChar w:fldCharType="begin"/>
      </w:r>
      <w:r>
        <w:rPr>
          <w:rFonts w:eastAsia="方正仿宋_GBK"/>
          <w:sz w:val="24"/>
        </w:rPr>
        <w:instrText xml:space="preserve"> PAGEREF _Toc25289 \h </w:instrText>
      </w:r>
      <w:r>
        <w:rPr>
          <w:rFonts w:eastAsia="方正仿宋_GBK"/>
          <w:sz w:val="24"/>
        </w:rPr>
        <w:fldChar w:fldCharType="separate"/>
      </w:r>
      <w:r>
        <w:rPr>
          <w:rFonts w:eastAsia="方正仿宋_GBK"/>
          <w:sz w:val="24"/>
        </w:rPr>
        <w:t>5</w:t>
      </w:r>
      <w:r>
        <w:rPr>
          <w:rFonts w:eastAsia="方正仿宋_GBK"/>
          <w:sz w:val="24"/>
        </w:rPr>
        <w:fldChar w:fldCharType="end"/>
      </w:r>
      <w:r>
        <w:rPr>
          <w:rFonts w:eastAsia="方正仿宋_GBK"/>
          <w:sz w:val="24"/>
        </w:rPr>
        <w:fldChar w:fldCharType="end"/>
      </w:r>
    </w:p>
    <w:p w14:paraId="788A062F">
      <w:pPr>
        <w:pStyle w:val="17"/>
        <w:tabs>
          <w:tab w:val="right" w:leader="dot" w:pos="8844"/>
          <w:tab w:val="clear" w:pos="1260"/>
          <w:tab w:val="clear" w:pos="8630"/>
        </w:tabs>
        <w:rPr>
          <w:rFonts w:eastAsia="方正仿宋_GBK"/>
          <w:sz w:val="24"/>
        </w:rPr>
      </w:pPr>
      <w:r>
        <w:fldChar w:fldCharType="begin"/>
      </w:r>
      <w:r>
        <w:instrText xml:space="preserve"> HYPERLINK \l "_Toc7718" </w:instrText>
      </w:r>
      <w:r>
        <w:fldChar w:fldCharType="separate"/>
      </w:r>
      <w:r>
        <w:rPr>
          <w:rFonts w:eastAsia="方正仿宋_GBK"/>
          <w:sz w:val="24"/>
        </w:rPr>
        <w:t>12.磋商保证金</w:t>
      </w:r>
      <w:r>
        <w:rPr>
          <w:rFonts w:eastAsia="方正仿宋_GBK"/>
          <w:sz w:val="24"/>
        </w:rPr>
        <w:tab/>
      </w:r>
      <w:r>
        <w:rPr>
          <w:rFonts w:eastAsia="方正仿宋_GBK"/>
          <w:sz w:val="24"/>
        </w:rPr>
        <w:fldChar w:fldCharType="begin"/>
      </w:r>
      <w:r>
        <w:rPr>
          <w:rFonts w:eastAsia="方正仿宋_GBK"/>
          <w:sz w:val="24"/>
        </w:rPr>
        <w:instrText xml:space="preserve"> PAGEREF _Toc7718 \h </w:instrText>
      </w:r>
      <w:r>
        <w:rPr>
          <w:rFonts w:eastAsia="方正仿宋_GBK"/>
          <w:sz w:val="24"/>
        </w:rPr>
        <w:fldChar w:fldCharType="separate"/>
      </w:r>
      <w:r>
        <w:rPr>
          <w:rFonts w:eastAsia="方正仿宋_GBK"/>
          <w:sz w:val="24"/>
        </w:rPr>
        <w:t>5</w:t>
      </w:r>
      <w:r>
        <w:rPr>
          <w:rFonts w:eastAsia="方正仿宋_GBK"/>
          <w:sz w:val="24"/>
        </w:rPr>
        <w:fldChar w:fldCharType="end"/>
      </w:r>
      <w:r>
        <w:rPr>
          <w:rFonts w:eastAsia="方正仿宋_GBK"/>
          <w:sz w:val="24"/>
        </w:rPr>
        <w:fldChar w:fldCharType="end"/>
      </w:r>
    </w:p>
    <w:p w14:paraId="22751946">
      <w:pPr>
        <w:pStyle w:val="17"/>
        <w:tabs>
          <w:tab w:val="right" w:leader="dot" w:pos="8844"/>
          <w:tab w:val="clear" w:pos="1260"/>
          <w:tab w:val="clear" w:pos="8630"/>
        </w:tabs>
        <w:rPr>
          <w:rFonts w:eastAsia="方正仿宋_GBK"/>
          <w:sz w:val="24"/>
        </w:rPr>
      </w:pPr>
      <w:r>
        <w:fldChar w:fldCharType="begin"/>
      </w:r>
      <w:r>
        <w:instrText xml:space="preserve"> HYPERLINK \l "_Toc12772" </w:instrText>
      </w:r>
      <w:r>
        <w:fldChar w:fldCharType="separate"/>
      </w:r>
      <w:r>
        <w:rPr>
          <w:rFonts w:eastAsia="方正仿宋_GBK"/>
          <w:sz w:val="24"/>
        </w:rPr>
        <w:t>13.响应有效期</w:t>
      </w:r>
      <w:r>
        <w:rPr>
          <w:rFonts w:eastAsia="方正仿宋_GBK"/>
          <w:sz w:val="24"/>
        </w:rPr>
        <w:tab/>
      </w:r>
      <w:r>
        <w:rPr>
          <w:rFonts w:eastAsia="方正仿宋_GBK"/>
          <w:sz w:val="24"/>
        </w:rPr>
        <w:fldChar w:fldCharType="begin"/>
      </w:r>
      <w:r>
        <w:rPr>
          <w:rFonts w:eastAsia="方正仿宋_GBK"/>
          <w:sz w:val="24"/>
        </w:rPr>
        <w:instrText xml:space="preserve"> PAGEREF _Toc12772 \h </w:instrText>
      </w:r>
      <w:r>
        <w:rPr>
          <w:rFonts w:eastAsia="方正仿宋_GBK"/>
          <w:sz w:val="24"/>
        </w:rPr>
        <w:fldChar w:fldCharType="separate"/>
      </w:r>
      <w:r>
        <w:rPr>
          <w:rFonts w:eastAsia="方正仿宋_GBK"/>
          <w:sz w:val="24"/>
        </w:rPr>
        <w:t>6</w:t>
      </w:r>
      <w:r>
        <w:rPr>
          <w:rFonts w:eastAsia="方正仿宋_GBK"/>
          <w:sz w:val="24"/>
        </w:rPr>
        <w:fldChar w:fldCharType="end"/>
      </w:r>
      <w:r>
        <w:rPr>
          <w:rFonts w:eastAsia="方正仿宋_GBK"/>
          <w:sz w:val="24"/>
        </w:rPr>
        <w:fldChar w:fldCharType="end"/>
      </w:r>
    </w:p>
    <w:p w14:paraId="2B39C7E4">
      <w:pPr>
        <w:pStyle w:val="17"/>
        <w:tabs>
          <w:tab w:val="right" w:leader="dot" w:pos="8844"/>
          <w:tab w:val="clear" w:pos="1260"/>
          <w:tab w:val="clear" w:pos="8630"/>
        </w:tabs>
        <w:rPr>
          <w:rFonts w:eastAsia="方正仿宋_GBK"/>
          <w:sz w:val="24"/>
        </w:rPr>
      </w:pPr>
      <w:r>
        <w:fldChar w:fldCharType="begin"/>
      </w:r>
      <w:r>
        <w:instrText xml:space="preserve"> HYPERLINK \l "_Toc32088" </w:instrText>
      </w:r>
      <w:r>
        <w:fldChar w:fldCharType="separate"/>
      </w:r>
      <w:r>
        <w:rPr>
          <w:rFonts w:eastAsia="方正仿宋_GBK"/>
          <w:sz w:val="24"/>
        </w:rPr>
        <w:t>14.响应文件的签署及规定</w:t>
      </w:r>
      <w:r>
        <w:rPr>
          <w:rFonts w:eastAsia="方正仿宋_GBK"/>
          <w:sz w:val="24"/>
        </w:rPr>
        <w:tab/>
      </w:r>
      <w:r>
        <w:rPr>
          <w:rFonts w:eastAsia="方正仿宋_GBK"/>
          <w:sz w:val="24"/>
        </w:rPr>
        <w:fldChar w:fldCharType="begin"/>
      </w:r>
      <w:r>
        <w:rPr>
          <w:rFonts w:eastAsia="方正仿宋_GBK"/>
          <w:sz w:val="24"/>
        </w:rPr>
        <w:instrText xml:space="preserve"> PAGEREF _Toc32088 \h </w:instrText>
      </w:r>
      <w:r>
        <w:rPr>
          <w:rFonts w:eastAsia="方正仿宋_GBK"/>
          <w:sz w:val="24"/>
        </w:rPr>
        <w:fldChar w:fldCharType="separate"/>
      </w:r>
      <w:r>
        <w:rPr>
          <w:rFonts w:eastAsia="方正仿宋_GBK"/>
          <w:sz w:val="24"/>
        </w:rPr>
        <w:t>6</w:t>
      </w:r>
      <w:r>
        <w:rPr>
          <w:rFonts w:eastAsia="方正仿宋_GBK"/>
          <w:sz w:val="24"/>
        </w:rPr>
        <w:fldChar w:fldCharType="end"/>
      </w:r>
      <w:r>
        <w:rPr>
          <w:rFonts w:eastAsia="方正仿宋_GBK"/>
          <w:sz w:val="24"/>
        </w:rPr>
        <w:fldChar w:fldCharType="end"/>
      </w:r>
    </w:p>
    <w:p w14:paraId="4E801E52">
      <w:pPr>
        <w:pStyle w:val="32"/>
        <w:tabs>
          <w:tab w:val="right" w:leader="dot" w:pos="8844"/>
        </w:tabs>
        <w:rPr>
          <w:rFonts w:eastAsia="方正仿宋_GBK"/>
          <w:sz w:val="24"/>
        </w:rPr>
      </w:pPr>
      <w:r>
        <w:fldChar w:fldCharType="begin"/>
      </w:r>
      <w:r>
        <w:instrText xml:space="preserve"> HYPERLINK \l "_Toc3368" </w:instrText>
      </w:r>
      <w:r>
        <w:fldChar w:fldCharType="separate"/>
      </w:r>
      <w:r>
        <w:rPr>
          <w:rFonts w:eastAsia="方正仿宋_GBK"/>
          <w:b/>
          <w:bCs/>
          <w:sz w:val="24"/>
        </w:rPr>
        <w:t>四   响应文件的递交</w:t>
      </w:r>
      <w:r>
        <w:rPr>
          <w:rFonts w:eastAsia="方正仿宋_GBK"/>
          <w:sz w:val="24"/>
        </w:rPr>
        <w:tab/>
      </w:r>
      <w:r>
        <w:rPr>
          <w:rFonts w:eastAsia="方正仿宋_GBK"/>
          <w:sz w:val="24"/>
        </w:rPr>
        <w:fldChar w:fldCharType="begin"/>
      </w:r>
      <w:r>
        <w:rPr>
          <w:rFonts w:eastAsia="方正仿宋_GBK"/>
          <w:sz w:val="24"/>
        </w:rPr>
        <w:instrText xml:space="preserve"> PAGEREF _Toc3368 \h </w:instrText>
      </w:r>
      <w:r>
        <w:rPr>
          <w:rFonts w:eastAsia="方正仿宋_GBK"/>
          <w:sz w:val="24"/>
        </w:rPr>
        <w:fldChar w:fldCharType="separate"/>
      </w:r>
      <w:r>
        <w:rPr>
          <w:rFonts w:eastAsia="方正仿宋_GBK"/>
          <w:sz w:val="24"/>
        </w:rPr>
        <w:t>6</w:t>
      </w:r>
      <w:r>
        <w:rPr>
          <w:rFonts w:eastAsia="方正仿宋_GBK"/>
          <w:sz w:val="24"/>
        </w:rPr>
        <w:fldChar w:fldCharType="end"/>
      </w:r>
      <w:r>
        <w:rPr>
          <w:rFonts w:eastAsia="方正仿宋_GBK"/>
          <w:sz w:val="24"/>
        </w:rPr>
        <w:fldChar w:fldCharType="end"/>
      </w:r>
    </w:p>
    <w:p w14:paraId="7BEEDECD">
      <w:pPr>
        <w:pStyle w:val="17"/>
        <w:tabs>
          <w:tab w:val="right" w:leader="dot" w:pos="8844"/>
          <w:tab w:val="clear" w:pos="1260"/>
          <w:tab w:val="clear" w:pos="8630"/>
        </w:tabs>
        <w:rPr>
          <w:rFonts w:eastAsia="方正仿宋_GBK"/>
          <w:sz w:val="24"/>
        </w:rPr>
      </w:pPr>
      <w:r>
        <w:fldChar w:fldCharType="begin"/>
      </w:r>
      <w:r>
        <w:instrText xml:space="preserve"> HYPERLINK \l "_Toc13473" </w:instrText>
      </w:r>
      <w:r>
        <w:fldChar w:fldCharType="separate"/>
      </w:r>
      <w:r>
        <w:rPr>
          <w:rFonts w:eastAsia="方正仿宋_GBK"/>
          <w:sz w:val="24"/>
        </w:rPr>
        <w:t>15.响应文件的密封和标记</w:t>
      </w:r>
      <w:r>
        <w:rPr>
          <w:rFonts w:eastAsia="方正仿宋_GBK"/>
          <w:sz w:val="24"/>
        </w:rPr>
        <w:tab/>
      </w:r>
      <w:r>
        <w:rPr>
          <w:rFonts w:eastAsia="方正仿宋_GBK"/>
          <w:sz w:val="24"/>
        </w:rPr>
        <w:fldChar w:fldCharType="begin"/>
      </w:r>
      <w:r>
        <w:rPr>
          <w:rFonts w:eastAsia="方正仿宋_GBK"/>
          <w:sz w:val="24"/>
        </w:rPr>
        <w:instrText xml:space="preserve"> PAGEREF _Toc13473 \h </w:instrText>
      </w:r>
      <w:r>
        <w:rPr>
          <w:rFonts w:eastAsia="方正仿宋_GBK"/>
          <w:sz w:val="24"/>
        </w:rPr>
        <w:fldChar w:fldCharType="separate"/>
      </w:r>
      <w:r>
        <w:rPr>
          <w:rFonts w:eastAsia="方正仿宋_GBK"/>
          <w:sz w:val="24"/>
        </w:rPr>
        <w:t>6</w:t>
      </w:r>
      <w:r>
        <w:rPr>
          <w:rFonts w:eastAsia="方正仿宋_GBK"/>
          <w:sz w:val="24"/>
        </w:rPr>
        <w:fldChar w:fldCharType="end"/>
      </w:r>
      <w:r>
        <w:rPr>
          <w:rFonts w:eastAsia="方正仿宋_GBK"/>
          <w:sz w:val="24"/>
        </w:rPr>
        <w:fldChar w:fldCharType="end"/>
      </w:r>
    </w:p>
    <w:p w14:paraId="568D3A5D">
      <w:pPr>
        <w:pStyle w:val="17"/>
        <w:tabs>
          <w:tab w:val="right" w:leader="dot" w:pos="8844"/>
          <w:tab w:val="clear" w:pos="1260"/>
          <w:tab w:val="clear" w:pos="8630"/>
        </w:tabs>
        <w:rPr>
          <w:rFonts w:eastAsia="方正仿宋_GBK"/>
          <w:sz w:val="24"/>
        </w:rPr>
      </w:pPr>
      <w:r>
        <w:fldChar w:fldCharType="begin"/>
      </w:r>
      <w:r>
        <w:instrText xml:space="preserve"> HYPERLINK \l "_Toc28968" </w:instrText>
      </w:r>
      <w:r>
        <w:fldChar w:fldCharType="separate"/>
      </w:r>
      <w:r>
        <w:rPr>
          <w:rFonts w:eastAsia="方正仿宋_GBK"/>
          <w:sz w:val="24"/>
        </w:rPr>
        <w:t>16.响应截止</w:t>
      </w:r>
      <w:r>
        <w:rPr>
          <w:rFonts w:eastAsia="方正仿宋_GBK"/>
          <w:sz w:val="24"/>
        </w:rPr>
        <w:tab/>
      </w:r>
      <w:r>
        <w:rPr>
          <w:rFonts w:eastAsia="方正仿宋_GBK"/>
          <w:sz w:val="24"/>
        </w:rPr>
        <w:fldChar w:fldCharType="begin"/>
      </w:r>
      <w:r>
        <w:rPr>
          <w:rFonts w:eastAsia="方正仿宋_GBK"/>
          <w:sz w:val="24"/>
        </w:rPr>
        <w:instrText xml:space="preserve"> PAGEREF _Toc28968 \h </w:instrText>
      </w:r>
      <w:r>
        <w:rPr>
          <w:rFonts w:eastAsia="方正仿宋_GBK"/>
          <w:sz w:val="24"/>
        </w:rPr>
        <w:fldChar w:fldCharType="separate"/>
      </w:r>
      <w:r>
        <w:rPr>
          <w:rFonts w:eastAsia="方正仿宋_GBK"/>
          <w:sz w:val="24"/>
        </w:rPr>
        <w:t>7</w:t>
      </w:r>
      <w:r>
        <w:rPr>
          <w:rFonts w:eastAsia="方正仿宋_GBK"/>
          <w:sz w:val="24"/>
        </w:rPr>
        <w:fldChar w:fldCharType="end"/>
      </w:r>
      <w:r>
        <w:rPr>
          <w:rFonts w:eastAsia="方正仿宋_GBK"/>
          <w:sz w:val="24"/>
        </w:rPr>
        <w:fldChar w:fldCharType="end"/>
      </w:r>
    </w:p>
    <w:p w14:paraId="05B38E0D">
      <w:pPr>
        <w:pStyle w:val="17"/>
        <w:tabs>
          <w:tab w:val="right" w:leader="dot" w:pos="8844"/>
          <w:tab w:val="clear" w:pos="1260"/>
          <w:tab w:val="clear" w:pos="8630"/>
        </w:tabs>
        <w:rPr>
          <w:rFonts w:eastAsia="方正仿宋_GBK"/>
          <w:sz w:val="24"/>
        </w:rPr>
      </w:pPr>
      <w:r>
        <w:fldChar w:fldCharType="begin"/>
      </w:r>
      <w:r>
        <w:instrText xml:space="preserve"> HYPERLINK \l "_Toc15278" </w:instrText>
      </w:r>
      <w:r>
        <w:fldChar w:fldCharType="separate"/>
      </w:r>
      <w:r>
        <w:rPr>
          <w:rFonts w:eastAsia="方正仿宋_GBK"/>
          <w:sz w:val="24"/>
        </w:rPr>
        <w:t>17.响应文件的接收、修改与撤回</w:t>
      </w:r>
      <w:r>
        <w:rPr>
          <w:rFonts w:eastAsia="方正仿宋_GBK"/>
          <w:sz w:val="24"/>
        </w:rPr>
        <w:tab/>
      </w:r>
      <w:r>
        <w:rPr>
          <w:rFonts w:eastAsia="方正仿宋_GBK"/>
          <w:sz w:val="24"/>
        </w:rPr>
        <w:fldChar w:fldCharType="begin"/>
      </w:r>
      <w:r>
        <w:rPr>
          <w:rFonts w:eastAsia="方正仿宋_GBK"/>
          <w:sz w:val="24"/>
        </w:rPr>
        <w:instrText xml:space="preserve"> PAGEREF _Toc15278 \h </w:instrText>
      </w:r>
      <w:r>
        <w:rPr>
          <w:rFonts w:eastAsia="方正仿宋_GBK"/>
          <w:sz w:val="24"/>
        </w:rPr>
        <w:fldChar w:fldCharType="separate"/>
      </w:r>
      <w:r>
        <w:rPr>
          <w:rFonts w:eastAsia="方正仿宋_GBK"/>
          <w:sz w:val="24"/>
        </w:rPr>
        <w:t>7</w:t>
      </w:r>
      <w:r>
        <w:rPr>
          <w:rFonts w:eastAsia="方正仿宋_GBK"/>
          <w:sz w:val="24"/>
        </w:rPr>
        <w:fldChar w:fldCharType="end"/>
      </w:r>
      <w:r>
        <w:rPr>
          <w:rFonts w:eastAsia="方正仿宋_GBK"/>
          <w:sz w:val="24"/>
        </w:rPr>
        <w:fldChar w:fldCharType="end"/>
      </w:r>
    </w:p>
    <w:p w14:paraId="571A7CC9">
      <w:pPr>
        <w:pStyle w:val="32"/>
        <w:tabs>
          <w:tab w:val="right" w:leader="dot" w:pos="8844"/>
        </w:tabs>
        <w:rPr>
          <w:rFonts w:eastAsia="方正仿宋_GBK"/>
          <w:sz w:val="24"/>
        </w:rPr>
      </w:pPr>
      <w:r>
        <w:fldChar w:fldCharType="begin"/>
      </w:r>
      <w:r>
        <w:instrText xml:space="preserve"> HYPERLINK \l "_Toc20731" </w:instrText>
      </w:r>
      <w:r>
        <w:fldChar w:fldCharType="separate"/>
      </w:r>
      <w:r>
        <w:rPr>
          <w:rFonts w:eastAsia="方正仿宋_GBK"/>
          <w:b/>
          <w:bCs/>
          <w:sz w:val="24"/>
        </w:rPr>
        <w:t>五   磋商开启及评审</w:t>
      </w:r>
      <w:r>
        <w:rPr>
          <w:rFonts w:eastAsia="方正仿宋_GBK"/>
          <w:sz w:val="24"/>
        </w:rPr>
        <w:tab/>
      </w:r>
      <w:r>
        <w:rPr>
          <w:rFonts w:eastAsia="方正仿宋_GBK"/>
          <w:sz w:val="24"/>
        </w:rPr>
        <w:fldChar w:fldCharType="begin"/>
      </w:r>
      <w:r>
        <w:rPr>
          <w:rFonts w:eastAsia="方正仿宋_GBK"/>
          <w:sz w:val="24"/>
        </w:rPr>
        <w:instrText xml:space="preserve"> PAGEREF _Toc20731 \h </w:instrText>
      </w:r>
      <w:r>
        <w:rPr>
          <w:rFonts w:eastAsia="方正仿宋_GBK"/>
          <w:sz w:val="24"/>
        </w:rPr>
        <w:fldChar w:fldCharType="separate"/>
      </w:r>
      <w:r>
        <w:rPr>
          <w:rFonts w:eastAsia="方正仿宋_GBK"/>
          <w:sz w:val="24"/>
        </w:rPr>
        <w:t>7</w:t>
      </w:r>
      <w:r>
        <w:rPr>
          <w:rFonts w:eastAsia="方正仿宋_GBK"/>
          <w:sz w:val="24"/>
        </w:rPr>
        <w:fldChar w:fldCharType="end"/>
      </w:r>
      <w:r>
        <w:rPr>
          <w:rFonts w:eastAsia="方正仿宋_GBK"/>
          <w:sz w:val="24"/>
        </w:rPr>
        <w:fldChar w:fldCharType="end"/>
      </w:r>
    </w:p>
    <w:p w14:paraId="3E68D869">
      <w:pPr>
        <w:pStyle w:val="17"/>
        <w:tabs>
          <w:tab w:val="right" w:leader="dot" w:pos="8844"/>
          <w:tab w:val="clear" w:pos="1260"/>
          <w:tab w:val="clear" w:pos="8630"/>
        </w:tabs>
        <w:rPr>
          <w:rFonts w:eastAsia="方正仿宋_GBK"/>
          <w:sz w:val="24"/>
        </w:rPr>
      </w:pPr>
      <w:r>
        <w:fldChar w:fldCharType="begin"/>
      </w:r>
      <w:r>
        <w:instrText xml:space="preserve"> HYPERLINK \l "_Toc4844" </w:instrText>
      </w:r>
      <w:r>
        <w:fldChar w:fldCharType="separate"/>
      </w:r>
      <w:r>
        <w:rPr>
          <w:rFonts w:eastAsia="方正仿宋_GBK"/>
          <w:sz w:val="24"/>
        </w:rPr>
        <w:t>18.磋商</w:t>
      </w:r>
      <w:r>
        <w:rPr>
          <w:rFonts w:eastAsia="方正仿宋_GBK"/>
          <w:sz w:val="24"/>
        </w:rPr>
        <w:tab/>
      </w:r>
      <w:r>
        <w:rPr>
          <w:rFonts w:eastAsia="方正仿宋_GBK"/>
          <w:sz w:val="24"/>
        </w:rPr>
        <w:fldChar w:fldCharType="begin"/>
      </w:r>
      <w:r>
        <w:rPr>
          <w:rFonts w:eastAsia="方正仿宋_GBK"/>
          <w:sz w:val="24"/>
        </w:rPr>
        <w:instrText xml:space="preserve"> PAGEREF _Toc4844 \h </w:instrText>
      </w:r>
      <w:r>
        <w:rPr>
          <w:rFonts w:eastAsia="方正仿宋_GBK"/>
          <w:sz w:val="24"/>
        </w:rPr>
        <w:fldChar w:fldCharType="separate"/>
      </w:r>
      <w:r>
        <w:rPr>
          <w:rFonts w:eastAsia="方正仿宋_GBK"/>
          <w:sz w:val="24"/>
        </w:rPr>
        <w:t>7</w:t>
      </w:r>
      <w:r>
        <w:rPr>
          <w:rFonts w:eastAsia="方正仿宋_GBK"/>
          <w:sz w:val="24"/>
        </w:rPr>
        <w:fldChar w:fldCharType="end"/>
      </w:r>
      <w:r>
        <w:rPr>
          <w:rFonts w:eastAsia="方正仿宋_GBK"/>
          <w:sz w:val="24"/>
        </w:rPr>
        <w:fldChar w:fldCharType="end"/>
      </w:r>
    </w:p>
    <w:p w14:paraId="5702BF14">
      <w:pPr>
        <w:pStyle w:val="17"/>
        <w:tabs>
          <w:tab w:val="right" w:leader="dot" w:pos="8844"/>
          <w:tab w:val="clear" w:pos="1260"/>
          <w:tab w:val="clear" w:pos="8630"/>
        </w:tabs>
        <w:rPr>
          <w:rFonts w:eastAsia="方正仿宋_GBK"/>
          <w:sz w:val="24"/>
        </w:rPr>
      </w:pPr>
      <w:r>
        <w:fldChar w:fldCharType="begin"/>
      </w:r>
      <w:r>
        <w:instrText xml:space="preserve"> HYPERLINK \l "_Toc26176" </w:instrText>
      </w:r>
      <w:r>
        <w:fldChar w:fldCharType="separate"/>
      </w:r>
      <w:r>
        <w:rPr>
          <w:rFonts w:eastAsia="方正仿宋_GBK"/>
          <w:sz w:val="24"/>
        </w:rPr>
        <w:t>19.资格审查及组建磋商小组</w:t>
      </w:r>
      <w:r>
        <w:rPr>
          <w:rFonts w:eastAsia="方正仿宋_GBK"/>
          <w:sz w:val="24"/>
        </w:rPr>
        <w:tab/>
      </w:r>
      <w:r>
        <w:rPr>
          <w:rFonts w:eastAsia="方正仿宋_GBK"/>
          <w:sz w:val="24"/>
        </w:rPr>
        <w:fldChar w:fldCharType="begin"/>
      </w:r>
      <w:r>
        <w:rPr>
          <w:rFonts w:eastAsia="方正仿宋_GBK"/>
          <w:sz w:val="24"/>
        </w:rPr>
        <w:instrText xml:space="preserve"> PAGEREF _Toc26176 \h </w:instrText>
      </w:r>
      <w:r>
        <w:rPr>
          <w:rFonts w:eastAsia="方正仿宋_GBK"/>
          <w:sz w:val="24"/>
        </w:rPr>
        <w:fldChar w:fldCharType="separate"/>
      </w:r>
      <w:r>
        <w:rPr>
          <w:rFonts w:eastAsia="方正仿宋_GBK"/>
          <w:sz w:val="24"/>
        </w:rPr>
        <w:t>10</w:t>
      </w:r>
      <w:r>
        <w:rPr>
          <w:rFonts w:eastAsia="方正仿宋_GBK"/>
          <w:sz w:val="24"/>
        </w:rPr>
        <w:fldChar w:fldCharType="end"/>
      </w:r>
      <w:r>
        <w:rPr>
          <w:rFonts w:eastAsia="方正仿宋_GBK"/>
          <w:sz w:val="24"/>
        </w:rPr>
        <w:fldChar w:fldCharType="end"/>
      </w:r>
    </w:p>
    <w:p w14:paraId="420FDCAB">
      <w:pPr>
        <w:pStyle w:val="17"/>
        <w:tabs>
          <w:tab w:val="right" w:leader="dot" w:pos="8844"/>
          <w:tab w:val="clear" w:pos="1260"/>
          <w:tab w:val="clear" w:pos="8630"/>
        </w:tabs>
        <w:rPr>
          <w:rFonts w:eastAsia="方正仿宋_GBK"/>
          <w:sz w:val="24"/>
        </w:rPr>
      </w:pPr>
      <w:r>
        <w:fldChar w:fldCharType="begin"/>
      </w:r>
      <w:r>
        <w:instrText xml:space="preserve"> HYPERLINK \l "_Toc10996" </w:instrText>
      </w:r>
      <w:r>
        <w:fldChar w:fldCharType="separate"/>
      </w:r>
      <w:r>
        <w:rPr>
          <w:rFonts w:eastAsia="方正仿宋_GBK"/>
          <w:sz w:val="24"/>
        </w:rPr>
        <w:t>20.响应文件符合性审查与澄清</w:t>
      </w:r>
      <w:r>
        <w:rPr>
          <w:rFonts w:eastAsia="方正仿宋_GBK"/>
          <w:sz w:val="24"/>
        </w:rPr>
        <w:tab/>
      </w:r>
      <w:r>
        <w:rPr>
          <w:rFonts w:eastAsia="方正仿宋_GBK"/>
          <w:sz w:val="24"/>
        </w:rPr>
        <w:fldChar w:fldCharType="begin"/>
      </w:r>
      <w:r>
        <w:rPr>
          <w:rFonts w:eastAsia="方正仿宋_GBK"/>
          <w:sz w:val="24"/>
        </w:rPr>
        <w:instrText xml:space="preserve"> PAGEREF _Toc10996 \h </w:instrText>
      </w:r>
      <w:r>
        <w:rPr>
          <w:rFonts w:eastAsia="方正仿宋_GBK"/>
          <w:sz w:val="24"/>
        </w:rPr>
        <w:fldChar w:fldCharType="separate"/>
      </w:r>
      <w:r>
        <w:rPr>
          <w:rFonts w:eastAsia="方正仿宋_GBK"/>
          <w:sz w:val="24"/>
        </w:rPr>
        <w:t>12</w:t>
      </w:r>
      <w:r>
        <w:rPr>
          <w:rFonts w:eastAsia="方正仿宋_GBK"/>
          <w:sz w:val="24"/>
        </w:rPr>
        <w:fldChar w:fldCharType="end"/>
      </w:r>
      <w:r>
        <w:rPr>
          <w:rFonts w:eastAsia="方正仿宋_GBK"/>
          <w:sz w:val="24"/>
        </w:rPr>
        <w:fldChar w:fldCharType="end"/>
      </w:r>
    </w:p>
    <w:p w14:paraId="1E7EBFA8">
      <w:pPr>
        <w:pStyle w:val="17"/>
        <w:tabs>
          <w:tab w:val="right" w:leader="dot" w:pos="8844"/>
          <w:tab w:val="clear" w:pos="1260"/>
          <w:tab w:val="clear" w:pos="8630"/>
        </w:tabs>
        <w:rPr>
          <w:rFonts w:eastAsia="方正仿宋_GBK"/>
          <w:sz w:val="24"/>
        </w:rPr>
      </w:pPr>
      <w:r>
        <w:fldChar w:fldCharType="begin"/>
      </w:r>
      <w:r>
        <w:instrText xml:space="preserve"> HYPERLINK \l "_Toc21375" </w:instrText>
      </w:r>
      <w:r>
        <w:fldChar w:fldCharType="separate"/>
      </w:r>
      <w:r>
        <w:rPr>
          <w:rFonts w:eastAsia="方正仿宋_GBK"/>
          <w:sz w:val="24"/>
        </w:rPr>
        <w:t>21.响应偏离</w:t>
      </w:r>
      <w:r>
        <w:rPr>
          <w:rFonts w:eastAsia="方正仿宋_GBK"/>
          <w:sz w:val="24"/>
        </w:rPr>
        <w:tab/>
      </w:r>
      <w:r>
        <w:rPr>
          <w:rFonts w:eastAsia="方正仿宋_GBK"/>
          <w:sz w:val="24"/>
        </w:rPr>
        <w:fldChar w:fldCharType="begin"/>
      </w:r>
      <w:r>
        <w:rPr>
          <w:rFonts w:eastAsia="方正仿宋_GBK"/>
          <w:sz w:val="24"/>
        </w:rPr>
        <w:instrText xml:space="preserve"> PAGEREF _Toc21375 \h </w:instrText>
      </w:r>
      <w:r>
        <w:rPr>
          <w:rFonts w:eastAsia="方正仿宋_GBK"/>
          <w:sz w:val="24"/>
        </w:rPr>
        <w:fldChar w:fldCharType="separate"/>
      </w:r>
      <w:r>
        <w:rPr>
          <w:rFonts w:eastAsia="方正仿宋_GBK"/>
          <w:sz w:val="24"/>
        </w:rPr>
        <w:t>12</w:t>
      </w:r>
      <w:r>
        <w:rPr>
          <w:rFonts w:eastAsia="方正仿宋_GBK"/>
          <w:sz w:val="24"/>
        </w:rPr>
        <w:fldChar w:fldCharType="end"/>
      </w:r>
      <w:r>
        <w:rPr>
          <w:rFonts w:eastAsia="方正仿宋_GBK"/>
          <w:sz w:val="24"/>
        </w:rPr>
        <w:fldChar w:fldCharType="end"/>
      </w:r>
    </w:p>
    <w:p w14:paraId="0EEAF716">
      <w:pPr>
        <w:pStyle w:val="17"/>
        <w:tabs>
          <w:tab w:val="right" w:leader="dot" w:pos="8844"/>
          <w:tab w:val="clear" w:pos="1260"/>
          <w:tab w:val="clear" w:pos="8630"/>
        </w:tabs>
        <w:rPr>
          <w:rFonts w:eastAsia="方正仿宋_GBK"/>
          <w:sz w:val="24"/>
        </w:rPr>
      </w:pPr>
      <w:r>
        <w:fldChar w:fldCharType="begin"/>
      </w:r>
      <w:r>
        <w:instrText xml:space="preserve"> HYPERLINK \l "_Toc21604" </w:instrText>
      </w:r>
      <w:r>
        <w:fldChar w:fldCharType="separate"/>
      </w:r>
      <w:r>
        <w:rPr>
          <w:rFonts w:eastAsia="方正仿宋_GBK"/>
          <w:sz w:val="24"/>
        </w:rPr>
        <w:t>22.响应无效</w:t>
      </w:r>
      <w:r>
        <w:rPr>
          <w:rFonts w:eastAsia="方正仿宋_GBK"/>
          <w:sz w:val="24"/>
        </w:rPr>
        <w:tab/>
      </w:r>
      <w:r>
        <w:rPr>
          <w:rFonts w:eastAsia="方正仿宋_GBK"/>
          <w:sz w:val="24"/>
        </w:rPr>
        <w:fldChar w:fldCharType="begin"/>
      </w:r>
      <w:r>
        <w:rPr>
          <w:rFonts w:eastAsia="方正仿宋_GBK"/>
          <w:sz w:val="24"/>
        </w:rPr>
        <w:instrText xml:space="preserve"> PAGEREF _Toc21604 \h </w:instrText>
      </w:r>
      <w:r>
        <w:rPr>
          <w:rFonts w:eastAsia="方正仿宋_GBK"/>
          <w:sz w:val="24"/>
        </w:rPr>
        <w:fldChar w:fldCharType="separate"/>
      </w:r>
      <w:r>
        <w:rPr>
          <w:rFonts w:eastAsia="方正仿宋_GBK"/>
          <w:sz w:val="24"/>
        </w:rPr>
        <w:t>12</w:t>
      </w:r>
      <w:r>
        <w:rPr>
          <w:rFonts w:eastAsia="方正仿宋_GBK"/>
          <w:sz w:val="24"/>
        </w:rPr>
        <w:fldChar w:fldCharType="end"/>
      </w:r>
      <w:r>
        <w:rPr>
          <w:rFonts w:eastAsia="方正仿宋_GBK"/>
          <w:sz w:val="24"/>
        </w:rPr>
        <w:fldChar w:fldCharType="end"/>
      </w:r>
    </w:p>
    <w:p w14:paraId="6CB18F84">
      <w:pPr>
        <w:pStyle w:val="17"/>
        <w:tabs>
          <w:tab w:val="right" w:leader="dot" w:pos="8844"/>
          <w:tab w:val="clear" w:pos="1260"/>
          <w:tab w:val="clear" w:pos="8630"/>
        </w:tabs>
        <w:rPr>
          <w:rFonts w:eastAsia="方正仿宋_GBK"/>
          <w:sz w:val="24"/>
        </w:rPr>
      </w:pPr>
      <w:r>
        <w:fldChar w:fldCharType="begin"/>
      </w:r>
      <w:r>
        <w:instrText xml:space="preserve"> HYPERLINK \l "_Toc11556" </w:instrText>
      </w:r>
      <w:r>
        <w:fldChar w:fldCharType="separate"/>
      </w:r>
      <w:r>
        <w:rPr>
          <w:rFonts w:eastAsia="方正仿宋_GBK"/>
          <w:sz w:val="24"/>
        </w:rPr>
        <w:t>23.比较与评价</w:t>
      </w:r>
      <w:r>
        <w:rPr>
          <w:rFonts w:eastAsia="方正仿宋_GBK"/>
          <w:sz w:val="24"/>
        </w:rPr>
        <w:tab/>
      </w:r>
      <w:r>
        <w:rPr>
          <w:rFonts w:eastAsia="方正仿宋_GBK"/>
          <w:sz w:val="24"/>
        </w:rPr>
        <w:fldChar w:fldCharType="begin"/>
      </w:r>
      <w:r>
        <w:rPr>
          <w:rFonts w:eastAsia="方正仿宋_GBK"/>
          <w:sz w:val="24"/>
        </w:rPr>
        <w:instrText xml:space="preserve"> PAGEREF _Toc11556 \h </w:instrText>
      </w:r>
      <w:r>
        <w:rPr>
          <w:rFonts w:eastAsia="方正仿宋_GBK"/>
          <w:sz w:val="24"/>
        </w:rPr>
        <w:fldChar w:fldCharType="separate"/>
      </w:r>
      <w:r>
        <w:rPr>
          <w:rFonts w:eastAsia="方正仿宋_GBK"/>
          <w:sz w:val="24"/>
        </w:rPr>
        <w:t>13</w:t>
      </w:r>
      <w:r>
        <w:rPr>
          <w:rFonts w:eastAsia="方正仿宋_GBK"/>
          <w:sz w:val="24"/>
        </w:rPr>
        <w:fldChar w:fldCharType="end"/>
      </w:r>
      <w:r>
        <w:rPr>
          <w:rFonts w:eastAsia="方正仿宋_GBK"/>
          <w:sz w:val="24"/>
        </w:rPr>
        <w:fldChar w:fldCharType="end"/>
      </w:r>
    </w:p>
    <w:p w14:paraId="6F8F7BE3">
      <w:pPr>
        <w:pStyle w:val="17"/>
        <w:tabs>
          <w:tab w:val="right" w:leader="dot" w:pos="8844"/>
          <w:tab w:val="clear" w:pos="1260"/>
          <w:tab w:val="clear" w:pos="8630"/>
        </w:tabs>
        <w:rPr>
          <w:rFonts w:eastAsia="方正仿宋_GBK"/>
          <w:sz w:val="24"/>
        </w:rPr>
      </w:pPr>
      <w:r>
        <w:fldChar w:fldCharType="begin"/>
      </w:r>
      <w:r>
        <w:instrText xml:space="preserve"> HYPERLINK \l "_Toc13902" </w:instrText>
      </w:r>
      <w:r>
        <w:fldChar w:fldCharType="separate"/>
      </w:r>
      <w:r>
        <w:rPr>
          <w:rFonts w:eastAsia="方正仿宋_GBK"/>
          <w:sz w:val="24"/>
        </w:rPr>
        <w:t>24.废标</w:t>
      </w:r>
      <w:r>
        <w:rPr>
          <w:rFonts w:eastAsia="方正仿宋_GBK"/>
          <w:sz w:val="24"/>
        </w:rPr>
        <w:tab/>
      </w:r>
      <w:r>
        <w:rPr>
          <w:rFonts w:eastAsia="方正仿宋_GBK"/>
          <w:sz w:val="24"/>
        </w:rPr>
        <w:fldChar w:fldCharType="begin"/>
      </w:r>
      <w:r>
        <w:rPr>
          <w:rFonts w:eastAsia="方正仿宋_GBK"/>
          <w:sz w:val="24"/>
        </w:rPr>
        <w:instrText xml:space="preserve"> PAGEREF _Toc13902 \h </w:instrText>
      </w:r>
      <w:r>
        <w:rPr>
          <w:rFonts w:eastAsia="方正仿宋_GBK"/>
          <w:sz w:val="24"/>
        </w:rPr>
        <w:fldChar w:fldCharType="separate"/>
      </w:r>
      <w:r>
        <w:rPr>
          <w:rFonts w:eastAsia="方正仿宋_GBK"/>
          <w:sz w:val="24"/>
        </w:rPr>
        <w:t>14</w:t>
      </w:r>
      <w:r>
        <w:rPr>
          <w:rFonts w:eastAsia="方正仿宋_GBK"/>
          <w:sz w:val="24"/>
        </w:rPr>
        <w:fldChar w:fldCharType="end"/>
      </w:r>
      <w:r>
        <w:rPr>
          <w:rFonts w:eastAsia="方正仿宋_GBK"/>
          <w:sz w:val="24"/>
        </w:rPr>
        <w:fldChar w:fldCharType="end"/>
      </w:r>
    </w:p>
    <w:p w14:paraId="663E1C57">
      <w:pPr>
        <w:pStyle w:val="17"/>
        <w:tabs>
          <w:tab w:val="right" w:leader="dot" w:pos="8844"/>
          <w:tab w:val="clear" w:pos="1260"/>
          <w:tab w:val="clear" w:pos="8630"/>
        </w:tabs>
        <w:rPr>
          <w:rFonts w:eastAsia="方正仿宋_GBK"/>
          <w:sz w:val="24"/>
        </w:rPr>
      </w:pPr>
      <w:r>
        <w:fldChar w:fldCharType="begin"/>
      </w:r>
      <w:r>
        <w:instrText xml:space="preserve"> HYPERLINK \l "_Toc21571" </w:instrText>
      </w:r>
      <w:r>
        <w:fldChar w:fldCharType="separate"/>
      </w:r>
      <w:r>
        <w:rPr>
          <w:rFonts w:eastAsia="方正仿宋_GBK"/>
          <w:sz w:val="24"/>
        </w:rPr>
        <w:t>25.保密原则</w:t>
      </w:r>
      <w:r>
        <w:rPr>
          <w:rFonts w:eastAsia="方正仿宋_GBK"/>
          <w:sz w:val="24"/>
        </w:rPr>
        <w:tab/>
      </w:r>
      <w:r>
        <w:rPr>
          <w:rFonts w:eastAsia="方正仿宋_GBK"/>
          <w:sz w:val="24"/>
        </w:rPr>
        <w:fldChar w:fldCharType="begin"/>
      </w:r>
      <w:r>
        <w:rPr>
          <w:rFonts w:eastAsia="方正仿宋_GBK"/>
          <w:sz w:val="24"/>
        </w:rPr>
        <w:instrText xml:space="preserve"> PAGEREF _Toc21571 \h </w:instrText>
      </w:r>
      <w:r>
        <w:rPr>
          <w:rFonts w:eastAsia="方正仿宋_GBK"/>
          <w:sz w:val="24"/>
        </w:rPr>
        <w:fldChar w:fldCharType="separate"/>
      </w:r>
      <w:r>
        <w:rPr>
          <w:rFonts w:eastAsia="方正仿宋_GBK"/>
          <w:sz w:val="24"/>
        </w:rPr>
        <w:t>14</w:t>
      </w:r>
      <w:r>
        <w:rPr>
          <w:rFonts w:eastAsia="方正仿宋_GBK"/>
          <w:sz w:val="24"/>
        </w:rPr>
        <w:fldChar w:fldCharType="end"/>
      </w:r>
      <w:r>
        <w:rPr>
          <w:rFonts w:eastAsia="方正仿宋_GBK"/>
          <w:sz w:val="24"/>
        </w:rPr>
        <w:fldChar w:fldCharType="end"/>
      </w:r>
    </w:p>
    <w:p w14:paraId="398AB9A3">
      <w:pPr>
        <w:pStyle w:val="32"/>
        <w:tabs>
          <w:tab w:val="right" w:leader="dot" w:pos="8844"/>
        </w:tabs>
        <w:rPr>
          <w:rFonts w:eastAsia="方正仿宋_GBK"/>
          <w:sz w:val="24"/>
        </w:rPr>
      </w:pPr>
      <w:r>
        <w:fldChar w:fldCharType="begin"/>
      </w:r>
      <w:r>
        <w:instrText xml:space="preserve"> HYPERLINK \l "_Toc13046" </w:instrText>
      </w:r>
      <w:r>
        <w:fldChar w:fldCharType="separate"/>
      </w:r>
      <w:r>
        <w:rPr>
          <w:rFonts w:eastAsia="方正仿宋_GBK"/>
          <w:b/>
          <w:bCs/>
          <w:sz w:val="24"/>
        </w:rPr>
        <w:t>六   确定成交</w:t>
      </w:r>
      <w:r>
        <w:rPr>
          <w:rFonts w:eastAsia="方正仿宋_GBK"/>
          <w:sz w:val="24"/>
        </w:rPr>
        <w:tab/>
      </w:r>
      <w:r>
        <w:rPr>
          <w:rFonts w:eastAsia="方正仿宋_GBK"/>
          <w:sz w:val="24"/>
        </w:rPr>
        <w:fldChar w:fldCharType="begin"/>
      </w:r>
      <w:r>
        <w:rPr>
          <w:rFonts w:eastAsia="方正仿宋_GBK"/>
          <w:sz w:val="24"/>
        </w:rPr>
        <w:instrText xml:space="preserve"> PAGEREF _Toc13046 \h </w:instrText>
      </w:r>
      <w:r>
        <w:rPr>
          <w:rFonts w:eastAsia="方正仿宋_GBK"/>
          <w:sz w:val="24"/>
        </w:rPr>
        <w:fldChar w:fldCharType="separate"/>
      </w:r>
      <w:r>
        <w:rPr>
          <w:rFonts w:eastAsia="方正仿宋_GBK"/>
          <w:sz w:val="24"/>
        </w:rPr>
        <w:t>14</w:t>
      </w:r>
      <w:r>
        <w:rPr>
          <w:rFonts w:eastAsia="方正仿宋_GBK"/>
          <w:sz w:val="24"/>
        </w:rPr>
        <w:fldChar w:fldCharType="end"/>
      </w:r>
      <w:r>
        <w:rPr>
          <w:rFonts w:eastAsia="方正仿宋_GBK"/>
          <w:sz w:val="24"/>
        </w:rPr>
        <w:fldChar w:fldCharType="end"/>
      </w:r>
    </w:p>
    <w:p w14:paraId="2B0A61FE">
      <w:pPr>
        <w:pStyle w:val="17"/>
        <w:tabs>
          <w:tab w:val="right" w:leader="dot" w:pos="8844"/>
          <w:tab w:val="clear" w:pos="1260"/>
          <w:tab w:val="clear" w:pos="8630"/>
        </w:tabs>
        <w:rPr>
          <w:rFonts w:eastAsia="方正仿宋_GBK"/>
          <w:sz w:val="24"/>
        </w:rPr>
      </w:pPr>
      <w:r>
        <w:fldChar w:fldCharType="begin"/>
      </w:r>
      <w:r>
        <w:instrText xml:space="preserve"> HYPERLINK \l "_Toc32341" </w:instrText>
      </w:r>
      <w:r>
        <w:fldChar w:fldCharType="separate"/>
      </w:r>
      <w:r>
        <w:rPr>
          <w:rFonts w:eastAsia="方正仿宋_GBK"/>
          <w:sz w:val="24"/>
        </w:rPr>
        <w:t>26.成交候选人的确定原则及标准</w:t>
      </w:r>
      <w:r>
        <w:rPr>
          <w:rFonts w:eastAsia="方正仿宋_GBK"/>
          <w:sz w:val="24"/>
        </w:rPr>
        <w:tab/>
      </w:r>
      <w:r>
        <w:rPr>
          <w:rFonts w:eastAsia="方正仿宋_GBK"/>
          <w:sz w:val="24"/>
        </w:rPr>
        <w:fldChar w:fldCharType="begin"/>
      </w:r>
      <w:r>
        <w:rPr>
          <w:rFonts w:eastAsia="方正仿宋_GBK"/>
          <w:sz w:val="24"/>
        </w:rPr>
        <w:instrText xml:space="preserve"> PAGEREF _Toc32341 \h </w:instrText>
      </w:r>
      <w:r>
        <w:rPr>
          <w:rFonts w:eastAsia="方正仿宋_GBK"/>
          <w:sz w:val="24"/>
        </w:rPr>
        <w:fldChar w:fldCharType="separate"/>
      </w:r>
      <w:r>
        <w:rPr>
          <w:rFonts w:eastAsia="方正仿宋_GBK"/>
          <w:sz w:val="24"/>
        </w:rPr>
        <w:t>14</w:t>
      </w:r>
      <w:r>
        <w:rPr>
          <w:rFonts w:eastAsia="方正仿宋_GBK"/>
          <w:sz w:val="24"/>
        </w:rPr>
        <w:fldChar w:fldCharType="end"/>
      </w:r>
      <w:r>
        <w:rPr>
          <w:rFonts w:eastAsia="方正仿宋_GBK"/>
          <w:sz w:val="24"/>
        </w:rPr>
        <w:fldChar w:fldCharType="end"/>
      </w:r>
    </w:p>
    <w:p w14:paraId="4DE70671">
      <w:pPr>
        <w:pStyle w:val="17"/>
        <w:tabs>
          <w:tab w:val="right" w:leader="dot" w:pos="8844"/>
          <w:tab w:val="clear" w:pos="1260"/>
          <w:tab w:val="clear" w:pos="8630"/>
        </w:tabs>
        <w:rPr>
          <w:rFonts w:eastAsia="方正仿宋_GBK"/>
          <w:sz w:val="24"/>
        </w:rPr>
      </w:pPr>
      <w:r>
        <w:fldChar w:fldCharType="begin"/>
      </w:r>
      <w:r>
        <w:instrText xml:space="preserve"> HYPERLINK \l "_Toc12055" </w:instrText>
      </w:r>
      <w:r>
        <w:fldChar w:fldCharType="separate"/>
      </w:r>
      <w:r>
        <w:rPr>
          <w:rFonts w:eastAsia="方正仿宋_GBK"/>
          <w:bCs/>
          <w:sz w:val="24"/>
        </w:rPr>
        <w:t>27.确定成交候选人和成交供应商</w:t>
      </w:r>
      <w:r>
        <w:rPr>
          <w:rFonts w:eastAsia="方正仿宋_GBK"/>
          <w:sz w:val="24"/>
        </w:rPr>
        <w:tab/>
      </w:r>
      <w:r>
        <w:rPr>
          <w:rFonts w:eastAsia="方正仿宋_GBK"/>
          <w:sz w:val="24"/>
        </w:rPr>
        <w:fldChar w:fldCharType="begin"/>
      </w:r>
      <w:r>
        <w:rPr>
          <w:rFonts w:eastAsia="方正仿宋_GBK"/>
          <w:sz w:val="24"/>
        </w:rPr>
        <w:instrText xml:space="preserve"> PAGEREF _Toc12055 \h </w:instrText>
      </w:r>
      <w:r>
        <w:rPr>
          <w:rFonts w:eastAsia="方正仿宋_GBK"/>
          <w:sz w:val="24"/>
        </w:rPr>
        <w:fldChar w:fldCharType="separate"/>
      </w:r>
      <w:r>
        <w:rPr>
          <w:rFonts w:eastAsia="方正仿宋_GBK"/>
          <w:sz w:val="24"/>
        </w:rPr>
        <w:t>14</w:t>
      </w:r>
      <w:r>
        <w:rPr>
          <w:rFonts w:eastAsia="方正仿宋_GBK"/>
          <w:sz w:val="24"/>
        </w:rPr>
        <w:fldChar w:fldCharType="end"/>
      </w:r>
      <w:r>
        <w:rPr>
          <w:rFonts w:eastAsia="方正仿宋_GBK"/>
          <w:sz w:val="24"/>
        </w:rPr>
        <w:fldChar w:fldCharType="end"/>
      </w:r>
    </w:p>
    <w:p w14:paraId="1344B2E2">
      <w:pPr>
        <w:pStyle w:val="17"/>
        <w:tabs>
          <w:tab w:val="right" w:leader="dot" w:pos="8844"/>
          <w:tab w:val="clear" w:pos="1260"/>
          <w:tab w:val="clear" w:pos="8630"/>
        </w:tabs>
        <w:rPr>
          <w:rFonts w:eastAsia="方正仿宋_GBK"/>
          <w:sz w:val="24"/>
        </w:rPr>
      </w:pPr>
      <w:r>
        <w:fldChar w:fldCharType="begin"/>
      </w:r>
      <w:r>
        <w:instrText xml:space="preserve"> HYPERLINK \l "_Toc7861" </w:instrText>
      </w:r>
      <w:r>
        <w:fldChar w:fldCharType="separate"/>
      </w:r>
      <w:r>
        <w:rPr>
          <w:rFonts w:eastAsia="方正仿宋_GBK"/>
          <w:sz w:val="24"/>
        </w:rPr>
        <w:t>28.采购任务取消</w:t>
      </w:r>
      <w:r>
        <w:rPr>
          <w:rFonts w:eastAsia="方正仿宋_GBK"/>
          <w:sz w:val="24"/>
        </w:rPr>
        <w:tab/>
      </w:r>
      <w:r>
        <w:rPr>
          <w:rFonts w:eastAsia="方正仿宋_GBK"/>
          <w:sz w:val="24"/>
        </w:rPr>
        <w:fldChar w:fldCharType="begin"/>
      </w:r>
      <w:r>
        <w:rPr>
          <w:rFonts w:eastAsia="方正仿宋_GBK"/>
          <w:sz w:val="24"/>
        </w:rPr>
        <w:instrText xml:space="preserve"> PAGEREF _Toc7861 \h </w:instrText>
      </w:r>
      <w:r>
        <w:rPr>
          <w:rFonts w:eastAsia="方正仿宋_GBK"/>
          <w:sz w:val="24"/>
        </w:rPr>
        <w:fldChar w:fldCharType="separate"/>
      </w:r>
      <w:r>
        <w:rPr>
          <w:rFonts w:eastAsia="方正仿宋_GBK"/>
          <w:sz w:val="24"/>
        </w:rPr>
        <w:t>15</w:t>
      </w:r>
      <w:r>
        <w:rPr>
          <w:rFonts w:eastAsia="方正仿宋_GBK"/>
          <w:sz w:val="24"/>
        </w:rPr>
        <w:fldChar w:fldCharType="end"/>
      </w:r>
      <w:r>
        <w:rPr>
          <w:rFonts w:eastAsia="方正仿宋_GBK"/>
          <w:sz w:val="24"/>
        </w:rPr>
        <w:fldChar w:fldCharType="end"/>
      </w:r>
    </w:p>
    <w:p w14:paraId="3692E71D">
      <w:pPr>
        <w:pStyle w:val="17"/>
        <w:tabs>
          <w:tab w:val="right" w:leader="dot" w:pos="8844"/>
          <w:tab w:val="clear" w:pos="1260"/>
          <w:tab w:val="clear" w:pos="8630"/>
        </w:tabs>
        <w:rPr>
          <w:rFonts w:eastAsia="方正仿宋_GBK"/>
          <w:sz w:val="24"/>
        </w:rPr>
      </w:pPr>
      <w:r>
        <w:fldChar w:fldCharType="begin"/>
      </w:r>
      <w:r>
        <w:instrText xml:space="preserve"> HYPERLINK \l "_Toc19888" </w:instrText>
      </w:r>
      <w:r>
        <w:fldChar w:fldCharType="separate"/>
      </w:r>
      <w:r>
        <w:rPr>
          <w:rFonts w:eastAsia="方正仿宋_GBK"/>
          <w:sz w:val="24"/>
        </w:rPr>
        <w:t>29.成交通知书和采购结果通知书</w:t>
      </w:r>
      <w:r>
        <w:rPr>
          <w:rFonts w:eastAsia="方正仿宋_GBK"/>
          <w:sz w:val="24"/>
        </w:rPr>
        <w:tab/>
      </w:r>
      <w:r>
        <w:rPr>
          <w:rFonts w:eastAsia="方正仿宋_GBK"/>
          <w:sz w:val="24"/>
        </w:rPr>
        <w:fldChar w:fldCharType="begin"/>
      </w:r>
      <w:r>
        <w:rPr>
          <w:rFonts w:eastAsia="方正仿宋_GBK"/>
          <w:sz w:val="24"/>
        </w:rPr>
        <w:instrText xml:space="preserve"> PAGEREF _Toc19888 \h </w:instrText>
      </w:r>
      <w:r>
        <w:rPr>
          <w:rFonts w:eastAsia="方正仿宋_GBK"/>
          <w:sz w:val="24"/>
        </w:rPr>
        <w:fldChar w:fldCharType="separate"/>
      </w:r>
      <w:r>
        <w:rPr>
          <w:rFonts w:eastAsia="方正仿宋_GBK"/>
          <w:sz w:val="24"/>
        </w:rPr>
        <w:t>15</w:t>
      </w:r>
      <w:r>
        <w:rPr>
          <w:rFonts w:eastAsia="方正仿宋_GBK"/>
          <w:sz w:val="24"/>
        </w:rPr>
        <w:fldChar w:fldCharType="end"/>
      </w:r>
      <w:r>
        <w:rPr>
          <w:rFonts w:eastAsia="方正仿宋_GBK"/>
          <w:sz w:val="24"/>
        </w:rPr>
        <w:fldChar w:fldCharType="end"/>
      </w:r>
    </w:p>
    <w:p w14:paraId="79D873AA">
      <w:pPr>
        <w:pStyle w:val="17"/>
        <w:tabs>
          <w:tab w:val="right" w:leader="dot" w:pos="8844"/>
          <w:tab w:val="clear" w:pos="1260"/>
          <w:tab w:val="clear" w:pos="8630"/>
        </w:tabs>
        <w:rPr>
          <w:rFonts w:eastAsia="方正仿宋_GBK"/>
          <w:sz w:val="24"/>
        </w:rPr>
      </w:pPr>
      <w:r>
        <w:fldChar w:fldCharType="begin"/>
      </w:r>
      <w:r>
        <w:instrText xml:space="preserve"> HYPERLINK \l "_Toc13998" </w:instrText>
      </w:r>
      <w:r>
        <w:fldChar w:fldCharType="separate"/>
      </w:r>
      <w:r>
        <w:rPr>
          <w:rFonts w:eastAsia="方正仿宋_GBK"/>
          <w:sz w:val="24"/>
        </w:rPr>
        <w:t>30.签订合同及履约验收</w:t>
      </w:r>
      <w:r>
        <w:rPr>
          <w:rFonts w:eastAsia="方正仿宋_GBK"/>
          <w:sz w:val="24"/>
        </w:rPr>
        <w:tab/>
      </w:r>
      <w:r>
        <w:rPr>
          <w:rFonts w:eastAsia="方正仿宋_GBK"/>
          <w:sz w:val="24"/>
        </w:rPr>
        <w:fldChar w:fldCharType="begin"/>
      </w:r>
      <w:r>
        <w:rPr>
          <w:rFonts w:eastAsia="方正仿宋_GBK"/>
          <w:sz w:val="24"/>
        </w:rPr>
        <w:instrText xml:space="preserve"> PAGEREF _Toc13998 \h </w:instrText>
      </w:r>
      <w:r>
        <w:rPr>
          <w:rFonts w:eastAsia="方正仿宋_GBK"/>
          <w:sz w:val="24"/>
        </w:rPr>
        <w:fldChar w:fldCharType="separate"/>
      </w:r>
      <w:r>
        <w:rPr>
          <w:rFonts w:eastAsia="方正仿宋_GBK"/>
          <w:sz w:val="24"/>
        </w:rPr>
        <w:t>15</w:t>
      </w:r>
      <w:r>
        <w:rPr>
          <w:rFonts w:eastAsia="方正仿宋_GBK"/>
          <w:sz w:val="24"/>
        </w:rPr>
        <w:fldChar w:fldCharType="end"/>
      </w:r>
      <w:r>
        <w:rPr>
          <w:rFonts w:eastAsia="方正仿宋_GBK"/>
          <w:sz w:val="24"/>
        </w:rPr>
        <w:fldChar w:fldCharType="end"/>
      </w:r>
    </w:p>
    <w:p w14:paraId="26E9FD47">
      <w:pPr>
        <w:pStyle w:val="17"/>
        <w:tabs>
          <w:tab w:val="right" w:leader="dot" w:pos="8844"/>
          <w:tab w:val="clear" w:pos="1260"/>
          <w:tab w:val="clear" w:pos="8630"/>
        </w:tabs>
        <w:rPr>
          <w:rFonts w:eastAsia="方正仿宋_GBK"/>
          <w:sz w:val="24"/>
        </w:rPr>
      </w:pPr>
      <w:r>
        <w:fldChar w:fldCharType="begin"/>
      </w:r>
      <w:r>
        <w:instrText xml:space="preserve"> HYPERLINK \l "_Toc2962" </w:instrText>
      </w:r>
      <w:r>
        <w:fldChar w:fldCharType="separate"/>
      </w:r>
      <w:r>
        <w:rPr>
          <w:rFonts w:eastAsia="方正仿宋_GBK"/>
          <w:sz w:val="24"/>
        </w:rPr>
        <w:t>31.履约保证金</w:t>
      </w:r>
      <w:r>
        <w:rPr>
          <w:rFonts w:eastAsia="方正仿宋_GBK"/>
          <w:sz w:val="24"/>
        </w:rPr>
        <w:tab/>
      </w:r>
      <w:r>
        <w:rPr>
          <w:rFonts w:eastAsia="方正仿宋_GBK"/>
          <w:sz w:val="24"/>
        </w:rPr>
        <w:fldChar w:fldCharType="begin"/>
      </w:r>
      <w:r>
        <w:rPr>
          <w:rFonts w:eastAsia="方正仿宋_GBK"/>
          <w:sz w:val="24"/>
        </w:rPr>
        <w:instrText xml:space="preserve"> PAGEREF _Toc2962 \h </w:instrText>
      </w:r>
      <w:r>
        <w:rPr>
          <w:rFonts w:eastAsia="方正仿宋_GBK"/>
          <w:sz w:val="24"/>
        </w:rPr>
        <w:fldChar w:fldCharType="separate"/>
      </w:r>
      <w:r>
        <w:rPr>
          <w:rFonts w:eastAsia="方正仿宋_GBK"/>
          <w:sz w:val="24"/>
        </w:rPr>
        <w:t>15</w:t>
      </w:r>
      <w:r>
        <w:rPr>
          <w:rFonts w:eastAsia="方正仿宋_GBK"/>
          <w:sz w:val="24"/>
        </w:rPr>
        <w:fldChar w:fldCharType="end"/>
      </w:r>
      <w:r>
        <w:rPr>
          <w:rFonts w:eastAsia="方正仿宋_GBK"/>
          <w:sz w:val="24"/>
        </w:rPr>
        <w:fldChar w:fldCharType="end"/>
      </w:r>
    </w:p>
    <w:p w14:paraId="40D60A06">
      <w:pPr>
        <w:pStyle w:val="17"/>
        <w:tabs>
          <w:tab w:val="right" w:leader="dot" w:pos="8844"/>
          <w:tab w:val="clear" w:pos="1260"/>
          <w:tab w:val="clear" w:pos="8630"/>
        </w:tabs>
        <w:rPr>
          <w:rFonts w:eastAsia="方正仿宋_GBK"/>
          <w:sz w:val="24"/>
        </w:rPr>
      </w:pPr>
      <w:r>
        <w:fldChar w:fldCharType="begin"/>
      </w:r>
      <w:r>
        <w:instrText xml:space="preserve"> HYPERLINK \l "_Toc18492" </w:instrText>
      </w:r>
      <w:r>
        <w:fldChar w:fldCharType="separate"/>
      </w:r>
      <w:r>
        <w:rPr>
          <w:rFonts w:eastAsia="方正仿宋_GBK"/>
          <w:sz w:val="24"/>
        </w:rPr>
        <w:t>32.招标代理费</w:t>
      </w:r>
      <w:r>
        <w:rPr>
          <w:rFonts w:eastAsia="方正仿宋_GBK"/>
          <w:sz w:val="24"/>
        </w:rPr>
        <w:tab/>
      </w:r>
      <w:r>
        <w:rPr>
          <w:rFonts w:eastAsia="方正仿宋_GBK"/>
          <w:sz w:val="24"/>
        </w:rPr>
        <w:fldChar w:fldCharType="begin"/>
      </w:r>
      <w:r>
        <w:rPr>
          <w:rFonts w:eastAsia="方正仿宋_GBK"/>
          <w:sz w:val="24"/>
        </w:rPr>
        <w:instrText xml:space="preserve"> PAGEREF _Toc18492 \h </w:instrText>
      </w:r>
      <w:r>
        <w:rPr>
          <w:rFonts w:eastAsia="方正仿宋_GBK"/>
          <w:sz w:val="24"/>
        </w:rPr>
        <w:fldChar w:fldCharType="separate"/>
      </w:r>
      <w:r>
        <w:rPr>
          <w:rFonts w:eastAsia="方正仿宋_GBK"/>
          <w:sz w:val="24"/>
        </w:rPr>
        <w:t>16</w:t>
      </w:r>
      <w:r>
        <w:rPr>
          <w:rFonts w:eastAsia="方正仿宋_GBK"/>
          <w:sz w:val="24"/>
        </w:rPr>
        <w:fldChar w:fldCharType="end"/>
      </w:r>
      <w:r>
        <w:rPr>
          <w:rFonts w:eastAsia="方正仿宋_GBK"/>
          <w:sz w:val="24"/>
        </w:rPr>
        <w:fldChar w:fldCharType="end"/>
      </w:r>
    </w:p>
    <w:p w14:paraId="0F2DA1E7">
      <w:pPr>
        <w:pStyle w:val="17"/>
        <w:tabs>
          <w:tab w:val="right" w:leader="dot" w:pos="8844"/>
          <w:tab w:val="clear" w:pos="1260"/>
          <w:tab w:val="clear" w:pos="8630"/>
        </w:tabs>
        <w:rPr>
          <w:rFonts w:eastAsia="方正仿宋_GBK"/>
          <w:sz w:val="24"/>
        </w:rPr>
      </w:pPr>
      <w:r>
        <w:fldChar w:fldCharType="begin"/>
      </w:r>
      <w:r>
        <w:instrText xml:space="preserve"> HYPERLINK \l "_Toc24427" </w:instrText>
      </w:r>
      <w:r>
        <w:fldChar w:fldCharType="separate"/>
      </w:r>
      <w:r>
        <w:rPr>
          <w:rFonts w:eastAsia="方正仿宋_GBK"/>
          <w:sz w:val="24"/>
        </w:rPr>
        <w:t>33.政府采购信用担保</w:t>
      </w:r>
      <w:r>
        <w:rPr>
          <w:rFonts w:eastAsia="方正仿宋_GBK"/>
          <w:sz w:val="24"/>
        </w:rPr>
        <w:tab/>
      </w:r>
      <w:r>
        <w:rPr>
          <w:rFonts w:eastAsia="方正仿宋_GBK"/>
          <w:sz w:val="24"/>
        </w:rPr>
        <w:fldChar w:fldCharType="begin"/>
      </w:r>
      <w:r>
        <w:rPr>
          <w:rFonts w:eastAsia="方正仿宋_GBK"/>
          <w:sz w:val="24"/>
        </w:rPr>
        <w:instrText xml:space="preserve"> PAGEREF _Toc24427 \h </w:instrText>
      </w:r>
      <w:r>
        <w:rPr>
          <w:rFonts w:eastAsia="方正仿宋_GBK"/>
          <w:sz w:val="24"/>
        </w:rPr>
        <w:fldChar w:fldCharType="separate"/>
      </w:r>
      <w:r>
        <w:rPr>
          <w:rFonts w:eastAsia="方正仿宋_GBK"/>
          <w:sz w:val="24"/>
        </w:rPr>
        <w:t>16</w:t>
      </w:r>
      <w:r>
        <w:rPr>
          <w:rFonts w:eastAsia="方正仿宋_GBK"/>
          <w:sz w:val="24"/>
        </w:rPr>
        <w:fldChar w:fldCharType="end"/>
      </w:r>
      <w:r>
        <w:rPr>
          <w:rFonts w:eastAsia="方正仿宋_GBK"/>
          <w:sz w:val="24"/>
        </w:rPr>
        <w:fldChar w:fldCharType="end"/>
      </w:r>
    </w:p>
    <w:p w14:paraId="51E66CDD">
      <w:pPr>
        <w:pStyle w:val="17"/>
        <w:tabs>
          <w:tab w:val="right" w:leader="dot" w:pos="8844"/>
          <w:tab w:val="clear" w:pos="1260"/>
          <w:tab w:val="clear" w:pos="8630"/>
        </w:tabs>
        <w:rPr>
          <w:rFonts w:eastAsia="方正仿宋_GBK"/>
          <w:sz w:val="24"/>
        </w:rPr>
      </w:pPr>
      <w:r>
        <w:fldChar w:fldCharType="begin"/>
      </w:r>
      <w:r>
        <w:instrText xml:space="preserve"> HYPERLINK \l "_Toc29893" </w:instrText>
      </w:r>
      <w:r>
        <w:fldChar w:fldCharType="separate"/>
      </w:r>
      <w:r>
        <w:rPr>
          <w:rFonts w:eastAsia="方正仿宋_GBK"/>
          <w:sz w:val="24"/>
        </w:rPr>
        <w:t>34.廉洁自律规定</w:t>
      </w:r>
      <w:r>
        <w:rPr>
          <w:rFonts w:eastAsia="方正仿宋_GBK"/>
          <w:sz w:val="24"/>
        </w:rPr>
        <w:tab/>
      </w:r>
      <w:r>
        <w:rPr>
          <w:rFonts w:eastAsia="方正仿宋_GBK"/>
          <w:sz w:val="24"/>
        </w:rPr>
        <w:fldChar w:fldCharType="begin"/>
      </w:r>
      <w:r>
        <w:rPr>
          <w:rFonts w:eastAsia="方正仿宋_GBK"/>
          <w:sz w:val="24"/>
        </w:rPr>
        <w:instrText xml:space="preserve"> PAGEREF _Toc29893 \h </w:instrText>
      </w:r>
      <w:r>
        <w:rPr>
          <w:rFonts w:eastAsia="方正仿宋_GBK"/>
          <w:sz w:val="24"/>
        </w:rPr>
        <w:fldChar w:fldCharType="separate"/>
      </w:r>
      <w:r>
        <w:rPr>
          <w:rFonts w:eastAsia="方正仿宋_GBK"/>
          <w:sz w:val="24"/>
        </w:rPr>
        <w:t>16</w:t>
      </w:r>
      <w:r>
        <w:rPr>
          <w:rFonts w:eastAsia="方正仿宋_GBK"/>
          <w:sz w:val="24"/>
        </w:rPr>
        <w:fldChar w:fldCharType="end"/>
      </w:r>
      <w:r>
        <w:rPr>
          <w:rFonts w:eastAsia="方正仿宋_GBK"/>
          <w:sz w:val="24"/>
        </w:rPr>
        <w:fldChar w:fldCharType="end"/>
      </w:r>
    </w:p>
    <w:p w14:paraId="7965F077">
      <w:pPr>
        <w:pStyle w:val="17"/>
        <w:tabs>
          <w:tab w:val="right" w:leader="dot" w:pos="8844"/>
          <w:tab w:val="clear" w:pos="1260"/>
          <w:tab w:val="clear" w:pos="8630"/>
        </w:tabs>
        <w:rPr>
          <w:rFonts w:eastAsia="方正仿宋_GBK"/>
          <w:sz w:val="24"/>
        </w:rPr>
      </w:pPr>
      <w:r>
        <w:fldChar w:fldCharType="begin"/>
      </w:r>
      <w:r>
        <w:instrText xml:space="preserve"> HYPERLINK \l "_Toc7348" </w:instrText>
      </w:r>
      <w:r>
        <w:fldChar w:fldCharType="separate"/>
      </w:r>
      <w:r>
        <w:rPr>
          <w:rFonts w:eastAsia="方正仿宋_GBK"/>
          <w:sz w:val="24"/>
        </w:rPr>
        <w:t>35.人员回避</w:t>
      </w:r>
      <w:r>
        <w:rPr>
          <w:rFonts w:eastAsia="方正仿宋_GBK"/>
          <w:sz w:val="24"/>
        </w:rPr>
        <w:tab/>
      </w:r>
      <w:r>
        <w:rPr>
          <w:rFonts w:eastAsia="方正仿宋_GBK"/>
          <w:sz w:val="24"/>
        </w:rPr>
        <w:fldChar w:fldCharType="begin"/>
      </w:r>
      <w:r>
        <w:rPr>
          <w:rFonts w:eastAsia="方正仿宋_GBK"/>
          <w:sz w:val="24"/>
        </w:rPr>
        <w:instrText xml:space="preserve"> PAGEREF _Toc7348 \h </w:instrText>
      </w:r>
      <w:r>
        <w:rPr>
          <w:rFonts w:eastAsia="方正仿宋_GBK"/>
          <w:sz w:val="24"/>
        </w:rPr>
        <w:fldChar w:fldCharType="separate"/>
      </w:r>
      <w:r>
        <w:rPr>
          <w:rFonts w:eastAsia="方正仿宋_GBK"/>
          <w:sz w:val="24"/>
        </w:rPr>
        <w:t>16</w:t>
      </w:r>
      <w:r>
        <w:rPr>
          <w:rFonts w:eastAsia="方正仿宋_GBK"/>
          <w:sz w:val="24"/>
        </w:rPr>
        <w:fldChar w:fldCharType="end"/>
      </w:r>
      <w:r>
        <w:rPr>
          <w:rFonts w:eastAsia="方正仿宋_GBK"/>
          <w:sz w:val="24"/>
        </w:rPr>
        <w:fldChar w:fldCharType="end"/>
      </w:r>
    </w:p>
    <w:p w14:paraId="35085EED">
      <w:pPr>
        <w:pStyle w:val="17"/>
        <w:tabs>
          <w:tab w:val="right" w:leader="dot" w:pos="8844"/>
          <w:tab w:val="clear" w:pos="1260"/>
          <w:tab w:val="clear" w:pos="8630"/>
        </w:tabs>
        <w:rPr>
          <w:rFonts w:eastAsia="方正仿宋_GBK"/>
          <w:sz w:val="24"/>
        </w:rPr>
      </w:pPr>
      <w:r>
        <w:fldChar w:fldCharType="begin"/>
      </w:r>
      <w:r>
        <w:instrText xml:space="preserve"> HYPERLINK \l "_Toc17121" </w:instrText>
      </w:r>
      <w:r>
        <w:fldChar w:fldCharType="separate"/>
      </w:r>
      <w:r>
        <w:rPr>
          <w:rFonts w:eastAsia="方正仿宋_GBK"/>
          <w:sz w:val="24"/>
        </w:rPr>
        <w:t>36.质疑与接收</w:t>
      </w:r>
      <w:r>
        <w:rPr>
          <w:rFonts w:eastAsia="方正仿宋_GBK"/>
          <w:sz w:val="24"/>
        </w:rPr>
        <w:tab/>
      </w:r>
      <w:r>
        <w:rPr>
          <w:rFonts w:eastAsia="方正仿宋_GBK"/>
          <w:sz w:val="24"/>
        </w:rPr>
        <w:fldChar w:fldCharType="begin"/>
      </w:r>
      <w:r>
        <w:rPr>
          <w:rFonts w:eastAsia="方正仿宋_GBK"/>
          <w:sz w:val="24"/>
        </w:rPr>
        <w:instrText xml:space="preserve"> PAGEREF _Toc17121 \h </w:instrText>
      </w:r>
      <w:r>
        <w:rPr>
          <w:rFonts w:eastAsia="方正仿宋_GBK"/>
          <w:sz w:val="24"/>
        </w:rPr>
        <w:fldChar w:fldCharType="separate"/>
      </w:r>
      <w:r>
        <w:rPr>
          <w:rFonts w:eastAsia="方正仿宋_GBK"/>
          <w:sz w:val="24"/>
        </w:rPr>
        <w:t>16</w:t>
      </w:r>
      <w:r>
        <w:rPr>
          <w:rFonts w:eastAsia="方正仿宋_GBK"/>
          <w:sz w:val="24"/>
        </w:rPr>
        <w:fldChar w:fldCharType="end"/>
      </w:r>
      <w:r>
        <w:rPr>
          <w:rFonts w:eastAsia="方正仿宋_GBK"/>
          <w:sz w:val="24"/>
        </w:rPr>
        <w:fldChar w:fldCharType="end"/>
      </w:r>
    </w:p>
    <w:p w14:paraId="09474F81">
      <w:pPr>
        <w:pStyle w:val="26"/>
      </w:pPr>
      <w:r>
        <w:fldChar w:fldCharType="begin"/>
      </w:r>
      <w:r>
        <w:instrText xml:space="preserve"> HYPERLINK \l "_Toc16721" </w:instrText>
      </w:r>
      <w:r>
        <w:fldChar w:fldCharType="separate"/>
      </w:r>
      <w:r>
        <w:t>第2章 响应文件格式</w:t>
      </w:r>
      <w:r>
        <w:tab/>
      </w:r>
      <w:r>
        <w:fldChar w:fldCharType="begin"/>
      </w:r>
      <w:r>
        <w:instrText xml:space="preserve"> PAGEREF _Toc16721 \h </w:instrText>
      </w:r>
      <w:r>
        <w:fldChar w:fldCharType="separate"/>
      </w:r>
      <w:r>
        <w:t>24</w:t>
      </w:r>
      <w:r>
        <w:fldChar w:fldCharType="end"/>
      </w:r>
      <w:r>
        <w:fldChar w:fldCharType="end"/>
      </w:r>
    </w:p>
    <w:p w14:paraId="6E39B21A">
      <w:pPr>
        <w:pStyle w:val="32"/>
        <w:tabs>
          <w:tab w:val="right" w:leader="dot" w:pos="8844"/>
        </w:tabs>
        <w:rPr>
          <w:rFonts w:eastAsia="方正仿宋_GBK"/>
          <w:sz w:val="24"/>
        </w:rPr>
      </w:pPr>
      <w:r>
        <w:fldChar w:fldCharType="begin"/>
      </w:r>
      <w:r>
        <w:instrText xml:space="preserve"> HYPERLINK \l "_Toc25930" </w:instrText>
      </w:r>
      <w:r>
        <w:fldChar w:fldCharType="separate"/>
      </w:r>
      <w:r>
        <w:rPr>
          <w:rFonts w:eastAsia="方正仿宋_GBK"/>
          <w:b/>
          <w:bCs/>
          <w:sz w:val="24"/>
        </w:rPr>
        <w:t>第一部分 响应报价一览表及资格证明文件</w:t>
      </w:r>
      <w:r>
        <w:rPr>
          <w:rFonts w:eastAsia="方正仿宋_GBK"/>
          <w:sz w:val="24"/>
        </w:rPr>
        <w:tab/>
      </w:r>
      <w:r>
        <w:rPr>
          <w:rFonts w:eastAsia="方正仿宋_GBK"/>
          <w:sz w:val="24"/>
        </w:rPr>
        <w:fldChar w:fldCharType="begin"/>
      </w:r>
      <w:r>
        <w:rPr>
          <w:rFonts w:eastAsia="方正仿宋_GBK"/>
          <w:sz w:val="24"/>
        </w:rPr>
        <w:instrText xml:space="preserve"> PAGEREF _Toc25930 \h </w:instrText>
      </w:r>
      <w:r>
        <w:rPr>
          <w:rFonts w:eastAsia="方正仿宋_GBK"/>
          <w:sz w:val="24"/>
        </w:rPr>
        <w:fldChar w:fldCharType="separate"/>
      </w:r>
      <w:r>
        <w:rPr>
          <w:rFonts w:eastAsia="方正仿宋_GBK"/>
          <w:sz w:val="24"/>
        </w:rPr>
        <w:t>24</w:t>
      </w:r>
      <w:r>
        <w:rPr>
          <w:rFonts w:eastAsia="方正仿宋_GBK"/>
          <w:sz w:val="24"/>
        </w:rPr>
        <w:fldChar w:fldCharType="end"/>
      </w:r>
      <w:r>
        <w:rPr>
          <w:rFonts w:eastAsia="方正仿宋_GBK"/>
          <w:sz w:val="24"/>
        </w:rPr>
        <w:fldChar w:fldCharType="end"/>
      </w:r>
    </w:p>
    <w:p w14:paraId="65EF346E">
      <w:pPr>
        <w:pStyle w:val="32"/>
        <w:tabs>
          <w:tab w:val="right" w:leader="dot" w:pos="8844"/>
        </w:tabs>
        <w:rPr>
          <w:rFonts w:eastAsia="方正仿宋_GBK"/>
          <w:sz w:val="24"/>
        </w:rPr>
      </w:pPr>
      <w:r>
        <w:fldChar w:fldCharType="begin"/>
      </w:r>
      <w:r>
        <w:instrText xml:space="preserve"> HYPERLINK \l "_Toc26708" </w:instrText>
      </w:r>
      <w:r>
        <w:fldChar w:fldCharType="separate"/>
      </w:r>
      <w:r>
        <w:rPr>
          <w:rFonts w:eastAsia="方正仿宋_GBK"/>
          <w:sz w:val="24"/>
        </w:rPr>
        <w:t>1、响应报价一览表</w:t>
      </w:r>
      <w:r>
        <w:rPr>
          <w:rFonts w:eastAsia="方正仿宋_GBK"/>
          <w:sz w:val="24"/>
        </w:rPr>
        <w:tab/>
      </w:r>
      <w:r>
        <w:rPr>
          <w:rFonts w:eastAsia="方正仿宋_GBK"/>
          <w:sz w:val="24"/>
        </w:rPr>
        <w:fldChar w:fldCharType="begin"/>
      </w:r>
      <w:r>
        <w:rPr>
          <w:rFonts w:eastAsia="方正仿宋_GBK"/>
          <w:sz w:val="24"/>
        </w:rPr>
        <w:instrText xml:space="preserve"> PAGEREF _Toc26708 \h </w:instrText>
      </w:r>
      <w:r>
        <w:rPr>
          <w:rFonts w:eastAsia="方正仿宋_GBK"/>
          <w:sz w:val="24"/>
        </w:rPr>
        <w:fldChar w:fldCharType="separate"/>
      </w:r>
      <w:r>
        <w:rPr>
          <w:rFonts w:eastAsia="方正仿宋_GBK"/>
          <w:sz w:val="24"/>
        </w:rPr>
        <w:t>26</w:t>
      </w:r>
      <w:r>
        <w:rPr>
          <w:rFonts w:eastAsia="方正仿宋_GBK"/>
          <w:sz w:val="24"/>
        </w:rPr>
        <w:fldChar w:fldCharType="end"/>
      </w:r>
      <w:r>
        <w:rPr>
          <w:rFonts w:eastAsia="方正仿宋_GBK"/>
          <w:sz w:val="24"/>
        </w:rPr>
        <w:fldChar w:fldCharType="end"/>
      </w:r>
    </w:p>
    <w:p w14:paraId="31645352">
      <w:pPr>
        <w:pStyle w:val="32"/>
        <w:tabs>
          <w:tab w:val="right" w:leader="dot" w:pos="8844"/>
        </w:tabs>
        <w:rPr>
          <w:rFonts w:eastAsia="方正仿宋_GBK"/>
          <w:sz w:val="24"/>
        </w:rPr>
      </w:pPr>
      <w:r>
        <w:fldChar w:fldCharType="begin"/>
      </w:r>
      <w:r>
        <w:instrText xml:space="preserve"> HYPERLINK \l "_Toc10502" </w:instrText>
      </w:r>
      <w:r>
        <w:fldChar w:fldCharType="separate"/>
      </w:r>
      <w:r>
        <w:rPr>
          <w:rFonts w:eastAsia="方正仿宋_GBK"/>
          <w:kern w:val="0"/>
          <w:sz w:val="24"/>
        </w:rPr>
        <w:t>2、 符合《中华人民共和国政府采购法》第二十二条的规定</w:t>
      </w:r>
      <w:r>
        <w:rPr>
          <w:rFonts w:eastAsia="方正仿宋_GBK"/>
          <w:sz w:val="24"/>
        </w:rPr>
        <w:tab/>
      </w:r>
      <w:r>
        <w:rPr>
          <w:rFonts w:eastAsia="方正仿宋_GBK"/>
          <w:sz w:val="24"/>
        </w:rPr>
        <w:fldChar w:fldCharType="begin"/>
      </w:r>
      <w:r>
        <w:rPr>
          <w:rFonts w:eastAsia="方正仿宋_GBK"/>
          <w:sz w:val="24"/>
        </w:rPr>
        <w:instrText xml:space="preserve"> PAGEREF _Toc10502 \h </w:instrText>
      </w:r>
      <w:r>
        <w:rPr>
          <w:rFonts w:eastAsia="方正仿宋_GBK"/>
          <w:sz w:val="24"/>
        </w:rPr>
        <w:fldChar w:fldCharType="separate"/>
      </w:r>
      <w:r>
        <w:rPr>
          <w:rFonts w:eastAsia="方正仿宋_GBK"/>
          <w:sz w:val="24"/>
        </w:rPr>
        <w:t>27</w:t>
      </w:r>
      <w:r>
        <w:rPr>
          <w:rFonts w:eastAsia="方正仿宋_GBK"/>
          <w:sz w:val="24"/>
        </w:rPr>
        <w:fldChar w:fldCharType="end"/>
      </w:r>
      <w:r>
        <w:rPr>
          <w:rFonts w:eastAsia="方正仿宋_GBK"/>
          <w:sz w:val="24"/>
        </w:rPr>
        <w:fldChar w:fldCharType="end"/>
      </w:r>
    </w:p>
    <w:p w14:paraId="31160CDF">
      <w:pPr>
        <w:pStyle w:val="32"/>
        <w:tabs>
          <w:tab w:val="right" w:leader="dot" w:pos="8844"/>
        </w:tabs>
        <w:rPr>
          <w:rFonts w:eastAsia="方正仿宋_GBK"/>
          <w:sz w:val="24"/>
        </w:rPr>
      </w:pPr>
      <w:r>
        <w:fldChar w:fldCharType="begin"/>
      </w:r>
      <w:r>
        <w:instrText xml:space="preserve"> HYPERLINK \l "_Toc1396" </w:instrText>
      </w:r>
      <w:r>
        <w:fldChar w:fldCharType="separate"/>
      </w:r>
      <w:r>
        <w:rPr>
          <w:rFonts w:eastAsia="方正仿宋_GBK"/>
          <w:b/>
          <w:bCs/>
          <w:sz w:val="24"/>
        </w:rPr>
        <w:t>第二部分  商务及技术文件</w:t>
      </w:r>
      <w:r>
        <w:rPr>
          <w:rFonts w:eastAsia="方正仿宋_GBK"/>
          <w:sz w:val="24"/>
        </w:rPr>
        <w:tab/>
      </w:r>
      <w:r>
        <w:rPr>
          <w:rFonts w:eastAsia="方正仿宋_GBK"/>
          <w:sz w:val="24"/>
        </w:rPr>
        <w:fldChar w:fldCharType="begin"/>
      </w:r>
      <w:r>
        <w:rPr>
          <w:rFonts w:eastAsia="方正仿宋_GBK"/>
          <w:sz w:val="24"/>
        </w:rPr>
        <w:instrText xml:space="preserve"> PAGEREF _Toc1396 \h </w:instrText>
      </w:r>
      <w:r>
        <w:rPr>
          <w:rFonts w:eastAsia="方正仿宋_GBK"/>
          <w:sz w:val="24"/>
        </w:rPr>
        <w:fldChar w:fldCharType="separate"/>
      </w:r>
      <w:r>
        <w:rPr>
          <w:rFonts w:eastAsia="方正仿宋_GBK"/>
          <w:sz w:val="24"/>
        </w:rPr>
        <w:t>40</w:t>
      </w:r>
      <w:r>
        <w:rPr>
          <w:rFonts w:eastAsia="方正仿宋_GBK"/>
          <w:sz w:val="24"/>
        </w:rPr>
        <w:fldChar w:fldCharType="end"/>
      </w:r>
      <w:r>
        <w:rPr>
          <w:rFonts w:eastAsia="方正仿宋_GBK"/>
          <w:sz w:val="24"/>
        </w:rPr>
        <w:fldChar w:fldCharType="end"/>
      </w:r>
    </w:p>
    <w:p w14:paraId="2B0D51EF">
      <w:pPr>
        <w:pStyle w:val="32"/>
        <w:tabs>
          <w:tab w:val="right" w:leader="dot" w:pos="8844"/>
        </w:tabs>
        <w:rPr>
          <w:rFonts w:eastAsia="方正仿宋_GBK"/>
          <w:sz w:val="24"/>
        </w:rPr>
      </w:pPr>
      <w:r>
        <w:fldChar w:fldCharType="begin"/>
      </w:r>
      <w:r>
        <w:instrText xml:space="preserve"> HYPERLINK \l "_Toc24778" </w:instrText>
      </w:r>
      <w:r>
        <w:fldChar w:fldCharType="separate"/>
      </w:r>
      <w:r>
        <w:rPr>
          <w:rFonts w:eastAsia="方正仿宋_GBK"/>
          <w:sz w:val="24"/>
        </w:rPr>
        <w:t>1、响应函</w:t>
      </w:r>
      <w:r>
        <w:rPr>
          <w:rFonts w:eastAsia="方正仿宋_GBK"/>
          <w:sz w:val="24"/>
        </w:rPr>
        <w:tab/>
      </w:r>
      <w:r>
        <w:rPr>
          <w:rFonts w:eastAsia="方正仿宋_GBK"/>
          <w:sz w:val="24"/>
        </w:rPr>
        <w:fldChar w:fldCharType="begin"/>
      </w:r>
      <w:r>
        <w:rPr>
          <w:rFonts w:eastAsia="方正仿宋_GBK"/>
          <w:sz w:val="24"/>
        </w:rPr>
        <w:instrText xml:space="preserve"> PAGEREF _Toc24778 \h </w:instrText>
      </w:r>
      <w:r>
        <w:rPr>
          <w:rFonts w:eastAsia="方正仿宋_GBK"/>
          <w:sz w:val="24"/>
        </w:rPr>
        <w:fldChar w:fldCharType="separate"/>
      </w:r>
      <w:r>
        <w:rPr>
          <w:rFonts w:eastAsia="方正仿宋_GBK"/>
          <w:sz w:val="24"/>
        </w:rPr>
        <w:t>41</w:t>
      </w:r>
      <w:r>
        <w:rPr>
          <w:rFonts w:eastAsia="方正仿宋_GBK"/>
          <w:sz w:val="24"/>
        </w:rPr>
        <w:fldChar w:fldCharType="end"/>
      </w:r>
      <w:r>
        <w:rPr>
          <w:rFonts w:eastAsia="方正仿宋_GBK"/>
          <w:sz w:val="24"/>
        </w:rPr>
        <w:fldChar w:fldCharType="end"/>
      </w:r>
    </w:p>
    <w:p w14:paraId="74758EEE">
      <w:pPr>
        <w:pStyle w:val="32"/>
        <w:tabs>
          <w:tab w:val="right" w:leader="dot" w:pos="8844"/>
        </w:tabs>
        <w:rPr>
          <w:rFonts w:eastAsia="方正仿宋_GBK"/>
          <w:sz w:val="24"/>
        </w:rPr>
      </w:pPr>
      <w:r>
        <w:fldChar w:fldCharType="begin"/>
      </w:r>
      <w:r>
        <w:instrText xml:space="preserve"> HYPERLINK \l "_Toc687" </w:instrText>
      </w:r>
      <w:r>
        <w:fldChar w:fldCharType="separate"/>
      </w:r>
      <w:r>
        <w:rPr>
          <w:rFonts w:eastAsia="方正仿宋_GBK"/>
          <w:bCs/>
          <w:sz w:val="24"/>
        </w:rPr>
        <w:t>2、服务说明一览表</w:t>
      </w:r>
      <w:r>
        <w:rPr>
          <w:rFonts w:eastAsia="方正仿宋_GBK"/>
          <w:sz w:val="24"/>
        </w:rPr>
        <w:tab/>
      </w:r>
      <w:r>
        <w:rPr>
          <w:rFonts w:hint="eastAsia" w:eastAsia="方正仿宋_GBK"/>
          <w:sz w:val="24"/>
        </w:rPr>
        <w:t>4</w:t>
      </w:r>
      <w:r>
        <w:rPr>
          <w:rFonts w:hint="eastAsia" w:eastAsia="方正仿宋_GBK"/>
          <w:sz w:val="24"/>
        </w:rPr>
        <w:fldChar w:fldCharType="end"/>
      </w:r>
      <w:r>
        <w:rPr>
          <w:rFonts w:hint="eastAsia" w:eastAsia="方正仿宋_GBK"/>
          <w:kern w:val="0"/>
          <w:sz w:val="24"/>
        </w:rPr>
        <w:t>2</w:t>
      </w:r>
    </w:p>
    <w:p w14:paraId="70E95CCE">
      <w:pPr>
        <w:pStyle w:val="32"/>
        <w:tabs>
          <w:tab w:val="right" w:leader="dot" w:pos="8844"/>
        </w:tabs>
        <w:rPr>
          <w:rFonts w:eastAsia="方正仿宋_GBK"/>
          <w:sz w:val="24"/>
        </w:rPr>
      </w:pPr>
      <w:r>
        <w:fldChar w:fldCharType="begin"/>
      </w:r>
      <w:r>
        <w:instrText xml:space="preserve"> HYPERLINK \l "_Toc1943" </w:instrText>
      </w:r>
      <w:r>
        <w:fldChar w:fldCharType="separate"/>
      </w:r>
      <w:r>
        <w:rPr>
          <w:rFonts w:eastAsia="方正仿宋_GBK"/>
          <w:bCs/>
          <w:sz w:val="24"/>
        </w:rPr>
        <w:t>3、报价明细表</w:t>
      </w:r>
      <w:r>
        <w:rPr>
          <w:rFonts w:eastAsia="方正仿宋_GBK"/>
          <w:sz w:val="24"/>
        </w:rPr>
        <w:tab/>
      </w:r>
      <w:r>
        <w:rPr>
          <w:rFonts w:hint="eastAsia" w:eastAsia="方正仿宋_GBK"/>
          <w:sz w:val="24"/>
        </w:rPr>
        <w:t>4</w:t>
      </w:r>
      <w:r>
        <w:rPr>
          <w:rFonts w:hint="eastAsia" w:eastAsia="方正仿宋_GBK"/>
          <w:sz w:val="24"/>
        </w:rPr>
        <w:fldChar w:fldCharType="end"/>
      </w:r>
      <w:r>
        <w:rPr>
          <w:rFonts w:hint="eastAsia" w:eastAsia="方正仿宋_GBK"/>
          <w:kern w:val="0"/>
          <w:sz w:val="24"/>
        </w:rPr>
        <w:t>3</w:t>
      </w:r>
    </w:p>
    <w:p w14:paraId="31FEB5AA">
      <w:pPr>
        <w:pStyle w:val="32"/>
        <w:tabs>
          <w:tab w:val="right" w:leader="dot" w:pos="8844"/>
        </w:tabs>
        <w:rPr>
          <w:rFonts w:eastAsia="方正仿宋_GBK"/>
          <w:sz w:val="24"/>
        </w:rPr>
      </w:pPr>
      <w:r>
        <w:fldChar w:fldCharType="begin"/>
      </w:r>
      <w:r>
        <w:instrText xml:space="preserve"> HYPERLINK \l "_Toc2120" </w:instrText>
      </w:r>
      <w:r>
        <w:fldChar w:fldCharType="separate"/>
      </w:r>
      <w:r>
        <w:rPr>
          <w:rFonts w:eastAsia="方正仿宋_GBK"/>
          <w:bCs/>
          <w:sz w:val="24"/>
        </w:rPr>
        <w:t>4、采购需求响应表（技术规格偏离表）</w:t>
      </w:r>
      <w:r>
        <w:rPr>
          <w:rFonts w:eastAsia="方正仿宋_GBK"/>
          <w:sz w:val="24"/>
        </w:rPr>
        <w:tab/>
      </w:r>
      <w:r>
        <w:rPr>
          <w:rFonts w:eastAsia="方正仿宋_GBK"/>
          <w:sz w:val="24"/>
        </w:rPr>
        <w:fldChar w:fldCharType="begin"/>
      </w:r>
      <w:r>
        <w:rPr>
          <w:rFonts w:eastAsia="方正仿宋_GBK"/>
          <w:sz w:val="24"/>
        </w:rPr>
        <w:instrText xml:space="preserve"> PAGEREF _Toc2120 \h </w:instrText>
      </w:r>
      <w:r>
        <w:rPr>
          <w:rFonts w:eastAsia="方正仿宋_GBK"/>
          <w:sz w:val="24"/>
        </w:rPr>
        <w:fldChar w:fldCharType="separate"/>
      </w:r>
      <w:r>
        <w:rPr>
          <w:rFonts w:eastAsia="方正仿宋_GBK"/>
          <w:sz w:val="24"/>
        </w:rPr>
        <w:t>44</w:t>
      </w:r>
      <w:r>
        <w:rPr>
          <w:rFonts w:eastAsia="方正仿宋_GBK"/>
          <w:sz w:val="24"/>
        </w:rPr>
        <w:fldChar w:fldCharType="end"/>
      </w:r>
      <w:r>
        <w:rPr>
          <w:rFonts w:eastAsia="方正仿宋_GBK"/>
          <w:sz w:val="24"/>
        </w:rPr>
        <w:fldChar w:fldCharType="end"/>
      </w:r>
    </w:p>
    <w:p w14:paraId="7869C907">
      <w:pPr>
        <w:pStyle w:val="32"/>
        <w:tabs>
          <w:tab w:val="right" w:leader="dot" w:pos="8844"/>
        </w:tabs>
        <w:rPr>
          <w:rFonts w:eastAsia="方正仿宋_GBK"/>
          <w:sz w:val="24"/>
        </w:rPr>
      </w:pPr>
      <w:r>
        <w:fldChar w:fldCharType="begin"/>
      </w:r>
      <w:r>
        <w:instrText xml:space="preserve"> HYPERLINK \l "_Toc18024" </w:instrText>
      </w:r>
      <w:r>
        <w:fldChar w:fldCharType="separate"/>
      </w:r>
      <w:r>
        <w:rPr>
          <w:rFonts w:eastAsia="方正仿宋_GBK"/>
          <w:bCs/>
          <w:sz w:val="24"/>
        </w:rPr>
        <w:t>5、采购需求响应表（商务条款偏离表）</w:t>
      </w:r>
      <w:r>
        <w:rPr>
          <w:rFonts w:eastAsia="方正仿宋_GBK"/>
          <w:sz w:val="24"/>
        </w:rPr>
        <w:tab/>
      </w:r>
      <w:r>
        <w:rPr>
          <w:rFonts w:eastAsia="方正仿宋_GBK"/>
          <w:sz w:val="24"/>
        </w:rPr>
        <w:fldChar w:fldCharType="begin"/>
      </w:r>
      <w:r>
        <w:rPr>
          <w:rFonts w:eastAsia="方正仿宋_GBK"/>
          <w:sz w:val="24"/>
        </w:rPr>
        <w:instrText xml:space="preserve"> PAGEREF _Toc18024 \h </w:instrText>
      </w:r>
      <w:r>
        <w:rPr>
          <w:rFonts w:eastAsia="方正仿宋_GBK"/>
          <w:sz w:val="24"/>
        </w:rPr>
        <w:fldChar w:fldCharType="separate"/>
      </w:r>
      <w:r>
        <w:rPr>
          <w:rFonts w:eastAsia="方正仿宋_GBK"/>
          <w:sz w:val="24"/>
        </w:rPr>
        <w:t>45</w:t>
      </w:r>
      <w:r>
        <w:rPr>
          <w:rFonts w:eastAsia="方正仿宋_GBK"/>
          <w:sz w:val="24"/>
        </w:rPr>
        <w:fldChar w:fldCharType="end"/>
      </w:r>
      <w:r>
        <w:rPr>
          <w:rFonts w:eastAsia="方正仿宋_GBK"/>
          <w:sz w:val="24"/>
        </w:rPr>
        <w:fldChar w:fldCharType="end"/>
      </w:r>
    </w:p>
    <w:p w14:paraId="414D10CC">
      <w:pPr>
        <w:pStyle w:val="32"/>
        <w:tabs>
          <w:tab w:val="right" w:leader="dot" w:pos="8844"/>
        </w:tabs>
        <w:rPr>
          <w:rFonts w:eastAsia="方正仿宋_GBK"/>
          <w:sz w:val="24"/>
        </w:rPr>
      </w:pPr>
      <w:r>
        <w:fldChar w:fldCharType="begin"/>
      </w:r>
      <w:r>
        <w:instrText xml:space="preserve"> HYPERLINK \l "_Toc16408" </w:instrText>
      </w:r>
      <w:r>
        <w:fldChar w:fldCharType="separate"/>
      </w:r>
      <w:r>
        <w:rPr>
          <w:rFonts w:eastAsia="方正仿宋_GBK"/>
          <w:bCs/>
          <w:sz w:val="24"/>
        </w:rPr>
        <w:t>6-1中小企业声明函（服务）</w:t>
      </w:r>
      <w:r>
        <w:rPr>
          <w:rFonts w:eastAsia="方正仿宋_GBK"/>
          <w:sz w:val="24"/>
        </w:rPr>
        <w:tab/>
      </w:r>
      <w:r>
        <w:rPr>
          <w:rFonts w:eastAsia="方正仿宋_GBK"/>
          <w:sz w:val="24"/>
        </w:rPr>
        <w:fldChar w:fldCharType="begin"/>
      </w:r>
      <w:r>
        <w:rPr>
          <w:rFonts w:eastAsia="方正仿宋_GBK"/>
          <w:sz w:val="24"/>
        </w:rPr>
        <w:instrText xml:space="preserve"> PAGEREF _Toc16408 \h </w:instrText>
      </w:r>
      <w:r>
        <w:rPr>
          <w:rFonts w:eastAsia="方正仿宋_GBK"/>
          <w:sz w:val="24"/>
        </w:rPr>
        <w:fldChar w:fldCharType="separate"/>
      </w:r>
      <w:r>
        <w:rPr>
          <w:rFonts w:eastAsia="方正仿宋_GBK"/>
          <w:sz w:val="24"/>
        </w:rPr>
        <w:t>46</w:t>
      </w:r>
      <w:r>
        <w:rPr>
          <w:rFonts w:eastAsia="方正仿宋_GBK"/>
          <w:sz w:val="24"/>
        </w:rPr>
        <w:fldChar w:fldCharType="end"/>
      </w:r>
      <w:r>
        <w:rPr>
          <w:rFonts w:eastAsia="方正仿宋_GBK"/>
          <w:sz w:val="24"/>
        </w:rPr>
        <w:fldChar w:fldCharType="end"/>
      </w:r>
    </w:p>
    <w:p w14:paraId="36400624">
      <w:pPr>
        <w:pStyle w:val="32"/>
        <w:tabs>
          <w:tab w:val="right" w:leader="dot" w:pos="8844"/>
        </w:tabs>
        <w:rPr>
          <w:rFonts w:eastAsia="方正仿宋_GBK"/>
          <w:sz w:val="24"/>
        </w:rPr>
      </w:pPr>
      <w:r>
        <w:fldChar w:fldCharType="begin"/>
      </w:r>
      <w:r>
        <w:instrText xml:space="preserve"> HYPERLINK \l "_Toc6345" </w:instrText>
      </w:r>
      <w:r>
        <w:fldChar w:fldCharType="separate"/>
      </w:r>
      <w:r>
        <w:rPr>
          <w:rFonts w:eastAsia="方正仿宋_GBK"/>
          <w:bCs/>
          <w:sz w:val="24"/>
        </w:rPr>
        <w:t>6-2 残疾人福利性单位声明函</w:t>
      </w:r>
      <w:r>
        <w:rPr>
          <w:rFonts w:eastAsia="方正仿宋_GBK"/>
          <w:sz w:val="24"/>
        </w:rPr>
        <w:tab/>
      </w:r>
      <w:r>
        <w:rPr>
          <w:rFonts w:eastAsia="方正仿宋_GBK"/>
          <w:sz w:val="24"/>
        </w:rPr>
        <w:fldChar w:fldCharType="begin"/>
      </w:r>
      <w:r>
        <w:rPr>
          <w:rFonts w:eastAsia="方正仿宋_GBK"/>
          <w:sz w:val="24"/>
        </w:rPr>
        <w:instrText xml:space="preserve"> PAGEREF _Toc6345 \h </w:instrText>
      </w:r>
      <w:r>
        <w:rPr>
          <w:rFonts w:eastAsia="方正仿宋_GBK"/>
          <w:sz w:val="24"/>
        </w:rPr>
        <w:fldChar w:fldCharType="separate"/>
      </w:r>
      <w:r>
        <w:rPr>
          <w:rFonts w:eastAsia="方正仿宋_GBK"/>
          <w:sz w:val="24"/>
        </w:rPr>
        <w:t>47</w:t>
      </w:r>
      <w:r>
        <w:rPr>
          <w:rFonts w:eastAsia="方正仿宋_GBK"/>
          <w:sz w:val="24"/>
        </w:rPr>
        <w:fldChar w:fldCharType="end"/>
      </w:r>
      <w:r>
        <w:rPr>
          <w:rFonts w:eastAsia="方正仿宋_GBK"/>
          <w:sz w:val="24"/>
        </w:rPr>
        <w:fldChar w:fldCharType="end"/>
      </w:r>
    </w:p>
    <w:p w14:paraId="05F08CB0">
      <w:pPr>
        <w:pStyle w:val="32"/>
        <w:tabs>
          <w:tab w:val="right" w:leader="dot" w:pos="8844"/>
        </w:tabs>
        <w:rPr>
          <w:rFonts w:eastAsia="方正仿宋_GBK"/>
          <w:sz w:val="24"/>
        </w:rPr>
      </w:pPr>
      <w:r>
        <w:fldChar w:fldCharType="begin"/>
      </w:r>
      <w:r>
        <w:instrText xml:space="preserve"> HYPERLINK \l "_Toc22436" </w:instrText>
      </w:r>
      <w:r>
        <w:fldChar w:fldCharType="separate"/>
      </w:r>
      <w:r>
        <w:rPr>
          <w:rFonts w:eastAsia="方正仿宋_GBK"/>
          <w:bCs/>
          <w:sz w:val="24"/>
        </w:rPr>
        <w:t>7、供应商关联单位的说明</w:t>
      </w:r>
      <w:r>
        <w:rPr>
          <w:rFonts w:eastAsia="方正仿宋_GBK"/>
          <w:sz w:val="24"/>
        </w:rPr>
        <w:tab/>
      </w:r>
      <w:r>
        <w:rPr>
          <w:rFonts w:eastAsia="方正仿宋_GBK"/>
          <w:sz w:val="24"/>
        </w:rPr>
        <w:fldChar w:fldCharType="begin"/>
      </w:r>
      <w:r>
        <w:rPr>
          <w:rFonts w:eastAsia="方正仿宋_GBK"/>
          <w:sz w:val="24"/>
        </w:rPr>
        <w:instrText xml:space="preserve"> PAGEREF _Toc22436 \h </w:instrText>
      </w:r>
      <w:r>
        <w:rPr>
          <w:rFonts w:eastAsia="方正仿宋_GBK"/>
          <w:sz w:val="24"/>
        </w:rPr>
        <w:fldChar w:fldCharType="separate"/>
      </w:r>
      <w:r>
        <w:rPr>
          <w:rFonts w:eastAsia="方正仿宋_GBK"/>
          <w:sz w:val="24"/>
        </w:rPr>
        <w:t>48</w:t>
      </w:r>
      <w:r>
        <w:rPr>
          <w:rFonts w:eastAsia="方正仿宋_GBK"/>
          <w:sz w:val="24"/>
        </w:rPr>
        <w:fldChar w:fldCharType="end"/>
      </w:r>
      <w:r>
        <w:rPr>
          <w:rFonts w:eastAsia="方正仿宋_GBK"/>
          <w:sz w:val="24"/>
        </w:rPr>
        <w:fldChar w:fldCharType="end"/>
      </w:r>
    </w:p>
    <w:p w14:paraId="0291377B">
      <w:pPr>
        <w:pStyle w:val="32"/>
        <w:tabs>
          <w:tab w:val="right" w:leader="dot" w:pos="8844"/>
        </w:tabs>
        <w:rPr>
          <w:rFonts w:eastAsia="方正仿宋_GBK"/>
          <w:sz w:val="24"/>
        </w:rPr>
      </w:pPr>
      <w:r>
        <w:fldChar w:fldCharType="begin"/>
      </w:r>
      <w:r>
        <w:instrText xml:space="preserve"> HYPERLINK \l "_Toc12730" </w:instrText>
      </w:r>
      <w:r>
        <w:fldChar w:fldCharType="separate"/>
      </w:r>
      <w:r>
        <w:rPr>
          <w:rFonts w:eastAsia="方正仿宋_GBK"/>
          <w:bCs/>
          <w:sz w:val="24"/>
        </w:rPr>
        <w:t>8、供应商可提供有利于投标的其他资格证明材料</w:t>
      </w:r>
      <w:r>
        <w:rPr>
          <w:rFonts w:eastAsia="方正仿宋_GBK"/>
          <w:sz w:val="24"/>
        </w:rPr>
        <w:tab/>
      </w:r>
      <w:r>
        <w:rPr>
          <w:rFonts w:eastAsia="方正仿宋_GBK"/>
          <w:sz w:val="24"/>
        </w:rPr>
        <w:fldChar w:fldCharType="begin"/>
      </w:r>
      <w:r>
        <w:rPr>
          <w:rFonts w:eastAsia="方正仿宋_GBK"/>
          <w:sz w:val="24"/>
        </w:rPr>
        <w:instrText xml:space="preserve"> PAGEREF _Toc12730 \h </w:instrText>
      </w:r>
      <w:r>
        <w:rPr>
          <w:rFonts w:eastAsia="方正仿宋_GBK"/>
          <w:sz w:val="24"/>
        </w:rPr>
        <w:fldChar w:fldCharType="separate"/>
      </w:r>
      <w:r>
        <w:rPr>
          <w:rFonts w:eastAsia="方正仿宋_GBK"/>
          <w:sz w:val="24"/>
        </w:rPr>
        <w:t>49</w:t>
      </w:r>
      <w:r>
        <w:rPr>
          <w:rFonts w:eastAsia="方正仿宋_GBK"/>
          <w:sz w:val="24"/>
        </w:rPr>
        <w:fldChar w:fldCharType="end"/>
      </w:r>
      <w:r>
        <w:rPr>
          <w:rFonts w:eastAsia="方正仿宋_GBK"/>
          <w:sz w:val="24"/>
        </w:rPr>
        <w:fldChar w:fldCharType="end"/>
      </w:r>
    </w:p>
    <w:p w14:paraId="732C4000">
      <w:pPr>
        <w:pStyle w:val="26"/>
      </w:pPr>
      <w:r>
        <w:fldChar w:fldCharType="begin"/>
      </w:r>
      <w:r>
        <w:instrText xml:space="preserve"> HYPERLINK \l "_Toc19252" </w:instrText>
      </w:r>
      <w:r>
        <w:fldChar w:fldCharType="separate"/>
      </w:r>
      <w:r>
        <w:t>第3章  磋商邀请</w:t>
      </w:r>
      <w:r>
        <w:tab/>
      </w:r>
      <w:r>
        <w:fldChar w:fldCharType="begin"/>
      </w:r>
      <w:r>
        <w:instrText xml:space="preserve"> PAGEREF _Toc19252 \h </w:instrText>
      </w:r>
      <w:r>
        <w:fldChar w:fldCharType="separate"/>
      </w:r>
      <w:r>
        <w:t>52</w:t>
      </w:r>
      <w:r>
        <w:fldChar w:fldCharType="end"/>
      </w:r>
      <w:r>
        <w:fldChar w:fldCharType="end"/>
      </w:r>
    </w:p>
    <w:p w14:paraId="2A7B94A4">
      <w:pPr>
        <w:pStyle w:val="26"/>
      </w:pPr>
      <w:r>
        <w:fldChar w:fldCharType="begin"/>
      </w:r>
      <w:r>
        <w:instrText xml:space="preserve"> HYPERLINK \l "_Toc1157" </w:instrText>
      </w:r>
      <w:r>
        <w:fldChar w:fldCharType="separate"/>
      </w:r>
      <w:r>
        <w:t>第4章  供应商须知资料表</w:t>
      </w:r>
      <w:r>
        <w:tab/>
      </w:r>
      <w:r>
        <w:fldChar w:fldCharType="begin"/>
      </w:r>
      <w:r>
        <w:instrText xml:space="preserve"> PAGEREF _Toc1157 \h </w:instrText>
      </w:r>
      <w:r>
        <w:fldChar w:fldCharType="separate"/>
      </w:r>
      <w:r>
        <w:t>55</w:t>
      </w:r>
      <w:r>
        <w:fldChar w:fldCharType="end"/>
      </w:r>
      <w:r>
        <w:fldChar w:fldCharType="end"/>
      </w:r>
    </w:p>
    <w:p w14:paraId="1B7FF2F1">
      <w:pPr>
        <w:pStyle w:val="26"/>
      </w:pPr>
      <w:r>
        <w:fldChar w:fldCharType="begin"/>
      </w:r>
      <w:r>
        <w:instrText xml:space="preserve"> HYPERLINK \l "_Toc4225" </w:instrText>
      </w:r>
      <w:r>
        <w:fldChar w:fldCharType="separate"/>
      </w:r>
      <w:r>
        <w:t>第5章 项目服务和采购需求</w:t>
      </w:r>
      <w:r>
        <w:tab/>
      </w:r>
      <w:r>
        <w:fldChar w:fldCharType="begin"/>
      </w:r>
      <w:r>
        <w:instrText xml:space="preserve"> PAGEREF _Toc4225 \h </w:instrText>
      </w:r>
      <w:r>
        <w:fldChar w:fldCharType="separate"/>
      </w:r>
      <w:r>
        <w:t>65</w:t>
      </w:r>
      <w:r>
        <w:fldChar w:fldCharType="end"/>
      </w:r>
      <w:r>
        <w:fldChar w:fldCharType="end"/>
      </w:r>
    </w:p>
    <w:p w14:paraId="36B44FF7">
      <w:pPr>
        <w:pStyle w:val="26"/>
      </w:pPr>
      <w:r>
        <w:fldChar w:fldCharType="begin"/>
      </w:r>
      <w:r>
        <w:instrText xml:space="preserve"> HYPERLINK \l "_Toc22177" </w:instrText>
      </w:r>
      <w:r>
        <w:fldChar w:fldCharType="separate"/>
      </w:r>
      <w:r>
        <w:t>第6章 评审方法和标准</w:t>
      </w:r>
      <w:r>
        <w:tab/>
      </w:r>
      <w:r>
        <w:fldChar w:fldCharType="begin"/>
      </w:r>
      <w:r>
        <w:instrText xml:space="preserve"> PAGEREF _Toc22177 \h </w:instrText>
      </w:r>
      <w:r>
        <w:fldChar w:fldCharType="separate"/>
      </w:r>
      <w:r>
        <w:t>75</w:t>
      </w:r>
      <w:r>
        <w:fldChar w:fldCharType="end"/>
      </w:r>
      <w:r>
        <w:fldChar w:fldCharType="end"/>
      </w:r>
    </w:p>
    <w:p w14:paraId="2AF43252">
      <w:pPr>
        <w:pStyle w:val="26"/>
      </w:pPr>
      <w:r>
        <w:fldChar w:fldCharType="begin"/>
      </w:r>
      <w:r>
        <w:instrText xml:space="preserve"> HYPERLINK \l "_Toc11683" </w:instrText>
      </w:r>
      <w:r>
        <w:fldChar w:fldCharType="separate"/>
      </w:r>
      <w:r>
        <w:t>第7章  政府采购合同</w:t>
      </w:r>
      <w:r>
        <w:tab/>
      </w:r>
      <w:r>
        <w:fldChar w:fldCharType="begin"/>
      </w:r>
      <w:r>
        <w:instrText xml:space="preserve"> PAGEREF _Toc11683 \h </w:instrText>
      </w:r>
      <w:r>
        <w:fldChar w:fldCharType="separate"/>
      </w:r>
      <w:r>
        <w:t>89</w:t>
      </w:r>
      <w:r>
        <w:fldChar w:fldCharType="end"/>
      </w:r>
      <w:r>
        <w:fldChar w:fldCharType="end"/>
      </w:r>
    </w:p>
    <w:p w14:paraId="5390A3FA">
      <w:pPr>
        <w:pStyle w:val="26"/>
      </w:pPr>
    </w:p>
    <w:p w14:paraId="7D543536">
      <w:pPr>
        <w:tabs>
          <w:tab w:val="left" w:pos="0"/>
        </w:tabs>
        <w:snapToGrid w:val="0"/>
        <w:spacing w:line="360" w:lineRule="exact"/>
        <w:textAlignment w:val="baseline"/>
        <w:rPr>
          <w:rFonts w:ascii="微软雅黑" w:hAnsi="微软雅黑" w:eastAsia="微软雅黑" w:cs="微软雅黑"/>
          <w:bCs/>
          <w:sz w:val="48"/>
          <w:szCs w:val="48"/>
        </w:rPr>
      </w:pPr>
      <w:r>
        <w:rPr>
          <w:rFonts w:hint="eastAsia" w:ascii="微软雅黑" w:hAnsi="微软雅黑" w:eastAsia="微软雅黑" w:cs="微软雅黑"/>
          <w:kern w:val="0"/>
        </w:rPr>
        <w:fldChar w:fldCharType="end"/>
      </w:r>
      <w:bookmarkStart w:id="3" w:name="_Toc1462"/>
      <w:bookmarkStart w:id="4" w:name="_Toc518923059"/>
      <w:bookmarkStart w:id="5" w:name="_Toc10715352"/>
    </w:p>
    <w:p w14:paraId="1A9789F4">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莎车县人民医院信息化绩效核算平台</w:t>
      </w:r>
    </w:p>
    <w:p w14:paraId="5EE7A600">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采购项目竞争性磋商文件</w:t>
      </w:r>
    </w:p>
    <w:p w14:paraId="5FE71A73">
      <w:pPr>
        <w:pStyle w:val="2"/>
        <w:ind w:firstLine="0"/>
        <w:rPr>
          <w:rFonts w:ascii="微软雅黑" w:hAnsi="微软雅黑" w:eastAsia="微软雅黑" w:cs="微软雅黑"/>
          <w:bCs/>
          <w:sz w:val="48"/>
          <w:szCs w:val="48"/>
        </w:rPr>
      </w:pPr>
    </w:p>
    <w:p w14:paraId="2FF80E6D">
      <w:pPr>
        <w:rPr>
          <w:rFonts w:eastAsia="方正小标宋_GBK"/>
          <w:bCs/>
          <w:sz w:val="36"/>
          <w:szCs w:val="36"/>
        </w:rPr>
      </w:pPr>
    </w:p>
    <w:p w14:paraId="69A95CEA">
      <w:pPr>
        <w:spacing w:line="240" w:lineRule="atLeast"/>
        <w:ind w:left="1079" w:leftChars="257" w:hanging="540"/>
        <w:jc w:val="center"/>
        <w:rPr>
          <w:rFonts w:eastAsia="方正小标宋_GBK"/>
          <w:bCs/>
          <w:sz w:val="36"/>
          <w:szCs w:val="36"/>
        </w:rPr>
      </w:pPr>
      <w:bookmarkStart w:id="6" w:name="_Toc29956"/>
      <w:r>
        <w:rPr>
          <w:rFonts w:eastAsia="方正小标宋_GBK"/>
          <w:bCs/>
          <w:sz w:val="36"/>
          <w:szCs w:val="36"/>
        </w:rPr>
        <w:t>项目编号：</w:t>
      </w:r>
      <w:bookmarkEnd w:id="6"/>
      <w:r>
        <w:rPr>
          <w:rFonts w:eastAsia="方正小标宋_GBK"/>
          <w:bCs/>
          <w:sz w:val="36"/>
          <w:szCs w:val="36"/>
        </w:rPr>
        <w:t>KSSCX（CS）2024-00</w:t>
      </w:r>
      <w:r>
        <w:rPr>
          <w:rFonts w:hint="eastAsia" w:eastAsia="方正小标宋_GBK"/>
          <w:bCs/>
          <w:sz w:val="36"/>
          <w:szCs w:val="36"/>
        </w:rPr>
        <w:t>4</w:t>
      </w:r>
      <w:r>
        <w:rPr>
          <w:rFonts w:eastAsia="方正小标宋_GBK"/>
          <w:bCs/>
          <w:sz w:val="36"/>
          <w:szCs w:val="36"/>
        </w:rPr>
        <w:t>号</w:t>
      </w:r>
    </w:p>
    <w:p w14:paraId="45B97916">
      <w:pPr>
        <w:spacing w:line="240" w:lineRule="atLeast"/>
        <w:ind w:left="1079" w:leftChars="257" w:hanging="540"/>
        <w:jc w:val="center"/>
        <w:rPr>
          <w:rFonts w:ascii="微软雅黑" w:hAnsi="微软雅黑" w:eastAsia="微软雅黑" w:cs="微软雅黑"/>
          <w:bCs/>
          <w:sz w:val="48"/>
          <w:szCs w:val="48"/>
        </w:rPr>
      </w:pPr>
      <w:bookmarkStart w:id="7" w:name="_Toc10715351"/>
      <w:bookmarkStart w:id="8" w:name="_Toc31396"/>
    </w:p>
    <w:p w14:paraId="6C218B29">
      <w:pPr>
        <w:spacing w:line="240" w:lineRule="atLeast"/>
        <w:ind w:left="1079" w:leftChars="257" w:hanging="540"/>
        <w:jc w:val="center"/>
        <w:rPr>
          <w:rFonts w:ascii="微软雅黑" w:hAnsi="微软雅黑" w:eastAsia="微软雅黑" w:cs="微软雅黑"/>
          <w:bCs/>
          <w:sz w:val="48"/>
          <w:szCs w:val="48"/>
        </w:rPr>
      </w:pPr>
    </w:p>
    <w:p w14:paraId="20CA761C">
      <w:pPr>
        <w:pStyle w:val="10"/>
      </w:pPr>
    </w:p>
    <w:p w14:paraId="1C5AA8B1">
      <w:pPr>
        <w:spacing w:line="240" w:lineRule="atLeast"/>
        <w:ind w:left="1079" w:leftChars="257" w:hanging="54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第一册</w:t>
      </w:r>
      <w:bookmarkEnd w:id="7"/>
      <w:bookmarkEnd w:id="8"/>
    </w:p>
    <w:p w14:paraId="702EE9BC">
      <w:pPr>
        <w:pStyle w:val="47"/>
        <w:rPr>
          <w:rFonts w:ascii="微软雅黑" w:hAnsi="微软雅黑" w:eastAsia="微软雅黑" w:cs="微软雅黑"/>
          <w:color w:val="auto"/>
        </w:rPr>
        <w:sectPr>
          <w:headerReference r:id="rId4" w:type="default"/>
          <w:footerReference r:id="rId5" w:type="default"/>
          <w:pgSz w:w="11906" w:h="16838"/>
          <w:pgMar w:top="1984" w:right="1531" w:bottom="1701" w:left="1531" w:header="851" w:footer="992" w:gutter="0"/>
          <w:pgNumType w:start="1"/>
          <w:cols w:space="720" w:num="1"/>
          <w:docGrid w:type="linesAndChars" w:linePitch="312" w:charSpace="0"/>
        </w:sectPr>
      </w:pPr>
    </w:p>
    <w:p w14:paraId="01A47EF8">
      <w:pPr>
        <w:pStyle w:val="3"/>
        <w:tabs>
          <w:tab w:val="left" w:pos="0"/>
        </w:tabs>
        <w:snapToGrid w:val="0"/>
        <w:spacing w:before="0" w:after="0" w:line="360" w:lineRule="auto"/>
        <w:textAlignment w:val="baseline"/>
        <w:rPr>
          <w:rFonts w:ascii="Times New Roman" w:hAnsi="Times New Roman" w:eastAsia="方正仿宋_GBK" w:cs="Times New Roman"/>
          <w:sz w:val="28"/>
          <w:szCs w:val="28"/>
        </w:rPr>
      </w:pPr>
      <w:bookmarkStart w:id="9" w:name="_Toc20107"/>
      <w:r>
        <w:rPr>
          <w:rFonts w:ascii="Times New Roman" w:hAnsi="Times New Roman" w:eastAsia="方正仿宋_GBK" w:cs="Times New Roman"/>
          <w:kern w:val="0"/>
          <w:sz w:val="28"/>
          <w:szCs w:val="28"/>
        </w:rPr>
        <w:t xml:space="preserve">第1章  </w:t>
      </w:r>
      <w:r>
        <w:rPr>
          <w:rFonts w:ascii="Times New Roman" w:hAnsi="Times New Roman" w:eastAsia="方正仿宋_GBK" w:cs="Times New Roman"/>
          <w:sz w:val="28"/>
          <w:szCs w:val="28"/>
        </w:rPr>
        <w:t>供应商须知</w:t>
      </w:r>
      <w:bookmarkEnd w:id="3"/>
      <w:bookmarkEnd w:id="4"/>
      <w:bookmarkEnd w:id="5"/>
      <w:bookmarkEnd w:id="9"/>
    </w:p>
    <w:p w14:paraId="644ACCF8">
      <w:pPr>
        <w:pStyle w:val="5"/>
        <w:snapToGrid w:val="0"/>
        <w:spacing w:before="0" w:line="240" w:lineRule="atLeast"/>
        <w:ind w:left="1079" w:leftChars="257" w:hanging="540"/>
        <w:textAlignment w:val="baseline"/>
        <w:rPr>
          <w:rFonts w:ascii="Times New Roman" w:hAnsi="Times New Roman" w:eastAsia="方正仿宋_GBK"/>
          <w:sz w:val="28"/>
          <w:szCs w:val="28"/>
        </w:rPr>
      </w:pPr>
      <w:bookmarkStart w:id="10" w:name="_Toc520356143"/>
      <w:bookmarkStart w:id="11" w:name="_Toc216582805"/>
      <w:bookmarkStart w:id="12" w:name="_Toc515647757"/>
      <w:bookmarkStart w:id="13" w:name="_Toc8093"/>
      <w:bookmarkStart w:id="14" w:name="_Toc21015"/>
      <w:bookmarkStart w:id="15" w:name="_Toc21215"/>
      <w:r>
        <w:rPr>
          <w:rFonts w:ascii="Times New Roman" w:hAnsi="Times New Roman" w:eastAsia="方正仿宋_GBK"/>
          <w:sz w:val="28"/>
          <w:szCs w:val="28"/>
        </w:rPr>
        <w:t xml:space="preserve">一   </w:t>
      </w:r>
      <w:bookmarkEnd w:id="10"/>
      <w:bookmarkEnd w:id="11"/>
      <w:bookmarkEnd w:id="12"/>
      <w:r>
        <w:rPr>
          <w:rFonts w:ascii="Times New Roman" w:hAnsi="Times New Roman" w:eastAsia="方正仿宋_GBK"/>
          <w:sz w:val="28"/>
          <w:szCs w:val="28"/>
        </w:rPr>
        <w:t>总 则</w:t>
      </w:r>
      <w:bookmarkEnd w:id="13"/>
      <w:bookmarkEnd w:id="14"/>
      <w:bookmarkEnd w:id="15"/>
    </w:p>
    <w:p w14:paraId="376E93FD">
      <w:pPr>
        <w:pStyle w:val="6"/>
        <w:snapToGrid w:val="0"/>
        <w:spacing w:before="0" w:after="0" w:line="380" w:lineRule="exact"/>
        <w:textAlignment w:val="baseline"/>
        <w:rPr>
          <w:rFonts w:ascii="Times New Roman" w:eastAsia="方正仿宋_GBK"/>
          <w:szCs w:val="24"/>
          <w:u w:val="none"/>
        </w:rPr>
      </w:pPr>
      <w:bookmarkStart w:id="16" w:name="_Toc32189"/>
      <w:bookmarkStart w:id="17" w:name="_Toc515647758"/>
      <w:bookmarkStart w:id="18" w:name="_Toc32623"/>
      <w:bookmarkStart w:id="19" w:name="_Toc520356144"/>
      <w:bookmarkStart w:id="20" w:name="_Toc16501"/>
      <w:bookmarkStart w:id="21" w:name="_Toc16079"/>
      <w:bookmarkStart w:id="22" w:name="_Toc20385"/>
      <w:bookmarkStart w:id="23" w:name="_Toc28974"/>
      <w:bookmarkStart w:id="24" w:name="_Toc31076"/>
      <w:bookmarkStart w:id="25" w:name="_Toc27535"/>
      <w:bookmarkStart w:id="26" w:name="_Toc19826"/>
      <w:bookmarkStart w:id="27" w:name="_Toc11217"/>
      <w:bookmarkStart w:id="28" w:name="_Toc6040"/>
      <w:r>
        <w:rPr>
          <w:rFonts w:ascii="Times New Roman" w:eastAsia="方正仿宋_GBK"/>
          <w:szCs w:val="24"/>
          <w:u w:val="none"/>
        </w:rPr>
        <w:t>1.采购人、采购代理机构及</w:t>
      </w:r>
      <w:bookmarkEnd w:id="16"/>
      <w:bookmarkEnd w:id="17"/>
      <w:bookmarkEnd w:id="18"/>
      <w:bookmarkEnd w:id="19"/>
      <w:r>
        <w:rPr>
          <w:rFonts w:ascii="Times New Roman" w:eastAsia="方正仿宋_GBK"/>
          <w:szCs w:val="24"/>
          <w:u w:val="none"/>
        </w:rPr>
        <w:t>磋商供应商</w:t>
      </w:r>
      <w:bookmarkEnd w:id="20"/>
      <w:bookmarkEnd w:id="21"/>
      <w:bookmarkEnd w:id="22"/>
      <w:bookmarkEnd w:id="23"/>
      <w:bookmarkEnd w:id="24"/>
      <w:bookmarkEnd w:id="25"/>
      <w:bookmarkEnd w:id="26"/>
      <w:bookmarkEnd w:id="27"/>
      <w:bookmarkEnd w:id="28"/>
    </w:p>
    <w:p w14:paraId="3F5EC751">
      <w:pPr>
        <w:tabs>
          <w:tab w:val="left" w:pos="0"/>
        </w:tabs>
        <w:snapToGrid w:val="0"/>
        <w:spacing w:line="380" w:lineRule="exact"/>
        <w:ind w:left="900" w:hanging="900" w:hangingChars="375"/>
        <w:textAlignment w:val="baseline"/>
        <w:rPr>
          <w:rFonts w:eastAsia="方正仿宋_GBK"/>
          <w:sz w:val="24"/>
        </w:rPr>
      </w:pPr>
      <w:r>
        <w:rPr>
          <w:rFonts w:eastAsia="方正仿宋_GBK"/>
          <w:sz w:val="24"/>
        </w:rPr>
        <w:t>1.1     采购人：是指依法开展政府采购活动的国家机关、事业单位、团体组织。本项目的采购人见</w:t>
      </w:r>
      <w:r>
        <w:rPr>
          <w:rFonts w:eastAsia="方正仿宋_GBK"/>
          <w:sz w:val="24"/>
          <w:u w:val="single" w:color="000000"/>
        </w:rPr>
        <w:t>供应商须知资料表</w:t>
      </w:r>
      <w:r>
        <w:rPr>
          <w:rFonts w:eastAsia="方正仿宋_GBK"/>
          <w:sz w:val="24"/>
        </w:rPr>
        <w:t>。</w:t>
      </w:r>
    </w:p>
    <w:p w14:paraId="098F8709">
      <w:pPr>
        <w:tabs>
          <w:tab w:val="left" w:pos="0"/>
        </w:tabs>
        <w:snapToGrid w:val="0"/>
        <w:spacing w:line="380" w:lineRule="exact"/>
        <w:ind w:left="900" w:hanging="900" w:hangingChars="375"/>
        <w:textAlignment w:val="baseline"/>
        <w:rPr>
          <w:rFonts w:eastAsia="方正仿宋_GBK"/>
          <w:sz w:val="24"/>
        </w:rPr>
      </w:pPr>
      <w:r>
        <w:rPr>
          <w:rFonts w:eastAsia="方正仿宋_GBK"/>
          <w:sz w:val="24"/>
        </w:rPr>
        <w:t>1.2     采购代理机构：是指在集中采购机构或从事采购代理业务的社会中介机构。本项目的采购代理机构见</w:t>
      </w:r>
      <w:r>
        <w:rPr>
          <w:rFonts w:eastAsia="方正仿宋_GBK"/>
          <w:sz w:val="24"/>
          <w:u w:val="single"/>
        </w:rPr>
        <w:t>供应商须知资料表。</w:t>
      </w:r>
    </w:p>
    <w:p w14:paraId="323CF09B">
      <w:pPr>
        <w:tabs>
          <w:tab w:val="left" w:pos="0"/>
        </w:tabs>
        <w:snapToGrid w:val="0"/>
        <w:spacing w:line="380" w:lineRule="exact"/>
        <w:ind w:left="888" w:hanging="888" w:hangingChars="370"/>
        <w:textAlignment w:val="baseline"/>
        <w:rPr>
          <w:rFonts w:eastAsia="方正仿宋_GBK"/>
          <w:sz w:val="24"/>
        </w:rPr>
      </w:pPr>
      <w:r>
        <w:rPr>
          <w:rFonts w:eastAsia="方正仿宋_GBK"/>
          <w:sz w:val="24"/>
        </w:rPr>
        <w:t>1.3     磋商供应商：是指响应磋商文件的法人、非法人组织或者自然人。潜在磋商供应商：以磋商文件规定的方式获取本项目磋商文件的法人、非法人组织或者自然人。本项目的供应商须满足以下条件：</w:t>
      </w:r>
    </w:p>
    <w:p w14:paraId="1C3E56EA">
      <w:pPr>
        <w:snapToGrid w:val="0"/>
        <w:spacing w:line="380" w:lineRule="exact"/>
        <w:ind w:left="960" w:hanging="960" w:hangingChars="400"/>
        <w:textAlignment w:val="baseline"/>
        <w:rPr>
          <w:rFonts w:eastAsia="方正仿宋_GBK"/>
          <w:sz w:val="24"/>
        </w:rPr>
      </w:pPr>
      <w:r>
        <w:rPr>
          <w:rFonts w:eastAsia="方正仿宋_GBK"/>
          <w:sz w:val="24"/>
        </w:rPr>
        <w:t>1.3.1</w:t>
      </w:r>
      <w:r>
        <w:rPr>
          <w:rFonts w:eastAsia="方正仿宋_GBK"/>
          <w:sz w:val="24"/>
        </w:rPr>
        <w:tab/>
      </w:r>
      <w:r>
        <w:rPr>
          <w:rFonts w:eastAsia="方正仿宋_GBK"/>
          <w:sz w:val="24"/>
        </w:rPr>
        <w:t>在中华人民共和国境内注册，能够独立承担民事责任，有生产或供应能力的本国供应商。</w:t>
      </w:r>
    </w:p>
    <w:p w14:paraId="21BD635C">
      <w:pPr>
        <w:snapToGrid w:val="0"/>
        <w:spacing w:line="380" w:lineRule="exact"/>
        <w:ind w:left="960" w:hanging="960" w:hangingChars="400"/>
        <w:textAlignment w:val="baseline"/>
        <w:rPr>
          <w:rFonts w:eastAsia="方正仿宋_GBK"/>
          <w:sz w:val="24"/>
        </w:rPr>
      </w:pPr>
      <w:r>
        <w:rPr>
          <w:rFonts w:eastAsia="方正仿宋_GBK"/>
          <w:sz w:val="24"/>
        </w:rPr>
        <w:t>1.3.2   具备《中华人民共和国政府采购法》第二十二条关于供应商条件的规定，遵守本项目采购人本级和上级财政部门政府采购的有关规定。</w:t>
      </w:r>
    </w:p>
    <w:p w14:paraId="27D4E1AA">
      <w:pPr>
        <w:snapToGrid w:val="0"/>
        <w:spacing w:line="380" w:lineRule="exact"/>
        <w:textAlignment w:val="baseline"/>
        <w:rPr>
          <w:rFonts w:eastAsia="方正仿宋_GBK"/>
          <w:sz w:val="24"/>
        </w:rPr>
      </w:pPr>
      <w:r>
        <w:rPr>
          <w:rFonts w:eastAsia="方正仿宋_GBK"/>
          <w:sz w:val="24"/>
        </w:rPr>
        <w:t>1.3.3   以磋商文件规定的方式获得了本项目的磋商文件。</w:t>
      </w:r>
    </w:p>
    <w:p w14:paraId="5BAE293F">
      <w:pPr>
        <w:snapToGrid w:val="0"/>
        <w:spacing w:line="380" w:lineRule="exact"/>
        <w:textAlignment w:val="baseline"/>
        <w:rPr>
          <w:rFonts w:eastAsia="方正仿宋_GBK"/>
          <w:sz w:val="24"/>
        </w:rPr>
      </w:pPr>
      <w:r>
        <w:rPr>
          <w:rFonts w:eastAsia="方正仿宋_GBK"/>
          <w:sz w:val="24"/>
        </w:rPr>
        <w:t>1.3.4   符合</w:t>
      </w:r>
      <w:r>
        <w:rPr>
          <w:rFonts w:eastAsia="方正仿宋_GBK"/>
          <w:sz w:val="24"/>
          <w:u w:val="single" w:color="000000"/>
        </w:rPr>
        <w:t>供应商须知资料表</w:t>
      </w:r>
      <w:r>
        <w:rPr>
          <w:rFonts w:eastAsia="方正仿宋_GBK"/>
          <w:sz w:val="24"/>
        </w:rPr>
        <w:t>中规定的其他要求。</w:t>
      </w:r>
    </w:p>
    <w:p w14:paraId="0CEA068F">
      <w:pPr>
        <w:snapToGrid w:val="0"/>
        <w:spacing w:line="380" w:lineRule="exact"/>
        <w:ind w:left="960" w:hanging="960" w:hangingChars="400"/>
        <w:textAlignment w:val="baseline"/>
        <w:rPr>
          <w:rFonts w:eastAsia="方正仿宋_GBK"/>
          <w:sz w:val="24"/>
        </w:rPr>
      </w:pPr>
      <w:r>
        <w:rPr>
          <w:rFonts w:eastAsia="方正仿宋_GBK"/>
          <w:sz w:val="24"/>
        </w:rPr>
        <w:t>1.3.5   若</w:t>
      </w:r>
      <w:r>
        <w:rPr>
          <w:rFonts w:eastAsia="方正仿宋_GBK"/>
          <w:sz w:val="24"/>
          <w:u w:val="single" w:color="000000"/>
        </w:rPr>
        <w:t>供应商须知资料表</w:t>
      </w:r>
      <w:r>
        <w:rPr>
          <w:rFonts w:eastAsia="方正仿宋_GBK"/>
          <w:sz w:val="24"/>
        </w:rPr>
        <w:t>中写明允许采购进口产品，供应商应保证所投产品可履行合法报通关手续进入中国关境内。</w:t>
      </w:r>
    </w:p>
    <w:p w14:paraId="1F53C39B">
      <w:pPr>
        <w:snapToGrid w:val="0"/>
        <w:spacing w:line="380" w:lineRule="exact"/>
        <w:ind w:left="957" w:leftChars="456"/>
        <w:textAlignment w:val="baseline"/>
        <w:rPr>
          <w:rFonts w:eastAsia="方正仿宋_GBK"/>
          <w:sz w:val="24"/>
        </w:rPr>
      </w:pPr>
      <w:r>
        <w:rPr>
          <w:rFonts w:eastAsia="方正仿宋_GBK"/>
          <w:sz w:val="24"/>
        </w:rPr>
        <w:t>若供应商须知资料表中未写明允许采购进口产品，如供应商所投产品为进口产品，其响应将被认定为</w:t>
      </w:r>
      <w:r>
        <w:rPr>
          <w:rFonts w:eastAsia="方正仿宋_GBK"/>
          <w:b/>
          <w:bCs/>
          <w:sz w:val="24"/>
        </w:rPr>
        <w:t>响应无效</w:t>
      </w:r>
      <w:r>
        <w:rPr>
          <w:rFonts w:eastAsia="方正仿宋_GBK"/>
          <w:sz w:val="24"/>
        </w:rPr>
        <w:t>。</w:t>
      </w:r>
    </w:p>
    <w:p w14:paraId="7A84C3C9">
      <w:pPr>
        <w:snapToGrid w:val="0"/>
        <w:spacing w:line="380" w:lineRule="exact"/>
        <w:ind w:left="960" w:hanging="960" w:hangingChars="400"/>
        <w:textAlignment w:val="baseline"/>
        <w:rPr>
          <w:rFonts w:eastAsia="方正仿宋_GBK"/>
          <w:color w:val="FF0000"/>
          <w:sz w:val="24"/>
          <w:highlight w:val="yellow"/>
        </w:rPr>
      </w:pPr>
      <w:r>
        <w:rPr>
          <w:rFonts w:eastAsia="方正仿宋_GBK"/>
          <w:sz w:val="24"/>
        </w:rPr>
        <w:t>1.3.6   若</w:t>
      </w:r>
      <w:r>
        <w:rPr>
          <w:rFonts w:eastAsia="方正仿宋_GBK"/>
          <w:sz w:val="24"/>
          <w:u w:val="single" w:color="000000"/>
        </w:rPr>
        <w:t>供应商须知资料表</w:t>
      </w:r>
      <w:r>
        <w:rPr>
          <w:rFonts w:eastAsia="方正仿宋_GBK"/>
          <w:sz w:val="24"/>
        </w:rPr>
        <w:t>中写明专门面向中小企业采购的，如供应商为非中小企业且所投产品为非中小企业产品，其响应将被认定为</w:t>
      </w:r>
      <w:r>
        <w:rPr>
          <w:rFonts w:eastAsia="方正仿宋_GBK"/>
          <w:b/>
          <w:bCs/>
          <w:sz w:val="24"/>
        </w:rPr>
        <w:t>响应无效</w:t>
      </w:r>
      <w:r>
        <w:rPr>
          <w:rFonts w:eastAsia="方正仿宋_GBK"/>
          <w:sz w:val="24"/>
        </w:rPr>
        <w:t>。</w:t>
      </w:r>
    </w:p>
    <w:p w14:paraId="2633BD50">
      <w:pPr>
        <w:snapToGrid w:val="0"/>
        <w:spacing w:line="380" w:lineRule="exact"/>
        <w:textAlignment w:val="baseline"/>
        <w:rPr>
          <w:rFonts w:eastAsia="方正仿宋_GBK"/>
          <w:sz w:val="24"/>
        </w:rPr>
      </w:pPr>
      <w:r>
        <w:rPr>
          <w:rFonts w:eastAsia="方正仿宋_GBK"/>
          <w:sz w:val="24"/>
        </w:rPr>
        <w:t>1.4     如</w:t>
      </w:r>
      <w:r>
        <w:rPr>
          <w:rFonts w:eastAsia="方正仿宋_GBK"/>
          <w:sz w:val="24"/>
          <w:u w:val="single" w:color="000000"/>
        </w:rPr>
        <w:t>供应商须知资料表</w:t>
      </w:r>
      <w:r>
        <w:rPr>
          <w:rFonts w:eastAsia="方正仿宋_GBK"/>
          <w:sz w:val="24"/>
        </w:rPr>
        <w:t>中允许联合体投标，对联合体规定如下：</w:t>
      </w:r>
    </w:p>
    <w:p w14:paraId="5CB75AA5">
      <w:pPr>
        <w:snapToGrid w:val="0"/>
        <w:spacing w:line="380" w:lineRule="exact"/>
        <w:textAlignment w:val="baseline"/>
        <w:rPr>
          <w:rFonts w:eastAsia="方正仿宋_GBK"/>
          <w:sz w:val="24"/>
        </w:rPr>
      </w:pPr>
      <w:r>
        <w:rPr>
          <w:rFonts w:eastAsia="方正仿宋_GBK"/>
          <w:sz w:val="24"/>
        </w:rPr>
        <w:t>1.4.1   两个以上供应商可以组成一个响应联合体，以一个供应商的身份投标。</w:t>
      </w:r>
    </w:p>
    <w:p w14:paraId="31558274">
      <w:pPr>
        <w:snapToGrid w:val="0"/>
        <w:spacing w:line="380" w:lineRule="exact"/>
        <w:ind w:left="960" w:hanging="960" w:hangingChars="400"/>
        <w:textAlignment w:val="baseline"/>
        <w:rPr>
          <w:rFonts w:eastAsia="方正仿宋_GBK"/>
          <w:sz w:val="24"/>
        </w:rPr>
      </w:pPr>
      <w:r>
        <w:rPr>
          <w:rFonts w:eastAsia="方正仿宋_GBK"/>
          <w:sz w:val="24"/>
        </w:rPr>
        <w:t>1.4.2   联合体各方均应符合《中华人民共和国政府采购法》第二十二条规定的条件。</w:t>
      </w:r>
    </w:p>
    <w:p w14:paraId="5C6E87A4">
      <w:pPr>
        <w:snapToGrid w:val="0"/>
        <w:spacing w:line="380" w:lineRule="exact"/>
        <w:ind w:left="960" w:hanging="960" w:hangingChars="400"/>
        <w:textAlignment w:val="baseline"/>
        <w:rPr>
          <w:rFonts w:eastAsia="方正仿宋_GBK"/>
          <w:sz w:val="24"/>
        </w:rPr>
      </w:pPr>
      <w:r>
        <w:rPr>
          <w:rFonts w:eastAsia="方正仿宋_GBK"/>
          <w:sz w:val="24"/>
        </w:rPr>
        <w:t>1.4.3   采购人根据采购项目对供应商的特殊要求，联合体中至少应当有一方符合相关规定。</w:t>
      </w:r>
    </w:p>
    <w:p w14:paraId="58AEDFD2">
      <w:pPr>
        <w:snapToGrid w:val="0"/>
        <w:spacing w:line="380" w:lineRule="exact"/>
        <w:ind w:left="960" w:hanging="960" w:hangingChars="400"/>
        <w:textAlignment w:val="baseline"/>
        <w:rPr>
          <w:rFonts w:eastAsia="方正仿宋_GBK"/>
          <w:sz w:val="24"/>
        </w:rPr>
      </w:pPr>
      <w:r>
        <w:rPr>
          <w:rFonts w:eastAsia="方正仿宋_GBK"/>
          <w:sz w:val="24"/>
        </w:rPr>
        <w:t>1.4.4   联合体各方应签订共同响应协议，明确约定联合体各方承担的工作和相应的责任，并将共同响应协议连同作为响应文件第一部分的内容提交。</w:t>
      </w:r>
    </w:p>
    <w:p w14:paraId="50B2BC68">
      <w:pPr>
        <w:snapToGrid w:val="0"/>
        <w:spacing w:line="380" w:lineRule="exact"/>
        <w:ind w:left="960" w:hanging="960" w:hangingChars="400"/>
        <w:textAlignment w:val="baseline"/>
        <w:rPr>
          <w:rFonts w:eastAsia="方正仿宋_GBK"/>
          <w:sz w:val="24"/>
        </w:rPr>
      </w:pPr>
      <w:r>
        <w:rPr>
          <w:rFonts w:eastAsia="方正仿宋_GBK"/>
          <w:sz w:val="24"/>
        </w:rPr>
        <w:t>1.4.5   大中型企业、其他自然人、法人或者非法人组织与小型、微型企业组成联合体共同参加投标，共同响应协议中应写明小型、微型企业的协议合同金额占到共同响应协议投标总金额的比例。</w:t>
      </w:r>
    </w:p>
    <w:p w14:paraId="535261A2">
      <w:pPr>
        <w:snapToGrid w:val="0"/>
        <w:spacing w:line="380" w:lineRule="exact"/>
        <w:ind w:left="960" w:hanging="960" w:hangingChars="400"/>
        <w:textAlignment w:val="baseline"/>
        <w:rPr>
          <w:rFonts w:eastAsia="方正仿宋_GBK"/>
          <w:sz w:val="24"/>
        </w:rPr>
      </w:pPr>
      <w:r>
        <w:rPr>
          <w:rFonts w:eastAsia="方正仿宋_GBK"/>
          <w:sz w:val="24"/>
        </w:rPr>
        <w:t>1.4.6    联合体中有同类资质的供应商按照联合体分工承担相同工作的，按照较低的资质等级确定联合体的资质等级。</w:t>
      </w:r>
    </w:p>
    <w:p w14:paraId="485E84D9">
      <w:pPr>
        <w:snapToGrid w:val="0"/>
        <w:spacing w:line="380" w:lineRule="exact"/>
        <w:ind w:left="960" w:hanging="960" w:hangingChars="400"/>
        <w:textAlignment w:val="baseline"/>
        <w:rPr>
          <w:rFonts w:eastAsia="方正仿宋_GBK"/>
          <w:sz w:val="24"/>
        </w:rPr>
      </w:pPr>
      <w:r>
        <w:rPr>
          <w:rFonts w:eastAsia="方正仿宋_GBK"/>
          <w:sz w:val="24"/>
        </w:rPr>
        <w:t>1.4.7   以联合体形式参加政府采购活动的，联合体各方不得再单独参加或者与其他供应商另外组成联合体参加本项目同一合同项下的响应，否则相关响应将被认定为</w:t>
      </w:r>
      <w:r>
        <w:rPr>
          <w:rFonts w:eastAsia="方正仿宋_GBK"/>
          <w:b/>
          <w:bCs/>
          <w:sz w:val="24"/>
        </w:rPr>
        <w:t>响应无效</w:t>
      </w:r>
      <w:r>
        <w:rPr>
          <w:rFonts w:eastAsia="方正仿宋_GBK"/>
          <w:sz w:val="24"/>
        </w:rPr>
        <w:t>。</w:t>
      </w:r>
    </w:p>
    <w:p w14:paraId="684D2157">
      <w:pPr>
        <w:snapToGrid w:val="0"/>
        <w:spacing w:line="380" w:lineRule="exact"/>
        <w:textAlignment w:val="baseline"/>
        <w:rPr>
          <w:rFonts w:eastAsia="方正仿宋_GBK"/>
          <w:sz w:val="24"/>
        </w:rPr>
      </w:pPr>
      <w:r>
        <w:rPr>
          <w:rFonts w:eastAsia="方正仿宋_GBK"/>
          <w:sz w:val="24"/>
        </w:rPr>
        <w:t xml:space="preserve">1.4.8   </w:t>
      </w:r>
      <w:r>
        <w:rPr>
          <w:rFonts w:hint="eastAsia" w:eastAsia="方正仿宋_GBK"/>
          <w:sz w:val="24"/>
        </w:rPr>
        <w:t xml:space="preserve"> </w:t>
      </w:r>
      <w:r>
        <w:rPr>
          <w:rFonts w:eastAsia="方正仿宋_GBK"/>
          <w:sz w:val="24"/>
        </w:rPr>
        <w:t>对联合体磋商的其他资格要求见</w:t>
      </w:r>
      <w:r>
        <w:rPr>
          <w:rFonts w:eastAsia="方正仿宋_GBK"/>
          <w:sz w:val="24"/>
          <w:u w:val="single" w:color="000000"/>
        </w:rPr>
        <w:t>供应商须知资料表</w:t>
      </w:r>
      <w:r>
        <w:rPr>
          <w:rFonts w:eastAsia="方正仿宋_GBK"/>
          <w:sz w:val="24"/>
        </w:rPr>
        <w:t>。</w:t>
      </w:r>
    </w:p>
    <w:p w14:paraId="2204AD1D">
      <w:pPr>
        <w:snapToGrid w:val="0"/>
        <w:spacing w:line="380" w:lineRule="exact"/>
        <w:ind w:left="960" w:hanging="960" w:hangingChars="400"/>
        <w:textAlignment w:val="baseline"/>
        <w:rPr>
          <w:rFonts w:eastAsia="方正仿宋_GBK"/>
          <w:sz w:val="24"/>
        </w:rPr>
      </w:pPr>
      <w:r>
        <w:rPr>
          <w:rFonts w:eastAsia="方正仿宋_GBK"/>
          <w:sz w:val="24"/>
        </w:rPr>
        <w:t>1.5     单位负责人为同一人或者存在直接控股、管理关系的不同供应商参与本项目同一合同项下的响应的，其相关响应将被认定为</w:t>
      </w:r>
      <w:r>
        <w:rPr>
          <w:rFonts w:eastAsia="方正仿宋_GBK"/>
          <w:b/>
          <w:bCs/>
          <w:sz w:val="24"/>
        </w:rPr>
        <w:t>响应无效</w:t>
      </w:r>
      <w:r>
        <w:rPr>
          <w:rFonts w:eastAsia="方正仿宋_GBK"/>
          <w:sz w:val="24"/>
        </w:rPr>
        <w:t>。</w:t>
      </w:r>
    </w:p>
    <w:p w14:paraId="25411FB7">
      <w:pPr>
        <w:snapToGrid w:val="0"/>
        <w:spacing w:line="380" w:lineRule="exact"/>
        <w:ind w:left="960" w:hanging="960" w:hangingChars="400"/>
        <w:textAlignment w:val="baseline"/>
        <w:rPr>
          <w:rFonts w:eastAsia="方正仿宋_GBK"/>
          <w:sz w:val="24"/>
        </w:rPr>
      </w:pPr>
      <w:r>
        <w:rPr>
          <w:rFonts w:eastAsia="方正仿宋_GBK"/>
          <w:sz w:val="24"/>
        </w:rPr>
        <w:t>1.6     为本项目提供过整体设计、规范编制或者项目管理、监理、检测等服务的供应商，不得再参加本项目上述服务以外的其他采购活动。否则其响应将被认定为</w:t>
      </w:r>
      <w:r>
        <w:rPr>
          <w:rFonts w:eastAsia="方正仿宋_GBK"/>
          <w:b/>
          <w:bCs/>
          <w:sz w:val="24"/>
        </w:rPr>
        <w:t>响应无效</w:t>
      </w:r>
      <w:r>
        <w:rPr>
          <w:rFonts w:eastAsia="方正仿宋_GBK"/>
          <w:sz w:val="24"/>
        </w:rPr>
        <w:t>。</w:t>
      </w:r>
    </w:p>
    <w:p w14:paraId="5CE4ADC6">
      <w:pPr>
        <w:snapToGrid w:val="0"/>
        <w:spacing w:line="380" w:lineRule="exact"/>
        <w:ind w:left="960" w:hanging="960" w:hangingChars="400"/>
        <w:textAlignment w:val="baseline"/>
        <w:rPr>
          <w:rFonts w:eastAsia="方正仿宋_GBK"/>
          <w:sz w:val="24"/>
        </w:rPr>
      </w:pPr>
      <w:r>
        <w:rPr>
          <w:rFonts w:eastAsia="方正仿宋_GBK"/>
          <w:sz w:val="24"/>
        </w:rPr>
        <w:t>1.7</w:t>
      </w:r>
      <w:r>
        <w:rPr>
          <w:rFonts w:eastAsia="方正仿宋_GBK"/>
          <w:sz w:val="24"/>
        </w:rPr>
        <w:tab/>
      </w:r>
      <w:r>
        <w:rPr>
          <w:rFonts w:eastAsia="方正仿宋_GBK"/>
          <w:sz w:val="24"/>
        </w:rPr>
        <w:t>供应商在投标过程中不得向采购人提供、给予任何有价值的物品，影响其正常决策行为。一经发现，其将被认定为</w:t>
      </w:r>
      <w:r>
        <w:rPr>
          <w:rFonts w:eastAsia="方正仿宋_GBK"/>
          <w:b/>
          <w:bCs/>
          <w:sz w:val="24"/>
        </w:rPr>
        <w:t>响应无效</w:t>
      </w:r>
      <w:r>
        <w:rPr>
          <w:rFonts w:eastAsia="方正仿宋_GBK"/>
          <w:sz w:val="24"/>
        </w:rPr>
        <w:t>。</w:t>
      </w:r>
    </w:p>
    <w:p w14:paraId="1B2ACA83">
      <w:pPr>
        <w:snapToGrid w:val="0"/>
        <w:spacing w:line="380" w:lineRule="exact"/>
        <w:ind w:left="960" w:hanging="960" w:hangingChars="400"/>
        <w:textAlignment w:val="baseline"/>
        <w:rPr>
          <w:rFonts w:eastAsia="方正仿宋_GBK"/>
          <w:sz w:val="24"/>
        </w:rPr>
      </w:pPr>
      <w:r>
        <w:rPr>
          <w:rFonts w:eastAsia="方正仿宋_GBK"/>
          <w:sz w:val="24"/>
        </w:rPr>
        <w:t>1.8     在政府采购活动中，采购人员及相关人员与供应商有下列利害关系之一的，应当回避：</w:t>
      </w:r>
    </w:p>
    <w:p w14:paraId="7E0C8260">
      <w:pPr>
        <w:snapToGrid w:val="0"/>
        <w:spacing w:line="380" w:lineRule="exact"/>
        <w:textAlignment w:val="baseline"/>
        <w:rPr>
          <w:rFonts w:eastAsia="方正仿宋_GBK"/>
          <w:sz w:val="24"/>
        </w:rPr>
      </w:pPr>
      <w:r>
        <w:rPr>
          <w:rFonts w:eastAsia="方正仿宋_GBK"/>
          <w:sz w:val="24"/>
        </w:rPr>
        <w:t>1.8.1    参加采购活动前3年内与供应商存在劳动关系。</w:t>
      </w:r>
    </w:p>
    <w:p w14:paraId="061D92FF">
      <w:pPr>
        <w:snapToGrid w:val="0"/>
        <w:spacing w:line="380" w:lineRule="exact"/>
        <w:textAlignment w:val="baseline"/>
        <w:rPr>
          <w:rFonts w:eastAsia="方正仿宋_GBK"/>
          <w:sz w:val="24"/>
        </w:rPr>
      </w:pPr>
      <w:r>
        <w:rPr>
          <w:rFonts w:eastAsia="方正仿宋_GBK"/>
          <w:sz w:val="24"/>
        </w:rPr>
        <w:t>1.8.2    参加采购活动前3年内担任供应商的董事、监事。</w:t>
      </w:r>
    </w:p>
    <w:p w14:paraId="4C95473E">
      <w:pPr>
        <w:snapToGrid w:val="0"/>
        <w:spacing w:line="380" w:lineRule="exact"/>
        <w:textAlignment w:val="baseline"/>
        <w:rPr>
          <w:rFonts w:eastAsia="方正仿宋_GBK"/>
          <w:sz w:val="24"/>
        </w:rPr>
      </w:pPr>
      <w:r>
        <w:rPr>
          <w:rFonts w:eastAsia="方正仿宋_GBK"/>
          <w:sz w:val="24"/>
        </w:rPr>
        <w:t>1.8.3    参加采购活动前3年内是供应商的控股股东或者实际控制人。</w:t>
      </w:r>
    </w:p>
    <w:p w14:paraId="7F6BC57D">
      <w:pPr>
        <w:snapToGrid w:val="0"/>
        <w:spacing w:line="380" w:lineRule="exact"/>
        <w:ind w:left="960" w:hanging="960" w:hangingChars="400"/>
        <w:textAlignment w:val="baseline"/>
        <w:rPr>
          <w:rFonts w:eastAsia="方正仿宋_GBK"/>
          <w:sz w:val="24"/>
        </w:rPr>
      </w:pPr>
      <w:r>
        <w:rPr>
          <w:rFonts w:eastAsia="方正仿宋_GBK"/>
          <w:sz w:val="24"/>
        </w:rPr>
        <w:t>1.8.4    与供应商的法定代表人或者负责人有夫妻、直系血亲、三代以内旁系血亲或者近姻亲关系。</w:t>
      </w:r>
    </w:p>
    <w:p w14:paraId="15244976">
      <w:pPr>
        <w:snapToGrid w:val="0"/>
        <w:spacing w:line="380" w:lineRule="exact"/>
        <w:textAlignment w:val="baseline"/>
        <w:rPr>
          <w:rFonts w:eastAsia="方正仿宋_GBK"/>
          <w:sz w:val="24"/>
        </w:rPr>
      </w:pPr>
      <w:r>
        <w:rPr>
          <w:rFonts w:eastAsia="方正仿宋_GBK"/>
          <w:sz w:val="24"/>
        </w:rPr>
        <w:t>1.8.5    与供应商有其他可能影响政府采购活动公平、公正进行的关系。</w:t>
      </w:r>
    </w:p>
    <w:p w14:paraId="3314A8F0">
      <w:pPr>
        <w:snapToGrid w:val="0"/>
        <w:spacing w:line="380" w:lineRule="exact"/>
        <w:ind w:left="960" w:hanging="960" w:hangingChars="400"/>
        <w:textAlignment w:val="baseline"/>
        <w:rPr>
          <w:rFonts w:eastAsia="方正仿宋_GBK"/>
          <w:sz w:val="24"/>
        </w:rPr>
      </w:pPr>
      <w:r>
        <w:rPr>
          <w:rFonts w:eastAsia="方正仿宋_GBK"/>
          <w:sz w:val="24"/>
        </w:rPr>
        <w:t>1.8.6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E5731A4">
      <w:pPr>
        <w:pStyle w:val="6"/>
        <w:snapToGrid w:val="0"/>
        <w:spacing w:before="0" w:after="0" w:line="380" w:lineRule="exact"/>
        <w:textAlignment w:val="baseline"/>
        <w:rPr>
          <w:rFonts w:ascii="Times New Roman" w:eastAsia="方正仿宋_GBK"/>
          <w:szCs w:val="24"/>
          <w:u w:val="none"/>
        </w:rPr>
      </w:pPr>
      <w:bookmarkStart w:id="29" w:name="_Toc31303"/>
      <w:bookmarkStart w:id="30" w:name="_Toc12994"/>
      <w:bookmarkStart w:id="31" w:name="_Toc17289"/>
      <w:bookmarkStart w:id="32" w:name="_Toc17954"/>
      <w:bookmarkStart w:id="33" w:name="_Toc1145"/>
      <w:bookmarkStart w:id="34" w:name="_Toc5286"/>
      <w:bookmarkStart w:id="35" w:name="_Toc515647759"/>
      <w:bookmarkStart w:id="36" w:name="_Toc21415"/>
      <w:bookmarkStart w:id="37" w:name="_Toc32017"/>
      <w:bookmarkStart w:id="38" w:name="_Toc12082"/>
      <w:bookmarkStart w:id="39" w:name="_Toc20993"/>
      <w:bookmarkStart w:id="40" w:name="_Toc12139"/>
      <w:r>
        <w:rPr>
          <w:rFonts w:ascii="Times New Roman" w:eastAsia="方正仿宋_GBK"/>
          <w:szCs w:val="24"/>
          <w:u w:val="none"/>
        </w:rPr>
        <w:t>2.资金来源</w:t>
      </w:r>
      <w:bookmarkEnd w:id="29"/>
      <w:bookmarkEnd w:id="30"/>
      <w:bookmarkEnd w:id="31"/>
      <w:bookmarkEnd w:id="32"/>
      <w:bookmarkEnd w:id="33"/>
      <w:bookmarkEnd w:id="34"/>
      <w:bookmarkEnd w:id="35"/>
      <w:bookmarkEnd w:id="36"/>
      <w:bookmarkEnd w:id="37"/>
      <w:bookmarkEnd w:id="38"/>
      <w:bookmarkEnd w:id="39"/>
      <w:bookmarkEnd w:id="40"/>
    </w:p>
    <w:p w14:paraId="0989F9DD">
      <w:pPr>
        <w:snapToGrid w:val="0"/>
        <w:spacing w:line="380" w:lineRule="exact"/>
        <w:ind w:left="960" w:hanging="960" w:hangingChars="400"/>
        <w:textAlignment w:val="baseline"/>
        <w:rPr>
          <w:rFonts w:eastAsia="方正仿宋_GBK"/>
          <w:sz w:val="24"/>
        </w:rPr>
      </w:pPr>
      <w:r>
        <w:rPr>
          <w:rFonts w:eastAsia="方正仿宋_GBK"/>
          <w:sz w:val="24"/>
        </w:rPr>
        <w:t>2.1</w:t>
      </w:r>
      <w:r>
        <w:rPr>
          <w:rFonts w:eastAsia="方正仿宋_GBK"/>
          <w:sz w:val="24"/>
        </w:rPr>
        <w:tab/>
      </w:r>
      <w:r>
        <w:rPr>
          <w:rFonts w:eastAsia="方正仿宋_GBK"/>
          <w:sz w:val="24"/>
        </w:rPr>
        <w:t>本项目的采购人已获得足以支付本次招标后所签订的合同项下的资金（包括财政性资金和本项目采购中无法与财政性资金分割的非财政性资金）。（</w:t>
      </w:r>
      <w:r>
        <w:rPr>
          <w:rFonts w:eastAsia="方正仿宋_GBK"/>
          <w:b/>
          <w:bCs/>
          <w:sz w:val="24"/>
          <w:u w:val="single"/>
        </w:rPr>
        <w:t>本项目为</w:t>
      </w:r>
      <w:r>
        <w:rPr>
          <w:rFonts w:hint="eastAsia" w:eastAsia="方正仿宋_GBK"/>
          <w:b/>
          <w:bCs/>
          <w:sz w:val="24"/>
          <w:u w:val="single"/>
        </w:rPr>
        <w:t>自筹资金</w:t>
      </w:r>
      <w:r>
        <w:rPr>
          <w:rFonts w:eastAsia="方正仿宋_GBK"/>
          <w:sz w:val="24"/>
        </w:rPr>
        <w:t>）</w:t>
      </w:r>
    </w:p>
    <w:p w14:paraId="067DDB45">
      <w:pPr>
        <w:snapToGrid w:val="0"/>
        <w:spacing w:line="380" w:lineRule="exact"/>
        <w:textAlignment w:val="baseline"/>
        <w:rPr>
          <w:rFonts w:eastAsia="方正仿宋_GBK"/>
          <w:sz w:val="24"/>
        </w:rPr>
      </w:pPr>
      <w:r>
        <w:rPr>
          <w:rFonts w:eastAsia="方正仿宋_GBK"/>
          <w:sz w:val="24"/>
        </w:rPr>
        <w:t>2.2     项目预算金额和分项或分包最高限价</w:t>
      </w:r>
      <w:r>
        <w:rPr>
          <w:rFonts w:eastAsia="方正仿宋_GBK"/>
          <w:sz w:val="24"/>
          <w:u w:val="single" w:color="000000"/>
        </w:rPr>
        <w:t>见供应商须知资料表</w:t>
      </w:r>
      <w:r>
        <w:rPr>
          <w:rFonts w:eastAsia="方正仿宋_GBK"/>
          <w:sz w:val="24"/>
        </w:rPr>
        <w:t>。</w:t>
      </w:r>
    </w:p>
    <w:p w14:paraId="27DC59CC">
      <w:pPr>
        <w:snapToGrid w:val="0"/>
        <w:spacing w:line="380" w:lineRule="exact"/>
        <w:ind w:left="960" w:hanging="960" w:hangingChars="400"/>
        <w:textAlignment w:val="baseline"/>
        <w:rPr>
          <w:rFonts w:eastAsia="方正仿宋_GBK"/>
          <w:sz w:val="24"/>
        </w:rPr>
      </w:pPr>
      <w:r>
        <w:rPr>
          <w:rFonts w:eastAsia="方正仿宋_GBK"/>
          <w:sz w:val="24"/>
        </w:rPr>
        <w:t>2.3     供应商报价超过磋商文件规定的预算金额或者分项、分包最高限价的，其响应将被认定为</w:t>
      </w:r>
      <w:r>
        <w:rPr>
          <w:rFonts w:eastAsia="方正仿宋_GBK"/>
          <w:b/>
          <w:bCs/>
          <w:sz w:val="24"/>
        </w:rPr>
        <w:t>响应无效</w:t>
      </w:r>
      <w:r>
        <w:rPr>
          <w:rFonts w:eastAsia="方正仿宋_GBK"/>
          <w:sz w:val="24"/>
        </w:rPr>
        <w:t>。</w:t>
      </w:r>
    </w:p>
    <w:p w14:paraId="4B3AA98B">
      <w:pPr>
        <w:pStyle w:val="6"/>
        <w:snapToGrid w:val="0"/>
        <w:spacing w:before="0" w:after="0" w:line="380" w:lineRule="exact"/>
        <w:textAlignment w:val="baseline"/>
        <w:rPr>
          <w:rFonts w:ascii="Times New Roman" w:eastAsia="方正仿宋_GBK"/>
          <w:szCs w:val="24"/>
          <w:u w:val="none"/>
        </w:rPr>
      </w:pPr>
      <w:bookmarkStart w:id="41" w:name="_Toc25438"/>
      <w:bookmarkStart w:id="42" w:name="_Toc520356145"/>
      <w:bookmarkStart w:id="43" w:name="_Toc18168"/>
      <w:bookmarkStart w:id="44" w:name="_Toc20149"/>
      <w:bookmarkStart w:id="45" w:name="_Toc20526"/>
      <w:bookmarkStart w:id="46" w:name="_Toc515647760"/>
      <w:bookmarkStart w:id="47" w:name="_Toc3164"/>
      <w:bookmarkStart w:id="48" w:name="_Toc23939"/>
      <w:bookmarkStart w:id="49" w:name="_Toc6076"/>
      <w:bookmarkStart w:id="50" w:name="_Toc15302"/>
      <w:bookmarkStart w:id="51" w:name="_Toc15936"/>
      <w:bookmarkStart w:id="52" w:name="_Toc4556"/>
      <w:bookmarkStart w:id="53" w:name="_Toc91"/>
      <w:r>
        <w:rPr>
          <w:rFonts w:ascii="Times New Roman" w:eastAsia="方正仿宋_GBK"/>
          <w:szCs w:val="24"/>
          <w:u w:val="none"/>
        </w:rPr>
        <w:t>3.磋商费用</w:t>
      </w:r>
      <w:bookmarkEnd w:id="41"/>
      <w:bookmarkEnd w:id="42"/>
      <w:bookmarkEnd w:id="43"/>
      <w:bookmarkEnd w:id="44"/>
      <w:bookmarkEnd w:id="45"/>
      <w:bookmarkEnd w:id="46"/>
      <w:bookmarkEnd w:id="47"/>
      <w:bookmarkEnd w:id="48"/>
      <w:bookmarkEnd w:id="49"/>
      <w:bookmarkEnd w:id="50"/>
      <w:bookmarkEnd w:id="51"/>
      <w:bookmarkEnd w:id="52"/>
      <w:bookmarkEnd w:id="53"/>
    </w:p>
    <w:p w14:paraId="34AA4A59">
      <w:pPr>
        <w:snapToGrid w:val="0"/>
        <w:spacing w:line="380" w:lineRule="exact"/>
        <w:ind w:left="957" w:leftChars="456"/>
        <w:textAlignment w:val="baseline"/>
        <w:rPr>
          <w:rFonts w:eastAsia="方正仿宋_GBK"/>
          <w:sz w:val="24"/>
        </w:rPr>
      </w:pPr>
      <w:r>
        <w:rPr>
          <w:rFonts w:eastAsia="方正仿宋_GBK"/>
          <w:sz w:val="24"/>
        </w:rPr>
        <w:t>不论磋商的结果如何，供应商应承担所有与准备和参加磋商有关的费用。</w:t>
      </w:r>
    </w:p>
    <w:p w14:paraId="4BFEF4D0">
      <w:pPr>
        <w:pStyle w:val="6"/>
        <w:snapToGrid w:val="0"/>
        <w:spacing w:before="0" w:after="0" w:line="380" w:lineRule="exact"/>
        <w:textAlignment w:val="baseline"/>
        <w:rPr>
          <w:rFonts w:ascii="Times New Roman" w:eastAsia="方正仿宋_GBK"/>
          <w:szCs w:val="24"/>
          <w:u w:val="none"/>
        </w:rPr>
      </w:pPr>
      <w:bookmarkStart w:id="54" w:name="_Toc23425"/>
      <w:bookmarkStart w:id="55" w:name="_Toc4463"/>
      <w:bookmarkStart w:id="56" w:name="_Toc32069"/>
      <w:bookmarkStart w:id="57" w:name="_Toc15108"/>
      <w:bookmarkStart w:id="58" w:name="_Toc14158"/>
      <w:bookmarkStart w:id="59" w:name="_Toc15164"/>
      <w:bookmarkStart w:id="60" w:name="_Toc6116"/>
      <w:bookmarkStart w:id="61" w:name="_Toc7327"/>
      <w:bookmarkStart w:id="62" w:name="_Toc15428"/>
      <w:bookmarkStart w:id="63" w:name="_Toc26501"/>
      <w:bookmarkStart w:id="64" w:name="_Toc29823"/>
      <w:bookmarkStart w:id="65" w:name="_Toc515647761"/>
      <w:r>
        <w:rPr>
          <w:rFonts w:ascii="Times New Roman" w:eastAsia="方正仿宋_GBK"/>
          <w:szCs w:val="24"/>
          <w:u w:val="none"/>
        </w:rPr>
        <w:t>4.适用法律</w:t>
      </w:r>
      <w:bookmarkEnd w:id="54"/>
      <w:bookmarkEnd w:id="55"/>
      <w:bookmarkEnd w:id="56"/>
      <w:bookmarkEnd w:id="57"/>
      <w:bookmarkEnd w:id="58"/>
      <w:bookmarkEnd w:id="59"/>
      <w:bookmarkEnd w:id="60"/>
      <w:bookmarkEnd w:id="61"/>
      <w:bookmarkEnd w:id="62"/>
      <w:bookmarkEnd w:id="63"/>
      <w:bookmarkEnd w:id="64"/>
      <w:bookmarkEnd w:id="65"/>
    </w:p>
    <w:p w14:paraId="586610D7">
      <w:pPr>
        <w:snapToGrid w:val="0"/>
        <w:spacing w:line="380" w:lineRule="exact"/>
        <w:ind w:left="957" w:leftChars="456"/>
        <w:textAlignment w:val="baseline"/>
        <w:rPr>
          <w:rFonts w:eastAsia="方正仿宋_GBK"/>
          <w:sz w:val="24"/>
        </w:rPr>
      </w:pPr>
      <w:r>
        <w:rPr>
          <w:rFonts w:eastAsia="方正仿宋_GBK"/>
          <w:sz w:val="24"/>
        </w:rPr>
        <w:t>本项目采购人、采购代理机构、供应商、评审委员会的相关行为均受财库〔2014〕214号《政府采购竞争性磋商采购方式管理暂行办法》及本项目本级和上级财政部门政府采购有关规定的约束，其权利受到上述法律法规的保护。</w:t>
      </w:r>
    </w:p>
    <w:p w14:paraId="0D626750">
      <w:pPr>
        <w:snapToGrid w:val="0"/>
        <w:spacing w:line="380" w:lineRule="exact"/>
        <w:textAlignment w:val="baseline"/>
        <w:rPr>
          <w:rFonts w:ascii="微软雅黑" w:hAnsi="微软雅黑" w:eastAsia="微软雅黑" w:cs="微软雅黑"/>
          <w:sz w:val="24"/>
        </w:rPr>
      </w:pPr>
    </w:p>
    <w:p w14:paraId="15C9A2F4">
      <w:pPr>
        <w:pStyle w:val="5"/>
        <w:snapToGrid w:val="0"/>
        <w:spacing w:before="0" w:line="240" w:lineRule="atLeast"/>
        <w:ind w:left="1079" w:leftChars="257" w:hanging="540"/>
        <w:textAlignment w:val="baseline"/>
        <w:rPr>
          <w:rFonts w:ascii="方正仿宋_GBK" w:hAnsi="方正仿宋_GBK" w:eastAsia="方正仿宋_GBK" w:cs="方正仿宋_GBK"/>
          <w:sz w:val="28"/>
          <w:szCs w:val="28"/>
        </w:rPr>
      </w:pPr>
      <w:bookmarkStart w:id="66" w:name="_Toc216582806"/>
      <w:bookmarkStart w:id="67" w:name="_Toc515647762"/>
      <w:bookmarkStart w:id="68" w:name="_Toc21566"/>
      <w:bookmarkStart w:id="69" w:name="_Toc4365"/>
      <w:bookmarkStart w:id="70" w:name="_Toc520356146"/>
      <w:bookmarkStart w:id="71" w:name="_Toc14548"/>
      <w:bookmarkStart w:id="72" w:name="_Toc13692"/>
      <w:r>
        <w:rPr>
          <w:rFonts w:hint="eastAsia" w:ascii="方正仿宋_GBK" w:hAnsi="方正仿宋_GBK" w:eastAsia="方正仿宋_GBK" w:cs="方正仿宋_GBK"/>
          <w:sz w:val="28"/>
          <w:szCs w:val="28"/>
        </w:rPr>
        <w:t xml:space="preserve">二   </w:t>
      </w:r>
      <w:bookmarkEnd w:id="66"/>
      <w:bookmarkEnd w:id="67"/>
      <w:bookmarkEnd w:id="68"/>
      <w:bookmarkEnd w:id="69"/>
      <w:bookmarkEnd w:id="70"/>
      <w:r>
        <w:rPr>
          <w:rFonts w:hint="eastAsia" w:ascii="方正仿宋_GBK" w:hAnsi="方正仿宋_GBK" w:eastAsia="方正仿宋_GBK" w:cs="方正仿宋_GBK"/>
          <w:sz w:val="28"/>
          <w:szCs w:val="28"/>
        </w:rPr>
        <w:t>磋商文件</w:t>
      </w:r>
      <w:bookmarkEnd w:id="71"/>
      <w:bookmarkEnd w:id="72"/>
    </w:p>
    <w:p w14:paraId="57D08910">
      <w:pPr>
        <w:pStyle w:val="6"/>
        <w:snapToGrid w:val="0"/>
        <w:spacing w:before="0" w:after="0" w:line="380" w:lineRule="exact"/>
        <w:textAlignment w:val="baseline"/>
        <w:rPr>
          <w:rFonts w:ascii="Times New Roman" w:eastAsia="方正仿宋_GBK"/>
          <w:szCs w:val="24"/>
          <w:u w:val="none"/>
        </w:rPr>
      </w:pPr>
      <w:bookmarkStart w:id="73" w:name="_Toc9520"/>
      <w:bookmarkStart w:id="74" w:name="_Toc16521"/>
      <w:bookmarkStart w:id="75" w:name="_Toc4773"/>
      <w:bookmarkStart w:id="76" w:name="_Toc25743"/>
      <w:bookmarkStart w:id="77" w:name="_Toc27545"/>
      <w:bookmarkStart w:id="78" w:name="_Toc16061"/>
      <w:bookmarkStart w:id="79" w:name="_Toc29326"/>
      <w:bookmarkStart w:id="80" w:name="_Toc515647763"/>
      <w:bookmarkStart w:id="81" w:name="_Toc520356147"/>
      <w:bookmarkStart w:id="82" w:name="_Toc20128"/>
      <w:bookmarkStart w:id="83" w:name="_Toc4254"/>
      <w:bookmarkStart w:id="84" w:name="_Toc14409"/>
      <w:bookmarkStart w:id="85" w:name="_Toc14084"/>
      <w:r>
        <w:rPr>
          <w:rFonts w:ascii="Times New Roman" w:eastAsia="方正仿宋_GBK"/>
          <w:szCs w:val="24"/>
          <w:u w:val="none"/>
        </w:rPr>
        <w:t>5.磋商文件构成</w:t>
      </w:r>
      <w:bookmarkEnd w:id="73"/>
      <w:bookmarkEnd w:id="74"/>
      <w:bookmarkEnd w:id="75"/>
      <w:bookmarkEnd w:id="76"/>
      <w:bookmarkEnd w:id="77"/>
      <w:bookmarkEnd w:id="78"/>
      <w:bookmarkEnd w:id="79"/>
      <w:bookmarkEnd w:id="80"/>
      <w:bookmarkEnd w:id="81"/>
      <w:bookmarkEnd w:id="82"/>
      <w:bookmarkEnd w:id="83"/>
      <w:bookmarkEnd w:id="84"/>
      <w:bookmarkEnd w:id="85"/>
    </w:p>
    <w:p w14:paraId="03E9B262">
      <w:pPr>
        <w:snapToGrid w:val="0"/>
        <w:spacing w:line="380" w:lineRule="exact"/>
        <w:ind w:left="900" w:hanging="900" w:hangingChars="375"/>
        <w:textAlignment w:val="baseline"/>
        <w:rPr>
          <w:rFonts w:eastAsia="方正仿宋_GBK"/>
          <w:sz w:val="24"/>
        </w:rPr>
      </w:pPr>
      <w:r>
        <w:rPr>
          <w:rFonts w:eastAsia="方正仿宋_GBK"/>
          <w:sz w:val="24"/>
        </w:rPr>
        <w:t>5.1</w:t>
      </w:r>
      <w:r>
        <w:rPr>
          <w:rFonts w:eastAsia="方正仿宋_GBK"/>
          <w:sz w:val="24"/>
        </w:rPr>
        <w:tab/>
      </w:r>
      <w:r>
        <w:rPr>
          <w:rFonts w:eastAsia="方正仿宋_GBK"/>
          <w:sz w:val="24"/>
        </w:rPr>
        <w:t>磋商文件分为三册共7章，内容如下：</w:t>
      </w:r>
    </w:p>
    <w:p w14:paraId="133F0AD5">
      <w:pPr>
        <w:snapToGrid w:val="0"/>
        <w:spacing w:line="380" w:lineRule="exact"/>
        <w:ind w:firstLine="960" w:firstLineChars="400"/>
        <w:textAlignment w:val="baseline"/>
        <w:rPr>
          <w:rFonts w:eastAsia="方正仿宋_GBK"/>
          <w:sz w:val="24"/>
        </w:rPr>
      </w:pPr>
      <w:r>
        <w:rPr>
          <w:rFonts w:eastAsia="方正仿宋_GBK"/>
          <w:sz w:val="24"/>
        </w:rPr>
        <w:t>第一册</w:t>
      </w:r>
    </w:p>
    <w:p w14:paraId="6881C3D7">
      <w:pPr>
        <w:tabs>
          <w:tab w:val="left" w:pos="0"/>
        </w:tabs>
        <w:snapToGrid w:val="0"/>
        <w:spacing w:line="380" w:lineRule="exact"/>
        <w:ind w:firstLine="960" w:firstLineChars="400"/>
        <w:textAlignment w:val="baseline"/>
        <w:rPr>
          <w:rFonts w:eastAsia="方正仿宋_GBK"/>
          <w:sz w:val="24"/>
        </w:rPr>
      </w:pPr>
      <w:r>
        <w:rPr>
          <w:rFonts w:eastAsia="方正仿宋_GBK"/>
          <w:sz w:val="24"/>
        </w:rPr>
        <w:t>第1章 供应商须知</w:t>
      </w:r>
    </w:p>
    <w:p w14:paraId="283CE6A1">
      <w:pPr>
        <w:snapToGrid w:val="0"/>
        <w:spacing w:line="380" w:lineRule="exact"/>
        <w:ind w:firstLine="960" w:firstLineChars="400"/>
        <w:textAlignment w:val="baseline"/>
        <w:rPr>
          <w:rFonts w:eastAsia="方正仿宋_GBK"/>
          <w:sz w:val="24"/>
        </w:rPr>
      </w:pPr>
      <w:r>
        <w:rPr>
          <w:rFonts w:eastAsia="方正仿宋_GBK"/>
          <w:sz w:val="24"/>
        </w:rPr>
        <w:t>第2章 响应文件格式</w:t>
      </w:r>
    </w:p>
    <w:p w14:paraId="14B5F3DD">
      <w:pPr>
        <w:snapToGrid w:val="0"/>
        <w:spacing w:line="380" w:lineRule="exact"/>
        <w:ind w:firstLine="960" w:firstLineChars="400"/>
        <w:textAlignment w:val="baseline"/>
        <w:rPr>
          <w:rFonts w:eastAsia="方正仿宋_GBK"/>
          <w:sz w:val="24"/>
        </w:rPr>
      </w:pPr>
      <w:r>
        <w:rPr>
          <w:rFonts w:eastAsia="方正仿宋_GBK"/>
          <w:sz w:val="24"/>
        </w:rPr>
        <w:t>第二册</w:t>
      </w:r>
    </w:p>
    <w:p w14:paraId="74F7F648">
      <w:pPr>
        <w:snapToGrid w:val="0"/>
        <w:spacing w:line="380" w:lineRule="exact"/>
        <w:ind w:firstLine="960" w:firstLineChars="400"/>
        <w:textAlignment w:val="baseline"/>
        <w:rPr>
          <w:rFonts w:eastAsia="方正仿宋_GBK"/>
          <w:sz w:val="24"/>
        </w:rPr>
      </w:pPr>
      <w:r>
        <w:rPr>
          <w:rFonts w:eastAsia="方正仿宋_GBK"/>
          <w:sz w:val="24"/>
        </w:rPr>
        <w:t>第3章 磋商邀请</w:t>
      </w:r>
    </w:p>
    <w:p w14:paraId="58AED83D">
      <w:pPr>
        <w:snapToGrid w:val="0"/>
        <w:spacing w:line="380" w:lineRule="exact"/>
        <w:ind w:firstLine="960" w:firstLineChars="400"/>
        <w:textAlignment w:val="baseline"/>
        <w:rPr>
          <w:rFonts w:eastAsia="方正仿宋_GBK"/>
          <w:sz w:val="24"/>
        </w:rPr>
      </w:pPr>
      <w:r>
        <w:rPr>
          <w:rFonts w:eastAsia="方正仿宋_GBK"/>
          <w:sz w:val="24"/>
        </w:rPr>
        <w:t>第4章 供应商须知资料表</w:t>
      </w:r>
    </w:p>
    <w:p w14:paraId="7A8A5916">
      <w:pPr>
        <w:snapToGrid w:val="0"/>
        <w:spacing w:line="380" w:lineRule="exact"/>
        <w:ind w:firstLine="960" w:firstLineChars="400"/>
        <w:textAlignment w:val="baseline"/>
        <w:rPr>
          <w:rFonts w:eastAsia="方正仿宋_GBK"/>
          <w:sz w:val="24"/>
        </w:rPr>
      </w:pPr>
      <w:r>
        <w:rPr>
          <w:rFonts w:eastAsia="方正仿宋_GBK"/>
          <w:sz w:val="24"/>
        </w:rPr>
        <w:t>第5章 项目服务和采购需求</w:t>
      </w:r>
    </w:p>
    <w:p w14:paraId="1E4885C9">
      <w:pPr>
        <w:snapToGrid w:val="0"/>
        <w:spacing w:line="380" w:lineRule="exact"/>
        <w:ind w:firstLine="960" w:firstLineChars="400"/>
        <w:textAlignment w:val="baseline"/>
        <w:rPr>
          <w:rFonts w:eastAsia="方正仿宋_GBK"/>
          <w:sz w:val="24"/>
        </w:rPr>
      </w:pPr>
      <w:r>
        <w:rPr>
          <w:rFonts w:eastAsia="方正仿宋_GBK"/>
          <w:sz w:val="24"/>
        </w:rPr>
        <w:t>第6章 评审方法和标准</w:t>
      </w:r>
    </w:p>
    <w:p w14:paraId="2517CA7C">
      <w:pPr>
        <w:snapToGrid w:val="0"/>
        <w:spacing w:line="380" w:lineRule="exact"/>
        <w:ind w:firstLine="960" w:firstLineChars="400"/>
        <w:textAlignment w:val="baseline"/>
        <w:rPr>
          <w:rFonts w:eastAsia="方正仿宋_GBK"/>
          <w:sz w:val="24"/>
        </w:rPr>
      </w:pPr>
      <w:r>
        <w:rPr>
          <w:rFonts w:eastAsia="方正仿宋_GBK"/>
          <w:sz w:val="24"/>
        </w:rPr>
        <w:t>第三册</w:t>
      </w:r>
    </w:p>
    <w:p w14:paraId="41213433">
      <w:pPr>
        <w:snapToGrid w:val="0"/>
        <w:spacing w:line="380" w:lineRule="exact"/>
        <w:ind w:firstLine="960" w:firstLineChars="400"/>
        <w:textAlignment w:val="baseline"/>
        <w:rPr>
          <w:rFonts w:eastAsia="方正仿宋_GBK"/>
          <w:sz w:val="24"/>
        </w:rPr>
      </w:pPr>
      <w:r>
        <w:rPr>
          <w:rFonts w:eastAsia="方正仿宋_GBK"/>
          <w:sz w:val="24"/>
        </w:rPr>
        <w:t>第7章 政府采购合同格式</w:t>
      </w:r>
    </w:p>
    <w:p w14:paraId="1FF110C2">
      <w:pPr>
        <w:snapToGrid w:val="0"/>
        <w:spacing w:line="380" w:lineRule="exact"/>
        <w:ind w:left="900" w:hanging="900" w:hangingChars="375"/>
        <w:textAlignment w:val="baseline"/>
        <w:rPr>
          <w:rFonts w:eastAsia="方正仿宋_GBK"/>
          <w:sz w:val="24"/>
        </w:rPr>
      </w:pPr>
      <w:r>
        <w:rPr>
          <w:rFonts w:eastAsia="方正仿宋_GBK"/>
          <w:sz w:val="24"/>
        </w:rPr>
        <w:t>5.2</w:t>
      </w:r>
      <w:r>
        <w:rPr>
          <w:rFonts w:eastAsia="方正仿宋_GBK"/>
          <w:sz w:val="24"/>
        </w:rPr>
        <w:tab/>
      </w:r>
      <w:r>
        <w:rPr>
          <w:rFonts w:eastAsia="方正仿宋_GBK"/>
          <w:sz w:val="24"/>
        </w:rPr>
        <w:t>如本文件的前后内容不一致，以最后描述为准。</w:t>
      </w:r>
    </w:p>
    <w:p w14:paraId="1FB69278">
      <w:pPr>
        <w:snapToGrid w:val="0"/>
        <w:spacing w:line="380" w:lineRule="exact"/>
        <w:ind w:left="900" w:hanging="900" w:hangingChars="375"/>
        <w:textAlignment w:val="baseline"/>
        <w:rPr>
          <w:rFonts w:eastAsia="方正仿宋_GBK"/>
          <w:sz w:val="24"/>
        </w:rPr>
      </w:pPr>
      <w:r>
        <w:rPr>
          <w:rFonts w:eastAsia="方正仿宋_GBK"/>
          <w:sz w:val="24"/>
        </w:rPr>
        <w:t>5.3     供应商应认真阅读磋商文件所有的事项、格式、条款和技术规范等。如供应商没有按照磋商文件要求提交全部资料，或者响应文件没有对磋商文件在各方面都做出实质性响应，可能导致其响应将被认定为</w:t>
      </w:r>
      <w:r>
        <w:rPr>
          <w:rFonts w:eastAsia="方正仿宋_GBK"/>
          <w:b/>
          <w:bCs/>
          <w:sz w:val="24"/>
        </w:rPr>
        <w:t>响应无效</w:t>
      </w:r>
      <w:r>
        <w:rPr>
          <w:rFonts w:eastAsia="方正仿宋_GBK"/>
          <w:sz w:val="24"/>
        </w:rPr>
        <w:t>。</w:t>
      </w:r>
    </w:p>
    <w:p w14:paraId="19346647">
      <w:pPr>
        <w:pStyle w:val="6"/>
        <w:snapToGrid w:val="0"/>
        <w:spacing w:before="0" w:after="0" w:line="380" w:lineRule="exact"/>
        <w:textAlignment w:val="baseline"/>
        <w:rPr>
          <w:rFonts w:ascii="Times New Roman" w:eastAsia="方正仿宋_GBK"/>
          <w:szCs w:val="24"/>
          <w:u w:val="none"/>
        </w:rPr>
      </w:pPr>
      <w:bookmarkStart w:id="86" w:name="_Toc520356148"/>
      <w:bookmarkStart w:id="87" w:name="_Toc515904805"/>
      <w:bookmarkStart w:id="88" w:name="_Toc17695"/>
      <w:bookmarkStart w:id="89" w:name="_Toc11954"/>
      <w:bookmarkStart w:id="90" w:name="_Toc73"/>
      <w:bookmarkStart w:id="91" w:name="_Toc5443"/>
      <w:bookmarkStart w:id="92" w:name="_Toc24794"/>
      <w:bookmarkStart w:id="93" w:name="_Toc26044"/>
      <w:bookmarkStart w:id="94" w:name="_Toc19969"/>
      <w:bookmarkStart w:id="95" w:name="_Toc6163"/>
      <w:bookmarkStart w:id="96" w:name="_Toc9232"/>
      <w:bookmarkStart w:id="97" w:name="_Toc12118"/>
      <w:bookmarkStart w:id="98" w:name="_Toc10128"/>
      <w:r>
        <w:rPr>
          <w:rFonts w:ascii="Times New Roman" w:eastAsia="方正仿宋_GBK"/>
          <w:szCs w:val="24"/>
          <w:u w:val="none"/>
        </w:rPr>
        <w:t>6.磋商文件的澄清</w:t>
      </w:r>
      <w:bookmarkEnd w:id="86"/>
      <w:bookmarkEnd w:id="87"/>
      <w:r>
        <w:rPr>
          <w:rFonts w:ascii="Times New Roman" w:eastAsia="方正仿宋_GBK"/>
          <w:szCs w:val="24"/>
          <w:u w:val="none"/>
        </w:rPr>
        <w:t>与修改</w:t>
      </w:r>
      <w:bookmarkEnd w:id="88"/>
      <w:bookmarkEnd w:id="89"/>
      <w:bookmarkEnd w:id="90"/>
      <w:bookmarkEnd w:id="91"/>
      <w:bookmarkEnd w:id="92"/>
      <w:bookmarkEnd w:id="93"/>
      <w:bookmarkEnd w:id="94"/>
      <w:bookmarkEnd w:id="95"/>
      <w:bookmarkEnd w:id="96"/>
      <w:bookmarkEnd w:id="97"/>
      <w:bookmarkEnd w:id="98"/>
    </w:p>
    <w:p w14:paraId="346BBAF1">
      <w:pPr>
        <w:pStyle w:val="2"/>
        <w:snapToGrid w:val="0"/>
        <w:spacing w:line="380" w:lineRule="exact"/>
        <w:ind w:left="840" w:hanging="840" w:hangingChars="350"/>
        <w:textAlignment w:val="baseline"/>
        <w:rPr>
          <w:rFonts w:ascii="Times New Roman" w:eastAsia="方正仿宋_GBK"/>
          <w:szCs w:val="24"/>
        </w:rPr>
      </w:pPr>
      <w:r>
        <w:rPr>
          <w:rFonts w:ascii="Times New Roman" w:eastAsia="方正仿宋_GBK"/>
          <w:szCs w:val="24"/>
        </w:rPr>
        <w:t>6.1    采购人、采购代理机构可以对已发出的磋商文件等进行必要的澄清或者修改。澄清或者修改的内容为磋商文件的组成部分。澄清或者修改应当在原公告发布媒体上发布澄清公告。</w:t>
      </w:r>
    </w:p>
    <w:p w14:paraId="5CBCC0EC">
      <w:pPr>
        <w:pStyle w:val="2"/>
        <w:snapToGrid w:val="0"/>
        <w:spacing w:line="380" w:lineRule="exact"/>
        <w:ind w:left="840" w:hanging="840" w:hangingChars="350"/>
        <w:textAlignment w:val="baseline"/>
        <w:rPr>
          <w:rFonts w:ascii="Times New Roman" w:eastAsia="方正仿宋_GBK"/>
          <w:szCs w:val="24"/>
        </w:rPr>
      </w:pPr>
      <w:r>
        <w:rPr>
          <w:rFonts w:ascii="Times New Roman" w:eastAsia="方正仿宋_GBK"/>
          <w:szCs w:val="24"/>
        </w:rPr>
        <w:t>6.2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E33EB0C">
      <w:pPr>
        <w:pStyle w:val="2"/>
        <w:snapToGrid w:val="0"/>
        <w:spacing w:line="380" w:lineRule="exact"/>
        <w:ind w:left="840" w:hanging="840" w:hangingChars="350"/>
        <w:textAlignment w:val="baseline"/>
        <w:rPr>
          <w:rFonts w:ascii="Times New Roman" w:eastAsia="方正仿宋_GBK"/>
          <w:szCs w:val="24"/>
        </w:rPr>
      </w:pPr>
      <w:bookmarkStart w:id="99" w:name="_Ref467378678"/>
      <w:bookmarkStart w:id="100" w:name="_Toc515904806"/>
      <w:bookmarkStart w:id="101" w:name="_Toc520356149"/>
      <w:r>
        <w:rPr>
          <w:rFonts w:ascii="Times New Roman" w:eastAsia="方正仿宋_GBK"/>
          <w:szCs w:val="24"/>
        </w:rPr>
        <w:t>6.3</w:t>
      </w:r>
      <w:r>
        <w:rPr>
          <w:rFonts w:ascii="Times New Roman" w:eastAsia="方正仿宋_GBK"/>
          <w:szCs w:val="24"/>
        </w:rPr>
        <w:tab/>
      </w:r>
      <w:r>
        <w:rPr>
          <w:rFonts w:ascii="Times New Roman" w:eastAsia="方正仿宋_GBK"/>
          <w:szCs w:val="24"/>
        </w:rPr>
        <w:t>磋商文件中有不一致的，有澄清的部分以最终的澄清更正内容为准；未澄清的，以供应商须知表为准；供应商须知表不涉及的内容，以编排在后的最后描述为准。</w:t>
      </w:r>
    </w:p>
    <w:p w14:paraId="4C47AEFF">
      <w:pPr>
        <w:pStyle w:val="2"/>
        <w:snapToGrid w:val="0"/>
        <w:spacing w:line="380" w:lineRule="exact"/>
        <w:ind w:left="840" w:hanging="840" w:hangingChars="350"/>
        <w:textAlignment w:val="baseline"/>
        <w:rPr>
          <w:rFonts w:ascii="Times New Roman" w:eastAsia="方正仿宋_GBK"/>
          <w:szCs w:val="24"/>
        </w:rPr>
      </w:pPr>
      <w:r>
        <w:rPr>
          <w:rFonts w:ascii="Times New Roman" w:eastAsia="方正仿宋_GBK"/>
          <w:szCs w:val="24"/>
        </w:rPr>
        <w:t>6.4    供应商应及时关注本项目原公告发布媒体上发布的澄清公告或修改内容并自行下载，采购人、采购代理机构不再另行通知。</w:t>
      </w:r>
    </w:p>
    <w:p w14:paraId="3411C19D">
      <w:pPr>
        <w:pStyle w:val="6"/>
        <w:tabs>
          <w:tab w:val="left" w:pos="900"/>
        </w:tabs>
        <w:snapToGrid w:val="0"/>
        <w:spacing w:before="0" w:after="0" w:line="380" w:lineRule="exact"/>
        <w:textAlignment w:val="baseline"/>
        <w:rPr>
          <w:rFonts w:ascii="Times New Roman" w:eastAsia="方正仿宋_GBK"/>
          <w:szCs w:val="24"/>
          <w:u w:val="none"/>
        </w:rPr>
      </w:pPr>
      <w:bookmarkStart w:id="102" w:name="_Toc14294"/>
      <w:bookmarkStart w:id="103" w:name="_Toc12013"/>
      <w:bookmarkStart w:id="104" w:name="_Toc28181"/>
      <w:bookmarkStart w:id="105" w:name="_Toc12058"/>
      <w:bookmarkStart w:id="106" w:name="_Toc25635"/>
      <w:bookmarkStart w:id="107" w:name="_Toc3801"/>
      <w:bookmarkStart w:id="108" w:name="_Toc16792"/>
      <w:bookmarkStart w:id="109" w:name="_Toc5970"/>
      <w:bookmarkStart w:id="110" w:name="_Toc14569"/>
      <w:bookmarkStart w:id="111" w:name="_Toc18879"/>
      <w:bookmarkStart w:id="112" w:name="_Toc16843"/>
      <w:r>
        <w:rPr>
          <w:rFonts w:ascii="Times New Roman" w:eastAsia="方正仿宋_GBK"/>
          <w:szCs w:val="24"/>
          <w:u w:val="none"/>
        </w:rPr>
        <w:t>7</w:t>
      </w:r>
      <w:bookmarkEnd w:id="99"/>
      <w:bookmarkEnd w:id="100"/>
      <w:bookmarkEnd w:id="101"/>
      <w:r>
        <w:rPr>
          <w:rFonts w:ascii="Times New Roman" w:eastAsia="方正仿宋_GBK"/>
          <w:szCs w:val="24"/>
          <w:u w:val="none"/>
        </w:rPr>
        <w:t>.响应截止时间的顺延</w:t>
      </w:r>
      <w:bookmarkEnd w:id="102"/>
      <w:bookmarkEnd w:id="103"/>
      <w:bookmarkEnd w:id="104"/>
      <w:bookmarkEnd w:id="105"/>
      <w:bookmarkEnd w:id="106"/>
      <w:bookmarkEnd w:id="107"/>
      <w:bookmarkEnd w:id="108"/>
      <w:bookmarkEnd w:id="109"/>
      <w:bookmarkEnd w:id="110"/>
      <w:bookmarkEnd w:id="111"/>
      <w:bookmarkEnd w:id="112"/>
    </w:p>
    <w:p w14:paraId="177B3C39">
      <w:pPr>
        <w:snapToGrid w:val="0"/>
        <w:spacing w:line="380" w:lineRule="exact"/>
        <w:ind w:left="720" w:hanging="720" w:hangingChars="300"/>
        <w:textAlignment w:val="baseline"/>
        <w:rPr>
          <w:rFonts w:eastAsia="方正仿宋_GBK"/>
          <w:kern w:val="0"/>
          <w:sz w:val="24"/>
        </w:rPr>
      </w:pPr>
      <w:r>
        <w:rPr>
          <w:rFonts w:eastAsia="方正仿宋_GBK"/>
          <w:kern w:val="0"/>
          <w:sz w:val="24"/>
        </w:rPr>
        <w:t>7.1   为使供应商有足够的时间对磋商文件的澄清或者修改部分进行研究而准备或因其他原因，采购人将依法决定是否顺延响应截止时间。顺延变更公告应当在原公告发布媒体上发布。</w:t>
      </w:r>
    </w:p>
    <w:p w14:paraId="563BB8BD">
      <w:pPr>
        <w:snapToGrid w:val="0"/>
        <w:spacing w:line="380" w:lineRule="exact"/>
        <w:ind w:left="720" w:hanging="720" w:hangingChars="300"/>
        <w:textAlignment w:val="baseline"/>
        <w:rPr>
          <w:rFonts w:eastAsia="方正仿宋_GBK"/>
          <w:kern w:val="0"/>
          <w:sz w:val="24"/>
        </w:rPr>
      </w:pPr>
      <w:r>
        <w:rPr>
          <w:rFonts w:eastAsia="方正仿宋_GBK"/>
          <w:kern w:val="0"/>
          <w:sz w:val="24"/>
        </w:rPr>
        <w:t>7.2   供应商应及时关注本项目原公告发布媒体上发布的变更公告，采购人、采购代理机构不再另行通知。</w:t>
      </w:r>
    </w:p>
    <w:p w14:paraId="5E3A5AEF">
      <w:pPr>
        <w:snapToGrid w:val="0"/>
        <w:spacing w:line="380" w:lineRule="exact"/>
        <w:ind w:left="720" w:hanging="720" w:hangingChars="300"/>
        <w:textAlignment w:val="baseline"/>
        <w:rPr>
          <w:rFonts w:eastAsia="方正仿宋_GBK"/>
          <w:color w:val="FF0000"/>
          <w:sz w:val="24"/>
          <w:u w:val="single"/>
        </w:rPr>
      </w:pPr>
      <w:r>
        <w:rPr>
          <w:rFonts w:eastAsia="方正仿宋_GBK"/>
          <w:kern w:val="0"/>
          <w:sz w:val="24"/>
        </w:rPr>
        <w:t>7.3   供应商应认真阅读磋商文件所有的事项、格式、条款和技术规范等。如供应商没有按照磋商文件要求提交全部资料，或者响应文件没有对磋商文件的实质性要求做出响应，其响应将被认定为响应无效。</w:t>
      </w:r>
    </w:p>
    <w:p w14:paraId="0C909B3E">
      <w:pPr>
        <w:pStyle w:val="2"/>
        <w:rPr>
          <w:rFonts w:ascii="Times New Roman" w:eastAsia="方正仿宋_GBK"/>
          <w:szCs w:val="24"/>
        </w:rPr>
      </w:pPr>
    </w:p>
    <w:p w14:paraId="1D631FC1">
      <w:pPr>
        <w:pStyle w:val="5"/>
        <w:snapToGrid w:val="0"/>
        <w:spacing w:before="0" w:line="240" w:lineRule="atLeast"/>
        <w:ind w:left="1079" w:leftChars="257" w:hanging="540"/>
        <w:textAlignment w:val="baseline"/>
        <w:rPr>
          <w:rFonts w:ascii="方正仿宋_GBK" w:hAnsi="方正仿宋_GBK" w:eastAsia="方正仿宋_GBK" w:cs="方正仿宋_GBK"/>
          <w:sz w:val="28"/>
          <w:szCs w:val="28"/>
        </w:rPr>
      </w:pPr>
      <w:bookmarkStart w:id="113" w:name="_Toc516367020"/>
      <w:bookmarkStart w:id="114" w:name="_Toc7636"/>
      <w:bookmarkStart w:id="115" w:name="_Toc515647766"/>
      <w:bookmarkStart w:id="116" w:name="_Toc18070"/>
      <w:bookmarkStart w:id="117" w:name="_Toc30808"/>
      <w:bookmarkStart w:id="118" w:name="_Toc520356150"/>
      <w:bookmarkStart w:id="119" w:name="_Toc16906"/>
      <w:bookmarkStart w:id="120" w:name="_Toc216582807"/>
      <w:bookmarkStart w:id="121" w:name="_Toc32471"/>
      <w:r>
        <w:rPr>
          <w:rFonts w:hint="eastAsia" w:ascii="方正仿宋_GBK" w:hAnsi="方正仿宋_GBK" w:eastAsia="方正仿宋_GBK" w:cs="方正仿宋_GBK"/>
          <w:sz w:val="28"/>
          <w:szCs w:val="28"/>
        </w:rPr>
        <w:t xml:space="preserve">三   </w:t>
      </w:r>
      <w:bookmarkEnd w:id="113"/>
      <w:r>
        <w:rPr>
          <w:rFonts w:hint="eastAsia" w:ascii="方正仿宋_GBK" w:hAnsi="方正仿宋_GBK" w:eastAsia="方正仿宋_GBK" w:cs="方正仿宋_GBK"/>
          <w:sz w:val="28"/>
          <w:szCs w:val="28"/>
        </w:rPr>
        <w:t>响应文件的编制</w:t>
      </w:r>
      <w:bookmarkEnd w:id="114"/>
      <w:bookmarkEnd w:id="115"/>
      <w:bookmarkEnd w:id="116"/>
      <w:bookmarkEnd w:id="117"/>
      <w:bookmarkEnd w:id="118"/>
      <w:bookmarkEnd w:id="119"/>
      <w:bookmarkEnd w:id="120"/>
      <w:bookmarkEnd w:id="121"/>
    </w:p>
    <w:p w14:paraId="6B97E7AA">
      <w:pPr>
        <w:pStyle w:val="2"/>
        <w:snapToGrid w:val="0"/>
        <w:spacing w:line="380" w:lineRule="exact"/>
        <w:textAlignment w:val="baseline"/>
        <w:rPr>
          <w:rFonts w:ascii="微软雅黑" w:hAnsi="微软雅黑" w:eastAsia="微软雅黑" w:cs="微软雅黑"/>
        </w:rPr>
      </w:pPr>
    </w:p>
    <w:p w14:paraId="2B38E597">
      <w:pPr>
        <w:pStyle w:val="6"/>
        <w:tabs>
          <w:tab w:val="left" w:pos="900"/>
        </w:tabs>
        <w:snapToGrid w:val="0"/>
        <w:spacing w:before="0" w:after="0" w:line="380" w:lineRule="exact"/>
        <w:textAlignment w:val="baseline"/>
        <w:rPr>
          <w:rFonts w:ascii="Times New Roman" w:eastAsia="方正仿宋_GBK"/>
          <w:szCs w:val="24"/>
          <w:u w:val="none"/>
        </w:rPr>
      </w:pPr>
      <w:bookmarkStart w:id="122" w:name="_Toc3553"/>
      <w:bookmarkStart w:id="123" w:name="_Toc19644"/>
      <w:bookmarkStart w:id="124" w:name="_Toc14330"/>
      <w:bookmarkStart w:id="125" w:name="_Toc31904"/>
      <w:bookmarkStart w:id="126" w:name="_Toc20168"/>
      <w:bookmarkStart w:id="127" w:name="_Toc520356151"/>
      <w:bookmarkStart w:id="128" w:name="_Toc7786"/>
      <w:bookmarkStart w:id="129" w:name="_Toc19003"/>
      <w:bookmarkStart w:id="130" w:name="_Toc4525"/>
      <w:bookmarkStart w:id="131" w:name="_Toc21848"/>
      <w:bookmarkStart w:id="132" w:name="_Toc515647767"/>
      <w:bookmarkStart w:id="133" w:name="_Toc21065"/>
      <w:bookmarkStart w:id="134" w:name="_Toc516367021"/>
      <w:bookmarkStart w:id="135" w:name="_Toc8762"/>
      <w:bookmarkStart w:id="136" w:name="_Toc4483"/>
      <w:r>
        <w:rPr>
          <w:rFonts w:ascii="Times New Roman" w:eastAsia="方正仿宋_GBK"/>
          <w:szCs w:val="24"/>
          <w:u w:val="none"/>
        </w:rPr>
        <w:t>8.响应范围及文字、计量单位</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imes New Roman" w:eastAsia="方正仿宋_GBK"/>
          <w:szCs w:val="24"/>
          <w:u w:val="none"/>
        </w:rPr>
        <w:t>要求</w:t>
      </w:r>
      <w:bookmarkEnd w:id="136"/>
    </w:p>
    <w:p w14:paraId="0B2DC7FA">
      <w:pPr>
        <w:snapToGrid w:val="0"/>
        <w:spacing w:line="380" w:lineRule="exact"/>
        <w:ind w:left="900" w:hanging="900" w:hangingChars="375"/>
        <w:textAlignment w:val="baseline"/>
        <w:rPr>
          <w:rFonts w:eastAsia="方正仿宋_GBK"/>
          <w:sz w:val="24"/>
        </w:rPr>
      </w:pPr>
      <w:r>
        <w:rPr>
          <w:rFonts w:eastAsia="方正仿宋_GBK"/>
          <w:sz w:val="24"/>
        </w:rPr>
        <w:t>8.1</w:t>
      </w:r>
      <w:r>
        <w:rPr>
          <w:rFonts w:eastAsia="方正仿宋_GBK"/>
          <w:sz w:val="24"/>
        </w:rPr>
        <w:tab/>
      </w:r>
      <w:r>
        <w:rPr>
          <w:rFonts w:eastAsia="方正仿宋_GBK"/>
          <w:sz w:val="24"/>
        </w:rPr>
        <w:t>项目有分包的，供应商可对磋商文件其中某一个或几个分包货物进行磋商，除非在</w:t>
      </w:r>
      <w:r>
        <w:rPr>
          <w:rFonts w:eastAsia="方正仿宋_GBK"/>
          <w:sz w:val="24"/>
          <w:u w:val="single" w:color="000000"/>
        </w:rPr>
        <w:t>供应商须知资料表</w:t>
      </w:r>
      <w:r>
        <w:rPr>
          <w:rFonts w:eastAsia="方正仿宋_GBK"/>
          <w:sz w:val="24"/>
        </w:rPr>
        <w:t>中另有规定。</w:t>
      </w:r>
    </w:p>
    <w:p w14:paraId="6AD44A03">
      <w:pPr>
        <w:snapToGrid w:val="0"/>
        <w:spacing w:line="380" w:lineRule="exact"/>
        <w:ind w:left="900" w:hanging="900" w:hangingChars="375"/>
        <w:textAlignment w:val="baseline"/>
        <w:rPr>
          <w:rFonts w:eastAsia="方正仿宋_GBK"/>
          <w:sz w:val="24"/>
        </w:rPr>
      </w:pPr>
      <w:r>
        <w:rPr>
          <w:rFonts w:eastAsia="方正仿宋_GBK"/>
          <w:sz w:val="24"/>
        </w:rPr>
        <w:t>8.2     供应商应当对所投分包磋商文件中所列的所有内容进行响应，如仅响应某一包中的部分内容，其该包响应将被认定为</w:t>
      </w:r>
      <w:r>
        <w:rPr>
          <w:rFonts w:eastAsia="方正仿宋_GBK"/>
          <w:b/>
          <w:bCs/>
          <w:sz w:val="24"/>
        </w:rPr>
        <w:t>响应无效</w:t>
      </w:r>
      <w:r>
        <w:rPr>
          <w:rFonts w:eastAsia="方正仿宋_GBK"/>
          <w:sz w:val="24"/>
        </w:rPr>
        <w:t>。</w:t>
      </w:r>
    </w:p>
    <w:p w14:paraId="14102360">
      <w:pPr>
        <w:snapToGrid w:val="0"/>
        <w:spacing w:line="380" w:lineRule="exact"/>
        <w:ind w:left="900" w:hanging="900" w:hangingChars="375"/>
        <w:textAlignment w:val="baseline"/>
        <w:rPr>
          <w:rFonts w:eastAsia="方正仿宋_GBK"/>
          <w:sz w:val="24"/>
        </w:rPr>
      </w:pPr>
      <w:r>
        <w:rPr>
          <w:rFonts w:eastAsia="方正仿宋_GBK"/>
          <w:sz w:val="24"/>
        </w:rPr>
        <w:t>8.3     无论磋商文件第5章项目服务和采购需求中是否要求，供应商所投服务及伴随的货物和工程均应符合国家强制性标准。</w:t>
      </w:r>
    </w:p>
    <w:p w14:paraId="72D5C4B2">
      <w:pPr>
        <w:snapToGrid w:val="0"/>
        <w:spacing w:line="380" w:lineRule="exact"/>
        <w:ind w:left="900" w:hanging="900" w:hangingChars="375"/>
        <w:textAlignment w:val="baseline"/>
        <w:rPr>
          <w:rFonts w:eastAsia="方正仿宋_GBK"/>
          <w:sz w:val="24"/>
        </w:rPr>
      </w:pPr>
      <w:r>
        <w:rPr>
          <w:rFonts w:eastAsia="方正仿宋_GBK"/>
          <w:sz w:val="24"/>
        </w:rPr>
        <w:t>8.4     响应文件应使用规范汉字书写(专有名词须加注中文解释)，并采用通用的图形符号，不得出现与常规书写格式不符的内容。</w:t>
      </w:r>
    </w:p>
    <w:p w14:paraId="1885D8A8">
      <w:pPr>
        <w:snapToGrid w:val="0"/>
        <w:spacing w:line="380" w:lineRule="exact"/>
        <w:ind w:left="900" w:hanging="900" w:hangingChars="375"/>
        <w:textAlignment w:val="baseline"/>
        <w:rPr>
          <w:rFonts w:eastAsia="方正仿宋_GBK"/>
          <w:sz w:val="24"/>
        </w:rPr>
      </w:pPr>
      <w:r>
        <w:rPr>
          <w:rFonts w:eastAsia="方正仿宋_GBK"/>
          <w:sz w:val="24"/>
        </w:rPr>
        <w:t>8.5     除磋商文件中有特殊要求外，响应文件中所使用的计量单位，应采用中华人民共和国法定计量单位。</w:t>
      </w:r>
    </w:p>
    <w:p w14:paraId="25AEC401">
      <w:pPr>
        <w:pStyle w:val="6"/>
        <w:tabs>
          <w:tab w:val="left" w:pos="900"/>
        </w:tabs>
        <w:snapToGrid w:val="0"/>
        <w:spacing w:before="0" w:after="0" w:line="380" w:lineRule="exact"/>
        <w:textAlignment w:val="baseline"/>
        <w:rPr>
          <w:rFonts w:ascii="Times New Roman" w:eastAsia="方正仿宋_GBK"/>
          <w:szCs w:val="24"/>
          <w:u w:val="none"/>
        </w:rPr>
      </w:pPr>
      <w:bookmarkStart w:id="137" w:name="_Toc516367022"/>
      <w:bookmarkStart w:id="138" w:name="_Ref467306195"/>
      <w:bookmarkStart w:id="139" w:name="_Ref467306676"/>
      <w:bookmarkStart w:id="140" w:name="_Toc28307"/>
      <w:bookmarkStart w:id="141" w:name="_Toc13837"/>
      <w:bookmarkStart w:id="142" w:name="_Toc515647768"/>
      <w:bookmarkStart w:id="143" w:name="_Toc14931"/>
      <w:bookmarkStart w:id="144" w:name="_Toc26502"/>
      <w:bookmarkStart w:id="145" w:name="_Toc2582"/>
      <w:bookmarkStart w:id="146" w:name="_Toc10364"/>
      <w:bookmarkStart w:id="147" w:name="_Toc19752"/>
      <w:bookmarkStart w:id="148" w:name="_Toc8989"/>
      <w:bookmarkStart w:id="149" w:name="_Toc2709"/>
      <w:bookmarkStart w:id="150" w:name="_Toc3006"/>
      <w:bookmarkStart w:id="151" w:name="_Toc520356152"/>
      <w:bookmarkStart w:id="152" w:name="_Toc28670"/>
      <w:bookmarkStart w:id="153" w:name="_Toc17780"/>
      <w:r>
        <w:rPr>
          <w:rFonts w:ascii="Times New Roman" w:eastAsia="方正仿宋_GBK"/>
          <w:szCs w:val="24"/>
          <w:u w:val="none"/>
        </w:rPr>
        <w:t>9.</w:t>
      </w:r>
      <w:bookmarkEnd w:id="137"/>
      <w:bookmarkEnd w:id="138"/>
      <w:bookmarkEnd w:id="139"/>
      <w:r>
        <w:rPr>
          <w:rFonts w:ascii="Times New Roman" w:eastAsia="方正仿宋_GBK"/>
          <w:szCs w:val="24"/>
          <w:u w:val="none"/>
        </w:rPr>
        <w:t>响应文件</w:t>
      </w:r>
      <w:bookmarkEnd w:id="140"/>
      <w:bookmarkEnd w:id="141"/>
      <w:bookmarkEnd w:id="142"/>
      <w:bookmarkEnd w:id="143"/>
      <w:bookmarkEnd w:id="144"/>
      <w:bookmarkEnd w:id="145"/>
      <w:bookmarkEnd w:id="146"/>
      <w:bookmarkEnd w:id="147"/>
      <w:bookmarkEnd w:id="148"/>
      <w:bookmarkEnd w:id="149"/>
      <w:bookmarkEnd w:id="150"/>
      <w:bookmarkEnd w:id="151"/>
      <w:bookmarkEnd w:id="152"/>
      <w:r>
        <w:rPr>
          <w:rFonts w:ascii="Times New Roman" w:eastAsia="方正仿宋_GBK"/>
          <w:szCs w:val="24"/>
          <w:u w:val="none"/>
        </w:rPr>
        <w:t>的组成</w:t>
      </w:r>
      <w:bookmarkEnd w:id="153"/>
    </w:p>
    <w:p w14:paraId="621BDDE1">
      <w:pPr>
        <w:tabs>
          <w:tab w:val="left" w:pos="900"/>
          <w:tab w:val="left" w:pos="5580"/>
        </w:tabs>
        <w:snapToGrid w:val="0"/>
        <w:spacing w:line="380" w:lineRule="exact"/>
        <w:ind w:left="960" w:hanging="960" w:hangingChars="400"/>
        <w:jc w:val="left"/>
        <w:textAlignment w:val="baseline"/>
        <w:rPr>
          <w:rFonts w:eastAsia="方正仿宋_GBK"/>
          <w:sz w:val="24"/>
          <w:u w:val="single" w:color="000000"/>
        </w:rPr>
      </w:pPr>
      <w:bookmarkStart w:id="154" w:name="_Ref467052588"/>
      <w:r>
        <w:rPr>
          <w:rFonts w:eastAsia="方正仿宋_GBK"/>
          <w:sz w:val="24"/>
        </w:rPr>
        <w:t>9.1     供应商应完整地按照磋商文件提供的响应文件格式及要求编写响应文件，对其响应文件的真实性与准确性负责，成交后，其响应文件将作为合同的组成部分。</w:t>
      </w:r>
      <w:r>
        <w:rPr>
          <w:rFonts w:eastAsia="方正仿宋_GBK"/>
          <w:spacing w:val="9"/>
          <w:sz w:val="24"/>
          <w:u w:val="single"/>
        </w:rPr>
        <w:t>投</w:t>
      </w:r>
      <w:r>
        <w:rPr>
          <w:rFonts w:eastAsia="方正仿宋_GBK"/>
          <w:spacing w:val="20"/>
          <w:sz w:val="24"/>
          <w:u w:val="single"/>
        </w:rPr>
        <w:t>标</w:t>
      </w:r>
      <w:r>
        <w:rPr>
          <w:rFonts w:eastAsia="方正仿宋_GBK"/>
          <w:spacing w:val="13"/>
          <w:sz w:val="24"/>
          <w:u w:val="single"/>
        </w:rPr>
        <w:t>供应商</w:t>
      </w:r>
      <w:r>
        <w:rPr>
          <w:rFonts w:eastAsia="方正仿宋_GBK"/>
          <w:spacing w:val="10"/>
          <w:sz w:val="24"/>
          <w:u w:val="single"/>
        </w:rPr>
        <w:t>须在投标截止时间前在政采云电子投标客户端递交电子响应文件，电子响应</w:t>
      </w:r>
      <w:r>
        <w:rPr>
          <w:rFonts w:eastAsia="方正仿宋_GBK"/>
          <w:spacing w:val="7"/>
          <w:sz w:val="24"/>
          <w:u w:val="single"/>
        </w:rPr>
        <w:t>文件是经过</w:t>
      </w:r>
      <w:r>
        <w:rPr>
          <w:rFonts w:eastAsia="方正仿宋_GBK"/>
          <w:sz w:val="24"/>
          <w:u w:val="single"/>
        </w:rPr>
        <w:t>CA</w:t>
      </w:r>
      <w:r>
        <w:rPr>
          <w:rFonts w:eastAsia="方正仿宋_GBK"/>
          <w:spacing w:val="7"/>
          <w:sz w:val="24"/>
          <w:u w:val="single"/>
        </w:rPr>
        <w:t xml:space="preserve"> 证书加密后上传提交的，任何单位或个人均无法在投标截止</w:t>
      </w:r>
      <w:r>
        <w:rPr>
          <w:rFonts w:eastAsia="方正仿宋_GBK"/>
          <w:spacing w:val="2"/>
          <w:sz w:val="24"/>
          <w:u w:val="single"/>
        </w:rPr>
        <w:t>时</w:t>
      </w:r>
      <w:r>
        <w:rPr>
          <w:rFonts w:eastAsia="方正仿宋_GBK"/>
          <w:spacing w:val="4"/>
          <w:sz w:val="24"/>
          <w:u w:val="single"/>
        </w:rPr>
        <w:t>间 (即开标时间)之前查</w:t>
      </w:r>
      <w:r>
        <w:rPr>
          <w:rFonts w:eastAsia="方正仿宋_GBK"/>
          <w:spacing w:val="2"/>
          <w:sz w:val="24"/>
          <w:u w:val="single"/>
        </w:rPr>
        <w:t>看或篡改，不存在泄密风险。</w:t>
      </w:r>
    </w:p>
    <w:p w14:paraId="5338A4AB">
      <w:pPr>
        <w:snapToGrid w:val="0"/>
        <w:spacing w:line="380" w:lineRule="exact"/>
        <w:ind w:left="900" w:hanging="900" w:hangingChars="375"/>
        <w:textAlignment w:val="baseline"/>
        <w:rPr>
          <w:rFonts w:eastAsia="方正仿宋_GBK"/>
          <w:sz w:val="24"/>
        </w:rPr>
      </w:pPr>
      <w:r>
        <w:rPr>
          <w:rFonts w:eastAsia="方正仿宋_GBK"/>
          <w:sz w:val="24"/>
        </w:rPr>
        <w:t xml:space="preserve">9.2    </w:t>
      </w:r>
      <w:r>
        <w:rPr>
          <w:rFonts w:hint="eastAsia" w:eastAsia="方正仿宋_GBK"/>
          <w:sz w:val="24"/>
        </w:rPr>
        <w:t xml:space="preserve"> </w:t>
      </w:r>
      <w:r>
        <w:rPr>
          <w:rFonts w:eastAsia="方正仿宋_GBK"/>
          <w:sz w:val="24"/>
        </w:rPr>
        <w:t>上述文件应按照磋商文件规定的格式填写、签署和盖章。</w:t>
      </w:r>
      <w:bookmarkEnd w:id="154"/>
      <w:r>
        <w:rPr>
          <w:rFonts w:eastAsia="方正仿宋_GBK"/>
          <w:sz w:val="24"/>
        </w:rPr>
        <w:t>若投标人未依照要求制作响应文件的，则视为不响应磋商文件编制响应文件的要求为</w:t>
      </w:r>
      <w:r>
        <w:rPr>
          <w:rFonts w:eastAsia="方正仿宋_GBK"/>
          <w:b/>
          <w:bCs/>
          <w:sz w:val="24"/>
        </w:rPr>
        <w:t>响应无效</w:t>
      </w:r>
      <w:r>
        <w:rPr>
          <w:rFonts w:eastAsia="方正仿宋_GBK"/>
          <w:sz w:val="24"/>
        </w:rPr>
        <w:t>。</w:t>
      </w:r>
    </w:p>
    <w:p w14:paraId="48C1142A">
      <w:pPr>
        <w:pStyle w:val="6"/>
        <w:tabs>
          <w:tab w:val="left" w:pos="900"/>
        </w:tabs>
        <w:snapToGrid w:val="0"/>
        <w:spacing w:before="0" w:after="0" w:line="380" w:lineRule="exact"/>
        <w:textAlignment w:val="baseline"/>
        <w:rPr>
          <w:rFonts w:ascii="Times New Roman" w:eastAsia="方正仿宋_GBK"/>
          <w:szCs w:val="24"/>
          <w:u w:val="none"/>
        </w:rPr>
      </w:pPr>
      <w:bookmarkStart w:id="155" w:name="_Toc15869"/>
      <w:bookmarkStart w:id="156" w:name="_Toc515647769"/>
      <w:bookmarkStart w:id="157" w:name="_Toc870"/>
      <w:bookmarkStart w:id="158" w:name="_Toc4601"/>
      <w:bookmarkStart w:id="159" w:name="_Toc5860"/>
      <w:bookmarkStart w:id="160" w:name="_Toc15064"/>
      <w:bookmarkStart w:id="161" w:name="_Toc8626"/>
      <w:bookmarkStart w:id="162" w:name="_Toc6860"/>
      <w:bookmarkStart w:id="163" w:name="_Toc520356153"/>
      <w:bookmarkStart w:id="164" w:name="_Toc10379"/>
      <w:bookmarkStart w:id="165" w:name="_Toc25631"/>
      <w:bookmarkStart w:id="166" w:name="_Toc4291"/>
      <w:bookmarkStart w:id="167" w:name="_Toc28330"/>
      <w:bookmarkStart w:id="168" w:name="_Toc516367023"/>
      <w:bookmarkStart w:id="169" w:name="_Toc32014"/>
      <w:r>
        <w:rPr>
          <w:rFonts w:ascii="Times New Roman" w:eastAsia="方正仿宋_GBK"/>
          <w:szCs w:val="24"/>
          <w:u w:val="none"/>
        </w:rPr>
        <w:t>10.证明响应标的的合格性和符合磋商文件规定的技术文件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2AA3FF3F">
      <w:pPr>
        <w:snapToGrid w:val="0"/>
        <w:spacing w:line="380" w:lineRule="exact"/>
        <w:ind w:left="900" w:hanging="900" w:hangingChars="375"/>
        <w:textAlignment w:val="baseline"/>
        <w:rPr>
          <w:rFonts w:eastAsia="方正仿宋_GBK"/>
          <w:sz w:val="24"/>
        </w:rPr>
      </w:pPr>
      <w:r>
        <w:rPr>
          <w:rFonts w:eastAsia="方正仿宋_GBK"/>
          <w:sz w:val="24"/>
        </w:rPr>
        <w:t>10.1</w:t>
      </w:r>
      <w:r>
        <w:rPr>
          <w:rFonts w:eastAsia="方正仿宋_GBK"/>
          <w:sz w:val="24"/>
        </w:rPr>
        <w:tab/>
      </w:r>
      <w:r>
        <w:rPr>
          <w:rFonts w:eastAsia="方正仿宋_GBK"/>
          <w:sz w:val="24"/>
        </w:rPr>
        <w:t>供应商应提交证明文件，证明其响应标的符合磋商文件规定。该证明文件是响应文件的技术文件。</w:t>
      </w:r>
    </w:p>
    <w:p w14:paraId="65A57E41">
      <w:pPr>
        <w:snapToGrid w:val="0"/>
        <w:spacing w:line="380" w:lineRule="exact"/>
        <w:ind w:left="900" w:hanging="900" w:hangingChars="375"/>
        <w:textAlignment w:val="baseline"/>
        <w:rPr>
          <w:rFonts w:eastAsia="方正仿宋_GBK"/>
          <w:sz w:val="24"/>
        </w:rPr>
      </w:pPr>
      <w:bookmarkStart w:id="170" w:name="_Ref467306244"/>
      <w:r>
        <w:rPr>
          <w:rFonts w:eastAsia="方正仿宋_GBK"/>
          <w:sz w:val="24"/>
        </w:rPr>
        <w:t>10.2</w:t>
      </w:r>
      <w:r>
        <w:rPr>
          <w:rFonts w:eastAsia="方正仿宋_GBK"/>
          <w:sz w:val="24"/>
        </w:rPr>
        <w:tab/>
      </w:r>
      <w:r>
        <w:rPr>
          <w:rFonts w:eastAsia="方正仿宋_GBK"/>
          <w:sz w:val="24"/>
        </w:rPr>
        <w:t>上款所述的证明文件，可以是文字资料、图纸和数据，</w:t>
      </w:r>
      <w:bookmarkEnd w:id="170"/>
      <w:r>
        <w:rPr>
          <w:rFonts w:eastAsia="方正仿宋_GBK"/>
          <w:sz w:val="24"/>
        </w:rPr>
        <w:t>它包括：</w:t>
      </w:r>
    </w:p>
    <w:p w14:paraId="52B07DCF">
      <w:pPr>
        <w:snapToGrid w:val="0"/>
        <w:spacing w:line="380" w:lineRule="exact"/>
        <w:ind w:left="900" w:hanging="900" w:hangingChars="375"/>
        <w:textAlignment w:val="baseline"/>
        <w:rPr>
          <w:rFonts w:eastAsia="方正仿宋_GBK"/>
          <w:sz w:val="24"/>
        </w:rPr>
      </w:pPr>
      <w:r>
        <w:rPr>
          <w:rFonts w:eastAsia="方正仿宋_GBK"/>
          <w:sz w:val="24"/>
        </w:rPr>
        <w:t>10.2.1</w:t>
      </w:r>
      <w:r>
        <w:rPr>
          <w:rFonts w:eastAsia="方正仿宋_GBK"/>
          <w:sz w:val="24"/>
        </w:rPr>
        <w:tab/>
      </w:r>
      <w:r>
        <w:rPr>
          <w:rFonts w:eastAsia="方正仿宋_GBK"/>
          <w:sz w:val="24"/>
        </w:rPr>
        <w:t>服务需求的详细说明；</w:t>
      </w:r>
    </w:p>
    <w:p w14:paraId="7D161A3C">
      <w:pPr>
        <w:snapToGrid w:val="0"/>
        <w:spacing w:line="380" w:lineRule="exact"/>
        <w:ind w:left="900" w:hanging="900" w:hangingChars="375"/>
        <w:textAlignment w:val="baseline"/>
        <w:rPr>
          <w:rFonts w:eastAsia="方正仿宋_GBK"/>
          <w:sz w:val="24"/>
        </w:rPr>
      </w:pPr>
      <w:r>
        <w:rPr>
          <w:rFonts w:eastAsia="方正仿宋_GBK"/>
          <w:sz w:val="24"/>
        </w:rPr>
        <w:t>10.2.2</w:t>
      </w:r>
      <w:r>
        <w:rPr>
          <w:rFonts w:eastAsia="方正仿宋_GBK"/>
          <w:sz w:val="24"/>
        </w:rPr>
        <w:tab/>
      </w:r>
      <w:r>
        <w:rPr>
          <w:rFonts w:eastAsia="方正仿宋_GBK"/>
          <w:sz w:val="24"/>
        </w:rPr>
        <w:t>对照磋商文件中的项目服务采购需求，逐条说明所提供的服务及伴随的货物和工程已对磋商文件的服务需求做出了实质性的响应，或申明与服务需求条文的偏差和例外。</w:t>
      </w:r>
    </w:p>
    <w:p w14:paraId="3ADA2368">
      <w:pPr>
        <w:snapToGrid w:val="0"/>
        <w:spacing w:line="380" w:lineRule="exact"/>
        <w:ind w:left="900" w:hanging="900" w:hangingChars="375"/>
        <w:textAlignment w:val="baseline"/>
        <w:rPr>
          <w:rFonts w:eastAsia="方正仿宋_GBK"/>
          <w:sz w:val="24"/>
        </w:rPr>
      </w:pPr>
      <w:r>
        <w:rPr>
          <w:rFonts w:eastAsia="方正仿宋_GBK"/>
          <w:sz w:val="24"/>
        </w:rPr>
        <w:t xml:space="preserve">10.3   </w:t>
      </w:r>
      <w:r>
        <w:rPr>
          <w:rFonts w:hint="eastAsia" w:eastAsia="方正仿宋_GBK"/>
          <w:sz w:val="24"/>
        </w:rPr>
        <w:t xml:space="preserve"> </w:t>
      </w:r>
      <w:r>
        <w:rPr>
          <w:rFonts w:eastAsia="方正仿宋_GBK"/>
          <w:sz w:val="24"/>
        </w:rPr>
        <w:t>本条所指证明文件不包括对磋商文件相关部分的文字、图标的复制。</w:t>
      </w:r>
    </w:p>
    <w:p w14:paraId="1D8623A9">
      <w:pPr>
        <w:pStyle w:val="6"/>
        <w:snapToGrid w:val="0"/>
        <w:spacing w:before="0" w:after="0" w:line="380" w:lineRule="exact"/>
        <w:textAlignment w:val="baseline"/>
        <w:rPr>
          <w:rFonts w:ascii="Times New Roman" w:eastAsia="方正仿宋_GBK"/>
          <w:szCs w:val="24"/>
          <w:u w:val="none"/>
        </w:rPr>
      </w:pPr>
      <w:bookmarkStart w:id="171" w:name="_Toc520356155"/>
      <w:bookmarkStart w:id="172" w:name="_Toc7688"/>
      <w:bookmarkStart w:id="173" w:name="_Toc5239"/>
      <w:bookmarkStart w:id="174" w:name="_Toc27117"/>
      <w:bookmarkStart w:id="175" w:name="_Toc6864"/>
      <w:bookmarkStart w:id="176" w:name="_Toc23231"/>
      <w:bookmarkStart w:id="177" w:name="_Toc2248"/>
      <w:bookmarkStart w:id="178" w:name="_Toc9025"/>
      <w:bookmarkStart w:id="179" w:name="_Toc515647770"/>
      <w:bookmarkStart w:id="180" w:name="_Toc25289"/>
      <w:bookmarkStart w:id="181" w:name="_Toc7506"/>
      <w:bookmarkStart w:id="182" w:name="_Toc16854"/>
      <w:bookmarkStart w:id="183" w:name="_Toc5859"/>
      <w:bookmarkStart w:id="184" w:name="_Toc15870"/>
      <w:r>
        <w:rPr>
          <w:rFonts w:ascii="Times New Roman" w:eastAsia="方正仿宋_GBK"/>
          <w:szCs w:val="24"/>
          <w:u w:val="none"/>
        </w:rPr>
        <w:t>11.投标报价</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C1D9A76">
      <w:pPr>
        <w:snapToGrid w:val="0"/>
        <w:spacing w:line="380" w:lineRule="exact"/>
        <w:ind w:left="900" w:hanging="900" w:hangingChars="375"/>
        <w:textAlignment w:val="baseline"/>
        <w:rPr>
          <w:rFonts w:eastAsia="方正仿宋_GBK"/>
          <w:sz w:val="24"/>
        </w:rPr>
      </w:pPr>
      <w:r>
        <w:rPr>
          <w:rFonts w:eastAsia="方正仿宋_GBK"/>
          <w:sz w:val="24"/>
        </w:rPr>
        <w:t>11.1</w:t>
      </w:r>
      <w:r>
        <w:rPr>
          <w:rFonts w:eastAsia="方正仿宋_GBK"/>
          <w:sz w:val="24"/>
        </w:rPr>
        <w:tab/>
      </w:r>
      <w:r>
        <w:rPr>
          <w:rFonts w:eastAsia="方正仿宋_GBK"/>
          <w:sz w:val="24"/>
        </w:rPr>
        <w:t>供应商的报价应当包括满足本次磋商全部采购需求所应提供的服务，以及伴随的货物和工程。所有响应均应以人民币报价。</w:t>
      </w:r>
    </w:p>
    <w:p w14:paraId="558E63F1">
      <w:pPr>
        <w:snapToGrid w:val="0"/>
        <w:spacing w:line="380" w:lineRule="exact"/>
        <w:ind w:left="900" w:hanging="900" w:hangingChars="375"/>
        <w:textAlignment w:val="baseline"/>
        <w:rPr>
          <w:rFonts w:eastAsia="方正仿宋_GBK"/>
          <w:sz w:val="24"/>
        </w:rPr>
      </w:pPr>
      <w:r>
        <w:rPr>
          <w:rFonts w:eastAsia="方正仿宋_GBK"/>
          <w:sz w:val="24"/>
        </w:rPr>
        <w:t>11.2</w:t>
      </w:r>
      <w:r>
        <w:rPr>
          <w:rFonts w:eastAsia="方正仿宋_GBK"/>
          <w:sz w:val="24"/>
        </w:rPr>
        <w:tab/>
      </w:r>
      <w:r>
        <w:rPr>
          <w:rFonts w:eastAsia="方正仿宋_GBK"/>
          <w:sz w:val="24"/>
        </w:rPr>
        <w:t>供应商应在价格明细表上标明响应服务及相关货物、工程的单价（如适用）和总价，并由法定代表人或其授权代表签署。</w:t>
      </w:r>
    </w:p>
    <w:p w14:paraId="055DFE84">
      <w:pPr>
        <w:snapToGrid w:val="0"/>
        <w:spacing w:line="380" w:lineRule="exact"/>
        <w:ind w:left="900" w:hanging="900" w:hangingChars="375"/>
        <w:textAlignment w:val="baseline"/>
        <w:rPr>
          <w:rFonts w:eastAsia="方正仿宋_GBK"/>
          <w:sz w:val="24"/>
        </w:rPr>
      </w:pPr>
      <w:r>
        <w:rPr>
          <w:rFonts w:eastAsia="方正仿宋_GBK"/>
          <w:sz w:val="24"/>
        </w:rPr>
        <w:t>11.3</w:t>
      </w:r>
      <w:r>
        <w:rPr>
          <w:rFonts w:eastAsia="方正仿宋_GBK"/>
          <w:sz w:val="24"/>
        </w:rPr>
        <w:tab/>
      </w:r>
      <w:r>
        <w:rPr>
          <w:rFonts w:eastAsia="方正仿宋_GBK"/>
          <w:sz w:val="24"/>
        </w:rPr>
        <w:t>供应商所报的各分项磋商单价在合同履行过程中是固定不变的，不得以任何理由予以变更。任何包含价格调整要求的磋商，其响应将被认定为</w:t>
      </w:r>
      <w:r>
        <w:rPr>
          <w:rFonts w:eastAsia="方正仿宋_GBK"/>
          <w:b/>
          <w:bCs/>
          <w:sz w:val="24"/>
        </w:rPr>
        <w:t>响应无效</w:t>
      </w:r>
      <w:r>
        <w:rPr>
          <w:rFonts w:eastAsia="方正仿宋_GBK"/>
          <w:sz w:val="24"/>
        </w:rPr>
        <w:t>。</w:t>
      </w:r>
    </w:p>
    <w:p w14:paraId="39527171">
      <w:pPr>
        <w:snapToGrid w:val="0"/>
        <w:spacing w:line="380" w:lineRule="exact"/>
        <w:textAlignment w:val="baseline"/>
        <w:rPr>
          <w:rFonts w:eastAsia="方正仿宋_GBK"/>
          <w:sz w:val="24"/>
        </w:rPr>
      </w:pPr>
      <w:r>
        <w:rPr>
          <w:rFonts w:eastAsia="方正仿宋_GBK"/>
          <w:sz w:val="24"/>
        </w:rPr>
        <w:t>11.4</w:t>
      </w:r>
      <w:r>
        <w:rPr>
          <w:rFonts w:eastAsia="方正仿宋_GBK"/>
          <w:sz w:val="24"/>
        </w:rPr>
        <w:tab/>
      </w:r>
      <w:r>
        <w:rPr>
          <w:rFonts w:hint="eastAsia" w:eastAsia="方正仿宋_GBK"/>
          <w:sz w:val="24"/>
        </w:rPr>
        <w:t xml:space="preserve">    </w:t>
      </w:r>
      <w:r>
        <w:rPr>
          <w:rFonts w:eastAsia="方正仿宋_GBK"/>
          <w:sz w:val="24"/>
        </w:rPr>
        <w:t>采购人不接受具有附加条件的报价。</w:t>
      </w:r>
    </w:p>
    <w:p w14:paraId="58978E47">
      <w:pPr>
        <w:pStyle w:val="6"/>
        <w:snapToGrid w:val="0"/>
        <w:spacing w:before="0" w:after="0" w:line="380" w:lineRule="exact"/>
        <w:textAlignment w:val="baseline"/>
        <w:rPr>
          <w:rFonts w:ascii="Times New Roman" w:eastAsia="方正仿宋_GBK"/>
          <w:szCs w:val="24"/>
          <w:u w:val="none"/>
        </w:rPr>
      </w:pPr>
      <w:bookmarkStart w:id="185" w:name="_Toc520356156"/>
      <w:bookmarkStart w:id="186" w:name="_Toc8505"/>
      <w:bookmarkStart w:id="187" w:name="_Toc1651"/>
      <w:bookmarkStart w:id="188" w:name="_Ref467306513"/>
      <w:bookmarkStart w:id="189" w:name="_Toc19405"/>
      <w:bookmarkStart w:id="190" w:name="_Toc30640"/>
      <w:bookmarkStart w:id="191" w:name="_Toc17788"/>
      <w:bookmarkStart w:id="192" w:name="_Toc515647771"/>
      <w:bookmarkStart w:id="193" w:name="_Toc7718"/>
      <w:bookmarkStart w:id="194" w:name="_Toc20519"/>
      <w:bookmarkStart w:id="195" w:name="_Toc16693"/>
      <w:bookmarkStart w:id="196" w:name="_Toc5302"/>
      <w:bookmarkStart w:id="197" w:name="_Toc9763"/>
      <w:bookmarkStart w:id="198" w:name="_Toc11514"/>
      <w:bookmarkStart w:id="199" w:name="_Toc31526"/>
      <w:r>
        <w:rPr>
          <w:rFonts w:ascii="Times New Roman" w:eastAsia="方正仿宋_GBK"/>
          <w:szCs w:val="24"/>
          <w:u w:val="none"/>
        </w:rPr>
        <w:t>12.磋商保证金</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90F6D6C">
      <w:pPr>
        <w:snapToGrid w:val="0"/>
        <w:spacing w:line="380" w:lineRule="exact"/>
        <w:ind w:left="900" w:hanging="900" w:hangingChars="375"/>
        <w:textAlignment w:val="baseline"/>
        <w:rPr>
          <w:rFonts w:eastAsia="方正仿宋_GBK"/>
          <w:sz w:val="24"/>
        </w:rPr>
      </w:pPr>
      <w:bookmarkStart w:id="200" w:name="_Ref467306302"/>
      <w:r>
        <w:rPr>
          <w:rFonts w:eastAsia="方正仿宋_GBK"/>
          <w:sz w:val="24"/>
        </w:rPr>
        <w:t>12.1</w:t>
      </w:r>
      <w:r>
        <w:rPr>
          <w:rFonts w:eastAsia="方正仿宋_GBK"/>
          <w:sz w:val="24"/>
        </w:rPr>
        <w:tab/>
      </w:r>
      <w:bookmarkEnd w:id="200"/>
      <w:r>
        <w:rPr>
          <w:rFonts w:eastAsia="方正仿宋_GBK"/>
          <w:sz w:val="24"/>
        </w:rPr>
        <w:t>采购人、采购代理机构可以要求供应商在提交响应文件截止时间之前交纳磋商保证金。磋商保证金应当采用支票、汇票、本票或者金融机构、担保机构出具的保函等非现金形式交纳。磋商保证金数额应当不超过采购项目预算的2%。供应商未按照磋商文件要求提交磋商保证金的</w:t>
      </w:r>
      <w:r>
        <w:rPr>
          <w:rFonts w:eastAsia="方正仿宋_GBK"/>
          <w:b/>
          <w:bCs/>
          <w:sz w:val="24"/>
        </w:rPr>
        <w:t>响应无效</w:t>
      </w:r>
      <w:r>
        <w:rPr>
          <w:rFonts w:eastAsia="方正仿宋_GBK"/>
          <w:sz w:val="24"/>
        </w:rPr>
        <w:t>。</w:t>
      </w:r>
    </w:p>
    <w:p w14:paraId="4B16D563">
      <w:pPr>
        <w:snapToGrid w:val="0"/>
        <w:spacing w:line="380" w:lineRule="exact"/>
        <w:ind w:left="957" w:leftChars="456"/>
        <w:textAlignment w:val="baseline"/>
        <w:rPr>
          <w:rFonts w:eastAsia="方正仿宋_GBK"/>
          <w:sz w:val="24"/>
        </w:rPr>
      </w:pPr>
      <w:r>
        <w:rPr>
          <w:rFonts w:eastAsia="方正仿宋_GBK"/>
          <w:sz w:val="24"/>
        </w:rPr>
        <w:t>供应商为联合体的，可以由联合体中的一方或者多方共同交纳磋商保证金，其交纳的保证金对联合体各方均具有约束力。</w:t>
      </w:r>
    </w:p>
    <w:p w14:paraId="6938E38B">
      <w:pPr>
        <w:snapToGrid w:val="0"/>
        <w:spacing w:line="380" w:lineRule="exact"/>
        <w:ind w:left="957" w:leftChars="456"/>
        <w:textAlignment w:val="baseline"/>
        <w:rPr>
          <w:rFonts w:eastAsia="方正仿宋_GBK"/>
          <w:sz w:val="24"/>
        </w:rPr>
      </w:pPr>
      <w:r>
        <w:rPr>
          <w:rFonts w:eastAsia="方正仿宋_GBK"/>
          <w:sz w:val="24"/>
        </w:rPr>
        <w:t>供应商应提交</w:t>
      </w:r>
      <w:r>
        <w:rPr>
          <w:rFonts w:eastAsia="方正仿宋_GBK"/>
          <w:sz w:val="24"/>
          <w:u w:val="single" w:color="000000"/>
        </w:rPr>
        <w:t>供应商须知资料表</w:t>
      </w:r>
      <w:r>
        <w:rPr>
          <w:rFonts w:eastAsia="方正仿宋_GBK"/>
          <w:sz w:val="24"/>
        </w:rPr>
        <w:t>中规定的磋商保证金，并作为其响应的一部分。</w:t>
      </w:r>
    </w:p>
    <w:p w14:paraId="7D9B7889">
      <w:pPr>
        <w:snapToGrid w:val="0"/>
        <w:spacing w:line="380" w:lineRule="exact"/>
        <w:ind w:left="900" w:hanging="900" w:hangingChars="375"/>
        <w:textAlignment w:val="baseline"/>
        <w:rPr>
          <w:rFonts w:eastAsia="方正仿宋_GBK"/>
          <w:sz w:val="24"/>
        </w:rPr>
      </w:pPr>
      <w:r>
        <w:rPr>
          <w:rFonts w:eastAsia="方正仿宋_GBK"/>
          <w:sz w:val="24"/>
        </w:rPr>
        <w:t>12.2</w:t>
      </w:r>
      <w:r>
        <w:rPr>
          <w:rFonts w:eastAsia="方正仿宋_GBK"/>
          <w:sz w:val="24"/>
        </w:rPr>
        <w:tab/>
      </w:r>
      <w:bookmarkStart w:id="201" w:name="_Ref467306336"/>
      <w:r>
        <w:rPr>
          <w:rFonts w:eastAsia="方正仿宋_GBK"/>
          <w:sz w:val="24"/>
        </w:rPr>
        <w:t>有下列情形之一的，保证金不予退还：</w:t>
      </w:r>
    </w:p>
    <w:p w14:paraId="530A7A53">
      <w:pPr>
        <w:snapToGrid w:val="0"/>
        <w:spacing w:line="380" w:lineRule="exact"/>
        <w:ind w:left="900" w:hanging="900" w:hangingChars="375"/>
        <w:textAlignment w:val="baseline"/>
        <w:rPr>
          <w:rFonts w:eastAsia="方正仿宋_GBK"/>
          <w:sz w:val="24"/>
        </w:rPr>
      </w:pPr>
      <w:r>
        <w:rPr>
          <w:rFonts w:eastAsia="方正仿宋_GBK"/>
          <w:sz w:val="24"/>
        </w:rPr>
        <w:t>　　   （一）供应商在提交响应文件截止时间后撤回响应文件的；</w:t>
      </w:r>
    </w:p>
    <w:p w14:paraId="0FDD3F41">
      <w:pPr>
        <w:snapToGrid w:val="0"/>
        <w:spacing w:line="380" w:lineRule="exact"/>
        <w:ind w:left="900" w:hanging="900" w:hangingChars="375"/>
        <w:textAlignment w:val="baseline"/>
        <w:rPr>
          <w:rFonts w:eastAsia="方正仿宋_GBK"/>
          <w:sz w:val="24"/>
        </w:rPr>
      </w:pPr>
      <w:r>
        <w:rPr>
          <w:rFonts w:eastAsia="方正仿宋_GBK"/>
          <w:sz w:val="24"/>
        </w:rPr>
        <w:t>　　   （二）供应商在响应文件中提供虚假材料的；</w:t>
      </w:r>
    </w:p>
    <w:p w14:paraId="6829A6B5">
      <w:pPr>
        <w:snapToGrid w:val="0"/>
        <w:spacing w:line="380" w:lineRule="exact"/>
        <w:ind w:left="900" w:hanging="900" w:hangingChars="375"/>
        <w:textAlignment w:val="baseline"/>
        <w:rPr>
          <w:rFonts w:eastAsia="方正仿宋_GBK"/>
          <w:sz w:val="24"/>
        </w:rPr>
      </w:pPr>
      <w:r>
        <w:rPr>
          <w:rFonts w:eastAsia="方正仿宋_GBK"/>
          <w:sz w:val="24"/>
        </w:rPr>
        <w:t>　　   （三）除因不可抗力或磋商文件认可的情形以外，成交供应商不与采购人签订合同的；</w:t>
      </w:r>
    </w:p>
    <w:p w14:paraId="26DCEEAC">
      <w:pPr>
        <w:snapToGrid w:val="0"/>
        <w:spacing w:line="380" w:lineRule="exact"/>
        <w:ind w:left="900" w:hanging="900" w:hangingChars="375"/>
        <w:textAlignment w:val="baseline"/>
        <w:rPr>
          <w:rFonts w:eastAsia="方正仿宋_GBK"/>
          <w:sz w:val="24"/>
        </w:rPr>
      </w:pPr>
      <w:r>
        <w:rPr>
          <w:rFonts w:eastAsia="方正仿宋_GBK"/>
          <w:sz w:val="24"/>
        </w:rPr>
        <w:t>　　   （四）供应商与采购人、其他供应商或者采购代理机构恶意串通的；</w:t>
      </w:r>
    </w:p>
    <w:p w14:paraId="2EC1451E">
      <w:pPr>
        <w:snapToGrid w:val="0"/>
        <w:spacing w:line="380" w:lineRule="exact"/>
        <w:ind w:left="900" w:hanging="900" w:hangingChars="375"/>
        <w:textAlignment w:val="baseline"/>
        <w:rPr>
          <w:rFonts w:eastAsia="方正仿宋_GBK"/>
          <w:sz w:val="24"/>
        </w:rPr>
      </w:pPr>
      <w:r>
        <w:rPr>
          <w:rFonts w:eastAsia="方正仿宋_GBK"/>
          <w:sz w:val="24"/>
        </w:rPr>
        <w:t>　　   （五）磋商文件规定的其他情形。</w:t>
      </w:r>
    </w:p>
    <w:p w14:paraId="69FEDA5D">
      <w:pPr>
        <w:snapToGrid w:val="0"/>
        <w:spacing w:line="380" w:lineRule="exact"/>
        <w:ind w:left="900" w:hanging="900" w:hangingChars="375"/>
        <w:textAlignment w:val="baseline"/>
        <w:rPr>
          <w:rFonts w:eastAsia="方正仿宋_GBK"/>
          <w:sz w:val="24"/>
        </w:rPr>
      </w:pPr>
      <w:r>
        <w:rPr>
          <w:rFonts w:eastAsia="方正仿宋_GBK"/>
          <w:sz w:val="24"/>
        </w:rPr>
        <w:t>12.3</w:t>
      </w:r>
      <w:r>
        <w:rPr>
          <w:rFonts w:eastAsia="方正仿宋_GBK"/>
          <w:sz w:val="24"/>
        </w:rPr>
        <w:tab/>
      </w:r>
      <w:bookmarkEnd w:id="201"/>
      <w:r>
        <w:rPr>
          <w:rFonts w:eastAsia="方正仿宋_GBK"/>
          <w:sz w:val="24"/>
        </w:rPr>
        <w:t>政府采购信用担保试点范围内的项目，接受符合财政部门规定的政府采购磋商担保函原件扫描件。</w:t>
      </w:r>
    </w:p>
    <w:p w14:paraId="703A4B63">
      <w:pPr>
        <w:snapToGrid w:val="0"/>
        <w:spacing w:line="380" w:lineRule="exact"/>
        <w:ind w:left="900" w:hanging="900" w:hangingChars="375"/>
        <w:textAlignment w:val="baseline"/>
        <w:rPr>
          <w:rFonts w:eastAsia="方正仿宋_GBK"/>
          <w:sz w:val="24"/>
        </w:rPr>
      </w:pPr>
      <w:r>
        <w:rPr>
          <w:rFonts w:eastAsia="方正仿宋_GBK"/>
          <w:sz w:val="24"/>
        </w:rPr>
        <w:t>12.4</w:t>
      </w:r>
      <w:r>
        <w:rPr>
          <w:rFonts w:eastAsia="方正仿宋_GBK"/>
          <w:sz w:val="24"/>
        </w:rPr>
        <w:tab/>
      </w:r>
      <w:r>
        <w:rPr>
          <w:rFonts w:eastAsia="方正仿宋_GBK"/>
          <w:sz w:val="24"/>
        </w:rPr>
        <w:t>供应商未按本须知第12.1和12.3条规定提交磋商保证金的，其响应将被认定为</w:t>
      </w:r>
      <w:r>
        <w:rPr>
          <w:rFonts w:eastAsia="方正仿宋_GBK"/>
          <w:b/>
          <w:bCs/>
          <w:sz w:val="24"/>
        </w:rPr>
        <w:t>响应无效</w:t>
      </w:r>
      <w:r>
        <w:rPr>
          <w:rFonts w:eastAsia="方正仿宋_GBK"/>
          <w:sz w:val="24"/>
        </w:rPr>
        <w:t>。</w:t>
      </w:r>
    </w:p>
    <w:p w14:paraId="4F268ABB">
      <w:pPr>
        <w:snapToGrid w:val="0"/>
        <w:spacing w:line="380" w:lineRule="exact"/>
        <w:textAlignment w:val="baseline"/>
        <w:rPr>
          <w:rFonts w:eastAsia="方正仿宋_GBK"/>
          <w:sz w:val="24"/>
        </w:rPr>
      </w:pPr>
      <w:r>
        <w:rPr>
          <w:rFonts w:eastAsia="方正仿宋_GBK"/>
          <w:sz w:val="24"/>
        </w:rPr>
        <w:t>12.4.1  采用电汇形式的，一般可以实时入账。</w:t>
      </w:r>
    </w:p>
    <w:p w14:paraId="0C883C38">
      <w:pPr>
        <w:snapToGrid w:val="0"/>
        <w:spacing w:line="380" w:lineRule="exact"/>
        <w:ind w:left="960" w:hanging="960" w:hangingChars="400"/>
        <w:jc w:val="left"/>
        <w:textAlignment w:val="baseline"/>
        <w:rPr>
          <w:rFonts w:eastAsia="方正仿宋_GBK"/>
          <w:sz w:val="24"/>
        </w:rPr>
      </w:pPr>
      <w:r>
        <w:rPr>
          <w:rFonts w:eastAsia="方正仿宋_GBK"/>
          <w:sz w:val="24"/>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7BBF9F03">
      <w:pPr>
        <w:snapToGrid w:val="0"/>
        <w:spacing w:line="380" w:lineRule="exact"/>
        <w:ind w:left="900" w:hanging="900" w:hangingChars="375"/>
        <w:textAlignment w:val="baseline"/>
        <w:rPr>
          <w:rFonts w:eastAsia="方正仿宋_GBK"/>
          <w:sz w:val="24"/>
        </w:rPr>
      </w:pPr>
      <w:r>
        <w:rPr>
          <w:rFonts w:eastAsia="方正仿宋_GBK"/>
          <w:sz w:val="24"/>
        </w:rPr>
        <w:t>12.5    联合体响应的，可以由联合体中的一方或者共同提交磋商保证金。以一方名义提交磋商保证金的，对联合体各方均具有约束力。</w:t>
      </w:r>
    </w:p>
    <w:p w14:paraId="0F3E6CAC">
      <w:pPr>
        <w:snapToGrid w:val="0"/>
        <w:spacing w:line="380" w:lineRule="exact"/>
        <w:ind w:left="900" w:hanging="900" w:hangingChars="375"/>
        <w:textAlignment w:val="baseline"/>
        <w:rPr>
          <w:rFonts w:eastAsia="方正仿宋_GBK"/>
          <w:sz w:val="24"/>
        </w:rPr>
      </w:pPr>
      <w:r>
        <w:rPr>
          <w:rFonts w:eastAsia="方正仿宋_GBK"/>
          <w:sz w:val="24"/>
        </w:rPr>
        <w:t>12.6</w:t>
      </w:r>
      <w:r>
        <w:rPr>
          <w:rFonts w:eastAsia="方正仿宋_GBK"/>
          <w:sz w:val="24"/>
        </w:rPr>
        <w:tab/>
      </w:r>
      <w:r>
        <w:rPr>
          <w:rFonts w:eastAsia="方正仿宋_GBK"/>
          <w:sz w:val="24"/>
        </w:rPr>
        <w:t>磋商保证金的退还</w:t>
      </w:r>
    </w:p>
    <w:p w14:paraId="74EBB6F2">
      <w:pPr>
        <w:snapToGrid w:val="0"/>
        <w:spacing w:line="380" w:lineRule="exact"/>
        <w:ind w:left="900" w:hanging="900" w:hangingChars="375"/>
        <w:textAlignment w:val="baseline"/>
        <w:rPr>
          <w:rFonts w:eastAsia="方正仿宋_GBK"/>
          <w:sz w:val="24"/>
        </w:rPr>
      </w:pPr>
      <w:r>
        <w:rPr>
          <w:rFonts w:eastAsia="方正仿宋_GBK"/>
          <w:sz w:val="24"/>
        </w:rPr>
        <w:t>12.6.1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3F3159A7">
      <w:pPr>
        <w:snapToGrid w:val="0"/>
        <w:spacing w:line="380" w:lineRule="exact"/>
        <w:ind w:left="960" w:hanging="960" w:hangingChars="400"/>
        <w:textAlignment w:val="baseline"/>
        <w:rPr>
          <w:rFonts w:eastAsia="方正仿宋_GBK"/>
          <w:sz w:val="24"/>
        </w:rPr>
      </w:pPr>
      <w:r>
        <w:rPr>
          <w:rFonts w:eastAsia="方正仿宋_GBK"/>
          <w:sz w:val="24"/>
        </w:rPr>
        <w:t xml:space="preserve">12.6.2  </w:t>
      </w:r>
      <w:r>
        <w:rPr>
          <w:rFonts w:hint="eastAsia" w:eastAsia="方正仿宋_GBK"/>
          <w:sz w:val="24"/>
        </w:rPr>
        <w:t xml:space="preserve"> </w:t>
      </w:r>
      <w:r>
        <w:rPr>
          <w:rFonts w:eastAsia="方正仿宋_GBK"/>
          <w:sz w:val="24"/>
        </w:rPr>
        <w:t>供应商应及时联系保证金收受机构办理退还磋商保证金手续。</w:t>
      </w:r>
    </w:p>
    <w:p w14:paraId="55BDC23C">
      <w:pPr>
        <w:snapToGrid w:val="0"/>
        <w:spacing w:line="380" w:lineRule="exact"/>
        <w:textAlignment w:val="baseline"/>
        <w:rPr>
          <w:rFonts w:eastAsia="方正仿宋_GBK"/>
          <w:sz w:val="24"/>
        </w:rPr>
      </w:pPr>
      <w:r>
        <w:rPr>
          <w:rFonts w:eastAsia="方正仿宋_GBK"/>
          <w:sz w:val="24"/>
        </w:rPr>
        <w:t xml:space="preserve">12.6.3  </w:t>
      </w:r>
      <w:r>
        <w:rPr>
          <w:rFonts w:hint="eastAsia" w:eastAsia="方正仿宋_GBK"/>
          <w:sz w:val="24"/>
        </w:rPr>
        <w:t xml:space="preserve"> </w:t>
      </w:r>
      <w:r>
        <w:rPr>
          <w:rFonts w:eastAsia="方正仿宋_GBK"/>
          <w:sz w:val="24"/>
        </w:rPr>
        <w:t>政府采购磋商担保函不予退回。</w:t>
      </w:r>
    </w:p>
    <w:p w14:paraId="0B248EAF">
      <w:pPr>
        <w:snapToGrid w:val="0"/>
        <w:spacing w:line="380" w:lineRule="exact"/>
        <w:ind w:left="960" w:hanging="960" w:hangingChars="400"/>
        <w:textAlignment w:val="baseline"/>
        <w:rPr>
          <w:rFonts w:eastAsia="方正仿宋_GBK"/>
          <w:sz w:val="24"/>
        </w:rPr>
      </w:pPr>
      <w:r>
        <w:rPr>
          <w:rFonts w:eastAsia="方正仿宋_GBK"/>
          <w:sz w:val="24"/>
        </w:rPr>
        <w:t>12.7    因供应商自身原因导致无法及时退还的，采购人或采购代理机构将不承担相应责任。</w:t>
      </w:r>
    </w:p>
    <w:p w14:paraId="69F800EF">
      <w:pPr>
        <w:pStyle w:val="6"/>
        <w:snapToGrid w:val="0"/>
        <w:spacing w:before="0" w:after="0" w:line="380" w:lineRule="exact"/>
        <w:textAlignment w:val="baseline"/>
        <w:rPr>
          <w:rFonts w:ascii="Times New Roman" w:eastAsia="方正仿宋_GBK"/>
          <w:szCs w:val="24"/>
          <w:u w:val="none"/>
        </w:rPr>
      </w:pPr>
      <w:bookmarkStart w:id="202" w:name="_Toc1400"/>
      <w:bookmarkStart w:id="203" w:name="_Toc29124"/>
      <w:bookmarkStart w:id="204" w:name="_Toc520356157"/>
      <w:bookmarkStart w:id="205" w:name="_Toc3815"/>
      <w:bookmarkStart w:id="206" w:name="_Toc12772"/>
      <w:bookmarkStart w:id="207" w:name="_Toc277"/>
      <w:bookmarkStart w:id="208" w:name="_Toc23590"/>
      <w:bookmarkStart w:id="209" w:name="_Toc20387"/>
      <w:bookmarkStart w:id="210" w:name="_Toc515647772"/>
      <w:bookmarkStart w:id="211" w:name="_Toc32569"/>
      <w:bookmarkStart w:id="212" w:name="_Toc12769"/>
      <w:bookmarkStart w:id="213" w:name="_Toc21509"/>
      <w:bookmarkStart w:id="214" w:name="_Toc325"/>
      <w:bookmarkStart w:id="215" w:name="_Toc8146"/>
      <w:r>
        <w:rPr>
          <w:rFonts w:ascii="Times New Roman" w:eastAsia="方正仿宋_GBK"/>
          <w:szCs w:val="24"/>
          <w:u w:val="none"/>
        </w:rPr>
        <w:t>13.响应有效期</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AE52844">
      <w:pPr>
        <w:snapToGrid w:val="0"/>
        <w:spacing w:line="380" w:lineRule="exact"/>
        <w:ind w:left="900" w:hanging="900" w:hangingChars="375"/>
        <w:textAlignment w:val="baseline"/>
        <w:rPr>
          <w:rFonts w:eastAsia="方正仿宋_GBK"/>
          <w:sz w:val="24"/>
        </w:rPr>
      </w:pPr>
      <w:r>
        <w:rPr>
          <w:rFonts w:eastAsia="方正仿宋_GBK"/>
          <w:sz w:val="24"/>
        </w:rPr>
        <w:t>13.1</w:t>
      </w:r>
      <w:r>
        <w:rPr>
          <w:rFonts w:eastAsia="方正仿宋_GBK"/>
          <w:sz w:val="24"/>
        </w:rPr>
        <w:tab/>
      </w:r>
      <w:r>
        <w:rPr>
          <w:rFonts w:eastAsia="方正仿宋_GBK"/>
          <w:sz w:val="24"/>
        </w:rPr>
        <w:t>响应应在</w:t>
      </w:r>
      <w:r>
        <w:rPr>
          <w:rFonts w:eastAsia="方正仿宋_GBK"/>
          <w:sz w:val="24"/>
          <w:u w:val="single" w:color="000000"/>
        </w:rPr>
        <w:t>供应商须知资料表</w:t>
      </w:r>
      <w:r>
        <w:rPr>
          <w:rFonts w:eastAsia="方正仿宋_GBK"/>
          <w:sz w:val="24"/>
        </w:rPr>
        <w:t>中规定时间内保持有效。响应有效期不满足要求的响应，其响应将被认定为</w:t>
      </w:r>
      <w:r>
        <w:rPr>
          <w:rFonts w:eastAsia="方正仿宋_GBK"/>
          <w:b/>
          <w:bCs/>
          <w:sz w:val="24"/>
        </w:rPr>
        <w:t>响应无效</w:t>
      </w:r>
      <w:r>
        <w:rPr>
          <w:rFonts w:eastAsia="方正仿宋_GBK"/>
          <w:sz w:val="24"/>
        </w:rPr>
        <w:t>。</w:t>
      </w:r>
    </w:p>
    <w:p w14:paraId="40A5D08A">
      <w:pPr>
        <w:snapToGrid w:val="0"/>
        <w:spacing w:line="380" w:lineRule="exact"/>
        <w:ind w:left="900" w:hanging="900" w:hangingChars="375"/>
        <w:textAlignment w:val="baseline"/>
        <w:rPr>
          <w:rFonts w:eastAsia="方正仿宋_GBK"/>
          <w:sz w:val="24"/>
        </w:rPr>
      </w:pPr>
      <w:r>
        <w:rPr>
          <w:rFonts w:eastAsia="方正仿宋_GBK"/>
          <w:sz w:val="24"/>
        </w:rPr>
        <w:t>13.2</w:t>
      </w:r>
      <w:r>
        <w:rPr>
          <w:rFonts w:eastAsia="方正仿宋_GBK"/>
          <w:sz w:val="24"/>
        </w:rPr>
        <w:tab/>
      </w:r>
      <w:r>
        <w:rPr>
          <w:rFonts w:eastAsia="方正仿宋_GBK"/>
          <w:sz w:val="24"/>
        </w:rPr>
        <w:t>因特殊原因，采购人或采购代理机构可在原响应有效期截止之前，要求供应商延长响应文件的有效期。供应商也可以拒绝延长响应有效期的要求，且不承担任何责任。上述要求和答复都应以书面形式提交。</w:t>
      </w:r>
    </w:p>
    <w:p w14:paraId="7844E17B">
      <w:pPr>
        <w:pStyle w:val="6"/>
        <w:snapToGrid w:val="0"/>
        <w:spacing w:before="0" w:after="0" w:line="380" w:lineRule="exact"/>
        <w:textAlignment w:val="baseline"/>
        <w:rPr>
          <w:rFonts w:ascii="Times New Roman" w:eastAsia="方正仿宋_GBK"/>
          <w:szCs w:val="24"/>
          <w:u w:val="none"/>
        </w:rPr>
      </w:pPr>
      <w:bookmarkStart w:id="216" w:name="_Toc520356158"/>
      <w:bookmarkStart w:id="217" w:name="_Toc32088"/>
      <w:bookmarkStart w:id="218" w:name="_Toc21843"/>
      <w:bookmarkStart w:id="219" w:name="_Toc19311"/>
      <w:bookmarkStart w:id="220" w:name="_Toc4551"/>
      <w:bookmarkStart w:id="221" w:name="_Toc14581"/>
      <w:bookmarkStart w:id="222" w:name="_Toc26606"/>
      <w:bookmarkStart w:id="223" w:name="_Toc28395"/>
      <w:bookmarkStart w:id="224" w:name="_Toc29649"/>
      <w:bookmarkStart w:id="225" w:name="_Toc17074"/>
      <w:bookmarkStart w:id="226" w:name="_Toc540"/>
      <w:bookmarkStart w:id="227" w:name="_Toc24880"/>
      <w:bookmarkStart w:id="228" w:name="_Toc515647773"/>
      <w:bookmarkStart w:id="229" w:name="_Toc493"/>
      <w:r>
        <w:rPr>
          <w:rFonts w:ascii="Times New Roman" w:eastAsia="方正仿宋_GBK"/>
          <w:szCs w:val="24"/>
          <w:u w:val="none"/>
        </w:rPr>
        <w:t>14.响应文件的签署</w:t>
      </w:r>
      <w:bookmarkEnd w:id="216"/>
      <w:r>
        <w:rPr>
          <w:rFonts w:ascii="Times New Roman" w:eastAsia="方正仿宋_GBK"/>
          <w:szCs w:val="24"/>
          <w:u w:val="none"/>
        </w:rPr>
        <w:t>及规定</w:t>
      </w:r>
      <w:bookmarkEnd w:id="217"/>
      <w:bookmarkEnd w:id="218"/>
      <w:bookmarkEnd w:id="219"/>
      <w:bookmarkEnd w:id="220"/>
      <w:bookmarkEnd w:id="221"/>
      <w:bookmarkEnd w:id="222"/>
      <w:bookmarkEnd w:id="223"/>
      <w:bookmarkEnd w:id="224"/>
      <w:bookmarkEnd w:id="225"/>
      <w:bookmarkEnd w:id="226"/>
      <w:bookmarkEnd w:id="227"/>
      <w:bookmarkEnd w:id="228"/>
      <w:bookmarkEnd w:id="229"/>
    </w:p>
    <w:p w14:paraId="0A1C25EE">
      <w:pPr>
        <w:spacing w:line="380" w:lineRule="exact"/>
        <w:ind w:left="900" w:hanging="900" w:hangingChars="375"/>
        <w:rPr>
          <w:rFonts w:eastAsia="方正仿宋_GBK"/>
          <w:sz w:val="24"/>
        </w:rPr>
      </w:pPr>
      <w:bookmarkStart w:id="230" w:name="_Toc16865"/>
      <w:bookmarkStart w:id="231" w:name="_Toc515647774"/>
      <w:bookmarkStart w:id="232" w:name="_Toc520356159"/>
      <w:bookmarkStart w:id="233" w:name="_Toc8711"/>
      <w:bookmarkStart w:id="234" w:name="_Toc11179"/>
      <w:bookmarkStart w:id="235" w:name="_Toc3461"/>
      <w:bookmarkStart w:id="236" w:name="_Toc216582808"/>
      <w:r>
        <w:rPr>
          <w:rFonts w:eastAsia="方正仿宋_GBK"/>
          <w:sz w:val="24"/>
        </w:rPr>
        <w:t>14.1</w:t>
      </w:r>
      <w:r>
        <w:rPr>
          <w:rFonts w:eastAsia="方正仿宋_GBK"/>
          <w:sz w:val="24"/>
        </w:rPr>
        <w:tab/>
      </w:r>
      <w:r>
        <w:rPr>
          <w:rFonts w:eastAsia="方正仿宋_GBK"/>
          <w:sz w:val="24"/>
        </w:rPr>
        <w:t>投标人应按</w:t>
      </w:r>
      <w:r>
        <w:rPr>
          <w:rFonts w:eastAsia="方正仿宋_GBK"/>
          <w:sz w:val="24"/>
          <w:u w:val="single"/>
        </w:rPr>
        <w:t>供应商须知资料表</w:t>
      </w:r>
      <w:r>
        <w:rPr>
          <w:rFonts w:eastAsia="方正仿宋_GBK"/>
          <w:sz w:val="24"/>
        </w:rPr>
        <w:t>中的规定，准备和递交加密的电子响应文件、磋商报价一览表、资格证明文件。</w:t>
      </w:r>
    </w:p>
    <w:p w14:paraId="5C6C6A8A">
      <w:pPr>
        <w:spacing w:line="380" w:lineRule="exact"/>
        <w:ind w:left="900" w:hanging="900" w:hangingChars="375"/>
        <w:rPr>
          <w:rFonts w:eastAsia="方正仿宋_GBK"/>
          <w:b/>
          <w:sz w:val="24"/>
        </w:rPr>
      </w:pPr>
      <w:r>
        <w:rPr>
          <w:rFonts w:eastAsia="方正仿宋_GBK"/>
          <w:sz w:val="24"/>
        </w:rPr>
        <w:t>14.2</w:t>
      </w:r>
      <w:r>
        <w:rPr>
          <w:rFonts w:eastAsia="方正仿宋_GBK"/>
          <w:sz w:val="24"/>
        </w:rPr>
        <w:tab/>
      </w:r>
      <w:r>
        <w:rPr>
          <w:rFonts w:eastAsia="方正仿宋_GBK"/>
          <w:sz w:val="24"/>
        </w:rPr>
        <w:t>响应文件需通过CA加密，递交至政采云电子投标客户端，并由投标人的法定代表人或经其正式委托代理人按磋商文件的规定在响应文件上电子签章。委托代理人须有书面的“法定代表人授权委托书”，并将其附在响应文件中。未按磋商文件要求签署和盖章的响应文件，其响应将被认定为响应无效。</w:t>
      </w:r>
    </w:p>
    <w:p w14:paraId="20CEDDDE">
      <w:pPr>
        <w:spacing w:before="312" w:beforeLines="100" w:line="380" w:lineRule="exact"/>
        <w:ind w:left="1050" w:hanging="1050" w:hangingChars="375"/>
        <w:jc w:val="center"/>
        <w:outlineLvl w:val="1"/>
        <w:rPr>
          <w:rFonts w:ascii="方正仿宋_GBK" w:hAnsi="方正仿宋_GBK" w:eastAsia="方正仿宋_GBK" w:cs="方正仿宋_GBK"/>
          <w:b/>
          <w:sz w:val="28"/>
          <w:szCs w:val="28"/>
        </w:rPr>
      </w:pPr>
      <w:bookmarkStart w:id="237" w:name="_Toc3368"/>
      <w:r>
        <w:rPr>
          <w:rFonts w:hint="eastAsia" w:ascii="方正仿宋_GBK" w:hAnsi="方正仿宋_GBK" w:eastAsia="方正仿宋_GBK" w:cs="方正仿宋_GBK"/>
          <w:b/>
          <w:sz w:val="28"/>
          <w:szCs w:val="28"/>
        </w:rPr>
        <w:t>四   响应文件的递交</w:t>
      </w:r>
      <w:bookmarkEnd w:id="230"/>
      <w:bookmarkEnd w:id="231"/>
      <w:bookmarkEnd w:id="232"/>
      <w:bookmarkEnd w:id="233"/>
      <w:bookmarkEnd w:id="234"/>
      <w:bookmarkEnd w:id="235"/>
      <w:bookmarkEnd w:id="236"/>
      <w:bookmarkEnd w:id="237"/>
    </w:p>
    <w:p w14:paraId="1EF813F1">
      <w:pPr>
        <w:pStyle w:val="2"/>
      </w:pPr>
    </w:p>
    <w:p w14:paraId="7A6B451A">
      <w:pPr>
        <w:pStyle w:val="6"/>
        <w:snapToGrid w:val="0"/>
        <w:spacing w:before="0" w:after="0" w:line="380" w:lineRule="exact"/>
        <w:textAlignment w:val="baseline"/>
        <w:rPr>
          <w:rFonts w:ascii="Times New Roman" w:eastAsia="方正仿宋_GBK"/>
          <w:szCs w:val="24"/>
          <w:u w:val="none"/>
        </w:rPr>
      </w:pPr>
      <w:bookmarkStart w:id="238" w:name="_Toc9759"/>
      <w:bookmarkStart w:id="239" w:name="_Toc520356160"/>
      <w:bookmarkStart w:id="240" w:name="_Toc515647775"/>
      <w:bookmarkStart w:id="241" w:name="_Toc16507"/>
      <w:bookmarkStart w:id="242" w:name="_Toc6188"/>
      <w:bookmarkStart w:id="243" w:name="_Toc22380"/>
      <w:bookmarkStart w:id="244" w:name="_Toc21645"/>
      <w:bookmarkStart w:id="245" w:name="_Toc6764"/>
      <w:bookmarkStart w:id="246" w:name="_Toc32337"/>
      <w:bookmarkStart w:id="247" w:name="_Toc24069"/>
      <w:bookmarkStart w:id="248" w:name="_Toc13473"/>
      <w:bookmarkStart w:id="249" w:name="_Toc13617"/>
      <w:bookmarkStart w:id="250" w:name="_Toc30799"/>
      <w:bookmarkStart w:id="251" w:name="_Toc415"/>
      <w:r>
        <w:rPr>
          <w:rFonts w:ascii="Times New Roman" w:eastAsia="方正仿宋_GBK"/>
          <w:szCs w:val="24"/>
          <w:u w:val="none"/>
        </w:rPr>
        <w:t>15.响应文件的密封和标记</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32342D74">
      <w:pPr>
        <w:spacing w:line="380" w:lineRule="exact"/>
        <w:ind w:left="900" w:hanging="900" w:hangingChars="375"/>
        <w:rPr>
          <w:rFonts w:eastAsia="方正仿宋_GBK"/>
          <w:sz w:val="24"/>
        </w:rPr>
      </w:pPr>
      <w:r>
        <w:rPr>
          <w:rFonts w:eastAsia="方正仿宋_GBK"/>
          <w:sz w:val="24"/>
        </w:rPr>
        <w:t>15.1    响应文件应按照磋商文件的要求进行制作并递交。（请严格按照政采云电子投标流程制作并上传电子响应文件）</w:t>
      </w:r>
    </w:p>
    <w:p w14:paraId="1FD0D6F1">
      <w:pPr>
        <w:spacing w:line="380" w:lineRule="exact"/>
        <w:ind w:left="900" w:hanging="900" w:hangingChars="375"/>
        <w:rPr>
          <w:rFonts w:eastAsia="方正仿宋_GBK"/>
          <w:sz w:val="24"/>
        </w:rPr>
      </w:pPr>
      <w:r>
        <w:rPr>
          <w:rFonts w:eastAsia="方正仿宋_GBK"/>
          <w:sz w:val="24"/>
        </w:rPr>
        <w:t>15.2    所有电子投标文件封面应：</w:t>
      </w:r>
    </w:p>
    <w:p w14:paraId="4391CB38">
      <w:pPr>
        <w:spacing w:line="380" w:lineRule="exact"/>
        <w:ind w:left="957" w:leftChars="456"/>
        <w:rPr>
          <w:rFonts w:eastAsia="方正仿宋_GBK"/>
          <w:sz w:val="24"/>
        </w:rPr>
      </w:pPr>
      <w:r>
        <w:rPr>
          <w:rFonts w:eastAsia="方正仿宋_GBK"/>
          <w:sz w:val="24"/>
        </w:rPr>
        <w:t>注明“响应文件”，以及磋商公告或磋商文件中指明的项目名称、项目编号、供应商名称和“在（开标时间）之前不得启封”的字样。</w:t>
      </w:r>
    </w:p>
    <w:p w14:paraId="35D1E0DB">
      <w:pPr>
        <w:pStyle w:val="6"/>
        <w:snapToGrid w:val="0"/>
        <w:spacing w:before="0" w:after="0" w:line="380" w:lineRule="exact"/>
        <w:textAlignment w:val="baseline"/>
        <w:rPr>
          <w:rFonts w:ascii="Times New Roman" w:eastAsia="方正仿宋_GBK"/>
          <w:szCs w:val="24"/>
          <w:u w:val="none"/>
        </w:rPr>
      </w:pPr>
      <w:bookmarkStart w:id="252" w:name="_Toc12751"/>
      <w:bookmarkStart w:id="253" w:name="_Toc18350"/>
      <w:bookmarkStart w:id="254" w:name="_Toc3372"/>
      <w:bookmarkStart w:id="255" w:name="_Toc8557"/>
      <w:bookmarkStart w:id="256" w:name="_Toc7478"/>
      <w:bookmarkStart w:id="257" w:name="_Toc31921"/>
      <w:bookmarkStart w:id="258" w:name="_Toc9452"/>
      <w:bookmarkStart w:id="259" w:name="_Toc9840"/>
      <w:bookmarkStart w:id="260" w:name="_Toc26069"/>
      <w:bookmarkStart w:id="261" w:name="_Toc2068"/>
      <w:bookmarkStart w:id="262" w:name="_Toc520356161"/>
      <w:bookmarkStart w:id="263" w:name="_Toc515647776"/>
      <w:bookmarkStart w:id="264" w:name="_Toc24025"/>
      <w:bookmarkStart w:id="265" w:name="_Toc28968"/>
      <w:r>
        <w:rPr>
          <w:rFonts w:ascii="Times New Roman" w:eastAsia="方正仿宋_GBK"/>
          <w:szCs w:val="24"/>
          <w:u w:val="none"/>
        </w:rPr>
        <w:t>16.</w:t>
      </w:r>
      <w:bookmarkEnd w:id="252"/>
      <w:bookmarkEnd w:id="253"/>
      <w:bookmarkEnd w:id="254"/>
      <w:bookmarkEnd w:id="255"/>
      <w:bookmarkEnd w:id="256"/>
      <w:bookmarkEnd w:id="257"/>
      <w:bookmarkEnd w:id="258"/>
      <w:bookmarkEnd w:id="259"/>
      <w:bookmarkEnd w:id="260"/>
      <w:bookmarkEnd w:id="261"/>
      <w:bookmarkEnd w:id="262"/>
      <w:bookmarkEnd w:id="263"/>
      <w:bookmarkEnd w:id="264"/>
      <w:r>
        <w:rPr>
          <w:rFonts w:ascii="Times New Roman" w:eastAsia="方正仿宋_GBK"/>
          <w:szCs w:val="24"/>
          <w:u w:val="none"/>
        </w:rPr>
        <w:t>响应截止</w:t>
      </w:r>
      <w:bookmarkEnd w:id="265"/>
    </w:p>
    <w:p w14:paraId="51823D75">
      <w:pPr>
        <w:spacing w:line="380" w:lineRule="exact"/>
        <w:ind w:left="900" w:hanging="900" w:hangingChars="375"/>
        <w:rPr>
          <w:rFonts w:eastAsia="方正仿宋_GBK"/>
          <w:sz w:val="24"/>
        </w:rPr>
      </w:pPr>
      <w:r>
        <w:rPr>
          <w:rFonts w:eastAsia="方正仿宋_GBK"/>
          <w:sz w:val="24"/>
        </w:rPr>
        <w:t>16.1</w:t>
      </w:r>
      <w:r>
        <w:rPr>
          <w:rFonts w:eastAsia="方正仿宋_GBK"/>
          <w:sz w:val="24"/>
        </w:rPr>
        <w:tab/>
      </w:r>
      <w:r>
        <w:rPr>
          <w:rFonts w:eastAsia="方正仿宋_GBK"/>
          <w:sz w:val="24"/>
        </w:rPr>
        <w:t>供应商应在</w:t>
      </w:r>
      <w:r>
        <w:rPr>
          <w:rFonts w:eastAsia="方正仿宋_GBK"/>
          <w:sz w:val="24"/>
          <w:u w:val="single"/>
        </w:rPr>
        <w:t>供应商须知资料表</w:t>
      </w:r>
      <w:r>
        <w:rPr>
          <w:rFonts w:eastAsia="方正仿宋_GBK"/>
          <w:sz w:val="24"/>
        </w:rPr>
        <w:t>中规定的截止时间前，将响应文件递交至竞争性磋商公告中规定的地点。</w:t>
      </w:r>
    </w:p>
    <w:p w14:paraId="3910156E">
      <w:pPr>
        <w:spacing w:line="380" w:lineRule="exact"/>
        <w:ind w:left="900" w:hanging="900" w:hangingChars="375"/>
        <w:rPr>
          <w:rFonts w:eastAsia="方正仿宋_GBK"/>
          <w:sz w:val="24"/>
        </w:rPr>
      </w:pPr>
      <w:r>
        <w:rPr>
          <w:rFonts w:eastAsia="方正仿宋_GBK"/>
          <w:sz w:val="24"/>
        </w:rPr>
        <w:t>16.2</w:t>
      </w:r>
      <w:r>
        <w:rPr>
          <w:rFonts w:eastAsia="方正仿宋_GBK"/>
          <w:sz w:val="24"/>
        </w:rPr>
        <w:tab/>
      </w:r>
      <w:r>
        <w:rPr>
          <w:rFonts w:eastAsia="方正仿宋_GBK"/>
          <w:sz w:val="24"/>
        </w:rPr>
        <w:t>采购人和采购代理机构有权按本须知的规定，延迟响应截止时间。在此情况下，采购人、采购代理机构和供应商受响应截止时间制约的所有权利和义务均应延长至新的截止时间。</w:t>
      </w:r>
    </w:p>
    <w:p w14:paraId="21681BF1">
      <w:pPr>
        <w:spacing w:line="380" w:lineRule="exact"/>
        <w:ind w:left="900" w:hanging="900" w:hangingChars="375"/>
        <w:rPr>
          <w:rFonts w:eastAsia="方正仿宋_GBK"/>
          <w:sz w:val="24"/>
        </w:rPr>
      </w:pPr>
      <w:r>
        <w:rPr>
          <w:rFonts w:eastAsia="方正仿宋_GBK"/>
          <w:sz w:val="24"/>
        </w:rPr>
        <w:t>16.3</w:t>
      </w:r>
      <w:r>
        <w:rPr>
          <w:rFonts w:eastAsia="方正仿宋_GBK"/>
          <w:sz w:val="24"/>
        </w:rPr>
        <w:tab/>
      </w:r>
      <w:r>
        <w:rPr>
          <w:rFonts w:eastAsia="方正仿宋_GBK"/>
          <w:sz w:val="24"/>
        </w:rPr>
        <w:t>采购人和采购代理机构将拒绝接收在响应截止时间后递交的响应文件。</w:t>
      </w:r>
    </w:p>
    <w:p w14:paraId="37FED5F6">
      <w:pPr>
        <w:pStyle w:val="6"/>
        <w:snapToGrid w:val="0"/>
        <w:spacing w:before="0" w:after="0" w:line="380" w:lineRule="exact"/>
        <w:textAlignment w:val="baseline"/>
        <w:rPr>
          <w:rFonts w:ascii="Times New Roman" w:eastAsia="方正仿宋_GBK"/>
          <w:szCs w:val="24"/>
          <w:u w:val="none"/>
        </w:rPr>
      </w:pPr>
      <w:bookmarkStart w:id="266" w:name="_Toc24275"/>
      <w:bookmarkStart w:id="267" w:name="_Toc23557"/>
      <w:bookmarkStart w:id="268" w:name="_Toc3014"/>
      <w:bookmarkStart w:id="269" w:name="_Toc10299"/>
      <w:bookmarkStart w:id="270" w:name="_Toc15278"/>
      <w:bookmarkStart w:id="271" w:name="_Toc18537"/>
      <w:bookmarkStart w:id="272" w:name="_Toc11003"/>
      <w:bookmarkStart w:id="273" w:name="_Toc9478"/>
      <w:bookmarkStart w:id="274" w:name="_Toc22201"/>
      <w:bookmarkStart w:id="275" w:name="_Toc18594"/>
      <w:bookmarkStart w:id="276" w:name="_Toc7274"/>
      <w:bookmarkStart w:id="277" w:name="_Toc29943"/>
      <w:bookmarkStart w:id="278" w:name="_Toc515647777"/>
      <w:bookmarkStart w:id="279" w:name="_Toc520356162"/>
      <w:r>
        <w:rPr>
          <w:rFonts w:ascii="Times New Roman" w:eastAsia="方正仿宋_GBK"/>
          <w:szCs w:val="24"/>
          <w:u w:val="none"/>
        </w:rPr>
        <w:t>17.响应文件的接收、修改与撤回</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20B72176">
      <w:pPr>
        <w:snapToGrid w:val="0"/>
        <w:spacing w:line="380" w:lineRule="exact"/>
        <w:ind w:left="840" w:hanging="840" w:hangingChars="350"/>
        <w:textAlignment w:val="baseline"/>
        <w:rPr>
          <w:rFonts w:eastAsia="方正仿宋_GBK"/>
          <w:sz w:val="24"/>
        </w:rPr>
      </w:pPr>
      <w:r>
        <w:rPr>
          <w:rFonts w:eastAsia="方正仿宋_GBK"/>
          <w:sz w:val="24"/>
        </w:rPr>
        <w:t>17.1   在投标截止时间后投标供应商将无法上传响应文件。</w:t>
      </w:r>
    </w:p>
    <w:p w14:paraId="03F5BD69">
      <w:pPr>
        <w:snapToGrid w:val="0"/>
        <w:spacing w:line="380" w:lineRule="exact"/>
        <w:ind w:left="840" w:hanging="840" w:hangingChars="350"/>
        <w:textAlignment w:val="baseline"/>
        <w:rPr>
          <w:rFonts w:eastAsia="方正仿宋_GBK"/>
          <w:sz w:val="24"/>
        </w:rPr>
      </w:pPr>
      <w:r>
        <w:rPr>
          <w:rFonts w:eastAsia="方正仿宋_GBK"/>
          <w:sz w:val="24"/>
        </w:rPr>
        <w:t>17.2</w:t>
      </w:r>
      <w:r>
        <w:rPr>
          <w:rFonts w:eastAsia="方正仿宋_GBK"/>
          <w:sz w:val="24"/>
        </w:rPr>
        <w:tab/>
      </w:r>
      <w:r>
        <w:rPr>
          <w:rFonts w:eastAsia="方正仿宋_GBK"/>
          <w:sz w:val="24"/>
        </w:rPr>
        <w:t>上传响应文件以后，在响应截止时间前投标供应商可随时进行修改或撤回响应文件。</w:t>
      </w:r>
    </w:p>
    <w:p w14:paraId="6F445A28">
      <w:pPr>
        <w:snapToGrid w:val="0"/>
        <w:spacing w:line="380" w:lineRule="exact"/>
        <w:ind w:left="900" w:hanging="900" w:hangingChars="375"/>
        <w:textAlignment w:val="baseline"/>
        <w:rPr>
          <w:rFonts w:eastAsia="方正仿宋_GBK"/>
          <w:sz w:val="24"/>
        </w:rPr>
      </w:pPr>
      <w:r>
        <w:rPr>
          <w:rFonts w:eastAsia="方正仿宋_GBK"/>
          <w:sz w:val="24"/>
        </w:rPr>
        <w:t>173    在响应截止时间之后，采购人和采购代理机构不接受供应商主动对其响应文件做任何修改。</w:t>
      </w:r>
    </w:p>
    <w:p w14:paraId="01EB2B84">
      <w:pPr>
        <w:snapToGrid w:val="0"/>
        <w:spacing w:line="380" w:lineRule="exact"/>
        <w:ind w:left="900" w:hanging="900" w:hangingChars="375"/>
        <w:textAlignment w:val="baseline"/>
        <w:rPr>
          <w:rFonts w:eastAsia="方正仿宋_GBK"/>
          <w:sz w:val="24"/>
        </w:rPr>
      </w:pPr>
      <w:r>
        <w:rPr>
          <w:rFonts w:eastAsia="方正仿宋_GBK"/>
          <w:sz w:val="24"/>
        </w:rPr>
        <w:t>17.4</w:t>
      </w:r>
      <w:r>
        <w:rPr>
          <w:rFonts w:eastAsia="方正仿宋_GBK"/>
          <w:sz w:val="24"/>
        </w:rPr>
        <w:tab/>
      </w:r>
      <w:r>
        <w:rPr>
          <w:rFonts w:eastAsia="方正仿宋_GBK"/>
          <w:sz w:val="24"/>
        </w:rPr>
        <w:t>采购人和采购代理机构对所接收响应文件概不退回。</w:t>
      </w:r>
    </w:p>
    <w:p w14:paraId="00EEA28C">
      <w:pPr>
        <w:pStyle w:val="5"/>
        <w:snapToGrid w:val="0"/>
        <w:spacing w:before="0" w:line="380" w:lineRule="exact"/>
        <w:ind w:hanging="540"/>
        <w:textAlignment w:val="baseline"/>
        <w:rPr>
          <w:rFonts w:ascii="Times New Roman" w:hAnsi="Times New Roman" w:eastAsia="方正仿宋_GBK"/>
          <w:sz w:val="24"/>
          <w:szCs w:val="24"/>
        </w:rPr>
      </w:pPr>
      <w:bookmarkStart w:id="280" w:name="_Toc16124"/>
      <w:bookmarkStart w:id="281" w:name="_Toc515647778"/>
      <w:bookmarkStart w:id="282" w:name="_Toc216582809"/>
      <w:bookmarkStart w:id="283" w:name="_Toc27283"/>
      <w:bookmarkStart w:id="284" w:name="_Toc520356163"/>
      <w:bookmarkStart w:id="285" w:name="_Toc12436"/>
      <w:bookmarkStart w:id="286" w:name="_Toc28398"/>
    </w:p>
    <w:p w14:paraId="47E6090A">
      <w:pPr>
        <w:pStyle w:val="5"/>
        <w:snapToGrid w:val="0"/>
        <w:spacing w:before="0" w:line="380" w:lineRule="exact"/>
        <w:ind w:hanging="540"/>
        <w:textAlignment w:val="baseline"/>
        <w:rPr>
          <w:rFonts w:ascii="方正仿宋_GBK" w:hAnsi="方正仿宋_GBK" w:eastAsia="方正仿宋_GBK" w:cs="方正仿宋_GBK"/>
          <w:sz w:val="28"/>
          <w:szCs w:val="28"/>
        </w:rPr>
      </w:pPr>
      <w:bookmarkStart w:id="287" w:name="_Toc20731"/>
      <w:r>
        <w:rPr>
          <w:rFonts w:hint="eastAsia" w:ascii="方正仿宋_GBK" w:hAnsi="方正仿宋_GBK" w:eastAsia="方正仿宋_GBK" w:cs="方正仿宋_GBK"/>
          <w:sz w:val="28"/>
          <w:szCs w:val="28"/>
        </w:rPr>
        <w:t>五   磋商开启及评</w:t>
      </w:r>
      <w:bookmarkEnd w:id="280"/>
      <w:bookmarkEnd w:id="281"/>
      <w:bookmarkEnd w:id="282"/>
      <w:bookmarkEnd w:id="283"/>
      <w:bookmarkEnd w:id="284"/>
      <w:bookmarkEnd w:id="285"/>
      <w:bookmarkEnd w:id="286"/>
      <w:r>
        <w:rPr>
          <w:rFonts w:hint="eastAsia" w:ascii="方正仿宋_GBK" w:hAnsi="方正仿宋_GBK" w:eastAsia="方正仿宋_GBK" w:cs="方正仿宋_GBK"/>
          <w:sz w:val="28"/>
          <w:szCs w:val="28"/>
        </w:rPr>
        <w:t>审</w:t>
      </w:r>
      <w:bookmarkEnd w:id="287"/>
    </w:p>
    <w:p w14:paraId="4352A4E0"/>
    <w:p w14:paraId="1A7FE21F">
      <w:pPr>
        <w:pStyle w:val="6"/>
        <w:snapToGrid w:val="0"/>
        <w:spacing w:before="0" w:after="0" w:line="380" w:lineRule="exact"/>
        <w:textAlignment w:val="baseline"/>
        <w:rPr>
          <w:rFonts w:ascii="Times New Roman" w:eastAsia="方正仿宋_GBK"/>
          <w:szCs w:val="24"/>
          <w:u w:val="none"/>
        </w:rPr>
      </w:pPr>
      <w:bookmarkStart w:id="288" w:name="_Toc4844"/>
      <w:r>
        <w:rPr>
          <w:rFonts w:ascii="Times New Roman" w:eastAsia="方正仿宋_GBK"/>
          <w:szCs w:val="24"/>
          <w:u w:val="none"/>
        </w:rPr>
        <w:t>18.磋商</w:t>
      </w:r>
      <w:bookmarkEnd w:id="288"/>
    </w:p>
    <w:p w14:paraId="59D366CD">
      <w:pPr>
        <w:snapToGrid w:val="0"/>
        <w:spacing w:line="380" w:lineRule="exact"/>
        <w:ind w:left="960" w:hanging="960" w:hangingChars="400"/>
        <w:textAlignment w:val="baseline"/>
        <w:rPr>
          <w:rFonts w:eastAsia="方正仿宋_GBK"/>
          <w:sz w:val="24"/>
        </w:rPr>
      </w:pPr>
      <w:r>
        <w:rPr>
          <w:rFonts w:eastAsia="方正仿宋_GBK"/>
          <w:sz w:val="24"/>
        </w:rPr>
        <w:t>18.1    投标供应商应按照</w:t>
      </w:r>
      <w:r>
        <w:rPr>
          <w:rFonts w:eastAsia="方正仿宋_GBK"/>
          <w:sz w:val="24"/>
          <w:u w:val="single"/>
        </w:rPr>
        <w:t>供应商须知资料表</w:t>
      </w:r>
      <w:r>
        <w:rPr>
          <w:rFonts w:eastAsia="方正仿宋_GBK"/>
          <w:sz w:val="24"/>
        </w:rPr>
        <w:t>中规定的响应时间和地点，在规定时间内递交响应文件。</w:t>
      </w:r>
    </w:p>
    <w:p w14:paraId="68FAEA36">
      <w:pPr>
        <w:snapToGrid w:val="0"/>
        <w:spacing w:line="380" w:lineRule="exact"/>
        <w:ind w:left="960" w:hanging="960" w:hangingChars="400"/>
        <w:textAlignment w:val="baseline"/>
        <w:rPr>
          <w:rFonts w:eastAsia="方正仿宋_GBK"/>
          <w:sz w:val="24"/>
        </w:rPr>
      </w:pPr>
      <w:r>
        <w:rPr>
          <w:rFonts w:eastAsia="方正仿宋_GBK"/>
          <w:sz w:val="24"/>
        </w:rPr>
        <w:t>18.2    采购人和采购代理机构将按</w:t>
      </w:r>
      <w:r>
        <w:rPr>
          <w:rFonts w:eastAsia="方正仿宋_GBK"/>
          <w:sz w:val="24"/>
          <w:u w:val="single"/>
        </w:rPr>
        <w:t>供应商须知资料表中</w:t>
      </w:r>
      <w:r>
        <w:rPr>
          <w:rFonts w:eastAsia="方正仿宋_GBK"/>
          <w:sz w:val="24"/>
        </w:rPr>
        <w:t>规定的响应时间和地点，组织进行竞争性磋商。有效投标供应商不足3家的，不得开标。</w:t>
      </w:r>
    </w:p>
    <w:p w14:paraId="53F385A4">
      <w:pPr>
        <w:snapToGrid w:val="0"/>
        <w:spacing w:line="380" w:lineRule="exact"/>
        <w:ind w:left="960" w:hanging="960" w:hangingChars="400"/>
        <w:textAlignment w:val="baseline"/>
        <w:rPr>
          <w:rFonts w:eastAsia="方正仿宋_GBK"/>
          <w:sz w:val="24"/>
        </w:rPr>
      </w:pPr>
      <w:r>
        <w:rPr>
          <w:rFonts w:eastAsia="方正仿宋_GBK"/>
          <w:sz w:val="24"/>
        </w:rPr>
        <w:t>18.3    响应文件的解密：磋商时，采购代理机构点击“开启解密”后，投标人用“项目采购-开标评标”功能进行解密响应文件，</w:t>
      </w:r>
      <w:r>
        <w:rPr>
          <w:rFonts w:eastAsia="方正仿宋_GBK"/>
          <w:b/>
          <w:bCs/>
          <w:sz w:val="24"/>
        </w:rPr>
        <w:t>解密时长为30分钟，</w:t>
      </w:r>
      <w:r>
        <w:rPr>
          <w:rFonts w:eastAsia="方正仿宋_GBK"/>
          <w:sz w:val="24"/>
        </w:rPr>
        <w:t>投标供应商应使用与加密时使用的同一把CA锁进行解密操作。如出现供应商自身原因造成的无法未按时解密的，其响应将被认定为</w:t>
      </w:r>
      <w:r>
        <w:rPr>
          <w:rFonts w:eastAsia="方正仿宋_GBK"/>
          <w:b/>
          <w:bCs/>
          <w:sz w:val="24"/>
        </w:rPr>
        <w:t>响应无效</w:t>
      </w:r>
      <w:r>
        <w:rPr>
          <w:rFonts w:eastAsia="方正仿宋_GBK"/>
          <w:sz w:val="24"/>
        </w:rPr>
        <w:t>。</w:t>
      </w:r>
    </w:p>
    <w:p w14:paraId="6E090087">
      <w:pPr>
        <w:snapToGrid w:val="0"/>
        <w:spacing w:line="380" w:lineRule="exact"/>
        <w:ind w:left="960" w:hanging="960" w:hangingChars="400"/>
        <w:textAlignment w:val="baseline"/>
        <w:rPr>
          <w:rFonts w:eastAsia="方正仿宋_GBK"/>
          <w:b/>
          <w:bCs/>
          <w:sz w:val="24"/>
        </w:rPr>
      </w:pPr>
      <w:r>
        <w:rPr>
          <w:rFonts w:eastAsia="方正仿宋_GBK"/>
          <w:sz w:val="24"/>
        </w:rPr>
        <w:t>18.4    由采购代理机构开启报价，所有供应商在线CA签字确认，</w:t>
      </w:r>
      <w:r>
        <w:rPr>
          <w:rFonts w:eastAsia="方正仿宋_GBK"/>
          <w:b/>
          <w:bCs/>
          <w:sz w:val="24"/>
        </w:rPr>
        <w:t>报价确认时段限制为10分钟。</w:t>
      </w:r>
    </w:p>
    <w:p w14:paraId="736B8421">
      <w:pPr>
        <w:spacing w:line="400" w:lineRule="exact"/>
        <w:ind w:left="960" w:hanging="960" w:hangingChars="400"/>
        <w:rPr>
          <w:rFonts w:eastAsia="方正仿宋_GBK"/>
          <w:sz w:val="24"/>
        </w:rPr>
      </w:pPr>
      <w:r>
        <w:rPr>
          <w:rFonts w:eastAsia="方正仿宋_GBK"/>
          <w:sz w:val="24"/>
        </w:rPr>
        <w:t xml:space="preserve">18.5   </w:t>
      </w:r>
      <w:r>
        <w:rPr>
          <w:rFonts w:hint="eastAsia" w:eastAsia="方正仿宋_GBK"/>
          <w:sz w:val="24"/>
        </w:rPr>
        <w:t xml:space="preserve"> </w:t>
      </w:r>
      <w:r>
        <w:rPr>
          <w:rFonts w:eastAsia="方正仿宋_GBK"/>
          <w:sz w:val="24"/>
        </w:rPr>
        <w:t>本次采用不见面方式，在规定的响应截止时间和供应商须知表规定的地点进行竞争性磋商。供应商单位的法定代表人或其委托代理人无需到达磋商现场,仅需在任意地点通过政采云不见面大厅,使用 CA 密钥完成远程解密、提疑澄清、报价、结果公布等交互环节。</w:t>
      </w:r>
    </w:p>
    <w:p w14:paraId="64A9ACF1">
      <w:pPr>
        <w:spacing w:line="400" w:lineRule="exact"/>
        <w:ind w:left="957" w:leftChars="456"/>
        <w:rPr>
          <w:rFonts w:eastAsia="方正仿宋_GBK"/>
          <w:sz w:val="24"/>
        </w:rPr>
      </w:pPr>
      <w:r>
        <w:rPr>
          <w:rFonts w:eastAsia="方正仿宋_GBK"/>
          <w:sz w:val="24"/>
        </w:rPr>
        <w:t>磋商前供应商应完成设备测试，保证摄像头及麦克风正常使用。自开始时间起至磋商结束，供应商须登录新疆政府采购平台并保持网络畅通，随时答复磋商小组的疑问。若供应商未在规定时间内答复的，由此产生的后果将由供应商自行承担。</w:t>
      </w:r>
    </w:p>
    <w:p w14:paraId="7541C0F8">
      <w:pPr>
        <w:spacing w:line="400" w:lineRule="exact"/>
        <w:ind w:left="957" w:leftChars="456"/>
        <w:rPr>
          <w:rFonts w:eastAsia="方正仿宋_GBK"/>
          <w:sz w:val="24"/>
        </w:rPr>
      </w:pPr>
      <w:r>
        <w:rPr>
          <w:rFonts w:eastAsia="方正仿宋_GBK"/>
          <w:sz w:val="24"/>
        </w:rPr>
        <w:t>法定代表人或法定代表人授权委托人参与远程交互,中途不得更换,在无效响应资格、澄清、提疑、传送文件等特殊情况下需要交互时，供应商一端参与交互的人员将均被视为是供应商的授权委托人或法定代表人，供应商不得以不承认交互人员的资格或身份等为借口推脱，供应商自行承担随意更换人员所导致的一切后果。</w:t>
      </w:r>
    </w:p>
    <w:p w14:paraId="161F4C31">
      <w:pPr>
        <w:pStyle w:val="2"/>
        <w:spacing w:line="380" w:lineRule="exact"/>
        <w:ind w:left="960" w:hanging="960" w:hangingChars="400"/>
        <w:rPr>
          <w:rFonts w:ascii="Times New Roman" w:eastAsia="方正仿宋_GBK"/>
          <w:szCs w:val="24"/>
        </w:rPr>
      </w:pPr>
      <w:r>
        <w:rPr>
          <w:rFonts w:ascii="Times New Roman" w:eastAsia="方正仿宋_GBK"/>
          <w:szCs w:val="24"/>
        </w:rPr>
        <w:t xml:space="preserve">18.6    </w:t>
      </w:r>
      <w:bookmarkStart w:id="289" w:name="_Toc520356165"/>
      <w:bookmarkStart w:id="290" w:name="_Toc515647780"/>
      <w:bookmarkStart w:id="291" w:name="_Toc5428"/>
      <w:bookmarkStart w:id="292" w:name="_Toc21372"/>
      <w:bookmarkStart w:id="293" w:name="_Toc19296"/>
      <w:bookmarkStart w:id="294" w:name="_Toc9240"/>
      <w:bookmarkStart w:id="295" w:name="_Toc18658"/>
      <w:bookmarkStart w:id="296" w:name="_Toc14954"/>
      <w:bookmarkStart w:id="297" w:name="_Toc5402"/>
      <w:bookmarkStart w:id="298" w:name="_Toc6401"/>
      <w:bookmarkStart w:id="299" w:name="_Toc18057"/>
      <w:bookmarkStart w:id="300" w:name="_Toc28768"/>
      <w:bookmarkStart w:id="301" w:name="_Toc5768"/>
      <w:r>
        <w:rPr>
          <w:rFonts w:ascii="Times New Roman" w:eastAsia="方正仿宋_GBK"/>
          <w:szCs w:val="24"/>
        </w:rPr>
        <w:t>供应商之间不得相互串通报价，不得妨碍其他供应商的公平竞争，不得损害采购单位或者其他供应商的合法权益。</w:t>
      </w:r>
    </w:p>
    <w:p w14:paraId="2A4C86EB">
      <w:pPr>
        <w:pStyle w:val="2"/>
        <w:spacing w:line="380" w:lineRule="exact"/>
        <w:ind w:left="960" w:hanging="960" w:hangingChars="400"/>
        <w:rPr>
          <w:rFonts w:ascii="Times New Roman" w:eastAsia="方正仿宋_GBK"/>
          <w:szCs w:val="24"/>
        </w:rPr>
      </w:pPr>
      <w:r>
        <w:rPr>
          <w:rFonts w:ascii="Times New Roman" w:eastAsia="方正仿宋_GBK"/>
          <w:szCs w:val="24"/>
        </w:rPr>
        <w:t>18.7    供应商不得向采购单位、磋商小组成员行贿或者采取其他不正当手段谋取成交。</w:t>
      </w:r>
    </w:p>
    <w:p w14:paraId="7B013B1C">
      <w:pPr>
        <w:spacing w:line="400" w:lineRule="exact"/>
        <w:ind w:left="960" w:hanging="960" w:hangingChars="400"/>
        <w:rPr>
          <w:rFonts w:eastAsia="方正仿宋_GBK"/>
          <w:sz w:val="24"/>
        </w:rPr>
      </w:pPr>
      <w:r>
        <w:rPr>
          <w:rFonts w:eastAsia="方正仿宋_GBK"/>
          <w:sz w:val="24"/>
        </w:rPr>
        <w:t xml:space="preserve">18.8    </w:t>
      </w:r>
      <w:r>
        <w:rPr>
          <w:rFonts w:hint="eastAsia" w:eastAsia="方正仿宋_GBK"/>
          <w:sz w:val="24"/>
        </w:rPr>
        <w:t xml:space="preserve"> </w:t>
      </w:r>
      <w:r>
        <w:rPr>
          <w:rFonts w:eastAsia="方正仿宋_GBK"/>
          <w:sz w:val="24"/>
        </w:rPr>
        <w:t>磋商小组进行磋商：</w:t>
      </w:r>
    </w:p>
    <w:p w14:paraId="7263327A">
      <w:pPr>
        <w:pStyle w:val="2"/>
        <w:spacing w:line="380" w:lineRule="exact"/>
        <w:ind w:left="960" w:hanging="960" w:hangingChars="400"/>
        <w:rPr>
          <w:rFonts w:ascii="Times New Roman" w:eastAsia="方正仿宋_GBK"/>
          <w:szCs w:val="24"/>
        </w:rPr>
      </w:pPr>
      <w:r>
        <w:rPr>
          <w:rFonts w:ascii="Times New Roman" w:eastAsia="方正仿宋_GBK"/>
          <w:szCs w:val="24"/>
        </w:rPr>
        <w:t>18.8.1   磋商小组成员应当按照客观、公正、审慎的原则，根据磋商文件规定的评审程序、评审方法和评审标准进行独立评审。未实质性响应磋商文件的响应文件按无效响应处理，磋商小组应当告知提交响应文件的供应商。磋商中，磋商的任何一方不得透露与磋商有关的其他供应商的技术资料、价格和其他信息。</w:t>
      </w:r>
    </w:p>
    <w:p w14:paraId="7B8662EC">
      <w:pPr>
        <w:pStyle w:val="2"/>
        <w:spacing w:line="380" w:lineRule="exact"/>
        <w:ind w:left="960" w:hanging="960" w:hangingChars="400"/>
        <w:rPr>
          <w:rFonts w:ascii="Times New Roman" w:eastAsia="方正仿宋_GBK"/>
          <w:kern w:val="2"/>
          <w:szCs w:val="24"/>
        </w:rPr>
      </w:pPr>
      <w:r>
        <w:rPr>
          <w:rFonts w:ascii="Times New Roman" w:eastAsia="方正仿宋_GBK"/>
          <w:kern w:val="2"/>
          <w:szCs w:val="24"/>
        </w:rPr>
        <w:t xml:space="preserve">18.8.2  </w:t>
      </w:r>
      <w:r>
        <w:rPr>
          <w:rFonts w:hint="eastAsia" w:ascii="Times New Roman" w:eastAsia="方正仿宋_GBK"/>
          <w:kern w:val="2"/>
          <w:szCs w:val="24"/>
        </w:rPr>
        <w:t xml:space="preserve"> </w:t>
      </w:r>
      <w:r>
        <w:rPr>
          <w:rFonts w:ascii="Times New Roman" w:eastAsia="方正仿宋_GBK"/>
          <w:kern w:val="2"/>
          <w:szCs w:val="24"/>
        </w:rPr>
        <w:t>磋商文件内容违反国家有关强制性规定的，磋商小组应当停止评审并向采购人或者采购代理机构说明情况。</w:t>
      </w:r>
    </w:p>
    <w:p w14:paraId="566A515A">
      <w:pPr>
        <w:pStyle w:val="2"/>
        <w:spacing w:line="380" w:lineRule="exact"/>
        <w:ind w:left="960" w:hanging="960" w:hangingChars="400"/>
        <w:rPr>
          <w:rFonts w:ascii="Times New Roman" w:eastAsia="方正仿宋_GBK"/>
          <w:kern w:val="2"/>
          <w:szCs w:val="24"/>
        </w:rPr>
      </w:pPr>
      <w:r>
        <w:rPr>
          <w:rFonts w:ascii="Times New Roman" w:eastAsia="方正仿宋_GBK"/>
          <w:kern w:val="2"/>
          <w:szCs w:val="24"/>
        </w:rPr>
        <w:t xml:space="preserve">18.8.3  </w:t>
      </w:r>
      <w:r>
        <w:rPr>
          <w:rFonts w:hint="eastAsia" w:ascii="Times New Roman" w:eastAsia="方正仿宋_GBK"/>
          <w:kern w:val="2"/>
          <w:szCs w:val="24"/>
        </w:rPr>
        <w:t xml:space="preserve"> </w:t>
      </w:r>
      <w:r>
        <w:rPr>
          <w:rFonts w:ascii="Times New Roman" w:eastAsia="方正仿宋_GBK"/>
          <w:kern w:val="2"/>
          <w:szCs w:val="24"/>
        </w:rPr>
        <w:t>采购人、采购代理机构不得向磋商小组中的评审专家作倾向性、误导性的解释或者说明。</w:t>
      </w:r>
    </w:p>
    <w:p w14:paraId="588E39C7">
      <w:pPr>
        <w:pStyle w:val="2"/>
        <w:spacing w:line="380" w:lineRule="exact"/>
        <w:ind w:left="960" w:hanging="960" w:hangingChars="400"/>
        <w:rPr>
          <w:rFonts w:ascii="Times New Roman" w:eastAsia="方正仿宋_GBK"/>
          <w:kern w:val="2"/>
          <w:szCs w:val="24"/>
        </w:rPr>
      </w:pPr>
      <w:r>
        <w:rPr>
          <w:rFonts w:ascii="Times New Roman" w:eastAsia="方正仿宋_GBK"/>
          <w:kern w:val="2"/>
          <w:szCs w:val="24"/>
        </w:rPr>
        <w:t xml:space="preserve">18.8.4  </w:t>
      </w:r>
      <w:r>
        <w:rPr>
          <w:rFonts w:hint="eastAsia" w:ascii="Times New Roman" w:eastAsia="方正仿宋_GBK"/>
          <w:kern w:val="2"/>
          <w:szCs w:val="24"/>
        </w:rPr>
        <w:t xml:space="preserve"> </w:t>
      </w:r>
      <w:r>
        <w:rPr>
          <w:rFonts w:ascii="Times New Roman" w:eastAsia="方正仿宋_GBK"/>
          <w:kern w:val="2"/>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229F2D1">
      <w:pPr>
        <w:pStyle w:val="2"/>
        <w:spacing w:line="380" w:lineRule="exact"/>
        <w:ind w:left="957" w:leftChars="456" w:firstLine="0"/>
        <w:rPr>
          <w:rFonts w:ascii="Times New Roman" w:eastAsia="方正仿宋_GBK"/>
          <w:kern w:val="2"/>
          <w:szCs w:val="24"/>
        </w:rPr>
      </w:pPr>
      <w:r>
        <w:rPr>
          <w:rFonts w:ascii="Times New Roman" w:eastAsia="方正仿宋_GBK"/>
          <w:kern w:val="2"/>
          <w:szCs w:val="24"/>
        </w:rPr>
        <w:t>磋商小组要求供应商澄清、说明或者更正响应文件应当以书面形式作出。供应商的澄清、说明或者更正应当由法定代表人或其授权代表签字或者加盖公章。</w:t>
      </w:r>
    </w:p>
    <w:p w14:paraId="4DFF9E56">
      <w:pPr>
        <w:pStyle w:val="2"/>
        <w:spacing w:line="380" w:lineRule="exact"/>
        <w:ind w:left="957" w:leftChars="456" w:firstLine="0"/>
        <w:rPr>
          <w:rFonts w:ascii="Times New Roman" w:eastAsia="方正仿宋_GBK"/>
          <w:kern w:val="2"/>
          <w:szCs w:val="24"/>
        </w:rPr>
      </w:pPr>
      <w:r>
        <w:rPr>
          <w:rFonts w:ascii="Times New Roman" w:eastAsia="方正仿宋_GBK"/>
          <w:kern w:val="2"/>
          <w:szCs w:val="24"/>
        </w:rPr>
        <w:t>由授权代表签字的，应当附法定代表人授权书。供应商为自然人的，应当由本人签字并附身份证明。</w:t>
      </w:r>
    </w:p>
    <w:p w14:paraId="16A5B34B">
      <w:pPr>
        <w:pStyle w:val="2"/>
        <w:spacing w:line="380" w:lineRule="exact"/>
        <w:ind w:left="960" w:hanging="960" w:hangingChars="400"/>
        <w:rPr>
          <w:rFonts w:ascii="Times New Roman" w:eastAsia="方正仿宋_GBK"/>
          <w:kern w:val="2"/>
          <w:szCs w:val="24"/>
        </w:rPr>
      </w:pPr>
      <w:r>
        <w:rPr>
          <w:rFonts w:ascii="Times New Roman" w:eastAsia="方正仿宋_GBK"/>
          <w:kern w:val="2"/>
          <w:szCs w:val="24"/>
        </w:rPr>
        <w:t xml:space="preserve">18.8.5  </w:t>
      </w:r>
      <w:r>
        <w:rPr>
          <w:rFonts w:hint="eastAsia" w:ascii="Times New Roman" w:eastAsia="方正仿宋_GBK"/>
          <w:kern w:val="2"/>
          <w:szCs w:val="24"/>
        </w:rPr>
        <w:t xml:space="preserve"> </w:t>
      </w:r>
      <w:r>
        <w:rPr>
          <w:rFonts w:ascii="Times New Roman" w:eastAsia="方正仿宋_GBK"/>
          <w:kern w:val="2"/>
          <w:szCs w:val="24"/>
        </w:rPr>
        <w:t>磋商小组所有成员应当集中与单一供应商分别进行磋商，并给予所有参加磋商的供应商平等的磋商机会。</w:t>
      </w:r>
    </w:p>
    <w:p w14:paraId="65B69739">
      <w:pPr>
        <w:pStyle w:val="2"/>
        <w:spacing w:line="380" w:lineRule="exact"/>
        <w:ind w:left="960" w:hanging="960" w:hangingChars="400"/>
        <w:rPr>
          <w:rFonts w:ascii="Times New Roman" w:eastAsia="方正仿宋_GBK"/>
          <w:kern w:val="2"/>
          <w:szCs w:val="24"/>
        </w:rPr>
      </w:pPr>
      <w:r>
        <w:rPr>
          <w:rFonts w:ascii="Times New Roman" w:eastAsia="方正仿宋_GBK"/>
          <w:kern w:val="2"/>
          <w:szCs w:val="24"/>
        </w:rPr>
        <w:t>18.8.6   在磋商过程中，磋商小组可以根据磋商文件和磋商情况实质性变动采购需求中的技术、服务要求以及合同草案条款，但不得变动磋商文件中的其他内容。实质性变动的内容，须经采购人代表确认。</w:t>
      </w:r>
    </w:p>
    <w:p w14:paraId="1AC1042C">
      <w:pPr>
        <w:pStyle w:val="2"/>
        <w:spacing w:line="380" w:lineRule="exact"/>
        <w:ind w:left="957" w:leftChars="456" w:firstLine="0"/>
        <w:rPr>
          <w:rFonts w:ascii="Times New Roman" w:eastAsia="方正仿宋_GBK"/>
          <w:kern w:val="2"/>
          <w:szCs w:val="24"/>
        </w:rPr>
      </w:pPr>
      <w:r>
        <w:rPr>
          <w:rFonts w:ascii="Times New Roman" w:eastAsia="方正仿宋_GBK"/>
          <w:kern w:val="2"/>
          <w:szCs w:val="24"/>
        </w:rPr>
        <w:t>对磋商文件作出的实质性变动是磋商文件的有效组成部分，磋商小组应当及时以书面形式同时通知所有参加磋商的供应商。</w:t>
      </w:r>
    </w:p>
    <w:p w14:paraId="7E195DD8">
      <w:pPr>
        <w:pStyle w:val="2"/>
        <w:spacing w:line="380" w:lineRule="exact"/>
        <w:ind w:left="957" w:leftChars="456" w:firstLine="0"/>
        <w:rPr>
          <w:rFonts w:ascii="Times New Roman" w:eastAsia="方正仿宋_GBK"/>
          <w:kern w:val="2"/>
          <w:szCs w:val="24"/>
        </w:rPr>
      </w:pPr>
      <w:r>
        <w:rPr>
          <w:rFonts w:ascii="Times New Roman" w:eastAsia="方正仿宋_GBK"/>
          <w:kern w:val="2"/>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1B5A973">
      <w:pPr>
        <w:pStyle w:val="2"/>
        <w:spacing w:line="380" w:lineRule="exact"/>
        <w:ind w:left="960" w:hanging="960" w:hangingChars="400"/>
        <w:rPr>
          <w:rFonts w:ascii="Times New Roman" w:eastAsia="方正仿宋_GBK"/>
          <w:kern w:val="2"/>
          <w:szCs w:val="24"/>
        </w:rPr>
      </w:pPr>
      <w:r>
        <w:rPr>
          <w:rFonts w:ascii="Times New Roman" w:eastAsia="方正仿宋_GBK"/>
          <w:kern w:val="2"/>
          <w:szCs w:val="24"/>
        </w:rPr>
        <w:t xml:space="preserve">18.8.7  </w:t>
      </w:r>
      <w:r>
        <w:rPr>
          <w:rFonts w:hint="eastAsia" w:ascii="Times New Roman" w:eastAsia="方正仿宋_GBK"/>
          <w:kern w:val="2"/>
          <w:szCs w:val="24"/>
        </w:rPr>
        <w:t xml:space="preserve"> </w:t>
      </w:r>
      <w:r>
        <w:rPr>
          <w:rFonts w:ascii="Times New Roman" w:eastAsia="方正仿宋_GBK"/>
          <w:kern w:val="2"/>
          <w:szCs w:val="24"/>
        </w:rPr>
        <w:t>磋商文件能够详细列明采购标的的技术、服务要求的，磋商结束后，磋商小组应当要求所有实质性响应的供应商在规定时间内提交最后报价，提交最后报价的供应商不得少于3家。</w:t>
      </w:r>
    </w:p>
    <w:p w14:paraId="528F19D9">
      <w:pPr>
        <w:pStyle w:val="2"/>
        <w:spacing w:line="380" w:lineRule="exact"/>
        <w:ind w:left="957" w:leftChars="456" w:firstLine="0"/>
        <w:rPr>
          <w:rFonts w:ascii="Times New Roman" w:eastAsia="方正仿宋_GBK"/>
          <w:kern w:val="2"/>
          <w:szCs w:val="24"/>
        </w:rPr>
      </w:pPr>
      <w:r>
        <w:rPr>
          <w:rFonts w:ascii="Times New Roman" w:eastAsia="方正仿宋_GBK"/>
          <w:kern w:val="2"/>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2C5C2DB">
      <w:pPr>
        <w:pStyle w:val="2"/>
        <w:spacing w:line="380" w:lineRule="exact"/>
        <w:ind w:left="957" w:leftChars="456" w:firstLine="0"/>
        <w:rPr>
          <w:rFonts w:ascii="Times New Roman" w:eastAsia="方正仿宋_GBK"/>
          <w:kern w:val="2"/>
          <w:szCs w:val="24"/>
        </w:rPr>
      </w:pPr>
      <w:r>
        <w:rPr>
          <w:rFonts w:ascii="Times New Roman" w:eastAsia="方正仿宋_GBK"/>
          <w:kern w:val="2"/>
          <w:szCs w:val="24"/>
        </w:rPr>
        <w:t>最后报价是供应商响应文件的有效组成部分。符合《政府采购竞争性磋商采购方式管理暂行办法》第三条第四项情形的，提交最后报价的供应商可以为2家。</w:t>
      </w:r>
    </w:p>
    <w:p w14:paraId="4B60C488">
      <w:pPr>
        <w:pStyle w:val="2"/>
        <w:spacing w:line="380" w:lineRule="exact"/>
        <w:ind w:left="960" w:hanging="960" w:hangingChars="400"/>
        <w:rPr>
          <w:rFonts w:ascii="Times New Roman" w:eastAsia="方正仿宋_GBK"/>
          <w:kern w:val="2"/>
          <w:szCs w:val="24"/>
        </w:rPr>
      </w:pPr>
      <w:r>
        <w:rPr>
          <w:rFonts w:ascii="Times New Roman" w:eastAsia="方正仿宋_GBK"/>
          <w:kern w:val="2"/>
          <w:szCs w:val="24"/>
        </w:rPr>
        <w:t xml:space="preserve">18.8.8  </w:t>
      </w:r>
      <w:r>
        <w:rPr>
          <w:rFonts w:hint="eastAsia" w:ascii="Times New Roman" w:eastAsia="方正仿宋_GBK"/>
          <w:kern w:val="2"/>
          <w:szCs w:val="24"/>
        </w:rPr>
        <w:t xml:space="preserve"> </w:t>
      </w:r>
      <w:r>
        <w:rPr>
          <w:rFonts w:ascii="Times New Roman" w:eastAsia="方正仿宋_GBK"/>
          <w:kern w:val="2"/>
          <w:szCs w:val="24"/>
        </w:rPr>
        <w:t>已提交响应文件的供应商，在提交最后报价之前，可以根据磋商情况退出磋商。采购人、采购代理机构应当退还退出磋商的供应商的磋商保证金。</w:t>
      </w:r>
    </w:p>
    <w:p w14:paraId="79AF7D4F">
      <w:pPr>
        <w:pStyle w:val="2"/>
        <w:spacing w:line="380" w:lineRule="exact"/>
        <w:ind w:left="960" w:hanging="960" w:hangingChars="400"/>
        <w:rPr>
          <w:rFonts w:ascii="Times New Roman" w:eastAsia="方正仿宋_GBK"/>
          <w:kern w:val="2"/>
          <w:szCs w:val="24"/>
        </w:rPr>
      </w:pPr>
      <w:r>
        <w:rPr>
          <w:rFonts w:ascii="Times New Roman" w:eastAsia="方正仿宋_GBK"/>
          <w:kern w:val="2"/>
          <w:szCs w:val="24"/>
        </w:rPr>
        <w:t xml:space="preserve">18.8.9  </w:t>
      </w:r>
      <w:r>
        <w:rPr>
          <w:rFonts w:hint="eastAsia" w:ascii="Times New Roman" w:eastAsia="方正仿宋_GBK"/>
          <w:kern w:val="2"/>
          <w:szCs w:val="24"/>
        </w:rPr>
        <w:t xml:space="preserve"> </w:t>
      </w:r>
      <w:r>
        <w:rPr>
          <w:rFonts w:ascii="Times New Roman" w:eastAsia="方正仿宋_GBK"/>
          <w:kern w:val="2"/>
          <w:szCs w:val="24"/>
        </w:rPr>
        <w:t>经磋商确定最终采购需求和提交最后报价的供应商后，由磋商小组采用综合评分法对提交最后报价的供应商的响应文件和最后报价进行综合评分。</w:t>
      </w:r>
    </w:p>
    <w:p w14:paraId="76923818">
      <w:pPr>
        <w:pStyle w:val="2"/>
        <w:spacing w:line="380" w:lineRule="exact"/>
        <w:ind w:left="957" w:leftChars="456" w:firstLine="0"/>
        <w:rPr>
          <w:rFonts w:ascii="Times New Roman" w:eastAsia="方正仿宋_GBK"/>
          <w:kern w:val="2"/>
          <w:szCs w:val="24"/>
        </w:rPr>
      </w:pPr>
      <w:r>
        <w:rPr>
          <w:rFonts w:ascii="Times New Roman" w:eastAsia="方正仿宋_GBK"/>
          <w:kern w:val="2"/>
          <w:szCs w:val="24"/>
        </w:rPr>
        <w:t>综合评分法，是指响应文件满足磋商文件全部实质性要求且按评审因素的量化指标评审得分最高的供应商为成交候选供应商的评审方法。</w:t>
      </w:r>
    </w:p>
    <w:p w14:paraId="1A5ECC11">
      <w:pPr>
        <w:pStyle w:val="2"/>
        <w:spacing w:line="380" w:lineRule="exact"/>
        <w:ind w:left="957" w:leftChars="456" w:firstLine="0"/>
        <w:rPr>
          <w:rFonts w:ascii="Times New Roman" w:eastAsia="方正仿宋_GBK"/>
          <w:kern w:val="2"/>
          <w:szCs w:val="24"/>
        </w:rPr>
      </w:pPr>
      <w:r>
        <w:rPr>
          <w:rFonts w:ascii="Times New Roman" w:eastAsia="方正仿宋_GBK"/>
          <w:kern w:val="2"/>
          <w:szCs w:val="24"/>
        </w:rPr>
        <w:t>评审时，磋商小组各成员应当独立对每个有效响应的文件进行评价、打分，然后汇总每个供应商每项评分因素的得分。</w:t>
      </w:r>
    </w:p>
    <w:p w14:paraId="0314D269">
      <w:pPr>
        <w:pStyle w:val="2"/>
        <w:spacing w:line="380" w:lineRule="exact"/>
        <w:ind w:left="960" w:hanging="960" w:hangingChars="400"/>
        <w:rPr>
          <w:rFonts w:ascii="Times New Roman" w:eastAsia="方正仿宋_GBK"/>
          <w:kern w:val="2"/>
          <w:szCs w:val="24"/>
        </w:rPr>
      </w:pPr>
      <w:r>
        <w:rPr>
          <w:rFonts w:ascii="Times New Roman" w:eastAsia="方正仿宋_GBK"/>
          <w:kern w:val="2"/>
          <w:szCs w:val="24"/>
        </w:rPr>
        <w:t>18.9    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相关属于监狱企业的证明文件的供应商，按照相关价格扣除规定和</w:t>
      </w:r>
      <w:r>
        <w:rPr>
          <w:rFonts w:ascii="Times New Roman" w:eastAsia="方正仿宋_GBK"/>
          <w:kern w:val="2"/>
          <w:szCs w:val="24"/>
          <w:u w:val="single"/>
        </w:rPr>
        <w:t>供应商须知表</w:t>
      </w:r>
      <w:r>
        <w:rPr>
          <w:rFonts w:ascii="Times New Roman" w:eastAsia="方正仿宋_GBK"/>
          <w:kern w:val="2"/>
          <w:szCs w:val="24"/>
        </w:rPr>
        <w:t>要求执行。</w:t>
      </w:r>
    </w:p>
    <w:p w14:paraId="699D48D5">
      <w:pPr>
        <w:pStyle w:val="2"/>
        <w:spacing w:line="380" w:lineRule="exact"/>
        <w:ind w:left="960" w:hanging="960" w:hangingChars="400"/>
        <w:rPr>
          <w:rFonts w:ascii="Times New Roman" w:eastAsia="方正仿宋_GBK"/>
          <w:szCs w:val="24"/>
        </w:rPr>
      </w:pPr>
      <w:r>
        <w:rPr>
          <w:rFonts w:ascii="Times New Roman" w:eastAsia="方正仿宋_GBK"/>
          <w:kern w:val="2"/>
          <w:szCs w:val="24"/>
        </w:rPr>
        <w:t>18.10   落实其他政府采购政策条款，具体详见</w:t>
      </w:r>
      <w:r>
        <w:rPr>
          <w:rFonts w:ascii="Times New Roman" w:eastAsia="方正仿宋_GBK"/>
          <w:kern w:val="2"/>
          <w:szCs w:val="24"/>
          <w:u w:val="single"/>
        </w:rPr>
        <w:t>供应商须知表</w:t>
      </w:r>
      <w:r>
        <w:rPr>
          <w:rFonts w:ascii="Times New Roman" w:eastAsia="方正仿宋_GBK"/>
          <w:kern w:val="2"/>
          <w:szCs w:val="24"/>
        </w:rPr>
        <w:t>。</w:t>
      </w:r>
    </w:p>
    <w:p w14:paraId="2ECEFC7D">
      <w:pPr>
        <w:pStyle w:val="6"/>
        <w:snapToGrid w:val="0"/>
        <w:spacing w:before="0" w:after="0" w:line="380" w:lineRule="exact"/>
        <w:textAlignment w:val="baseline"/>
        <w:rPr>
          <w:rFonts w:ascii="Times New Roman" w:eastAsia="方正仿宋_GBK"/>
          <w:szCs w:val="24"/>
          <w:u w:val="none"/>
        </w:rPr>
      </w:pPr>
      <w:bookmarkStart w:id="302" w:name="_Toc26176"/>
      <w:r>
        <w:rPr>
          <w:rFonts w:ascii="Times New Roman" w:eastAsia="方正仿宋_GBK"/>
          <w:szCs w:val="24"/>
          <w:u w:val="none"/>
        </w:rPr>
        <w:t>19.</w:t>
      </w:r>
      <w:bookmarkEnd w:id="289"/>
      <w:r>
        <w:rPr>
          <w:rFonts w:ascii="Times New Roman" w:eastAsia="方正仿宋_GBK"/>
          <w:szCs w:val="24"/>
          <w:u w:val="none"/>
        </w:rPr>
        <w:t>资格审查及组建</w:t>
      </w:r>
      <w:bookmarkEnd w:id="290"/>
      <w:bookmarkEnd w:id="291"/>
      <w:bookmarkEnd w:id="292"/>
      <w:bookmarkEnd w:id="293"/>
      <w:r>
        <w:rPr>
          <w:rFonts w:ascii="Times New Roman" w:eastAsia="方正仿宋_GBK"/>
          <w:szCs w:val="24"/>
          <w:u w:val="none"/>
        </w:rPr>
        <w:t>磋商小组</w:t>
      </w:r>
      <w:bookmarkEnd w:id="294"/>
      <w:bookmarkEnd w:id="295"/>
      <w:bookmarkEnd w:id="296"/>
      <w:bookmarkEnd w:id="297"/>
      <w:bookmarkEnd w:id="298"/>
      <w:bookmarkEnd w:id="299"/>
      <w:bookmarkEnd w:id="300"/>
      <w:bookmarkEnd w:id="301"/>
      <w:bookmarkEnd w:id="302"/>
    </w:p>
    <w:p w14:paraId="6D94C9A7">
      <w:pPr>
        <w:snapToGrid w:val="0"/>
        <w:spacing w:line="380" w:lineRule="exact"/>
        <w:ind w:left="960" w:hanging="960" w:hangingChars="400"/>
        <w:textAlignment w:val="baseline"/>
        <w:rPr>
          <w:rFonts w:eastAsia="方正仿宋_GBK"/>
          <w:sz w:val="24"/>
        </w:rPr>
      </w:pPr>
      <w:r>
        <w:rPr>
          <w:rFonts w:eastAsia="方正仿宋_GBK"/>
          <w:sz w:val="24"/>
        </w:rPr>
        <w:t>19.1    采购人或采购代理机构依据法律法规和磋商文件中规定的内容，对供应商资格进行审查，确定供应商是否具有参加磋商的资格，未通过资格审查的供应商不进入评标。</w:t>
      </w:r>
    </w:p>
    <w:p w14:paraId="15CB8E46">
      <w:pPr>
        <w:widowControl/>
        <w:snapToGrid w:val="0"/>
        <w:spacing w:line="380" w:lineRule="exact"/>
        <w:jc w:val="left"/>
        <w:textAlignment w:val="baseline"/>
        <w:rPr>
          <w:rFonts w:eastAsia="方正仿宋_GBK"/>
          <w:b/>
          <w:bCs/>
          <w:sz w:val="24"/>
        </w:rPr>
      </w:pPr>
      <w:r>
        <w:rPr>
          <w:rFonts w:eastAsia="方正仿宋_GBK"/>
          <w:sz w:val="24"/>
        </w:rPr>
        <w:t xml:space="preserve">        </w:t>
      </w:r>
      <w:r>
        <w:rPr>
          <w:rFonts w:eastAsia="方正仿宋_GBK"/>
          <w:b/>
          <w:bCs/>
          <w:sz w:val="24"/>
        </w:rPr>
        <w:t>本项目的资格要求如下：</w:t>
      </w:r>
    </w:p>
    <w:p w14:paraId="27FC363F">
      <w:pPr>
        <w:snapToGrid w:val="0"/>
        <w:spacing w:line="380" w:lineRule="exact"/>
        <w:ind w:firstLine="480" w:firstLineChars="200"/>
        <w:textAlignment w:val="baseline"/>
        <w:rPr>
          <w:rFonts w:eastAsia="方正仿宋_GBK"/>
          <w:sz w:val="24"/>
        </w:rPr>
      </w:pPr>
      <w:r>
        <w:rPr>
          <w:rFonts w:eastAsia="方正仿宋_GBK"/>
          <w:sz w:val="24"/>
        </w:rPr>
        <w:t>1、符合《中华人民共和国采购法》第二十二条的相关规定：</w:t>
      </w:r>
    </w:p>
    <w:p w14:paraId="4F6456C3">
      <w:pPr>
        <w:snapToGrid w:val="0"/>
        <w:spacing w:line="380" w:lineRule="exact"/>
        <w:ind w:left="958" w:leftChars="228" w:hanging="480" w:hangingChars="200"/>
        <w:textAlignment w:val="baseline"/>
        <w:rPr>
          <w:rFonts w:eastAsia="方正仿宋_GBK"/>
          <w:sz w:val="24"/>
        </w:rPr>
      </w:pPr>
      <w:r>
        <w:rPr>
          <w:rFonts w:eastAsia="方正仿宋_GBK"/>
          <w:sz w:val="24"/>
        </w:rPr>
        <w:t>（1）企业三证合一的法人营业执照或含二维码的营业执照；</w:t>
      </w:r>
    </w:p>
    <w:p w14:paraId="41FA5329">
      <w:pPr>
        <w:snapToGrid w:val="0"/>
        <w:spacing w:line="380" w:lineRule="exact"/>
        <w:ind w:left="958" w:leftChars="228" w:hanging="480" w:hangingChars="200"/>
        <w:jc w:val="left"/>
        <w:textAlignment w:val="baseline"/>
        <w:rPr>
          <w:rFonts w:eastAsia="方正仿宋_GBK"/>
          <w:sz w:val="24"/>
        </w:rPr>
      </w:pPr>
      <w:r>
        <w:rPr>
          <w:rFonts w:eastAsia="方正仿宋_GBK"/>
          <w:sz w:val="24"/>
        </w:rPr>
        <w:t xml:space="preserve">（2）法定代表人授权书及被授权人身份证，法人本人参与投标提供法人身份证及法人资格证明；   </w:t>
      </w:r>
    </w:p>
    <w:p w14:paraId="04D9039E">
      <w:pPr>
        <w:snapToGrid w:val="0"/>
        <w:spacing w:line="380" w:lineRule="exact"/>
        <w:ind w:left="958" w:leftChars="228" w:hanging="480" w:hangingChars="200"/>
        <w:jc w:val="left"/>
        <w:textAlignment w:val="baseline"/>
        <w:rPr>
          <w:rFonts w:eastAsia="方正仿宋_GBK"/>
          <w:sz w:val="24"/>
        </w:rPr>
      </w:pPr>
      <w:r>
        <w:rPr>
          <w:rFonts w:eastAsia="方正仿宋_GBK"/>
          <w:sz w:val="24"/>
        </w:rPr>
        <w:t>（3）被授权委托人在本单位缴纳近六个月内任意一个月的社保证明（单位社保缴费凭证和个人明细表）、法定代表人提供本单位社保缴费凭证；（新成立公司从成立之日起缴纳的相关社保证明材料）；</w:t>
      </w:r>
    </w:p>
    <w:p w14:paraId="25218281">
      <w:pPr>
        <w:snapToGrid w:val="0"/>
        <w:spacing w:line="380" w:lineRule="exact"/>
        <w:ind w:left="958" w:leftChars="228" w:hanging="480" w:hangingChars="200"/>
        <w:jc w:val="left"/>
        <w:textAlignment w:val="baseline"/>
        <w:rPr>
          <w:rFonts w:eastAsia="方正仿宋_GBK"/>
          <w:sz w:val="24"/>
        </w:rPr>
      </w:pPr>
      <w:r>
        <w:rPr>
          <w:rFonts w:eastAsia="方正仿宋_GBK"/>
          <w:sz w:val="24"/>
        </w:rPr>
        <w:t>（4）具有健全的财务会计制度（2023年的财务审计报告与健全的财务会计制度，新成立公司不足一年的提供近三个月内有效的银行资信证明）；</w:t>
      </w:r>
    </w:p>
    <w:p w14:paraId="76752066">
      <w:pPr>
        <w:snapToGrid w:val="0"/>
        <w:spacing w:line="380" w:lineRule="exact"/>
        <w:ind w:left="958" w:leftChars="228" w:hanging="480" w:hangingChars="200"/>
        <w:jc w:val="left"/>
        <w:textAlignment w:val="baseline"/>
        <w:rPr>
          <w:rFonts w:eastAsia="方正仿宋_GBK"/>
          <w:sz w:val="24"/>
        </w:rPr>
      </w:pPr>
      <w:r>
        <w:rPr>
          <w:rFonts w:eastAsia="方正仿宋_GBK"/>
          <w:sz w:val="24"/>
        </w:rPr>
        <w:t>（5）在税务局依法缴纳近半年任意一个月税收证明的良好记录及投标截止日内无拖欠税收证明（零申报的企业需提供税务局的相关证明）；</w:t>
      </w:r>
    </w:p>
    <w:p w14:paraId="4BD8A28E">
      <w:pPr>
        <w:snapToGrid w:val="0"/>
        <w:spacing w:line="380" w:lineRule="exact"/>
        <w:ind w:left="958" w:leftChars="228" w:hanging="480" w:hangingChars="200"/>
        <w:textAlignment w:val="baseline"/>
        <w:rPr>
          <w:rFonts w:eastAsia="方正仿宋_GBK"/>
          <w:sz w:val="24"/>
        </w:rPr>
      </w:pPr>
      <w:r>
        <w:rPr>
          <w:rFonts w:eastAsia="方正仿宋_GBK"/>
          <w:sz w:val="24"/>
        </w:rPr>
        <w:t>（6）根据《财政部关于在政府采购活动中查询及使用信用记录有关问题的通知》（财库﹝2016﹞125号）的要求，凡拟参加本次招标项目的供应商，如在“信用中国”网站（www.creditchina.gov.cn）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p w14:paraId="0DA19C70">
      <w:pPr>
        <w:snapToGrid w:val="0"/>
        <w:spacing w:line="380" w:lineRule="exact"/>
        <w:ind w:left="958" w:leftChars="228" w:hanging="480" w:hangingChars="200"/>
        <w:textAlignment w:val="baseline"/>
        <w:rPr>
          <w:rFonts w:eastAsia="方正仿宋_GBK"/>
          <w:sz w:val="24"/>
        </w:rPr>
      </w:pPr>
      <w:r>
        <w:rPr>
          <w:rFonts w:eastAsia="方正仿宋_GBK"/>
          <w:sz w:val="24"/>
        </w:rPr>
        <w:t>（7）在参加政府采购活动中前三年内无重大违法记录的承诺书；</w:t>
      </w:r>
    </w:p>
    <w:p w14:paraId="3130F02B">
      <w:pPr>
        <w:snapToGrid w:val="0"/>
        <w:spacing w:line="380" w:lineRule="exact"/>
        <w:ind w:left="958" w:leftChars="228" w:hanging="480" w:hangingChars="200"/>
        <w:textAlignment w:val="baseline"/>
        <w:rPr>
          <w:rFonts w:eastAsia="方正仿宋_GBK"/>
          <w:sz w:val="24"/>
        </w:rPr>
      </w:pPr>
      <w:r>
        <w:rPr>
          <w:rFonts w:eastAsia="方正仿宋_GBK"/>
          <w:sz w:val="24"/>
        </w:rPr>
        <w:t>（8）提供针对本次项目《反商业贿赂承诺书》书面声明；</w:t>
      </w:r>
    </w:p>
    <w:p w14:paraId="4417C2D5">
      <w:pPr>
        <w:snapToGrid w:val="0"/>
        <w:spacing w:line="380" w:lineRule="exact"/>
        <w:ind w:left="958" w:leftChars="228" w:hanging="480" w:hangingChars="200"/>
        <w:textAlignment w:val="baseline"/>
        <w:rPr>
          <w:rFonts w:eastAsia="方正仿宋_GBK"/>
          <w:sz w:val="24"/>
        </w:rPr>
      </w:pPr>
      <w:r>
        <w:rPr>
          <w:rFonts w:eastAsia="方正仿宋_GBK"/>
          <w:sz w:val="24"/>
        </w:rPr>
        <w:t xml:space="preserve">（9）必须具有履行合同所必需的设备和专业技术能力； </w:t>
      </w:r>
    </w:p>
    <w:p w14:paraId="1EEF3A1A">
      <w:pPr>
        <w:snapToGrid w:val="0"/>
        <w:spacing w:line="380" w:lineRule="exact"/>
        <w:ind w:left="958" w:leftChars="228" w:hanging="480" w:hangingChars="200"/>
        <w:textAlignment w:val="baseline"/>
        <w:rPr>
          <w:rFonts w:eastAsia="方正仿宋_GBK"/>
          <w:sz w:val="24"/>
        </w:rPr>
      </w:pPr>
      <w:r>
        <w:rPr>
          <w:rFonts w:eastAsia="方正仿宋_GBK"/>
          <w:sz w:val="24"/>
        </w:rPr>
        <w:t>（10）本项目不接受联合体投标。</w:t>
      </w:r>
    </w:p>
    <w:p w14:paraId="46EF37A1">
      <w:pPr>
        <w:snapToGrid w:val="0"/>
        <w:spacing w:line="380" w:lineRule="exact"/>
        <w:ind w:left="1037" w:leftChars="494"/>
        <w:textAlignment w:val="baseline"/>
        <w:rPr>
          <w:rFonts w:eastAsia="方正仿宋_GBK"/>
          <w:b/>
          <w:bCs/>
          <w:color w:val="FF0000"/>
          <w:sz w:val="24"/>
        </w:rPr>
      </w:pPr>
      <w:r>
        <w:rPr>
          <w:rFonts w:eastAsia="方正仿宋_GBK"/>
          <w:b/>
          <w:bCs/>
          <w:color w:val="FF0000"/>
          <w:sz w:val="24"/>
        </w:rPr>
        <w:t>提示：①上述资质磋商现场能够通过官方网络查证的，均视为合格供应商。②完税证明中“税种”非养老保险、医疗保险、失业保险、工伤保险和生育保险。③“信用中国”网站(www.creditchina.gov.cn)查询记录请下载完整的查询报告并加盖公章上传扫描件。④未通过资格审查的供应商，不得进入评审。</w:t>
      </w:r>
    </w:p>
    <w:p w14:paraId="5F63BD6F">
      <w:pPr>
        <w:snapToGrid w:val="0"/>
        <w:spacing w:line="380" w:lineRule="exact"/>
        <w:ind w:left="957" w:leftChars="456"/>
        <w:textAlignment w:val="baseline"/>
        <w:rPr>
          <w:rFonts w:eastAsia="方正仿宋_GBK"/>
          <w:sz w:val="24"/>
        </w:rPr>
      </w:pPr>
      <w:r>
        <w:rPr>
          <w:rFonts w:eastAsia="方正仿宋_GBK"/>
          <w:sz w:val="24"/>
        </w:rPr>
        <w:t>2、落实政府采购政策需满足的资格要求：中小企业（需提供采购文件规定格式的《中小企业声明函（服务）》扫描件，需法人签字、加盖企业公章。）</w:t>
      </w:r>
    </w:p>
    <w:p w14:paraId="26B7AEA1">
      <w:pPr>
        <w:snapToGrid w:val="0"/>
        <w:spacing w:line="380" w:lineRule="exact"/>
        <w:ind w:left="960" w:hanging="960" w:hangingChars="400"/>
        <w:textAlignment w:val="baseline"/>
        <w:rPr>
          <w:rFonts w:eastAsia="方正仿宋_GBK"/>
          <w:sz w:val="24"/>
        </w:rPr>
      </w:pPr>
      <w:r>
        <w:rPr>
          <w:rFonts w:eastAsia="方正仿宋_GBK"/>
          <w:sz w:val="24"/>
        </w:rPr>
        <w:t>19.2    采购人或采购代理机构将在投标截止后</w:t>
      </w:r>
      <w:r>
        <w:rPr>
          <w:rFonts w:hint="eastAsia" w:eastAsia="方正仿宋_GBK"/>
          <w:sz w:val="24"/>
        </w:rPr>
        <w:t>1</w:t>
      </w:r>
      <w:r>
        <w:rPr>
          <w:rFonts w:eastAsia="方正仿宋_GBK"/>
          <w:sz w:val="24"/>
        </w:rPr>
        <w:t>小时间内查询投标供应商的信用记录。供应商存在不良信用记录的，其响应将被认定为</w:t>
      </w:r>
      <w:r>
        <w:rPr>
          <w:rFonts w:eastAsia="方正仿宋_GBK"/>
          <w:b/>
          <w:bCs/>
          <w:sz w:val="24"/>
        </w:rPr>
        <w:t>响应无效</w:t>
      </w:r>
      <w:r>
        <w:rPr>
          <w:rFonts w:eastAsia="方正仿宋_GBK"/>
          <w:sz w:val="24"/>
        </w:rPr>
        <w:t>。</w:t>
      </w:r>
    </w:p>
    <w:p w14:paraId="2E9693B6">
      <w:pPr>
        <w:snapToGrid w:val="0"/>
        <w:spacing w:line="380" w:lineRule="exact"/>
        <w:ind w:left="960" w:hanging="960" w:hangingChars="400"/>
        <w:textAlignment w:val="baseline"/>
        <w:rPr>
          <w:rFonts w:eastAsia="方正仿宋_GBK"/>
          <w:sz w:val="24"/>
        </w:rPr>
      </w:pPr>
      <w:r>
        <w:rPr>
          <w:rFonts w:eastAsia="方正仿宋_GBK"/>
          <w:sz w:val="24"/>
        </w:rPr>
        <w:t xml:space="preserve">19.2.1  </w:t>
      </w:r>
      <w:r>
        <w:rPr>
          <w:rFonts w:hint="eastAsia" w:eastAsia="方正仿宋_GBK"/>
          <w:sz w:val="24"/>
        </w:rPr>
        <w:t xml:space="preserve"> </w:t>
      </w:r>
      <w:r>
        <w:rPr>
          <w:rFonts w:eastAsia="方正仿宋_GBK"/>
          <w:sz w:val="24"/>
        </w:rPr>
        <w:t>不良信用记录指：</w:t>
      </w:r>
      <w:r>
        <w:rPr>
          <w:rFonts w:eastAsia="方正仿宋_GBK"/>
          <w:color w:val="000000" w:themeColor="text1"/>
          <w:sz w:val="24"/>
          <w14:textFill>
            <w14:solidFill>
              <w14:schemeClr w14:val="tx1"/>
            </w14:solidFill>
          </w14:textFill>
        </w:rPr>
        <w:t>根据《财政部关于在政府采购活动中查询及使用信用记录有关问题的通知》（财库﹝2016﹞125号）的要求，凡拟参加本次招标项目的供应商，如在“信用中国”网站（www.creditchina.gov.cn） 被列入失信被执行人、重大税收违法失信主体名单(信用服务-重点领域严重失信主体名单查询-搜索栏输入单位全称)、中国政府采购网（http://www.ccgp.gov.cn/search/cr/）政府采购严重违法失信行为信息记录名单的（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p w14:paraId="7CD305B6">
      <w:pPr>
        <w:pStyle w:val="2"/>
        <w:snapToGrid w:val="0"/>
        <w:spacing w:line="380" w:lineRule="exact"/>
        <w:ind w:left="1087" w:hanging="1087" w:hangingChars="453"/>
        <w:jc w:val="both"/>
        <w:textAlignment w:val="baseline"/>
        <w:rPr>
          <w:rFonts w:ascii="Times New Roman" w:eastAsia="方正仿宋_GBK"/>
          <w:szCs w:val="24"/>
        </w:rPr>
      </w:pPr>
      <w:r>
        <w:rPr>
          <w:rFonts w:ascii="Times New Roman" w:eastAsia="方正仿宋_GBK"/>
          <w:szCs w:val="24"/>
        </w:rPr>
        <w:t xml:space="preserve">19.2.2  </w:t>
      </w:r>
      <w:r>
        <w:rPr>
          <w:rFonts w:hint="eastAsia" w:ascii="Times New Roman" w:eastAsia="方正仿宋_GBK"/>
          <w:szCs w:val="24"/>
        </w:rPr>
        <w:t xml:space="preserve"> </w:t>
      </w:r>
      <w:r>
        <w:rPr>
          <w:rFonts w:ascii="Times New Roman" w:eastAsia="方正仿宋_GBK"/>
          <w:szCs w:val="24"/>
        </w:rPr>
        <w:t>查询及记录方式：采购人或采购代理机构经办人将查询结果签字存档。供应商不良信用记录以采购人或采购代理机构查询结果为准。在本磋商文件规定的查询时间之后，网站信息发生的任何变更均不再作为评标依据。</w:t>
      </w:r>
    </w:p>
    <w:p w14:paraId="79D87107">
      <w:pPr>
        <w:pStyle w:val="2"/>
        <w:snapToGrid w:val="0"/>
        <w:spacing w:line="380" w:lineRule="exact"/>
        <w:ind w:left="957" w:leftChars="456" w:firstLine="0"/>
        <w:jc w:val="both"/>
        <w:textAlignment w:val="baseline"/>
        <w:rPr>
          <w:rFonts w:ascii="Times New Roman" w:eastAsia="方正仿宋_GBK"/>
          <w:szCs w:val="24"/>
        </w:rPr>
      </w:pPr>
      <w:r>
        <w:rPr>
          <w:rFonts w:ascii="Times New Roman" w:eastAsia="方正仿宋_GBK"/>
          <w:szCs w:val="24"/>
        </w:rPr>
        <w:t>供应商自行提供的与网站信息不一致的其他证明材料亦不作为资格审查依据。</w:t>
      </w:r>
      <w:bookmarkStart w:id="303" w:name="_Toc1211"/>
      <w:bookmarkStart w:id="304" w:name="_Toc22125"/>
    </w:p>
    <w:p w14:paraId="42E01C2D">
      <w:pPr>
        <w:pStyle w:val="2"/>
        <w:snapToGrid w:val="0"/>
        <w:spacing w:line="380" w:lineRule="exact"/>
        <w:ind w:firstLine="0"/>
        <w:jc w:val="both"/>
        <w:textAlignment w:val="baseline"/>
        <w:rPr>
          <w:rFonts w:ascii="Times New Roman" w:eastAsia="方正仿宋_GBK"/>
          <w:szCs w:val="24"/>
        </w:rPr>
      </w:pPr>
      <w:r>
        <w:rPr>
          <w:rFonts w:ascii="Times New Roman" w:eastAsia="方正仿宋_GBK"/>
          <w:bCs/>
          <w:szCs w:val="24"/>
        </w:rPr>
        <w:t xml:space="preserve">19.3 </w:t>
      </w:r>
      <w:r>
        <w:rPr>
          <w:rFonts w:ascii="Times New Roman" w:eastAsia="方正仿宋_GBK"/>
          <w:szCs w:val="24"/>
        </w:rPr>
        <w:t xml:space="preserve">   成立磋商小组</w:t>
      </w:r>
      <w:bookmarkEnd w:id="303"/>
      <w:bookmarkStart w:id="305" w:name="_Toc29717"/>
    </w:p>
    <w:p w14:paraId="698AEAEA">
      <w:pPr>
        <w:pStyle w:val="2"/>
        <w:snapToGrid w:val="0"/>
        <w:spacing w:line="380" w:lineRule="exact"/>
        <w:ind w:left="960" w:hanging="960" w:hangingChars="400"/>
        <w:jc w:val="both"/>
        <w:textAlignment w:val="baseline"/>
        <w:rPr>
          <w:rFonts w:ascii="Times New Roman" w:eastAsia="方正仿宋_GBK"/>
          <w:szCs w:val="24"/>
        </w:rPr>
      </w:pPr>
      <w:r>
        <w:rPr>
          <w:rFonts w:ascii="Times New Roman" w:eastAsia="方正仿宋_GBK"/>
          <w:szCs w:val="24"/>
        </w:rPr>
        <w:t xml:space="preserve">19.3.1  </w:t>
      </w:r>
      <w:r>
        <w:rPr>
          <w:rFonts w:hint="eastAsia" w:ascii="Times New Roman" w:eastAsia="方正仿宋_GBK"/>
          <w:szCs w:val="24"/>
        </w:rPr>
        <w:t xml:space="preserve"> </w:t>
      </w:r>
      <w:r>
        <w:rPr>
          <w:rFonts w:ascii="Times New Roman" w:eastAsia="方正仿宋_GBK"/>
          <w:szCs w:val="24"/>
        </w:rPr>
        <w:t>按照财库〔2014〕214号《政府采购竞争性磋商采购方式管理暂行办法》的有关规定依法成立竞争性磋商小组，负责本项目评审工作。</w:t>
      </w:r>
      <w:bookmarkEnd w:id="304"/>
      <w:bookmarkEnd w:id="305"/>
      <w:bookmarkStart w:id="306" w:name="_Toc18712"/>
      <w:bookmarkStart w:id="307" w:name="_Toc520356166"/>
      <w:bookmarkStart w:id="308" w:name="_Toc15335"/>
      <w:bookmarkStart w:id="309" w:name="_Toc17520"/>
      <w:bookmarkStart w:id="310" w:name="_Toc27625"/>
      <w:bookmarkStart w:id="311" w:name="_Toc515647781"/>
      <w:bookmarkStart w:id="312" w:name="_Toc29043"/>
      <w:bookmarkStart w:id="313" w:name="_Toc22740"/>
      <w:bookmarkStart w:id="314" w:name="_Toc7742"/>
      <w:bookmarkStart w:id="315" w:name="_Toc656"/>
      <w:bookmarkStart w:id="316" w:name="_Toc28479"/>
      <w:bookmarkStart w:id="317" w:name="_Toc17557"/>
      <w:bookmarkStart w:id="318" w:name="_Toc19949"/>
      <w:bookmarkStart w:id="319" w:name="_Toc29938"/>
    </w:p>
    <w:p w14:paraId="1859D4AE">
      <w:pPr>
        <w:pStyle w:val="2"/>
        <w:snapToGrid w:val="0"/>
        <w:spacing w:line="380" w:lineRule="exact"/>
        <w:ind w:left="960" w:hanging="960" w:hangingChars="400"/>
        <w:jc w:val="both"/>
        <w:textAlignment w:val="baseline"/>
        <w:rPr>
          <w:rFonts w:ascii="Times New Roman" w:eastAsia="方正仿宋_GBK"/>
          <w:szCs w:val="24"/>
        </w:rPr>
      </w:pPr>
      <w:r>
        <w:rPr>
          <w:rFonts w:ascii="Times New Roman" w:eastAsia="方正仿宋_GBK"/>
          <w:szCs w:val="24"/>
        </w:rPr>
        <w:t xml:space="preserve">19.3.2  </w:t>
      </w:r>
      <w:r>
        <w:rPr>
          <w:rFonts w:hint="eastAsia" w:ascii="Times New Roman" w:eastAsia="方正仿宋_GBK"/>
          <w:szCs w:val="24"/>
        </w:rPr>
        <w:t xml:space="preserve"> </w:t>
      </w:r>
      <w:r>
        <w:rPr>
          <w:rFonts w:ascii="Times New Roman" w:eastAsia="方正仿宋_GBK"/>
          <w:szCs w:val="24"/>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bookmarkEnd w:id="306"/>
      <w:bookmarkStart w:id="320" w:name="_Toc5771"/>
    </w:p>
    <w:p w14:paraId="392B3E14">
      <w:pPr>
        <w:pStyle w:val="2"/>
        <w:snapToGrid w:val="0"/>
        <w:spacing w:line="380" w:lineRule="exact"/>
        <w:ind w:left="960" w:hanging="960" w:hangingChars="400"/>
        <w:jc w:val="both"/>
        <w:textAlignment w:val="baseline"/>
        <w:rPr>
          <w:rFonts w:ascii="Times New Roman" w:eastAsia="方正仿宋_GBK"/>
          <w:b/>
          <w:bCs/>
          <w:szCs w:val="24"/>
          <w:u w:val="single"/>
        </w:rPr>
      </w:pPr>
      <w:r>
        <w:rPr>
          <w:rFonts w:ascii="Times New Roman" w:eastAsia="方正仿宋_GBK"/>
          <w:szCs w:val="24"/>
        </w:rPr>
        <w:t xml:space="preserve">19.3.3  </w:t>
      </w:r>
      <w:r>
        <w:rPr>
          <w:rFonts w:hint="eastAsia" w:ascii="Times New Roman" w:eastAsia="方正仿宋_GBK"/>
          <w:szCs w:val="24"/>
        </w:rPr>
        <w:t xml:space="preserve"> </w:t>
      </w:r>
      <w:r>
        <w:rPr>
          <w:rFonts w:ascii="Times New Roman" w:eastAsia="方正仿宋_GBK"/>
          <w:szCs w:val="24"/>
        </w:rPr>
        <w:t>采用竞争性磋商方式的政府采购项目，评审专家应当从政府采购评审专家库内相关专业的专家名单中随机抽取。</w:t>
      </w:r>
      <w:bookmarkEnd w:id="320"/>
      <w:bookmarkStart w:id="321" w:name="_Toc26544"/>
      <w:r>
        <w:rPr>
          <w:rFonts w:ascii="Times New Roman" w:eastAsia="方正仿宋_GBK"/>
          <w:b/>
          <w:bCs/>
          <w:szCs w:val="24"/>
          <w:u w:val="single"/>
        </w:rPr>
        <w:t>本项目采用的招标方式：竞争性磋商。评分方法：综合评分法。本项目磋商小组成员3名（2名评审专家，1名采购人代表）。</w:t>
      </w:r>
      <w:bookmarkEnd w:id="321"/>
    </w:p>
    <w:p w14:paraId="20321B48">
      <w:pPr>
        <w:pStyle w:val="6"/>
        <w:snapToGrid w:val="0"/>
        <w:spacing w:before="0" w:after="0" w:line="380" w:lineRule="exact"/>
        <w:ind w:left="960" w:hanging="960" w:hangingChars="400"/>
        <w:textAlignment w:val="baseline"/>
        <w:rPr>
          <w:rFonts w:ascii="Times New Roman" w:eastAsia="方正仿宋_GBK"/>
          <w:b w:val="0"/>
          <w:bCs/>
          <w:szCs w:val="24"/>
          <w:u w:val="none"/>
          <w:bdr w:val="single" w:color="auto" w:sz="4" w:space="0"/>
        </w:rPr>
      </w:pPr>
      <w:bookmarkStart w:id="322" w:name="_Toc10996"/>
      <w:r>
        <w:rPr>
          <w:rFonts w:ascii="Times New Roman" w:eastAsia="方正仿宋_GBK"/>
          <w:szCs w:val="24"/>
          <w:u w:val="none"/>
        </w:rPr>
        <w:t>20.</w:t>
      </w:r>
      <w:bookmarkEnd w:id="307"/>
      <w:r>
        <w:rPr>
          <w:rFonts w:ascii="Times New Roman" w:eastAsia="方正仿宋_GBK"/>
          <w:szCs w:val="24"/>
          <w:u w:val="none"/>
        </w:rPr>
        <w:t>响应文件符合性审查与澄清</w:t>
      </w:r>
      <w:bookmarkEnd w:id="308"/>
      <w:bookmarkEnd w:id="309"/>
      <w:bookmarkEnd w:id="310"/>
      <w:bookmarkEnd w:id="311"/>
      <w:bookmarkEnd w:id="312"/>
      <w:bookmarkEnd w:id="313"/>
      <w:bookmarkEnd w:id="314"/>
      <w:bookmarkEnd w:id="315"/>
      <w:bookmarkEnd w:id="316"/>
      <w:bookmarkEnd w:id="317"/>
      <w:bookmarkEnd w:id="318"/>
      <w:bookmarkEnd w:id="319"/>
      <w:bookmarkEnd w:id="322"/>
    </w:p>
    <w:p w14:paraId="7E040A17">
      <w:pPr>
        <w:snapToGrid w:val="0"/>
        <w:spacing w:line="380" w:lineRule="exact"/>
        <w:ind w:left="900" w:hanging="900" w:hangingChars="375"/>
        <w:textAlignment w:val="baseline"/>
        <w:rPr>
          <w:rFonts w:eastAsia="方正仿宋_GBK"/>
          <w:sz w:val="24"/>
        </w:rPr>
      </w:pPr>
      <w:r>
        <w:rPr>
          <w:rFonts w:eastAsia="方正仿宋_GBK"/>
          <w:sz w:val="24"/>
        </w:rPr>
        <w:t xml:space="preserve">20.1   </w:t>
      </w:r>
      <w:r>
        <w:rPr>
          <w:rFonts w:hint="eastAsia" w:eastAsia="方正仿宋_GBK"/>
          <w:sz w:val="24"/>
        </w:rPr>
        <w:t xml:space="preserve"> </w:t>
      </w:r>
      <w:r>
        <w:rPr>
          <w:rFonts w:eastAsia="方正仿宋_GBK"/>
          <w:sz w:val="24"/>
        </w:rPr>
        <w:t>符合性审查是指依据磋商文件的规定，从响应文件的有效性和完整性对磋商文件的响应程度进行审查，以确定是否对磋商文件的实质性要求做出响应。</w:t>
      </w:r>
      <w:bookmarkStart w:id="323" w:name="_Hlt522424701"/>
      <w:bookmarkEnd w:id="323"/>
      <w:bookmarkStart w:id="324" w:name="_Toc520356167"/>
    </w:p>
    <w:p w14:paraId="795D3D19">
      <w:pPr>
        <w:snapToGrid w:val="0"/>
        <w:spacing w:line="380" w:lineRule="exact"/>
        <w:ind w:left="900" w:hanging="900" w:hangingChars="375"/>
        <w:textAlignment w:val="baseline"/>
        <w:rPr>
          <w:rFonts w:eastAsia="方正仿宋_GBK"/>
          <w:sz w:val="24"/>
        </w:rPr>
      </w:pPr>
      <w:r>
        <w:rPr>
          <w:rFonts w:eastAsia="方正仿宋_GBK"/>
          <w:sz w:val="24"/>
        </w:rPr>
        <w:t>20.2</w:t>
      </w:r>
      <w:r>
        <w:rPr>
          <w:rFonts w:eastAsia="方正仿宋_GBK"/>
          <w:sz w:val="24"/>
        </w:rPr>
        <w:tab/>
      </w:r>
      <w:r>
        <w:rPr>
          <w:rFonts w:eastAsia="方正仿宋_GBK"/>
          <w:sz w:val="24"/>
        </w:rPr>
        <w:t>响应文件的澄清</w:t>
      </w:r>
    </w:p>
    <w:p w14:paraId="0900F2F7">
      <w:pPr>
        <w:snapToGrid w:val="0"/>
        <w:spacing w:line="380" w:lineRule="exact"/>
        <w:ind w:left="900" w:hanging="900" w:hangingChars="375"/>
        <w:textAlignment w:val="baseline"/>
        <w:rPr>
          <w:rFonts w:eastAsia="方正仿宋_GBK"/>
          <w:sz w:val="24"/>
        </w:rPr>
      </w:pPr>
      <w:r>
        <w:rPr>
          <w:rFonts w:eastAsia="方正仿宋_GBK"/>
          <w:sz w:val="24"/>
        </w:rPr>
        <w:t>20.2.1  在评标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14:paraId="54679CD0">
      <w:pPr>
        <w:snapToGrid w:val="0"/>
        <w:spacing w:line="380" w:lineRule="exact"/>
        <w:ind w:left="900" w:hanging="900" w:hangingChars="375"/>
        <w:textAlignment w:val="baseline"/>
        <w:rPr>
          <w:rFonts w:eastAsia="方正仿宋_GBK"/>
          <w:sz w:val="24"/>
        </w:rPr>
      </w:pPr>
      <w:r>
        <w:rPr>
          <w:rFonts w:eastAsia="方正仿宋_GBK"/>
          <w:sz w:val="24"/>
        </w:rPr>
        <w:t>20.2.2  供应商的的澄清、说明或补正将作为响应文件的一部分。</w:t>
      </w:r>
    </w:p>
    <w:p w14:paraId="2E08C3BB">
      <w:pPr>
        <w:snapToGrid w:val="0"/>
        <w:spacing w:line="380" w:lineRule="exact"/>
        <w:ind w:left="900" w:hanging="900" w:hangingChars="375"/>
        <w:textAlignment w:val="baseline"/>
        <w:rPr>
          <w:rFonts w:eastAsia="方正仿宋_GBK"/>
          <w:sz w:val="24"/>
        </w:rPr>
      </w:pPr>
      <w:r>
        <w:rPr>
          <w:rFonts w:eastAsia="方正仿宋_GBK"/>
          <w:sz w:val="24"/>
        </w:rPr>
        <w:t xml:space="preserve">20.3   </w:t>
      </w:r>
      <w:r>
        <w:rPr>
          <w:rFonts w:hint="eastAsia" w:eastAsia="方正仿宋_GBK"/>
          <w:sz w:val="24"/>
        </w:rPr>
        <w:t xml:space="preserve"> </w:t>
      </w:r>
      <w:r>
        <w:rPr>
          <w:rFonts w:eastAsia="方正仿宋_GBK"/>
          <w:sz w:val="24"/>
        </w:rPr>
        <w:t>投标文件报价出现前后不一致的，按照下列规定修正：</w:t>
      </w:r>
    </w:p>
    <w:p w14:paraId="28136F74">
      <w:pPr>
        <w:snapToGrid w:val="0"/>
        <w:spacing w:line="380" w:lineRule="exact"/>
        <w:ind w:left="1020" w:hanging="1020" w:hangingChars="425"/>
        <w:textAlignment w:val="baseline"/>
        <w:rPr>
          <w:rFonts w:eastAsia="方正仿宋_GBK"/>
          <w:sz w:val="24"/>
        </w:rPr>
      </w:pPr>
      <w:r>
        <w:rPr>
          <w:rFonts w:eastAsia="方正仿宋_GBK"/>
          <w:sz w:val="24"/>
        </w:rPr>
        <w:t>　　   （一）投标文件中开标一览表（报价表）内容与投标文件中相应内容不一致的，以开标一览表（报价表）为准；</w:t>
      </w:r>
    </w:p>
    <w:p w14:paraId="66C6895F">
      <w:pPr>
        <w:snapToGrid w:val="0"/>
        <w:spacing w:line="380" w:lineRule="exact"/>
        <w:ind w:left="900" w:hanging="900" w:hangingChars="375"/>
        <w:textAlignment w:val="baseline"/>
        <w:rPr>
          <w:rFonts w:eastAsia="方正仿宋_GBK"/>
          <w:sz w:val="24"/>
        </w:rPr>
      </w:pPr>
      <w:r>
        <w:rPr>
          <w:rFonts w:eastAsia="方正仿宋_GBK"/>
          <w:sz w:val="24"/>
        </w:rPr>
        <w:t>　　   （二）大写金额和小写金额不一致的，以大写金额为准；</w:t>
      </w:r>
    </w:p>
    <w:p w14:paraId="70DD9202">
      <w:pPr>
        <w:snapToGrid w:val="0"/>
        <w:spacing w:line="380" w:lineRule="exact"/>
        <w:ind w:left="1020" w:hanging="1020" w:hangingChars="425"/>
        <w:textAlignment w:val="baseline"/>
        <w:rPr>
          <w:rFonts w:eastAsia="方正仿宋_GBK"/>
          <w:sz w:val="24"/>
        </w:rPr>
      </w:pPr>
      <w:r>
        <w:rPr>
          <w:rFonts w:eastAsia="方正仿宋_GBK"/>
          <w:sz w:val="24"/>
        </w:rPr>
        <w:t>　   　（三）单价金额小数点或者百分比有明显错位的，以开标一览表的总价为准，并修改单价；</w:t>
      </w:r>
    </w:p>
    <w:p w14:paraId="2F0B7765">
      <w:pPr>
        <w:snapToGrid w:val="0"/>
        <w:spacing w:line="380" w:lineRule="exact"/>
        <w:ind w:left="900" w:hanging="900" w:hangingChars="375"/>
        <w:textAlignment w:val="baseline"/>
        <w:rPr>
          <w:rFonts w:eastAsia="方正仿宋_GBK"/>
          <w:sz w:val="24"/>
        </w:rPr>
      </w:pPr>
      <w:r>
        <w:rPr>
          <w:rFonts w:eastAsia="方正仿宋_GBK"/>
          <w:sz w:val="24"/>
        </w:rPr>
        <w:t>　   　（四）总价金额与按单价汇总金额不一致的，以单价金额计算结果为准。</w:t>
      </w:r>
    </w:p>
    <w:p w14:paraId="77D206FB">
      <w:pPr>
        <w:snapToGrid w:val="0"/>
        <w:spacing w:line="380" w:lineRule="exact"/>
        <w:ind w:left="900" w:hanging="900" w:hangingChars="375"/>
        <w:textAlignment w:val="baseline"/>
        <w:rPr>
          <w:rFonts w:eastAsia="方正仿宋_GBK"/>
          <w:sz w:val="24"/>
        </w:rPr>
      </w:pPr>
      <w:r>
        <w:rPr>
          <w:rFonts w:eastAsia="方正仿宋_GBK"/>
          <w:sz w:val="24"/>
        </w:rPr>
        <w:t>　　    同时出现两种以上不一致的，按照前款规定的顺序修正。修正后的报价按照第20.2条的规定经供应商确认后产生约束力，供应商不确认的，其响应将被认定为</w:t>
      </w:r>
      <w:r>
        <w:rPr>
          <w:rFonts w:eastAsia="方正仿宋_GBK"/>
          <w:b/>
          <w:bCs/>
          <w:sz w:val="24"/>
        </w:rPr>
        <w:t>响应无效</w:t>
      </w:r>
      <w:r>
        <w:rPr>
          <w:rFonts w:eastAsia="方正仿宋_GBK"/>
          <w:sz w:val="24"/>
        </w:rPr>
        <w:t>。对不同文字文本响应文件的解释发生异议的，以中文文本为准。</w:t>
      </w:r>
    </w:p>
    <w:p w14:paraId="39C8DDDB">
      <w:pPr>
        <w:pStyle w:val="6"/>
        <w:snapToGrid w:val="0"/>
        <w:spacing w:before="0" w:after="0" w:line="380" w:lineRule="exact"/>
        <w:textAlignment w:val="baseline"/>
        <w:rPr>
          <w:rFonts w:ascii="Times New Roman" w:eastAsia="方正仿宋_GBK"/>
          <w:szCs w:val="24"/>
          <w:u w:val="none"/>
        </w:rPr>
      </w:pPr>
      <w:bookmarkStart w:id="325" w:name="_Toc6695"/>
      <w:bookmarkStart w:id="326" w:name="_Toc1939"/>
      <w:bookmarkStart w:id="327" w:name="_Toc18222"/>
      <w:bookmarkStart w:id="328" w:name="_Toc6364"/>
      <w:bookmarkStart w:id="329" w:name="_Toc27164"/>
      <w:bookmarkStart w:id="330" w:name="_Toc28934"/>
      <w:bookmarkStart w:id="331" w:name="_Toc21375"/>
      <w:bookmarkStart w:id="332" w:name="_Toc30430"/>
      <w:bookmarkStart w:id="333" w:name="_Toc14136"/>
      <w:bookmarkStart w:id="334" w:name="_Toc12340"/>
      <w:bookmarkStart w:id="335" w:name="_Toc515647782"/>
      <w:bookmarkStart w:id="336" w:name="_Toc29782"/>
      <w:bookmarkStart w:id="337" w:name="_Toc9469"/>
      <w:r>
        <w:rPr>
          <w:rFonts w:ascii="Times New Roman" w:eastAsia="方正仿宋_GBK"/>
          <w:szCs w:val="24"/>
          <w:u w:val="none"/>
        </w:rPr>
        <w:t>21.响应偏离</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6AA77588">
      <w:pPr>
        <w:snapToGrid w:val="0"/>
        <w:spacing w:line="380" w:lineRule="exact"/>
        <w:ind w:left="881" w:hanging="880" w:hangingChars="367"/>
        <w:textAlignment w:val="baseline"/>
        <w:rPr>
          <w:rFonts w:eastAsia="方正仿宋_GBK"/>
          <w:color w:val="FF0000"/>
          <w:sz w:val="24"/>
          <w:highlight w:val="yellow"/>
        </w:rPr>
      </w:pPr>
      <w:r>
        <w:rPr>
          <w:rFonts w:eastAsia="方正仿宋_GBK"/>
          <w:sz w:val="24"/>
        </w:rPr>
        <w:t xml:space="preserve">      </w:t>
      </w:r>
      <w:bookmarkStart w:id="338" w:name="bookmark28"/>
      <w:bookmarkEnd w:id="338"/>
      <w:r>
        <w:rPr>
          <w:rFonts w:eastAsia="方正仿宋_GBK"/>
          <w:sz w:val="24"/>
        </w:rPr>
        <w:t xml:space="preserve"> 磋商小组可以接受响应文件中不构成实质性偏离的不正规或不一致。</w:t>
      </w:r>
    </w:p>
    <w:p w14:paraId="2D239A31">
      <w:pPr>
        <w:pStyle w:val="6"/>
        <w:snapToGrid w:val="0"/>
        <w:spacing w:before="0" w:after="0" w:line="380" w:lineRule="exact"/>
        <w:textAlignment w:val="baseline"/>
        <w:rPr>
          <w:rFonts w:ascii="Times New Roman" w:eastAsia="方正仿宋_GBK"/>
          <w:szCs w:val="24"/>
          <w:u w:val="none"/>
        </w:rPr>
      </w:pPr>
      <w:bookmarkStart w:id="339" w:name="_Toc515647783"/>
      <w:bookmarkStart w:id="340" w:name="_Toc4950"/>
      <w:bookmarkStart w:id="341" w:name="_Toc13775"/>
      <w:bookmarkStart w:id="342" w:name="_Toc16242"/>
      <w:bookmarkStart w:id="343" w:name="_Toc27546"/>
      <w:bookmarkStart w:id="344" w:name="_Toc2275"/>
      <w:bookmarkStart w:id="345" w:name="_Toc9173"/>
      <w:bookmarkStart w:id="346" w:name="_Toc31191"/>
      <w:bookmarkStart w:id="347" w:name="_Toc21604"/>
      <w:bookmarkStart w:id="348" w:name="_Toc30267"/>
      <w:bookmarkStart w:id="349" w:name="_Toc6092"/>
      <w:bookmarkStart w:id="350" w:name="_Toc23480"/>
      <w:bookmarkStart w:id="351" w:name="_Toc108"/>
      <w:r>
        <w:rPr>
          <w:rFonts w:ascii="Times New Roman" w:eastAsia="方正仿宋_GBK"/>
          <w:szCs w:val="24"/>
          <w:u w:val="none"/>
        </w:rPr>
        <w:t>22.</w:t>
      </w:r>
      <w:bookmarkEnd w:id="339"/>
      <w:r>
        <w:rPr>
          <w:rFonts w:ascii="Times New Roman" w:eastAsia="方正仿宋_GBK"/>
          <w:szCs w:val="24"/>
          <w:u w:val="none"/>
        </w:rPr>
        <w:t>响应无效</w:t>
      </w:r>
      <w:bookmarkEnd w:id="340"/>
      <w:bookmarkEnd w:id="341"/>
      <w:bookmarkEnd w:id="342"/>
      <w:bookmarkEnd w:id="343"/>
      <w:bookmarkEnd w:id="344"/>
      <w:bookmarkEnd w:id="345"/>
      <w:bookmarkEnd w:id="346"/>
      <w:bookmarkEnd w:id="347"/>
      <w:bookmarkEnd w:id="348"/>
      <w:bookmarkEnd w:id="349"/>
      <w:bookmarkEnd w:id="350"/>
      <w:bookmarkEnd w:id="351"/>
    </w:p>
    <w:p w14:paraId="07694BD6">
      <w:pPr>
        <w:snapToGrid w:val="0"/>
        <w:spacing w:line="380" w:lineRule="exact"/>
        <w:ind w:left="900" w:hanging="900" w:hangingChars="375"/>
        <w:textAlignment w:val="baseline"/>
        <w:rPr>
          <w:rFonts w:eastAsia="方正仿宋_GBK"/>
          <w:sz w:val="24"/>
        </w:rPr>
      </w:pPr>
      <w:r>
        <w:rPr>
          <w:rFonts w:eastAsia="方正仿宋_GBK"/>
          <w:sz w:val="24"/>
        </w:rPr>
        <w:t xml:space="preserve">22.1   </w:t>
      </w:r>
      <w:r>
        <w:rPr>
          <w:rFonts w:hint="eastAsia" w:eastAsia="方正仿宋_GBK"/>
          <w:sz w:val="24"/>
        </w:rPr>
        <w:t xml:space="preserve"> </w:t>
      </w:r>
      <w:r>
        <w:rPr>
          <w:rFonts w:eastAsia="方正仿宋_GBK"/>
          <w:sz w:val="24"/>
        </w:rPr>
        <w:t>在比较与评价之前，根据本须知的规定，磋商小组要审查每份响应文件是否实质上响应了磋商文件的要求。实质上响应的响应文件应该是与磋商文件要求的全部条款、条件和规格相符，没有重大偏离的响应。对关键条款的偏离，将被认定为</w:t>
      </w:r>
      <w:r>
        <w:rPr>
          <w:rFonts w:eastAsia="方正仿宋_GBK"/>
          <w:b/>
          <w:bCs/>
          <w:sz w:val="24"/>
        </w:rPr>
        <w:t>响应无效</w:t>
      </w:r>
      <w:r>
        <w:rPr>
          <w:rFonts w:eastAsia="方正仿宋_GBK"/>
          <w:sz w:val="24"/>
        </w:rPr>
        <w:t>。供应商不得通过修正或撤销不符合要求的偏离，从而使其响应成为实质上响应。</w:t>
      </w:r>
    </w:p>
    <w:p w14:paraId="2B323422">
      <w:pPr>
        <w:snapToGrid w:val="0"/>
        <w:spacing w:line="380" w:lineRule="exact"/>
        <w:ind w:left="957" w:leftChars="456"/>
        <w:textAlignment w:val="baseline"/>
        <w:rPr>
          <w:rFonts w:eastAsia="方正仿宋_GBK"/>
          <w:sz w:val="24"/>
        </w:rPr>
      </w:pPr>
      <w:r>
        <w:rPr>
          <w:rFonts w:eastAsia="方正仿宋_GBK"/>
          <w:sz w:val="24"/>
        </w:rPr>
        <w:t>磋商小组决定磋商的响应性只根据磋商文件要求、响应文件内容及财政主管部门指定相关信息发布媒体。</w:t>
      </w:r>
    </w:p>
    <w:p w14:paraId="58225854">
      <w:pPr>
        <w:snapToGrid w:val="0"/>
        <w:spacing w:line="380" w:lineRule="exact"/>
        <w:ind w:left="900" w:hanging="900" w:hangingChars="375"/>
        <w:textAlignment w:val="baseline"/>
        <w:rPr>
          <w:rFonts w:eastAsia="方正仿宋_GBK"/>
          <w:b/>
          <w:bCs/>
          <w:sz w:val="24"/>
        </w:rPr>
      </w:pPr>
      <w:r>
        <w:rPr>
          <w:rFonts w:eastAsia="方正仿宋_GBK"/>
          <w:sz w:val="24"/>
        </w:rPr>
        <w:t>22.2</w:t>
      </w:r>
      <w:r>
        <w:rPr>
          <w:rFonts w:hint="eastAsia" w:eastAsia="方正仿宋_GBK"/>
          <w:sz w:val="24"/>
        </w:rPr>
        <w:t xml:space="preserve">    </w:t>
      </w:r>
      <w:r>
        <w:rPr>
          <w:rFonts w:eastAsia="方正仿宋_GBK"/>
          <w:b/>
          <w:bCs/>
          <w:sz w:val="24"/>
        </w:rPr>
        <w:t>如发现下列情况之一的，其响应将被认定为响应无效：（以下情形应当在磋商文件中规定，并以醒目的方式标明）</w:t>
      </w:r>
    </w:p>
    <w:p w14:paraId="415ED26D">
      <w:pPr>
        <w:snapToGrid w:val="0"/>
        <w:spacing w:line="380" w:lineRule="exact"/>
        <w:ind w:left="-180" w:firstLine="960" w:firstLineChars="400"/>
        <w:textAlignment w:val="baseline"/>
        <w:rPr>
          <w:rFonts w:eastAsia="方正仿宋_GBK"/>
          <w:b/>
          <w:bCs/>
          <w:sz w:val="24"/>
        </w:rPr>
      </w:pPr>
      <w:r>
        <w:rPr>
          <w:rFonts w:eastAsia="方正仿宋_GBK"/>
          <w:b/>
          <w:bCs/>
          <w:sz w:val="24"/>
        </w:rPr>
        <w:t>（1）未按磋商文件规定的形式和金额提交响应保证金的；</w:t>
      </w:r>
    </w:p>
    <w:p w14:paraId="574FB65E">
      <w:pPr>
        <w:snapToGrid w:val="0"/>
        <w:spacing w:line="380" w:lineRule="exact"/>
        <w:ind w:left="-180" w:firstLine="960" w:firstLineChars="400"/>
        <w:textAlignment w:val="baseline"/>
        <w:rPr>
          <w:rFonts w:eastAsia="方正仿宋_GBK"/>
          <w:b/>
          <w:bCs/>
          <w:sz w:val="24"/>
        </w:rPr>
      </w:pPr>
      <w:r>
        <w:rPr>
          <w:rFonts w:eastAsia="方正仿宋_GBK"/>
          <w:b/>
          <w:bCs/>
          <w:sz w:val="24"/>
        </w:rPr>
        <w:t>（2）未按照磋商文件规定要求签署、盖章的；</w:t>
      </w:r>
    </w:p>
    <w:p w14:paraId="272D7629">
      <w:pPr>
        <w:snapToGrid w:val="0"/>
        <w:spacing w:line="380" w:lineRule="exact"/>
        <w:ind w:left="-180" w:firstLine="960" w:firstLineChars="400"/>
        <w:textAlignment w:val="baseline"/>
        <w:rPr>
          <w:rFonts w:eastAsia="方正仿宋_GBK"/>
          <w:b/>
          <w:bCs/>
          <w:sz w:val="24"/>
        </w:rPr>
      </w:pPr>
      <w:r>
        <w:rPr>
          <w:rFonts w:eastAsia="方正仿宋_GBK"/>
          <w:b/>
          <w:bCs/>
          <w:sz w:val="24"/>
        </w:rPr>
        <w:t>（3）未满足磋商文件中的实质性要求；</w:t>
      </w:r>
    </w:p>
    <w:p w14:paraId="69F860CC">
      <w:pPr>
        <w:snapToGrid w:val="0"/>
        <w:spacing w:line="380" w:lineRule="exact"/>
        <w:ind w:left="-180" w:firstLine="960" w:firstLineChars="400"/>
        <w:textAlignment w:val="baseline"/>
        <w:rPr>
          <w:rFonts w:eastAsia="方正仿宋_GBK"/>
          <w:b/>
          <w:bCs/>
          <w:sz w:val="24"/>
        </w:rPr>
      </w:pPr>
      <w:r>
        <w:rPr>
          <w:rFonts w:eastAsia="方正仿宋_GBK"/>
          <w:b/>
          <w:bCs/>
          <w:sz w:val="24"/>
        </w:rPr>
        <w:t>（4）与其他供应商串通投标，或者与招标人串通投标；</w:t>
      </w:r>
    </w:p>
    <w:p w14:paraId="29FFD9C4">
      <w:pPr>
        <w:snapToGrid w:val="0"/>
        <w:spacing w:line="380" w:lineRule="exact"/>
        <w:ind w:left="-180" w:firstLine="960" w:firstLineChars="400"/>
        <w:textAlignment w:val="baseline"/>
        <w:rPr>
          <w:rFonts w:eastAsia="方正仿宋_GBK"/>
          <w:b/>
          <w:bCs/>
          <w:sz w:val="24"/>
        </w:rPr>
      </w:pPr>
      <w:r>
        <w:rPr>
          <w:rFonts w:eastAsia="方正仿宋_GBK"/>
          <w:b/>
          <w:bCs/>
          <w:sz w:val="24"/>
        </w:rPr>
        <w:t>（5）属于磋商文件规定的其他响应无效情形；</w:t>
      </w:r>
    </w:p>
    <w:p w14:paraId="14F54076">
      <w:pPr>
        <w:snapToGrid w:val="0"/>
        <w:spacing w:line="380" w:lineRule="exact"/>
        <w:ind w:left="1257" w:leftChars="370" w:hanging="480" w:hangingChars="200"/>
        <w:textAlignment w:val="baseline"/>
        <w:rPr>
          <w:rFonts w:eastAsia="方正仿宋_GBK"/>
          <w:b/>
          <w:bCs/>
          <w:sz w:val="24"/>
        </w:rPr>
      </w:pPr>
      <w:r>
        <w:rPr>
          <w:rFonts w:eastAsia="方正仿宋_GBK"/>
          <w:b/>
          <w:bCs/>
          <w:sz w:val="24"/>
        </w:rPr>
        <w:t>（6）磋商小组认为供应商的报价明显低于其他通过符合性检查供应商的报价，有可能影响履约的，且供应商未按照规定证明其报价合理性的；</w:t>
      </w:r>
    </w:p>
    <w:p w14:paraId="3F161AED">
      <w:pPr>
        <w:snapToGrid w:val="0"/>
        <w:spacing w:line="380" w:lineRule="exact"/>
        <w:ind w:firstLine="720" w:firstLineChars="300"/>
        <w:textAlignment w:val="baseline"/>
        <w:rPr>
          <w:rFonts w:eastAsia="方正仿宋_GBK"/>
          <w:b/>
          <w:bCs/>
          <w:sz w:val="24"/>
        </w:rPr>
      </w:pPr>
      <w:r>
        <w:rPr>
          <w:rFonts w:eastAsia="方正仿宋_GBK"/>
          <w:b/>
          <w:bCs/>
          <w:sz w:val="24"/>
        </w:rPr>
        <w:t>（7）响应文件含有采购人不能接受的附加条件的；</w:t>
      </w:r>
    </w:p>
    <w:p w14:paraId="1AD44B7A">
      <w:pPr>
        <w:tabs>
          <w:tab w:val="left" w:pos="0"/>
        </w:tabs>
        <w:snapToGrid w:val="0"/>
        <w:spacing w:line="380" w:lineRule="exact"/>
        <w:ind w:left="-180" w:firstLine="960" w:firstLineChars="400"/>
        <w:textAlignment w:val="baseline"/>
        <w:rPr>
          <w:rFonts w:eastAsia="方正仿宋_GBK"/>
          <w:b/>
          <w:bCs/>
          <w:sz w:val="24"/>
        </w:rPr>
      </w:pPr>
      <w:r>
        <w:rPr>
          <w:rFonts w:eastAsia="方正仿宋_GBK"/>
          <w:b/>
          <w:bCs/>
          <w:sz w:val="24"/>
        </w:rPr>
        <w:t>（8）不符合政府采购法律法规和磋商文件中规定的其他实质性要求的。</w:t>
      </w:r>
    </w:p>
    <w:p w14:paraId="439262F0">
      <w:pPr>
        <w:snapToGrid w:val="0"/>
        <w:spacing w:line="380" w:lineRule="exact"/>
        <w:ind w:left="900" w:hanging="900" w:hangingChars="375"/>
        <w:textAlignment w:val="baseline"/>
        <w:rPr>
          <w:rFonts w:eastAsia="方正仿宋_GBK"/>
          <w:sz w:val="24"/>
        </w:rPr>
      </w:pPr>
      <w:r>
        <w:rPr>
          <w:rFonts w:eastAsia="方正仿宋_GBK"/>
          <w:sz w:val="24"/>
        </w:rPr>
        <w:t>22.3    有下列情形之一的，属于恶意串通，对供应商依照政府采购法第七十七条第一款的规定追究法律责任，对采购人、采购代理机构及其工作人员依照政府采购法第七十二条的规定追究法律责任：</w:t>
      </w:r>
    </w:p>
    <w:p w14:paraId="5C7FD6AD">
      <w:pPr>
        <w:snapToGrid w:val="0"/>
        <w:spacing w:line="380" w:lineRule="exact"/>
        <w:ind w:left="900" w:hanging="900" w:hangingChars="375"/>
        <w:textAlignment w:val="baseline"/>
        <w:rPr>
          <w:rFonts w:eastAsia="方正仿宋_GBK"/>
          <w:sz w:val="24"/>
        </w:rPr>
      </w:pPr>
      <w:r>
        <w:rPr>
          <w:rFonts w:eastAsia="方正仿宋_GBK"/>
          <w:sz w:val="24"/>
        </w:rPr>
        <w:t>　　  </w:t>
      </w:r>
      <w:r>
        <w:rPr>
          <w:rFonts w:hint="eastAsia" w:eastAsia="方正仿宋_GBK"/>
          <w:sz w:val="24"/>
        </w:rPr>
        <w:t xml:space="preserve"> </w:t>
      </w:r>
      <w:r>
        <w:rPr>
          <w:rFonts w:eastAsia="方正仿宋_GBK"/>
          <w:sz w:val="24"/>
        </w:rPr>
        <w:t>（1）供应商直接或者间接从采购人或者采购代理机构处获得其他供应商的相关情况并修改其响应文件或者响应文件；</w:t>
      </w:r>
    </w:p>
    <w:p w14:paraId="1B5A3F7A">
      <w:pPr>
        <w:snapToGrid w:val="0"/>
        <w:spacing w:line="380" w:lineRule="exact"/>
        <w:ind w:left="898" w:leftChars="342" w:hanging="180" w:hangingChars="75"/>
        <w:textAlignment w:val="baseline"/>
        <w:rPr>
          <w:rFonts w:eastAsia="方正仿宋_GBK"/>
          <w:sz w:val="24"/>
        </w:rPr>
      </w:pPr>
      <w:r>
        <w:rPr>
          <w:rFonts w:eastAsia="方正仿宋_GBK"/>
          <w:sz w:val="24"/>
        </w:rPr>
        <w:t>（2）供应商按照采购人或者采购代理机构的授意撤换、修改响应文件或者响应文件；</w:t>
      </w:r>
    </w:p>
    <w:p w14:paraId="3E9F657D">
      <w:pPr>
        <w:snapToGrid w:val="0"/>
        <w:spacing w:line="380" w:lineRule="exact"/>
        <w:ind w:left="900" w:hanging="900" w:hangingChars="375"/>
        <w:textAlignment w:val="baseline"/>
        <w:rPr>
          <w:rFonts w:eastAsia="方正仿宋_GBK"/>
          <w:sz w:val="24"/>
        </w:rPr>
      </w:pPr>
      <w:r>
        <w:rPr>
          <w:rFonts w:eastAsia="方正仿宋_GBK"/>
          <w:sz w:val="24"/>
        </w:rPr>
        <w:t>　　  （3）供应商之间协商报价、技术方案等响应文件或者响应文件的实质性内容；</w:t>
      </w:r>
    </w:p>
    <w:p w14:paraId="63E856F9">
      <w:pPr>
        <w:snapToGrid w:val="0"/>
        <w:spacing w:line="380" w:lineRule="exact"/>
        <w:ind w:left="900" w:hanging="900" w:hangingChars="375"/>
        <w:textAlignment w:val="baseline"/>
        <w:rPr>
          <w:rFonts w:eastAsia="方正仿宋_GBK"/>
          <w:sz w:val="24"/>
        </w:rPr>
      </w:pPr>
      <w:r>
        <w:rPr>
          <w:rFonts w:eastAsia="方正仿宋_GBK"/>
          <w:sz w:val="24"/>
        </w:rPr>
        <w:t>　　  （4）属于同一集团、协会、商会等组织成员的供应商按照该组织要求协同参加政府采购活动；</w:t>
      </w:r>
    </w:p>
    <w:p w14:paraId="10344E68">
      <w:pPr>
        <w:snapToGrid w:val="0"/>
        <w:spacing w:line="380" w:lineRule="exact"/>
        <w:ind w:left="900" w:hanging="900" w:hangingChars="375"/>
        <w:textAlignment w:val="baseline"/>
        <w:rPr>
          <w:rFonts w:eastAsia="方正仿宋_GBK"/>
          <w:sz w:val="24"/>
        </w:rPr>
      </w:pPr>
      <w:r>
        <w:rPr>
          <w:rFonts w:eastAsia="方正仿宋_GBK"/>
          <w:sz w:val="24"/>
        </w:rPr>
        <w:t>　　  （5）供应商之间事先约定由某一特定供应商中标、成交；</w:t>
      </w:r>
    </w:p>
    <w:p w14:paraId="7CECA5EE">
      <w:pPr>
        <w:snapToGrid w:val="0"/>
        <w:spacing w:line="380" w:lineRule="exact"/>
        <w:ind w:left="900" w:hanging="900" w:hangingChars="375"/>
        <w:textAlignment w:val="baseline"/>
        <w:rPr>
          <w:rFonts w:eastAsia="方正仿宋_GBK"/>
          <w:sz w:val="24"/>
        </w:rPr>
      </w:pPr>
      <w:r>
        <w:rPr>
          <w:rFonts w:eastAsia="方正仿宋_GBK"/>
          <w:sz w:val="24"/>
        </w:rPr>
        <w:t>　　  （6）供应商之间商定部分供应商放弃参加政府采购活动或者放弃中标、成交；</w:t>
      </w:r>
    </w:p>
    <w:p w14:paraId="1E65A25F">
      <w:pPr>
        <w:snapToGrid w:val="0"/>
        <w:spacing w:line="380" w:lineRule="exact"/>
        <w:ind w:left="900" w:hanging="900" w:hangingChars="375"/>
        <w:textAlignment w:val="baseline"/>
        <w:rPr>
          <w:rFonts w:eastAsia="方正仿宋_GBK"/>
          <w:sz w:val="24"/>
        </w:rPr>
      </w:pPr>
      <w:r>
        <w:rPr>
          <w:rFonts w:eastAsia="方正仿宋_GBK"/>
          <w:sz w:val="24"/>
        </w:rPr>
        <w:t>　　  （7）供应商与采购人或者采购代理机构之间、供应商相互之间，为谋求特定供应商中标、成交或者排斥其他供应商的其他串通行为。</w:t>
      </w:r>
    </w:p>
    <w:p w14:paraId="3D6BEAAC">
      <w:pPr>
        <w:pStyle w:val="6"/>
        <w:snapToGrid w:val="0"/>
        <w:spacing w:before="0" w:after="0" w:line="380" w:lineRule="exact"/>
        <w:textAlignment w:val="baseline"/>
        <w:rPr>
          <w:rFonts w:ascii="Times New Roman" w:eastAsia="方正仿宋_GBK"/>
          <w:szCs w:val="24"/>
          <w:u w:val="none"/>
        </w:rPr>
      </w:pPr>
      <w:bookmarkStart w:id="352" w:name="_Toc31440"/>
      <w:bookmarkStart w:id="353" w:name="_Toc21841"/>
      <w:bookmarkStart w:id="354" w:name="_Toc6450"/>
      <w:bookmarkStart w:id="355" w:name="_Toc13652"/>
      <w:bookmarkStart w:id="356" w:name="_Toc11556"/>
      <w:bookmarkStart w:id="357" w:name="_Toc22941"/>
      <w:bookmarkStart w:id="358" w:name="_Toc28827"/>
      <w:bookmarkStart w:id="359" w:name="_Toc5075"/>
      <w:bookmarkStart w:id="360" w:name="_Toc4263"/>
      <w:bookmarkStart w:id="361" w:name="_Toc3834"/>
      <w:bookmarkStart w:id="362" w:name="_Toc30567"/>
      <w:bookmarkStart w:id="363" w:name="_Toc515647784"/>
      <w:bookmarkStart w:id="364" w:name="_Toc22903"/>
      <w:r>
        <w:rPr>
          <w:rFonts w:ascii="Times New Roman" w:eastAsia="方正仿宋_GBK"/>
          <w:szCs w:val="24"/>
          <w:u w:val="none"/>
        </w:rPr>
        <w:t>23.</w:t>
      </w:r>
      <w:bookmarkEnd w:id="324"/>
      <w:r>
        <w:rPr>
          <w:rFonts w:ascii="Times New Roman" w:eastAsia="方正仿宋_GBK"/>
          <w:szCs w:val="24"/>
          <w:u w:val="none"/>
        </w:rPr>
        <w:t>比较与评价</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647FA848">
      <w:pPr>
        <w:snapToGrid w:val="0"/>
        <w:spacing w:line="380" w:lineRule="exact"/>
        <w:ind w:left="957" w:leftChars="456" w:firstLine="60" w:firstLineChars="25"/>
        <w:textAlignment w:val="baseline"/>
        <w:rPr>
          <w:rFonts w:eastAsia="方正仿宋_GBK"/>
          <w:b/>
          <w:bCs/>
          <w:sz w:val="24"/>
          <w:u w:val="single"/>
        </w:rPr>
      </w:pPr>
      <w:r>
        <w:rPr>
          <w:rFonts w:eastAsia="方正仿宋_GBK"/>
          <w:sz w:val="24"/>
        </w:rPr>
        <w:t>评标严格按照磋商文件的要求和条件进行。根据实际情况，在</w:t>
      </w:r>
      <w:r>
        <w:rPr>
          <w:rFonts w:eastAsia="方正仿宋_GBK"/>
          <w:sz w:val="24"/>
          <w:u w:val="single"/>
        </w:rPr>
        <w:t>供应商须知资料表</w:t>
      </w:r>
      <w:r>
        <w:rPr>
          <w:rFonts w:eastAsia="方正仿宋_GBK"/>
          <w:sz w:val="24"/>
        </w:rPr>
        <w:t>中规定采用哪种评标方法。</w:t>
      </w:r>
      <w:r>
        <w:rPr>
          <w:rFonts w:eastAsia="方正仿宋_GBK"/>
          <w:b/>
          <w:bCs/>
          <w:sz w:val="24"/>
          <w:u w:val="single"/>
        </w:rPr>
        <w:t>本项目采用招标方式：竞争性磋商；评审方法：综合评分法。本项目采用政采云线上电子招投标及评标。</w:t>
      </w:r>
    </w:p>
    <w:p w14:paraId="0E3D6BDF">
      <w:pPr>
        <w:snapToGrid w:val="0"/>
        <w:spacing w:line="380" w:lineRule="exact"/>
        <w:ind w:left="957" w:leftChars="456" w:firstLine="60" w:firstLineChars="25"/>
        <w:textAlignment w:val="baseline"/>
        <w:rPr>
          <w:rFonts w:eastAsia="方正仿宋_GBK"/>
          <w:b/>
          <w:bCs/>
          <w:sz w:val="24"/>
        </w:rPr>
      </w:pPr>
      <w:r>
        <w:rPr>
          <w:rFonts w:eastAsia="方正仿宋_GBK"/>
          <w:b/>
          <w:bCs/>
          <w:sz w:val="24"/>
        </w:rPr>
        <w:t>磋商小组应当根据综合评分情况，按照评审得分由高到低顺序推荐3名以上成交候选供应商，并编写评审报告。</w:t>
      </w:r>
    </w:p>
    <w:p w14:paraId="600FBB08">
      <w:pPr>
        <w:snapToGrid w:val="0"/>
        <w:spacing w:line="380" w:lineRule="exact"/>
        <w:ind w:left="957" w:leftChars="456" w:firstLine="60" w:firstLineChars="25"/>
        <w:textAlignment w:val="baseline"/>
        <w:rPr>
          <w:rFonts w:eastAsia="方正仿宋_GBK"/>
          <w:b/>
          <w:bCs/>
          <w:sz w:val="24"/>
        </w:rPr>
      </w:pPr>
      <w:r>
        <w:rPr>
          <w:rFonts w:eastAsia="方正仿宋_GBK"/>
          <w:b/>
          <w:bCs/>
          <w:sz w:val="24"/>
        </w:rPr>
        <w:t>评审得分相同的，按照最后报价由低到高的顺序推荐。评审得分且最后报价相同的，按照技术指标优劣顺序推荐。</w:t>
      </w:r>
    </w:p>
    <w:p w14:paraId="312F8AC2">
      <w:pPr>
        <w:snapToGrid w:val="0"/>
        <w:spacing w:line="380" w:lineRule="exact"/>
        <w:ind w:left="957" w:leftChars="456" w:firstLine="60" w:firstLineChars="25"/>
        <w:textAlignment w:val="baseline"/>
        <w:rPr>
          <w:rFonts w:eastAsia="方正仿宋_GBK"/>
          <w:sz w:val="24"/>
        </w:rPr>
      </w:pPr>
      <w:r>
        <w:rPr>
          <w:rFonts w:eastAsia="方正仿宋_GBK"/>
          <w:sz w:val="24"/>
        </w:rPr>
        <w:t>评审报告应当包括以下主要内容：</w:t>
      </w:r>
    </w:p>
    <w:p w14:paraId="6DF6F5FE">
      <w:pPr>
        <w:snapToGrid w:val="0"/>
        <w:spacing w:line="380" w:lineRule="exact"/>
        <w:ind w:left="1010" w:leftChars="481"/>
        <w:textAlignment w:val="baseline"/>
        <w:rPr>
          <w:rFonts w:eastAsia="方正仿宋_GBK"/>
          <w:sz w:val="24"/>
        </w:rPr>
      </w:pPr>
      <w:r>
        <w:rPr>
          <w:rFonts w:eastAsia="方正仿宋_GBK"/>
          <w:sz w:val="24"/>
        </w:rPr>
        <w:t>（一）邀请供应商参加采购活动的具体方式和相关情况；</w:t>
      </w:r>
    </w:p>
    <w:p w14:paraId="27CB5A5A">
      <w:pPr>
        <w:snapToGrid w:val="0"/>
        <w:spacing w:line="380" w:lineRule="exact"/>
        <w:ind w:left="1010" w:leftChars="481"/>
        <w:textAlignment w:val="baseline"/>
        <w:rPr>
          <w:rFonts w:eastAsia="方正仿宋_GBK"/>
          <w:sz w:val="24"/>
        </w:rPr>
      </w:pPr>
      <w:r>
        <w:rPr>
          <w:rFonts w:eastAsia="方正仿宋_GBK"/>
          <w:sz w:val="24"/>
        </w:rPr>
        <w:t>（二）响应文件开启日期和地点；</w:t>
      </w:r>
    </w:p>
    <w:p w14:paraId="19D47DB9">
      <w:pPr>
        <w:snapToGrid w:val="0"/>
        <w:spacing w:line="380" w:lineRule="exact"/>
        <w:ind w:left="1010" w:leftChars="481"/>
        <w:textAlignment w:val="baseline"/>
        <w:rPr>
          <w:rFonts w:eastAsia="方正仿宋_GBK"/>
          <w:sz w:val="24"/>
        </w:rPr>
      </w:pPr>
      <w:r>
        <w:rPr>
          <w:rFonts w:eastAsia="方正仿宋_GBK"/>
          <w:sz w:val="24"/>
        </w:rPr>
        <w:t>（三）获取磋商文件的供应商名单和磋商小组成员名单；</w:t>
      </w:r>
    </w:p>
    <w:p w14:paraId="7F10BD1F">
      <w:pPr>
        <w:snapToGrid w:val="0"/>
        <w:spacing w:line="380" w:lineRule="exact"/>
        <w:ind w:left="1010" w:leftChars="481"/>
        <w:textAlignment w:val="baseline"/>
        <w:rPr>
          <w:rFonts w:eastAsia="方正仿宋_GBK"/>
          <w:sz w:val="24"/>
        </w:rPr>
      </w:pPr>
      <w:r>
        <w:rPr>
          <w:rFonts w:eastAsia="方正仿宋_GBK"/>
          <w:sz w:val="24"/>
        </w:rPr>
        <w:t>（四）评审情况记录和说明，包括对供应商的资格审查情况、供应商响应文件评审情况、磋商情况、报价情况等；</w:t>
      </w:r>
    </w:p>
    <w:p w14:paraId="3999C8ED">
      <w:pPr>
        <w:snapToGrid w:val="0"/>
        <w:spacing w:line="380" w:lineRule="exact"/>
        <w:ind w:left="1010" w:leftChars="481"/>
        <w:textAlignment w:val="baseline"/>
        <w:rPr>
          <w:rFonts w:eastAsia="方正仿宋_GBK"/>
          <w:sz w:val="24"/>
        </w:rPr>
      </w:pPr>
      <w:r>
        <w:rPr>
          <w:rFonts w:eastAsia="方正仿宋_GBK"/>
          <w:sz w:val="24"/>
        </w:rPr>
        <w:t>（五）提出的成交候选供应商的排序名单及理由。</w:t>
      </w:r>
    </w:p>
    <w:p w14:paraId="3ADEFC96">
      <w:pPr>
        <w:snapToGrid w:val="0"/>
        <w:spacing w:line="380" w:lineRule="exact"/>
        <w:ind w:left="1010" w:leftChars="481"/>
        <w:textAlignment w:val="baseline"/>
        <w:rPr>
          <w:rFonts w:eastAsia="方正仿宋_GBK"/>
          <w:sz w:val="24"/>
        </w:rPr>
      </w:pPr>
      <w:r>
        <w:rPr>
          <w:rFonts w:eastAsia="方正仿宋_GBK"/>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9801911">
      <w:pPr>
        <w:pStyle w:val="6"/>
        <w:snapToGrid w:val="0"/>
        <w:spacing w:before="0" w:after="0" w:line="380" w:lineRule="exact"/>
        <w:textAlignment w:val="baseline"/>
        <w:rPr>
          <w:rFonts w:ascii="Times New Roman" w:eastAsia="方正仿宋_GBK"/>
          <w:szCs w:val="24"/>
          <w:u w:val="none"/>
        </w:rPr>
      </w:pPr>
      <w:bookmarkStart w:id="365" w:name="_Toc520356168"/>
      <w:bookmarkStart w:id="366" w:name="_Toc515647785"/>
      <w:bookmarkStart w:id="367" w:name="_Toc2539"/>
      <w:bookmarkStart w:id="368" w:name="_Toc9378"/>
      <w:bookmarkStart w:id="369" w:name="_Toc14935"/>
      <w:bookmarkStart w:id="370" w:name="_Toc20227"/>
      <w:bookmarkStart w:id="371" w:name="_Toc2218"/>
      <w:bookmarkStart w:id="372" w:name="_Toc28843"/>
      <w:bookmarkStart w:id="373" w:name="_Toc28413"/>
      <w:bookmarkStart w:id="374" w:name="_Toc13902"/>
      <w:bookmarkStart w:id="375" w:name="_Toc4586"/>
      <w:bookmarkStart w:id="376" w:name="_Toc6912"/>
      <w:bookmarkStart w:id="377" w:name="_Toc18922"/>
      <w:bookmarkStart w:id="378" w:name="_Toc16201"/>
      <w:r>
        <w:rPr>
          <w:rFonts w:ascii="Times New Roman" w:eastAsia="方正仿宋_GBK"/>
          <w:szCs w:val="24"/>
          <w:u w:val="none"/>
        </w:rPr>
        <w:t>24</w:t>
      </w:r>
      <w:bookmarkEnd w:id="365"/>
      <w:r>
        <w:rPr>
          <w:rFonts w:ascii="Times New Roman" w:eastAsia="方正仿宋_GBK"/>
          <w:szCs w:val="24"/>
          <w:u w:val="none"/>
        </w:rPr>
        <w:t>.废标</w:t>
      </w:r>
      <w:bookmarkEnd w:id="366"/>
      <w:bookmarkEnd w:id="367"/>
      <w:bookmarkEnd w:id="368"/>
      <w:bookmarkEnd w:id="369"/>
      <w:bookmarkEnd w:id="370"/>
      <w:bookmarkEnd w:id="371"/>
      <w:bookmarkEnd w:id="372"/>
      <w:bookmarkEnd w:id="373"/>
      <w:bookmarkEnd w:id="374"/>
      <w:bookmarkEnd w:id="375"/>
      <w:bookmarkEnd w:id="376"/>
      <w:bookmarkEnd w:id="377"/>
      <w:bookmarkEnd w:id="378"/>
    </w:p>
    <w:p w14:paraId="48BD7819">
      <w:pPr>
        <w:snapToGrid w:val="0"/>
        <w:spacing w:line="380" w:lineRule="exact"/>
        <w:ind w:left="239" w:leftChars="114" w:firstLine="660" w:firstLineChars="275"/>
        <w:textAlignment w:val="baseline"/>
        <w:rPr>
          <w:rFonts w:eastAsia="方正仿宋_GBK"/>
          <w:sz w:val="24"/>
        </w:rPr>
      </w:pPr>
      <w:r>
        <w:rPr>
          <w:rFonts w:eastAsia="方正仿宋_GBK"/>
          <w:sz w:val="24"/>
        </w:rPr>
        <w:t xml:space="preserve">出现下列情形之一，将导致项目废标： </w:t>
      </w:r>
    </w:p>
    <w:p w14:paraId="3209B139">
      <w:pPr>
        <w:snapToGrid w:val="0"/>
        <w:spacing w:line="380" w:lineRule="exact"/>
        <w:ind w:left="1197" w:leftChars="456" w:hanging="240" w:hangingChars="100"/>
        <w:textAlignment w:val="baseline"/>
        <w:rPr>
          <w:rFonts w:eastAsia="方正仿宋_GBK"/>
          <w:sz w:val="24"/>
        </w:rPr>
      </w:pPr>
      <w:r>
        <w:rPr>
          <w:rFonts w:eastAsia="方正仿宋_GBK"/>
          <w:sz w:val="24"/>
        </w:rPr>
        <w:t>（1）在采购过程中符合要求的供应商或者报价未超过采购预算的供应商不足3家的；</w:t>
      </w:r>
    </w:p>
    <w:p w14:paraId="55F450C4">
      <w:pPr>
        <w:snapToGrid w:val="0"/>
        <w:spacing w:line="380" w:lineRule="exact"/>
        <w:ind w:left="1197" w:leftChars="456" w:hanging="240" w:hangingChars="100"/>
        <w:textAlignment w:val="baseline"/>
        <w:rPr>
          <w:rFonts w:eastAsia="方正仿宋_GBK"/>
          <w:sz w:val="24"/>
        </w:rPr>
      </w:pPr>
      <w:r>
        <w:rPr>
          <w:rFonts w:eastAsia="方正仿宋_GBK"/>
          <w:sz w:val="24"/>
        </w:rPr>
        <w:t>（2）出现影响采购公正的违法、违规行为的；</w:t>
      </w:r>
    </w:p>
    <w:p w14:paraId="2981DA21">
      <w:pPr>
        <w:snapToGrid w:val="0"/>
        <w:spacing w:line="380" w:lineRule="exact"/>
        <w:ind w:left="1197" w:leftChars="456" w:hanging="240" w:hangingChars="100"/>
        <w:textAlignment w:val="baseline"/>
        <w:rPr>
          <w:rFonts w:eastAsia="方正仿宋_GBK"/>
          <w:sz w:val="24"/>
        </w:rPr>
      </w:pPr>
      <w:r>
        <w:rPr>
          <w:rFonts w:eastAsia="方正仿宋_GBK"/>
          <w:sz w:val="24"/>
        </w:rPr>
        <w:t>（3）因情况变化，不再符合规定的竞争性磋商采购方式适用情形的。</w:t>
      </w:r>
    </w:p>
    <w:p w14:paraId="455AB2C6">
      <w:pPr>
        <w:snapToGrid w:val="0"/>
        <w:spacing w:line="380" w:lineRule="exact"/>
        <w:ind w:left="957" w:leftChars="456"/>
        <w:textAlignment w:val="baseline"/>
        <w:rPr>
          <w:rFonts w:eastAsia="方正仿宋_GBK"/>
          <w:sz w:val="24"/>
        </w:rPr>
      </w:pPr>
      <w:r>
        <w:rPr>
          <w:rFonts w:eastAsia="方正仿宋_GBK"/>
          <w:sz w:val="24"/>
        </w:rPr>
        <w:t>在采购活动中因重大变故，采购任务取消的，采购人或者采购代理机构应当终止采购活动，通知所有参加采购活动的供应商，并将项目实施情况和采购任务取消原因报送本级财政部门。</w:t>
      </w:r>
    </w:p>
    <w:p w14:paraId="076992B8">
      <w:pPr>
        <w:pStyle w:val="6"/>
        <w:snapToGrid w:val="0"/>
        <w:spacing w:before="0" w:after="0" w:line="380" w:lineRule="exact"/>
        <w:textAlignment w:val="baseline"/>
        <w:rPr>
          <w:rFonts w:ascii="Times New Roman" w:eastAsia="方正仿宋_GBK"/>
          <w:szCs w:val="24"/>
          <w:u w:val="none"/>
        </w:rPr>
      </w:pPr>
      <w:bookmarkStart w:id="379" w:name="_Toc4481"/>
      <w:bookmarkStart w:id="380" w:name="_Toc23141"/>
      <w:bookmarkStart w:id="381" w:name="_Toc8176"/>
      <w:bookmarkStart w:id="382" w:name="_Toc15505"/>
      <w:bookmarkStart w:id="383" w:name="_Toc11249"/>
      <w:bookmarkStart w:id="384" w:name="_Toc25920"/>
      <w:bookmarkStart w:id="385" w:name="_Toc31289"/>
      <w:bookmarkStart w:id="386" w:name="_Toc21571"/>
      <w:bookmarkStart w:id="387" w:name="_Toc20205"/>
      <w:bookmarkStart w:id="388" w:name="_Toc24972"/>
      <w:bookmarkStart w:id="389" w:name="_Toc515647786"/>
      <w:bookmarkStart w:id="390" w:name="_Toc27162"/>
      <w:bookmarkStart w:id="391" w:name="_Toc8444"/>
      <w:bookmarkStart w:id="392" w:name="_Toc520356169"/>
      <w:r>
        <w:rPr>
          <w:rFonts w:ascii="Times New Roman" w:eastAsia="方正仿宋_GBK"/>
          <w:szCs w:val="24"/>
          <w:u w:val="none"/>
        </w:rPr>
        <w:t>25.保密原则</w:t>
      </w:r>
      <w:bookmarkEnd w:id="379"/>
      <w:bookmarkEnd w:id="380"/>
      <w:bookmarkEnd w:id="381"/>
      <w:bookmarkEnd w:id="382"/>
      <w:bookmarkEnd w:id="383"/>
      <w:bookmarkEnd w:id="384"/>
      <w:bookmarkEnd w:id="385"/>
      <w:bookmarkEnd w:id="386"/>
      <w:bookmarkEnd w:id="387"/>
      <w:bookmarkEnd w:id="388"/>
      <w:bookmarkEnd w:id="389"/>
      <w:bookmarkEnd w:id="390"/>
      <w:bookmarkEnd w:id="391"/>
    </w:p>
    <w:p w14:paraId="4DFD7B9D">
      <w:pPr>
        <w:snapToGrid w:val="0"/>
        <w:spacing w:line="380" w:lineRule="exact"/>
        <w:ind w:left="900" w:hanging="900" w:hangingChars="375"/>
        <w:textAlignment w:val="baseline"/>
        <w:rPr>
          <w:rFonts w:eastAsia="方正仿宋_GBK"/>
          <w:sz w:val="24"/>
        </w:rPr>
      </w:pPr>
      <w:r>
        <w:rPr>
          <w:rFonts w:eastAsia="方正仿宋_GBK"/>
          <w:sz w:val="24"/>
        </w:rPr>
        <w:t>25.1</w:t>
      </w:r>
      <w:r>
        <w:rPr>
          <w:rFonts w:eastAsia="方正仿宋_GBK"/>
          <w:sz w:val="24"/>
        </w:rPr>
        <w:tab/>
      </w:r>
      <w:r>
        <w:rPr>
          <w:rFonts w:eastAsia="方正仿宋_GBK"/>
          <w:sz w:val="24"/>
        </w:rPr>
        <w:t>磋商将在严格保密的情况下进行。</w:t>
      </w:r>
    </w:p>
    <w:p w14:paraId="3600145E">
      <w:pPr>
        <w:snapToGrid w:val="0"/>
        <w:spacing w:line="380" w:lineRule="exact"/>
        <w:ind w:left="900" w:hanging="900" w:hangingChars="375"/>
        <w:textAlignment w:val="baseline"/>
        <w:rPr>
          <w:rFonts w:eastAsia="方正仿宋_GBK"/>
          <w:sz w:val="24"/>
        </w:rPr>
      </w:pPr>
      <w:r>
        <w:rPr>
          <w:rFonts w:eastAsia="方正仿宋_GBK"/>
          <w:sz w:val="24"/>
        </w:rPr>
        <w:t>25.2</w:t>
      </w:r>
      <w:r>
        <w:rPr>
          <w:rFonts w:eastAsia="方正仿宋_GBK"/>
          <w:sz w:val="24"/>
        </w:rPr>
        <w:tab/>
      </w:r>
      <w:r>
        <w:rPr>
          <w:rFonts w:eastAsia="方正仿宋_GBK"/>
          <w:sz w:val="24"/>
        </w:rPr>
        <w:t>有关人员应当遵守评审工作纪律，不得泄露评审文件、评审情况和从评审中获悉的国家秘密、商业秘密。</w:t>
      </w:r>
    </w:p>
    <w:p w14:paraId="3049434F">
      <w:pPr>
        <w:pStyle w:val="5"/>
        <w:snapToGrid w:val="0"/>
        <w:spacing w:before="0" w:line="380" w:lineRule="exact"/>
        <w:ind w:hanging="540"/>
        <w:textAlignment w:val="baseline"/>
        <w:rPr>
          <w:rFonts w:ascii="微软雅黑" w:hAnsi="微软雅黑" w:eastAsia="微软雅黑" w:cs="微软雅黑"/>
          <w:sz w:val="24"/>
        </w:rPr>
      </w:pPr>
      <w:bookmarkStart w:id="393" w:name="_Toc23904"/>
      <w:bookmarkStart w:id="394" w:name="_Toc31195"/>
      <w:bookmarkStart w:id="395" w:name="_Toc515647787"/>
      <w:bookmarkStart w:id="396" w:name="_Toc12143"/>
      <w:bookmarkStart w:id="397" w:name="_Toc216582810"/>
      <w:bookmarkStart w:id="398" w:name="_Toc27482"/>
    </w:p>
    <w:p w14:paraId="70297266">
      <w:pPr>
        <w:pStyle w:val="5"/>
        <w:snapToGrid w:val="0"/>
        <w:spacing w:before="0" w:line="380" w:lineRule="exact"/>
        <w:ind w:hanging="540"/>
        <w:textAlignment w:val="baseline"/>
        <w:rPr>
          <w:rFonts w:ascii="方正仿宋_GBK" w:hAnsi="方正仿宋_GBK" w:eastAsia="方正仿宋_GBK" w:cs="方正仿宋_GBK"/>
          <w:sz w:val="28"/>
          <w:szCs w:val="28"/>
        </w:rPr>
      </w:pPr>
      <w:bookmarkStart w:id="399" w:name="_Toc13046"/>
      <w:r>
        <w:rPr>
          <w:rFonts w:hint="eastAsia" w:ascii="方正仿宋_GBK" w:hAnsi="方正仿宋_GBK" w:eastAsia="方正仿宋_GBK" w:cs="方正仿宋_GBK"/>
          <w:sz w:val="28"/>
          <w:szCs w:val="28"/>
        </w:rPr>
        <w:t xml:space="preserve">六   </w:t>
      </w:r>
      <w:bookmarkEnd w:id="392"/>
      <w:r>
        <w:rPr>
          <w:rFonts w:hint="eastAsia" w:ascii="方正仿宋_GBK" w:hAnsi="方正仿宋_GBK" w:eastAsia="方正仿宋_GBK" w:cs="方正仿宋_GBK"/>
          <w:sz w:val="28"/>
          <w:szCs w:val="28"/>
        </w:rPr>
        <w:t>确定</w:t>
      </w:r>
      <w:bookmarkEnd w:id="393"/>
      <w:bookmarkEnd w:id="394"/>
      <w:bookmarkEnd w:id="395"/>
      <w:bookmarkEnd w:id="396"/>
      <w:bookmarkEnd w:id="397"/>
      <w:r>
        <w:rPr>
          <w:rFonts w:hint="eastAsia" w:ascii="方正仿宋_GBK" w:hAnsi="方正仿宋_GBK" w:eastAsia="方正仿宋_GBK" w:cs="方正仿宋_GBK"/>
          <w:sz w:val="28"/>
          <w:szCs w:val="28"/>
        </w:rPr>
        <w:t>成交</w:t>
      </w:r>
      <w:bookmarkEnd w:id="398"/>
      <w:bookmarkEnd w:id="399"/>
    </w:p>
    <w:p w14:paraId="07CDE4D4">
      <w:pPr>
        <w:pStyle w:val="2"/>
        <w:snapToGrid w:val="0"/>
        <w:spacing w:line="380" w:lineRule="exact"/>
        <w:ind w:firstLine="0"/>
        <w:textAlignment w:val="baseline"/>
        <w:rPr>
          <w:rFonts w:ascii="微软雅黑" w:hAnsi="微软雅黑" w:eastAsia="微软雅黑" w:cs="微软雅黑"/>
        </w:rPr>
      </w:pPr>
    </w:p>
    <w:p w14:paraId="22F117DF">
      <w:pPr>
        <w:pStyle w:val="6"/>
        <w:snapToGrid w:val="0"/>
        <w:spacing w:before="0" w:after="0" w:line="380" w:lineRule="exact"/>
        <w:textAlignment w:val="baseline"/>
        <w:rPr>
          <w:rFonts w:ascii="Times New Roman" w:eastAsia="方正仿宋_GBK"/>
          <w:szCs w:val="24"/>
          <w:u w:val="none"/>
        </w:rPr>
      </w:pPr>
      <w:bookmarkStart w:id="400" w:name="_Ref467307010"/>
      <w:bookmarkStart w:id="401" w:name="_Toc15848"/>
      <w:bookmarkStart w:id="402" w:name="_Toc10858"/>
      <w:bookmarkStart w:id="403" w:name="_Toc29606"/>
      <w:bookmarkStart w:id="404" w:name="_Toc19391"/>
      <w:bookmarkStart w:id="405" w:name="_Toc7632"/>
      <w:bookmarkStart w:id="406" w:name="_Toc515647788"/>
      <w:bookmarkStart w:id="407" w:name="_Toc20156"/>
      <w:bookmarkStart w:id="408" w:name="_Toc20286"/>
      <w:bookmarkStart w:id="409" w:name="_Toc8936"/>
      <w:bookmarkStart w:id="410" w:name="_Toc4774"/>
      <w:bookmarkStart w:id="411" w:name="_Toc23617"/>
      <w:bookmarkStart w:id="412" w:name="_Toc32341"/>
      <w:bookmarkStart w:id="413" w:name="_Toc23762"/>
      <w:bookmarkStart w:id="414" w:name="_Toc520356170"/>
      <w:r>
        <w:rPr>
          <w:rFonts w:ascii="Times New Roman" w:eastAsia="方正仿宋_GBK"/>
          <w:szCs w:val="24"/>
          <w:u w:val="none"/>
        </w:rPr>
        <w:t>26.成交候选人的确定原则及标准</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176F2D6B">
      <w:pPr>
        <w:snapToGrid w:val="0"/>
        <w:spacing w:line="380" w:lineRule="exact"/>
        <w:ind w:left="957" w:leftChars="456" w:firstLine="60" w:firstLineChars="25"/>
        <w:textAlignment w:val="baseline"/>
        <w:rPr>
          <w:rFonts w:eastAsia="方正仿宋_GBK"/>
          <w:sz w:val="24"/>
        </w:rPr>
      </w:pPr>
      <w:bookmarkStart w:id="415" w:name="_Toc520356171"/>
      <w:bookmarkStart w:id="416" w:name="_Toc1227"/>
      <w:bookmarkStart w:id="417" w:name="_Toc515647789"/>
      <w:bookmarkStart w:id="418" w:name="_Toc24948"/>
      <w:bookmarkStart w:id="419" w:name="_Toc1644"/>
      <w:bookmarkStart w:id="420" w:name="_Toc14558"/>
      <w:bookmarkStart w:id="421" w:name="_Toc17164"/>
      <w:bookmarkStart w:id="422" w:name="_Toc16846"/>
      <w:bookmarkStart w:id="423" w:name="_Toc17933"/>
      <w:bookmarkStart w:id="424" w:name="_Toc9653"/>
      <w:bookmarkStart w:id="425" w:name="_Toc23951"/>
      <w:bookmarkStart w:id="426" w:name="_Toc5598"/>
      <w:bookmarkStart w:id="427" w:name="_Toc3720"/>
      <w:r>
        <w:rPr>
          <w:rFonts w:eastAsia="方正仿宋_GBK"/>
          <w:sz w:val="24"/>
        </w:rPr>
        <w:t>除磋商小组受采购人委托直接确定成交供应商的情形外，磋商小组应当根据综合评分情况，按照评审得分由高到低顺序推荐成交候选供应商。</w:t>
      </w:r>
    </w:p>
    <w:p w14:paraId="5149D346">
      <w:pPr>
        <w:pStyle w:val="6"/>
        <w:tabs>
          <w:tab w:val="left" w:pos="900"/>
        </w:tabs>
        <w:snapToGrid w:val="0"/>
        <w:spacing w:before="0" w:after="0" w:line="380" w:lineRule="exact"/>
        <w:textAlignment w:val="baseline"/>
        <w:rPr>
          <w:rFonts w:ascii="Times New Roman" w:eastAsia="方正仿宋_GBK"/>
          <w:bCs/>
          <w:szCs w:val="24"/>
          <w:u w:val="none"/>
        </w:rPr>
      </w:pPr>
      <w:bookmarkStart w:id="428" w:name="_Toc12055"/>
      <w:r>
        <w:rPr>
          <w:rFonts w:ascii="Times New Roman" w:eastAsia="方正仿宋_GBK"/>
          <w:bCs/>
          <w:szCs w:val="24"/>
          <w:u w:val="none"/>
        </w:rPr>
        <w:t>27</w:t>
      </w:r>
      <w:bookmarkEnd w:id="415"/>
      <w:r>
        <w:rPr>
          <w:rFonts w:ascii="Times New Roman" w:eastAsia="方正仿宋_GBK"/>
          <w:bCs/>
          <w:szCs w:val="24"/>
          <w:u w:val="none"/>
        </w:rPr>
        <w:t>.确定成交候选人和</w:t>
      </w:r>
      <w:bookmarkEnd w:id="416"/>
      <w:bookmarkEnd w:id="417"/>
      <w:bookmarkEnd w:id="418"/>
      <w:bookmarkEnd w:id="419"/>
      <w:bookmarkEnd w:id="420"/>
      <w:bookmarkEnd w:id="421"/>
      <w:bookmarkEnd w:id="422"/>
      <w:bookmarkEnd w:id="423"/>
      <w:bookmarkEnd w:id="424"/>
      <w:bookmarkEnd w:id="425"/>
      <w:bookmarkEnd w:id="426"/>
      <w:bookmarkEnd w:id="427"/>
      <w:r>
        <w:rPr>
          <w:rFonts w:ascii="Times New Roman" w:eastAsia="方正仿宋_GBK"/>
          <w:bCs/>
          <w:szCs w:val="24"/>
          <w:u w:val="none"/>
        </w:rPr>
        <w:t>成交供应商</w:t>
      </w:r>
      <w:bookmarkEnd w:id="428"/>
    </w:p>
    <w:p w14:paraId="1D91A6FA">
      <w:pPr>
        <w:snapToGrid w:val="0"/>
        <w:spacing w:line="380" w:lineRule="exact"/>
        <w:ind w:left="957" w:leftChars="456" w:firstLine="60" w:firstLineChars="25"/>
        <w:textAlignment w:val="baseline"/>
        <w:rPr>
          <w:rFonts w:eastAsia="方正仿宋_GBK"/>
          <w:sz w:val="24"/>
        </w:rPr>
      </w:pPr>
      <w:r>
        <w:rPr>
          <w:rFonts w:eastAsia="方正仿宋_GBK"/>
          <w:sz w:val="24"/>
        </w:rPr>
        <w:t>磋商小组将根据评标标准，按</w:t>
      </w:r>
      <w:r>
        <w:rPr>
          <w:rFonts w:eastAsia="方正仿宋_GBK"/>
          <w:sz w:val="24"/>
          <w:u w:val="single" w:color="000000"/>
        </w:rPr>
        <w:t>供应商须知资料表中</w:t>
      </w:r>
      <w:r>
        <w:rPr>
          <w:rFonts w:eastAsia="方正仿宋_GBK"/>
          <w:sz w:val="24"/>
        </w:rPr>
        <w:t>规定数量推荐成交候选人；或根据采购人的委托，直接确定成交供应商。</w:t>
      </w:r>
    </w:p>
    <w:p w14:paraId="5204DEA0">
      <w:pPr>
        <w:snapToGrid w:val="0"/>
        <w:spacing w:line="380" w:lineRule="exact"/>
        <w:ind w:left="957" w:leftChars="456" w:firstLine="60" w:firstLineChars="25"/>
        <w:textAlignment w:val="baseline"/>
        <w:rPr>
          <w:rFonts w:eastAsia="方正仿宋_GBK"/>
          <w:sz w:val="24"/>
        </w:rPr>
      </w:pPr>
      <w:r>
        <w:rPr>
          <w:rFonts w:eastAsia="方正仿宋_GBK"/>
          <w:sz w:val="24"/>
        </w:rPr>
        <w:t>采购代理机构应当在评审结束后2个工作日内将评审报告送采购人确认。</w:t>
      </w:r>
    </w:p>
    <w:p w14:paraId="024C6B97">
      <w:pPr>
        <w:snapToGrid w:val="0"/>
        <w:spacing w:line="380" w:lineRule="exact"/>
        <w:ind w:left="957" w:leftChars="456" w:firstLine="60" w:firstLineChars="25"/>
        <w:textAlignment w:val="baseline"/>
        <w:rPr>
          <w:rFonts w:eastAsia="方正仿宋_GBK"/>
          <w:sz w:val="24"/>
        </w:rPr>
      </w:pPr>
      <w:r>
        <w:rPr>
          <w:rFonts w:eastAsia="方正仿宋_GBK"/>
          <w:sz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737F661">
      <w:pPr>
        <w:snapToGrid w:val="0"/>
        <w:spacing w:line="380" w:lineRule="exact"/>
        <w:ind w:left="957" w:leftChars="456" w:firstLine="60" w:firstLineChars="25"/>
        <w:textAlignment w:val="baseline"/>
        <w:rPr>
          <w:rFonts w:eastAsia="方正仿宋_GBK"/>
          <w:sz w:val="24"/>
        </w:rPr>
      </w:pPr>
      <w:r>
        <w:rPr>
          <w:rFonts w:eastAsia="方正仿宋_GBK"/>
          <w:sz w:val="24"/>
        </w:rPr>
        <w:t>按</w:t>
      </w:r>
      <w:r>
        <w:rPr>
          <w:rFonts w:eastAsia="方正仿宋_GBK"/>
          <w:sz w:val="24"/>
          <w:u w:val="single"/>
        </w:rPr>
        <w:t>供应商须知表中</w:t>
      </w:r>
      <w:r>
        <w:rPr>
          <w:rFonts w:eastAsia="方正仿宋_GBK"/>
          <w:sz w:val="24"/>
        </w:rPr>
        <w:t>规定，采购人书面授权磋商小组按照成交候选供应商综合得分排序由高到低的原则直接确定成交供应商。</w:t>
      </w:r>
    </w:p>
    <w:p w14:paraId="7BF53D39">
      <w:pPr>
        <w:pStyle w:val="6"/>
        <w:tabs>
          <w:tab w:val="left" w:pos="900"/>
        </w:tabs>
        <w:snapToGrid w:val="0"/>
        <w:spacing w:before="0" w:after="0" w:line="380" w:lineRule="exact"/>
        <w:textAlignment w:val="baseline"/>
        <w:rPr>
          <w:rFonts w:ascii="Times New Roman" w:eastAsia="方正仿宋_GBK"/>
          <w:szCs w:val="24"/>
          <w:u w:val="none"/>
        </w:rPr>
      </w:pPr>
      <w:bookmarkStart w:id="429" w:name="_Ref467306874"/>
      <w:bookmarkStart w:id="430" w:name="_Toc520356173"/>
      <w:bookmarkStart w:id="431" w:name="_Toc20633"/>
      <w:bookmarkStart w:id="432" w:name="_Toc8389"/>
      <w:bookmarkStart w:id="433" w:name="_Toc24602"/>
      <w:bookmarkStart w:id="434" w:name="_Toc7729"/>
      <w:bookmarkStart w:id="435" w:name="_Toc12652"/>
      <w:bookmarkStart w:id="436" w:name="_Toc27308"/>
      <w:bookmarkStart w:id="437" w:name="_Toc7861"/>
      <w:bookmarkStart w:id="438" w:name="_Toc28562"/>
      <w:bookmarkStart w:id="439" w:name="_Toc515647790"/>
      <w:bookmarkStart w:id="440" w:name="_Toc27133"/>
      <w:bookmarkStart w:id="441" w:name="_Toc249"/>
      <w:bookmarkStart w:id="442" w:name="_Toc2091"/>
      <w:bookmarkStart w:id="443" w:name="_Toc27036"/>
      <w:r>
        <w:rPr>
          <w:rFonts w:ascii="Times New Roman" w:eastAsia="方正仿宋_GBK"/>
          <w:szCs w:val="24"/>
          <w:u w:val="none"/>
        </w:rPr>
        <w:t>28.</w:t>
      </w:r>
      <w:bookmarkEnd w:id="429"/>
      <w:bookmarkEnd w:id="430"/>
      <w:r>
        <w:rPr>
          <w:rFonts w:ascii="Times New Roman" w:eastAsia="方正仿宋_GBK"/>
          <w:szCs w:val="24"/>
          <w:u w:val="none"/>
        </w:rPr>
        <w:t>采购任务取消</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1DB37BD8">
      <w:pPr>
        <w:snapToGrid w:val="0"/>
        <w:spacing w:line="380" w:lineRule="exact"/>
        <w:ind w:left="900" w:hanging="900" w:hangingChars="375"/>
        <w:textAlignment w:val="baseline"/>
        <w:rPr>
          <w:rFonts w:eastAsia="方正仿宋_GBK"/>
          <w:sz w:val="24"/>
        </w:rPr>
      </w:pPr>
      <w:r>
        <w:rPr>
          <w:rFonts w:eastAsia="方正仿宋_GBK"/>
          <w:sz w:val="24"/>
        </w:rPr>
        <w:tab/>
      </w:r>
      <w:r>
        <w:rPr>
          <w:rFonts w:eastAsia="方正仿宋_GBK"/>
          <w:sz w:val="24"/>
        </w:rPr>
        <w:t>因重大变故采购任务取消时，采购人有权拒绝任何供应商成交，且对受影响的供应商不承担任何责任。</w:t>
      </w:r>
      <w:bookmarkStart w:id="444" w:name="_Toc520356174"/>
    </w:p>
    <w:p w14:paraId="26960145">
      <w:pPr>
        <w:pStyle w:val="6"/>
        <w:snapToGrid w:val="0"/>
        <w:spacing w:before="0" w:after="0" w:line="380" w:lineRule="exact"/>
        <w:textAlignment w:val="baseline"/>
        <w:rPr>
          <w:rFonts w:ascii="Times New Roman" w:eastAsia="方正仿宋_GBK"/>
          <w:szCs w:val="24"/>
          <w:u w:val="none"/>
        </w:rPr>
      </w:pPr>
      <w:bookmarkStart w:id="445" w:name="_Toc20620"/>
      <w:bookmarkStart w:id="446" w:name="_Toc11134"/>
      <w:bookmarkStart w:id="447" w:name="_Toc26091"/>
      <w:bookmarkStart w:id="448" w:name="_Toc6223"/>
      <w:bookmarkStart w:id="449" w:name="_Toc15270"/>
      <w:bookmarkStart w:id="450" w:name="_Toc31099"/>
      <w:bookmarkStart w:id="451" w:name="_Toc27516"/>
      <w:bookmarkStart w:id="452" w:name="_Toc515647791"/>
      <w:bookmarkStart w:id="453" w:name="_Toc7938"/>
      <w:bookmarkStart w:id="454" w:name="_Toc30170"/>
      <w:bookmarkStart w:id="455" w:name="_Toc19888"/>
      <w:bookmarkStart w:id="456" w:name="_Toc2401"/>
      <w:bookmarkStart w:id="457" w:name="_Toc29249"/>
      <w:r>
        <w:rPr>
          <w:rFonts w:ascii="Times New Roman" w:eastAsia="方正仿宋_GBK"/>
          <w:szCs w:val="24"/>
          <w:u w:val="none"/>
        </w:rPr>
        <w:t>29.</w:t>
      </w:r>
      <w:bookmarkEnd w:id="444"/>
      <w:r>
        <w:rPr>
          <w:rFonts w:ascii="Times New Roman" w:eastAsia="方正仿宋_GBK"/>
          <w:szCs w:val="24"/>
          <w:u w:val="none"/>
        </w:rPr>
        <w:t>成交通知书和采购结果通知书</w:t>
      </w:r>
      <w:bookmarkEnd w:id="445"/>
      <w:bookmarkEnd w:id="446"/>
      <w:bookmarkEnd w:id="447"/>
      <w:bookmarkEnd w:id="448"/>
      <w:bookmarkEnd w:id="449"/>
      <w:bookmarkEnd w:id="450"/>
      <w:bookmarkEnd w:id="451"/>
      <w:bookmarkEnd w:id="452"/>
      <w:bookmarkEnd w:id="453"/>
      <w:bookmarkEnd w:id="454"/>
      <w:bookmarkEnd w:id="455"/>
      <w:bookmarkEnd w:id="456"/>
      <w:bookmarkEnd w:id="457"/>
    </w:p>
    <w:p w14:paraId="1EA431F6">
      <w:pPr>
        <w:snapToGrid w:val="0"/>
        <w:spacing w:line="380" w:lineRule="exact"/>
        <w:ind w:left="900" w:hanging="900" w:hangingChars="375"/>
        <w:textAlignment w:val="baseline"/>
        <w:rPr>
          <w:rFonts w:eastAsia="方正仿宋_GBK"/>
          <w:sz w:val="24"/>
        </w:rPr>
      </w:pPr>
      <w:r>
        <w:rPr>
          <w:rFonts w:eastAsia="方正仿宋_GBK"/>
          <w:sz w:val="24"/>
        </w:rPr>
        <w:t>29.1</w:t>
      </w:r>
      <w:r>
        <w:rPr>
          <w:rFonts w:eastAsia="方正仿宋_GBK"/>
          <w:sz w:val="24"/>
        </w:rPr>
        <w:tab/>
      </w:r>
      <w:r>
        <w:rPr>
          <w:rFonts w:eastAsia="方正仿宋_GBK"/>
          <w:sz w:val="24"/>
        </w:rPr>
        <w:t>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76B40CB9">
      <w:pPr>
        <w:snapToGrid w:val="0"/>
        <w:spacing w:line="380" w:lineRule="exact"/>
        <w:ind w:left="900" w:hanging="900" w:hangingChars="375"/>
        <w:textAlignment w:val="baseline"/>
        <w:rPr>
          <w:rFonts w:eastAsia="方正仿宋_GBK"/>
          <w:sz w:val="24"/>
        </w:rPr>
      </w:pPr>
      <w:r>
        <w:rPr>
          <w:rFonts w:eastAsia="方正仿宋_GBK"/>
          <w:sz w:val="24"/>
        </w:rPr>
        <w:t>29.2</w:t>
      </w:r>
      <w:r>
        <w:rPr>
          <w:rFonts w:eastAsia="方正仿宋_GBK"/>
          <w:sz w:val="24"/>
        </w:rPr>
        <w:tab/>
      </w:r>
      <w:r>
        <w:rPr>
          <w:rFonts w:eastAsia="方正仿宋_GBK"/>
          <w:sz w:val="24"/>
        </w:rPr>
        <w:t>中标通知书是合同的组成部分。</w:t>
      </w:r>
    </w:p>
    <w:p w14:paraId="23561938">
      <w:pPr>
        <w:snapToGrid w:val="0"/>
        <w:spacing w:line="380" w:lineRule="exact"/>
        <w:ind w:left="900" w:hanging="900" w:hangingChars="375"/>
        <w:textAlignment w:val="baseline"/>
        <w:rPr>
          <w:rFonts w:eastAsia="方正仿宋_GBK"/>
          <w:sz w:val="24"/>
        </w:rPr>
      </w:pPr>
      <w:r>
        <w:rPr>
          <w:rFonts w:eastAsia="方正仿宋_GBK"/>
          <w:sz w:val="24"/>
        </w:rPr>
        <w:t>29.3    采购结果通知书和中标通知书同时发出。采购结果通知书中将告知未中标供应商未中标的原因。</w:t>
      </w:r>
    </w:p>
    <w:p w14:paraId="7C5BB0C8">
      <w:pPr>
        <w:pStyle w:val="6"/>
        <w:snapToGrid w:val="0"/>
        <w:spacing w:before="0" w:after="0" w:line="380" w:lineRule="exact"/>
        <w:textAlignment w:val="baseline"/>
        <w:rPr>
          <w:rFonts w:ascii="Times New Roman" w:eastAsia="方正仿宋_GBK"/>
          <w:szCs w:val="24"/>
          <w:u w:val="none"/>
        </w:rPr>
      </w:pPr>
      <w:bookmarkStart w:id="458" w:name="_Toc520356175"/>
      <w:bookmarkStart w:id="459" w:name="_Ref467306377"/>
      <w:bookmarkStart w:id="460" w:name="_Toc29762"/>
      <w:bookmarkStart w:id="461" w:name="_Toc1076"/>
      <w:bookmarkStart w:id="462" w:name="_Toc19431"/>
      <w:bookmarkStart w:id="463" w:name="_Toc515647792"/>
      <w:bookmarkStart w:id="464" w:name="_Toc15063"/>
      <w:bookmarkStart w:id="465" w:name="_Toc307"/>
      <w:bookmarkStart w:id="466" w:name="_Ref467307062"/>
      <w:bookmarkStart w:id="467" w:name="_Toc20587"/>
      <w:bookmarkStart w:id="468" w:name="_Toc7779"/>
      <w:bookmarkStart w:id="469" w:name="_Toc790"/>
      <w:bookmarkStart w:id="470" w:name="_Toc8912"/>
      <w:bookmarkStart w:id="471" w:name="_Ref467307204"/>
      <w:bookmarkStart w:id="472" w:name="_Toc22868"/>
      <w:bookmarkStart w:id="473" w:name="_Toc11296"/>
      <w:bookmarkStart w:id="474" w:name="_Ref467306978"/>
      <w:bookmarkStart w:id="475" w:name="_Toc13998"/>
      <w:r>
        <w:rPr>
          <w:rFonts w:ascii="Times New Roman" w:eastAsia="方正仿宋_GBK"/>
          <w:szCs w:val="24"/>
          <w:u w:val="none"/>
        </w:rPr>
        <w:t>30.签订合同</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Pr>
          <w:rFonts w:ascii="Times New Roman" w:eastAsia="方正仿宋_GBK"/>
          <w:szCs w:val="24"/>
          <w:u w:val="none"/>
        </w:rPr>
        <w:t>及履约验收</w:t>
      </w:r>
      <w:bookmarkEnd w:id="475"/>
    </w:p>
    <w:p w14:paraId="1FFC9EF2">
      <w:pPr>
        <w:snapToGrid w:val="0"/>
        <w:spacing w:line="380" w:lineRule="exact"/>
        <w:ind w:left="900" w:hanging="900" w:hangingChars="375"/>
        <w:textAlignment w:val="baseline"/>
        <w:rPr>
          <w:rFonts w:eastAsia="方正仿宋_GBK"/>
          <w:sz w:val="24"/>
        </w:rPr>
      </w:pPr>
      <w:r>
        <w:rPr>
          <w:rFonts w:eastAsia="方正仿宋_GBK"/>
          <w:sz w:val="24"/>
        </w:rPr>
        <w:t>30.1</w:t>
      </w:r>
      <w:r>
        <w:rPr>
          <w:rFonts w:eastAsia="方正仿宋_GBK"/>
          <w:sz w:val="24"/>
        </w:rPr>
        <w:tab/>
      </w:r>
      <w:r>
        <w:rPr>
          <w:rFonts w:eastAsia="方正仿宋_GBK"/>
          <w:sz w:val="24"/>
        </w:rPr>
        <w:t>采购人与成交供应商应当在成交通知书发出之日起三十日内，签订政府采购合同。</w:t>
      </w:r>
    </w:p>
    <w:p w14:paraId="47C1CAE9">
      <w:pPr>
        <w:snapToGrid w:val="0"/>
        <w:spacing w:line="380" w:lineRule="exact"/>
        <w:ind w:left="900" w:hanging="900" w:hangingChars="375"/>
        <w:textAlignment w:val="baseline"/>
        <w:rPr>
          <w:rFonts w:eastAsia="方正仿宋_GBK"/>
          <w:sz w:val="24"/>
        </w:rPr>
      </w:pPr>
      <w:r>
        <w:rPr>
          <w:rFonts w:eastAsia="方正仿宋_GBK"/>
          <w:sz w:val="24"/>
        </w:rPr>
        <w:t>30.2</w:t>
      </w:r>
      <w:r>
        <w:rPr>
          <w:rFonts w:eastAsia="方正仿宋_GBK"/>
          <w:sz w:val="24"/>
        </w:rPr>
        <w:tab/>
      </w:r>
      <w:bookmarkStart w:id="476" w:name="_Ref467306425"/>
      <w:bookmarkStart w:id="477" w:name="_Toc520356176"/>
      <w:bookmarkStart w:id="478" w:name="_Ref467307090"/>
      <w:r>
        <w:rPr>
          <w:rFonts w:eastAsia="方正仿宋_GBK"/>
          <w:sz w:val="24"/>
        </w:rPr>
        <w:t>磋商文件、成交供应商的响应文件等均为签订合同的依据。采购人不得向成交人提出任何不合理的要求作为签订合同的条件。</w:t>
      </w:r>
    </w:p>
    <w:p w14:paraId="65CC6603">
      <w:pPr>
        <w:snapToGrid w:val="0"/>
        <w:spacing w:line="380" w:lineRule="exact"/>
        <w:ind w:left="900" w:hanging="900" w:hangingChars="375"/>
        <w:textAlignment w:val="baseline"/>
        <w:rPr>
          <w:rFonts w:eastAsia="方正仿宋_GBK"/>
          <w:sz w:val="24"/>
        </w:rPr>
      </w:pPr>
      <w:r>
        <w:rPr>
          <w:rFonts w:eastAsia="方正仿宋_GBK"/>
          <w:sz w:val="24"/>
        </w:rPr>
        <w:t xml:space="preserve">30.3   </w:t>
      </w:r>
      <w:r>
        <w:rPr>
          <w:rFonts w:hint="eastAsia" w:eastAsia="方正仿宋_GBK"/>
          <w:sz w:val="24"/>
        </w:rPr>
        <w:t xml:space="preserve"> </w:t>
      </w:r>
      <w:r>
        <w:rPr>
          <w:rFonts w:eastAsia="方正仿宋_GBK"/>
          <w:sz w:val="24"/>
        </w:rPr>
        <w:t>如成交供应商拒绝与采购人签订合同的，成交供应商须按响应函内容向采购人和采购代理机构支付赔偿；采购人可以按照评审报告推荐的成交候选人排序，确定下一成交候选人为成交供应商，也可以重新开展采购活动。拒绝签订政府采购合同的成交供应商不得参加对该项目重新开展的采购活动。</w:t>
      </w:r>
    </w:p>
    <w:p w14:paraId="5A066867">
      <w:pPr>
        <w:snapToGrid w:val="0"/>
        <w:spacing w:line="380" w:lineRule="exact"/>
        <w:ind w:left="900" w:hanging="900" w:hangingChars="375"/>
        <w:textAlignment w:val="baseline"/>
        <w:rPr>
          <w:rFonts w:eastAsia="方正仿宋_GBK"/>
          <w:sz w:val="24"/>
        </w:rPr>
      </w:pPr>
      <w:r>
        <w:rPr>
          <w:rFonts w:eastAsia="方正仿宋_GBK"/>
          <w:sz w:val="24"/>
        </w:rPr>
        <w:t xml:space="preserve">30.4   </w:t>
      </w:r>
      <w:r>
        <w:rPr>
          <w:rFonts w:hint="eastAsia" w:eastAsia="方正仿宋_GBK"/>
          <w:sz w:val="24"/>
        </w:rPr>
        <w:t xml:space="preserve"> </w:t>
      </w:r>
      <w:r>
        <w:rPr>
          <w:rFonts w:eastAsia="方正仿宋_GBK"/>
          <w:sz w:val="24"/>
        </w:rPr>
        <w:t>当出现法律法规规定的成交无效或成交结果无效情形时，且合格的供应商数量符合规定，采购人可与排名下一位的成交候选人另行签订合同，或依法重新开展采购活动。</w:t>
      </w:r>
    </w:p>
    <w:p w14:paraId="06E39BE5">
      <w:pPr>
        <w:snapToGrid w:val="0"/>
        <w:spacing w:line="380" w:lineRule="exact"/>
        <w:ind w:left="900" w:hanging="900" w:hangingChars="375"/>
        <w:textAlignment w:val="baseline"/>
        <w:rPr>
          <w:rFonts w:eastAsia="方正仿宋_GBK"/>
          <w:sz w:val="24"/>
        </w:rPr>
      </w:pPr>
      <w:r>
        <w:rPr>
          <w:rFonts w:eastAsia="方正仿宋_GBK"/>
          <w:sz w:val="24"/>
        </w:rPr>
        <w:t xml:space="preserve">30.5   </w:t>
      </w:r>
      <w:r>
        <w:rPr>
          <w:rFonts w:hint="eastAsia" w:eastAsia="方正仿宋_GBK"/>
          <w:sz w:val="24"/>
        </w:rPr>
        <w:t xml:space="preserve"> </w:t>
      </w:r>
      <w:r>
        <w:rPr>
          <w:rFonts w:eastAsia="方正仿宋_GBK"/>
          <w:sz w:val="24"/>
        </w:rPr>
        <w:t>采购人根据《关于进一步加强政府采购需求和履约验收管理的指导意见》财库[2016]205号有关规定依法依规组织进行履约验收。</w:t>
      </w:r>
    </w:p>
    <w:p w14:paraId="404E0893">
      <w:pPr>
        <w:pStyle w:val="6"/>
        <w:snapToGrid w:val="0"/>
        <w:spacing w:before="0" w:after="0" w:line="380" w:lineRule="exact"/>
        <w:textAlignment w:val="baseline"/>
        <w:rPr>
          <w:rFonts w:ascii="Times New Roman" w:eastAsia="方正仿宋_GBK"/>
          <w:szCs w:val="24"/>
          <w:u w:val="none"/>
        </w:rPr>
      </w:pPr>
      <w:bookmarkStart w:id="479" w:name="_Toc10911"/>
      <w:bookmarkStart w:id="480" w:name="_Toc515647793"/>
      <w:bookmarkStart w:id="481" w:name="_Toc26893"/>
      <w:bookmarkStart w:id="482" w:name="_Toc15573"/>
      <w:bookmarkStart w:id="483" w:name="_Toc14080"/>
      <w:bookmarkStart w:id="484" w:name="_Toc32532"/>
      <w:bookmarkStart w:id="485" w:name="_Toc24808"/>
      <w:bookmarkStart w:id="486" w:name="_Toc22126"/>
      <w:bookmarkStart w:id="487" w:name="_Toc5437"/>
      <w:bookmarkStart w:id="488" w:name="_Toc2962"/>
      <w:bookmarkStart w:id="489" w:name="_Toc14839"/>
      <w:bookmarkStart w:id="490" w:name="_Toc22555"/>
      <w:bookmarkStart w:id="491" w:name="_Toc6921"/>
      <w:r>
        <w:rPr>
          <w:rFonts w:ascii="Times New Roman" w:eastAsia="方正仿宋_GBK"/>
          <w:szCs w:val="24"/>
          <w:u w:val="none"/>
        </w:rPr>
        <w:t>31.履约保证金</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3286F9A5">
      <w:pPr>
        <w:snapToGrid w:val="0"/>
        <w:spacing w:line="380" w:lineRule="exact"/>
        <w:ind w:left="900" w:hanging="900" w:hangingChars="375"/>
        <w:textAlignment w:val="baseline"/>
        <w:rPr>
          <w:rFonts w:eastAsia="方正仿宋_GBK"/>
          <w:sz w:val="24"/>
        </w:rPr>
      </w:pPr>
      <w:r>
        <w:rPr>
          <w:rFonts w:eastAsia="方正仿宋_GBK"/>
          <w:sz w:val="24"/>
        </w:rPr>
        <w:t>31.1</w:t>
      </w:r>
      <w:r>
        <w:rPr>
          <w:rFonts w:eastAsia="方正仿宋_GBK"/>
          <w:sz w:val="24"/>
        </w:rPr>
        <w:tab/>
      </w:r>
      <w:r>
        <w:rPr>
          <w:rFonts w:eastAsia="方正仿宋_GBK"/>
          <w:sz w:val="24"/>
        </w:rPr>
        <w:t>如果需要履约保证金，成交供应商应按照</w:t>
      </w:r>
      <w:r>
        <w:rPr>
          <w:rFonts w:eastAsia="方正仿宋_GBK"/>
          <w:sz w:val="24"/>
          <w:u w:val="single"/>
        </w:rPr>
        <w:t>供应商须知表</w:t>
      </w:r>
      <w:r>
        <w:rPr>
          <w:rFonts w:eastAsia="方正仿宋_GBK"/>
          <w:sz w:val="24"/>
        </w:rPr>
        <w:t>规定向采购人提交履约保证金。（如采用保函形式，格式见本章附件1）。</w:t>
      </w:r>
    </w:p>
    <w:p w14:paraId="3DEE1247">
      <w:pPr>
        <w:snapToGrid w:val="0"/>
        <w:spacing w:line="380" w:lineRule="exact"/>
        <w:ind w:left="900" w:hanging="900" w:hangingChars="375"/>
        <w:textAlignment w:val="baseline"/>
        <w:rPr>
          <w:rFonts w:eastAsia="方正仿宋_GBK"/>
          <w:sz w:val="24"/>
        </w:rPr>
      </w:pPr>
      <w:r>
        <w:rPr>
          <w:rFonts w:eastAsia="方正仿宋_GBK"/>
          <w:sz w:val="24"/>
        </w:rPr>
        <w:t>31.2</w:t>
      </w:r>
      <w:r>
        <w:rPr>
          <w:rFonts w:eastAsia="方正仿宋_GBK"/>
          <w:sz w:val="24"/>
        </w:rPr>
        <w:tab/>
      </w:r>
      <w:r>
        <w:rPr>
          <w:rFonts w:eastAsia="方正仿宋_GBK"/>
          <w:sz w:val="24"/>
        </w:rPr>
        <w:t>政府采购利用担保试点范围内的项目，除31.1规定的情形外，成交供应商也可以按照财政部门的规定，向采购人提供合格的履约担保函（格式见本章附件2）。</w:t>
      </w:r>
    </w:p>
    <w:p w14:paraId="78C461A2">
      <w:pPr>
        <w:snapToGrid w:val="0"/>
        <w:spacing w:line="380" w:lineRule="exact"/>
        <w:ind w:left="960" w:hanging="960" w:hangingChars="400"/>
        <w:jc w:val="left"/>
        <w:textAlignment w:val="baseline"/>
        <w:rPr>
          <w:rFonts w:eastAsia="方正仿宋_GBK"/>
          <w:bCs/>
          <w:sz w:val="24"/>
          <w:u w:val="single" w:color="000000"/>
        </w:rPr>
      </w:pPr>
      <w:bookmarkStart w:id="492" w:name="_Toc32107"/>
      <w:bookmarkStart w:id="493" w:name="_Toc14350"/>
      <w:bookmarkStart w:id="494" w:name="_Toc7088"/>
      <w:bookmarkStart w:id="495" w:name="_Toc1888"/>
      <w:bookmarkStart w:id="496" w:name="_Toc13783"/>
      <w:bookmarkStart w:id="497" w:name="_Toc864"/>
      <w:bookmarkStart w:id="498" w:name="_Toc5352"/>
      <w:r>
        <w:rPr>
          <w:rFonts w:eastAsia="方正仿宋_GBK"/>
          <w:sz w:val="24"/>
        </w:rPr>
        <w:t xml:space="preserve">31.3   </w:t>
      </w:r>
      <w:r>
        <w:rPr>
          <w:rFonts w:hint="eastAsia" w:eastAsia="方正仿宋_GBK"/>
          <w:sz w:val="24"/>
        </w:rPr>
        <w:t xml:space="preserve"> </w:t>
      </w:r>
      <w:r>
        <w:rPr>
          <w:rFonts w:eastAsia="方正仿宋_GBK"/>
          <w:sz w:val="24"/>
        </w:rPr>
        <w:t>如果成交供应商没有按照上述履约保证金的规定执行，将视为放弃成交资格，成交供应商的磋商保证金将不予退还。在此情况下，采购人可确定下一候选</w:t>
      </w:r>
      <w:r>
        <w:rPr>
          <w:rFonts w:eastAsia="方正仿宋_GBK"/>
          <w:bCs/>
          <w:sz w:val="24"/>
        </w:rPr>
        <w:t>人为成交供应商，也可以重新开展采购活动。</w:t>
      </w:r>
      <w:bookmarkEnd w:id="492"/>
      <w:bookmarkEnd w:id="493"/>
      <w:bookmarkEnd w:id="494"/>
      <w:bookmarkEnd w:id="495"/>
      <w:bookmarkEnd w:id="496"/>
      <w:bookmarkEnd w:id="497"/>
      <w:bookmarkEnd w:id="498"/>
    </w:p>
    <w:p w14:paraId="68448508">
      <w:pPr>
        <w:pStyle w:val="6"/>
        <w:snapToGrid w:val="0"/>
        <w:spacing w:before="0" w:after="0" w:line="380" w:lineRule="exact"/>
        <w:textAlignment w:val="baseline"/>
        <w:rPr>
          <w:rFonts w:ascii="Times New Roman" w:eastAsia="方正仿宋_GBK"/>
          <w:szCs w:val="24"/>
          <w:u w:val="none"/>
        </w:rPr>
      </w:pPr>
      <w:bookmarkStart w:id="499" w:name="_Toc27934"/>
      <w:bookmarkStart w:id="500" w:name="_Toc11939"/>
      <w:bookmarkStart w:id="501" w:name="_Toc12971"/>
      <w:bookmarkStart w:id="502" w:name="_Toc29408"/>
      <w:bookmarkStart w:id="503" w:name="_Toc31215"/>
      <w:bookmarkStart w:id="504" w:name="_Toc29652"/>
      <w:bookmarkStart w:id="505" w:name="_Toc16384"/>
      <w:bookmarkStart w:id="506" w:name="_Toc515647794"/>
      <w:bookmarkStart w:id="507" w:name="_Toc10734"/>
      <w:bookmarkStart w:id="508" w:name="_Toc3090"/>
      <w:bookmarkStart w:id="509" w:name="_Toc23392"/>
      <w:bookmarkStart w:id="510" w:name="_Toc26452"/>
      <w:bookmarkStart w:id="511" w:name="_Toc18492"/>
      <w:r>
        <w:rPr>
          <w:rFonts w:ascii="Times New Roman" w:eastAsia="方正仿宋_GBK"/>
          <w:szCs w:val="24"/>
          <w:u w:val="none"/>
        </w:rPr>
        <w:t>32.</w:t>
      </w:r>
      <w:bookmarkEnd w:id="499"/>
      <w:bookmarkEnd w:id="500"/>
      <w:bookmarkEnd w:id="501"/>
      <w:bookmarkEnd w:id="502"/>
      <w:bookmarkEnd w:id="503"/>
      <w:bookmarkEnd w:id="504"/>
      <w:bookmarkEnd w:id="505"/>
      <w:bookmarkEnd w:id="506"/>
      <w:bookmarkEnd w:id="507"/>
      <w:bookmarkEnd w:id="508"/>
      <w:bookmarkEnd w:id="509"/>
      <w:bookmarkEnd w:id="510"/>
      <w:r>
        <w:rPr>
          <w:rFonts w:ascii="Times New Roman" w:eastAsia="方正仿宋_GBK"/>
          <w:szCs w:val="24"/>
          <w:u w:val="none"/>
        </w:rPr>
        <w:t>招标代理费</w:t>
      </w:r>
      <w:bookmarkEnd w:id="511"/>
    </w:p>
    <w:p w14:paraId="3C628AF7">
      <w:pPr>
        <w:snapToGrid w:val="0"/>
        <w:spacing w:line="380" w:lineRule="exact"/>
        <w:ind w:left="720" w:hanging="720" w:hangingChars="300"/>
        <w:jc w:val="left"/>
        <w:textAlignment w:val="baseline"/>
        <w:rPr>
          <w:rFonts w:eastAsia="方正仿宋_GBK"/>
          <w:bCs/>
          <w:sz w:val="24"/>
        </w:rPr>
      </w:pPr>
      <w:r>
        <w:rPr>
          <w:rFonts w:eastAsia="方正仿宋_GBK"/>
          <w:bCs/>
          <w:sz w:val="24"/>
        </w:rPr>
        <w:t xml:space="preserve">   </w:t>
      </w:r>
      <w:bookmarkStart w:id="512" w:name="_Toc3808"/>
      <w:bookmarkStart w:id="513" w:name="_Toc30095"/>
      <w:bookmarkStart w:id="514" w:name="_Toc30285"/>
      <w:bookmarkStart w:id="515" w:name="_Toc2958"/>
      <w:bookmarkStart w:id="516" w:name="_Toc6649"/>
      <w:bookmarkStart w:id="517" w:name="_Toc23886"/>
      <w:bookmarkStart w:id="518" w:name="_Toc31147"/>
      <w:r>
        <w:rPr>
          <w:rFonts w:eastAsia="方正仿宋_GBK"/>
          <w:bCs/>
          <w:sz w:val="24"/>
        </w:rPr>
        <w:t xml:space="preserve">   </w:t>
      </w:r>
      <w:bookmarkEnd w:id="512"/>
      <w:bookmarkEnd w:id="513"/>
      <w:bookmarkEnd w:id="514"/>
      <w:bookmarkEnd w:id="515"/>
      <w:bookmarkEnd w:id="516"/>
      <w:bookmarkEnd w:id="517"/>
      <w:bookmarkEnd w:id="518"/>
      <w:r>
        <w:rPr>
          <w:rFonts w:eastAsia="方正仿宋_GBK"/>
          <w:bCs/>
          <w:sz w:val="24"/>
        </w:rPr>
        <w:t>本项目是否由成交供应商向采购代理机构支付招标代理费及招标代理费标准，按照</w:t>
      </w:r>
      <w:r>
        <w:rPr>
          <w:rFonts w:eastAsia="方正仿宋_GBK"/>
          <w:bCs/>
          <w:sz w:val="24"/>
          <w:u w:val="single"/>
        </w:rPr>
        <w:t>供应商须知表</w:t>
      </w:r>
      <w:r>
        <w:rPr>
          <w:rFonts w:eastAsia="方正仿宋_GBK"/>
          <w:bCs/>
          <w:sz w:val="24"/>
        </w:rPr>
        <w:t>规定执行。</w:t>
      </w:r>
      <w:r>
        <w:rPr>
          <w:rFonts w:eastAsia="方正仿宋_GBK"/>
          <w:sz w:val="24"/>
        </w:rPr>
        <w:t>本项目不收取招标代理费。</w:t>
      </w:r>
    </w:p>
    <w:p w14:paraId="71EAC977">
      <w:pPr>
        <w:pStyle w:val="6"/>
        <w:snapToGrid w:val="0"/>
        <w:spacing w:before="0" w:after="0" w:line="380" w:lineRule="exact"/>
        <w:textAlignment w:val="baseline"/>
        <w:rPr>
          <w:rFonts w:ascii="Times New Roman" w:eastAsia="方正仿宋_GBK"/>
          <w:szCs w:val="24"/>
          <w:u w:val="none"/>
        </w:rPr>
      </w:pPr>
      <w:bookmarkStart w:id="519" w:name="_Toc32437"/>
      <w:bookmarkStart w:id="520" w:name="_Toc24427"/>
      <w:bookmarkStart w:id="521" w:name="_Toc26134"/>
      <w:bookmarkStart w:id="522" w:name="_Toc28128"/>
      <w:bookmarkStart w:id="523" w:name="_Toc7049"/>
      <w:bookmarkStart w:id="524" w:name="_Toc515647795"/>
      <w:bookmarkStart w:id="525" w:name="_Toc1343"/>
      <w:bookmarkStart w:id="526" w:name="_Toc24064"/>
      <w:bookmarkStart w:id="527" w:name="_Toc18898"/>
      <w:bookmarkStart w:id="528" w:name="_Toc5403"/>
      <w:bookmarkStart w:id="529" w:name="_Toc15699"/>
      <w:bookmarkStart w:id="530" w:name="_Toc31549"/>
      <w:bookmarkStart w:id="531" w:name="_Toc6923"/>
      <w:r>
        <w:rPr>
          <w:rFonts w:ascii="Times New Roman" w:eastAsia="方正仿宋_GBK"/>
          <w:szCs w:val="24"/>
          <w:u w:val="none"/>
        </w:rPr>
        <w:t>33.政府采购信用担保</w:t>
      </w:r>
      <w:bookmarkEnd w:id="519"/>
      <w:bookmarkEnd w:id="520"/>
      <w:bookmarkEnd w:id="521"/>
      <w:bookmarkEnd w:id="522"/>
      <w:bookmarkEnd w:id="523"/>
      <w:bookmarkEnd w:id="524"/>
      <w:bookmarkEnd w:id="525"/>
      <w:bookmarkEnd w:id="526"/>
      <w:bookmarkEnd w:id="527"/>
      <w:bookmarkEnd w:id="528"/>
      <w:bookmarkEnd w:id="529"/>
      <w:bookmarkEnd w:id="530"/>
      <w:bookmarkEnd w:id="531"/>
    </w:p>
    <w:p w14:paraId="173A3E86">
      <w:pPr>
        <w:snapToGrid w:val="0"/>
        <w:spacing w:line="380" w:lineRule="exact"/>
        <w:ind w:left="900" w:hanging="900" w:hangingChars="375"/>
        <w:textAlignment w:val="baseline"/>
        <w:rPr>
          <w:rFonts w:eastAsia="方正仿宋_GBK"/>
          <w:sz w:val="24"/>
        </w:rPr>
      </w:pPr>
      <w:r>
        <w:rPr>
          <w:rFonts w:eastAsia="方正仿宋_GBK"/>
          <w:sz w:val="24"/>
        </w:rPr>
        <w:t>33.1   本项目是否属于信用担保试点范围见</w:t>
      </w:r>
      <w:r>
        <w:rPr>
          <w:rFonts w:eastAsia="方正仿宋_GBK"/>
          <w:sz w:val="24"/>
          <w:u w:val="single"/>
        </w:rPr>
        <w:t>供应商须知资料表</w:t>
      </w:r>
      <w:r>
        <w:rPr>
          <w:rFonts w:eastAsia="方正仿宋_GBK"/>
          <w:sz w:val="24"/>
        </w:rPr>
        <w:t>。</w:t>
      </w:r>
    </w:p>
    <w:p w14:paraId="2162961E">
      <w:pPr>
        <w:snapToGrid w:val="0"/>
        <w:spacing w:line="380" w:lineRule="exact"/>
        <w:ind w:left="900" w:hanging="900" w:hangingChars="375"/>
        <w:textAlignment w:val="baseline"/>
        <w:rPr>
          <w:rFonts w:eastAsia="方正仿宋_GBK"/>
          <w:sz w:val="24"/>
        </w:rPr>
      </w:pPr>
      <w:r>
        <w:rPr>
          <w:rFonts w:eastAsia="方正仿宋_GBK"/>
          <w:sz w:val="24"/>
        </w:rPr>
        <w:t>33.2   如属于政府采购信用担保试点范围内，中小型企业供应商可以自由按照财政部门的规定，采用投标担保、履约担保和融资担保。</w:t>
      </w:r>
    </w:p>
    <w:p w14:paraId="7C27063F">
      <w:pPr>
        <w:snapToGrid w:val="0"/>
        <w:spacing w:line="380" w:lineRule="exact"/>
        <w:ind w:left="900" w:hanging="900" w:hangingChars="375"/>
        <w:textAlignment w:val="baseline"/>
        <w:rPr>
          <w:rFonts w:eastAsia="方正仿宋_GBK"/>
          <w:sz w:val="24"/>
        </w:rPr>
      </w:pPr>
      <w:r>
        <w:rPr>
          <w:rFonts w:eastAsia="方正仿宋_GBK"/>
          <w:sz w:val="24"/>
        </w:rPr>
        <w:t>33.2.1 供应商递交的投标担保函和履约担保函应符合本磋商文件的规定。</w:t>
      </w:r>
    </w:p>
    <w:p w14:paraId="1A408D0C">
      <w:pPr>
        <w:snapToGrid w:val="0"/>
        <w:spacing w:line="380" w:lineRule="exact"/>
        <w:ind w:left="900" w:hanging="900" w:hangingChars="375"/>
        <w:textAlignment w:val="baseline"/>
        <w:rPr>
          <w:rFonts w:eastAsia="方正仿宋_GBK"/>
          <w:sz w:val="24"/>
        </w:rPr>
      </w:pPr>
      <w:r>
        <w:rPr>
          <w:rFonts w:eastAsia="方正仿宋_GBK"/>
          <w:sz w:val="24"/>
        </w:rPr>
        <w:t>33.2.2 成交供应商可以采取融资担保的形式为政府采购项目履约进行融资。</w:t>
      </w:r>
    </w:p>
    <w:p w14:paraId="3B6444A4">
      <w:pPr>
        <w:snapToGrid w:val="0"/>
        <w:spacing w:line="380" w:lineRule="exact"/>
        <w:ind w:left="900" w:hanging="900" w:hangingChars="375"/>
        <w:textAlignment w:val="baseline"/>
        <w:rPr>
          <w:rFonts w:eastAsia="方正仿宋_GBK"/>
          <w:sz w:val="24"/>
        </w:rPr>
      </w:pPr>
      <w:r>
        <w:rPr>
          <w:rFonts w:eastAsia="方正仿宋_GBK"/>
          <w:sz w:val="24"/>
        </w:rPr>
        <w:t>33.2.3 合格的政府采购专业信用担保机构名单见</w:t>
      </w:r>
      <w:r>
        <w:rPr>
          <w:rFonts w:eastAsia="方正仿宋_GBK"/>
          <w:sz w:val="24"/>
          <w:u w:val="single"/>
        </w:rPr>
        <w:t>供应商须知资料表</w:t>
      </w:r>
      <w:r>
        <w:rPr>
          <w:rFonts w:eastAsia="方正仿宋_GBK"/>
          <w:sz w:val="24"/>
        </w:rPr>
        <w:t>。</w:t>
      </w:r>
    </w:p>
    <w:p w14:paraId="6516B480">
      <w:pPr>
        <w:pStyle w:val="6"/>
        <w:snapToGrid w:val="0"/>
        <w:spacing w:before="0" w:after="0" w:line="380" w:lineRule="exact"/>
        <w:textAlignment w:val="baseline"/>
        <w:rPr>
          <w:rFonts w:ascii="Times New Roman" w:eastAsia="方正仿宋_GBK"/>
          <w:szCs w:val="24"/>
          <w:u w:val="none"/>
        </w:rPr>
      </w:pPr>
      <w:bookmarkStart w:id="532" w:name="_Toc9559"/>
      <w:bookmarkStart w:id="533" w:name="_Toc7616"/>
      <w:bookmarkStart w:id="534" w:name="_Toc9673"/>
      <w:bookmarkStart w:id="535" w:name="_Toc16394"/>
      <w:bookmarkStart w:id="536" w:name="_Toc27619"/>
      <w:bookmarkStart w:id="537" w:name="_Toc26887"/>
      <w:bookmarkStart w:id="538" w:name="_Toc29893"/>
      <w:bookmarkStart w:id="539" w:name="_Toc15842"/>
      <w:bookmarkStart w:id="540" w:name="_Toc2133"/>
      <w:bookmarkStart w:id="541" w:name="_Toc515647796"/>
      <w:bookmarkStart w:id="542" w:name="_Toc28874"/>
      <w:bookmarkStart w:id="543" w:name="_Toc23999"/>
      <w:bookmarkStart w:id="544" w:name="_Toc24726"/>
      <w:r>
        <w:rPr>
          <w:rFonts w:ascii="Times New Roman" w:eastAsia="方正仿宋_GBK"/>
          <w:szCs w:val="24"/>
          <w:u w:val="none"/>
        </w:rPr>
        <w:t>34.廉洁自律规定</w:t>
      </w:r>
      <w:bookmarkEnd w:id="532"/>
      <w:bookmarkEnd w:id="533"/>
      <w:bookmarkEnd w:id="534"/>
      <w:bookmarkEnd w:id="535"/>
      <w:bookmarkEnd w:id="536"/>
      <w:bookmarkEnd w:id="537"/>
      <w:bookmarkEnd w:id="538"/>
      <w:bookmarkEnd w:id="539"/>
      <w:bookmarkEnd w:id="540"/>
      <w:bookmarkEnd w:id="541"/>
      <w:bookmarkEnd w:id="542"/>
      <w:bookmarkEnd w:id="543"/>
      <w:bookmarkEnd w:id="544"/>
    </w:p>
    <w:p w14:paraId="7A13F9F3">
      <w:pPr>
        <w:snapToGrid w:val="0"/>
        <w:spacing w:line="380" w:lineRule="exact"/>
        <w:ind w:left="900" w:hanging="900" w:hangingChars="375"/>
        <w:textAlignment w:val="baseline"/>
        <w:rPr>
          <w:rFonts w:eastAsia="方正仿宋_GBK"/>
          <w:sz w:val="24"/>
        </w:rPr>
      </w:pPr>
      <w:r>
        <w:rPr>
          <w:rFonts w:eastAsia="方正仿宋_GBK"/>
          <w:sz w:val="24"/>
        </w:rPr>
        <w:t>34.1   采购代理机构工作人员不得以不正当手段获取政府采购代理业务，不得与采购人、供应商恶意串通操纵政府采购活动。</w:t>
      </w:r>
    </w:p>
    <w:p w14:paraId="168840A5">
      <w:pPr>
        <w:snapToGrid w:val="0"/>
        <w:spacing w:line="380" w:lineRule="exact"/>
        <w:ind w:left="900" w:hanging="900" w:hangingChars="375"/>
        <w:textAlignment w:val="baseline"/>
        <w:rPr>
          <w:rFonts w:eastAsia="方正仿宋_GBK"/>
          <w:sz w:val="24"/>
        </w:rPr>
      </w:pPr>
      <w:r>
        <w:rPr>
          <w:rFonts w:eastAsia="方正仿宋_GBK"/>
          <w:sz w:val="24"/>
        </w:rPr>
        <w:t>34.2   采购代理机构工作人员不得接受采购人或者供应商组织的宴请、旅游、娱乐，不得收受礼品、现金、有价证券等，不得向采购人或者供应商报销应当由个人承担的费用。</w:t>
      </w:r>
    </w:p>
    <w:p w14:paraId="78A25F43">
      <w:pPr>
        <w:snapToGrid w:val="0"/>
        <w:spacing w:line="380" w:lineRule="exact"/>
        <w:ind w:left="900" w:hanging="900" w:hangingChars="375"/>
        <w:textAlignment w:val="baseline"/>
        <w:rPr>
          <w:rFonts w:eastAsia="方正仿宋_GBK"/>
          <w:sz w:val="24"/>
        </w:rPr>
      </w:pPr>
      <w:r>
        <w:rPr>
          <w:rFonts w:eastAsia="方正仿宋_GBK"/>
          <w:sz w:val="24"/>
        </w:rPr>
        <w:t>34.3   为强化采购代理机构内部监督机制，供应商可按</w:t>
      </w:r>
      <w:r>
        <w:rPr>
          <w:rFonts w:eastAsia="方正仿宋_GBK"/>
          <w:sz w:val="24"/>
          <w:u w:val="single" w:color="000000"/>
        </w:rPr>
        <w:t>供应商须知资料表中的</w:t>
      </w:r>
      <w:r>
        <w:rPr>
          <w:rFonts w:eastAsia="方正仿宋_GBK"/>
          <w:sz w:val="24"/>
        </w:rPr>
        <w:t>监督电话和邮箱，反映采购代理机构的廉洁自律等问题。</w:t>
      </w:r>
    </w:p>
    <w:p w14:paraId="17E6D2BB">
      <w:pPr>
        <w:pStyle w:val="6"/>
        <w:snapToGrid w:val="0"/>
        <w:spacing w:before="0" w:after="0" w:line="380" w:lineRule="exact"/>
        <w:textAlignment w:val="baseline"/>
        <w:rPr>
          <w:rFonts w:ascii="Times New Roman" w:eastAsia="方正仿宋_GBK"/>
          <w:szCs w:val="24"/>
          <w:u w:val="none"/>
        </w:rPr>
      </w:pPr>
      <w:bookmarkStart w:id="545" w:name="_Toc7348"/>
      <w:bookmarkStart w:id="546" w:name="_Toc25440"/>
      <w:bookmarkStart w:id="547" w:name="_Toc1011"/>
      <w:bookmarkStart w:id="548" w:name="_Toc11586"/>
      <w:bookmarkStart w:id="549" w:name="_Toc24873"/>
      <w:bookmarkStart w:id="550" w:name="_Toc8702"/>
      <w:bookmarkStart w:id="551" w:name="_Toc20804"/>
      <w:bookmarkStart w:id="552" w:name="_Toc15647"/>
      <w:bookmarkStart w:id="553" w:name="_Toc515647797"/>
      <w:bookmarkStart w:id="554" w:name="_Toc25480"/>
      <w:bookmarkStart w:id="555" w:name="_Toc3386"/>
      <w:bookmarkStart w:id="556" w:name="_Toc17910"/>
      <w:bookmarkStart w:id="557" w:name="_Toc22851"/>
      <w:r>
        <w:rPr>
          <w:rFonts w:ascii="Times New Roman" w:eastAsia="方正仿宋_GBK"/>
          <w:szCs w:val="24"/>
          <w:u w:val="none"/>
        </w:rPr>
        <w:t>35.人员回避</w:t>
      </w:r>
      <w:bookmarkEnd w:id="545"/>
      <w:bookmarkEnd w:id="546"/>
      <w:bookmarkEnd w:id="547"/>
      <w:bookmarkEnd w:id="548"/>
      <w:bookmarkEnd w:id="549"/>
      <w:bookmarkEnd w:id="550"/>
      <w:bookmarkEnd w:id="551"/>
      <w:bookmarkEnd w:id="552"/>
      <w:bookmarkEnd w:id="553"/>
      <w:bookmarkEnd w:id="554"/>
      <w:bookmarkEnd w:id="555"/>
      <w:bookmarkEnd w:id="556"/>
      <w:bookmarkEnd w:id="557"/>
    </w:p>
    <w:p w14:paraId="6A56A995">
      <w:pPr>
        <w:snapToGrid w:val="0"/>
        <w:spacing w:line="380" w:lineRule="exact"/>
        <w:ind w:left="900" w:hanging="900" w:hangingChars="375"/>
        <w:textAlignment w:val="baseline"/>
        <w:rPr>
          <w:rFonts w:eastAsia="方正仿宋_GBK"/>
          <w:sz w:val="24"/>
        </w:rPr>
      </w:pPr>
      <w:r>
        <w:rPr>
          <w:rFonts w:eastAsia="方正仿宋_GBK"/>
          <w:sz w:val="24"/>
        </w:rPr>
        <w:t xml:space="preserve">       供应商认为采购人员及其相关人员有法律法规所列与其他供应商有利害关系的，可以向采购人或采购代理机构书面提出回避申请，并说明理由。</w:t>
      </w:r>
    </w:p>
    <w:p w14:paraId="0B525DDB">
      <w:pPr>
        <w:pStyle w:val="6"/>
        <w:snapToGrid w:val="0"/>
        <w:spacing w:before="0" w:after="0" w:line="380" w:lineRule="exact"/>
        <w:textAlignment w:val="baseline"/>
        <w:rPr>
          <w:rFonts w:ascii="Times New Roman" w:eastAsia="方正仿宋_GBK"/>
          <w:szCs w:val="24"/>
          <w:u w:val="none"/>
        </w:rPr>
      </w:pPr>
      <w:bookmarkStart w:id="558" w:name="_Toc14325"/>
      <w:bookmarkStart w:id="559" w:name="_Toc31508"/>
      <w:bookmarkStart w:id="560" w:name="_Toc24801"/>
      <w:bookmarkStart w:id="561" w:name="_Toc30280"/>
      <w:bookmarkStart w:id="562" w:name="_Toc23729"/>
      <w:bookmarkStart w:id="563" w:name="_Toc24595"/>
      <w:bookmarkStart w:id="564" w:name="_Toc515647798"/>
      <w:bookmarkStart w:id="565" w:name="_Toc15825"/>
      <w:bookmarkStart w:id="566" w:name="_Toc11115"/>
      <w:bookmarkStart w:id="567" w:name="_Toc17121"/>
      <w:bookmarkStart w:id="568" w:name="_Toc1148"/>
      <w:bookmarkStart w:id="569" w:name="_Toc9031"/>
      <w:bookmarkStart w:id="570" w:name="_Toc25962"/>
      <w:r>
        <w:rPr>
          <w:rFonts w:ascii="Times New Roman" w:eastAsia="方正仿宋_GBK"/>
          <w:szCs w:val="24"/>
          <w:u w:val="none"/>
        </w:rPr>
        <w:t>36.质疑与接收</w:t>
      </w:r>
      <w:bookmarkEnd w:id="558"/>
      <w:bookmarkEnd w:id="559"/>
      <w:bookmarkEnd w:id="560"/>
      <w:bookmarkEnd w:id="561"/>
      <w:bookmarkEnd w:id="562"/>
      <w:bookmarkEnd w:id="563"/>
      <w:bookmarkEnd w:id="564"/>
      <w:bookmarkEnd w:id="565"/>
      <w:bookmarkEnd w:id="566"/>
      <w:bookmarkEnd w:id="567"/>
      <w:bookmarkEnd w:id="568"/>
      <w:bookmarkEnd w:id="569"/>
      <w:bookmarkEnd w:id="570"/>
    </w:p>
    <w:p w14:paraId="5658ACB2">
      <w:pPr>
        <w:snapToGrid w:val="0"/>
        <w:spacing w:line="380" w:lineRule="exact"/>
        <w:ind w:left="708" w:hanging="708" w:hangingChars="295"/>
        <w:textAlignment w:val="baseline"/>
        <w:rPr>
          <w:rFonts w:eastAsia="方正仿宋_GBK"/>
          <w:sz w:val="24"/>
        </w:rPr>
      </w:pPr>
      <w:r>
        <w:rPr>
          <w:rFonts w:eastAsia="方正仿宋_GBK"/>
          <w:sz w:val="24"/>
        </w:rPr>
        <w:t>36.1  供应商认为磋商文件、采购过程和成交结果使自己的权益受到损害的，可以根据《中华人民共和国政府采购法》、《中华人民共和国政府采购法实施条例》和和《政府采购质疑和投诉办法》的有关规定，依法向采购人或其委托的采购代理机构提出质疑。</w:t>
      </w:r>
    </w:p>
    <w:p w14:paraId="543FD9E9">
      <w:pPr>
        <w:snapToGrid w:val="0"/>
        <w:spacing w:line="380" w:lineRule="exact"/>
        <w:ind w:left="708" w:hanging="708" w:hangingChars="295"/>
        <w:textAlignment w:val="baseline"/>
        <w:rPr>
          <w:rFonts w:eastAsia="方正仿宋_GBK"/>
          <w:sz w:val="24"/>
        </w:rPr>
      </w:pPr>
      <w:r>
        <w:rPr>
          <w:rFonts w:eastAsia="方正仿宋_GBK"/>
          <w:sz w:val="24"/>
        </w:rPr>
        <w:t>36.2  提出质疑的供应商应当是参加所本项目采购活动的供应商。依法获取可质疑采购文件的潜在供应商也可以依法提出质疑。</w:t>
      </w:r>
    </w:p>
    <w:p w14:paraId="3379C6B0">
      <w:pPr>
        <w:snapToGrid w:val="0"/>
        <w:spacing w:line="380" w:lineRule="exact"/>
        <w:ind w:left="718" w:leftChars="342" w:firstLine="12" w:firstLineChars="5"/>
        <w:textAlignment w:val="baseline"/>
        <w:rPr>
          <w:rFonts w:eastAsia="方正仿宋_GBK"/>
          <w:sz w:val="24"/>
        </w:rPr>
      </w:pPr>
      <w:r>
        <w:rPr>
          <w:rFonts w:eastAsia="方正仿宋_GBK"/>
          <w:sz w:val="24"/>
        </w:rPr>
        <w:t>质疑供应商应按照磋商文件规定的《政府采购质疑函范本》格式和《政府采购质疑和投诉办法》的要求，在法定质疑期内以纸质形式提出质疑，针对同一采购程序环节的质疑应一次性提出。</w:t>
      </w:r>
    </w:p>
    <w:p w14:paraId="5C18D69E">
      <w:pPr>
        <w:snapToGrid w:val="0"/>
        <w:spacing w:line="380" w:lineRule="exact"/>
        <w:ind w:left="718" w:leftChars="342"/>
        <w:textAlignment w:val="baseline"/>
        <w:rPr>
          <w:rFonts w:eastAsia="方正仿宋_GBK"/>
          <w:sz w:val="24"/>
        </w:rPr>
      </w:pPr>
      <w:r>
        <w:rPr>
          <w:rFonts w:eastAsia="方正仿宋_GBK"/>
          <w:sz w:val="24"/>
        </w:rPr>
        <w:t>超出法定质疑期提交的质疑将被拒绝。</w:t>
      </w:r>
    </w:p>
    <w:p w14:paraId="7CFA8089">
      <w:pPr>
        <w:snapToGrid w:val="0"/>
        <w:spacing w:line="380" w:lineRule="exact"/>
        <w:ind w:left="718" w:leftChars="342"/>
        <w:textAlignment w:val="baseline"/>
        <w:rPr>
          <w:rFonts w:eastAsia="方正仿宋_GBK"/>
          <w:sz w:val="24"/>
        </w:rPr>
      </w:pPr>
      <w:r>
        <w:rPr>
          <w:rFonts w:eastAsia="方正仿宋_GBK"/>
          <w:sz w:val="24"/>
        </w:rPr>
        <w:t>超出法定质疑期的、重复提出的、分次提出的或内容、形式不符合《政府采购质疑和投诉办法》的，质疑供应商将依法承担不利后果。</w:t>
      </w:r>
    </w:p>
    <w:p w14:paraId="226F41A7">
      <w:pPr>
        <w:snapToGrid w:val="0"/>
        <w:spacing w:line="380" w:lineRule="exact"/>
        <w:ind w:left="708" w:hanging="708" w:hangingChars="295"/>
        <w:textAlignment w:val="baseline"/>
        <w:rPr>
          <w:rFonts w:eastAsia="方正仿宋_GBK"/>
          <w:sz w:val="24"/>
        </w:rPr>
      </w:pPr>
      <w:r>
        <w:rPr>
          <w:rFonts w:eastAsia="方正仿宋_GBK"/>
          <w:sz w:val="24"/>
        </w:rPr>
        <w:t>36.3   采购代理机构质疑函接收部门、联系电话和通讯地址, 见</w:t>
      </w:r>
      <w:r>
        <w:rPr>
          <w:rFonts w:eastAsia="方正仿宋_GBK"/>
          <w:sz w:val="24"/>
          <w:u w:val="single" w:color="000000"/>
        </w:rPr>
        <w:t>供应商须知资料表。</w:t>
      </w:r>
    </w:p>
    <w:p w14:paraId="3095F009">
      <w:pPr>
        <w:snapToGrid w:val="0"/>
        <w:spacing w:line="380" w:lineRule="exact"/>
        <w:ind w:left="900" w:hanging="900" w:hangingChars="375"/>
        <w:jc w:val="left"/>
        <w:textAlignment w:val="baseline"/>
        <w:rPr>
          <w:rFonts w:eastAsia="方正仿宋_GBK"/>
          <w:sz w:val="24"/>
        </w:rPr>
      </w:pPr>
      <w:r>
        <w:rPr>
          <w:rFonts w:eastAsia="方正仿宋_GBK"/>
          <w:sz w:val="24"/>
        </w:rPr>
        <w:t>36.4   质疑的提出</w:t>
      </w:r>
    </w:p>
    <w:p w14:paraId="222CF3B8">
      <w:pPr>
        <w:snapToGrid w:val="0"/>
        <w:spacing w:line="380" w:lineRule="exact"/>
        <w:ind w:left="900" w:hanging="900" w:hangingChars="375"/>
        <w:jc w:val="left"/>
        <w:textAlignment w:val="baseline"/>
        <w:rPr>
          <w:rFonts w:eastAsia="方正仿宋_GBK"/>
          <w:sz w:val="24"/>
        </w:rPr>
      </w:pPr>
      <w:r>
        <w:rPr>
          <w:rFonts w:eastAsia="方正仿宋_GBK"/>
          <w:sz w:val="24"/>
        </w:rPr>
        <w:t>36.5   本采购文件中所称质疑及答复，是指参加本次采购活动的供应商对政府采购活动中的采购文件、采购过程和成交结果向采购方提出质疑，采购方答复质疑的行为。</w:t>
      </w:r>
    </w:p>
    <w:p w14:paraId="6D180C72">
      <w:pPr>
        <w:snapToGrid w:val="0"/>
        <w:spacing w:line="380" w:lineRule="exact"/>
        <w:ind w:left="900" w:hanging="900" w:hangingChars="375"/>
        <w:jc w:val="left"/>
        <w:textAlignment w:val="baseline"/>
        <w:rPr>
          <w:rFonts w:eastAsia="方正仿宋_GBK"/>
          <w:sz w:val="24"/>
        </w:rPr>
      </w:pPr>
      <w:r>
        <w:rPr>
          <w:rFonts w:eastAsia="方正仿宋_GBK"/>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1A713B26">
      <w:pPr>
        <w:snapToGrid w:val="0"/>
        <w:spacing w:line="380" w:lineRule="exact"/>
        <w:ind w:left="718" w:leftChars="342" w:firstLine="60" w:firstLineChars="25"/>
        <w:jc w:val="left"/>
        <w:textAlignment w:val="baseline"/>
        <w:rPr>
          <w:rFonts w:eastAsia="方正仿宋_GBK"/>
          <w:sz w:val="24"/>
        </w:rPr>
      </w:pPr>
      <w:r>
        <w:rPr>
          <w:rFonts w:eastAsia="方正仿宋_GBK"/>
          <w:sz w:val="24"/>
        </w:rPr>
        <w:t>（一）对可以质疑的采购文件提出质疑的，为收到采购文件之日或者采购文件公告期限届满之日；</w:t>
      </w:r>
    </w:p>
    <w:p w14:paraId="5DB515CB">
      <w:pPr>
        <w:snapToGrid w:val="0"/>
        <w:spacing w:line="380" w:lineRule="exact"/>
        <w:ind w:left="239" w:leftChars="114" w:firstLine="540" w:firstLineChars="225"/>
        <w:jc w:val="left"/>
        <w:textAlignment w:val="baseline"/>
        <w:rPr>
          <w:rFonts w:eastAsia="方正仿宋_GBK"/>
          <w:sz w:val="24"/>
        </w:rPr>
      </w:pPr>
      <w:r>
        <w:rPr>
          <w:rFonts w:eastAsia="方正仿宋_GBK"/>
          <w:sz w:val="24"/>
        </w:rPr>
        <w:t>（二）对采购过程提出质疑的，为各采购程序环节结束之日；</w:t>
      </w:r>
    </w:p>
    <w:p w14:paraId="55D7DFF9">
      <w:pPr>
        <w:snapToGrid w:val="0"/>
        <w:spacing w:line="380" w:lineRule="exact"/>
        <w:ind w:firstLine="720" w:firstLineChars="300"/>
        <w:jc w:val="left"/>
        <w:textAlignment w:val="baseline"/>
        <w:rPr>
          <w:rFonts w:eastAsia="方正仿宋_GBK"/>
          <w:sz w:val="24"/>
        </w:rPr>
      </w:pPr>
      <w:r>
        <w:rPr>
          <w:rFonts w:eastAsia="方正仿宋_GBK"/>
          <w:sz w:val="24"/>
        </w:rPr>
        <w:t>（三）对成交结果提出质疑的，为成交结果公告期限届满之日。</w:t>
      </w:r>
    </w:p>
    <w:p w14:paraId="3FE275F6">
      <w:pPr>
        <w:snapToGrid w:val="0"/>
        <w:spacing w:line="380" w:lineRule="exact"/>
        <w:ind w:left="900" w:hanging="900" w:hangingChars="375"/>
        <w:jc w:val="left"/>
        <w:textAlignment w:val="baseline"/>
        <w:rPr>
          <w:rFonts w:eastAsia="方正仿宋_GBK"/>
          <w:sz w:val="24"/>
        </w:rPr>
      </w:pPr>
      <w:r>
        <w:rPr>
          <w:rFonts w:eastAsia="方正仿宋_GBK"/>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28B67AA8">
      <w:pPr>
        <w:snapToGrid w:val="0"/>
        <w:spacing w:line="380" w:lineRule="exact"/>
        <w:ind w:left="900" w:hanging="900" w:hangingChars="375"/>
        <w:jc w:val="left"/>
        <w:textAlignment w:val="baseline"/>
        <w:rPr>
          <w:rFonts w:eastAsia="方正仿宋_GBK"/>
          <w:sz w:val="24"/>
        </w:rPr>
      </w:pPr>
      <w:r>
        <w:rPr>
          <w:rFonts w:eastAsia="方正仿宋_GBK"/>
          <w:sz w:val="24"/>
        </w:rPr>
        <w:t>36.8   对采购过程和成交结果提出质疑的，质疑人为直接参与本项目的报价方。采购过程</w:t>
      </w:r>
      <w:r>
        <w:rPr>
          <w:rFonts w:hint="eastAsia" w:eastAsia="方正仿宋_GBK"/>
          <w:sz w:val="24"/>
        </w:rPr>
        <w:t>，</w:t>
      </w:r>
      <w:r>
        <w:rPr>
          <w:rFonts w:eastAsia="方正仿宋_GBK"/>
          <w:sz w:val="24"/>
        </w:rPr>
        <w:t>即从采购项目信息公告发布起到成交结果公告止，包括采购文件的发出、提交响应文件、响应文件开启、评审等各个采购程序环节。</w:t>
      </w:r>
    </w:p>
    <w:p w14:paraId="1DCBD048">
      <w:pPr>
        <w:snapToGrid w:val="0"/>
        <w:spacing w:line="380" w:lineRule="exact"/>
        <w:ind w:left="900" w:hanging="900" w:hangingChars="375"/>
        <w:jc w:val="left"/>
        <w:textAlignment w:val="baseline"/>
        <w:rPr>
          <w:rFonts w:eastAsia="方正仿宋_GBK"/>
          <w:sz w:val="24"/>
        </w:rPr>
      </w:pPr>
      <w:r>
        <w:rPr>
          <w:rFonts w:eastAsia="方正仿宋_GBK"/>
          <w:sz w:val="24"/>
        </w:rPr>
        <w:t>36.9   提出质疑应当符合下列条件：</w:t>
      </w:r>
    </w:p>
    <w:p w14:paraId="2C3AEBC5">
      <w:pPr>
        <w:snapToGrid w:val="0"/>
        <w:spacing w:line="380" w:lineRule="exact"/>
        <w:ind w:left="239" w:leftChars="114" w:firstLine="540" w:firstLineChars="225"/>
        <w:jc w:val="left"/>
        <w:textAlignment w:val="baseline"/>
        <w:rPr>
          <w:rFonts w:eastAsia="方正仿宋_GBK"/>
          <w:sz w:val="24"/>
        </w:rPr>
      </w:pPr>
      <w:r>
        <w:rPr>
          <w:rFonts w:eastAsia="方正仿宋_GBK"/>
          <w:sz w:val="24"/>
        </w:rPr>
        <w:t>（一）质疑主体应当符合有关规定；</w:t>
      </w:r>
    </w:p>
    <w:p w14:paraId="2CD44450">
      <w:pPr>
        <w:snapToGrid w:val="0"/>
        <w:spacing w:line="380" w:lineRule="exact"/>
        <w:ind w:left="239" w:leftChars="114" w:firstLine="540" w:firstLineChars="225"/>
        <w:jc w:val="left"/>
        <w:textAlignment w:val="baseline"/>
        <w:rPr>
          <w:rFonts w:eastAsia="方正仿宋_GBK"/>
          <w:sz w:val="24"/>
        </w:rPr>
      </w:pPr>
      <w:r>
        <w:rPr>
          <w:rFonts w:eastAsia="方正仿宋_GBK"/>
          <w:sz w:val="24"/>
        </w:rPr>
        <w:t>（二）在质疑法定期限内提出；</w:t>
      </w:r>
    </w:p>
    <w:p w14:paraId="499ACE97">
      <w:pPr>
        <w:snapToGrid w:val="0"/>
        <w:spacing w:line="380" w:lineRule="exact"/>
        <w:ind w:left="958" w:leftChars="342" w:hanging="240" w:hangingChars="100"/>
        <w:jc w:val="left"/>
        <w:textAlignment w:val="baseline"/>
        <w:rPr>
          <w:rFonts w:eastAsia="方正仿宋_GBK"/>
          <w:sz w:val="24"/>
        </w:rPr>
      </w:pPr>
      <w:r>
        <w:rPr>
          <w:rFonts w:eastAsia="方正仿宋_GBK"/>
          <w:sz w:val="24"/>
        </w:rPr>
        <w:t>（三）属于可以提出质疑的政府采购事项受理范围和本项目采购人的管辖权范围；</w:t>
      </w:r>
    </w:p>
    <w:p w14:paraId="4B94A484">
      <w:pPr>
        <w:snapToGrid w:val="0"/>
        <w:spacing w:line="380" w:lineRule="exact"/>
        <w:ind w:left="239" w:leftChars="114" w:firstLine="540" w:firstLineChars="225"/>
        <w:jc w:val="left"/>
        <w:textAlignment w:val="baseline"/>
        <w:rPr>
          <w:rFonts w:eastAsia="方正仿宋_GBK"/>
          <w:sz w:val="24"/>
        </w:rPr>
      </w:pPr>
      <w:r>
        <w:rPr>
          <w:rFonts w:eastAsia="方正仿宋_GBK"/>
          <w:sz w:val="24"/>
        </w:rPr>
        <w:t>（四）政府采购法律、法规、规章规定的其他条件。</w:t>
      </w:r>
    </w:p>
    <w:p w14:paraId="60551605">
      <w:pPr>
        <w:snapToGrid w:val="0"/>
        <w:spacing w:line="380" w:lineRule="exact"/>
        <w:ind w:left="900" w:hanging="900" w:hangingChars="375"/>
        <w:jc w:val="left"/>
        <w:textAlignment w:val="baseline"/>
        <w:rPr>
          <w:rFonts w:eastAsia="方正仿宋_GBK"/>
          <w:sz w:val="24"/>
        </w:rPr>
      </w:pPr>
      <w:r>
        <w:rPr>
          <w:rFonts w:eastAsia="方正仿宋_GBK"/>
          <w:sz w:val="24"/>
        </w:rPr>
        <w:t>36.10  提出质疑应当具有明确的请求和提供必要的证明材料。明确的请求</w:t>
      </w:r>
      <w:r>
        <w:rPr>
          <w:rFonts w:hint="eastAsia" w:eastAsia="方正仿宋_GBK"/>
          <w:sz w:val="24"/>
        </w:rPr>
        <w:t>，</w:t>
      </w:r>
      <w:r>
        <w:rPr>
          <w:rFonts w:eastAsia="方正仿宋_GBK"/>
          <w:sz w:val="24"/>
        </w:rPr>
        <w:t>即质疑人在质疑函中提出的，要求采购方对其予以支持的主张。必要的证明材料,即能够证明质疑人的质疑请求成立的必要材料，包括相关证据、依据和其他有关材料。</w:t>
      </w:r>
    </w:p>
    <w:p w14:paraId="12791AA9">
      <w:pPr>
        <w:snapToGrid w:val="0"/>
        <w:spacing w:line="380" w:lineRule="exact"/>
        <w:ind w:left="900" w:hanging="900" w:hangingChars="375"/>
        <w:jc w:val="left"/>
        <w:textAlignment w:val="baseline"/>
        <w:rPr>
          <w:rFonts w:eastAsia="方正仿宋_GBK"/>
          <w:sz w:val="24"/>
        </w:rPr>
      </w:pPr>
      <w:r>
        <w:rPr>
          <w:rFonts w:eastAsia="方正仿宋_GBK"/>
          <w:sz w:val="24"/>
        </w:rPr>
        <w:t>36.11  质疑人所提供的证明材料应当具有真实性、合法性以及与质疑事项的关联性和证明力，否则不能作为认定该质疑事项成立的依据。</w:t>
      </w:r>
    </w:p>
    <w:p w14:paraId="2F11EF2F">
      <w:pPr>
        <w:snapToGrid w:val="0"/>
        <w:spacing w:line="380" w:lineRule="exact"/>
        <w:ind w:left="900" w:hanging="900" w:hangingChars="375"/>
        <w:jc w:val="left"/>
        <w:textAlignment w:val="baseline"/>
        <w:rPr>
          <w:rFonts w:eastAsia="方正仿宋_GBK"/>
          <w:sz w:val="24"/>
        </w:rPr>
      </w:pPr>
      <w:r>
        <w:rPr>
          <w:rFonts w:eastAsia="方正仿宋_GBK"/>
          <w:sz w:val="24"/>
        </w:rPr>
        <w:t>36.12  质疑人提出质疑时应当提交质疑函。质疑函包括下列内容：</w:t>
      </w:r>
    </w:p>
    <w:p w14:paraId="2D9EE08F">
      <w:pPr>
        <w:snapToGrid w:val="0"/>
        <w:spacing w:line="380" w:lineRule="exact"/>
        <w:ind w:left="239" w:leftChars="114" w:firstLine="540" w:firstLineChars="225"/>
        <w:jc w:val="left"/>
        <w:textAlignment w:val="baseline"/>
        <w:rPr>
          <w:rFonts w:eastAsia="方正仿宋_GBK"/>
          <w:sz w:val="24"/>
        </w:rPr>
      </w:pPr>
      <w:r>
        <w:rPr>
          <w:rFonts w:eastAsia="方正仿宋_GBK"/>
          <w:sz w:val="24"/>
        </w:rPr>
        <w:t>（一）提出质疑的质疑人的名称、地址、邮编、联系人及联系电话等；</w:t>
      </w:r>
    </w:p>
    <w:p w14:paraId="6149986F">
      <w:pPr>
        <w:snapToGrid w:val="0"/>
        <w:spacing w:line="380" w:lineRule="exact"/>
        <w:ind w:left="239" w:leftChars="114" w:firstLine="540" w:firstLineChars="225"/>
        <w:jc w:val="left"/>
        <w:textAlignment w:val="baseline"/>
        <w:rPr>
          <w:rFonts w:eastAsia="方正仿宋_GBK"/>
          <w:sz w:val="24"/>
        </w:rPr>
      </w:pPr>
      <w:r>
        <w:rPr>
          <w:rFonts w:eastAsia="方正仿宋_GBK"/>
          <w:sz w:val="24"/>
        </w:rPr>
        <w:t>（二）质疑项目的名称、编号；</w:t>
      </w:r>
    </w:p>
    <w:p w14:paraId="25CD3AAC">
      <w:pPr>
        <w:snapToGrid w:val="0"/>
        <w:spacing w:line="380" w:lineRule="exact"/>
        <w:ind w:left="239" w:leftChars="114" w:firstLine="540" w:firstLineChars="225"/>
        <w:jc w:val="left"/>
        <w:textAlignment w:val="baseline"/>
        <w:rPr>
          <w:rFonts w:eastAsia="方正仿宋_GBK"/>
          <w:sz w:val="24"/>
        </w:rPr>
      </w:pPr>
      <w:r>
        <w:rPr>
          <w:rFonts w:eastAsia="方正仿宋_GBK"/>
          <w:sz w:val="24"/>
        </w:rPr>
        <w:t>（三）质疑事项；</w:t>
      </w:r>
    </w:p>
    <w:p w14:paraId="2F98040C">
      <w:pPr>
        <w:snapToGrid w:val="0"/>
        <w:spacing w:line="380" w:lineRule="exact"/>
        <w:ind w:left="239" w:leftChars="114" w:firstLine="540" w:firstLineChars="225"/>
        <w:jc w:val="left"/>
        <w:textAlignment w:val="baseline"/>
        <w:rPr>
          <w:rFonts w:eastAsia="方正仿宋_GBK"/>
          <w:sz w:val="24"/>
        </w:rPr>
      </w:pPr>
      <w:r>
        <w:rPr>
          <w:rFonts w:eastAsia="方正仿宋_GBK"/>
          <w:sz w:val="24"/>
        </w:rPr>
        <w:t>（四）事实依据和证明材料；</w:t>
      </w:r>
    </w:p>
    <w:p w14:paraId="26EF0CC5">
      <w:pPr>
        <w:snapToGrid w:val="0"/>
        <w:spacing w:line="380" w:lineRule="exact"/>
        <w:ind w:firstLine="720" w:firstLineChars="300"/>
        <w:jc w:val="left"/>
        <w:textAlignment w:val="baseline"/>
        <w:rPr>
          <w:rFonts w:eastAsia="方正仿宋_GBK"/>
          <w:sz w:val="24"/>
        </w:rPr>
      </w:pPr>
      <w:r>
        <w:rPr>
          <w:rFonts w:eastAsia="方正仿宋_GBK"/>
          <w:sz w:val="24"/>
        </w:rPr>
        <w:t>（五）法律依据；</w:t>
      </w:r>
    </w:p>
    <w:p w14:paraId="1554E9AC">
      <w:pPr>
        <w:snapToGrid w:val="0"/>
        <w:spacing w:line="380" w:lineRule="exact"/>
        <w:ind w:left="239" w:leftChars="114" w:firstLine="540" w:firstLineChars="225"/>
        <w:jc w:val="left"/>
        <w:textAlignment w:val="baseline"/>
        <w:rPr>
          <w:rFonts w:eastAsia="方正仿宋_GBK"/>
          <w:sz w:val="24"/>
        </w:rPr>
      </w:pPr>
      <w:r>
        <w:rPr>
          <w:rFonts w:eastAsia="方正仿宋_GBK"/>
          <w:sz w:val="24"/>
        </w:rPr>
        <w:t>（六）提出质疑的日期。</w:t>
      </w:r>
    </w:p>
    <w:p w14:paraId="56D086DF">
      <w:pPr>
        <w:snapToGrid w:val="0"/>
        <w:spacing w:line="380" w:lineRule="exact"/>
        <w:ind w:left="957" w:leftChars="456"/>
        <w:jc w:val="left"/>
        <w:textAlignment w:val="baseline"/>
        <w:rPr>
          <w:rFonts w:eastAsia="方正仿宋_GBK"/>
          <w:sz w:val="24"/>
        </w:rPr>
      </w:pPr>
      <w:r>
        <w:rPr>
          <w:rFonts w:eastAsia="方正仿宋_GBK"/>
          <w:sz w:val="24"/>
        </w:rPr>
        <w:t>质疑函采用实名制。质疑人为自然人的应当由本人签字，并附有效身份证明文件；质疑人为法人或者非法人组织的应当由法定代表人或者负责人签字并加盖公章，并附有效身份证明文件。</w:t>
      </w:r>
    </w:p>
    <w:p w14:paraId="0D7237EE">
      <w:pPr>
        <w:snapToGrid w:val="0"/>
        <w:spacing w:line="380" w:lineRule="exact"/>
        <w:ind w:left="900" w:hanging="900" w:hangingChars="375"/>
        <w:jc w:val="left"/>
        <w:textAlignment w:val="baseline"/>
        <w:rPr>
          <w:rFonts w:eastAsia="方正仿宋_GBK"/>
          <w:sz w:val="24"/>
        </w:rPr>
      </w:pPr>
      <w:r>
        <w:rPr>
          <w:rFonts w:eastAsia="方正仿宋_GBK"/>
          <w:sz w:val="24"/>
        </w:rPr>
        <w:t xml:space="preserve">36.13  </w:t>
      </w:r>
      <w:r>
        <w:rPr>
          <w:rFonts w:hint="eastAsia" w:eastAsia="方正仿宋_GBK"/>
          <w:sz w:val="24"/>
        </w:rPr>
        <w:t xml:space="preserve"> </w:t>
      </w:r>
      <w:r>
        <w:rPr>
          <w:rFonts w:eastAsia="方正仿宋_GBK"/>
          <w:sz w:val="24"/>
        </w:rPr>
        <w:t>质疑人可以委托代理人进行质疑。代理人应当提交授权委托书。授权委托书应当载明委托代理的具体权限、期限和相关事项。</w:t>
      </w:r>
    </w:p>
    <w:p w14:paraId="54E65C86">
      <w:pPr>
        <w:snapToGrid w:val="0"/>
        <w:spacing w:line="380" w:lineRule="exact"/>
        <w:ind w:left="900" w:hanging="900" w:hangingChars="375"/>
        <w:jc w:val="left"/>
        <w:textAlignment w:val="baseline"/>
        <w:rPr>
          <w:rFonts w:eastAsia="方正仿宋_GBK"/>
          <w:sz w:val="24"/>
        </w:rPr>
      </w:pPr>
      <w:r>
        <w:rPr>
          <w:rFonts w:eastAsia="方正仿宋_GBK"/>
          <w:sz w:val="24"/>
        </w:rPr>
        <w:t xml:space="preserve">36.14  </w:t>
      </w:r>
      <w:r>
        <w:rPr>
          <w:rFonts w:hint="eastAsia" w:eastAsia="方正仿宋_GBK"/>
          <w:sz w:val="24"/>
        </w:rPr>
        <w:t xml:space="preserve"> </w:t>
      </w:r>
      <w:r>
        <w:rPr>
          <w:rFonts w:eastAsia="方正仿宋_GBK"/>
          <w:sz w:val="24"/>
        </w:rPr>
        <w:t>质疑的审查和受理</w:t>
      </w:r>
    </w:p>
    <w:p w14:paraId="094B47B4">
      <w:pPr>
        <w:snapToGrid w:val="0"/>
        <w:spacing w:line="380" w:lineRule="exact"/>
        <w:ind w:left="957" w:leftChars="456"/>
        <w:jc w:val="left"/>
        <w:textAlignment w:val="baseline"/>
        <w:rPr>
          <w:rFonts w:eastAsia="方正仿宋_GBK"/>
          <w:sz w:val="24"/>
        </w:rPr>
      </w:pPr>
      <w:r>
        <w:rPr>
          <w:rFonts w:eastAsia="方正仿宋_GBK"/>
          <w:sz w:val="24"/>
        </w:rPr>
        <w:t>采购方或采购代理机构在收到质疑函后应当及时审查是否符合质疑受理条件，对符合质疑受理条件的，及时予以受理。</w:t>
      </w:r>
    </w:p>
    <w:p w14:paraId="32C113B3">
      <w:pPr>
        <w:snapToGrid w:val="0"/>
        <w:spacing w:line="380" w:lineRule="exact"/>
        <w:ind w:left="900" w:hanging="900" w:hangingChars="375"/>
        <w:jc w:val="left"/>
        <w:textAlignment w:val="baseline"/>
        <w:rPr>
          <w:rFonts w:eastAsia="方正仿宋_GBK"/>
          <w:sz w:val="24"/>
        </w:rPr>
      </w:pPr>
      <w:r>
        <w:rPr>
          <w:rFonts w:eastAsia="方正仿宋_GBK"/>
          <w:sz w:val="24"/>
        </w:rPr>
        <w:t xml:space="preserve">36.15 </w:t>
      </w:r>
      <w:r>
        <w:rPr>
          <w:rFonts w:hint="eastAsia" w:eastAsia="方正仿宋_GBK"/>
          <w:sz w:val="24"/>
        </w:rPr>
        <w:t xml:space="preserve"> </w:t>
      </w:r>
      <w:r>
        <w:rPr>
          <w:rFonts w:eastAsia="方正仿宋_GBK"/>
          <w:sz w:val="24"/>
        </w:rPr>
        <w:t xml:space="preserve"> 对不符合质疑受理条件的，分别按照下列不同情形予以处理：</w:t>
      </w:r>
    </w:p>
    <w:p w14:paraId="243DAE2B">
      <w:pPr>
        <w:snapToGrid w:val="0"/>
        <w:spacing w:line="380" w:lineRule="exact"/>
        <w:ind w:left="958" w:leftChars="342" w:hanging="240" w:hangingChars="100"/>
        <w:jc w:val="left"/>
        <w:textAlignment w:val="baseline"/>
        <w:rPr>
          <w:rFonts w:eastAsia="方正仿宋_GBK"/>
          <w:sz w:val="24"/>
        </w:rPr>
      </w:pPr>
      <w:r>
        <w:rPr>
          <w:rFonts w:eastAsia="方正仿宋_GBK"/>
          <w:sz w:val="24"/>
        </w:rPr>
        <w:t>（一）质疑函内容不符合规定的，告知质疑人进行修改并重新提出质疑。修改后质疑事项仍不具体、不明确或者最终递交质疑函的时间超过质疑法定期限的，不予受理；</w:t>
      </w:r>
    </w:p>
    <w:p w14:paraId="25E28A8C">
      <w:pPr>
        <w:snapToGrid w:val="0"/>
        <w:spacing w:line="380" w:lineRule="exact"/>
        <w:ind w:left="239" w:leftChars="114" w:firstLine="540" w:firstLineChars="225"/>
        <w:jc w:val="left"/>
        <w:textAlignment w:val="baseline"/>
        <w:rPr>
          <w:rFonts w:eastAsia="方正仿宋_GBK"/>
          <w:sz w:val="24"/>
        </w:rPr>
      </w:pPr>
      <w:r>
        <w:rPr>
          <w:rFonts w:eastAsia="方正仿宋_GBK"/>
          <w:sz w:val="24"/>
        </w:rPr>
        <w:t>（二）质疑主体不符合有关规定的，告知质疑人不予受理；</w:t>
      </w:r>
    </w:p>
    <w:p w14:paraId="4C7033F1">
      <w:pPr>
        <w:snapToGrid w:val="0"/>
        <w:spacing w:line="380" w:lineRule="exact"/>
        <w:ind w:left="239" w:leftChars="114" w:firstLine="540" w:firstLineChars="225"/>
        <w:jc w:val="left"/>
        <w:textAlignment w:val="baseline"/>
        <w:rPr>
          <w:rFonts w:eastAsia="方正仿宋_GBK"/>
          <w:sz w:val="24"/>
        </w:rPr>
      </w:pPr>
      <w:r>
        <w:rPr>
          <w:rFonts w:eastAsia="方正仿宋_GBK"/>
          <w:sz w:val="24"/>
        </w:rPr>
        <w:t>（三）超过质疑法定期限提出质疑的，告知质疑人不予受理；</w:t>
      </w:r>
    </w:p>
    <w:p w14:paraId="008855B1">
      <w:pPr>
        <w:snapToGrid w:val="0"/>
        <w:spacing w:line="380" w:lineRule="exact"/>
        <w:ind w:left="958" w:leftChars="342" w:hanging="240" w:hangingChars="100"/>
        <w:jc w:val="left"/>
        <w:textAlignment w:val="baseline"/>
        <w:rPr>
          <w:rFonts w:eastAsia="方正仿宋_GBK"/>
          <w:sz w:val="24"/>
        </w:rPr>
      </w:pPr>
      <w:r>
        <w:rPr>
          <w:rFonts w:eastAsia="方正仿宋_GBK"/>
          <w:sz w:val="24"/>
        </w:rPr>
        <w:t>（四）对不属于可以提出质疑的政府采购事项提出质疑的，告知质疑人不予受理；</w:t>
      </w:r>
    </w:p>
    <w:p w14:paraId="75C49CEE">
      <w:pPr>
        <w:snapToGrid w:val="0"/>
        <w:spacing w:line="380" w:lineRule="exact"/>
        <w:ind w:left="958" w:leftChars="342" w:hanging="240" w:hangingChars="100"/>
        <w:jc w:val="left"/>
        <w:textAlignment w:val="baseline"/>
        <w:rPr>
          <w:rFonts w:eastAsia="方正仿宋_GBK"/>
          <w:sz w:val="24"/>
        </w:rPr>
      </w:pPr>
      <w:r>
        <w:rPr>
          <w:rFonts w:eastAsia="方正仿宋_GBK"/>
          <w:sz w:val="24"/>
        </w:rPr>
        <w:t>（五）质疑不属于本项目采购方管辖的，告知质疑人向有管辖权的采购人提出质疑；</w:t>
      </w:r>
    </w:p>
    <w:p w14:paraId="1199A1AE">
      <w:pPr>
        <w:snapToGrid w:val="0"/>
        <w:spacing w:line="380" w:lineRule="exact"/>
        <w:ind w:left="239" w:leftChars="114" w:firstLine="540" w:firstLineChars="225"/>
        <w:jc w:val="left"/>
        <w:textAlignment w:val="baseline"/>
        <w:rPr>
          <w:rFonts w:eastAsia="方正仿宋_GBK"/>
          <w:sz w:val="24"/>
        </w:rPr>
      </w:pPr>
      <w:r>
        <w:rPr>
          <w:rFonts w:eastAsia="方正仿宋_GBK"/>
          <w:sz w:val="24"/>
        </w:rPr>
        <w:t>（六）质疑不符合其他条件的，告知质疑人不予受理。</w:t>
      </w:r>
    </w:p>
    <w:p w14:paraId="5F793F92">
      <w:pPr>
        <w:snapToGrid w:val="0"/>
        <w:spacing w:line="380" w:lineRule="exact"/>
        <w:ind w:left="900" w:hanging="900" w:hangingChars="375"/>
        <w:jc w:val="left"/>
        <w:textAlignment w:val="baseline"/>
        <w:rPr>
          <w:rFonts w:eastAsia="方正仿宋_GBK"/>
          <w:sz w:val="24"/>
        </w:rPr>
      </w:pPr>
      <w:r>
        <w:rPr>
          <w:rFonts w:eastAsia="方正仿宋_GBK"/>
          <w:sz w:val="24"/>
        </w:rPr>
        <w:t xml:space="preserve">36.16  </w:t>
      </w:r>
      <w:r>
        <w:rPr>
          <w:rFonts w:hint="eastAsia" w:eastAsia="方正仿宋_GBK"/>
          <w:sz w:val="24"/>
        </w:rPr>
        <w:t xml:space="preserve"> </w:t>
      </w:r>
      <w:r>
        <w:rPr>
          <w:rFonts w:eastAsia="方正仿宋_GBK"/>
          <w:sz w:val="24"/>
        </w:rPr>
        <w:t>质疑的处理和答复</w:t>
      </w:r>
    </w:p>
    <w:p w14:paraId="4DF723A0">
      <w:pPr>
        <w:snapToGrid w:val="0"/>
        <w:spacing w:line="380" w:lineRule="exact"/>
        <w:ind w:left="900" w:hanging="900" w:hangingChars="375"/>
        <w:jc w:val="left"/>
        <w:textAlignment w:val="baseline"/>
        <w:rPr>
          <w:rFonts w:eastAsia="方正仿宋_GBK"/>
          <w:sz w:val="24"/>
        </w:rPr>
      </w:pPr>
      <w:r>
        <w:rPr>
          <w:rFonts w:eastAsia="方正仿宋_GBK"/>
          <w:sz w:val="24"/>
        </w:rPr>
        <w:t xml:space="preserve">36.17  </w:t>
      </w:r>
      <w:r>
        <w:rPr>
          <w:rFonts w:hint="eastAsia" w:eastAsia="方正仿宋_GBK"/>
          <w:sz w:val="24"/>
        </w:rPr>
        <w:t xml:space="preserve"> </w:t>
      </w:r>
      <w:r>
        <w:rPr>
          <w:rFonts w:eastAsia="方正仿宋_GBK"/>
          <w:sz w:val="24"/>
        </w:rPr>
        <w:t>采购方受理质疑后，将及时把质疑函发送给被质疑人，并要求其在一定限期内提交书面答复，同时提供有关证据、依据和相关材料。</w:t>
      </w:r>
    </w:p>
    <w:p w14:paraId="689D1576">
      <w:pPr>
        <w:snapToGrid w:val="0"/>
        <w:spacing w:line="380" w:lineRule="exact"/>
        <w:ind w:left="900" w:hanging="900" w:hangingChars="375"/>
        <w:jc w:val="left"/>
        <w:textAlignment w:val="baseline"/>
        <w:rPr>
          <w:rFonts w:eastAsia="方正仿宋_GBK"/>
          <w:sz w:val="24"/>
        </w:rPr>
      </w:pPr>
      <w:r>
        <w:rPr>
          <w:rFonts w:eastAsia="方正仿宋_GBK"/>
          <w:sz w:val="24"/>
        </w:rPr>
        <w:t xml:space="preserve">36.18  </w:t>
      </w:r>
      <w:r>
        <w:rPr>
          <w:rFonts w:hint="eastAsia" w:eastAsia="方正仿宋_GBK"/>
          <w:sz w:val="24"/>
        </w:rPr>
        <w:t xml:space="preserve"> </w:t>
      </w:r>
      <w:r>
        <w:rPr>
          <w:rFonts w:eastAsia="方正仿宋_GBK"/>
          <w:sz w:val="24"/>
        </w:rPr>
        <w:t>对于质疑事项中涉及的问题较多、情况比较复杂的，为了全面查清事实、取得充分的证据，采购方认为有必要时，可以进行调查取证或者组织质证。</w:t>
      </w:r>
    </w:p>
    <w:p w14:paraId="5E3BD086">
      <w:pPr>
        <w:snapToGrid w:val="0"/>
        <w:spacing w:line="380" w:lineRule="exact"/>
        <w:ind w:left="900" w:hanging="900" w:hangingChars="375"/>
        <w:jc w:val="left"/>
        <w:textAlignment w:val="baseline"/>
        <w:rPr>
          <w:rFonts w:eastAsia="方正仿宋_GBK"/>
          <w:sz w:val="24"/>
        </w:rPr>
      </w:pPr>
      <w:r>
        <w:rPr>
          <w:rFonts w:eastAsia="方正仿宋_GBK"/>
          <w:sz w:val="24"/>
        </w:rPr>
        <w:t xml:space="preserve">36.19  </w:t>
      </w:r>
      <w:r>
        <w:rPr>
          <w:rFonts w:hint="eastAsia" w:eastAsia="方正仿宋_GBK"/>
          <w:sz w:val="24"/>
        </w:rPr>
        <w:t xml:space="preserve"> </w:t>
      </w:r>
      <w:r>
        <w:rPr>
          <w:rFonts w:eastAsia="方正仿宋_GBK"/>
          <w:sz w:val="24"/>
        </w:rPr>
        <w:t>对评审过程、成交结果提出质疑的，采购方可以组织原评审委员会协助答复质疑。</w:t>
      </w:r>
    </w:p>
    <w:p w14:paraId="7BD529FD">
      <w:pPr>
        <w:snapToGrid w:val="0"/>
        <w:spacing w:line="380" w:lineRule="exact"/>
        <w:ind w:left="900" w:hanging="900" w:hangingChars="375"/>
        <w:jc w:val="left"/>
        <w:textAlignment w:val="baseline"/>
        <w:rPr>
          <w:rFonts w:eastAsia="方正仿宋_GBK"/>
          <w:sz w:val="24"/>
        </w:rPr>
      </w:pPr>
      <w:r>
        <w:rPr>
          <w:rFonts w:eastAsia="方正仿宋_GBK"/>
          <w:sz w:val="24"/>
        </w:rPr>
        <w:t xml:space="preserve">36.20  </w:t>
      </w:r>
      <w:r>
        <w:rPr>
          <w:rFonts w:hint="eastAsia" w:eastAsia="方正仿宋_GBK"/>
          <w:sz w:val="24"/>
        </w:rPr>
        <w:t xml:space="preserve"> </w:t>
      </w:r>
      <w:r>
        <w:rPr>
          <w:rFonts w:eastAsia="方正仿宋_GBK"/>
          <w:sz w:val="24"/>
        </w:rPr>
        <w:t>质疑处理过程中，质疑人书面申请撤回质疑的，将终止质疑处理程序。</w:t>
      </w:r>
    </w:p>
    <w:p w14:paraId="6D76250F">
      <w:pPr>
        <w:snapToGrid w:val="0"/>
        <w:spacing w:line="380" w:lineRule="exact"/>
        <w:ind w:left="900" w:hanging="900" w:hangingChars="375"/>
        <w:jc w:val="left"/>
        <w:textAlignment w:val="baseline"/>
        <w:rPr>
          <w:rFonts w:eastAsia="方正仿宋_GBK"/>
          <w:sz w:val="24"/>
        </w:rPr>
      </w:pPr>
      <w:r>
        <w:rPr>
          <w:rFonts w:eastAsia="方正仿宋_GBK"/>
          <w:sz w:val="24"/>
        </w:rPr>
        <w:t xml:space="preserve">36.21  </w:t>
      </w:r>
      <w:r>
        <w:rPr>
          <w:rFonts w:hint="eastAsia" w:eastAsia="方正仿宋_GBK"/>
          <w:sz w:val="24"/>
        </w:rPr>
        <w:t xml:space="preserve"> </w:t>
      </w:r>
      <w:r>
        <w:rPr>
          <w:rFonts w:eastAsia="方正仿宋_GBK"/>
          <w:sz w:val="24"/>
        </w:rPr>
        <w:t>质疑人拒绝配合采购方依法对质疑进行调查处理的，采购方将按质疑人自动撤回质疑处理；被质疑人拒绝配合采购方依法对质疑进行调查处理的，采购方将视同其认可质疑事项。</w:t>
      </w:r>
    </w:p>
    <w:p w14:paraId="5AB23952">
      <w:pPr>
        <w:snapToGrid w:val="0"/>
        <w:spacing w:line="380" w:lineRule="exact"/>
        <w:ind w:left="900" w:hanging="900" w:hangingChars="375"/>
        <w:jc w:val="left"/>
        <w:textAlignment w:val="baseline"/>
        <w:rPr>
          <w:rFonts w:eastAsia="方正仿宋_GBK"/>
          <w:sz w:val="24"/>
        </w:rPr>
      </w:pPr>
      <w:r>
        <w:rPr>
          <w:rFonts w:eastAsia="方正仿宋_GBK"/>
          <w:sz w:val="24"/>
        </w:rPr>
        <w:t xml:space="preserve">36.22  </w:t>
      </w:r>
      <w:r>
        <w:rPr>
          <w:rFonts w:hint="eastAsia" w:eastAsia="方正仿宋_GBK"/>
          <w:sz w:val="24"/>
        </w:rPr>
        <w:t xml:space="preserve"> </w:t>
      </w:r>
      <w:r>
        <w:rPr>
          <w:rFonts w:eastAsia="方正仿宋_GBK"/>
          <w:sz w:val="24"/>
        </w:rPr>
        <w:t>质疑人拒绝配合采购方依法对质疑进行调查处理的，采购方将按质疑人自动撤回质疑处理；被质疑人拒绝配合采购方依法对质疑进行调查处理的，采购方将视同其认可质疑事项。</w:t>
      </w:r>
    </w:p>
    <w:p w14:paraId="6F92F13D">
      <w:pPr>
        <w:snapToGrid w:val="0"/>
        <w:spacing w:line="380" w:lineRule="exact"/>
        <w:ind w:left="900" w:hanging="900" w:hangingChars="375"/>
        <w:jc w:val="left"/>
        <w:textAlignment w:val="baseline"/>
        <w:rPr>
          <w:rFonts w:eastAsia="方正仿宋_GBK"/>
          <w:sz w:val="24"/>
        </w:rPr>
      </w:pPr>
      <w:r>
        <w:rPr>
          <w:rFonts w:eastAsia="方正仿宋_GBK"/>
          <w:sz w:val="24"/>
        </w:rPr>
        <w:t>36.23  采购方将在正式受理质疑后7个工作日内作出答复。</w:t>
      </w:r>
    </w:p>
    <w:p w14:paraId="7D672141">
      <w:pPr>
        <w:pStyle w:val="47"/>
        <w:snapToGrid w:val="0"/>
        <w:spacing w:before="0" w:after="0" w:line="380" w:lineRule="exact"/>
        <w:jc w:val="both"/>
        <w:textAlignment w:val="baseline"/>
        <w:rPr>
          <w:rFonts w:ascii="Times New Roman" w:eastAsia="方正仿宋_GBK" w:cs="Times New Roman"/>
          <w:color w:val="auto"/>
        </w:rPr>
      </w:pPr>
      <w:r>
        <w:rPr>
          <w:rFonts w:ascii="Times New Roman" w:eastAsia="方正仿宋_GBK" w:cs="Times New Roman"/>
          <w:color w:val="auto"/>
        </w:rPr>
        <w:t>36.24  质疑答复应当包括下列内容：</w:t>
      </w:r>
    </w:p>
    <w:p w14:paraId="5B54FBBB">
      <w:pPr>
        <w:pStyle w:val="47"/>
        <w:snapToGrid w:val="0"/>
        <w:spacing w:before="0" w:after="0" w:line="380" w:lineRule="exact"/>
        <w:ind w:firstLine="720" w:firstLineChars="300"/>
        <w:jc w:val="both"/>
        <w:textAlignment w:val="baseline"/>
        <w:rPr>
          <w:rFonts w:ascii="Times New Roman" w:eastAsia="方正仿宋_GBK" w:cs="Times New Roman"/>
          <w:color w:val="auto"/>
        </w:rPr>
      </w:pPr>
      <w:r>
        <w:rPr>
          <w:rFonts w:ascii="Times New Roman" w:eastAsia="方正仿宋_GBK" w:cs="Times New Roman"/>
          <w:color w:val="auto"/>
        </w:rPr>
        <w:t>（一）质疑人的姓名或者名称；</w:t>
      </w:r>
    </w:p>
    <w:p w14:paraId="34B3EF31">
      <w:pPr>
        <w:pStyle w:val="47"/>
        <w:snapToGrid w:val="0"/>
        <w:spacing w:before="0" w:after="0" w:line="380" w:lineRule="exact"/>
        <w:ind w:firstLine="720" w:firstLineChars="300"/>
        <w:jc w:val="both"/>
        <w:textAlignment w:val="baseline"/>
        <w:rPr>
          <w:rFonts w:ascii="Times New Roman" w:eastAsia="方正仿宋_GBK" w:cs="Times New Roman"/>
          <w:color w:val="auto"/>
        </w:rPr>
      </w:pPr>
      <w:r>
        <w:rPr>
          <w:rFonts w:ascii="Times New Roman" w:eastAsia="方正仿宋_GBK" w:cs="Times New Roman"/>
          <w:color w:val="auto"/>
        </w:rPr>
        <w:t>（二）收到质疑函的日期、质疑项目名称及编号；</w:t>
      </w:r>
    </w:p>
    <w:p w14:paraId="61F43D64">
      <w:pPr>
        <w:pStyle w:val="47"/>
        <w:snapToGrid w:val="0"/>
        <w:spacing w:before="0" w:after="0" w:line="380" w:lineRule="exact"/>
        <w:ind w:firstLine="720" w:firstLineChars="300"/>
        <w:jc w:val="both"/>
        <w:textAlignment w:val="baseline"/>
        <w:rPr>
          <w:rFonts w:ascii="Times New Roman" w:eastAsia="方正仿宋_GBK" w:cs="Times New Roman"/>
          <w:color w:val="auto"/>
        </w:rPr>
      </w:pPr>
      <w:r>
        <w:rPr>
          <w:rFonts w:ascii="Times New Roman" w:eastAsia="方正仿宋_GBK" w:cs="Times New Roman"/>
          <w:color w:val="auto"/>
        </w:rPr>
        <w:t>（三）质疑事项、质疑答复的具体内容、事实依据和法律依据；</w:t>
      </w:r>
    </w:p>
    <w:p w14:paraId="33D99CE4">
      <w:pPr>
        <w:pStyle w:val="47"/>
        <w:snapToGrid w:val="0"/>
        <w:spacing w:before="0" w:after="0" w:line="380" w:lineRule="exact"/>
        <w:ind w:firstLine="720" w:firstLineChars="300"/>
        <w:jc w:val="both"/>
        <w:textAlignment w:val="baseline"/>
        <w:rPr>
          <w:rFonts w:ascii="Times New Roman" w:eastAsia="方正仿宋_GBK" w:cs="Times New Roman"/>
          <w:color w:val="auto"/>
        </w:rPr>
      </w:pPr>
      <w:r>
        <w:rPr>
          <w:rFonts w:ascii="Times New Roman" w:eastAsia="方正仿宋_GBK" w:cs="Times New Roman"/>
          <w:color w:val="auto"/>
        </w:rPr>
        <w:t>（四）告知质疑供应商依法投诉的权利；</w:t>
      </w:r>
    </w:p>
    <w:p w14:paraId="6CADA684">
      <w:pPr>
        <w:pStyle w:val="47"/>
        <w:snapToGrid w:val="0"/>
        <w:spacing w:before="0" w:after="0" w:line="380" w:lineRule="exact"/>
        <w:ind w:firstLine="720" w:firstLineChars="300"/>
        <w:jc w:val="both"/>
        <w:textAlignment w:val="baseline"/>
        <w:rPr>
          <w:rFonts w:ascii="Times New Roman" w:eastAsia="方正仿宋_GBK" w:cs="Times New Roman"/>
          <w:color w:val="auto"/>
        </w:rPr>
      </w:pPr>
      <w:r>
        <w:rPr>
          <w:rFonts w:ascii="Times New Roman" w:eastAsia="方正仿宋_GBK" w:cs="Times New Roman"/>
          <w:color w:val="auto"/>
        </w:rPr>
        <w:t>（五）质疑答复人名称；</w:t>
      </w:r>
    </w:p>
    <w:p w14:paraId="051521DF">
      <w:pPr>
        <w:pStyle w:val="47"/>
        <w:snapToGrid w:val="0"/>
        <w:spacing w:before="0" w:after="0" w:line="380" w:lineRule="exact"/>
        <w:ind w:firstLine="720" w:firstLineChars="300"/>
        <w:jc w:val="both"/>
        <w:textAlignment w:val="baseline"/>
        <w:rPr>
          <w:rFonts w:ascii="Times New Roman" w:eastAsia="方正仿宋_GBK" w:cs="Times New Roman"/>
          <w:color w:val="auto"/>
        </w:rPr>
      </w:pPr>
      <w:r>
        <w:rPr>
          <w:rFonts w:ascii="Times New Roman" w:eastAsia="方正仿宋_GBK" w:cs="Times New Roman"/>
          <w:color w:val="auto"/>
        </w:rPr>
        <w:t>（六）答复质疑的日期。</w:t>
      </w:r>
    </w:p>
    <w:p w14:paraId="33DBEACF">
      <w:pPr>
        <w:pStyle w:val="47"/>
        <w:snapToGrid w:val="0"/>
        <w:spacing w:before="0" w:after="0" w:line="380" w:lineRule="exact"/>
        <w:jc w:val="both"/>
        <w:textAlignment w:val="baseline"/>
        <w:rPr>
          <w:rFonts w:ascii="Times New Roman" w:eastAsia="方正仿宋_GBK" w:cs="Times New Roman"/>
          <w:b w:val="0"/>
          <w:bCs w:val="0"/>
          <w:color w:val="auto"/>
          <w:kern w:val="0"/>
        </w:rPr>
      </w:pPr>
      <w:r>
        <w:rPr>
          <w:rFonts w:ascii="Times New Roman" w:eastAsia="方正仿宋_GBK" w:cs="Times New Roman"/>
          <w:b w:val="0"/>
          <w:bCs w:val="0"/>
          <w:color w:val="auto"/>
          <w:kern w:val="0"/>
        </w:rPr>
        <w:t>37.投诉与接收</w:t>
      </w:r>
    </w:p>
    <w:p w14:paraId="5027AEC8">
      <w:pPr>
        <w:pStyle w:val="47"/>
        <w:snapToGrid w:val="0"/>
        <w:spacing w:before="0" w:after="0" w:line="380" w:lineRule="exact"/>
        <w:ind w:left="720" w:hanging="720" w:hangingChars="300"/>
        <w:jc w:val="both"/>
        <w:textAlignment w:val="baseline"/>
        <w:rPr>
          <w:rFonts w:ascii="Times New Roman" w:eastAsia="方正仿宋_GBK" w:cs="Times New Roman"/>
          <w:b w:val="0"/>
          <w:bCs w:val="0"/>
          <w:color w:val="auto"/>
        </w:rPr>
      </w:pPr>
      <w:r>
        <w:rPr>
          <w:rFonts w:ascii="Times New Roman" w:eastAsia="方正仿宋_GBK" w:cs="Times New Roman"/>
          <w:b w:val="0"/>
          <w:bCs w:val="0"/>
          <w:color w:val="auto"/>
        </w:rPr>
        <w:t>37.1  质疑供应商对采购人、采购代理机构的答复不满意，或者采购人、采购代理机构未在规定时间内作出答复的，可以在答复期满后15个工作日内向同级财政部门提起投诉。</w:t>
      </w:r>
    </w:p>
    <w:p w14:paraId="327E0936">
      <w:pPr>
        <w:pStyle w:val="47"/>
        <w:snapToGrid w:val="0"/>
        <w:spacing w:before="0" w:after="0" w:line="380" w:lineRule="exact"/>
        <w:jc w:val="both"/>
        <w:textAlignment w:val="baseline"/>
        <w:rPr>
          <w:rFonts w:ascii="Times New Roman" w:eastAsia="方正仿宋_GBK" w:cs="Times New Roman"/>
          <w:b w:val="0"/>
          <w:bCs w:val="0"/>
          <w:color w:val="auto"/>
        </w:rPr>
      </w:pPr>
      <w:r>
        <w:rPr>
          <w:rFonts w:ascii="Times New Roman" w:eastAsia="方正仿宋_GBK" w:cs="Times New Roman"/>
          <w:b w:val="0"/>
          <w:bCs w:val="0"/>
          <w:color w:val="auto"/>
        </w:rPr>
        <w:t>37.2  投诉函接收部门、联系电话和通讯地址, 见</w:t>
      </w:r>
      <w:r>
        <w:rPr>
          <w:rFonts w:ascii="Times New Roman" w:eastAsia="方正仿宋_GBK" w:cs="Times New Roman"/>
          <w:b w:val="0"/>
          <w:bCs w:val="0"/>
          <w:color w:val="auto"/>
          <w:u w:val="single"/>
        </w:rPr>
        <w:t>供应商须知资料表</w:t>
      </w:r>
      <w:r>
        <w:rPr>
          <w:rFonts w:ascii="Times New Roman" w:eastAsia="方正仿宋_GBK" w:cs="Times New Roman"/>
          <w:b w:val="0"/>
          <w:bCs w:val="0"/>
          <w:color w:val="auto"/>
        </w:rPr>
        <w:t>。</w:t>
      </w:r>
    </w:p>
    <w:p w14:paraId="53BAE836">
      <w:pPr>
        <w:snapToGrid w:val="0"/>
        <w:spacing w:line="380" w:lineRule="exact"/>
        <w:jc w:val="center"/>
        <w:textAlignment w:val="baseline"/>
        <w:rPr>
          <w:rFonts w:eastAsia="方正仿宋_GBK"/>
          <w:b/>
          <w:bCs/>
          <w:sz w:val="24"/>
        </w:rPr>
      </w:pPr>
    </w:p>
    <w:p w14:paraId="3B97FC66">
      <w:pPr>
        <w:pStyle w:val="2"/>
        <w:rPr>
          <w:rFonts w:ascii="Times New Roman" w:eastAsia="方正仿宋_GBK"/>
          <w:szCs w:val="24"/>
        </w:rPr>
      </w:pPr>
    </w:p>
    <w:p w14:paraId="4B2E0C13">
      <w:pPr>
        <w:snapToGrid w:val="0"/>
        <w:spacing w:line="380" w:lineRule="exact"/>
        <w:textAlignment w:val="baseline"/>
        <w:rPr>
          <w:rFonts w:eastAsia="方正仿宋_GBK"/>
          <w:b/>
          <w:bCs/>
          <w:sz w:val="24"/>
        </w:rPr>
      </w:pPr>
      <w:bookmarkStart w:id="571" w:name="_Toc14949"/>
      <w:bookmarkStart w:id="572" w:name="_Toc24577"/>
    </w:p>
    <w:p w14:paraId="1EF722AC">
      <w:pPr>
        <w:snapToGrid w:val="0"/>
        <w:spacing w:line="380" w:lineRule="exact"/>
        <w:jc w:val="center"/>
        <w:textAlignment w:val="baseline"/>
        <w:rPr>
          <w:rFonts w:eastAsia="方正仿宋_GBK"/>
          <w:b/>
          <w:bCs/>
          <w:sz w:val="24"/>
        </w:rPr>
      </w:pPr>
    </w:p>
    <w:p w14:paraId="49B96E73">
      <w:pPr>
        <w:snapToGrid w:val="0"/>
        <w:spacing w:line="380" w:lineRule="exact"/>
        <w:jc w:val="center"/>
        <w:textAlignment w:val="baseline"/>
        <w:rPr>
          <w:rFonts w:eastAsia="方正仿宋_GBK"/>
          <w:b/>
          <w:bCs/>
          <w:sz w:val="24"/>
        </w:rPr>
      </w:pPr>
    </w:p>
    <w:p w14:paraId="7920C54E">
      <w:pPr>
        <w:snapToGrid w:val="0"/>
        <w:spacing w:line="380" w:lineRule="exact"/>
        <w:jc w:val="center"/>
        <w:textAlignment w:val="baseline"/>
        <w:rPr>
          <w:rFonts w:ascii="微软雅黑" w:hAnsi="微软雅黑" w:eastAsia="微软雅黑" w:cs="微软雅黑"/>
          <w:b/>
          <w:bCs/>
          <w:sz w:val="24"/>
        </w:rPr>
      </w:pPr>
    </w:p>
    <w:p w14:paraId="751B443B">
      <w:pPr>
        <w:snapToGrid w:val="0"/>
        <w:spacing w:line="380" w:lineRule="exact"/>
        <w:jc w:val="center"/>
        <w:textAlignment w:val="baseline"/>
        <w:rPr>
          <w:rFonts w:ascii="微软雅黑" w:hAnsi="微软雅黑" w:eastAsia="微软雅黑" w:cs="微软雅黑"/>
          <w:b/>
          <w:bCs/>
          <w:sz w:val="24"/>
        </w:rPr>
      </w:pPr>
    </w:p>
    <w:p w14:paraId="517AB078">
      <w:pPr>
        <w:snapToGrid w:val="0"/>
        <w:spacing w:line="380" w:lineRule="exact"/>
        <w:jc w:val="center"/>
        <w:textAlignment w:val="baseline"/>
        <w:rPr>
          <w:rFonts w:ascii="微软雅黑" w:hAnsi="微软雅黑" w:eastAsia="微软雅黑" w:cs="微软雅黑"/>
          <w:b/>
          <w:bCs/>
          <w:sz w:val="24"/>
        </w:rPr>
      </w:pPr>
    </w:p>
    <w:p w14:paraId="200F39F7">
      <w:pPr>
        <w:snapToGrid w:val="0"/>
        <w:spacing w:line="380" w:lineRule="exact"/>
        <w:jc w:val="center"/>
        <w:textAlignment w:val="baseline"/>
        <w:rPr>
          <w:rFonts w:ascii="微软雅黑" w:hAnsi="微软雅黑" w:eastAsia="微软雅黑" w:cs="微软雅黑"/>
          <w:b/>
          <w:bCs/>
          <w:sz w:val="24"/>
        </w:rPr>
      </w:pPr>
    </w:p>
    <w:p w14:paraId="46163653">
      <w:pPr>
        <w:snapToGrid w:val="0"/>
        <w:spacing w:line="380" w:lineRule="exact"/>
        <w:jc w:val="center"/>
        <w:textAlignment w:val="baseline"/>
        <w:rPr>
          <w:rFonts w:ascii="微软雅黑" w:hAnsi="微软雅黑" w:eastAsia="微软雅黑" w:cs="微软雅黑"/>
          <w:b/>
          <w:bCs/>
          <w:sz w:val="24"/>
        </w:rPr>
      </w:pPr>
    </w:p>
    <w:p w14:paraId="0C953500">
      <w:pPr>
        <w:snapToGrid w:val="0"/>
        <w:spacing w:line="380" w:lineRule="exact"/>
        <w:jc w:val="center"/>
        <w:textAlignment w:val="baseline"/>
        <w:rPr>
          <w:rFonts w:ascii="微软雅黑" w:hAnsi="微软雅黑" w:eastAsia="微软雅黑" w:cs="微软雅黑"/>
          <w:b/>
          <w:bCs/>
          <w:sz w:val="24"/>
        </w:rPr>
      </w:pPr>
    </w:p>
    <w:p w14:paraId="5A47E2AE">
      <w:pPr>
        <w:snapToGrid w:val="0"/>
        <w:spacing w:line="380" w:lineRule="exact"/>
        <w:jc w:val="center"/>
        <w:textAlignment w:val="baseline"/>
        <w:rPr>
          <w:rFonts w:ascii="微软雅黑" w:hAnsi="微软雅黑" w:eastAsia="微软雅黑" w:cs="微软雅黑"/>
          <w:b/>
          <w:bCs/>
          <w:sz w:val="24"/>
        </w:rPr>
      </w:pPr>
    </w:p>
    <w:p w14:paraId="0649C494">
      <w:pPr>
        <w:snapToGrid w:val="0"/>
        <w:spacing w:line="380" w:lineRule="exact"/>
        <w:jc w:val="center"/>
        <w:textAlignment w:val="baseline"/>
        <w:rPr>
          <w:rFonts w:ascii="微软雅黑" w:hAnsi="微软雅黑" w:eastAsia="微软雅黑" w:cs="微软雅黑"/>
          <w:b/>
          <w:bCs/>
          <w:sz w:val="24"/>
        </w:rPr>
      </w:pPr>
    </w:p>
    <w:p w14:paraId="5ED2DA98">
      <w:pPr>
        <w:snapToGrid w:val="0"/>
        <w:spacing w:line="380" w:lineRule="exact"/>
        <w:jc w:val="center"/>
        <w:textAlignment w:val="baseline"/>
        <w:rPr>
          <w:rFonts w:ascii="微软雅黑" w:hAnsi="微软雅黑" w:eastAsia="微软雅黑" w:cs="微软雅黑"/>
          <w:b/>
          <w:bCs/>
          <w:sz w:val="24"/>
        </w:rPr>
      </w:pPr>
    </w:p>
    <w:p w14:paraId="4267E8F6">
      <w:pPr>
        <w:pStyle w:val="10"/>
        <w:rPr>
          <w:rFonts w:ascii="微软雅黑" w:hAnsi="微软雅黑" w:eastAsia="微软雅黑" w:cs="微软雅黑"/>
          <w:b/>
          <w:bCs/>
        </w:rPr>
      </w:pPr>
    </w:p>
    <w:p w14:paraId="05E2CC08">
      <w:pPr>
        <w:rPr>
          <w:rFonts w:ascii="微软雅黑" w:hAnsi="微软雅黑" w:eastAsia="微软雅黑" w:cs="微软雅黑"/>
          <w:b/>
          <w:bCs/>
          <w:sz w:val="24"/>
        </w:rPr>
      </w:pPr>
    </w:p>
    <w:p w14:paraId="08E1FEE5">
      <w:pPr>
        <w:snapToGrid w:val="0"/>
        <w:spacing w:line="380" w:lineRule="exact"/>
        <w:jc w:val="center"/>
        <w:textAlignment w:val="baseline"/>
        <w:rPr>
          <w:rFonts w:ascii="微软雅黑" w:hAnsi="微软雅黑" w:eastAsia="微软雅黑" w:cs="微软雅黑"/>
          <w:b/>
          <w:bCs/>
          <w:sz w:val="24"/>
        </w:rPr>
      </w:pPr>
    </w:p>
    <w:p w14:paraId="699915FA">
      <w:pPr>
        <w:snapToGrid w:val="0"/>
        <w:spacing w:line="380" w:lineRule="exact"/>
        <w:jc w:val="center"/>
        <w:textAlignment w:val="baseline"/>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政府采购质疑函范本</w:t>
      </w:r>
      <w:bookmarkEnd w:id="571"/>
      <w:bookmarkEnd w:id="572"/>
    </w:p>
    <w:p w14:paraId="7CCBBAE0">
      <w:pPr>
        <w:snapToGrid w:val="0"/>
        <w:spacing w:line="380" w:lineRule="exact"/>
        <w:textAlignment w:val="baseline"/>
        <w:rPr>
          <w:rFonts w:eastAsia="方正仿宋_GBK"/>
          <w:bCs/>
          <w:sz w:val="24"/>
        </w:rPr>
      </w:pPr>
      <w:r>
        <w:rPr>
          <w:rFonts w:eastAsia="方正仿宋_GBK"/>
          <w:bCs/>
          <w:sz w:val="24"/>
        </w:rPr>
        <w:t>一、质疑供应商基本信息</w:t>
      </w:r>
    </w:p>
    <w:p w14:paraId="2226F43B">
      <w:pPr>
        <w:snapToGrid w:val="0"/>
        <w:spacing w:line="380" w:lineRule="exact"/>
        <w:textAlignment w:val="baseline"/>
        <w:rPr>
          <w:rFonts w:eastAsia="方正仿宋_GBK"/>
          <w:sz w:val="24"/>
          <w:u w:val="dotted" w:color="000000"/>
        </w:rPr>
      </w:pPr>
      <w:r>
        <w:rPr>
          <w:rFonts w:eastAsia="方正仿宋_GBK"/>
          <w:sz w:val="24"/>
        </w:rPr>
        <w:t>质疑供应商：</w:t>
      </w:r>
      <w:r>
        <w:rPr>
          <w:rFonts w:eastAsia="方正仿宋_GBK"/>
          <w:sz w:val="24"/>
          <w:u w:val="dotted" w:color="000000"/>
        </w:rPr>
        <w:t xml:space="preserve">                                        </w:t>
      </w:r>
    </w:p>
    <w:p w14:paraId="020A0C8C">
      <w:pPr>
        <w:snapToGrid w:val="0"/>
        <w:spacing w:line="380" w:lineRule="exact"/>
        <w:textAlignment w:val="baseline"/>
        <w:rPr>
          <w:rFonts w:eastAsia="方正仿宋_GBK"/>
          <w:sz w:val="24"/>
        </w:rPr>
      </w:pPr>
      <w:r>
        <w:rPr>
          <w:rFonts w:eastAsia="方正仿宋_GBK"/>
          <w:sz w:val="24"/>
        </w:rPr>
        <w:t>地址：</w:t>
      </w:r>
      <w:r>
        <w:rPr>
          <w:rFonts w:eastAsia="方正仿宋_GBK"/>
          <w:sz w:val="24"/>
          <w:u w:val="dotted" w:color="000000"/>
        </w:rPr>
        <w:t xml:space="preserve">                          </w:t>
      </w:r>
      <w:r>
        <w:rPr>
          <w:rFonts w:eastAsia="方正仿宋_GBK"/>
          <w:sz w:val="24"/>
        </w:rPr>
        <w:t>邮编：</w:t>
      </w:r>
      <w:r>
        <w:rPr>
          <w:rFonts w:eastAsia="方正仿宋_GBK"/>
          <w:sz w:val="24"/>
          <w:u w:val="dotted" w:color="000000"/>
        </w:rPr>
        <w:t xml:space="preserve">                                                   </w:t>
      </w:r>
    </w:p>
    <w:p w14:paraId="66D2C1CD">
      <w:pPr>
        <w:snapToGrid w:val="0"/>
        <w:spacing w:line="380" w:lineRule="exact"/>
        <w:textAlignment w:val="baseline"/>
        <w:rPr>
          <w:rFonts w:eastAsia="方正仿宋_GBK"/>
          <w:sz w:val="24"/>
        </w:rPr>
      </w:pPr>
      <w:r>
        <w:rPr>
          <w:rFonts w:eastAsia="方正仿宋_GBK"/>
          <w:sz w:val="24"/>
        </w:rPr>
        <w:t>联系人：</w:t>
      </w:r>
      <w:r>
        <w:rPr>
          <w:rFonts w:eastAsia="方正仿宋_GBK"/>
          <w:sz w:val="24"/>
          <w:u w:val="dotted" w:color="000000"/>
        </w:rPr>
        <w:t xml:space="preserve">                      </w:t>
      </w:r>
      <w:r>
        <w:rPr>
          <w:rFonts w:eastAsia="方正仿宋_GBK"/>
          <w:sz w:val="24"/>
        </w:rPr>
        <w:t>联系电话：</w:t>
      </w:r>
      <w:r>
        <w:rPr>
          <w:rFonts w:eastAsia="方正仿宋_GBK"/>
          <w:sz w:val="24"/>
          <w:u w:val="dotted" w:color="000000"/>
        </w:rPr>
        <w:t xml:space="preserve">                              </w:t>
      </w:r>
    </w:p>
    <w:p w14:paraId="19251FC4">
      <w:pPr>
        <w:snapToGrid w:val="0"/>
        <w:spacing w:line="380" w:lineRule="exact"/>
        <w:textAlignment w:val="baseline"/>
        <w:rPr>
          <w:rFonts w:eastAsia="方正仿宋_GBK"/>
          <w:sz w:val="24"/>
          <w:u w:val="dotted" w:color="000000"/>
        </w:rPr>
      </w:pPr>
      <w:r>
        <w:rPr>
          <w:rFonts w:eastAsia="方正仿宋_GBK"/>
          <w:sz w:val="24"/>
        </w:rPr>
        <w:t>授权代表：</w:t>
      </w:r>
      <w:r>
        <w:rPr>
          <w:rFonts w:eastAsia="方正仿宋_GBK"/>
          <w:sz w:val="24"/>
          <w:u w:val="dotted" w:color="000000"/>
        </w:rPr>
        <w:t xml:space="preserve">                                          </w:t>
      </w:r>
    </w:p>
    <w:p w14:paraId="5243E251">
      <w:pPr>
        <w:snapToGrid w:val="0"/>
        <w:spacing w:line="380" w:lineRule="exact"/>
        <w:textAlignment w:val="baseline"/>
        <w:rPr>
          <w:rFonts w:eastAsia="方正仿宋_GBK"/>
          <w:sz w:val="24"/>
        </w:rPr>
      </w:pPr>
      <w:r>
        <w:rPr>
          <w:rFonts w:eastAsia="方正仿宋_GBK"/>
          <w:sz w:val="24"/>
        </w:rPr>
        <w:t>联系电话：</w:t>
      </w:r>
      <w:r>
        <w:rPr>
          <w:rFonts w:eastAsia="方正仿宋_GBK"/>
          <w:sz w:val="24"/>
          <w:u w:val="dotted" w:color="000000"/>
        </w:rPr>
        <w:t xml:space="preserve">                                           </w:t>
      </w:r>
      <w:r>
        <w:rPr>
          <w:rFonts w:eastAsia="方正仿宋_GBK"/>
          <w:sz w:val="24"/>
        </w:rPr>
        <w:t xml:space="preserve"> </w:t>
      </w:r>
    </w:p>
    <w:p w14:paraId="7259B854">
      <w:pPr>
        <w:snapToGrid w:val="0"/>
        <w:spacing w:line="380" w:lineRule="exact"/>
        <w:textAlignment w:val="baseline"/>
        <w:rPr>
          <w:rFonts w:eastAsia="方正仿宋_GBK"/>
          <w:sz w:val="24"/>
        </w:rPr>
      </w:pPr>
      <w:r>
        <w:rPr>
          <w:rFonts w:eastAsia="方正仿宋_GBK"/>
          <w:sz w:val="24"/>
        </w:rPr>
        <w:t xml:space="preserve">地址： </w:t>
      </w:r>
      <w:r>
        <w:rPr>
          <w:rFonts w:eastAsia="方正仿宋_GBK"/>
          <w:sz w:val="24"/>
          <w:u w:val="dotted" w:color="000000"/>
        </w:rPr>
        <w:t xml:space="preserve">                        </w:t>
      </w:r>
      <w:r>
        <w:rPr>
          <w:rFonts w:eastAsia="方正仿宋_GBK"/>
          <w:sz w:val="24"/>
        </w:rPr>
        <w:t>邮编：</w:t>
      </w:r>
      <w:r>
        <w:rPr>
          <w:rFonts w:eastAsia="方正仿宋_GBK"/>
          <w:sz w:val="24"/>
          <w:u w:val="dotted" w:color="000000"/>
        </w:rPr>
        <w:t xml:space="preserve">                                                </w:t>
      </w:r>
    </w:p>
    <w:p w14:paraId="09357A03">
      <w:pPr>
        <w:snapToGrid w:val="0"/>
        <w:spacing w:line="380" w:lineRule="exact"/>
        <w:textAlignment w:val="baseline"/>
        <w:rPr>
          <w:rFonts w:eastAsia="方正仿宋_GBK"/>
          <w:bCs/>
          <w:sz w:val="24"/>
        </w:rPr>
      </w:pPr>
      <w:r>
        <w:rPr>
          <w:rFonts w:eastAsia="方正仿宋_GBK"/>
          <w:bCs/>
          <w:sz w:val="24"/>
        </w:rPr>
        <w:t>二、质疑项目基本情况</w:t>
      </w:r>
    </w:p>
    <w:p w14:paraId="1823B3A7">
      <w:pPr>
        <w:snapToGrid w:val="0"/>
        <w:spacing w:line="380" w:lineRule="exact"/>
        <w:textAlignment w:val="baseline"/>
        <w:rPr>
          <w:rFonts w:eastAsia="方正仿宋_GBK"/>
          <w:sz w:val="24"/>
        </w:rPr>
      </w:pPr>
      <w:r>
        <w:rPr>
          <w:rFonts w:eastAsia="方正仿宋_GBK"/>
          <w:sz w:val="24"/>
        </w:rPr>
        <w:t>质疑项目的名称：</w:t>
      </w:r>
      <w:r>
        <w:rPr>
          <w:rFonts w:eastAsia="方正仿宋_GBK"/>
          <w:sz w:val="24"/>
          <w:u w:val="dotted" w:color="000000"/>
        </w:rPr>
        <w:t xml:space="preserve">                                      </w:t>
      </w:r>
    </w:p>
    <w:p w14:paraId="7DE79379">
      <w:pPr>
        <w:snapToGrid w:val="0"/>
        <w:spacing w:line="380" w:lineRule="exact"/>
        <w:textAlignment w:val="baseline"/>
        <w:rPr>
          <w:rFonts w:eastAsia="方正仿宋_GBK"/>
          <w:sz w:val="24"/>
        </w:rPr>
      </w:pPr>
      <w:r>
        <w:rPr>
          <w:rFonts w:eastAsia="方正仿宋_GBK"/>
          <w:sz w:val="24"/>
        </w:rPr>
        <w:t>质疑项目的编号：</w:t>
      </w:r>
      <w:r>
        <w:rPr>
          <w:rFonts w:eastAsia="方正仿宋_GBK"/>
          <w:sz w:val="24"/>
          <w:u w:val="dotted" w:color="000000"/>
        </w:rPr>
        <w:t xml:space="preserve">               </w:t>
      </w:r>
      <w:r>
        <w:rPr>
          <w:rFonts w:eastAsia="方正仿宋_GBK"/>
          <w:sz w:val="24"/>
        </w:rPr>
        <w:t>包号：</w:t>
      </w:r>
      <w:r>
        <w:rPr>
          <w:rFonts w:eastAsia="方正仿宋_GBK"/>
          <w:sz w:val="24"/>
          <w:u w:val="dotted" w:color="000000"/>
        </w:rPr>
        <w:t xml:space="preserve">                 </w:t>
      </w:r>
    </w:p>
    <w:p w14:paraId="20895FB0">
      <w:pPr>
        <w:snapToGrid w:val="0"/>
        <w:spacing w:line="380" w:lineRule="exact"/>
        <w:textAlignment w:val="baseline"/>
        <w:rPr>
          <w:rFonts w:eastAsia="方正仿宋_GBK"/>
          <w:sz w:val="24"/>
          <w:u w:val="dotted" w:color="000000"/>
        </w:rPr>
      </w:pPr>
      <w:r>
        <w:rPr>
          <w:rFonts w:eastAsia="方正仿宋_GBK"/>
          <w:sz w:val="24"/>
        </w:rPr>
        <w:t>采购人名称：</w:t>
      </w:r>
      <w:r>
        <w:rPr>
          <w:rFonts w:eastAsia="方正仿宋_GBK"/>
          <w:sz w:val="24"/>
          <w:u w:val="dotted" w:color="000000"/>
        </w:rPr>
        <w:t xml:space="preserve">                                         </w:t>
      </w:r>
    </w:p>
    <w:p w14:paraId="0C093B0F">
      <w:pPr>
        <w:snapToGrid w:val="0"/>
        <w:spacing w:line="380" w:lineRule="exact"/>
        <w:textAlignment w:val="baseline"/>
        <w:rPr>
          <w:rFonts w:eastAsia="方正仿宋_GBK"/>
          <w:sz w:val="24"/>
        </w:rPr>
      </w:pPr>
      <w:r>
        <w:rPr>
          <w:rFonts w:eastAsia="方正仿宋_GBK"/>
          <w:sz w:val="24"/>
        </w:rPr>
        <w:t>磋商文件获取日期：</w:t>
      </w:r>
      <w:r>
        <w:rPr>
          <w:rFonts w:eastAsia="方正仿宋_GBK"/>
          <w:sz w:val="24"/>
          <w:u w:val="dotted" w:color="000000"/>
        </w:rPr>
        <w:t xml:space="preserve">                                           </w:t>
      </w:r>
    </w:p>
    <w:p w14:paraId="6F8B02EB">
      <w:pPr>
        <w:snapToGrid w:val="0"/>
        <w:spacing w:line="380" w:lineRule="exact"/>
        <w:textAlignment w:val="baseline"/>
        <w:rPr>
          <w:rFonts w:eastAsia="方正仿宋_GBK"/>
          <w:bCs/>
          <w:sz w:val="24"/>
        </w:rPr>
      </w:pPr>
      <w:r>
        <w:rPr>
          <w:rFonts w:eastAsia="方正仿宋_GBK"/>
          <w:bCs/>
          <w:sz w:val="24"/>
        </w:rPr>
        <w:t>三、质疑事项具体内容</w:t>
      </w:r>
    </w:p>
    <w:p w14:paraId="151E8762">
      <w:pPr>
        <w:snapToGrid w:val="0"/>
        <w:spacing w:line="380" w:lineRule="exact"/>
        <w:textAlignment w:val="baseline"/>
        <w:rPr>
          <w:rFonts w:eastAsia="方正仿宋_GBK"/>
          <w:sz w:val="24"/>
          <w:u w:val="dotted" w:color="000000"/>
        </w:rPr>
      </w:pPr>
      <w:r>
        <w:rPr>
          <w:rFonts w:eastAsia="方正仿宋_GBK"/>
          <w:sz w:val="24"/>
        </w:rPr>
        <w:t>质疑事项1：</w:t>
      </w:r>
      <w:r>
        <w:rPr>
          <w:rFonts w:eastAsia="方正仿宋_GBK"/>
          <w:sz w:val="24"/>
          <w:u w:val="dotted" w:color="000000"/>
        </w:rPr>
        <w:t xml:space="preserve">                                         </w:t>
      </w:r>
    </w:p>
    <w:p w14:paraId="276CF496">
      <w:pPr>
        <w:snapToGrid w:val="0"/>
        <w:spacing w:line="380" w:lineRule="exact"/>
        <w:textAlignment w:val="baseline"/>
        <w:rPr>
          <w:rFonts w:eastAsia="方正仿宋_GBK"/>
          <w:sz w:val="24"/>
          <w:u w:val="dotted" w:color="000000"/>
        </w:rPr>
      </w:pPr>
      <w:r>
        <w:rPr>
          <w:rFonts w:eastAsia="方正仿宋_GBK"/>
          <w:sz w:val="24"/>
        </w:rPr>
        <w:t>事实依据：</w:t>
      </w:r>
      <w:r>
        <w:rPr>
          <w:rFonts w:eastAsia="方正仿宋_GBK"/>
          <w:sz w:val="24"/>
          <w:u w:val="dotted" w:color="000000"/>
        </w:rPr>
        <w:t xml:space="preserve">                                          </w:t>
      </w:r>
    </w:p>
    <w:p w14:paraId="70F520E8">
      <w:pPr>
        <w:snapToGrid w:val="0"/>
        <w:spacing w:line="380" w:lineRule="exact"/>
        <w:textAlignment w:val="baseline"/>
        <w:rPr>
          <w:rFonts w:eastAsia="方正仿宋_GBK"/>
          <w:sz w:val="24"/>
        </w:rPr>
      </w:pPr>
      <w:r>
        <w:rPr>
          <w:rFonts w:eastAsia="方正仿宋_GBK"/>
          <w:sz w:val="24"/>
          <w:u w:val="dotted" w:color="000000"/>
        </w:rPr>
        <w:t xml:space="preserve">                                                       </w:t>
      </w:r>
    </w:p>
    <w:p w14:paraId="1A32715E">
      <w:pPr>
        <w:snapToGrid w:val="0"/>
        <w:spacing w:line="380" w:lineRule="exact"/>
        <w:textAlignment w:val="baseline"/>
        <w:rPr>
          <w:rFonts w:eastAsia="方正仿宋_GBK"/>
          <w:sz w:val="24"/>
          <w:u w:val="dotted" w:color="000000"/>
        </w:rPr>
      </w:pPr>
      <w:r>
        <w:rPr>
          <w:rFonts w:eastAsia="方正仿宋_GBK"/>
          <w:sz w:val="24"/>
        </w:rPr>
        <w:t>法律依据：</w:t>
      </w:r>
      <w:r>
        <w:rPr>
          <w:rFonts w:eastAsia="方正仿宋_GBK"/>
          <w:sz w:val="24"/>
          <w:u w:val="dotted" w:color="000000"/>
        </w:rPr>
        <w:t xml:space="preserve">                                          </w:t>
      </w:r>
    </w:p>
    <w:p w14:paraId="33C153A1">
      <w:pPr>
        <w:snapToGrid w:val="0"/>
        <w:spacing w:line="380" w:lineRule="exact"/>
        <w:textAlignment w:val="baseline"/>
        <w:rPr>
          <w:rFonts w:eastAsia="方正仿宋_GBK"/>
          <w:sz w:val="24"/>
          <w:u w:val="dotted" w:color="000000"/>
        </w:rPr>
      </w:pPr>
      <w:r>
        <w:rPr>
          <w:rFonts w:eastAsia="方正仿宋_GBK"/>
          <w:sz w:val="24"/>
          <w:u w:val="dotted" w:color="000000"/>
        </w:rPr>
        <w:t xml:space="preserve">                                                     </w:t>
      </w:r>
    </w:p>
    <w:p w14:paraId="47670745">
      <w:pPr>
        <w:snapToGrid w:val="0"/>
        <w:spacing w:line="380" w:lineRule="exact"/>
        <w:textAlignment w:val="baseline"/>
        <w:rPr>
          <w:rFonts w:eastAsia="方正仿宋_GBK"/>
          <w:sz w:val="24"/>
          <w:u w:val="dotted" w:color="000000"/>
        </w:rPr>
      </w:pPr>
      <w:r>
        <w:rPr>
          <w:rFonts w:eastAsia="方正仿宋_GBK"/>
          <w:sz w:val="24"/>
        </w:rPr>
        <w:t>质疑事项2</w:t>
      </w:r>
    </w:p>
    <w:p w14:paraId="1FC14882">
      <w:pPr>
        <w:snapToGrid w:val="0"/>
        <w:spacing w:line="380" w:lineRule="exact"/>
        <w:textAlignment w:val="baseline"/>
        <w:rPr>
          <w:rFonts w:eastAsia="方正仿宋_GBK"/>
          <w:sz w:val="24"/>
        </w:rPr>
      </w:pPr>
      <w:r>
        <w:rPr>
          <w:rFonts w:eastAsia="方正仿宋_GBK"/>
          <w:sz w:val="24"/>
        </w:rPr>
        <w:t>……</w:t>
      </w:r>
    </w:p>
    <w:p w14:paraId="28954820">
      <w:pPr>
        <w:snapToGrid w:val="0"/>
        <w:spacing w:line="380" w:lineRule="exact"/>
        <w:textAlignment w:val="baseline"/>
        <w:rPr>
          <w:rFonts w:eastAsia="方正仿宋_GBK"/>
          <w:bCs/>
          <w:sz w:val="24"/>
        </w:rPr>
      </w:pPr>
      <w:r>
        <w:rPr>
          <w:rFonts w:eastAsia="方正仿宋_GBK"/>
          <w:bCs/>
          <w:sz w:val="24"/>
        </w:rPr>
        <w:t>四、与质疑事项相关的质疑请求</w:t>
      </w:r>
    </w:p>
    <w:p w14:paraId="557CD2A6">
      <w:pPr>
        <w:snapToGrid w:val="0"/>
        <w:spacing w:line="380" w:lineRule="exact"/>
        <w:textAlignment w:val="baseline"/>
        <w:rPr>
          <w:rFonts w:eastAsia="方正仿宋_GBK"/>
          <w:sz w:val="24"/>
          <w:u w:val="dotted" w:color="000000"/>
        </w:rPr>
      </w:pPr>
      <w:r>
        <w:rPr>
          <w:rFonts w:eastAsia="方正仿宋_GBK"/>
          <w:sz w:val="24"/>
        </w:rPr>
        <w:t>请求：</w:t>
      </w:r>
      <w:r>
        <w:rPr>
          <w:rFonts w:eastAsia="方正仿宋_GBK"/>
          <w:sz w:val="24"/>
          <w:u w:val="dotted" w:color="000000"/>
        </w:rPr>
        <w:t xml:space="preserve">                                               </w:t>
      </w:r>
    </w:p>
    <w:p w14:paraId="7A580CF6">
      <w:pPr>
        <w:snapToGrid w:val="0"/>
        <w:spacing w:line="380" w:lineRule="exact"/>
        <w:textAlignment w:val="baseline"/>
        <w:rPr>
          <w:rFonts w:eastAsia="方正仿宋_GBK"/>
          <w:sz w:val="24"/>
        </w:rPr>
      </w:pPr>
      <w:r>
        <w:rPr>
          <w:rFonts w:eastAsia="方正仿宋_GBK"/>
          <w:sz w:val="24"/>
        </w:rPr>
        <w:t xml:space="preserve">签字(签章)：                   公章：                      </w:t>
      </w:r>
    </w:p>
    <w:p w14:paraId="4F1A72F0">
      <w:pPr>
        <w:snapToGrid w:val="0"/>
        <w:spacing w:line="380" w:lineRule="exact"/>
        <w:textAlignment w:val="baseline"/>
        <w:rPr>
          <w:rFonts w:eastAsia="方正仿宋_GBK"/>
          <w:sz w:val="24"/>
        </w:rPr>
      </w:pPr>
      <w:r>
        <w:rPr>
          <w:rFonts w:eastAsia="方正仿宋_GBK"/>
          <w:sz w:val="24"/>
        </w:rPr>
        <w:t xml:space="preserve">日期：    </w:t>
      </w:r>
    </w:p>
    <w:p w14:paraId="4607DEA5">
      <w:pPr>
        <w:snapToGrid w:val="0"/>
        <w:spacing w:line="380" w:lineRule="exact"/>
        <w:textAlignment w:val="baseline"/>
        <w:rPr>
          <w:rFonts w:eastAsia="方正仿宋_GBK"/>
          <w:b/>
          <w:sz w:val="24"/>
        </w:rPr>
      </w:pPr>
    </w:p>
    <w:p w14:paraId="461F3E43">
      <w:pPr>
        <w:snapToGrid w:val="0"/>
        <w:spacing w:line="280" w:lineRule="exact"/>
        <w:textAlignment w:val="baseline"/>
        <w:rPr>
          <w:rFonts w:eastAsia="方正仿宋_GBK"/>
          <w:b/>
          <w:sz w:val="24"/>
        </w:rPr>
      </w:pPr>
      <w:r>
        <w:rPr>
          <w:rFonts w:eastAsia="方正仿宋_GBK"/>
          <w:b/>
          <w:sz w:val="24"/>
        </w:rPr>
        <w:t>质疑函制作说明：</w:t>
      </w:r>
    </w:p>
    <w:p w14:paraId="60BE3BF0">
      <w:pPr>
        <w:widowControl/>
        <w:snapToGrid w:val="0"/>
        <w:spacing w:line="280" w:lineRule="exact"/>
        <w:ind w:firstLine="480" w:firstLineChars="200"/>
        <w:jc w:val="left"/>
        <w:textAlignment w:val="baseline"/>
        <w:rPr>
          <w:rFonts w:eastAsia="方正仿宋_GBK"/>
          <w:sz w:val="24"/>
        </w:rPr>
      </w:pPr>
      <w:r>
        <w:rPr>
          <w:rFonts w:eastAsia="方正仿宋_GBK"/>
          <w:sz w:val="24"/>
        </w:rPr>
        <w:t>1.供应商提出质疑时，应提交质疑函和必要的证明材料。</w:t>
      </w:r>
    </w:p>
    <w:p w14:paraId="0BCDFCC1">
      <w:pPr>
        <w:widowControl/>
        <w:snapToGrid w:val="0"/>
        <w:spacing w:line="280" w:lineRule="exact"/>
        <w:ind w:firstLine="480" w:firstLineChars="200"/>
        <w:jc w:val="left"/>
        <w:textAlignment w:val="baseline"/>
        <w:rPr>
          <w:rFonts w:eastAsia="方正仿宋_GBK"/>
          <w:sz w:val="24"/>
        </w:rPr>
      </w:pPr>
      <w:r>
        <w:rPr>
          <w:rFonts w:eastAsia="方正仿宋_GBK"/>
          <w:sz w:val="24"/>
        </w:rPr>
        <w:t>2.质疑供应商若委托代理人进行质疑的，质疑函应按要求列明“授权代表”的有关内容，并在附件中提交由质疑</w:t>
      </w:r>
      <w:r>
        <w:rPr>
          <w:rFonts w:eastAsia="方正仿宋_GBK"/>
          <w:kern w:val="0"/>
          <w:sz w:val="24"/>
        </w:rPr>
        <w:t>供应商签署的授权委托书。授权委托书应载明代理人的姓名或者名称、代理事项、具体权限、期限和相关事项。</w:t>
      </w:r>
    </w:p>
    <w:p w14:paraId="5C7B4CD9">
      <w:pPr>
        <w:widowControl/>
        <w:snapToGrid w:val="0"/>
        <w:spacing w:line="280" w:lineRule="exact"/>
        <w:ind w:firstLine="480" w:firstLineChars="200"/>
        <w:jc w:val="left"/>
        <w:textAlignment w:val="baseline"/>
        <w:rPr>
          <w:rFonts w:eastAsia="方正仿宋_GBK"/>
          <w:sz w:val="24"/>
        </w:rPr>
      </w:pPr>
      <w:r>
        <w:rPr>
          <w:rFonts w:eastAsia="方正仿宋_GBK"/>
          <w:sz w:val="24"/>
        </w:rPr>
        <w:t>3.质疑供应商若对项目的某一分包进行质疑，质疑函中应列明具体分包号。</w:t>
      </w:r>
    </w:p>
    <w:p w14:paraId="70F40B16">
      <w:pPr>
        <w:widowControl/>
        <w:snapToGrid w:val="0"/>
        <w:spacing w:line="280" w:lineRule="exact"/>
        <w:ind w:firstLine="480" w:firstLineChars="200"/>
        <w:jc w:val="left"/>
        <w:textAlignment w:val="baseline"/>
        <w:rPr>
          <w:rFonts w:eastAsia="方正仿宋_GBK"/>
          <w:sz w:val="24"/>
        </w:rPr>
      </w:pPr>
      <w:r>
        <w:rPr>
          <w:rFonts w:eastAsia="方正仿宋_GBK"/>
          <w:sz w:val="24"/>
        </w:rPr>
        <w:t>4.质疑函的质疑事项应具体、明确，并有必要的事实依据和法律依据。</w:t>
      </w:r>
    </w:p>
    <w:p w14:paraId="1E6E5663">
      <w:pPr>
        <w:widowControl/>
        <w:snapToGrid w:val="0"/>
        <w:spacing w:line="280" w:lineRule="exact"/>
        <w:ind w:firstLine="480" w:firstLineChars="200"/>
        <w:jc w:val="left"/>
        <w:textAlignment w:val="baseline"/>
        <w:rPr>
          <w:rFonts w:eastAsia="方正仿宋_GBK"/>
          <w:sz w:val="24"/>
        </w:rPr>
      </w:pPr>
      <w:r>
        <w:rPr>
          <w:rFonts w:eastAsia="方正仿宋_GBK"/>
          <w:sz w:val="24"/>
        </w:rPr>
        <w:t>5.质疑函的质疑请求应与质疑事项相关。</w:t>
      </w:r>
    </w:p>
    <w:p w14:paraId="5B7131DB">
      <w:pPr>
        <w:widowControl/>
        <w:snapToGrid w:val="0"/>
        <w:spacing w:line="280" w:lineRule="exact"/>
        <w:ind w:firstLine="480" w:firstLineChars="200"/>
        <w:jc w:val="left"/>
        <w:textAlignment w:val="baseline"/>
        <w:rPr>
          <w:rFonts w:ascii="微软雅黑" w:hAnsi="微软雅黑" w:eastAsia="微软雅黑" w:cs="微软雅黑"/>
          <w:sz w:val="24"/>
        </w:rPr>
      </w:pPr>
      <w:r>
        <w:rPr>
          <w:rFonts w:eastAsia="方正仿宋_GBK"/>
          <w:sz w:val="24"/>
        </w:rPr>
        <w:t>6.质疑供应商为自然人的，质疑函应由本人签字；质疑供应商为法人或者其他组织的，质疑函应由法定代表人、主要负责人，或者其授权代表签字或者盖章，并加盖公章。</w:t>
      </w:r>
      <w:bookmarkStart w:id="573" w:name="_Toc13467"/>
      <w:bookmarkStart w:id="574" w:name="_Toc7417"/>
      <w:bookmarkStart w:id="575" w:name="_Toc31741"/>
      <w:bookmarkStart w:id="576" w:name="_Toc17034"/>
      <w:bookmarkStart w:id="577" w:name="_Toc27511"/>
      <w:bookmarkStart w:id="578" w:name="_Toc518923103"/>
      <w:bookmarkStart w:id="579" w:name="_Toc216582812"/>
      <w:bookmarkStart w:id="580" w:name="_Toc728"/>
      <w:bookmarkStart w:id="581" w:name="_Toc515647802"/>
      <w:bookmarkStart w:id="582" w:name="_Toc702"/>
    </w:p>
    <w:p w14:paraId="676979FA">
      <w:pPr>
        <w:pStyle w:val="5"/>
        <w:spacing w:before="0" w:line="420" w:lineRule="exact"/>
        <w:ind w:left="1079" w:leftChars="257" w:hanging="540"/>
        <w:rPr>
          <w:rFonts w:ascii="微软雅黑" w:hAnsi="微软雅黑" w:eastAsia="微软雅黑" w:cs="微软雅黑"/>
          <w:sz w:val="24"/>
          <w:szCs w:val="24"/>
        </w:rPr>
      </w:pPr>
    </w:p>
    <w:p w14:paraId="34310607">
      <w:pPr>
        <w:pStyle w:val="5"/>
        <w:spacing w:before="0" w:line="420" w:lineRule="exact"/>
        <w:ind w:left="1079" w:leftChars="257" w:hanging="540"/>
        <w:rPr>
          <w:rFonts w:ascii="Times New Roman" w:hAnsi="Times New Roman" w:eastAsia="方正仿宋_GBK"/>
          <w:sz w:val="28"/>
          <w:szCs w:val="28"/>
        </w:rPr>
      </w:pPr>
      <w:r>
        <w:rPr>
          <w:rFonts w:ascii="Times New Roman" w:hAnsi="Times New Roman" w:eastAsia="方正仿宋_GBK"/>
          <w:sz w:val="28"/>
          <w:szCs w:val="28"/>
        </w:rPr>
        <w:t>附件1：履约保证金保函（格式）</w:t>
      </w:r>
      <w:bookmarkEnd w:id="573"/>
      <w:bookmarkEnd w:id="574"/>
      <w:bookmarkEnd w:id="575"/>
      <w:bookmarkEnd w:id="576"/>
      <w:bookmarkEnd w:id="577"/>
      <w:bookmarkEnd w:id="578"/>
    </w:p>
    <w:p w14:paraId="471C84BE">
      <w:pPr>
        <w:pStyle w:val="18"/>
        <w:spacing w:line="420" w:lineRule="exact"/>
        <w:ind w:left="1079" w:leftChars="257" w:hanging="540"/>
        <w:rPr>
          <w:rFonts w:ascii="Times New Roman" w:hAnsi="Times New Roman" w:eastAsia="方正仿宋_GBK"/>
          <w:b/>
          <w:sz w:val="28"/>
          <w:szCs w:val="28"/>
        </w:rPr>
      </w:pPr>
      <w:r>
        <w:rPr>
          <w:rFonts w:ascii="Times New Roman" w:hAnsi="Times New Roman" w:eastAsia="方正仿宋_GBK"/>
          <w:b/>
          <w:sz w:val="28"/>
          <w:szCs w:val="28"/>
        </w:rPr>
        <w:t xml:space="preserve">                       （中标后开具）</w:t>
      </w:r>
    </w:p>
    <w:p w14:paraId="4FCD9203">
      <w:pPr>
        <w:pStyle w:val="18"/>
        <w:spacing w:line="420" w:lineRule="exact"/>
        <w:ind w:left="1079" w:leftChars="257" w:hanging="540"/>
        <w:rPr>
          <w:rFonts w:ascii="Times New Roman" w:hAnsi="Times New Roman" w:eastAsia="微软雅黑"/>
          <w:b/>
          <w:sz w:val="24"/>
          <w:szCs w:val="24"/>
        </w:rPr>
      </w:pPr>
    </w:p>
    <w:p w14:paraId="64B19C11">
      <w:pPr>
        <w:pStyle w:val="18"/>
        <w:spacing w:line="420" w:lineRule="exact"/>
        <w:rPr>
          <w:rFonts w:ascii="Times New Roman" w:hAnsi="Times New Roman" w:eastAsia="方正仿宋_GBK"/>
          <w:sz w:val="24"/>
          <w:szCs w:val="24"/>
        </w:rPr>
      </w:pPr>
      <w:r>
        <w:rPr>
          <w:rFonts w:ascii="Times New Roman" w:hAnsi="Times New Roman" w:eastAsia="方正仿宋_GBK"/>
          <w:sz w:val="24"/>
          <w:szCs w:val="24"/>
        </w:rPr>
        <w:t>致: (</w:t>
      </w:r>
      <w:r>
        <w:rPr>
          <w:rFonts w:ascii="Times New Roman" w:hAnsi="Times New Roman" w:eastAsia="方正仿宋_GBK"/>
          <w:i/>
          <w:sz w:val="24"/>
          <w:szCs w:val="24"/>
          <w:u w:val="single"/>
        </w:rPr>
        <w:t>买方名称</w:t>
      </w:r>
      <w:r>
        <w:rPr>
          <w:rFonts w:ascii="Times New Roman" w:hAnsi="Times New Roman" w:eastAsia="方正仿宋_GBK"/>
          <w:sz w:val="24"/>
          <w:szCs w:val="24"/>
        </w:rPr>
        <w:t>)</w:t>
      </w:r>
    </w:p>
    <w:p w14:paraId="7A564555">
      <w:pPr>
        <w:pStyle w:val="18"/>
        <w:spacing w:line="420" w:lineRule="exact"/>
        <w:ind w:left="1079" w:leftChars="257" w:hanging="540"/>
        <w:jc w:val="center"/>
        <w:rPr>
          <w:rFonts w:ascii="Times New Roman" w:hAnsi="Times New Roman" w:eastAsia="方正仿宋_GBK"/>
          <w:sz w:val="24"/>
          <w:szCs w:val="24"/>
        </w:rPr>
      </w:pPr>
      <w:r>
        <w:rPr>
          <w:rFonts w:ascii="Times New Roman" w:hAnsi="Times New Roman" w:eastAsia="方正仿宋_GBK"/>
          <w:sz w:val="24"/>
          <w:szCs w:val="24"/>
          <w:u w:val="single"/>
        </w:rPr>
        <w:t xml:space="preserve">             </w:t>
      </w:r>
      <w:r>
        <w:rPr>
          <w:rFonts w:ascii="Times New Roman" w:hAnsi="Times New Roman" w:eastAsia="方正仿宋_GBK"/>
          <w:sz w:val="24"/>
          <w:szCs w:val="24"/>
        </w:rPr>
        <w:t>号合同履约保函</w:t>
      </w:r>
    </w:p>
    <w:p w14:paraId="76687BBB">
      <w:pPr>
        <w:pStyle w:val="18"/>
        <w:spacing w:line="420" w:lineRule="exact"/>
        <w:ind w:left="1079" w:leftChars="257" w:hanging="540"/>
        <w:jc w:val="center"/>
        <w:rPr>
          <w:rFonts w:ascii="Times New Roman" w:hAnsi="Times New Roman" w:eastAsia="方正仿宋_GBK"/>
          <w:sz w:val="24"/>
          <w:szCs w:val="24"/>
        </w:rPr>
      </w:pPr>
    </w:p>
    <w:p w14:paraId="0E0D6044">
      <w:pPr>
        <w:pStyle w:val="18"/>
        <w:spacing w:line="420" w:lineRule="exact"/>
        <w:ind w:firstLine="600" w:firstLineChars="250"/>
        <w:rPr>
          <w:rFonts w:ascii="Times New Roman" w:hAnsi="Times New Roman" w:eastAsia="方正仿宋_GBK"/>
          <w:sz w:val="24"/>
          <w:szCs w:val="24"/>
        </w:rPr>
      </w:pPr>
      <w:r>
        <w:rPr>
          <w:rFonts w:ascii="Times New Roman" w:hAnsi="Times New Roman" w:eastAsia="方正仿宋_GBK"/>
          <w:sz w:val="24"/>
          <w:szCs w:val="24"/>
        </w:rPr>
        <w:t>本保函作为贵方与(</w:t>
      </w:r>
      <w:r>
        <w:rPr>
          <w:rFonts w:ascii="Times New Roman" w:hAnsi="Times New Roman" w:eastAsia="方正仿宋_GBK"/>
          <w:i/>
          <w:sz w:val="24"/>
          <w:szCs w:val="24"/>
          <w:u w:val="single"/>
        </w:rPr>
        <w:t>卖方名称</w:t>
      </w:r>
      <w:r>
        <w:rPr>
          <w:rFonts w:ascii="Times New Roman" w:hAnsi="Times New Roman" w:eastAsia="方正仿宋_GBK"/>
          <w:sz w:val="24"/>
          <w:szCs w:val="24"/>
        </w:rPr>
        <w:t>)(以下简称卖方)于</w:t>
      </w:r>
      <w:r>
        <w:rPr>
          <w:rFonts w:ascii="Times New Roman" w:hAnsi="Times New Roman" w:eastAsia="方正仿宋_GBK"/>
          <w:sz w:val="24"/>
          <w:szCs w:val="24"/>
          <w:u w:val="single"/>
        </w:rPr>
        <w:t xml:space="preserve">     </w:t>
      </w:r>
      <w:r>
        <w:rPr>
          <w:rFonts w:ascii="Times New Roman" w:hAnsi="Times New Roman" w:eastAsia="方正仿宋_GBK"/>
          <w:sz w:val="24"/>
          <w:szCs w:val="24"/>
        </w:rPr>
        <w:t>年</w:t>
      </w:r>
      <w:r>
        <w:rPr>
          <w:rFonts w:ascii="Times New Roman" w:hAnsi="Times New Roman" w:eastAsia="方正仿宋_GBK"/>
          <w:sz w:val="24"/>
          <w:szCs w:val="24"/>
          <w:u w:val="single"/>
        </w:rPr>
        <w:t xml:space="preserve">     </w:t>
      </w:r>
      <w:r>
        <w:rPr>
          <w:rFonts w:ascii="Times New Roman" w:hAnsi="Times New Roman" w:eastAsia="方正仿宋_GBK"/>
          <w:sz w:val="24"/>
          <w:szCs w:val="24"/>
        </w:rPr>
        <w:t>月</w:t>
      </w:r>
      <w:r>
        <w:rPr>
          <w:rFonts w:ascii="Times New Roman" w:hAnsi="Times New Roman" w:eastAsia="方正仿宋_GBK"/>
          <w:sz w:val="24"/>
          <w:szCs w:val="24"/>
          <w:u w:val="single"/>
        </w:rPr>
        <w:t xml:space="preserve">     </w:t>
      </w:r>
      <w:r>
        <w:rPr>
          <w:rFonts w:ascii="Times New Roman" w:hAnsi="Times New Roman" w:eastAsia="方正仿宋_GBK"/>
          <w:sz w:val="24"/>
          <w:szCs w:val="24"/>
        </w:rPr>
        <w:t>日就</w:t>
      </w:r>
      <w:r>
        <w:rPr>
          <w:rFonts w:ascii="Times New Roman" w:hAnsi="Times New Roman" w:eastAsia="方正仿宋_GBK"/>
          <w:sz w:val="24"/>
          <w:szCs w:val="24"/>
          <w:u w:val="single"/>
        </w:rPr>
        <w:t xml:space="preserve">                  </w:t>
      </w:r>
      <w:r>
        <w:rPr>
          <w:rFonts w:ascii="Times New Roman" w:hAnsi="Times New Roman" w:eastAsia="方正仿宋_GBK"/>
          <w:sz w:val="24"/>
          <w:szCs w:val="24"/>
        </w:rPr>
        <w:t>项目(以下简称项目)项下提供(</w:t>
      </w:r>
      <w:r>
        <w:rPr>
          <w:rFonts w:ascii="Times New Roman" w:hAnsi="Times New Roman" w:eastAsia="方正仿宋_GBK"/>
          <w:i/>
          <w:sz w:val="24"/>
          <w:szCs w:val="24"/>
          <w:u w:val="single"/>
        </w:rPr>
        <w:t>服务名称</w:t>
      </w:r>
      <w:r>
        <w:rPr>
          <w:rFonts w:ascii="Times New Roman" w:hAnsi="Times New Roman" w:eastAsia="方正仿宋_GBK"/>
          <w:sz w:val="24"/>
          <w:szCs w:val="24"/>
        </w:rPr>
        <w:t>)(以下简称服务)签订的(</w:t>
      </w:r>
      <w:r>
        <w:rPr>
          <w:rFonts w:ascii="Times New Roman" w:hAnsi="Times New Roman" w:eastAsia="方正仿宋_GBK"/>
          <w:i/>
          <w:sz w:val="24"/>
          <w:szCs w:val="24"/>
          <w:u w:val="single"/>
        </w:rPr>
        <w:t>合同号</w:t>
      </w:r>
      <w:r>
        <w:rPr>
          <w:rFonts w:ascii="Times New Roman" w:hAnsi="Times New Roman" w:eastAsia="方正仿宋_GBK"/>
          <w:sz w:val="24"/>
          <w:szCs w:val="24"/>
        </w:rPr>
        <w:t>)号合同的履约保函。</w:t>
      </w:r>
    </w:p>
    <w:p w14:paraId="56EDCFF9">
      <w:pPr>
        <w:pStyle w:val="18"/>
        <w:spacing w:line="420" w:lineRule="exact"/>
        <w:ind w:firstLine="540" w:firstLineChars="225"/>
        <w:rPr>
          <w:rFonts w:ascii="Times New Roman" w:hAnsi="Times New Roman" w:eastAsia="方正仿宋_GBK"/>
          <w:sz w:val="24"/>
          <w:szCs w:val="24"/>
        </w:rPr>
      </w:pPr>
      <w:r>
        <w:rPr>
          <w:rFonts w:ascii="Times New Roman" w:hAnsi="Times New Roman" w:eastAsia="方正仿宋_GBK"/>
          <w:sz w:val="24"/>
          <w:szCs w:val="24"/>
        </w:rPr>
        <w:t>(</w:t>
      </w:r>
      <w:r>
        <w:rPr>
          <w:rFonts w:ascii="Times New Roman" w:hAnsi="Times New Roman" w:eastAsia="方正仿宋_GBK"/>
          <w:i/>
          <w:sz w:val="24"/>
          <w:szCs w:val="24"/>
          <w:u w:val="single"/>
        </w:rPr>
        <w:t>出具保函的银行名称</w:t>
      </w:r>
      <w:r>
        <w:rPr>
          <w:rFonts w:ascii="Times New Roman" w:hAnsi="Times New Roman" w:eastAsia="方正仿宋_GBK"/>
          <w:sz w:val="24"/>
          <w:szCs w:val="24"/>
        </w:rPr>
        <w:t>)(以下简称银行)无条件地、不可撤销地具结保证本行、其继承人和受让人无追索地向贵方以(</w:t>
      </w:r>
      <w:r>
        <w:rPr>
          <w:rFonts w:ascii="Times New Roman" w:hAnsi="Times New Roman" w:eastAsia="方正仿宋_GBK"/>
          <w:i/>
          <w:sz w:val="24"/>
          <w:szCs w:val="24"/>
          <w:u w:val="single"/>
        </w:rPr>
        <w:t>货币名称</w:t>
      </w:r>
      <w:r>
        <w:rPr>
          <w:rFonts w:ascii="Times New Roman" w:hAnsi="Times New Roman" w:eastAsia="方正仿宋_GBK"/>
          <w:sz w:val="24"/>
          <w:szCs w:val="24"/>
        </w:rPr>
        <w:t>)支付总额不超过(</w:t>
      </w:r>
      <w:r>
        <w:rPr>
          <w:rFonts w:ascii="Times New Roman" w:hAnsi="Times New Roman" w:eastAsia="方正仿宋_GBK"/>
          <w:i/>
          <w:sz w:val="24"/>
          <w:szCs w:val="24"/>
          <w:u w:val="single"/>
        </w:rPr>
        <w:t>货币数量</w:t>
      </w:r>
      <w:r>
        <w:rPr>
          <w:rFonts w:ascii="Times New Roman" w:hAnsi="Times New Roman" w:eastAsia="方正仿宋_GBK"/>
          <w:sz w:val="24"/>
          <w:szCs w:val="24"/>
        </w:rPr>
        <w:t>),即相当于合同价格的</w:t>
      </w:r>
      <w:r>
        <w:rPr>
          <w:rFonts w:ascii="Times New Roman" w:hAnsi="Times New Roman" w:eastAsia="方正仿宋_GBK"/>
          <w:sz w:val="24"/>
          <w:szCs w:val="24"/>
          <w:u w:val="single"/>
        </w:rPr>
        <w:t xml:space="preserve">     </w:t>
      </w:r>
      <w:r>
        <w:rPr>
          <w:rFonts w:ascii="Times New Roman" w:hAnsi="Times New Roman" w:eastAsia="方正仿宋_GBK"/>
          <w:sz w:val="24"/>
          <w:szCs w:val="24"/>
        </w:rPr>
        <w:t>%,并以此约定如下:</w:t>
      </w:r>
    </w:p>
    <w:p w14:paraId="6D3E0945">
      <w:pPr>
        <w:pStyle w:val="18"/>
        <w:spacing w:line="420" w:lineRule="exact"/>
        <w:ind w:left="539" w:leftChars="257"/>
        <w:rPr>
          <w:rFonts w:ascii="Times New Roman" w:hAnsi="Times New Roman" w:eastAsia="方正仿宋_GBK"/>
          <w:sz w:val="24"/>
          <w:szCs w:val="24"/>
        </w:rPr>
      </w:pPr>
      <w:r>
        <w:rPr>
          <w:rFonts w:ascii="Times New Roman" w:hAnsi="Times New Roman" w:eastAsia="方正仿宋_GBK"/>
          <w:sz w:val="24"/>
          <w:szCs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0DAC2418">
      <w:pPr>
        <w:pStyle w:val="18"/>
        <w:spacing w:line="420" w:lineRule="exact"/>
        <w:ind w:left="540"/>
        <w:rPr>
          <w:rFonts w:ascii="Times New Roman" w:hAnsi="Times New Roman" w:eastAsia="方正仿宋_GBK"/>
          <w:sz w:val="24"/>
          <w:szCs w:val="24"/>
        </w:rPr>
      </w:pPr>
      <w:r>
        <w:rPr>
          <w:rFonts w:ascii="Times New Roman" w:hAnsi="Times New Roman" w:eastAsia="方正仿宋_GBK"/>
          <w:sz w:val="24"/>
          <w:szCs w:val="24"/>
        </w:rPr>
        <w:t>2.本保函项下的任何支付应为免税和净值。对于现有或将来的税收、关税、收费、费用扣减或预提税款，不论这些款项是何种性质和由谁征收，都不应从本保函项下的支付中扣除。</w:t>
      </w:r>
    </w:p>
    <w:p w14:paraId="118A3DE6">
      <w:pPr>
        <w:pStyle w:val="18"/>
        <w:spacing w:line="420" w:lineRule="exact"/>
        <w:ind w:left="540"/>
        <w:rPr>
          <w:rFonts w:ascii="Times New Roman" w:hAnsi="Times New Roman" w:eastAsia="方正仿宋_GBK"/>
          <w:sz w:val="24"/>
          <w:szCs w:val="24"/>
        </w:rPr>
      </w:pPr>
      <w:r>
        <w:rPr>
          <w:rFonts w:ascii="Times New Roman" w:hAnsi="Times New Roman" w:eastAsia="方正仿宋_GBK"/>
          <w:sz w:val="24"/>
          <w:szCs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00FB0F76">
      <w:pPr>
        <w:pStyle w:val="18"/>
        <w:spacing w:line="420" w:lineRule="exact"/>
        <w:ind w:left="1079" w:leftChars="257" w:hanging="540"/>
        <w:rPr>
          <w:rFonts w:ascii="Times New Roman" w:hAnsi="Times New Roman" w:eastAsia="方正仿宋_GBK"/>
          <w:sz w:val="24"/>
          <w:szCs w:val="24"/>
        </w:rPr>
      </w:pPr>
      <w:r>
        <w:rPr>
          <w:rFonts w:ascii="Times New Roman" w:hAnsi="Times New Roman" w:eastAsia="方正仿宋_GBK"/>
          <w:sz w:val="24"/>
          <w:szCs w:val="24"/>
        </w:rPr>
        <w:t>4.本保函在本合同规定的保证期期满前完全有效。</w:t>
      </w:r>
    </w:p>
    <w:p w14:paraId="295E573F">
      <w:pPr>
        <w:pStyle w:val="18"/>
        <w:spacing w:line="420" w:lineRule="exact"/>
        <w:ind w:left="1079" w:leftChars="257" w:hanging="540"/>
        <w:rPr>
          <w:rFonts w:ascii="Times New Roman" w:hAnsi="Times New Roman" w:eastAsia="方正仿宋_GBK"/>
          <w:sz w:val="24"/>
          <w:szCs w:val="24"/>
        </w:rPr>
      </w:pPr>
    </w:p>
    <w:p w14:paraId="34366B9A">
      <w:pPr>
        <w:pStyle w:val="18"/>
        <w:spacing w:line="420" w:lineRule="exact"/>
        <w:ind w:left="1079" w:leftChars="257" w:hanging="540"/>
        <w:rPr>
          <w:rFonts w:ascii="Times New Roman" w:hAnsi="Times New Roman" w:eastAsia="方正仿宋_GBK"/>
          <w:sz w:val="24"/>
          <w:szCs w:val="24"/>
        </w:rPr>
      </w:pPr>
      <w:r>
        <w:rPr>
          <w:rFonts w:ascii="Times New Roman" w:hAnsi="Times New Roman" w:eastAsia="方正仿宋_GBK"/>
          <w:sz w:val="24"/>
          <w:szCs w:val="24"/>
        </w:rPr>
        <w:t>谨启</w:t>
      </w:r>
    </w:p>
    <w:p w14:paraId="208DBB14">
      <w:pPr>
        <w:pStyle w:val="18"/>
        <w:spacing w:line="420" w:lineRule="exact"/>
        <w:ind w:left="1079" w:leftChars="257" w:hanging="540"/>
        <w:rPr>
          <w:rFonts w:ascii="Times New Roman" w:hAnsi="Times New Roman" w:eastAsia="方正仿宋_GBK"/>
          <w:sz w:val="24"/>
          <w:szCs w:val="24"/>
        </w:rPr>
      </w:pPr>
      <w:r>
        <w:rPr>
          <w:rFonts w:ascii="Times New Roman" w:hAnsi="Times New Roman" w:eastAsia="方正仿宋_GBK"/>
          <w:sz w:val="24"/>
          <w:szCs w:val="24"/>
        </w:rPr>
        <w:t>出具保函银行名称：</w:t>
      </w:r>
      <w:r>
        <w:rPr>
          <w:rFonts w:ascii="Times New Roman" w:hAnsi="Times New Roman" w:eastAsia="方正仿宋_GBK"/>
          <w:sz w:val="24"/>
          <w:szCs w:val="24"/>
          <w:u w:val="single"/>
        </w:rPr>
        <w:t xml:space="preserve">                             </w:t>
      </w:r>
    </w:p>
    <w:p w14:paraId="69E5AA80">
      <w:pPr>
        <w:pStyle w:val="18"/>
        <w:spacing w:line="420" w:lineRule="exact"/>
        <w:ind w:left="1079" w:leftChars="257" w:hanging="540"/>
        <w:rPr>
          <w:rFonts w:ascii="Times New Roman" w:hAnsi="Times New Roman" w:eastAsia="方正仿宋_GBK"/>
          <w:sz w:val="24"/>
          <w:szCs w:val="24"/>
          <w:u w:val="single"/>
        </w:rPr>
      </w:pPr>
      <w:r>
        <w:rPr>
          <w:rFonts w:ascii="Times New Roman" w:hAnsi="Times New Roman" w:eastAsia="方正仿宋_GBK"/>
          <w:sz w:val="24"/>
          <w:szCs w:val="24"/>
        </w:rPr>
        <w:t>签字人姓名和职务：</w:t>
      </w:r>
      <w:r>
        <w:rPr>
          <w:rFonts w:ascii="Times New Roman" w:hAnsi="Times New Roman" w:eastAsia="方正仿宋_GBK"/>
          <w:sz w:val="24"/>
          <w:szCs w:val="24"/>
          <w:u w:val="single"/>
        </w:rPr>
        <w:t xml:space="preserve">                             </w:t>
      </w:r>
    </w:p>
    <w:p w14:paraId="1F8981C5">
      <w:pPr>
        <w:pStyle w:val="18"/>
        <w:spacing w:line="420" w:lineRule="exact"/>
        <w:ind w:left="1079" w:leftChars="257" w:hanging="540"/>
        <w:rPr>
          <w:rFonts w:ascii="Times New Roman" w:hAnsi="Times New Roman" w:eastAsia="方正仿宋_GBK"/>
          <w:sz w:val="24"/>
          <w:szCs w:val="24"/>
        </w:rPr>
      </w:pPr>
      <w:r>
        <w:rPr>
          <w:rFonts w:ascii="Times New Roman" w:hAnsi="Times New Roman" w:eastAsia="方正仿宋_GBK"/>
          <w:sz w:val="24"/>
          <w:szCs w:val="24"/>
        </w:rPr>
        <w:t>签字人签名：</w:t>
      </w:r>
      <w:r>
        <w:rPr>
          <w:rFonts w:ascii="Times New Roman" w:hAnsi="Times New Roman" w:eastAsia="方正仿宋_GBK"/>
          <w:sz w:val="24"/>
          <w:szCs w:val="24"/>
          <w:u w:val="single"/>
        </w:rPr>
        <w:t xml:space="preserve">                                   </w:t>
      </w:r>
    </w:p>
    <w:p w14:paraId="745148FA">
      <w:pPr>
        <w:pStyle w:val="18"/>
        <w:spacing w:line="420" w:lineRule="exact"/>
        <w:ind w:left="1079" w:leftChars="257" w:hanging="540"/>
        <w:rPr>
          <w:rFonts w:ascii="Times New Roman" w:hAnsi="Times New Roman" w:eastAsia="方正仿宋_GBK"/>
          <w:sz w:val="24"/>
          <w:szCs w:val="24"/>
          <w:u w:val="single"/>
        </w:rPr>
      </w:pPr>
      <w:r>
        <w:rPr>
          <w:rFonts w:ascii="Times New Roman" w:hAnsi="Times New Roman" w:eastAsia="方正仿宋_GBK"/>
          <w:sz w:val="24"/>
          <w:szCs w:val="24"/>
        </w:rPr>
        <w:t>公章：</w:t>
      </w:r>
      <w:r>
        <w:rPr>
          <w:rFonts w:ascii="Times New Roman" w:hAnsi="Times New Roman" w:eastAsia="方正仿宋_GBK"/>
          <w:sz w:val="24"/>
          <w:szCs w:val="24"/>
          <w:u w:val="single"/>
        </w:rPr>
        <w:t xml:space="preserve">                                         </w:t>
      </w:r>
    </w:p>
    <w:p w14:paraId="40D962B5">
      <w:pPr>
        <w:pStyle w:val="5"/>
        <w:spacing w:before="0" w:line="400" w:lineRule="exact"/>
        <w:ind w:left="1079" w:leftChars="257" w:hanging="540"/>
        <w:rPr>
          <w:rFonts w:ascii="Times New Roman" w:hAnsi="Times New Roman" w:eastAsia="方正仿宋_GBK"/>
          <w:sz w:val="28"/>
          <w:szCs w:val="28"/>
        </w:rPr>
      </w:pPr>
      <w:r>
        <w:rPr>
          <w:rFonts w:ascii="Times New Roman" w:hAnsi="Times New Roman" w:eastAsia="方正仿宋_GBK"/>
          <w:sz w:val="24"/>
          <w:szCs w:val="24"/>
        </w:rPr>
        <w:br w:type="page"/>
      </w:r>
      <w:bookmarkStart w:id="583" w:name="_Toc26978"/>
      <w:bookmarkStart w:id="584" w:name="_Toc14358"/>
      <w:bookmarkStart w:id="585" w:name="_Toc18872"/>
      <w:bookmarkStart w:id="586" w:name="_Toc518923104"/>
      <w:bookmarkStart w:id="587" w:name="_Toc7166"/>
      <w:bookmarkStart w:id="588" w:name="_Toc31307"/>
      <w:r>
        <w:rPr>
          <w:rFonts w:ascii="Times New Roman" w:hAnsi="Times New Roman" w:eastAsia="方正仿宋_GBK"/>
          <w:sz w:val="28"/>
          <w:szCs w:val="28"/>
        </w:rPr>
        <w:t>附件2：履约担保函格式</w:t>
      </w:r>
      <w:bookmarkEnd w:id="583"/>
      <w:bookmarkEnd w:id="584"/>
      <w:bookmarkEnd w:id="585"/>
      <w:bookmarkEnd w:id="586"/>
      <w:bookmarkEnd w:id="587"/>
      <w:bookmarkEnd w:id="588"/>
    </w:p>
    <w:p w14:paraId="6376F5B8">
      <w:pPr>
        <w:pStyle w:val="5"/>
        <w:spacing w:before="0" w:line="400" w:lineRule="exact"/>
        <w:ind w:left="1079" w:leftChars="257" w:hanging="540"/>
        <w:rPr>
          <w:rFonts w:ascii="Times New Roman" w:hAnsi="Times New Roman" w:eastAsia="方正仿宋_GBK"/>
          <w:b w:val="0"/>
          <w:sz w:val="28"/>
          <w:szCs w:val="28"/>
        </w:rPr>
      </w:pPr>
      <w:bookmarkStart w:id="589" w:name="_Toc515904842"/>
      <w:bookmarkStart w:id="590" w:name="_Toc16272"/>
      <w:bookmarkStart w:id="591" w:name="_Toc25206"/>
      <w:bookmarkStart w:id="592" w:name="_Toc518923105"/>
      <w:bookmarkStart w:id="593" w:name="_Toc21341"/>
      <w:bookmarkStart w:id="594" w:name="_Toc28123"/>
      <w:bookmarkStart w:id="595" w:name="_Toc21462"/>
      <w:r>
        <w:rPr>
          <w:rFonts w:ascii="Times New Roman" w:hAnsi="Times New Roman" w:eastAsia="方正仿宋_GBK"/>
          <w:sz w:val="28"/>
          <w:szCs w:val="28"/>
        </w:rPr>
        <w:t>（采用政府采购信用担保形式时使用）</w:t>
      </w:r>
      <w:bookmarkEnd w:id="589"/>
      <w:bookmarkEnd w:id="590"/>
      <w:bookmarkEnd w:id="591"/>
      <w:bookmarkEnd w:id="592"/>
      <w:bookmarkEnd w:id="593"/>
      <w:bookmarkEnd w:id="594"/>
      <w:bookmarkEnd w:id="595"/>
    </w:p>
    <w:p w14:paraId="6B0D6D87">
      <w:pPr>
        <w:spacing w:line="400" w:lineRule="exact"/>
        <w:ind w:left="1079" w:leftChars="257" w:hanging="540"/>
        <w:rPr>
          <w:rFonts w:ascii="微软雅黑" w:hAnsi="微软雅黑" w:eastAsia="微软雅黑" w:cs="微软雅黑"/>
          <w:b/>
          <w:kern w:val="0"/>
          <w:sz w:val="24"/>
        </w:rPr>
      </w:pPr>
    </w:p>
    <w:p w14:paraId="2A876319">
      <w:pPr>
        <w:spacing w:line="400" w:lineRule="exact"/>
        <w:jc w:val="center"/>
        <w:rPr>
          <w:rFonts w:eastAsia="方正仿宋_GBK"/>
          <w:sz w:val="24"/>
        </w:rPr>
      </w:pPr>
      <w:r>
        <w:rPr>
          <w:rFonts w:eastAsia="方正仿宋_GBK"/>
          <w:sz w:val="24"/>
        </w:rPr>
        <w:t>政府采购履约担保函（项目用）</w:t>
      </w:r>
    </w:p>
    <w:p w14:paraId="25F0DE22">
      <w:pPr>
        <w:spacing w:line="400" w:lineRule="exact"/>
        <w:rPr>
          <w:rFonts w:eastAsia="方正仿宋_GBK"/>
          <w:sz w:val="24"/>
        </w:rPr>
      </w:pPr>
      <w:r>
        <w:rPr>
          <w:rFonts w:eastAsia="方正仿宋_GBK"/>
          <w:sz w:val="24"/>
        </w:rPr>
        <w:t xml:space="preserve">                                                   编号：</w:t>
      </w:r>
    </w:p>
    <w:p w14:paraId="5F26F6FE">
      <w:pPr>
        <w:spacing w:line="400" w:lineRule="exact"/>
        <w:rPr>
          <w:rFonts w:eastAsia="方正仿宋_GBK"/>
          <w:sz w:val="24"/>
        </w:rPr>
      </w:pPr>
    </w:p>
    <w:p w14:paraId="2C51FEC3">
      <w:pPr>
        <w:spacing w:line="400" w:lineRule="exact"/>
        <w:rPr>
          <w:rFonts w:eastAsia="方正仿宋_GBK"/>
          <w:sz w:val="24"/>
        </w:rPr>
      </w:pPr>
      <w:r>
        <w:rPr>
          <w:rFonts w:eastAsia="方正仿宋_GBK"/>
          <w:sz w:val="24"/>
          <w:u w:val="single"/>
        </w:rPr>
        <w:t xml:space="preserve">                  </w:t>
      </w:r>
      <w:r>
        <w:rPr>
          <w:rFonts w:eastAsia="方正仿宋_GBK"/>
          <w:sz w:val="24"/>
        </w:rPr>
        <w:t>（采购人）：</w:t>
      </w:r>
    </w:p>
    <w:p w14:paraId="21802543">
      <w:pPr>
        <w:spacing w:line="400" w:lineRule="exact"/>
        <w:rPr>
          <w:rFonts w:eastAsia="方正仿宋_GBK"/>
          <w:sz w:val="24"/>
        </w:rPr>
      </w:pPr>
    </w:p>
    <w:p w14:paraId="7C44A8A3">
      <w:pPr>
        <w:spacing w:line="400" w:lineRule="exact"/>
        <w:ind w:firstLine="480" w:firstLineChars="200"/>
        <w:rPr>
          <w:rFonts w:eastAsia="方正仿宋_GBK"/>
          <w:sz w:val="24"/>
        </w:rPr>
      </w:pPr>
      <w:r>
        <w:rPr>
          <w:rFonts w:eastAsia="方正仿宋_GBK"/>
          <w:sz w:val="24"/>
        </w:rPr>
        <w:t>鉴于你方与</w:t>
      </w:r>
      <w:r>
        <w:rPr>
          <w:rFonts w:eastAsia="方正仿宋_GBK"/>
          <w:sz w:val="24"/>
          <w:u w:val="single"/>
        </w:rPr>
        <w:t xml:space="preserve">                    </w:t>
      </w:r>
      <w:r>
        <w:rPr>
          <w:rFonts w:eastAsia="方正仿宋_GBK"/>
          <w:sz w:val="24"/>
        </w:rPr>
        <w:t>（以下简称供应商）于</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日签定编号为   的《</w:t>
      </w:r>
      <w:r>
        <w:rPr>
          <w:rFonts w:eastAsia="方正仿宋_GBK"/>
          <w:sz w:val="24"/>
          <w:u w:val="single"/>
        </w:rPr>
        <w:t xml:space="preserve">           </w:t>
      </w:r>
      <w:r>
        <w:rPr>
          <w:rFonts w:eastAsia="方正仿宋_GBK"/>
          <w:sz w:val="24"/>
        </w:rPr>
        <w:t>政府采购合同》（以下简称主合同），且依据该合同的约定，供应商应在</w:t>
      </w:r>
      <w:r>
        <w:rPr>
          <w:rFonts w:eastAsia="方正仿宋_GBK"/>
          <w:sz w:val="24"/>
          <w:u w:val="single"/>
        </w:rPr>
        <w:t xml:space="preserve">    </w:t>
      </w:r>
      <w:r>
        <w:rPr>
          <w:rFonts w:eastAsia="方正仿宋_GBK"/>
          <w:sz w:val="24"/>
        </w:rPr>
        <w:t>年</w:t>
      </w:r>
    </w:p>
    <w:p w14:paraId="592999EE">
      <w:pPr>
        <w:spacing w:line="400" w:lineRule="exact"/>
        <w:rPr>
          <w:rFonts w:eastAsia="方正仿宋_GBK"/>
          <w:sz w:val="24"/>
        </w:rPr>
      </w:pP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日前向你方交纳履约保证金，且可以履约担保函的形式交纳履约保证金。应供应商的申请，我方以保证的方式向你方提供如下履约保证金担保：</w:t>
      </w:r>
    </w:p>
    <w:p w14:paraId="65A3AF64">
      <w:pPr>
        <w:spacing w:line="400" w:lineRule="exact"/>
        <w:ind w:firstLine="480" w:firstLineChars="200"/>
        <w:rPr>
          <w:rFonts w:eastAsia="方正仿宋_GBK"/>
          <w:sz w:val="24"/>
        </w:rPr>
      </w:pPr>
      <w:r>
        <w:rPr>
          <w:rFonts w:eastAsia="方正仿宋_GBK"/>
          <w:sz w:val="24"/>
        </w:rPr>
        <w:t>一、保证责任的情形及保证金额</w:t>
      </w:r>
    </w:p>
    <w:p w14:paraId="587B2925">
      <w:pPr>
        <w:spacing w:line="400" w:lineRule="exact"/>
        <w:ind w:firstLine="480" w:firstLineChars="200"/>
        <w:rPr>
          <w:rFonts w:eastAsia="方正仿宋_GBK"/>
          <w:sz w:val="24"/>
        </w:rPr>
      </w:pPr>
      <w:r>
        <w:rPr>
          <w:rFonts w:eastAsia="方正仿宋_GBK"/>
          <w:sz w:val="24"/>
        </w:rPr>
        <w:t>（一）在供应商出现下列情形之一时，我方承担保证责任：</w:t>
      </w:r>
    </w:p>
    <w:p w14:paraId="209BAB16">
      <w:pPr>
        <w:spacing w:line="400" w:lineRule="exact"/>
        <w:ind w:firstLine="480" w:firstLineChars="200"/>
        <w:rPr>
          <w:rFonts w:eastAsia="方正仿宋_GBK"/>
          <w:sz w:val="24"/>
        </w:rPr>
      </w:pPr>
      <w:r>
        <w:rPr>
          <w:rFonts w:eastAsia="方正仿宋_GBK"/>
          <w:sz w:val="24"/>
        </w:rPr>
        <w:t>1．将中标项目转让给他人，或者在投标文件中未说明，且未经采购招标机构人同意，将中标项目分包给他人的；</w:t>
      </w:r>
    </w:p>
    <w:p w14:paraId="6F338BCE">
      <w:pPr>
        <w:spacing w:line="400" w:lineRule="exact"/>
        <w:rPr>
          <w:rFonts w:eastAsia="方正仿宋_GBK"/>
          <w:sz w:val="24"/>
        </w:rPr>
      </w:pPr>
      <w:r>
        <w:rPr>
          <w:rFonts w:eastAsia="方正仿宋_GBK"/>
          <w:sz w:val="24"/>
        </w:rPr>
        <w:t xml:space="preserve">　　2．主合同约定的应当缴纳履约保证金的情形: </w:t>
      </w:r>
    </w:p>
    <w:p w14:paraId="5A068A59">
      <w:pPr>
        <w:spacing w:line="400" w:lineRule="exact"/>
        <w:ind w:firstLine="480" w:firstLineChars="200"/>
        <w:rPr>
          <w:rFonts w:eastAsia="方正仿宋_GBK"/>
          <w:sz w:val="24"/>
        </w:rPr>
      </w:pPr>
      <w:r>
        <w:rPr>
          <w:rFonts w:eastAsia="方正仿宋_GBK"/>
          <w:sz w:val="24"/>
        </w:rPr>
        <w:t>（1）未按主合同约定的质量、数量和期限供应货物/提供服务/完成工程的；</w:t>
      </w:r>
    </w:p>
    <w:p w14:paraId="236FBE73">
      <w:pPr>
        <w:spacing w:line="400" w:lineRule="exact"/>
        <w:ind w:firstLine="480" w:firstLineChars="200"/>
        <w:rPr>
          <w:rFonts w:eastAsia="方正仿宋_GBK"/>
          <w:sz w:val="24"/>
        </w:rPr>
      </w:pPr>
      <w:r>
        <w:rPr>
          <w:rFonts w:eastAsia="方正仿宋_GBK"/>
          <w:sz w:val="24"/>
        </w:rPr>
        <w:t>（2）</w:t>
      </w:r>
      <w:r>
        <w:rPr>
          <w:rFonts w:eastAsia="方正仿宋_GBK"/>
          <w:sz w:val="24"/>
          <w:u w:val="single"/>
        </w:rPr>
        <w:t xml:space="preserve">                                                           </w:t>
      </w:r>
      <w:r>
        <w:rPr>
          <w:rFonts w:eastAsia="方正仿宋_GBK"/>
          <w:sz w:val="24"/>
        </w:rPr>
        <w:t>。</w:t>
      </w:r>
    </w:p>
    <w:p w14:paraId="5DF50D6C">
      <w:pPr>
        <w:spacing w:line="400" w:lineRule="exact"/>
        <w:ind w:firstLine="480" w:firstLineChars="200"/>
        <w:rPr>
          <w:rFonts w:eastAsia="方正仿宋_GBK"/>
          <w:sz w:val="24"/>
        </w:rPr>
      </w:pPr>
      <w:r>
        <w:rPr>
          <w:rFonts w:eastAsia="方正仿宋_GBK"/>
          <w:sz w:val="24"/>
        </w:rPr>
        <w:t>（二）我方的保证范围是主合同约定的合同价款总额的</w:t>
      </w:r>
      <w:r>
        <w:rPr>
          <w:rFonts w:eastAsia="方正仿宋_GBK"/>
          <w:sz w:val="24"/>
          <w:u w:val="single"/>
        </w:rPr>
        <w:t xml:space="preserve">        </w:t>
      </w:r>
      <w:r>
        <w:rPr>
          <w:rFonts w:eastAsia="方正仿宋_GBK"/>
          <w:sz w:val="24"/>
        </w:rPr>
        <w:t>%数额为</w:t>
      </w:r>
      <w:r>
        <w:rPr>
          <w:rFonts w:eastAsia="方正仿宋_GBK"/>
          <w:sz w:val="24"/>
          <w:u w:val="single"/>
        </w:rPr>
        <w:t xml:space="preserve">         </w:t>
      </w:r>
      <w:r>
        <w:rPr>
          <w:rFonts w:eastAsia="方正仿宋_GBK"/>
          <w:sz w:val="24"/>
        </w:rPr>
        <w:t>元（大写</w:t>
      </w:r>
      <w:r>
        <w:rPr>
          <w:rFonts w:eastAsia="方正仿宋_GBK"/>
          <w:sz w:val="24"/>
          <w:u w:val="single"/>
        </w:rPr>
        <w:t xml:space="preserve">           </w:t>
      </w:r>
      <w:r>
        <w:rPr>
          <w:rFonts w:eastAsia="方正仿宋_GBK"/>
          <w:sz w:val="24"/>
        </w:rPr>
        <w:t>），币种为</w:t>
      </w:r>
      <w:r>
        <w:rPr>
          <w:rFonts w:eastAsia="方正仿宋_GBK"/>
          <w:sz w:val="24"/>
          <w:u w:val="single"/>
        </w:rPr>
        <w:t xml:space="preserve">        </w:t>
      </w:r>
      <w:r>
        <w:rPr>
          <w:rFonts w:eastAsia="方正仿宋_GBK"/>
          <w:sz w:val="24"/>
        </w:rPr>
        <w:t>。（即主合同履约保证金金额）</w:t>
      </w:r>
    </w:p>
    <w:p w14:paraId="5B4D903F">
      <w:pPr>
        <w:spacing w:line="400" w:lineRule="exact"/>
        <w:ind w:firstLine="480" w:firstLineChars="200"/>
        <w:rPr>
          <w:rFonts w:eastAsia="方正仿宋_GBK"/>
          <w:sz w:val="24"/>
        </w:rPr>
      </w:pPr>
      <w:r>
        <w:rPr>
          <w:rFonts w:eastAsia="方正仿宋_GBK"/>
          <w:sz w:val="24"/>
        </w:rPr>
        <w:t>二、保证的方式及保证期间</w:t>
      </w:r>
    </w:p>
    <w:p w14:paraId="240110E1">
      <w:pPr>
        <w:spacing w:line="400" w:lineRule="exact"/>
        <w:ind w:firstLine="480" w:firstLineChars="200"/>
        <w:rPr>
          <w:rFonts w:eastAsia="方正仿宋_GBK"/>
          <w:sz w:val="24"/>
        </w:rPr>
      </w:pPr>
      <w:r>
        <w:rPr>
          <w:rFonts w:eastAsia="方正仿宋_GBK"/>
          <w:sz w:val="24"/>
        </w:rPr>
        <w:t>我方保证的方式为：连带责任保证。</w:t>
      </w:r>
    </w:p>
    <w:p w14:paraId="49E3395D">
      <w:pPr>
        <w:spacing w:line="400" w:lineRule="exact"/>
        <w:ind w:firstLine="480" w:firstLineChars="200"/>
        <w:rPr>
          <w:rFonts w:eastAsia="方正仿宋_GBK"/>
          <w:sz w:val="24"/>
        </w:rPr>
      </w:pPr>
      <w:r>
        <w:rPr>
          <w:rFonts w:eastAsia="方正仿宋_GBK"/>
          <w:sz w:val="24"/>
        </w:rPr>
        <w:t>我方保证的期间为：自本合同生效之日起至供应商按照主合同约定的供货/完工期限届满后</w:t>
      </w:r>
      <w:r>
        <w:rPr>
          <w:rFonts w:eastAsia="方正仿宋_GBK"/>
          <w:sz w:val="24"/>
          <w:u w:val="single"/>
        </w:rPr>
        <w:t xml:space="preserve">     </w:t>
      </w:r>
      <w:r>
        <w:rPr>
          <w:rFonts w:eastAsia="方正仿宋_GBK"/>
          <w:sz w:val="24"/>
        </w:rPr>
        <w:t>日内。</w:t>
      </w:r>
    </w:p>
    <w:p w14:paraId="44518A87">
      <w:pPr>
        <w:spacing w:line="400" w:lineRule="exact"/>
        <w:ind w:firstLine="480" w:firstLineChars="200"/>
        <w:rPr>
          <w:rFonts w:eastAsia="方正仿宋_GBK"/>
          <w:sz w:val="24"/>
        </w:rPr>
      </w:pPr>
      <w:r>
        <w:rPr>
          <w:rFonts w:eastAsia="方正仿宋_GBK"/>
          <w:sz w:val="24"/>
        </w:rPr>
        <w:t>如果供应商未按主合同约定向贵方供应货物/提供服务/完成工程的，由我方在保证金额内向你方支付上述款项。</w:t>
      </w:r>
    </w:p>
    <w:p w14:paraId="7B06BCAE">
      <w:pPr>
        <w:spacing w:line="400" w:lineRule="exact"/>
        <w:ind w:firstLine="480" w:firstLineChars="200"/>
        <w:rPr>
          <w:rFonts w:eastAsia="方正仿宋_GBK"/>
          <w:sz w:val="24"/>
        </w:rPr>
      </w:pPr>
      <w:r>
        <w:rPr>
          <w:rFonts w:eastAsia="方正仿宋_GBK"/>
          <w:sz w:val="24"/>
        </w:rPr>
        <w:t>三、承担保证责任的程序</w:t>
      </w:r>
    </w:p>
    <w:p w14:paraId="0194ABBC">
      <w:pPr>
        <w:spacing w:line="400" w:lineRule="exact"/>
        <w:ind w:firstLine="480" w:firstLineChars="200"/>
        <w:rPr>
          <w:rFonts w:eastAsia="方正仿宋_GBK"/>
          <w:sz w:val="24"/>
        </w:rPr>
      </w:pPr>
      <w:r>
        <w:rPr>
          <w:rFonts w:eastAsia="方正仿宋_GBK"/>
          <w:sz w:val="24"/>
        </w:rPr>
        <w:t>1．你方要求我方承担保证责任的，应在本保函保证期间内向我方发出书面索赔通知。索赔通知应写明要求索赔的金额，支付款项应到达的帐号。并附有证明供应商违约事实的证明材料。</w:t>
      </w:r>
    </w:p>
    <w:p w14:paraId="1672807D">
      <w:pPr>
        <w:spacing w:line="400" w:lineRule="exact"/>
        <w:ind w:firstLine="480" w:firstLineChars="200"/>
        <w:rPr>
          <w:rFonts w:eastAsia="方正仿宋_GBK"/>
          <w:sz w:val="24"/>
        </w:rPr>
      </w:pPr>
      <w:r>
        <w:rPr>
          <w:rFonts w:eastAsia="方正仿宋_GBK"/>
          <w:sz w:val="24"/>
        </w:rPr>
        <w:t>如果你方与供应商因货物质量问题产生争议，你方还需同时提供</w:t>
      </w:r>
      <w:r>
        <w:rPr>
          <w:rFonts w:eastAsia="方正仿宋_GBK"/>
          <w:sz w:val="24"/>
          <w:u w:val="single"/>
        </w:rPr>
        <w:t xml:space="preserve">        </w:t>
      </w:r>
      <w:r>
        <w:rPr>
          <w:rFonts w:eastAsia="方正仿宋_GBK"/>
          <w:sz w:val="24"/>
        </w:rPr>
        <w:t>部门出具的质量检测报告，或经诉讼（仲裁）程序裁决后的裁决书、调解书，本保证人即按照检测结果或裁决书、调解书决定是否承担保证责任。</w:t>
      </w:r>
    </w:p>
    <w:p w14:paraId="26E970B5">
      <w:pPr>
        <w:spacing w:line="400" w:lineRule="exact"/>
        <w:ind w:firstLine="480" w:firstLineChars="200"/>
        <w:rPr>
          <w:rFonts w:eastAsia="方正仿宋_GBK"/>
          <w:sz w:val="24"/>
        </w:rPr>
      </w:pPr>
      <w:r>
        <w:rPr>
          <w:rFonts w:eastAsia="方正仿宋_GBK"/>
          <w:sz w:val="24"/>
        </w:rPr>
        <w:t>2． 我方收到你方的书面索赔通知及相应证明材料，在</w:t>
      </w:r>
      <w:r>
        <w:rPr>
          <w:rFonts w:eastAsia="方正仿宋_GBK"/>
          <w:sz w:val="24"/>
          <w:u w:val="single"/>
        </w:rPr>
        <w:t xml:space="preserve">     </w:t>
      </w:r>
      <w:r>
        <w:rPr>
          <w:rFonts w:eastAsia="方正仿宋_GBK"/>
          <w:sz w:val="24"/>
        </w:rPr>
        <w:t>工作日内进行核定后按照本保函的承诺承担保证责任。</w:t>
      </w:r>
    </w:p>
    <w:p w14:paraId="51777315">
      <w:pPr>
        <w:spacing w:line="400" w:lineRule="exact"/>
        <w:ind w:firstLine="480" w:firstLineChars="200"/>
        <w:rPr>
          <w:rFonts w:eastAsia="方正仿宋_GBK"/>
          <w:sz w:val="24"/>
        </w:rPr>
      </w:pPr>
      <w:r>
        <w:rPr>
          <w:rFonts w:eastAsia="方正仿宋_GBK"/>
          <w:sz w:val="24"/>
        </w:rPr>
        <w:t>四、保证责任的终止</w:t>
      </w:r>
    </w:p>
    <w:p w14:paraId="5DAEA190">
      <w:pPr>
        <w:spacing w:line="400" w:lineRule="exact"/>
        <w:ind w:firstLine="480" w:firstLineChars="200"/>
        <w:rPr>
          <w:rFonts w:eastAsia="方正仿宋_GBK"/>
          <w:sz w:val="24"/>
        </w:rPr>
      </w:pPr>
      <w:r>
        <w:rPr>
          <w:rFonts w:eastAsia="方正仿宋_GBK"/>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50A8A50">
      <w:pPr>
        <w:spacing w:line="400" w:lineRule="exact"/>
        <w:ind w:firstLine="480" w:firstLineChars="200"/>
        <w:rPr>
          <w:rFonts w:eastAsia="方正仿宋_GBK"/>
          <w:sz w:val="24"/>
        </w:rPr>
      </w:pPr>
      <w:r>
        <w:rPr>
          <w:rFonts w:eastAsia="方正仿宋_GBK"/>
          <w:sz w:val="24"/>
        </w:rPr>
        <w:t>2．我方按照本保函向你方履行了保证责任后，自我方向你方支付款项（支付款项从我方账户划出）之日起，保证责任即终止。</w:t>
      </w:r>
    </w:p>
    <w:p w14:paraId="0759C7B5">
      <w:pPr>
        <w:spacing w:line="400" w:lineRule="exact"/>
        <w:ind w:firstLine="480" w:firstLineChars="200"/>
        <w:rPr>
          <w:rFonts w:eastAsia="方正仿宋_GBK"/>
          <w:sz w:val="24"/>
        </w:rPr>
      </w:pPr>
      <w:r>
        <w:rPr>
          <w:rFonts w:eastAsia="方正仿宋_GBK"/>
          <w:sz w:val="24"/>
        </w:rPr>
        <w:t>3．按照法律法规的规定或出现应终止我方保证责任的其它情形的，我方在本保函项下的保证责任亦终止。</w:t>
      </w:r>
    </w:p>
    <w:p w14:paraId="4D6DB716">
      <w:pPr>
        <w:spacing w:line="400" w:lineRule="exact"/>
        <w:ind w:firstLine="480" w:firstLineChars="200"/>
        <w:rPr>
          <w:rFonts w:eastAsia="方正仿宋_GBK"/>
          <w:sz w:val="24"/>
        </w:rPr>
      </w:pPr>
      <w:r>
        <w:rPr>
          <w:rFonts w:eastAsia="方正仿宋_GBK"/>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6BD886BC">
      <w:pPr>
        <w:spacing w:line="400" w:lineRule="exact"/>
        <w:ind w:firstLine="480" w:firstLineChars="200"/>
        <w:rPr>
          <w:rFonts w:eastAsia="方正仿宋_GBK"/>
          <w:sz w:val="24"/>
        </w:rPr>
      </w:pPr>
      <w:r>
        <w:rPr>
          <w:rFonts w:eastAsia="方正仿宋_GBK"/>
          <w:sz w:val="24"/>
        </w:rPr>
        <w:t>五、免责条款</w:t>
      </w:r>
    </w:p>
    <w:p w14:paraId="61F32FD8">
      <w:pPr>
        <w:spacing w:line="400" w:lineRule="exact"/>
        <w:ind w:firstLine="480" w:firstLineChars="200"/>
        <w:rPr>
          <w:rFonts w:eastAsia="方正仿宋_GBK"/>
          <w:sz w:val="24"/>
        </w:rPr>
      </w:pPr>
      <w:r>
        <w:rPr>
          <w:rFonts w:eastAsia="方正仿宋_GBK"/>
          <w:sz w:val="24"/>
        </w:rPr>
        <w:t>1．因你方违反主合同约定致使供应商不能履行义务的，我方不承担保证责任。</w:t>
      </w:r>
    </w:p>
    <w:p w14:paraId="16C77C27">
      <w:pPr>
        <w:spacing w:line="400" w:lineRule="exact"/>
        <w:ind w:firstLine="480" w:firstLineChars="200"/>
        <w:rPr>
          <w:rFonts w:eastAsia="方正仿宋_GBK"/>
          <w:sz w:val="24"/>
        </w:rPr>
      </w:pPr>
      <w:r>
        <w:rPr>
          <w:rFonts w:eastAsia="方正仿宋_GBK"/>
          <w:sz w:val="24"/>
        </w:rPr>
        <w:t>2．依照法律法规的规定或你方与供应商的另行约定，全部或者部分免除供应商应缴纳的保证金义务的，我方亦免除相应的保证责任。</w:t>
      </w:r>
    </w:p>
    <w:p w14:paraId="14014736">
      <w:pPr>
        <w:spacing w:line="400" w:lineRule="exact"/>
        <w:ind w:firstLine="480" w:firstLineChars="200"/>
        <w:rPr>
          <w:rFonts w:eastAsia="方正仿宋_GBK"/>
          <w:sz w:val="24"/>
        </w:rPr>
      </w:pPr>
      <w:r>
        <w:rPr>
          <w:rFonts w:eastAsia="方正仿宋_GBK"/>
          <w:sz w:val="24"/>
        </w:rPr>
        <w:t>3．因不可抗力造成供应商不能履行供货义务的，我方不承担保证责任。</w:t>
      </w:r>
    </w:p>
    <w:p w14:paraId="46A1E6A2">
      <w:pPr>
        <w:spacing w:line="400" w:lineRule="exact"/>
        <w:ind w:firstLine="480" w:firstLineChars="200"/>
        <w:rPr>
          <w:rFonts w:eastAsia="方正仿宋_GBK"/>
          <w:sz w:val="24"/>
        </w:rPr>
      </w:pPr>
      <w:r>
        <w:rPr>
          <w:rFonts w:eastAsia="方正仿宋_GBK"/>
          <w:sz w:val="24"/>
        </w:rPr>
        <w:t>六、争议的解决</w:t>
      </w:r>
    </w:p>
    <w:p w14:paraId="06EAFC12">
      <w:pPr>
        <w:spacing w:line="400" w:lineRule="exact"/>
        <w:ind w:firstLine="480" w:firstLineChars="200"/>
        <w:rPr>
          <w:rFonts w:eastAsia="方正仿宋_GBK"/>
          <w:sz w:val="24"/>
        </w:rPr>
      </w:pPr>
      <w:r>
        <w:rPr>
          <w:rFonts w:eastAsia="方正仿宋_GBK"/>
          <w:sz w:val="24"/>
        </w:rPr>
        <w:t>因本保函发生的纠纷，由你我双方协商解决，协商不成的，通过诉讼程序解决，诉讼管辖地法院为</w:t>
      </w:r>
      <w:r>
        <w:rPr>
          <w:rFonts w:eastAsia="方正仿宋_GBK"/>
          <w:sz w:val="24"/>
          <w:u w:val="single"/>
        </w:rPr>
        <w:t xml:space="preserve">        </w:t>
      </w:r>
      <w:r>
        <w:rPr>
          <w:rFonts w:eastAsia="方正仿宋_GBK"/>
          <w:sz w:val="24"/>
        </w:rPr>
        <w:t>法院。</w:t>
      </w:r>
    </w:p>
    <w:p w14:paraId="67981F08">
      <w:pPr>
        <w:spacing w:line="400" w:lineRule="exact"/>
        <w:ind w:firstLine="480" w:firstLineChars="200"/>
        <w:rPr>
          <w:rFonts w:eastAsia="方正仿宋_GBK"/>
          <w:sz w:val="24"/>
        </w:rPr>
      </w:pPr>
      <w:r>
        <w:rPr>
          <w:rFonts w:eastAsia="方正仿宋_GBK"/>
          <w:sz w:val="24"/>
        </w:rPr>
        <w:t>七、保函的生效</w:t>
      </w:r>
    </w:p>
    <w:p w14:paraId="7697BC60">
      <w:pPr>
        <w:spacing w:line="400" w:lineRule="exact"/>
        <w:ind w:firstLine="480" w:firstLineChars="200"/>
        <w:rPr>
          <w:rFonts w:eastAsia="方正仿宋_GBK"/>
          <w:sz w:val="24"/>
        </w:rPr>
      </w:pPr>
      <w:r>
        <w:rPr>
          <w:rFonts w:eastAsia="方正仿宋_GBK"/>
          <w:sz w:val="24"/>
        </w:rPr>
        <w:t>本保函自我方加盖公章之日起生效。</w:t>
      </w:r>
    </w:p>
    <w:p w14:paraId="64BE2EFD">
      <w:pPr>
        <w:spacing w:line="400" w:lineRule="exact"/>
        <w:rPr>
          <w:rFonts w:eastAsia="方正仿宋_GBK"/>
          <w:sz w:val="24"/>
        </w:rPr>
      </w:pPr>
    </w:p>
    <w:p w14:paraId="5648AA33">
      <w:pPr>
        <w:spacing w:line="400" w:lineRule="exact"/>
        <w:rPr>
          <w:rFonts w:eastAsia="方正仿宋_GBK"/>
          <w:sz w:val="24"/>
        </w:rPr>
      </w:pPr>
      <w:r>
        <w:rPr>
          <w:rFonts w:eastAsia="方正仿宋_GBK"/>
          <w:sz w:val="24"/>
        </w:rPr>
        <w:t xml:space="preserve">                                      </w:t>
      </w:r>
    </w:p>
    <w:p w14:paraId="27D3F186">
      <w:pPr>
        <w:spacing w:line="400" w:lineRule="exact"/>
        <w:ind w:firstLine="5400" w:firstLineChars="2250"/>
        <w:rPr>
          <w:rFonts w:eastAsia="方正仿宋_GBK"/>
          <w:sz w:val="24"/>
        </w:rPr>
      </w:pPr>
      <w:r>
        <w:rPr>
          <w:rFonts w:eastAsia="方正仿宋_GBK"/>
          <w:sz w:val="24"/>
        </w:rPr>
        <w:t>保证人：（公章）</w:t>
      </w:r>
    </w:p>
    <w:p w14:paraId="62C59393">
      <w:pPr>
        <w:spacing w:line="400" w:lineRule="exact"/>
        <w:rPr>
          <w:rFonts w:eastAsia="方正仿宋_GBK"/>
          <w:sz w:val="24"/>
        </w:rPr>
      </w:pPr>
      <w:r>
        <w:rPr>
          <w:rFonts w:eastAsia="方正仿宋_GBK"/>
          <w:sz w:val="24"/>
        </w:rPr>
        <w:t xml:space="preserve">                   </w:t>
      </w:r>
    </w:p>
    <w:p w14:paraId="160BFFB8">
      <w:pPr>
        <w:spacing w:line="400" w:lineRule="exact"/>
        <w:rPr>
          <w:rFonts w:eastAsia="方正仿宋_GBK"/>
          <w:sz w:val="24"/>
        </w:rPr>
      </w:pPr>
      <w:r>
        <w:rPr>
          <w:rFonts w:eastAsia="方正仿宋_GBK"/>
          <w:sz w:val="24"/>
        </w:rPr>
        <w:t xml:space="preserve">                                                   年     月      日</w:t>
      </w:r>
    </w:p>
    <w:p w14:paraId="3FA44A07">
      <w:pPr>
        <w:pStyle w:val="3"/>
        <w:snapToGrid w:val="0"/>
        <w:spacing w:before="312" w:beforeLines="100" w:after="312" w:afterLines="100" w:line="240" w:lineRule="atLeast"/>
        <w:textAlignment w:val="baseline"/>
        <w:rPr>
          <w:rFonts w:ascii="Times New Roman" w:hAnsi="Times New Roman" w:eastAsia="方正小标宋简体" w:cs="Times New Roman"/>
          <w:szCs w:val="32"/>
        </w:rPr>
      </w:pPr>
      <w:bookmarkStart w:id="596" w:name="_Toc16721"/>
      <w:r>
        <w:rPr>
          <w:rFonts w:ascii="Times New Roman" w:hAnsi="Times New Roman" w:eastAsia="方正小标宋简体" w:cs="Times New Roman"/>
          <w:szCs w:val="32"/>
        </w:rPr>
        <w:t>第2章 响应文件格式</w:t>
      </w:r>
      <w:bookmarkEnd w:id="579"/>
      <w:bookmarkEnd w:id="580"/>
      <w:bookmarkEnd w:id="581"/>
      <w:bookmarkEnd w:id="582"/>
      <w:bookmarkEnd w:id="596"/>
    </w:p>
    <w:p w14:paraId="74226E73">
      <w:pPr>
        <w:pStyle w:val="5"/>
        <w:snapToGrid w:val="0"/>
        <w:spacing w:before="0" w:line="240" w:lineRule="atLeast"/>
        <w:ind w:left="1079" w:leftChars="257" w:hanging="540"/>
        <w:textAlignment w:val="baseline"/>
        <w:rPr>
          <w:rFonts w:ascii="方正仿宋_GBK" w:hAnsi="方正仿宋_GBK" w:eastAsia="方正仿宋_GBK" w:cs="方正仿宋_GBK"/>
          <w:szCs w:val="30"/>
        </w:rPr>
      </w:pPr>
      <w:bookmarkStart w:id="597" w:name="_Toc19961"/>
      <w:bookmarkStart w:id="598" w:name="_Toc515647803"/>
      <w:bookmarkStart w:id="599" w:name="_Toc18974"/>
      <w:bookmarkStart w:id="600" w:name="_Toc3315"/>
      <w:bookmarkStart w:id="601" w:name="_Toc18694"/>
      <w:bookmarkStart w:id="602" w:name="_Toc1126"/>
      <w:bookmarkStart w:id="603" w:name="_Toc26489"/>
      <w:bookmarkStart w:id="604" w:name="_Toc25930"/>
      <w:r>
        <w:rPr>
          <w:rFonts w:hint="eastAsia" w:ascii="方正仿宋_GBK" w:hAnsi="方正仿宋_GBK" w:eastAsia="方正仿宋_GBK" w:cs="方正仿宋_GBK"/>
          <w:szCs w:val="30"/>
        </w:rPr>
        <w:t>第一部分 响应报价一览表及资格证明文件</w:t>
      </w:r>
      <w:bookmarkEnd w:id="597"/>
      <w:bookmarkEnd w:id="598"/>
      <w:bookmarkEnd w:id="599"/>
      <w:bookmarkEnd w:id="600"/>
      <w:bookmarkEnd w:id="601"/>
      <w:bookmarkEnd w:id="602"/>
      <w:bookmarkEnd w:id="603"/>
      <w:bookmarkEnd w:id="604"/>
    </w:p>
    <w:p w14:paraId="4430DCFD"/>
    <w:p w14:paraId="52703DB3">
      <w:pPr>
        <w:tabs>
          <w:tab w:val="left" w:pos="5580"/>
        </w:tabs>
        <w:snapToGrid w:val="0"/>
        <w:spacing w:line="360" w:lineRule="exact"/>
        <w:ind w:firstLine="560" w:firstLineChars="200"/>
        <w:jc w:val="left"/>
        <w:textAlignment w:val="baseline"/>
        <w:rPr>
          <w:rFonts w:eastAsia="方正仿宋_GBK"/>
          <w:sz w:val="28"/>
          <w:szCs w:val="28"/>
        </w:rPr>
      </w:pPr>
      <w:r>
        <w:rPr>
          <w:rFonts w:eastAsia="方正仿宋_GBK"/>
          <w:sz w:val="28"/>
          <w:szCs w:val="28"/>
        </w:rPr>
        <w:t>1.响应报价一览表;</w:t>
      </w:r>
    </w:p>
    <w:p w14:paraId="35B6F549">
      <w:pPr>
        <w:snapToGrid w:val="0"/>
        <w:spacing w:line="380" w:lineRule="exact"/>
        <w:ind w:firstLine="560" w:firstLineChars="200"/>
        <w:textAlignment w:val="baseline"/>
        <w:rPr>
          <w:rFonts w:eastAsia="方正仿宋_GBK"/>
          <w:sz w:val="28"/>
          <w:szCs w:val="28"/>
        </w:rPr>
      </w:pPr>
      <w:r>
        <w:rPr>
          <w:rFonts w:eastAsia="方正仿宋_GBK"/>
          <w:sz w:val="28"/>
          <w:szCs w:val="28"/>
        </w:rPr>
        <w:t>2.符合《中华人民共和国政府采购法》第二十二条的规定：</w:t>
      </w:r>
    </w:p>
    <w:p w14:paraId="449354FF">
      <w:pPr>
        <w:snapToGrid w:val="0"/>
        <w:spacing w:line="380" w:lineRule="exact"/>
        <w:ind w:firstLine="560" w:firstLineChars="200"/>
        <w:textAlignment w:val="baseline"/>
        <w:rPr>
          <w:rFonts w:eastAsia="方正仿宋_GBK"/>
          <w:sz w:val="28"/>
          <w:szCs w:val="28"/>
        </w:rPr>
      </w:pPr>
      <w:r>
        <w:rPr>
          <w:rFonts w:eastAsia="方正仿宋_GBK"/>
          <w:sz w:val="28"/>
          <w:szCs w:val="28"/>
        </w:rPr>
        <w:t>1、企业三证合一的法人营业执照或含二维码的营业执照；</w:t>
      </w:r>
    </w:p>
    <w:p w14:paraId="6ED00E6E">
      <w:pPr>
        <w:snapToGrid w:val="0"/>
        <w:spacing w:line="380" w:lineRule="exact"/>
        <w:ind w:firstLine="560" w:firstLineChars="200"/>
        <w:textAlignment w:val="baseline"/>
        <w:rPr>
          <w:rFonts w:eastAsia="方正仿宋_GBK"/>
          <w:sz w:val="28"/>
          <w:szCs w:val="28"/>
        </w:rPr>
      </w:pPr>
      <w:r>
        <w:rPr>
          <w:rFonts w:eastAsia="方正仿宋_GBK"/>
          <w:sz w:val="28"/>
          <w:szCs w:val="28"/>
        </w:rPr>
        <w:t xml:space="preserve">2、法定代表人授权书及被授权人身份证，法人本人参与投标提供法人身份证及法人资格证明；  </w:t>
      </w:r>
    </w:p>
    <w:p w14:paraId="026E66A7">
      <w:pPr>
        <w:snapToGrid w:val="0"/>
        <w:spacing w:line="380" w:lineRule="exact"/>
        <w:ind w:firstLine="560" w:firstLineChars="200"/>
        <w:textAlignment w:val="baseline"/>
        <w:rPr>
          <w:rFonts w:eastAsia="方正仿宋_GBK"/>
          <w:sz w:val="28"/>
          <w:szCs w:val="28"/>
        </w:rPr>
      </w:pPr>
      <w:r>
        <w:rPr>
          <w:rFonts w:eastAsia="方正仿宋_GBK"/>
          <w:sz w:val="28"/>
          <w:szCs w:val="28"/>
        </w:rPr>
        <w:t>3、被授权委托人在本单位缴纳近六个月内任意一个月的社保证明（单位社保缴费凭证和个人明细表）、法定代表人提供本单位社保缴费凭证；（新成立公司从成立之日起缴纳的相关社保证明材料）；</w:t>
      </w:r>
    </w:p>
    <w:p w14:paraId="4B5FF23F">
      <w:pPr>
        <w:snapToGrid w:val="0"/>
        <w:spacing w:line="380" w:lineRule="exact"/>
        <w:ind w:firstLine="560" w:firstLineChars="200"/>
        <w:textAlignment w:val="baseline"/>
        <w:rPr>
          <w:rFonts w:eastAsia="方正仿宋_GBK"/>
          <w:sz w:val="28"/>
          <w:szCs w:val="28"/>
        </w:rPr>
      </w:pPr>
      <w:r>
        <w:rPr>
          <w:rFonts w:eastAsia="方正仿宋_GBK"/>
          <w:sz w:val="28"/>
          <w:szCs w:val="28"/>
        </w:rPr>
        <w:t>4、具有健全的财务会计制度（2023年的财务审计报告与健全的财务会计制度，新成立公司不足一年的提供近三个月内有效的银行资信证明）；</w:t>
      </w:r>
    </w:p>
    <w:p w14:paraId="5BCFBC03">
      <w:pPr>
        <w:snapToGrid w:val="0"/>
        <w:spacing w:line="380" w:lineRule="exact"/>
        <w:ind w:firstLine="560" w:firstLineChars="200"/>
        <w:textAlignment w:val="baseline"/>
        <w:rPr>
          <w:rFonts w:eastAsia="方正仿宋_GBK"/>
          <w:sz w:val="28"/>
          <w:szCs w:val="28"/>
        </w:rPr>
      </w:pPr>
      <w:r>
        <w:rPr>
          <w:rFonts w:eastAsia="方正仿宋_GBK"/>
          <w:sz w:val="28"/>
          <w:szCs w:val="28"/>
        </w:rPr>
        <w:t>5、在税务局依法缴纳近半年任意一个月税收证明的良好记录及投标截止日内无拖欠税收证明（零申报的企业需提供税务局的相关证明）；</w:t>
      </w:r>
    </w:p>
    <w:p w14:paraId="257A6E5A">
      <w:pPr>
        <w:snapToGrid w:val="0"/>
        <w:spacing w:line="380" w:lineRule="exact"/>
        <w:ind w:firstLine="560" w:firstLineChars="200"/>
        <w:textAlignment w:val="baseline"/>
        <w:rPr>
          <w:rFonts w:eastAsia="方正仿宋_GBK"/>
          <w:sz w:val="28"/>
          <w:szCs w:val="28"/>
        </w:rPr>
      </w:pPr>
      <w:r>
        <w:rPr>
          <w:rFonts w:eastAsia="方正仿宋_GBK"/>
          <w:sz w:val="28"/>
          <w:szCs w:val="28"/>
        </w:rPr>
        <w:t>6、根据《财政部关于在政府采购活动中查询及使用信用记录有关问题的通知》（财库﹝2016﹞125号）的要求，凡拟参加本次招标项目的供应商，如在“信用中国”网站（www.creditchina.gov.cn）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p w14:paraId="5B7B34E3">
      <w:pPr>
        <w:snapToGrid w:val="0"/>
        <w:spacing w:line="380" w:lineRule="exact"/>
        <w:ind w:firstLine="560" w:firstLineChars="200"/>
        <w:textAlignment w:val="baseline"/>
        <w:rPr>
          <w:rFonts w:eastAsia="方正仿宋_GBK"/>
          <w:sz w:val="28"/>
          <w:szCs w:val="28"/>
        </w:rPr>
      </w:pPr>
      <w:r>
        <w:rPr>
          <w:rFonts w:eastAsia="方正仿宋_GBK"/>
          <w:sz w:val="28"/>
          <w:szCs w:val="28"/>
        </w:rPr>
        <w:t>7、在参加政府采购活动中前三年内无重大违法记录的承诺书；</w:t>
      </w:r>
    </w:p>
    <w:p w14:paraId="5CE2DFC3">
      <w:pPr>
        <w:snapToGrid w:val="0"/>
        <w:spacing w:line="380" w:lineRule="exact"/>
        <w:ind w:firstLine="560" w:firstLineChars="200"/>
        <w:textAlignment w:val="baseline"/>
        <w:rPr>
          <w:rFonts w:eastAsia="方正仿宋_GBK"/>
          <w:sz w:val="28"/>
          <w:szCs w:val="28"/>
        </w:rPr>
      </w:pPr>
      <w:r>
        <w:rPr>
          <w:rFonts w:eastAsia="方正仿宋_GBK"/>
          <w:sz w:val="28"/>
          <w:szCs w:val="28"/>
        </w:rPr>
        <w:t>8、提供针对本次项目《反商业贿赂承诺书》书面声明；</w:t>
      </w:r>
    </w:p>
    <w:p w14:paraId="3CFC6937">
      <w:pPr>
        <w:snapToGrid w:val="0"/>
        <w:spacing w:line="380" w:lineRule="exact"/>
        <w:ind w:firstLine="560" w:firstLineChars="200"/>
        <w:textAlignment w:val="baseline"/>
        <w:rPr>
          <w:rFonts w:eastAsia="方正仿宋_GBK"/>
          <w:sz w:val="28"/>
          <w:szCs w:val="28"/>
        </w:rPr>
      </w:pPr>
      <w:r>
        <w:rPr>
          <w:rFonts w:eastAsia="方正仿宋_GBK"/>
          <w:sz w:val="28"/>
          <w:szCs w:val="28"/>
        </w:rPr>
        <w:t xml:space="preserve">9、必须具有履行合同所必需的设备和专业技术能力； </w:t>
      </w:r>
    </w:p>
    <w:p w14:paraId="43A75D47">
      <w:pPr>
        <w:snapToGrid w:val="0"/>
        <w:spacing w:line="380" w:lineRule="exact"/>
        <w:ind w:firstLine="560" w:firstLineChars="200"/>
        <w:textAlignment w:val="baseline"/>
        <w:rPr>
          <w:rFonts w:eastAsia="方正仿宋_GBK"/>
          <w:sz w:val="28"/>
          <w:szCs w:val="28"/>
        </w:rPr>
      </w:pPr>
      <w:r>
        <w:rPr>
          <w:rFonts w:eastAsia="方正仿宋_GBK"/>
          <w:sz w:val="28"/>
          <w:szCs w:val="28"/>
        </w:rPr>
        <w:t>10、本项目不接受联合体投标。</w:t>
      </w:r>
    </w:p>
    <w:p w14:paraId="23F7FC01">
      <w:pPr>
        <w:snapToGrid w:val="0"/>
        <w:spacing w:line="380" w:lineRule="exact"/>
        <w:ind w:firstLine="560" w:firstLineChars="200"/>
        <w:textAlignment w:val="baseline"/>
        <w:rPr>
          <w:rFonts w:eastAsia="方正仿宋_GBK"/>
          <w:sz w:val="28"/>
          <w:szCs w:val="28"/>
        </w:rPr>
      </w:pPr>
      <w:r>
        <w:rPr>
          <w:rFonts w:eastAsia="方正仿宋_GBK"/>
          <w:sz w:val="28"/>
          <w:szCs w:val="28"/>
        </w:rPr>
        <w:t>3.供应商可提供有利于投标的其他资格证明材料。</w:t>
      </w:r>
    </w:p>
    <w:p w14:paraId="234B20B8">
      <w:pPr>
        <w:snapToGrid w:val="0"/>
        <w:spacing w:line="380" w:lineRule="exact"/>
        <w:ind w:firstLine="560" w:firstLineChars="200"/>
        <w:textAlignment w:val="baseline"/>
        <w:rPr>
          <w:rFonts w:eastAsia="方正仿宋_GBK"/>
          <w:color w:val="FF0000"/>
          <w:sz w:val="28"/>
          <w:szCs w:val="28"/>
        </w:rPr>
      </w:pPr>
      <w:r>
        <w:rPr>
          <w:rFonts w:eastAsia="方正仿宋_GBK"/>
          <w:sz w:val="28"/>
          <w:szCs w:val="28"/>
        </w:rPr>
        <w:t>4.供应商须知资料表要求的其他资格证明文件。</w:t>
      </w:r>
    </w:p>
    <w:p w14:paraId="70FD2F3C">
      <w:pPr>
        <w:snapToGrid w:val="0"/>
        <w:spacing w:line="380" w:lineRule="exact"/>
        <w:ind w:firstLine="560" w:firstLineChars="200"/>
        <w:textAlignment w:val="baseline"/>
        <w:rPr>
          <w:rFonts w:eastAsia="方正仿宋_GBK"/>
          <w:color w:val="FF0000"/>
          <w:sz w:val="28"/>
          <w:szCs w:val="28"/>
        </w:rPr>
      </w:pPr>
      <w:r>
        <w:rPr>
          <w:rFonts w:eastAsia="方正仿宋_GBK"/>
          <w:color w:val="FF0000"/>
          <w:sz w:val="28"/>
          <w:szCs w:val="28"/>
        </w:rPr>
        <w:t>提示：①上述资质磋商现场能够通过官方网络查证的，均视为合格供应商。②完税证明中“税种”非养老保险、医疗保险、失业保险、工伤保险和生育保险。③“信用中国”网站(www.creditchina.gov.cn)查询记录请下载完整的查询报告并加盖公章上传扫描件。④未通过资格审查的供应商，不得进入评审。</w:t>
      </w:r>
    </w:p>
    <w:p w14:paraId="349537D1">
      <w:pPr>
        <w:pStyle w:val="34"/>
        <w:widowControl/>
        <w:spacing w:line="360" w:lineRule="exact"/>
        <w:ind w:firstLine="560" w:firstLineChars="200"/>
        <w:rPr>
          <w:rFonts w:eastAsia="方正仿宋_GBK"/>
          <w:sz w:val="28"/>
          <w:szCs w:val="28"/>
        </w:rPr>
      </w:pPr>
      <w:r>
        <w:rPr>
          <w:rFonts w:eastAsia="方正仿宋_GBK"/>
          <w:color w:val="000000" w:themeColor="text1"/>
          <w:sz w:val="28"/>
          <w:szCs w:val="28"/>
          <w14:textFill>
            <w14:solidFill>
              <w14:schemeClr w14:val="tx1"/>
            </w14:solidFill>
          </w14:textFill>
        </w:rPr>
        <w:t>5</w:t>
      </w:r>
      <w:r>
        <w:rPr>
          <w:rFonts w:hint="eastAsia" w:eastAsia="方正仿宋_GBK"/>
          <w:color w:val="000000" w:themeColor="text1"/>
          <w:sz w:val="28"/>
          <w:szCs w:val="28"/>
          <w14:textFill>
            <w14:solidFill>
              <w14:schemeClr w14:val="tx1"/>
            </w14:solidFill>
          </w14:textFill>
        </w:rPr>
        <w:t>.</w:t>
      </w:r>
      <w:r>
        <w:rPr>
          <w:rFonts w:eastAsia="方正仿宋_GBK"/>
          <w:color w:val="000000" w:themeColor="text1"/>
          <w:sz w:val="28"/>
          <w:szCs w:val="28"/>
          <w14:textFill>
            <w14:solidFill>
              <w14:schemeClr w14:val="tx1"/>
            </w14:solidFill>
          </w14:textFill>
        </w:rPr>
        <w:t>落实政府采购政策需满足的资格要求：中小企业（需提供采购文件规定格式的《中小企业声明函（服务）》扫描件，需法人签字、加盖企业公章。）</w:t>
      </w:r>
    </w:p>
    <w:p w14:paraId="1E80E7AC">
      <w:pPr>
        <w:pStyle w:val="5"/>
        <w:snapToGrid w:val="0"/>
        <w:spacing w:before="0" w:line="400" w:lineRule="atLeast"/>
        <w:jc w:val="both"/>
        <w:textAlignment w:val="baseline"/>
        <w:rPr>
          <w:rFonts w:ascii="微软雅黑" w:hAnsi="微软雅黑" w:eastAsia="微软雅黑" w:cs="微软雅黑"/>
          <w:sz w:val="24"/>
          <w:szCs w:val="24"/>
        </w:rPr>
      </w:pPr>
      <w:bookmarkStart w:id="605" w:name="_Toc4431"/>
      <w:bookmarkStart w:id="606" w:name="_Toc3620"/>
      <w:bookmarkStart w:id="607" w:name="_Toc515647804"/>
      <w:bookmarkStart w:id="608" w:name="_Toc30630"/>
      <w:bookmarkStart w:id="609" w:name="_Toc26708"/>
      <w:bookmarkStart w:id="610" w:name="_Toc31089"/>
      <w:bookmarkStart w:id="611" w:name="_Toc18995"/>
      <w:bookmarkStart w:id="612" w:name="_Toc11138"/>
      <w:bookmarkStart w:id="613" w:name="_Toc14118"/>
      <w:bookmarkStart w:id="614" w:name="_Toc18477"/>
      <w:bookmarkStart w:id="615" w:name="_Toc16568"/>
      <w:bookmarkStart w:id="616" w:name="_Toc16750"/>
      <w:bookmarkStart w:id="617" w:name="_Toc21614"/>
      <w:bookmarkStart w:id="618" w:name="_Toc26846"/>
      <w:bookmarkStart w:id="619" w:name="_Toc21484"/>
      <w:bookmarkStart w:id="620" w:name="_Toc30524"/>
      <w:bookmarkStart w:id="621" w:name="_Toc22539"/>
      <w:bookmarkStart w:id="622" w:name="_Toc17198"/>
      <w:bookmarkStart w:id="623" w:name="_Toc216582813"/>
      <w:bookmarkStart w:id="624" w:name="_Toc480942349"/>
      <w:bookmarkStart w:id="625" w:name="_Ref467988698"/>
      <w:bookmarkStart w:id="626" w:name="_Toc520356217"/>
    </w:p>
    <w:p w14:paraId="6151ADA4">
      <w:pPr>
        <w:rPr>
          <w:rFonts w:ascii="微软雅黑" w:hAnsi="微软雅黑" w:eastAsia="微软雅黑" w:cs="微软雅黑"/>
          <w:sz w:val="24"/>
        </w:rPr>
      </w:pPr>
    </w:p>
    <w:p w14:paraId="30E15F8F">
      <w:pPr>
        <w:pStyle w:val="10"/>
        <w:rPr>
          <w:rFonts w:ascii="微软雅黑" w:hAnsi="微软雅黑" w:eastAsia="微软雅黑" w:cs="微软雅黑"/>
        </w:rPr>
      </w:pPr>
    </w:p>
    <w:p w14:paraId="49C9883D">
      <w:pPr>
        <w:rPr>
          <w:rFonts w:ascii="微软雅黑" w:hAnsi="微软雅黑" w:eastAsia="微软雅黑" w:cs="微软雅黑"/>
          <w:sz w:val="24"/>
        </w:rPr>
      </w:pPr>
    </w:p>
    <w:p w14:paraId="2D73DDFC">
      <w:pPr>
        <w:pStyle w:val="10"/>
        <w:rPr>
          <w:rFonts w:ascii="微软雅黑" w:hAnsi="微软雅黑" w:eastAsia="微软雅黑" w:cs="微软雅黑"/>
        </w:rPr>
      </w:pPr>
    </w:p>
    <w:p w14:paraId="7AD61CBC">
      <w:pPr>
        <w:rPr>
          <w:rFonts w:ascii="微软雅黑" w:hAnsi="微软雅黑" w:eastAsia="微软雅黑" w:cs="微软雅黑"/>
          <w:sz w:val="24"/>
        </w:rPr>
      </w:pPr>
    </w:p>
    <w:p w14:paraId="4BC71632">
      <w:pPr>
        <w:pStyle w:val="10"/>
        <w:rPr>
          <w:rFonts w:ascii="微软雅黑" w:hAnsi="微软雅黑" w:eastAsia="微软雅黑" w:cs="微软雅黑"/>
        </w:rPr>
      </w:pPr>
    </w:p>
    <w:p w14:paraId="581C77F5">
      <w:pPr>
        <w:rPr>
          <w:rFonts w:ascii="微软雅黑" w:hAnsi="微软雅黑" w:eastAsia="微软雅黑" w:cs="微软雅黑"/>
          <w:sz w:val="24"/>
        </w:rPr>
      </w:pPr>
    </w:p>
    <w:p w14:paraId="0E9A2F51">
      <w:pPr>
        <w:pStyle w:val="10"/>
        <w:rPr>
          <w:rFonts w:ascii="微软雅黑" w:hAnsi="微软雅黑" w:eastAsia="微软雅黑" w:cs="微软雅黑"/>
        </w:rPr>
      </w:pPr>
    </w:p>
    <w:p w14:paraId="5F7E46F1">
      <w:pPr>
        <w:rPr>
          <w:rFonts w:ascii="微软雅黑" w:hAnsi="微软雅黑" w:eastAsia="微软雅黑" w:cs="微软雅黑"/>
          <w:sz w:val="24"/>
        </w:rPr>
      </w:pPr>
    </w:p>
    <w:p w14:paraId="070810E7">
      <w:pPr>
        <w:pStyle w:val="10"/>
        <w:rPr>
          <w:rFonts w:ascii="微软雅黑" w:hAnsi="微软雅黑" w:eastAsia="微软雅黑" w:cs="微软雅黑"/>
        </w:rPr>
      </w:pPr>
    </w:p>
    <w:p w14:paraId="49DBFD34">
      <w:pPr>
        <w:rPr>
          <w:rFonts w:ascii="微软雅黑" w:hAnsi="微软雅黑" w:eastAsia="微软雅黑" w:cs="微软雅黑"/>
          <w:sz w:val="24"/>
        </w:rPr>
      </w:pPr>
    </w:p>
    <w:p w14:paraId="5F2EB08D">
      <w:pPr>
        <w:pStyle w:val="10"/>
        <w:rPr>
          <w:rFonts w:ascii="微软雅黑" w:hAnsi="微软雅黑" w:eastAsia="微软雅黑" w:cs="微软雅黑"/>
        </w:rPr>
      </w:pPr>
    </w:p>
    <w:p w14:paraId="05244556">
      <w:pPr>
        <w:rPr>
          <w:rFonts w:ascii="微软雅黑" w:hAnsi="微软雅黑" w:eastAsia="微软雅黑" w:cs="微软雅黑"/>
          <w:sz w:val="24"/>
        </w:rPr>
      </w:pPr>
    </w:p>
    <w:p w14:paraId="2BACAD95">
      <w:pPr>
        <w:pStyle w:val="10"/>
        <w:rPr>
          <w:rFonts w:ascii="微软雅黑" w:hAnsi="微软雅黑" w:eastAsia="微软雅黑" w:cs="微软雅黑"/>
        </w:rPr>
      </w:pPr>
    </w:p>
    <w:p w14:paraId="33CD2B76">
      <w:pPr>
        <w:rPr>
          <w:rFonts w:ascii="微软雅黑" w:hAnsi="微软雅黑" w:eastAsia="微软雅黑" w:cs="微软雅黑"/>
          <w:sz w:val="24"/>
        </w:rPr>
      </w:pPr>
    </w:p>
    <w:p w14:paraId="0F1C4DFD">
      <w:pPr>
        <w:pStyle w:val="10"/>
      </w:pPr>
    </w:p>
    <w:p w14:paraId="0623DC25">
      <w:pPr>
        <w:pStyle w:val="5"/>
        <w:snapToGrid w:val="0"/>
        <w:spacing w:before="0" w:line="400" w:lineRule="atLeast"/>
        <w:jc w:val="both"/>
        <w:textAlignment w:val="baseline"/>
        <w:rPr>
          <w:rFonts w:ascii="方正仿宋_GBK" w:hAnsi="方正仿宋_GBK" w:eastAsia="方正仿宋_GBK" w:cs="方正仿宋_GBK"/>
          <w:bCs/>
          <w:kern w:val="2"/>
          <w:sz w:val="24"/>
          <w:szCs w:val="24"/>
        </w:rPr>
      </w:pPr>
      <w:r>
        <w:rPr>
          <w:rFonts w:ascii="方正仿宋_GBK" w:hAnsi="方正仿宋_GBK" w:eastAsia="方正仿宋_GBK" w:cs="方正仿宋_GBK"/>
          <w:bCs/>
          <w:kern w:val="2"/>
          <w:sz w:val="24"/>
          <w:szCs w:val="24"/>
        </w:rPr>
        <w:t>1、响应报价一览表</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7C20D5E7">
      <w:pPr>
        <w:pStyle w:val="2"/>
        <w:tabs>
          <w:tab w:val="left" w:pos="5580"/>
        </w:tabs>
        <w:snapToGrid w:val="0"/>
        <w:spacing w:line="400" w:lineRule="atLeast"/>
        <w:ind w:firstLine="0"/>
        <w:jc w:val="center"/>
        <w:textAlignment w:val="baseline"/>
        <w:rPr>
          <w:rFonts w:ascii="Times New Roman" w:eastAsia="方正仿宋_GBK"/>
          <w:b/>
          <w:sz w:val="28"/>
          <w:szCs w:val="28"/>
        </w:rPr>
      </w:pPr>
      <w:bookmarkStart w:id="627" w:name="_Hlt520356241"/>
      <w:bookmarkEnd w:id="627"/>
    </w:p>
    <w:p w14:paraId="5032F5CB">
      <w:pPr>
        <w:pStyle w:val="2"/>
        <w:tabs>
          <w:tab w:val="left" w:pos="5580"/>
        </w:tabs>
        <w:snapToGrid w:val="0"/>
        <w:spacing w:line="400" w:lineRule="atLeast"/>
        <w:ind w:firstLine="0"/>
        <w:jc w:val="center"/>
        <w:textAlignment w:val="baseline"/>
        <w:rPr>
          <w:rFonts w:ascii="方正仿宋_GBK" w:hAnsi="方正仿宋_GBK" w:eastAsia="方正仿宋_GBK" w:cs="方正仿宋_GBK"/>
          <w:b/>
          <w:bCs/>
          <w:kern w:val="2"/>
          <w:szCs w:val="24"/>
        </w:rPr>
      </w:pPr>
      <w:r>
        <w:rPr>
          <w:rFonts w:ascii="方正仿宋_GBK" w:hAnsi="方正仿宋_GBK" w:eastAsia="方正仿宋_GBK" w:cs="方正仿宋_GBK"/>
          <w:b/>
          <w:bCs/>
          <w:kern w:val="2"/>
          <w:szCs w:val="24"/>
        </w:rPr>
        <w:t>响应报价一览表</w:t>
      </w:r>
    </w:p>
    <w:p w14:paraId="23B01E79">
      <w:pPr>
        <w:tabs>
          <w:tab w:val="left" w:pos="1800"/>
          <w:tab w:val="left" w:pos="5580"/>
        </w:tabs>
        <w:snapToGrid w:val="0"/>
        <w:spacing w:line="400" w:lineRule="atLeast"/>
        <w:ind w:left="1079" w:leftChars="257" w:right="-867" w:hanging="540"/>
        <w:textAlignment w:val="baseline"/>
        <w:rPr>
          <w:rFonts w:eastAsia="方正仿宋_GBK"/>
          <w:sz w:val="28"/>
          <w:szCs w:val="28"/>
        </w:rPr>
      </w:pPr>
    </w:p>
    <w:p w14:paraId="0DF5E691">
      <w:pPr>
        <w:tabs>
          <w:tab w:val="left" w:pos="1800"/>
          <w:tab w:val="left" w:pos="5580"/>
        </w:tabs>
        <w:snapToGrid w:val="0"/>
        <w:spacing w:line="400" w:lineRule="atLeast"/>
        <w:ind w:left="1079" w:leftChars="257" w:right="-867" w:hanging="540"/>
        <w:textAlignment w:val="baseline"/>
        <w:rPr>
          <w:rFonts w:eastAsia="方正仿宋_GBK"/>
          <w:sz w:val="28"/>
          <w:szCs w:val="28"/>
        </w:rPr>
      </w:pPr>
      <w:r>
        <w:rPr>
          <w:rFonts w:eastAsia="方正仿宋_GBK"/>
          <w:sz w:val="28"/>
          <w:szCs w:val="28"/>
        </w:rPr>
        <w:t xml:space="preserve">项目名称：　                  项目编号：                          </w:t>
      </w:r>
    </w:p>
    <w:p w14:paraId="15C29953">
      <w:pPr>
        <w:tabs>
          <w:tab w:val="left" w:pos="1800"/>
          <w:tab w:val="left" w:pos="5580"/>
        </w:tabs>
        <w:snapToGrid w:val="0"/>
        <w:spacing w:line="400" w:lineRule="atLeast"/>
        <w:ind w:left="1079" w:leftChars="257" w:right="-867" w:hanging="540"/>
        <w:textAlignment w:val="baseline"/>
        <w:rPr>
          <w:rFonts w:eastAsia="方正仿宋_GBK"/>
          <w:sz w:val="28"/>
          <w:szCs w:val="28"/>
        </w:rPr>
      </w:pPr>
      <w:r>
        <w:rPr>
          <w:rFonts w:eastAsia="方正仿宋_GBK"/>
          <w:sz w:val="28"/>
          <w:szCs w:val="28"/>
        </w:rPr>
        <w:t>标段号：                      报价单位：</w:t>
      </w:r>
      <w:r>
        <w:rPr>
          <w:rFonts w:hint="eastAsia" w:eastAsia="方正仿宋_GBK"/>
          <w:sz w:val="28"/>
          <w:szCs w:val="28"/>
        </w:rPr>
        <w:t>元</w:t>
      </w:r>
    </w:p>
    <w:tbl>
      <w:tblPr>
        <w:tblStyle w:val="38"/>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0"/>
        <w:gridCol w:w="1107"/>
        <w:gridCol w:w="1605"/>
        <w:gridCol w:w="1260"/>
        <w:gridCol w:w="1455"/>
        <w:gridCol w:w="1332"/>
        <w:gridCol w:w="709"/>
      </w:tblGrid>
      <w:tr w14:paraId="66B6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200" w:type="dxa"/>
            <w:vAlign w:val="center"/>
          </w:tcPr>
          <w:p w14:paraId="0A0B8A8D">
            <w:pPr>
              <w:tabs>
                <w:tab w:val="left" w:pos="5580"/>
              </w:tabs>
              <w:snapToGrid w:val="0"/>
              <w:spacing w:line="400" w:lineRule="atLeast"/>
              <w:ind w:right="-199"/>
              <w:jc w:val="center"/>
              <w:textAlignment w:val="baseline"/>
              <w:rPr>
                <w:rFonts w:eastAsia="方正仿宋_GBK"/>
                <w:sz w:val="28"/>
                <w:szCs w:val="28"/>
              </w:rPr>
            </w:pPr>
            <w:r>
              <w:rPr>
                <w:rFonts w:eastAsia="方正仿宋_GBK"/>
                <w:sz w:val="28"/>
                <w:szCs w:val="28"/>
              </w:rPr>
              <w:t>服务名称</w:t>
            </w:r>
          </w:p>
        </w:tc>
        <w:tc>
          <w:tcPr>
            <w:tcW w:w="1107" w:type="dxa"/>
            <w:vAlign w:val="center"/>
          </w:tcPr>
          <w:p w14:paraId="19B1E962">
            <w:pPr>
              <w:tabs>
                <w:tab w:val="left" w:pos="5580"/>
              </w:tabs>
              <w:snapToGrid w:val="0"/>
              <w:spacing w:line="400" w:lineRule="atLeast"/>
              <w:jc w:val="center"/>
              <w:textAlignment w:val="baseline"/>
              <w:rPr>
                <w:rFonts w:eastAsia="方正仿宋_GBK"/>
                <w:sz w:val="28"/>
                <w:szCs w:val="28"/>
              </w:rPr>
            </w:pPr>
            <w:r>
              <w:rPr>
                <w:rFonts w:eastAsia="方正仿宋_GBK"/>
                <w:sz w:val="28"/>
                <w:szCs w:val="28"/>
              </w:rPr>
              <w:t>投标报价：</w:t>
            </w:r>
          </w:p>
        </w:tc>
        <w:tc>
          <w:tcPr>
            <w:tcW w:w="1605" w:type="dxa"/>
            <w:vAlign w:val="center"/>
          </w:tcPr>
          <w:p w14:paraId="3DDFE78B">
            <w:pPr>
              <w:tabs>
                <w:tab w:val="left" w:pos="5580"/>
              </w:tabs>
              <w:snapToGrid w:val="0"/>
              <w:spacing w:line="400" w:lineRule="atLeast"/>
              <w:jc w:val="center"/>
              <w:textAlignment w:val="baseline"/>
              <w:rPr>
                <w:rFonts w:eastAsia="方正仿宋_GBK"/>
                <w:sz w:val="28"/>
                <w:szCs w:val="28"/>
              </w:rPr>
            </w:pPr>
            <w:r>
              <w:rPr>
                <w:rFonts w:eastAsia="方正仿宋_GBK"/>
                <w:sz w:val="28"/>
                <w:szCs w:val="28"/>
              </w:rPr>
              <w:t>磋商保证金缴纳方式及金额</w:t>
            </w:r>
          </w:p>
        </w:tc>
        <w:tc>
          <w:tcPr>
            <w:tcW w:w="1260" w:type="dxa"/>
            <w:vAlign w:val="center"/>
          </w:tcPr>
          <w:p w14:paraId="0E761DFA">
            <w:pPr>
              <w:tabs>
                <w:tab w:val="left" w:pos="5580"/>
              </w:tabs>
              <w:snapToGrid w:val="0"/>
              <w:spacing w:line="400" w:lineRule="atLeast"/>
              <w:jc w:val="center"/>
              <w:textAlignment w:val="baseline"/>
              <w:rPr>
                <w:rFonts w:eastAsia="方正仿宋_GBK"/>
                <w:sz w:val="28"/>
                <w:szCs w:val="28"/>
              </w:rPr>
            </w:pPr>
            <w:r>
              <w:rPr>
                <w:rFonts w:eastAsia="方正仿宋_GBK"/>
                <w:sz w:val="28"/>
                <w:szCs w:val="28"/>
              </w:rPr>
              <w:t>服务期限</w:t>
            </w:r>
          </w:p>
        </w:tc>
        <w:tc>
          <w:tcPr>
            <w:tcW w:w="1455" w:type="dxa"/>
            <w:vAlign w:val="center"/>
          </w:tcPr>
          <w:p w14:paraId="06DDE49A">
            <w:pPr>
              <w:tabs>
                <w:tab w:val="left" w:pos="5580"/>
              </w:tabs>
              <w:snapToGrid w:val="0"/>
              <w:spacing w:line="400" w:lineRule="atLeast"/>
              <w:jc w:val="center"/>
              <w:textAlignment w:val="baseline"/>
              <w:rPr>
                <w:rFonts w:eastAsia="方正仿宋_GBK"/>
                <w:sz w:val="28"/>
                <w:szCs w:val="28"/>
              </w:rPr>
            </w:pPr>
            <w:r>
              <w:rPr>
                <w:rFonts w:eastAsia="方正仿宋_GBK"/>
                <w:sz w:val="28"/>
                <w:szCs w:val="28"/>
              </w:rPr>
              <w:t>项目负责人及联系电话</w:t>
            </w:r>
          </w:p>
        </w:tc>
        <w:tc>
          <w:tcPr>
            <w:tcW w:w="1332" w:type="dxa"/>
            <w:vAlign w:val="center"/>
          </w:tcPr>
          <w:p w14:paraId="2BB1FD66">
            <w:pPr>
              <w:tabs>
                <w:tab w:val="left" w:pos="5580"/>
              </w:tabs>
              <w:snapToGrid w:val="0"/>
              <w:spacing w:line="400" w:lineRule="atLeast"/>
              <w:jc w:val="center"/>
              <w:textAlignment w:val="baseline"/>
              <w:rPr>
                <w:rFonts w:eastAsia="方正仿宋_GBK"/>
                <w:sz w:val="28"/>
                <w:szCs w:val="28"/>
              </w:rPr>
            </w:pPr>
            <w:r>
              <w:rPr>
                <w:rFonts w:eastAsia="方正仿宋_GBK"/>
                <w:sz w:val="28"/>
                <w:szCs w:val="28"/>
              </w:rPr>
              <w:t>确认声明书是否签署</w:t>
            </w:r>
          </w:p>
        </w:tc>
        <w:tc>
          <w:tcPr>
            <w:tcW w:w="709" w:type="dxa"/>
            <w:vAlign w:val="center"/>
          </w:tcPr>
          <w:p w14:paraId="4BAC7352">
            <w:pPr>
              <w:tabs>
                <w:tab w:val="left" w:pos="5580"/>
              </w:tabs>
              <w:snapToGrid w:val="0"/>
              <w:spacing w:line="400" w:lineRule="atLeast"/>
              <w:jc w:val="center"/>
              <w:textAlignment w:val="baseline"/>
              <w:rPr>
                <w:rFonts w:eastAsia="方正仿宋_GBK"/>
                <w:sz w:val="28"/>
                <w:szCs w:val="28"/>
              </w:rPr>
            </w:pPr>
            <w:r>
              <w:rPr>
                <w:rFonts w:eastAsia="方正仿宋_GBK"/>
                <w:sz w:val="28"/>
                <w:szCs w:val="28"/>
              </w:rPr>
              <w:t>备注</w:t>
            </w:r>
          </w:p>
        </w:tc>
      </w:tr>
      <w:tr w14:paraId="465E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6" w:hRule="atLeast"/>
          <w:jc w:val="center"/>
        </w:trPr>
        <w:tc>
          <w:tcPr>
            <w:tcW w:w="1200" w:type="dxa"/>
            <w:vAlign w:val="center"/>
          </w:tcPr>
          <w:p w14:paraId="661B0A22">
            <w:pPr>
              <w:tabs>
                <w:tab w:val="left" w:pos="5580"/>
              </w:tabs>
              <w:snapToGrid w:val="0"/>
              <w:spacing w:line="400" w:lineRule="atLeast"/>
              <w:ind w:left="1079" w:leftChars="257" w:hanging="540"/>
              <w:jc w:val="center"/>
              <w:textAlignment w:val="baseline"/>
              <w:rPr>
                <w:rFonts w:eastAsia="方正仿宋_GBK"/>
                <w:sz w:val="28"/>
                <w:szCs w:val="28"/>
              </w:rPr>
            </w:pPr>
          </w:p>
        </w:tc>
        <w:tc>
          <w:tcPr>
            <w:tcW w:w="1107" w:type="dxa"/>
            <w:vAlign w:val="center"/>
          </w:tcPr>
          <w:p w14:paraId="33A268A5">
            <w:pPr>
              <w:tabs>
                <w:tab w:val="left" w:pos="5580"/>
              </w:tabs>
              <w:snapToGrid w:val="0"/>
              <w:spacing w:line="400" w:lineRule="atLeast"/>
              <w:ind w:firstLine="280" w:firstLineChars="100"/>
              <w:jc w:val="left"/>
              <w:textAlignment w:val="baseline"/>
              <w:rPr>
                <w:rFonts w:eastAsia="方正仿宋_GBK"/>
                <w:sz w:val="28"/>
                <w:szCs w:val="28"/>
              </w:rPr>
            </w:pPr>
            <w:r>
              <w:rPr>
                <w:rFonts w:eastAsia="方正仿宋_GBK"/>
                <w:sz w:val="28"/>
                <w:szCs w:val="28"/>
              </w:rPr>
              <w:t>大写：</w:t>
            </w:r>
          </w:p>
          <w:p w14:paraId="05D830DF">
            <w:pPr>
              <w:tabs>
                <w:tab w:val="left" w:pos="5580"/>
              </w:tabs>
              <w:snapToGrid w:val="0"/>
              <w:spacing w:line="400" w:lineRule="atLeast"/>
              <w:ind w:firstLine="280" w:firstLineChars="100"/>
              <w:jc w:val="left"/>
              <w:textAlignment w:val="baseline"/>
              <w:rPr>
                <w:rFonts w:eastAsia="方正仿宋_GBK"/>
                <w:sz w:val="28"/>
                <w:szCs w:val="28"/>
              </w:rPr>
            </w:pPr>
            <w:r>
              <w:rPr>
                <w:rFonts w:eastAsia="方正仿宋_GBK"/>
                <w:sz w:val="28"/>
                <w:szCs w:val="28"/>
              </w:rPr>
              <w:t>小写：</w:t>
            </w:r>
          </w:p>
        </w:tc>
        <w:tc>
          <w:tcPr>
            <w:tcW w:w="1605" w:type="dxa"/>
            <w:vAlign w:val="center"/>
          </w:tcPr>
          <w:p w14:paraId="7AC1FD1B">
            <w:pPr>
              <w:tabs>
                <w:tab w:val="left" w:pos="5580"/>
              </w:tabs>
              <w:snapToGrid w:val="0"/>
              <w:spacing w:line="400" w:lineRule="atLeast"/>
              <w:ind w:left="1079" w:leftChars="257" w:hanging="540"/>
              <w:jc w:val="center"/>
              <w:textAlignment w:val="baseline"/>
              <w:rPr>
                <w:rFonts w:eastAsia="方正仿宋_GBK"/>
                <w:sz w:val="28"/>
                <w:szCs w:val="28"/>
              </w:rPr>
            </w:pPr>
          </w:p>
        </w:tc>
        <w:tc>
          <w:tcPr>
            <w:tcW w:w="1260" w:type="dxa"/>
            <w:vAlign w:val="center"/>
          </w:tcPr>
          <w:p w14:paraId="3A5BB3AF">
            <w:pPr>
              <w:tabs>
                <w:tab w:val="left" w:pos="5580"/>
              </w:tabs>
              <w:snapToGrid w:val="0"/>
              <w:spacing w:line="400" w:lineRule="atLeast"/>
              <w:ind w:left="1079" w:leftChars="257" w:hanging="540"/>
              <w:jc w:val="center"/>
              <w:textAlignment w:val="baseline"/>
              <w:rPr>
                <w:rFonts w:eastAsia="方正仿宋_GBK"/>
                <w:sz w:val="28"/>
                <w:szCs w:val="28"/>
              </w:rPr>
            </w:pPr>
          </w:p>
        </w:tc>
        <w:tc>
          <w:tcPr>
            <w:tcW w:w="1455" w:type="dxa"/>
            <w:vAlign w:val="center"/>
          </w:tcPr>
          <w:p w14:paraId="708233AD">
            <w:pPr>
              <w:tabs>
                <w:tab w:val="left" w:pos="5580"/>
              </w:tabs>
              <w:snapToGrid w:val="0"/>
              <w:spacing w:line="400" w:lineRule="atLeast"/>
              <w:ind w:left="1079" w:leftChars="257" w:hanging="540"/>
              <w:jc w:val="center"/>
              <w:textAlignment w:val="baseline"/>
              <w:rPr>
                <w:rFonts w:eastAsia="方正仿宋_GBK"/>
                <w:sz w:val="28"/>
                <w:szCs w:val="28"/>
              </w:rPr>
            </w:pPr>
          </w:p>
        </w:tc>
        <w:tc>
          <w:tcPr>
            <w:tcW w:w="1332" w:type="dxa"/>
            <w:vAlign w:val="center"/>
          </w:tcPr>
          <w:p w14:paraId="6C4A0E67">
            <w:pPr>
              <w:tabs>
                <w:tab w:val="left" w:pos="5580"/>
              </w:tabs>
              <w:snapToGrid w:val="0"/>
              <w:spacing w:line="400" w:lineRule="atLeast"/>
              <w:ind w:left="1079" w:leftChars="257" w:hanging="540"/>
              <w:jc w:val="center"/>
              <w:textAlignment w:val="baseline"/>
              <w:rPr>
                <w:rFonts w:eastAsia="方正仿宋_GBK"/>
                <w:sz w:val="28"/>
                <w:szCs w:val="28"/>
              </w:rPr>
            </w:pPr>
          </w:p>
        </w:tc>
        <w:tc>
          <w:tcPr>
            <w:tcW w:w="709" w:type="dxa"/>
            <w:vAlign w:val="center"/>
          </w:tcPr>
          <w:p w14:paraId="79DA37C2">
            <w:pPr>
              <w:tabs>
                <w:tab w:val="left" w:pos="5580"/>
              </w:tabs>
              <w:snapToGrid w:val="0"/>
              <w:spacing w:line="400" w:lineRule="atLeast"/>
              <w:ind w:left="1079" w:leftChars="257" w:hanging="540"/>
              <w:jc w:val="center"/>
              <w:textAlignment w:val="baseline"/>
              <w:rPr>
                <w:rFonts w:eastAsia="方正仿宋_GBK"/>
                <w:sz w:val="28"/>
                <w:szCs w:val="28"/>
              </w:rPr>
            </w:pPr>
          </w:p>
        </w:tc>
      </w:tr>
    </w:tbl>
    <w:p w14:paraId="53AD1B80">
      <w:pPr>
        <w:pStyle w:val="18"/>
        <w:tabs>
          <w:tab w:val="left" w:pos="5580"/>
        </w:tabs>
        <w:snapToGrid w:val="0"/>
        <w:spacing w:line="400" w:lineRule="atLeast"/>
        <w:textAlignment w:val="baseline"/>
        <w:rPr>
          <w:rFonts w:ascii="Times New Roman" w:hAnsi="Times New Roman" w:eastAsia="方正仿宋_GBK"/>
          <w:sz w:val="28"/>
          <w:szCs w:val="28"/>
          <w:u w:val="single" w:color="000000"/>
        </w:rPr>
      </w:pPr>
    </w:p>
    <w:p w14:paraId="3E3960F0">
      <w:pPr>
        <w:pStyle w:val="18"/>
        <w:tabs>
          <w:tab w:val="left" w:pos="5580"/>
        </w:tabs>
        <w:snapToGrid w:val="0"/>
        <w:spacing w:line="400" w:lineRule="atLeast"/>
        <w:ind w:left="1079" w:leftChars="257" w:hanging="540"/>
        <w:textAlignment w:val="baseline"/>
        <w:rPr>
          <w:rFonts w:ascii="Times New Roman" w:hAnsi="Times New Roman" w:eastAsia="方正仿宋_GBK"/>
          <w:sz w:val="28"/>
          <w:szCs w:val="28"/>
        </w:rPr>
      </w:pPr>
      <w:r>
        <w:rPr>
          <w:rFonts w:ascii="Times New Roman" w:hAnsi="Times New Roman" w:eastAsia="方正仿宋_GBK"/>
          <w:sz w:val="28"/>
          <w:szCs w:val="28"/>
        </w:rPr>
        <w:t>供应商名称（单位公章）：</w:t>
      </w:r>
      <w:r>
        <w:rPr>
          <w:rFonts w:ascii="Times New Roman" w:hAnsi="Times New Roman" w:eastAsia="方正仿宋_GBK"/>
          <w:sz w:val="28"/>
          <w:szCs w:val="28"/>
          <w:u w:val="single" w:color="000000"/>
        </w:rPr>
        <w:t xml:space="preserve">                       </w:t>
      </w:r>
    </w:p>
    <w:p w14:paraId="781FCE4D">
      <w:pPr>
        <w:pStyle w:val="18"/>
        <w:tabs>
          <w:tab w:val="left" w:pos="5580"/>
        </w:tabs>
        <w:snapToGrid w:val="0"/>
        <w:spacing w:line="400" w:lineRule="atLeast"/>
        <w:ind w:left="1079" w:leftChars="257" w:hanging="540"/>
        <w:textAlignment w:val="baseline"/>
        <w:rPr>
          <w:rFonts w:ascii="Times New Roman" w:hAnsi="Times New Roman" w:eastAsia="方正仿宋_GBK"/>
          <w:sz w:val="28"/>
          <w:szCs w:val="28"/>
          <w:u w:val="single" w:color="000000"/>
        </w:rPr>
      </w:pPr>
      <w:r>
        <w:rPr>
          <w:rFonts w:ascii="Times New Roman" w:hAnsi="Times New Roman" w:eastAsia="方正仿宋_GBK"/>
          <w:sz w:val="28"/>
          <w:szCs w:val="28"/>
        </w:rPr>
        <w:t>法定代表人或委托代理人（签字或盖章）:</w:t>
      </w:r>
      <w:r>
        <w:rPr>
          <w:rFonts w:ascii="Times New Roman" w:hAnsi="Times New Roman" w:eastAsia="方正仿宋_GBK"/>
          <w:sz w:val="28"/>
          <w:szCs w:val="28"/>
          <w:u w:val="single" w:color="000000"/>
        </w:rPr>
        <w:tab/>
      </w:r>
    </w:p>
    <w:p w14:paraId="60E1AE8A">
      <w:pPr>
        <w:pStyle w:val="18"/>
        <w:tabs>
          <w:tab w:val="left" w:pos="5580"/>
        </w:tabs>
        <w:snapToGrid w:val="0"/>
        <w:spacing w:line="400" w:lineRule="atLeast"/>
        <w:ind w:left="1079" w:leftChars="257" w:hanging="540"/>
        <w:textAlignment w:val="baseline"/>
        <w:rPr>
          <w:rFonts w:ascii="Times New Roman" w:hAnsi="Times New Roman" w:eastAsia="方正仿宋_GBK"/>
          <w:b/>
          <w:bCs/>
          <w:sz w:val="28"/>
          <w:szCs w:val="28"/>
        </w:rPr>
      </w:pPr>
    </w:p>
    <w:p w14:paraId="60256C77">
      <w:pPr>
        <w:pStyle w:val="18"/>
        <w:tabs>
          <w:tab w:val="left" w:pos="5580"/>
        </w:tabs>
        <w:snapToGrid w:val="0"/>
        <w:spacing w:line="400" w:lineRule="atLeast"/>
        <w:textAlignment w:val="baseline"/>
        <w:rPr>
          <w:rFonts w:ascii="Times New Roman" w:hAnsi="Times New Roman" w:eastAsia="方正仿宋_GBK"/>
          <w:sz w:val="28"/>
          <w:szCs w:val="28"/>
        </w:rPr>
      </w:pPr>
      <w:r>
        <w:rPr>
          <w:rFonts w:ascii="Times New Roman" w:hAnsi="Times New Roman" w:eastAsia="方正仿宋_GBK"/>
          <w:sz w:val="28"/>
          <w:szCs w:val="28"/>
        </w:rPr>
        <w:t>注:1、此表应按磋商文件的规定填写、加密上传。</w:t>
      </w:r>
    </w:p>
    <w:p w14:paraId="2984A691">
      <w:pPr>
        <w:pStyle w:val="18"/>
        <w:numPr>
          <w:ilvl w:val="0"/>
          <w:numId w:val="2"/>
        </w:numPr>
        <w:tabs>
          <w:tab w:val="left" w:pos="5580"/>
        </w:tabs>
        <w:snapToGrid w:val="0"/>
        <w:spacing w:line="400" w:lineRule="atLeast"/>
        <w:textAlignment w:val="baseline"/>
        <w:rPr>
          <w:rFonts w:ascii="Times New Roman" w:hAnsi="Times New Roman" w:eastAsia="方正仿宋_GBK"/>
          <w:sz w:val="28"/>
          <w:szCs w:val="28"/>
        </w:rPr>
      </w:pPr>
      <w:r>
        <w:rPr>
          <w:rFonts w:ascii="Times New Roman" w:hAnsi="Times New Roman" w:eastAsia="方正仿宋_GBK"/>
          <w:sz w:val="28"/>
          <w:szCs w:val="28"/>
        </w:rPr>
        <w:t>此表中，每包的投标总价应和分项报价表的总价相一致。</w:t>
      </w:r>
    </w:p>
    <w:p w14:paraId="06E598C4">
      <w:pPr>
        <w:pStyle w:val="18"/>
        <w:numPr>
          <w:ilvl w:val="0"/>
          <w:numId w:val="2"/>
        </w:numPr>
        <w:tabs>
          <w:tab w:val="left" w:pos="5580"/>
        </w:tabs>
        <w:snapToGrid w:val="0"/>
        <w:spacing w:line="400" w:lineRule="atLeast"/>
        <w:textAlignment w:val="baseline"/>
        <w:rPr>
          <w:rFonts w:ascii="Times New Roman" w:hAnsi="Times New Roman" w:eastAsia="方正仿宋_GBK"/>
          <w:b/>
          <w:bCs/>
          <w:sz w:val="28"/>
          <w:szCs w:val="28"/>
        </w:rPr>
      </w:pPr>
      <w:r>
        <w:rPr>
          <w:rFonts w:ascii="Times New Roman" w:hAnsi="Times New Roman" w:eastAsia="方正仿宋_GBK"/>
          <w:sz w:val="28"/>
          <w:szCs w:val="28"/>
        </w:rPr>
        <w:t>供应商报价时包含货物费、人工费、税费、运输费、装卸费、保险费等一切与本次项目相关的费用。</w:t>
      </w:r>
    </w:p>
    <w:p w14:paraId="686E410C">
      <w:pPr>
        <w:pStyle w:val="18"/>
        <w:tabs>
          <w:tab w:val="left" w:pos="5580"/>
        </w:tabs>
        <w:snapToGrid w:val="0"/>
        <w:spacing w:line="400" w:lineRule="atLeast"/>
        <w:textAlignment w:val="baseline"/>
        <w:rPr>
          <w:rFonts w:ascii="Times New Roman" w:hAnsi="Times New Roman" w:eastAsia="方正仿宋_GBK"/>
          <w:b/>
          <w:sz w:val="28"/>
          <w:szCs w:val="28"/>
        </w:rPr>
      </w:pPr>
    </w:p>
    <w:p w14:paraId="7FD485DD">
      <w:pPr>
        <w:pStyle w:val="28"/>
        <w:textAlignment w:val="baseline"/>
        <w:rPr>
          <w:rFonts w:eastAsia="方正仿宋_GBK"/>
          <w:sz w:val="28"/>
          <w:szCs w:val="28"/>
        </w:rPr>
      </w:pPr>
      <w:bookmarkStart w:id="628" w:name="_Toc22089"/>
      <w:bookmarkStart w:id="629" w:name="_Toc8241"/>
      <w:bookmarkStart w:id="630" w:name="_Toc16516"/>
      <w:bookmarkStart w:id="631" w:name="_Toc16088"/>
    </w:p>
    <w:p w14:paraId="03E473C6">
      <w:pPr>
        <w:pStyle w:val="28"/>
        <w:textAlignment w:val="baseline"/>
        <w:rPr>
          <w:rFonts w:eastAsia="方正仿宋_GBK"/>
          <w:sz w:val="28"/>
          <w:szCs w:val="28"/>
        </w:rPr>
      </w:pPr>
    </w:p>
    <w:p w14:paraId="13354FD6">
      <w:pPr>
        <w:pStyle w:val="28"/>
        <w:textAlignment w:val="baseline"/>
        <w:rPr>
          <w:rFonts w:eastAsia="方正仿宋_GBK"/>
          <w:sz w:val="28"/>
          <w:szCs w:val="28"/>
        </w:rPr>
      </w:pPr>
    </w:p>
    <w:p w14:paraId="701FA1E6">
      <w:pPr>
        <w:pStyle w:val="28"/>
        <w:textAlignment w:val="baseline"/>
        <w:rPr>
          <w:rFonts w:eastAsia="方正仿宋_GBK"/>
          <w:sz w:val="28"/>
          <w:szCs w:val="28"/>
        </w:rPr>
      </w:pPr>
    </w:p>
    <w:p w14:paraId="188249C6">
      <w:pPr>
        <w:pStyle w:val="28"/>
        <w:textAlignment w:val="baseline"/>
        <w:rPr>
          <w:rFonts w:eastAsia="方正仿宋_GBK"/>
          <w:sz w:val="28"/>
          <w:szCs w:val="28"/>
        </w:rPr>
      </w:pPr>
    </w:p>
    <w:p w14:paraId="1DFE8727">
      <w:pPr>
        <w:pStyle w:val="28"/>
        <w:textAlignment w:val="baseline"/>
        <w:rPr>
          <w:rFonts w:eastAsia="方正仿宋_GBK"/>
          <w:sz w:val="28"/>
          <w:szCs w:val="28"/>
        </w:rPr>
      </w:pPr>
    </w:p>
    <w:p w14:paraId="4F767D4B">
      <w:pPr>
        <w:pStyle w:val="28"/>
        <w:textAlignment w:val="baseline"/>
        <w:rPr>
          <w:rFonts w:eastAsia="方正仿宋_GBK"/>
          <w:sz w:val="28"/>
          <w:szCs w:val="28"/>
        </w:rPr>
      </w:pPr>
    </w:p>
    <w:p w14:paraId="641CCDAA">
      <w:pPr>
        <w:pStyle w:val="28"/>
        <w:textAlignment w:val="baseline"/>
        <w:rPr>
          <w:rFonts w:eastAsia="方正仿宋_GBK"/>
          <w:sz w:val="28"/>
          <w:szCs w:val="28"/>
        </w:rPr>
      </w:pPr>
    </w:p>
    <w:p w14:paraId="13DA0BB4">
      <w:pPr>
        <w:pStyle w:val="28"/>
        <w:textAlignment w:val="baseline"/>
        <w:rPr>
          <w:rFonts w:eastAsia="方正仿宋_GBK"/>
          <w:sz w:val="28"/>
          <w:szCs w:val="28"/>
        </w:rPr>
      </w:pPr>
    </w:p>
    <w:p w14:paraId="71C03B8E">
      <w:pPr>
        <w:pStyle w:val="28"/>
        <w:textAlignment w:val="baseline"/>
        <w:rPr>
          <w:rFonts w:eastAsia="方正仿宋_GBK"/>
          <w:sz w:val="28"/>
          <w:szCs w:val="28"/>
        </w:rPr>
      </w:pPr>
    </w:p>
    <w:p w14:paraId="3FB2791F">
      <w:pPr>
        <w:pStyle w:val="28"/>
        <w:textAlignment w:val="baseline"/>
        <w:rPr>
          <w:rFonts w:eastAsia="方正仿宋_GBK"/>
          <w:sz w:val="28"/>
          <w:szCs w:val="28"/>
        </w:rPr>
      </w:pPr>
    </w:p>
    <w:p w14:paraId="3AE8845E">
      <w:pPr>
        <w:pStyle w:val="12"/>
        <w:rPr>
          <w:rFonts w:ascii="Times New Roman" w:hAnsi="Times New Roman" w:eastAsia="方正仿宋_GBK"/>
          <w:sz w:val="28"/>
          <w:szCs w:val="28"/>
        </w:rPr>
      </w:pPr>
    </w:p>
    <w:p w14:paraId="04BE7EF1">
      <w:pPr>
        <w:rPr>
          <w:rFonts w:eastAsia="方正仿宋_GBK"/>
          <w:sz w:val="28"/>
          <w:szCs w:val="28"/>
        </w:rPr>
      </w:pPr>
    </w:p>
    <w:p w14:paraId="22AA65FB">
      <w:pPr>
        <w:pStyle w:val="28"/>
        <w:textAlignment w:val="baseline"/>
        <w:rPr>
          <w:rFonts w:eastAsia="方正仿宋_GBK"/>
          <w:sz w:val="28"/>
          <w:szCs w:val="28"/>
        </w:rPr>
      </w:pPr>
    </w:p>
    <w:p w14:paraId="6D64369F">
      <w:pPr>
        <w:pStyle w:val="28"/>
        <w:textAlignment w:val="baseline"/>
        <w:rPr>
          <w:rFonts w:eastAsia="方正仿宋_GBK"/>
          <w:sz w:val="28"/>
          <w:szCs w:val="28"/>
        </w:rPr>
      </w:pPr>
    </w:p>
    <w:p w14:paraId="53DA0E2E">
      <w:pPr>
        <w:spacing w:line="360" w:lineRule="auto"/>
        <w:jc w:val="center"/>
        <w:rPr>
          <w:rFonts w:ascii="方正仿宋_GBK" w:hAnsi="方正仿宋_GBK" w:eastAsia="方正仿宋_GBK" w:cs="方正仿宋_GBK"/>
          <w:b/>
          <w:bCs/>
          <w:sz w:val="24"/>
        </w:rPr>
      </w:pPr>
      <w:bookmarkStart w:id="632" w:name="_Toc1213"/>
      <w:bookmarkStart w:id="633" w:name="_Toc10502"/>
      <w:r>
        <w:rPr>
          <w:rFonts w:hint="eastAsia" w:ascii="方正仿宋_GBK" w:hAnsi="方正仿宋_GBK" w:eastAsia="方正仿宋_GBK" w:cs="方正仿宋_GBK"/>
          <w:b/>
          <w:bCs/>
          <w:sz w:val="24"/>
        </w:rPr>
        <w:t>2、</w:t>
      </w:r>
      <w:r>
        <w:rPr>
          <w:rFonts w:ascii="方正仿宋_GBK" w:hAnsi="方正仿宋_GBK" w:eastAsia="方正仿宋_GBK" w:cs="方正仿宋_GBK"/>
          <w:b/>
          <w:bCs/>
          <w:sz w:val="24"/>
        </w:rPr>
        <w:t>符合《中华人民共和国政府采购法》第二十二条的规定</w:t>
      </w:r>
      <w:bookmarkEnd w:id="632"/>
      <w:bookmarkEnd w:id="633"/>
    </w:p>
    <w:p w14:paraId="2588A71D">
      <w:pPr>
        <w:pStyle w:val="2"/>
        <w:ind w:firstLine="0"/>
        <w:rPr>
          <w:rFonts w:ascii="微软雅黑" w:hAnsi="微软雅黑" w:eastAsia="微软雅黑" w:cs="微软雅黑"/>
        </w:rPr>
      </w:pPr>
    </w:p>
    <w:p w14:paraId="1235BFA6">
      <w:pPr>
        <w:snapToGrid w:val="0"/>
        <w:spacing w:line="380" w:lineRule="exact"/>
        <w:ind w:firstLine="560" w:firstLineChars="200"/>
        <w:textAlignment w:val="baseline"/>
        <w:rPr>
          <w:rFonts w:eastAsia="方正仿宋_GBK"/>
          <w:sz w:val="28"/>
          <w:szCs w:val="28"/>
        </w:rPr>
      </w:pPr>
      <w:r>
        <w:rPr>
          <w:rFonts w:hint="eastAsia" w:eastAsia="方正仿宋_GBK"/>
          <w:sz w:val="28"/>
          <w:szCs w:val="28"/>
        </w:rPr>
        <w:t>(1)</w:t>
      </w:r>
      <w:r>
        <w:rPr>
          <w:rFonts w:eastAsia="方正仿宋_GBK"/>
          <w:sz w:val="28"/>
          <w:szCs w:val="28"/>
        </w:rPr>
        <w:t>企业三证合一的法人营业执照或含二维码的营业执照；</w:t>
      </w:r>
    </w:p>
    <w:p w14:paraId="7D53A2EC">
      <w:pPr>
        <w:snapToGrid w:val="0"/>
        <w:spacing w:line="380" w:lineRule="exact"/>
        <w:ind w:firstLine="480" w:firstLineChars="200"/>
        <w:textAlignment w:val="baseline"/>
        <w:rPr>
          <w:rFonts w:ascii="方正仿宋_GBK" w:hAnsi="方正仿宋_GBK" w:eastAsia="方正仿宋_GBK" w:cs="方正仿宋_GBK"/>
          <w:sz w:val="24"/>
        </w:rPr>
      </w:pPr>
      <w:r>
        <w:rPr>
          <w:rFonts w:ascii="方正仿宋_GBK" w:hAnsi="方正仿宋_GBK" w:eastAsia="方正仿宋_GBK" w:cs="方正仿宋_GBK"/>
          <w:sz w:val="24"/>
        </w:rPr>
        <w:t>说明：原件扫描件加盖公章</w:t>
      </w:r>
    </w:p>
    <w:p w14:paraId="622394B1">
      <w:pPr>
        <w:pStyle w:val="28"/>
        <w:textAlignment w:val="baseline"/>
        <w:rPr>
          <w:rFonts w:eastAsia="方正仿宋_GBK"/>
          <w:sz w:val="24"/>
        </w:rPr>
      </w:pPr>
    </w:p>
    <w:p w14:paraId="610A1E5D">
      <w:pPr>
        <w:pStyle w:val="28"/>
        <w:textAlignment w:val="baseline"/>
        <w:rPr>
          <w:rFonts w:ascii="微软雅黑" w:hAnsi="微软雅黑" w:eastAsia="微软雅黑" w:cs="微软雅黑"/>
        </w:rPr>
      </w:pPr>
    </w:p>
    <w:p w14:paraId="0C3719E0">
      <w:pPr>
        <w:pStyle w:val="28"/>
        <w:textAlignment w:val="baseline"/>
        <w:rPr>
          <w:rFonts w:ascii="微软雅黑" w:hAnsi="微软雅黑" w:eastAsia="微软雅黑" w:cs="微软雅黑"/>
        </w:rPr>
      </w:pPr>
    </w:p>
    <w:p w14:paraId="02963581">
      <w:pPr>
        <w:pStyle w:val="28"/>
        <w:textAlignment w:val="baseline"/>
        <w:rPr>
          <w:rFonts w:ascii="微软雅黑" w:hAnsi="微软雅黑" w:eastAsia="微软雅黑" w:cs="微软雅黑"/>
        </w:rPr>
      </w:pPr>
    </w:p>
    <w:p w14:paraId="5EA5AD5B">
      <w:pPr>
        <w:pStyle w:val="28"/>
        <w:textAlignment w:val="baseline"/>
        <w:rPr>
          <w:rFonts w:ascii="微软雅黑" w:hAnsi="微软雅黑" w:eastAsia="微软雅黑" w:cs="微软雅黑"/>
        </w:rPr>
      </w:pPr>
    </w:p>
    <w:p w14:paraId="224BC797">
      <w:pPr>
        <w:pStyle w:val="28"/>
        <w:textAlignment w:val="baseline"/>
        <w:rPr>
          <w:rFonts w:ascii="微软雅黑" w:hAnsi="微软雅黑" w:eastAsia="微软雅黑" w:cs="微软雅黑"/>
        </w:rPr>
      </w:pPr>
    </w:p>
    <w:p w14:paraId="56E1395C">
      <w:pPr>
        <w:pStyle w:val="28"/>
        <w:textAlignment w:val="baseline"/>
        <w:rPr>
          <w:rFonts w:ascii="微软雅黑" w:hAnsi="微软雅黑" w:eastAsia="微软雅黑" w:cs="微软雅黑"/>
        </w:rPr>
      </w:pPr>
    </w:p>
    <w:p w14:paraId="3A09B6C9">
      <w:pPr>
        <w:pStyle w:val="28"/>
        <w:textAlignment w:val="baseline"/>
        <w:rPr>
          <w:rFonts w:ascii="微软雅黑" w:hAnsi="微软雅黑" w:eastAsia="微软雅黑" w:cs="微软雅黑"/>
        </w:rPr>
      </w:pPr>
    </w:p>
    <w:p w14:paraId="750F7A8D">
      <w:pPr>
        <w:pStyle w:val="28"/>
        <w:textAlignment w:val="baseline"/>
        <w:rPr>
          <w:rFonts w:ascii="微软雅黑" w:hAnsi="微软雅黑" w:eastAsia="微软雅黑" w:cs="微软雅黑"/>
        </w:rPr>
      </w:pPr>
    </w:p>
    <w:p w14:paraId="5365F2C4">
      <w:pPr>
        <w:pStyle w:val="28"/>
        <w:textAlignment w:val="baseline"/>
        <w:rPr>
          <w:rFonts w:ascii="微软雅黑" w:hAnsi="微软雅黑" w:eastAsia="微软雅黑" w:cs="微软雅黑"/>
        </w:rPr>
      </w:pPr>
    </w:p>
    <w:p w14:paraId="6C45A358">
      <w:pPr>
        <w:pStyle w:val="28"/>
        <w:textAlignment w:val="baseline"/>
        <w:rPr>
          <w:rFonts w:ascii="微软雅黑" w:hAnsi="微软雅黑" w:eastAsia="微软雅黑" w:cs="微软雅黑"/>
        </w:rPr>
      </w:pPr>
    </w:p>
    <w:p w14:paraId="74CF2BA5">
      <w:pPr>
        <w:pStyle w:val="28"/>
        <w:textAlignment w:val="baseline"/>
        <w:rPr>
          <w:rFonts w:ascii="微软雅黑" w:hAnsi="微软雅黑" w:eastAsia="微软雅黑" w:cs="微软雅黑"/>
        </w:rPr>
      </w:pPr>
    </w:p>
    <w:p w14:paraId="4501CF57">
      <w:pPr>
        <w:pStyle w:val="28"/>
        <w:textAlignment w:val="baseline"/>
        <w:rPr>
          <w:rFonts w:ascii="微软雅黑" w:hAnsi="微软雅黑" w:eastAsia="微软雅黑" w:cs="微软雅黑"/>
        </w:rPr>
      </w:pPr>
    </w:p>
    <w:p w14:paraId="76A41555">
      <w:pPr>
        <w:pStyle w:val="28"/>
        <w:textAlignment w:val="baseline"/>
        <w:rPr>
          <w:rFonts w:ascii="微软雅黑" w:hAnsi="微软雅黑" w:eastAsia="微软雅黑" w:cs="微软雅黑"/>
        </w:rPr>
      </w:pPr>
    </w:p>
    <w:p w14:paraId="0A294C66">
      <w:pPr>
        <w:pStyle w:val="28"/>
        <w:textAlignment w:val="baseline"/>
        <w:rPr>
          <w:rFonts w:ascii="微软雅黑" w:hAnsi="微软雅黑" w:eastAsia="微软雅黑" w:cs="微软雅黑"/>
          <w:b/>
          <w:bCs/>
          <w:kern w:val="0"/>
          <w:sz w:val="24"/>
        </w:rPr>
      </w:pPr>
    </w:p>
    <w:p w14:paraId="4E11200A">
      <w:pPr>
        <w:pStyle w:val="28"/>
        <w:textAlignment w:val="baseline"/>
        <w:rPr>
          <w:rFonts w:ascii="微软雅黑" w:hAnsi="微软雅黑" w:eastAsia="微软雅黑" w:cs="微软雅黑"/>
          <w:b/>
          <w:bCs/>
          <w:kern w:val="0"/>
          <w:sz w:val="24"/>
        </w:rPr>
      </w:pPr>
    </w:p>
    <w:p w14:paraId="0D409FAD">
      <w:pPr>
        <w:pStyle w:val="28"/>
        <w:textAlignment w:val="baseline"/>
        <w:rPr>
          <w:rFonts w:ascii="微软雅黑" w:hAnsi="微软雅黑" w:eastAsia="微软雅黑" w:cs="微软雅黑"/>
        </w:rPr>
      </w:pPr>
    </w:p>
    <w:p w14:paraId="44EAE392">
      <w:pPr>
        <w:pStyle w:val="28"/>
        <w:textAlignment w:val="baseline"/>
        <w:rPr>
          <w:rFonts w:ascii="微软雅黑" w:hAnsi="微软雅黑" w:eastAsia="微软雅黑" w:cs="微软雅黑"/>
        </w:rPr>
      </w:pPr>
    </w:p>
    <w:p w14:paraId="2D690A24">
      <w:pPr>
        <w:pStyle w:val="28"/>
        <w:textAlignment w:val="baseline"/>
        <w:rPr>
          <w:rFonts w:ascii="微软雅黑" w:hAnsi="微软雅黑" w:eastAsia="微软雅黑" w:cs="微软雅黑"/>
        </w:rPr>
      </w:pPr>
    </w:p>
    <w:p w14:paraId="4652EC78">
      <w:pPr>
        <w:pStyle w:val="28"/>
        <w:textAlignment w:val="baseline"/>
        <w:rPr>
          <w:rFonts w:ascii="微软雅黑" w:hAnsi="微软雅黑" w:eastAsia="微软雅黑" w:cs="微软雅黑"/>
        </w:rPr>
      </w:pPr>
    </w:p>
    <w:p w14:paraId="7DE8B028">
      <w:pPr>
        <w:pStyle w:val="28"/>
        <w:textAlignment w:val="baseline"/>
        <w:rPr>
          <w:rFonts w:ascii="微软雅黑" w:hAnsi="微软雅黑" w:eastAsia="微软雅黑" w:cs="微软雅黑"/>
        </w:rPr>
      </w:pPr>
    </w:p>
    <w:p w14:paraId="7664B6B9">
      <w:pPr>
        <w:pStyle w:val="28"/>
        <w:textAlignment w:val="baseline"/>
        <w:rPr>
          <w:rFonts w:ascii="微软雅黑" w:hAnsi="微软雅黑" w:eastAsia="微软雅黑" w:cs="微软雅黑"/>
        </w:rPr>
      </w:pPr>
    </w:p>
    <w:p w14:paraId="1F660395">
      <w:pPr>
        <w:pStyle w:val="28"/>
        <w:textAlignment w:val="baseline"/>
        <w:rPr>
          <w:rFonts w:ascii="微软雅黑" w:hAnsi="微软雅黑" w:eastAsia="微软雅黑" w:cs="微软雅黑"/>
        </w:rPr>
      </w:pPr>
    </w:p>
    <w:p w14:paraId="34AE5C49">
      <w:pPr>
        <w:pStyle w:val="28"/>
        <w:textAlignment w:val="baseline"/>
        <w:rPr>
          <w:rFonts w:ascii="微软雅黑" w:hAnsi="微软雅黑" w:eastAsia="微软雅黑" w:cs="微软雅黑"/>
        </w:rPr>
      </w:pPr>
    </w:p>
    <w:p w14:paraId="21A6E07E">
      <w:pPr>
        <w:pStyle w:val="28"/>
        <w:textAlignment w:val="baseline"/>
        <w:rPr>
          <w:rFonts w:ascii="微软雅黑" w:hAnsi="微软雅黑" w:eastAsia="微软雅黑" w:cs="微软雅黑"/>
        </w:rPr>
      </w:pPr>
    </w:p>
    <w:p w14:paraId="7213F5E8">
      <w:pPr>
        <w:pStyle w:val="28"/>
        <w:textAlignment w:val="baseline"/>
        <w:rPr>
          <w:rFonts w:ascii="微软雅黑" w:hAnsi="微软雅黑" w:eastAsia="微软雅黑" w:cs="微软雅黑"/>
        </w:rPr>
      </w:pPr>
    </w:p>
    <w:p w14:paraId="601E6DDF">
      <w:pPr>
        <w:pStyle w:val="28"/>
        <w:textAlignment w:val="baseline"/>
        <w:rPr>
          <w:rFonts w:ascii="微软雅黑" w:hAnsi="微软雅黑" w:eastAsia="微软雅黑" w:cs="微软雅黑"/>
        </w:rPr>
      </w:pPr>
    </w:p>
    <w:p w14:paraId="485AEAB3">
      <w:pPr>
        <w:pStyle w:val="28"/>
        <w:textAlignment w:val="baseline"/>
        <w:rPr>
          <w:rFonts w:ascii="微软雅黑" w:hAnsi="微软雅黑" w:eastAsia="微软雅黑" w:cs="微软雅黑"/>
        </w:rPr>
      </w:pPr>
    </w:p>
    <w:p w14:paraId="4F79B6C8">
      <w:pPr>
        <w:pStyle w:val="28"/>
        <w:textAlignment w:val="baseline"/>
        <w:rPr>
          <w:rFonts w:ascii="微软雅黑" w:hAnsi="微软雅黑" w:eastAsia="微软雅黑" w:cs="微软雅黑"/>
        </w:rPr>
      </w:pPr>
    </w:p>
    <w:p w14:paraId="66A39CD5">
      <w:pPr>
        <w:pStyle w:val="28"/>
        <w:textAlignment w:val="baseline"/>
        <w:rPr>
          <w:rFonts w:ascii="微软雅黑" w:hAnsi="微软雅黑" w:eastAsia="微软雅黑" w:cs="微软雅黑"/>
        </w:rPr>
      </w:pPr>
    </w:p>
    <w:p w14:paraId="4A711EAE">
      <w:pPr>
        <w:pStyle w:val="28"/>
        <w:textAlignment w:val="baseline"/>
        <w:rPr>
          <w:rFonts w:ascii="微软雅黑" w:hAnsi="微软雅黑" w:eastAsia="微软雅黑" w:cs="微软雅黑"/>
        </w:rPr>
      </w:pPr>
    </w:p>
    <w:p w14:paraId="49D5700B">
      <w:pPr>
        <w:pStyle w:val="28"/>
        <w:textAlignment w:val="baseline"/>
        <w:rPr>
          <w:rFonts w:ascii="微软雅黑" w:hAnsi="微软雅黑" w:eastAsia="微软雅黑" w:cs="微软雅黑"/>
        </w:rPr>
      </w:pPr>
    </w:p>
    <w:p w14:paraId="688339EC">
      <w:pPr>
        <w:pStyle w:val="28"/>
        <w:textAlignment w:val="baseline"/>
        <w:rPr>
          <w:rFonts w:ascii="微软雅黑" w:hAnsi="微软雅黑" w:eastAsia="微软雅黑" w:cs="微软雅黑"/>
        </w:rPr>
      </w:pPr>
    </w:p>
    <w:p w14:paraId="187766E9">
      <w:pPr>
        <w:pStyle w:val="28"/>
        <w:textAlignment w:val="baseline"/>
        <w:rPr>
          <w:rFonts w:ascii="微软雅黑" w:hAnsi="微软雅黑" w:eastAsia="微软雅黑" w:cs="微软雅黑"/>
        </w:rPr>
      </w:pPr>
    </w:p>
    <w:p w14:paraId="03359F8F">
      <w:pPr>
        <w:pStyle w:val="12"/>
        <w:rPr>
          <w:rFonts w:ascii="微软雅黑" w:hAnsi="微软雅黑" w:eastAsia="微软雅黑" w:cs="微软雅黑"/>
        </w:rPr>
      </w:pPr>
    </w:p>
    <w:p w14:paraId="6B67B962"/>
    <w:p w14:paraId="6C13410D">
      <w:pPr>
        <w:snapToGrid w:val="0"/>
        <w:spacing w:line="380" w:lineRule="exact"/>
        <w:ind w:firstLine="560" w:firstLineChars="200"/>
        <w:textAlignment w:val="baseline"/>
        <w:rPr>
          <w:rFonts w:eastAsia="方正仿宋_GBK"/>
          <w:sz w:val="28"/>
          <w:szCs w:val="28"/>
        </w:rPr>
      </w:pPr>
      <w:r>
        <w:rPr>
          <w:rFonts w:eastAsia="方正仿宋_GBK"/>
          <w:sz w:val="28"/>
          <w:szCs w:val="28"/>
        </w:rPr>
        <w:t>（2）</w:t>
      </w:r>
      <w:r>
        <w:rPr>
          <w:rFonts w:ascii="方正仿宋_GBK" w:hAnsi="方正仿宋_GBK" w:eastAsia="方正仿宋_GBK" w:cs="方正仿宋_GBK"/>
          <w:sz w:val="24"/>
        </w:rPr>
        <w:t>法定代表人授权书及被授权人身份证，法人本人参与投标提供法人身份证及法人资格证明；</w:t>
      </w:r>
    </w:p>
    <w:bookmarkEnd w:id="628"/>
    <w:bookmarkEnd w:id="629"/>
    <w:bookmarkEnd w:id="630"/>
    <w:bookmarkEnd w:id="631"/>
    <w:p w14:paraId="0583B199">
      <w:pPr>
        <w:pStyle w:val="18"/>
        <w:tabs>
          <w:tab w:val="left" w:pos="5580"/>
        </w:tabs>
        <w:spacing w:line="400" w:lineRule="exact"/>
        <w:ind w:firstLine="720" w:firstLineChars="300"/>
        <w:rPr>
          <w:rFonts w:ascii="方正仿宋_GBK" w:hAnsi="方正仿宋_GBK" w:eastAsia="方正仿宋_GBK" w:cs="方正仿宋_GBK"/>
          <w:sz w:val="24"/>
          <w:szCs w:val="24"/>
        </w:rPr>
      </w:pPr>
      <w:bookmarkStart w:id="634" w:name="_Toc21867"/>
      <w:bookmarkStart w:id="635" w:name="_Toc5436"/>
      <w:bookmarkStart w:id="636" w:name="_Toc1083"/>
      <w:bookmarkStart w:id="637" w:name="_Toc16640"/>
      <w:bookmarkStart w:id="638" w:name="_Toc22472"/>
      <w:bookmarkStart w:id="639" w:name="_Toc13107"/>
      <w:bookmarkStart w:id="640" w:name="_Toc6829"/>
      <w:bookmarkStart w:id="641" w:name="_Toc515647807"/>
      <w:r>
        <w:rPr>
          <w:rFonts w:hint="eastAsia" w:ascii="方正仿宋_GBK" w:hAnsi="方正仿宋_GBK" w:eastAsia="方正仿宋_GBK" w:cs="方正仿宋_GBK"/>
          <w:sz w:val="24"/>
          <w:szCs w:val="24"/>
        </w:rPr>
        <w:t>说明：供应商为自然人的，应提供身份证明的复印件。</w:t>
      </w:r>
    </w:p>
    <w:p w14:paraId="2030A901">
      <w:pPr>
        <w:pStyle w:val="37"/>
        <w:snapToGrid w:val="0"/>
        <w:spacing w:line="400" w:lineRule="exact"/>
        <w:ind w:firstLine="0" w:firstLineChars="0"/>
        <w:textAlignment w:val="baseline"/>
        <w:rPr>
          <w:rFonts w:ascii="方正仿宋_GBK" w:hAnsi="方正仿宋_GBK" w:eastAsia="方正仿宋_GBK" w:cs="方正仿宋_GBK"/>
        </w:rPr>
      </w:pPr>
    </w:p>
    <w:p w14:paraId="7DAFB10F">
      <w:pPr>
        <w:pStyle w:val="18"/>
        <w:spacing w:line="240"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法定代表人身份证明</w:t>
      </w:r>
    </w:p>
    <w:p w14:paraId="043B321A">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同志，现任我单位</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职务，为法定代表人，特此证明。</w:t>
      </w:r>
    </w:p>
    <w:p w14:paraId="04C3F9AA">
      <w:pPr>
        <w:spacing w:line="360" w:lineRule="auto"/>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签发日期：                  单位：        </w:t>
      </w:r>
    </w:p>
    <w:p w14:paraId="2C86E5EF">
      <w:pPr>
        <w:spacing w:line="360" w:lineRule="auto"/>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附：代表人性别：            年龄：           身份证号码：</w:t>
      </w:r>
    </w:p>
    <w:p w14:paraId="1ED0943F">
      <w:pPr>
        <w:spacing w:line="360" w:lineRule="auto"/>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p w14:paraId="0199259B">
      <w:pPr>
        <w:spacing w:line="360" w:lineRule="auto"/>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营业执照号码：              经济性质：</w:t>
      </w:r>
    </w:p>
    <w:p w14:paraId="1C1B4A94">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说明：</w:t>
      </w:r>
    </w:p>
    <w:p w14:paraId="7D5B53E9">
      <w:pPr>
        <w:spacing w:line="360" w:lineRule="auto"/>
        <w:ind w:firstLine="240" w:firstLineChars="100"/>
        <w:rPr>
          <w:rFonts w:eastAsia="方正仿宋_GBK"/>
          <w:sz w:val="24"/>
        </w:rPr>
      </w:pPr>
      <w:r>
        <w:rPr>
          <w:rFonts w:eastAsia="方正仿宋_GBK"/>
          <w:sz w:val="24"/>
        </w:rPr>
        <w:t>1、法定代表人为企业事业单位、国家机关、社会团体的主要行政负责人。</w:t>
      </w:r>
    </w:p>
    <w:p w14:paraId="4FA4D270">
      <w:pPr>
        <w:spacing w:line="360" w:lineRule="auto"/>
        <w:rPr>
          <w:rFonts w:eastAsia="方正仿宋_GBK"/>
          <w:sz w:val="24"/>
        </w:rPr>
      </w:pPr>
      <w:r>
        <w:rPr>
          <w:rFonts w:eastAsia="方正仿宋_GBK"/>
          <w:sz w:val="24"/>
        </w:rPr>
        <w:t xml:space="preserve">  2、内容必须填写真实、清楚、涂改无效，不得转让。</w:t>
      </w:r>
    </w:p>
    <w:p w14:paraId="1057C701">
      <w:pPr>
        <w:spacing w:line="360" w:lineRule="auto"/>
        <w:ind w:firstLine="240" w:firstLineChars="100"/>
        <w:rPr>
          <w:rFonts w:eastAsia="方正仿宋_GBK"/>
          <w:sz w:val="24"/>
        </w:rPr>
      </w:pPr>
      <w:r>
        <w:rPr>
          <w:rFonts w:eastAsia="方正仿宋_GBK"/>
          <w:sz w:val="24"/>
        </w:rPr>
        <w:t>3、将此证明书原件提交采购代理机构作为响应文件附件。</w:t>
      </w:r>
    </w:p>
    <w:p w14:paraId="62B13CA2">
      <w:pPr>
        <w:pStyle w:val="2"/>
        <w:rPr>
          <w:rFonts w:ascii="方正仿宋_GBK" w:hAnsi="方正仿宋_GBK" w:eastAsia="方正仿宋_GBK" w:cs="方正仿宋_GBK"/>
          <w:szCs w:val="24"/>
        </w:rPr>
      </w:pPr>
      <w:r>
        <w:rPr>
          <w:rFonts w:hint="eastAsia" w:ascii="方正仿宋_GBK" w:hAnsi="方正仿宋_GBK" w:eastAsia="方正仿宋_GBK" w:cs="方正仿宋_GBK"/>
          <w:szCs w:val="24"/>
        </w:rPr>
        <w:t xml:space="preserve"> (为避免废标，请供应商务必提供本附件)</w:t>
      </w:r>
    </w:p>
    <w:p w14:paraId="1F48AF51">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mc:AlternateContent>
          <mc:Choice Requires="wps">
            <w:drawing>
              <wp:anchor distT="0" distB="0" distL="114300" distR="114300" simplePos="0" relativeHeight="251663360"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E28C83E">
                            <w:pPr>
                              <w:jc w:val="center"/>
                              <w:rPr>
                                <w:rFonts w:hAnsi="宋体"/>
                                <w:szCs w:val="21"/>
                              </w:rPr>
                            </w:pPr>
                          </w:p>
                          <w:p w14:paraId="2F54BCD8">
                            <w:pPr>
                              <w:jc w:val="center"/>
                              <w:rPr>
                                <w:rFonts w:hAnsi="宋体"/>
                                <w:szCs w:val="21"/>
                              </w:rPr>
                            </w:pPr>
                          </w:p>
                          <w:p w14:paraId="3CBCC6EE">
                            <w:pPr>
                              <w:jc w:val="center"/>
                              <w:rPr>
                                <w:rFonts w:hAnsi="宋体"/>
                                <w:szCs w:val="21"/>
                              </w:rPr>
                            </w:pPr>
                          </w:p>
                          <w:p w14:paraId="27501233">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63360;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1E28C83E">
                      <w:pPr>
                        <w:jc w:val="center"/>
                        <w:rPr>
                          <w:rFonts w:hAnsi="宋体"/>
                          <w:szCs w:val="21"/>
                        </w:rPr>
                      </w:pPr>
                    </w:p>
                    <w:p w14:paraId="2F54BCD8">
                      <w:pPr>
                        <w:jc w:val="center"/>
                        <w:rPr>
                          <w:rFonts w:hAnsi="宋体"/>
                          <w:szCs w:val="21"/>
                        </w:rPr>
                      </w:pPr>
                    </w:p>
                    <w:p w14:paraId="3CBCC6EE">
                      <w:pPr>
                        <w:jc w:val="center"/>
                        <w:rPr>
                          <w:rFonts w:hAnsi="宋体"/>
                          <w:szCs w:val="21"/>
                        </w:rPr>
                      </w:pPr>
                    </w:p>
                    <w:p w14:paraId="27501233">
                      <w:pPr>
                        <w:jc w:val="center"/>
                        <w:rPr>
                          <w:szCs w:val="21"/>
                        </w:rPr>
                      </w:pPr>
                      <w:r>
                        <w:rPr>
                          <w:rFonts w:hint="eastAsia" w:hAnsi="宋体"/>
                          <w:szCs w:val="21"/>
                        </w:rPr>
                        <w:t>法定代表人身份证复印件</w:t>
                      </w:r>
                    </w:p>
                  </w:txbxContent>
                </v:textbox>
              </v:shape>
            </w:pict>
          </mc:Fallback>
        </mc:AlternateContent>
      </w:r>
      <w:r>
        <w:rPr>
          <w:rFonts w:hint="eastAsia" w:ascii="方正仿宋_GBK" w:hAnsi="方正仿宋_GBK" w:eastAsia="方正仿宋_GBK" w:cs="方正仿宋_GBK"/>
          <w:sz w:val="24"/>
        </w:rPr>
        <mc:AlternateContent>
          <mc:Choice Requires="wps">
            <w:drawing>
              <wp:anchor distT="0" distB="0" distL="114300" distR="114300" simplePos="0" relativeHeight="251664384"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0FD3BFC">
                            <w:pPr>
                              <w:jc w:val="center"/>
                              <w:rPr>
                                <w:rFonts w:hAnsi="宋体"/>
                                <w:szCs w:val="21"/>
                              </w:rPr>
                            </w:pPr>
                            <w:r>
                              <w:rPr>
                                <w:rFonts w:hint="eastAsia" w:hAnsi="宋体"/>
                                <w:szCs w:val="21"/>
                              </w:rPr>
                              <w:t xml:space="preserve">  </w:t>
                            </w:r>
                          </w:p>
                          <w:p w14:paraId="77A47786">
                            <w:pPr>
                              <w:jc w:val="center"/>
                              <w:rPr>
                                <w:rFonts w:hAnsi="宋体"/>
                                <w:szCs w:val="21"/>
                              </w:rPr>
                            </w:pPr>
                          </w:p>
                          <w:p w14:paraId="7B1A0170">
                            <w:pPr>
                              <w:jc w:val="center"/>
                              <w:rPr>
                                <w:rFonts w:hAnsi="宋体"/>
                                <w:szCs w:val="21"/>
                              </w:rPr>
                            </w:pPr>
                          </w:p>
                          <w:p w14:paraId="48A1E30D">
                            <w:pPr>
                              <w:jc w:val="center"/>
                              <w:rPr>
                                <w:szCs w:val="21"/>
                              </w:rPr>
                            </w:pPr>
                            <w:r>
                              <w:rPr>
                                <w:rFonts w:hint="eastAsia" w:hAnsi="宋体"/>
                                <w:szCs w:val="21"/>
                              </w:rPr>
                              <w:t>法定代表人身份证复印件反面</w:t>
                            </w:r>
                          </w:p>
                          <w:p w14:paraId="511FD052"/>
                          <w:p w14:paraId="4BB28691">
                            <w:pPr>
                              <w:pStyle w:val="2"/>
                            </w:pPr>
                          </w:p>
                          <w:p w14:paraId="1D4ABEBB">
                            <w:pPr>
                              <w:pStyle w:val="2"/>
                            </w:pPr>
                          </w:p>
                          <w:p w14:paraId="65DAE4B6">
                            <w:pPr>
                              <w:pStyle w:val="2"/>
                            </w:pPr>
                          </w:p>
                          <w:p w14:paraId="5A5E72AD">
                            <w:pPr>
                              <w:pStyle w:val="2"/>
                            </w:pPr>
                          </w:p>
                        </w:txbxContent>
                      </wps:txbx>
                      <wps:bodyPr wrap="square" upright="1"/>
                    </wps:wsp>
                  </a:graphicData>
                </a:graphic>
              </wp:anchor>
            </w:drawing>
          </mc:Choice>
          <mc:Fallback>
            <w:pict>
              <v:roundrect id="_x0000_s1026" o:spid="_x0000_s1026" o:spt="2" style="position:absolute;left:0pt;margin-left:229.8pt;margin-top:2.25pt;height:122.6pt;width:205.5pt;z-index:251664384;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40FD3BFC">
                      <w:pPr>
                        <w:jc w:val="center"/>
                        <w:rPr>
                          <w:rFonts w:hAnsi="宋体"/>
                          <w:szCs w:val="21"/>
                        </w:rPr>
                      </w:pPr>
                      <w:r>
                        <w:rPr>
                          <w:rFonts w:hint="eastAsia" w:hAnsi="宋体"/>
                          <w:szCs w:val="21"/>
                        </w:rPr>
                        <w:t xml:space="preserve">  </w:t>
                      </w:r>
                    </w:p>
                    <w:p w14:paraId="77A47786">
                      <w:pPr>
                        <w:jc w:val="center"/>
                        <w:rPr>
                          <w:rFonts w:hAnsi="宋体"/>
                          <w:szCs w:val="21"/>
                        </w:rPr>
                      </w:pPr>
                    </w:p>
                    <w:p w14:paraId="7B1A0170">
                      <w:pPr>
                        <w:jc w:val="center"/>
                        <w:rPr>
                          <w:rFonts w:hAnsi="宋体"/>
                          <w:szCs w:val="21"/>
                        </w:rPr>
                      </w:pPr>
                    </w:p>
                    <w:p w14:paraId="48A1E30D">
                      <w:pPr>
                        <w:jc w:val="center"/>
                        <w:rPr>
                          <w:szCs w:val="21"/>
                        </w:rPr>
                      </w:pPr>
                      <w:r>
                        <w:rPr>
                          <w:rFonts w:hint="eastAsia" w:hAnsi="宋体"/>
                          <w:szCs w:val="21"/>
                        </w:rPr>
                        <w:t>法定代表人身份证复印件反面</w:t>
                      </w:r>
                    </w:p>
                    <w:p w14:paraId="511FD052"/>
                    <w:p w14:paraId="4BB28691">
                      <w:pPr>
                        <w:pStyle w:val="2"/>
                      </w:pPr>
                    </w:p>
                    <w:p w14:paraId="1D4ABEBB">
                      <w:pPr>
                        <w:pStyle w:val="2"/>
                      </w:pPr>
                    </w:p>
                    <w:p w14:paraId="65DAE4B6">
                      <w:pPr>
                        <w:pStyle w:val="2"/>
                      </w:pPr>
                    </w:p>
                    <w:p w14:paraId="5A5E72AD">
                      <w:pPr>
                        <w:pStyle w:val="2"/>
                      </w:pPr>
                    </w:p>
                  </w:txbxContent>
                </v:textbox>
              </v:roundrect>
            </w:pict>
          </mc:Fallback>
        </mc:AlternateContent>
      </w:r>
    </w:p>
    <w:p w14:paraId="27E04B9F">
      <w:pPr>
        <w:spacing w:line="360" w:lineRule="auto"/>
        <w:rPr>
          <w:rFonts w:ascii="方正仿宋_GBK" w:hAnsi="方正仿宋_GBK" w:eastAsia="方正仿宋_GBK" w:cs="方正仿宋_GBK"/>
          <w:sz w:val="24"/>
        </w:rPr>
      </w:pPr>
    </w:p>
    <w:p w14:paraId="55509C3E">
      <w:pPr>
        <w:spacing w:line="360" w:lineRule="auto"/>
        <w:rPr>
          <w:rFonts w:ascii="方正仿宋_GBK" w:hAnsi="方正仿宋_GBK" w:eastAsia="方正仿宋_GBK" w:cs="方正仿宋_GBK"/>
          <w:sz w:val="24"/>
        </w:rPr>
      </w:pPr>
    </w:p>
    <w:p w14:paraId="608D1526">
      <w:pPr>
        <w:autoSpaceDE w:val="0"/>
        <w:autoSpaceDN w:val="0"/>
        <w:adjustRightInd w:val="0"/>
        <w:spacing w:line="360" w:lineRule="auto"/>
        <w:ind w:right="246"/>
        <w:rPr>
          <w:rFonts w:ascii="方正仿宋_GBK" w:hAnsi="方正仿宋_GBK" w:eastAsia="方正仿宋_GBK" w:cs="方正仿宋_GBK"/>
          <w:kern w:val="0"/>
          <w:sz w:val="24"/>
        </w:rPr>
      </w:pPr>
    </w:p>
    <w:p w14:paraId="6E528B51">
      <w:pPr>
        <w:autoSpaceDE w:val="0"/>
        <w:autoSpaceDN w:val="0"/>
        <w:adjustRightInd w:val="0"/>
        <w:spacing w:line="360" w:lineRule="auto"/>
        <w:ind w:right="246" w:firstLine="784" w:firstLineChars="327"/>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供应商（公章）：</w:t>
      </w:r>
      <w:r>
        <w:rPr>
          <w:rFonts w:hint="eastAsia" w:ascii="方正仿宋_GBK" w:hAnsi="方正仿宋_GBK" w:eastAsia="方正仿宋_GBK" w:cs="方正仿宋_GBK"/>
          <w:kern w:val="0"/>
          <w:sz w:val="24"/>
          <w:u w:val="single"/>
        </w:rPr>
        <w:t xml:space="preserve">                             </w:t>
      </w:r>
      <w:r>
        <w:rPr>
          <w:rFonts w:hint="eastAsia" w:ascii="方正仿宋_GBK" w:hAnsi="方正仿宋_GBK" w:eastAsia="方正仿宋_GBK" w:cs="方正仿宋_GBK"/>
          <w:kern w:val="0"/>
          <w:sz w:val="24"/>
        </w:rPr>
        <w:t xml:space="preserve"> </w:t>
      </w:r>
    </w:p>
    <w:p w14:paraId="350D4052">
      <w:pPr>
        <w:adjustRightInd w:val="0"/>
        <w:snapToGrid w:val="0"/>
        <w:spacing w:line="360" w:lineRule="auto"/>
        <w:ind w:firstLine="784" w:firstLineChars="327"/>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法定代表人（签字或盖章）：</w:t>
      </w:r>
      <w:r>
        <w:rPr>
          <w:rFonts w:hint="eastAsia" w:ascii="方正仿宋_GBK" w:hAnsi="方正仿宋_GBK" w:eastAsia="方正仿宋_GBK" w:cs="方正仿宋_GBK"/>
          <w:sz w:val="24"/>
          <w:u w:val="single"/>
        </w:rPr>
        <w:t xml:space="preserve">                    </w:t>
      </w:r>
    </w:p>
    <w:p w14:paraId="316CB103">
      <w:pPr>
        <w:adjustRightInd w:val="0"/>
        <w:snapToGrid w:val="0"/>
        <w:spacing w:line="360" w:lineRule="auto"/>
        <w:ind w:firstLine="784" w:firstLineChars="327"/>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4"/>
          <w:u w:val="single"/>
        </w:rPr>
        <w:t xml:space="preserve">                                       </w:t>
      </w:r>
    </w:p>
    <w:p w14:paraId="43474A2B">
      <w:pPr>
        <w:spacing w:line="360" w:lineRule="auto"/>
        <w:jc w:val="center"/>
        <w:rPr>
          <w:rFonts w:ascii="微软雅黑" w:hAnsi="微软雅黑" w:eastAsia="微软雅黑" w:cs="微软雅黑"/>
          <w:b/>
          <w:bCs/>
          <w:sz w:val="24"/>
        </w:rPr>
      </w:pPr>
    </w:p>
    <w:p w14:paraId="6472D279">
      <w:pPr>
        <w:spacing w:line="360" w:lineRule="auto"/>
        <w:jc w:val="center"/>
        <w:rPr>
          <w:rFonts w:ascii="方正仿宋_GBK" w:hAnsi="方正仿宋_GBK" w:eastAsia="方正仿宋_GBK" w:cs="方正仿宋_GBK"/>
          <w:b/>
          <w:bCs/>
          <w:sz w:val="24"/>
          <w:u w:val="single"/>
        </w:rPr>
      </w:pPr>
      <w:r>
        <w:rPr>
          <w:rFonts w:hint="eastAsia" w:ascii="方正仿宋_GBK" w:hAnsi="方正仿宋_GBK" w:eastAsia="方正仿宋_GBK" w:cs="方正仿宋_GBK"/>
          <w:b/>
          <w:bCs/>
          <w:sz w:val="24"/>
        </w:rPr>
        <w:t>法定代表人授权委托书</w:t>
      </w:r>
    </w:p>
    <w:p w14:paraId="5C9C3588">
      <w:pPr>
        <w:pStyle w:val="18"/>
        <w:tabs>
          <w:tab w:val="left" w:pos="5580"/>
        </w:tabs>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本授权书声明：注册于</w:t>
      </w:r>
      <w:r>
        <w:rPr>
          <w:rFonts w:hint="eastAsia" w:ascii="方正仿宋_GBK" w:hAnsi="方正仿宋_GBK" w:eastAsia="方正仿宋_GBK" w:cs="方正仿宋_GBK"/>
          <w:sz w:val="24"/>
          <w:szCs w:val="24"/>
          <w:u w:val="single"/>
        </w:rPr>
        <w:t>（国家或地区的名称）</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i/>
          <w:sz w:val="24"/>
          <w:szCs w:val="24"/>
          <w:u w:val="single"/>
        </w:rPr>
        <w:t>供应商</w:t>
      </w:r>
      <w:r>
        <w:rPr>
          <w:rFonts w:hint="eastAsia" w:ascii="方正仿宋_GBK" w:hAnsi="方正仿宋_GBK" w:eastAsia="方正仿宋_GBK" w:cs="方正仿宋_GBK"/>
          <w:sz w:val="24"/>
          <w:szCs w:val="24"/>
        </w:rPr>
        <w:t>）的在下面签字的（</w:t>
      </w:r>
      <w:r>
        <w:rPr>
          <w:rFonts w:hint="eastAsia" w:ascii="方正仿宋_GBK" w:hAnsi="方正仿宋_GBK" w:eastAsia="方正仿宋_GBK" w:cs="方正仿宋_GBK"/>
          <w:i/>
          <w:sz w:val="24"/>
          <w:szCs w:val="24"/>
          <w:u w:val="single"/>
        </w:rPr>
        <w:t>法人代表姓名、职务</w:t>
      </w:r>
      <w:r>
        <w:rPr>
          <w:rFonts w:hint="eastAsia" w:ascii="方正仿宋_GBK" w:hAnsi="方正仿宋_GBK" w:eastAsia="方正仿宋_GBK" w:cs="方正仿宋_GBK"/>
          <w:sz w:val="24"/>
          <w:szCs w:val="24"/>
        </w:rPr>
        <w:t>）代表我单位授权（</w:t>
      </w:r>
      <w:r>
        <w:rPr>
          <w:rFonts w:hint="eastAsia" w:ascii="方正仿宋_GBK" w:hAnsi="方正仿宋_GBK" w:eastAsia="方正仿宋_GBK" w:cs="方正仿宋_GBK"/>
          <w:i/>
          <w:sz w:val="24"/>
          <w:szCs w:val="24"/>
          <w:u w:val="single"/>
        </w:rPr>
        <w:t>单位名称</w:t>
      </w:r>
      <w:r>
        <w:rPr>
          <w:rFonts w:hint="eastAsia" w:ascii="方正仿宋_GBK" w:hAnsi="方正仿宋_GBK" w:eastAsia="方正仿宋_GBK" w:cs="方正仿宋_GBK"/>
          <w:sz w:val="24"/>
          <w:szCs w:val="24"/>
        </w:rPr>
        <w:t>）的在下面签字的（</w:t>
      </w:r>
      <w:r>
        <w:rPr>
          <w:rFonts w:hint="eastAsia" w:ascii="方正仿宋_GBK" w:hAnsi="方正仿宋_GBK" w:eastAsia="方正仿宋_GBK" w:cs="方正仿宋_GBK"/>
          <w:i/>
          <w:sz w:val="24"/>
          <w:szCs w:val="24"/>
          <w:u w:val="single"/>
        </w:rPr>
        <w:t>被授权人的姓名、职务</w:t>
      </w:r>
      <w:r>
        <w:rPr>
          <w:rFonts w:hint="eastAsia" w:ascii="方正仿宋_GBK" w:hAnsi="方正仿宋_GBK" w:eastAsia="方正仿宋_GBK" w:cs="方正仿宋_GBK"/>
          <w:sz w:val="24"/>
          <w:szCs w:val="24"/>
        </w:rPr>
        <w:t>）为我单位的合法代理人，就（</w:t>
      </w:r>
      <w:r>
        <w:rPr>
          <w:rFonts w:hint="eastAsia" w:ascii="方正仿宋_GBK" w:hAnsi="方正仿宋_GBK" w:eastAsia="方正仿宋_GBK" w:cs="方正仿宋_GBK"/>
          <w:i/>
          <w:sz w:val="24"/>
          <w:szCs w:val="24"/>
          <w:u w:val="single"/>
        </w:rPr>
        <w:t>项目名称、编号）的</w:t>
      </w:r>
      <w:r>
        <w:rPr>
          <w:rFonts w:hint="eastAsia" w:ascii="方正仿宋_GBK" w:hAnsi="方正仿宋_GBK" w:eastAsia="方正仿宋_GBK" w:cs="方正仿宋_GBK"/>
          <w:sz w:val="24"/>
          <w:szCs w:val="24"/>
        </w:rPr>
        <w:t>投标，以我单位名义处理一切与之有关的事务。</w:t>
      </w:r>
      <w:r>
        <w:rPr>
          <w:rFonts w:hint="eastAsia" w:ascii="方正仿宋_GBK" w:hAnsi="方正仿宋_GBK" w:eastAsia="方正仿宋_GBK" w:cs="方正仿宋_GBK"/>
          <w:sz w:val="24"/>
          <w:szCs w:val="24"/>
        </w:rPr>
        <w:cr/>
      </w:r>
      <w:r>
        <w:rPr>
          <w:rFonts w:hint="eastAsia" w:ascii="方正仿宋_GBK" w:hAnsi="方正仿宋_GBK" w:eastAsia="方正仿宋_GBK" w:cs="方正仿宋_GBK"/>
          <w:sz w:val="24"/>
          <w:szCs w:val="24"/>
        </w:rPr>
        <w:t>　　</w:t>
      </w:r>
    </w:p>
    <w:p w14:paraId="31F744AE">
      <w:pPr>
        <w:pStyle w:val="18"/>
        <w:tabs>
          <w:tab w:val="left" w:pos="5580"/>
        </w:tabs>
        <w:spacing w:line="360" w:lineRule="exact"/>
        <w:ind w:left="-539" w:leftChars="-257" w:firstLine="900" w:firstLineChars="37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本授权书于</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日签字生效,特此声明。</w:t>
      </w:r>
    </w:p>
    <w:p w14:paraId="5AF050F0">
      <w:pPr>
        <w:pStyle w:val="18"/>
        <w:tabs>
          <w:tab w:val="left" w:pos="5580"/>
        </w:tabs>
        <w:spacing w:line="240" w:lineRule="atLeast"/>
        <w:ind w:left="-539" w:leftChars="-257" w:firstLine="900" w:firstLineChars="37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mc:AlternateContent>
          <mc:Choice Requires="wps">
            <w:drawing>
              <wp:anchor distT="0" distB="0" distL="114300" distR="114300" simplePos="0" relativeHeight="251666432" behindDoc="0" locked="0" layoutInCell="1" allowOverlap="1">
                <wp:simplePos x="0" y="0"/>
                <wp:positionH relativeFrom="column">
                  <wp:posOffset>3039110</wp:posOffset>
                </wp:positionH>
                <wp:positionV relativeFrom="paragraph">
                  <wp:posOffset>167640</wp:posOffset>
                </wp:positionV>
                <wp:extent cx="2478405" cy="969010"/>
                <wp:effectExtent l="7620" t="7620" r="13335" b="13970"/>
                <wp:wrapNone/>
                <wp:docPr id="2" name="圆角矩形 2"/>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7E6FF05">
                            <w:pPr>
                              <w:rPr>
                                <w:rFonts w:hAnsi="宋体"/>
                              </w:rPr>
                            </w:pPr>
                          </w:p>
                          <w:p w14:paraId="39041DE0">
                            <w:pPr>
                              <w:rPr>
                                <w:rFonts w:hAnsi="宋体"/>
                              </w:rPr>
                            </w:pPr>
                          </w:p>
                          <w:p w14:paraId="330B186D">
                            <w:pPr>
                              <w:rPr>
                                <w:rFonts w:hAnsi="宋体"/>
                              </w:rPr>
                            </w:pPr>
                          </w:p>
                          <w:p w14:paraId="7B1EFC43">
                            <w:r>
                              <w:rPr>
                                <w:rFonts w:hint="eastAsia" w:hAnsi="宋体"/>
                              </w:rPr>
                              <w:t>授权委托人身份证复印件反面</w:t>
                            </w:r>
                          </w:p>
                          <w:p w14:paraId="7B36F3DA"/>
                        </w:txbxContent>
                      </wps:txbx>
                      <wps:bodyPr wrap="square" upright="1"/>
                    </wps:wsp>
                  </a:graphicData>
                </a:graphic>
              </wp:anchor>
            </w:drawing>
          </mc:Choice>
          <mc:Fallback>
            <w:pict>
              <v:roundrect id="_x0000_s1026" o:spid="_x0000_s1026" o:spt="2" style="position:absolute;left:0pt;margin-left:239.3pt;margin-top:13.2pt;height:76.3pt;width:195.15pt;z-index:251666432;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MFn7jbAAAACgEAAA8AAAAAAAAAAQAgAAAAIgAAAGRycy9kb3du&#10;cmV2LnhtbFBLAQIUABQAAAAIAIdO4kDbvYEiNQIAAHMEAAAOAAAAAAAAAAEAIAAAACoBAABkcnMv&#10;ZTJvRG9jLnhtbFBLBQYAAAAABgAGAFkBAADRBQAAAAA=&#10;">
                <v:fill on="t" focussize="0,0"/>
                <v:stroke weight="1.25pt" color="#808080" joinstyle="round"/>
                <v:imagedata o:title=""/>
                <o:lock v:ext="edit" aspectratio="f"/>
                <v:textbox>
                  <w:txbxContent>
                    <w:p w14:paraId="47E6FF05">
                      <w:pPr>
                        <w:rPr>
                          <w:rFonts w:hAnsi="宋体"/>
                        </w:rPr>
                      </w:pPr>
                    </w:p>
                    <w:p w14:paraId="39041DE0">
                      <w:pPr>
                        <w:rPr>
                          <w:rFonts w:hAnsi="宋体"/>
                        </w:rPr>
                      </w:pPr>
                    </w:p>
                    <w:p w14:paraId="330B186D">
                      <w:pPr>
                        <w:rPr>
                          <w:rFonts w:hAnsi="宋体"/>
                        </w:rPr>
                      </w:pPr>
                    </w:p>
                    <w:p w14:paraId="7B1EFC43">
                      <w:r>
                        <w:rPr>
                          <w:rFonts w:hint="eastAsia" w:hAnsi="宋体"/>
                        </w:rPr>
                        <w:t>授权委托人身份证复印件反面</w:t>
                      </w:r>
                    </w:p>
                    <w:p w14:paraId="7B36F3DA"/>
                  </w:txbxContent>
                </v:textbox>
              </v:roundrect>
            </w:pict>
          </mc:Fallback>
        </mc:AlternateContent>
      </w:r>
      <w:r>
        <w:rPr>
          <w:rFonts w:hint="eastAsia" w:ascii="方正仿宋_GBK" w:hAnsi="方正仿宋_GBK" w:eastAsia="方正仿宋_GBK" w:cs="方正仿宋_GBK"/>
          <w:sz w:val="24"/>
          <w:szCs w:val="24"/>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135890</wp:posOffset>
                </wp:positionV>
                <wp:extent cx="2317750" cy="998855"/>
                <wp:effectExtent l="4445" t="5080" r="20955" b="5715"/>
                <wp:wrapNone/>
                <wp:docPr id="1" name="流程图: 可选过程 1"/>
                <wp:cNvGraphicFramePr/>
                <a:graphic xmlns:a="http://schemas.openxmlformats.org/drawingml/2006/main">
                  <a:graphicData uri="http://schemas.microsoft.com/office/word/2010/wordprocessingShape">
                    <wps:wsp>
                      <wps:cNvSpPr/>
                      <wps:spPr>
                        <a:xfrm>
                          <a:off x="0" y="0"/>
                          <a:ext cx="2317750" cy="9988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7520A77">
                            <w:pPr>
                              <w:jc w:val="center"/>
                              <w:rPr>
                                <w:rFonts w:hAnsi="宋体"/>
                              </w:rPr>
                            </w:pPr>
                          </w:p>
                          <w:p w14:paraId="5268BD14">
                            <w:pPr>
                              <w:jc w:val="center"/>
                              <w:rPr>
                                <w:rFonts w:hAnsi="宋体"/>
                              </w:rPr>
                            </w:pPr>
                          </w:p>
                          <w:p w14:paraId="36A021ED">
                            <w:pPr>
                              <w:jc w:val="center"/>
                              <w:rPr>
                                <w:rFonts w:hAnsi="宋体"/>
                              </w:rPr>
                            </w:pPr>
                          </w:p>
                          <w:p w14:paraId="3A62D85F">
                            <w:pPr>
                              <w:jc w:val="center"/>
                            </w:pPr>
                            <w:r>
                              <w:rPr>
                                <w:rFonts w:hint="eastAsia" w:hAnsi="宋体"/>
                              </w:rPr>
                              <w:t>授权委托人身份证复印件正面</w:t>
                            </w:r>
                          </w:p>
                        </w:txbxContent>
                      </wps:txbx>
                      <wps:bodyPr wrap="square" upright="1"/>
                    </wps:wsp>
                  </a:graphicData>
                </a:graphic>
              </wp:anchor>
            </w:drawing>
          </mc:Choice>
          <mc:Fallback>
            <w:pict>
              <v:shape id="_x0000_s1026" o:spid="_x0000_s1026" o:spt="176" type="#_x0000_t176" style="position:absolute;left:0pt;margin-left:1.65pt;margin-top:10.7pt;height:78.65pt;width:182.5pt;z-index:251665408;mso-width-relative:page;mso-height-relative:page;" fillcolor="#FFFFFF" filled="t" stroked="t" coordsize="21600,21600" o:gfxdata="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5GKa31QAAAAgBAAAPAAAAAAAAAAEAIAAAACIAAABkcnMvZG93bnJldi54&#10;bWxQSwECFAAUAAAACACHTuJAyfOcsDYCAABrBAAADgAAAAAAAAABACAAAAAkAQAAZHJzL2Uyb0Rv&#10;Yy54bWxQSwUGAAAAAAYABgBZAQAAzAUAAAAA&#10;">
                <v:fill on="t" focussize="0,0"/>
                <v:stroke color="#000000" joinstyle="miter"/>
                <v:imagedata o:title=""/>
                <o:lock v:ext="edit" aspectratio="f"/>
                <v:textbox>
                  <w:txbxContent>
                    <w:p w14:paraId="07520A77">
                      <w:pPr>
                        <w:jc w:val="center"/>
                        <w:rPr>
                          <w:rFonts w:hAnsi="宋体"/>
                        </w:rPr>
                      </w:pPr>
                    </w:p>
                    <w:p w14:paraId="5268BD14">
                      <w:pPr>
                        <w:jc w:val="center"/>
                        <w:rPr>
                          <w:rFonts w:hAnsi="宋体"/>
                        </w:rPr>
                      </w:pPr>
                    </w:p>
                    <w:p w14:paraId="36A021ED">
                      <w:pPr>
                        <w:jc w:val="center"/>
                        <w:rPr>
                          <w:rFonts w:hAnsi="宋体"/>
                        </w:rPr>
                      </w:pPr>
                    </w:p>
                    <w:p w14:paraId="3A62D85F">
                      <w:pPr>
                        <w:jc w:val="center"/>
                      </w:pPr>
                      <w:r>
                        <w:rPr>
                          <w:rFonts w:hint="eastAsia" w:hAnsi="宋体"/>
                        </w:rPr>
                        <w:t>授权委托人身份证复印件正面</w:t>
                      </w:r>
                    </w:p>
                  </w:txbxContent>
                </v:textbox>
              </v:shape>
            </w:pict>
          </mc:Fallback>
        </mc:AlternateContent>
      </w:r>
    </w:p>
    <w:p w14:paraId="5B130648">
      <w:pPr>
        <w:spacing w:line="360" w:lineRule="auto"/>
        <w:ind w:firstLine="240" w:firstLineChars="100"/>
        <w:rPr>
          <w:rFonts w:ascii="方正仿宋_GBK" w:hAnsi="方正仿宋_GBK" w:eastAsia="方正仿宋_GBK" w:cs="方正仿宋_GBK"/>
          <w:sz w:val="24"/>
        </w:rPr>
      </w:pPr>
    </w:p>
    <w:p w14:paraId="7FB59D91">
      <w:pPr>
        <w:spacing w:line="360" w:lineRule="auto"/>
        <w:ind w:firstLine="240" w:firstLineChars="100"/>
        <w:rPr>
          <w:rFonts w:ascii="方正仿宋_GBK" w:hAnsi="方正仿宋_GBK" w:eastAsia="方正仿宋_GBK" w:cs="方正仿宋_GBK"/>
          <w:sz w:val="24"/>
        </w:rPr>
      </w:pPr>
    </w:p>
    <w:p w14:paraId="2C4D580D">
      <w:pPr>
        <w:spacing w:line="360" w:lineRule="auto"/>
        <w:ind w:firstLine="240" w:firstLineChars="100"/>
        <w:rPr>
          <w:rFonts w:ascii="方正仿宋_GBK" w:hAnsi="方正仿宋_GBK" w:eastAsia="方正仿宋_GBK" w:cs="方正仿宋_GBK"/>
          <w:sz w:val="24"/>
        </w:rPr>
      </w:pPr>
    </w:p>
    <w:p w14:paraId="365CCF60">
      <w:pPr>
        <w:spacing w:line="360" w:lineRule="auto"/>
        <w:ind w:firstLine="240" w:firstLineChars="100"/>
        <w:rPr>
          <w:rFonts w:ascii="方正仿宋_GBK" w:hAnsi="方正仿宋_GBK" w:eastAsia="方正仿宋_GBK" w:cs="方正仿宋_GBK"/>
          <w:sz w:val="24"/>
        </w:rPr>
      </w:pPr>
    </w:p>
    <w:p w14:paraId="09864829">
      <w:pPr>
        <w:spacing w:line="360" w:lineRule="auto"/>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mc:AlternateContent>
          <mc:Choice Requires="wps">
            <w:drawing>
              <wp:anchor distT="0" distB="0" distL="114300" distR="114300" simplePos="0" relativeHeight="251668480" behindDoc="0" locked="0" layoutInCell="1" allowOverlap="1">
                <wp:simplePos x="0" y="0"/>
                <wp:positionH relativeFrom="column">
                  <wp:posOffset>3018155</wp:posOffset>
                </wp:positionH>
                <wp:positionV relativeFrom="paragraph">
                  <wp:posOffset>96520</wp:posOffset>
                </wp:positionV>
                <wp:extent cx="2535555" cy="935355"/>
                <wp:effectExtent l="7620" t="7620" r="17145" b="17145"/>
                <wp:wrapNone/>
                <wp:docPr id="4" name="圆角矩形 4"/>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42E7244">
                            <w:pPr>
                              <w:jc w:val="center"/>
                              <w:rPr>
                                <w:rFonts w:hAnsi="宋体"/>
                              </w:rPr>
                            </w:pPr>
                            <w:r>
                              <w:rPr>
                                <w:rFonts w:hint="eastAsia" w:hAnsi="宋体"/>
                              </w:rPr>
                              <w:t xml:space="preserve">  </w:t>
                            </w:r>
                          </w:p>
                          <w:p w14:paraId="7AC828EF">
                            <w:pPr>
                              <w:rPr>
                                <w:rFonts w:hAnsi="宋体"/>
                              </w:rPr>
                            </w:pPr>
                          </w:p>
                          <w:p w14:paraId="14FE0715">
                            <w:pPr>
                              <w:jc w:val="center"/>
                            </w:pPr>
                            <w:r>
                              <w:rPr>
                                <w:rFonts w:hint="eastAsia" w:hAnsi="宋体"/>
                              </w:rPr>
                              <w:t>法人身份证复印件反面</w:t>
                            </w:r>
                          </w:p>
                          <w:p w14:paraId="51E9A57E"/>
                        </w:txbxContent>
                      </wps:txbx>
                      <wps:bodyPr wrap="square" upright="1"/>
                    </wps:wsp>
                  </a:graphicData>
                </a:graphic>
              </wp:anchor>
            </w:drawing>
          </mc:Choice>
          <mc:Fallback>
            <w:pict>
              <v:roundrect id="_x0000_s1026" o:spid="_x0000_s1026" o:spt="2" style="position:absolute;left:0pt;margin-left:237.65pt;margin-top:7.6pt;height:73.65pt;width:199.65pt;z-index:251668480;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oDRWe2wAAAAoBAAAPAAAAAAAAAAEAIAAAACIAAABkcnMvZG93bnJl&#10;di54bWxQSwECFAAUAAAACACHTuJAIcQ6gTMCAABzBAAADgAAAAAAAAABACAAAAAqAQAAZHJzL2Uy&#10;b0RvYy54bWxQSwUGAAAAAAYABgBZAQAAzwUAAAAA&#10;">
                <v:fill on="t" focussize="0,0"/>
                <v:stroke weight="1.25pt" color="#808080" joinstyle="round"/>
                <v:imagedata o:title=""/>
                <o:lock v:ext="edit" aspectratio="f"/>
                <v:textbox>
                  <w:txbxContent>
                    <w:p w14:paraId="542E7244">
                      <w:pPr>
                        <w:jc w:val="center"/>
                        <w:rPr>
                          <w:rFonts w:hAnsi="宋体"/>
                        </w:rPr>
                      </w:pPr>
                      <w:r>
                        <w:rPr>
                          <w:rFonts w:hint="eastAsia" w:hAnsi="宋体"/>
                        </w:rPr>
                        <w:t xml:space="preserve">  </w:t>
                      </w:r>
                    </w:p>
                    <w:p w14:paraId="7AC828EF">
                      <w:pPr>
                        <w:rPr>
                          <w:rFonts w:hAnsi="宋体"/>
                        </w:rPr>
                      </w:pPr>
                    </w:p>
                    <w:p w14:paraId="14FE0715">
                      <w:pPr>
                        <w:jc w:val="center"/>
                      </w:pPr>
                      <w:r>
                        <w:rPr>
                          <w:rFonts w:hint="eastAsia" w:hAnsi="宋体"/>
                        </w:rPr>
                        <w:t>法人身份证复印件反面</w:t>
                      </w:r>
                    </w:p>
                    <w:p w14:paraId="51E9A57E"/>
                  </w:txbxContent>
                </v:textbox>
              </v:roundrect>
            </w:pict>
          </mc:Fallback>
        </mc:AlternateContent>
      </w:r>
      <w:r>
        <w:rPr>
          <w:rFonts w:hint="eastAsia" w:ascii="方正仿宋_GBK" w:hAnsi="方正仿宋_GBK" w:eastAsia="方正仿宋_GBK" w:cs="方正仿宋_GBK"/>
          <w:sz w:val="24"/>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29845</wp:posOffset>
                </wp:positionV>
                <wp:extent cx="2555240" cy="1024890"/>
                <wp:effectExtent l="7620" t="7620" r="12700" b="1905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9C5B6BF">
                            <w:pPr>
                              <w:jc w:val="center"/>
                              <w:rPr>
                                <w:rFonts w:hAnsi="宋体"/>
                              </w:rPr>
                            </w:pPr>
                          </w:p>
                          <w:p w14:paraId="5035A387">
                            <w:pPr>
                              <w:rPr>
                                <w:rFonts w:hAnsi="宋体"/>
                              </w:rPr>
                            </w:pPr>
                          </w:p>
                          <w:p w14:paraId="6D224754">
                            <w:pPr>
                              <w:jc w:val="center"/>
                            </w:pPr>
                            <w:r>
                              <w:rPr>
                                <w:rFonts w:hint="eastAsia" w:hAnsi="宋体"/>
                              </w:rPr>
                              <w:t>法人身份证复印件正面</w:t>
                            </w:r>
                          </w:p>
                          <w:p w14:paraId="1D34B02D"/>
                        </w:txbxContent>
                      </wps:txbx>
                      <wps:bodyPr wrap="square" upright="1"/>
                    </wps:wsp>
                  </a:graphicData>
                </a:graphic>
              </wp:anchor>
            </w:drawing>
          </mc:Choice>
          <mc:Fallback>
            <w:pict>
              <v:roundrect id="_x0000_s1026" o:spid="_x0000_s1026" o:spt="2" style="position:absolute;left:0pt;margin-left:-0.85pt;margin-top:2.35pt;height:80.7pt;width:201.2pt;z-index:25166745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74Le9gAAAAIAQAADwAAAAAAAAABACAAAAAiAAAAZHJzL2Rvd25y&#10;ZXYueG1sUEsBAhQAFAAAAAgAh07iQIuywrY3AgAAdAQAAA4AAAAAAAAAAQAgAAAAJwEAAGRycy9l&#10;Mm9Eb2MueG1sUEsFBgAAAAAGAAYAWQEAANAFAAAAAA==&#10;">
                <v:fill on="t" focussize="0,0"/>
                <v:stroke weight="1.25pt" color="#808080" joinstyle="round"/>
                <v:imagedata o:title=""/>
                <o:lock v:ext="edit" aspectratio="f"/>
                <v:textbox>
                  <w:txbxContent>
                    <w:p w14:paraId="39C5B6BF">
                      <w:pPr>
                        <w:jc w:val="center"/>
                        <w:rPr>
                          <w:rFonts w:hAnsi="宋体"/>
                        </w:rPr>
                      </w:pPr>
                    </w:p>
                    <w:p w14:paraId="5035A387">
                      <w:pPr>
                        <w:rPr>
                          <w:rFonts w:hAnsi="宋体"/>
                        </w:rPr>
                      </w:pPr>
                    </w:p>
                    <w:p w14:paraId="6D224754">
                      <w:pPr>
                        <w:jc w:val="center"/>
                      </w:pPr>
                      <w:r>
                        <w:rPr>
                          <w:rFonts w:hint="eastAsia" w:hAnsi="宋体"/>
                        </w:rPr>
                        <w:t>法人身份证复印件正面</w:t>
                      </w:r>
                    </w:p>
                    <w:p w14:paraId="1D34B02D"/>
                  </w:txbxContent>
                </v:textbox>
              </v:roundrect>
            </w:pict>
          </mc:Fallback>
        </mc:AlternateContent>
      </w:r>
    </w:p>
    <w:p w14:paraId="0B59E4D4">
      <w:pPr>
        <w:spacing w:line="360" w:lineRule="auto"/>
        <w:ind w:firstLine="240" w:firstLineChars="100"/>
        <w:rPr>
          <w:rFonts w:ascii="方正仿宋_GBK" w:hAnsi="方正仿宋_GBK" w:eastAsia="方正仿宋_GBK" w:cs="方正仿宋_GBK"/>
          <w:sz w:val="24"/>
        </w:rPr>
      </w:pPr>
    </w:p>
    <w:p w14:paraId="69692BD2">
      <w:pPr>
        <w:spacing w:line="360" w:lineRule="auto"/>
        <w:ind w:firstLine="240" w:firstLineChars="100"/>
        <w:rPr>
          <w:rFonts w:ascii="方正仿宋_GBK" w:hAnsi="方正仿宋_GBK" w:eastAsia="方正仿宋_GBK" w:cs="方正仿宋_GBK"/>
          <w:sz w:val="24"/>
        </w:rPr>
      </w:pPr>
    </w:p>
    <w:p w14:paraId="1F652780">
      <w:pPr>
        <w:spacing w:line="360" w:lineRule="auto"/>
        <w:rPr>
          <w:rFonts w:ascii="方正仿宋_GBK" w:hAnsi="方正仿宋_GBK" w:eastAsia="方正仿宋_GBK" w:cs="方正仿宋_GBK"/>
          <w:sz w:val="24"/>
        </w:rPr>
      </w:pPr>
    </w:p>
    <w:p w14:paraId="7B1A1AF5">
      <w:pPr>
        <w:pStyle w:val="18"/>
        <w:tabs>
          <w:tab w:val="left" w:pos="5580"/>
        </w:tabs>
        <w:spacing w:line="360" w:lineRule="exac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供应商（公章）;</w:t>
      </w:r>
      <w:r>
        <w:rPr>
          <w:rFonts w:hint="eastAsia" w:ascii="方正仿宋_GBK" w:hAnsi="方正仿宋_GBK" w:eastAsia="方正仿宋_GBK" w:cs="方正仿宋_GBK"/>
          <w:sz w:val="24"/>
          <w:szCs w:val="24"/>
          <w:u w:val="single"/>
        </w:rPr>
        <w:t xml:space="preserve">                                 </w:t>
      </w:r>
    </w:p>
    <w:p w14:paraId="5F820970">
      <w:pPr>
        <w:pStyle w:val="18"/>
        <w:tabs>
          <w:tab w:val="left" w:pos="5580"/>
        </w:tabs>
        <w:spacing w:line="360" w:lineRule="exac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法定代表人（签字或盖章）：</w:t>
      </w:r>
      <w:r>
        <w:rPr>
          <w:rFonts w:hint="eastAsia" w:ascii="方正仿宋_GBK" w:hAnsi="方正仿宋_GBK" w:eastAsia="方正仿宋_GBK" w:cs="方正仿宋_GBK"/>
          <w:sz w:val="24"/>
          <w:szCs w:val="24"/>
          <w:u w:val="single"/>
        </w:rPr>
        <w:t xml:space="preserve">                      </w:t>
      </w:r>
    </w:p>
    <w:p w14:paraId="023EF36E">
      <w:pPr>
        <w:pStyle w:val="18"/>
        <w:tabs>
          <w:tab w:val="left" w:pos="5580"/>
        </w:tabs>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身份证号码：_____________     _____________________ </w:t>
      </w:r>
    </w:p>
    <w:p w14:paraId="181045FE">
      <w:pPr>
        <w:pStyle w:val="18"/>
        <w:tabs>
          <w:tab w:val="left" w:pos="5580"/>
        </w:tabs>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委托代理人：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59342A9F">
      <w:pPr>
        <w:pStyle w:val="18"/>
        <w:tabs>
          <w:tab w:val="left" w:pos="5580"/>
        </w:tabs>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身份证号码：</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5F7F6DAE">
      <w:pPr>
        <w:pStyle w:val="18"/>
        <w:tabs>
          <w:tab w:val="left" w:pos="5580"/>
        </w:tabs>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详细通讯地址：</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6157B990">
      <w:pPr>
        <w:pStyle w:val="18"/>
        <w:tabs>
          <w:tab w:val="left" w:pos="5580"/>
        </w:tabs>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邮 政 编 码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6D6F64AB">
      <w:pPr>
        <w:pStyle w:val="18"/>
        <w:tabs>
          <w:tab w:val="left" w:pos="5580"/>
        </w:tabs>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传　　　　真：</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11551960">
      <w:pPr>
        <w:pStyle w:val="18"/>
        <w:tabs>
          <w:tab w:val="left" w:pos="5580"/>
        </w:tabs>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49F8F5C9">
      <w:pPr>
        <w:pStyle w:val="18"/>
        <w:tabs>
          <w:tab w:val="left" w:pos="5580"/>
        </w:tabs>
        <w:spacing w:line="360" w:lineRule="exact"/>
        <w:ind w:firstLine="6480" w:firstLineChars="2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年   月   日 </w:t>
      </w:r>
    </w:p>
    <w:bookmarkEnd w:id="634"/>
    <w:bookmarkEnd w:id="635"/>
    <w:bookmarkEnd w:id="636"/>
    <w:bookmarkEnd w:id="637"/>
    <w:bookmarkEnd w:id="638"/>
    <w:bookmarkEnd w:id="639"/>
    <w:bookmarkEnd w:id="640"/>
    <w:bookmarkEnd w:id="641"/>
    <w:p w14:paraId="12F968B5">
      <w:pPr>
        <w:snapToGrid w:val="0"/>
        <w:spacing w:line="380" w:lineRule="exact"/>
        <w:ind w:firstLine="480" w:firstLineChars="200"/>
        <w:textAlignment w:val="baseline"/>
        <w:rPr>
          <w:rFonts w:ascii="微软雅黑" w:hAnsi="微软雅黑" w:eastAsia="微软雅黑" w:cs="微软雅黑"/>
          <w:sz w:val="24"/>
        </w:rPr>
      </w:pPr>
    </w:p>
    <w:p w14:paraId="25D62C5B">
      <w:pPr>
        <w:snapToGrid w:val="0"/>
        <w:spacing w:line="380" w:lineRule="exact"/>
        <w:ind w:firstLine="560" w:firstLineChars="200"/>
        <w:textAlignment w:val="baseline"/>
        <w:rPr>
          <w:rFonts w:eastAsia="方正仿宋_GBK"/>
          <w:sz w:val="28"/>
          <w:szCs w:val="28"/>
        </w:rPr>
      </w:pPr>
    </w:p>
    <w:p w14:paraId="6D603402">
      <w:pPr>
        <w:snapToGrid w:val="0"/>
        <w:spacing w:line="380" w:lineRule="exact"/>
        <w:ind w:firstLine="560" w:firstLineChars="200"/>
        <w:textAlignment w:val="baseline"/>
        <w:rPr>
          <w:rFonts w:eastAsia="方正仿宋_GBK"/>
          <w:sz w:val="28"/>
          <w:szCs w:val="28"/>
        </w:rPr>
      </w:pPr>
    </w:p>
    <w:p w14:paraId="55C2E547">
      <w:pPr>
        <w:snapToGrid w:val="0"/>
        <w:spacing w:line="380" w:lineRule="exact"/>
        <w:ind w:firstLine="560" w:firstLineChars="200"/>
        <w:textAlignment w:val="baseline"/>
        <w:rPr>
          <w:rFonts w:ascii="微软雅黑" w:hAnsi="微软雅黑" w:eastAsia="微软雅黑" w:cs="微软雅黑"/>
          <w:sz w:val="24"/>
        </w:rPr>
      </w:pPr>
      <w:r>
        <w:rPr>
          <w:rFonts w:eastAsia="方正仿宋_GBK"/>
          <w:sz w:val="28"/>
          <w:szCs w:val="28"/>
        </w:rPr>
        <w:t>（3）被授权委托人在本单位缴纳近六个月内任意一个月的社保证明（单位社保缴费凭证和个人明细表）、法定代表人提供本单位社保缴费凭证；（新成立公司从成立之日起缴纳的相关社保证明材料）；</w:t>
      </w:r>
    </w:p>
    <w:p w14:paraId="552A012A">
      <w:pPr>
        <w:snapToGrid w:val="0"/>
        <w:spacing w:line="380" w:lineRule="exact"/>
        <w:ind w:firstLine="480" w:firstLineChars="200"/>
        <w:textAlignment w:val="baseline"/>
        <w:rPr>
          <w:rFonts w:ascii="微软雅黑" w:hAnsi="微软雅黑" w:eastAsia="微软雅黑" w:cs="微软雅黑"/>
          <w:sz w:val="24"/>
        </w:rPr>
      </w:pPr>
    </w:p>
    <w:p w14:paraId="0BFF9C86">
      <w:pPr>
        <w:snapToGrid w:val="0"/>
        <w:spacing w:line="380" w:lineRule="exact"/>
        <w:ind w:firstLine="480" w:firstLineChars="200"/>
        <w:textAlignment w:val="baseline"/>
        <w:rPr>
          <w:rFonts w:ascii="微软雅黑" w:hAnsi="微软雅黑" w:eastAsia="微软雅黑" w:cs="微软雅黑"/>
          <w:sz w:val="24"/>
        </w:rPr>
      </w:pPr>
    </w:p>
    <w:p w14:paraId="0115F17E">
      <w:pPr>
        <w:snapToGrid w:val="0"/>
        <w:spacing w:line="380" w:lineRule="exact"/>
        <w:ind w:firstLine="480" w:firstLineChars="200"/>
        <w:textAlignment w:val="baseline"/>
        <w:rPr>
          <w:rFonts w:ascii="微软雅黑" w:hAnsi="微软雅黑" w:eastAsia="微软雅黑" w:cs="微软雅黑"/>
          <w:sz w:val="24"/>
        </w:rPr>
      </w:pPr>
    </w:p>
    <w:p w14:paraId="4C8E35AB">
      <w:pPr>
        <w:snapToGrid w:val="0"/>
        <w:spacing w:line="380" w:lineRule="exact"/>
        <w:ind w:firstLine="480" w:firstLineChars="200"/>
        <w:textAlignment w:val="baseline"/>
        <w:rPr>
          <w:rFonts w:ascii="微软雅黑" w:hAnsi="微软雅黑" w:eastAsia="微软雅黑" w:cs="微软雅黑"/>
          <w:sz w:val="24"/>
        </w:rPr>
      </w:pPr>
    </w:p>
    <w:p w14:paraId="5ED43BE2">
      <w:pPr>
        <w:snapToGrid w:val="0"/>
        <w:spacing w:line="380" w:lineRule="exact"/>
        <w:ind w:firstLine="480" w:firstLineChars="200"/>
        <w:textAlignment w:val="baseline"/>
        <w:rPr>
          <w:rFonts w:ascii="微软雅黑" w:hAnsi="微软雅黑" w:eastAsia="微软雅黑" w:cs="微软雅黑"/>
          <w:sz w:val="24"/>
        </w:rPr>
      </w:pPr>
    </w:p>
    <w:p w14:paraId="09B0A55F">
      <w:pPr>
        <w:snapToGrid w:val="0"/>
        <w:spacing w:line="380" w:lineRule="exact"/>
        <w:ind w:firstLine="480" w:firstLineChars="200"/>
        <w:textAlignment w:val="baseline"/>
        <w:rPr>
          <w:rFonts w:ascii="微软雅黑" w:hAnsi="微软雅黑" w:eastAsia="微软雅黑" w:cs="微软雅黑"/>
          <w:sz w:val="24"/>
        </w:rPr>
      </w:pPr>
    </w:p>
    <w:p w14:paraId="6EBB0776">
      <w:pPr>
        <w:snapToGrid w:val="0"/>
        <w:spacing w:line="380" w:lineRule="exact"/>
        <w:ind w:firstLine="480" w:firstLineChars="200"/>
        <w:textAlignment w:val="baseline"/>
        <w:rPr>
          <w:rFonts w:ascii="微软雅黑" w:hAnsi="微软雅黑" w:eastAsia="微软雅黑" w:cs="微软雅黑"/>
          <w:sz w:val="24"/>
        </w:rPr>
      </w:pPr>
    </w:p>
    <w:p w14:paraId="0EC93ECA">
      <w:pPr>
        <w:snapToGrid w:val="0"/>
        <w:spacing w:line="380" w:lineRule="exact"/>
        <w:ind w:firstLine="480" w:firstLineChars="200"/>
        <w:textAlignment w:val="baseline"/>
        <w:rPr>
          <w:rFonts w:ascii="微软雅黑" w:hAnsi="微软雅黑" w:eastAsia="微软雅黑" w:cs="微软雅黑"/>
          <w:sz w:val="24"/>
        </w:rPr>
      </w:pPr>
    </w:p>
    <w:p w14:paraId="6B63C65A">
      <w:pPr>
        <w:snapToGrid w:val="0"/>
        <w:spacing w:line="380" w:lineRule="exact"/>
        <w:ind w:firstLine="480" w:firstLineChars="200"/>
        <w:textAlignment w:val="baseline"/>
        <w:rPr>
          <w:rFonts w:ascii="微软雅黑" w:hAnsi="微软雅黑" w:eastAsia="微软雅黑" w:cs="微软雅黑"/>
          <w:sz w:val="24"/>
        </w:rPr>
      </w:pPr>
    </w:p>
    <w:p w14:paraId="3C85F3FE">
      <w:pPr>
        <w:snapToGrid w:val="0"/>
        <w:spacing w:line="380" w:lineRule="exact"/>
        <w:ind w:firstLine="480" w:firstLineChars="200"/>
        <w:textAlignment w:val="baseline"/>
        <w:rPr>
          <w:rFonts w:ascii="微软雅黑" w:hAnsi="微软雅黑" w:eastAsia="微软雅黑" w:cs="微软雅黑"/>
          <w:sz w:val="24"/>
        </w:rPr>
      </w:pPr>
    </w:p>
    <w:p w14:paraId="711EA880">
      <w:pPr>
        <w:snapToGrid w:val="0"/>
        <w:spacing w:line="380" w:lineRule="exact"/>
        <w:ind w:firstLine="480" w:firstLineChars="200"/>
        <w:textAlignment w:val="baseline"/>
        <w:rPr>
          <w:rFonts w:ascii="微软雅黑" w:hAnsi="微软雅黑" w:eastAsia="微软雅黑" w:cs="微软雅黑"/>
          <w:sz w:val="24"/>
        </w:rPr>
      </w:pPr>
    </w:p>
    <w:p w14:paraId="22D4973B">
      <w:pPr>
        <w:snapToGrid w:val="0"/>
        <w:spacing w:line="380" w:lineRule="exact"/>
        <w:ind w:firstLine="480" w:firstLineChars="200"/>
        <w:textAlignment w:val="baseline"/>
        <w:rPr>
          <w:rFonts w:ascii="微软雅黑" w:hAnsi="微软雅黑" w:eastAsia="微软雅黑" w:cs="微软雅黑"/>
          <w:sz w:val="24"/>
        </w:rPr>
      </w:pPr>
    </w:p>
    <w:p w14:paraId="433B6B01">
      <w:pPr>
        <w:snapToGrid w:val="0"/>
        <w:spacing w:line="380" w:lineRule="exact"/>
        <w:ind w:firstLine="480" w:firstLineChars="200"/>
        <w:textAlignment w:val="baseline"/>
        <w:rPr>
          <w:rFonts w:ascii="微软雅黑" w:hAnsi="微软雅黑" w:eastAsia="微软雅黑" w:cs="微软雅黑"/>
          <w:sz w:val="24"/>
        </w:rPr>
      </w:pPr>
    </w:p>
    <w:p w14:paraId="504184BD">
      <w:pPr>
        <w:snapToGrid w:val="0"/>
        <w:spacing w:line="380" w:lineRule="exact"/>
        <w:ind w:firstLine="480" w:firstLineChars="200"/>
        <w:textAlignment w:val="baseline"/>
        <w:rPr>
          <w:rFonts w:ascii="微软雅黑" w:hAnsi="微软雅黑" w:eastAsia="微软雅黑" w:cs="微软雅黑"/>
          <w:sz w:val="24"/>
        </w:rPr>
      </w:pPr>
    </w:p>
    <w:p w14:paraId="2988089A">
      <w:pPr>
        <w:snapToGrid w:val="0"/>
        <w:spacing w:line="380" w:lineRule="exact"/>
        <w:ind w:firstLine="480" w:firstLineChars="200"/>
        <w:textAlignment w:val="baseline"/>
        <w:rPr>
          <w:rFonts w:ascii="微软雅黑" w:hAnsi="微软雅黑" w:eastAsia="微软雅黑" w:cs="微软雅黑"/>
          <w:sz w:val="24"/>
        </w:rPr>
      </w:pPr>
    </w:p>
    <w:p w14:paraId="7D74A672">
      <w:pPr>
        <w:snapToGrid w:val="0"/>
        <w:spacing w:line="380" w:lineRule="exact"/>
        <w:ind w:firstLine="480" w:firstLineChars="200"/>
        <w:textAlignment w:val="baseline"/>
        <w:rPr>
          <w:rFonts w:ascii="微软雅黑" w:hAnsi="微软雅黑" w:eastAsia="微软雅黑" w:cs="微软雅黑"/>
          <w:sz w:val="24"/>
        </w:rPr>
      </w:pPr>
    </w:p>
    <w:p w14:paraId="146E8755">
      <w:pPr>
        <w:snapToGrid w:val="0"/>
        <w:spacing w:line="380" w:lineRule="exact"/>
        <w:ind w:firstLine="480" w:firstLineChars="200"/>
        <w:textAlignment w:val="baseline"/>
        <w:rPr>
          <w:rFonts w:ascii="微软雅黑" w:hAnsi="微软雅黑" w:eastAsia="微软雅黑" w:cs="微软雅黑"/>
          <w:sz w:val="24"/>
        </w:rPr>
      </w:pPr>
    </w:p>
    <w:p w14:paraId="0F81978A">
      <w:pPr>
        <w:snapToGrid w:val="0"/>
        <w:spacing w:line="380" w:lineRule="exact"/>
        <w:ind w:firstLine="480" w:firstLineChars="200"/>
        <w:textAlignment w:val="baseline"/>
        <w:rPr>
          <w:rFonts w:ascii="微软雅黑" w:hAnsi="微软雅黑" w:eastAsia="微软雅黑" w:cs="微软雅黑"/>
          <w:sz w:val="24"/>
        </w:rPr>
      </w:pPr>
    </w:p>
    <w:p w14:paraId="73E5FE6D">
      <w:pPr>
        <w:snapToGrid w:val="0"/>
        <w:spacing w:line="380" w:lineRule="exact"/>
        <w:ind w:firstLine="480" w:firstLineChars="200"/>
        <w:textAlignment w:val="baseline"/>
        <w:rPr>
          <w:rFonts w:ascii="微软雅黑" w:hAnsi="微软雅黑" w:eastAsia="微软雅黑" w:cs="微软雅黑"/>
          <w:sz w:val="24"/>
        </w:rPr>
      </w:pPr>
    </w:p>
    <w:p w14:paraId="5C11EF5F">
      <w:pPr>
        <w:snapToGrid w:val="0"/>
        <w:spacing w:line="380" w:lineRule="exact"/>
        <w:ind w:firstLine="480" w:firstLineChars="200"/>
        <w:textAlignment w:val="baseline"/>
        <w:rPr>
          <w:rFonts w:ascii="微软雅黑" w:hAnsi="微软雅黑" w:eastAsia="微软雅黑" w:cs="微软雅黑"/>
          <w:sz w:val="24"/>
        </w:rPr>
      </w:pPr>
    </w:p>
    <w:p w14:paraId="44405803">
      <w:pPr>
        <w:snapToGrid w:val="0"/>
        <w:spacing w:line="380" w:lineRule="exact"/>
        <w:ind w:firstLine="480" w:firstLineChars="200"/>
        <w:textAlignment w:val="baseline"/>
        <w:rPr>
          <w:rFonts w:ascii="微软雅黑" w:hAnsi="微软雅黑" w:eastAsia="微软雅黑" w:cs="微软雅黑"/>
          <w:sz w:val="24"/>
        </w:rPr>
      </w:pPr>
    </w:p>
    <w:p w14:paraId="7081FCE1">
      <w:pPr>
        <w:snapToGrid w:val="0"/>
        <w:spacing w:line="380" w:lineRule="exact"/>
        <w:ind w:firstLine="480" w:firstLineChars="200"/>
        <w:textAlignment w:val="baseline"/>
        <w:rPr>
          <w:rFonts w:ascii="微软雅黑" w:hAnsi="微软雅黑" w:eastAsia="微软雅黑" w:cs="微软雅黑"/>
          <w:sz w:val="24"/>
        </w:rPr>
      </w:pPr>
    </w:p>
    <w:p w14:paraId="2A8173DA">
      <w:pPr>
        <w:snapToGrid w:val="0"/>
        <w:spacing w:line="380" w:lineRule="exact"/>
        <w:ind w:firstLine="480" w:firstLineChars="200"/>
        <w:textAlignment w:val="baseline"/>
        <w:rPr>
          <w:rFonts w:ascii="微软雅黑" w:hAnsi="微软雅黑" w:eastAsia="微软雅黑" w:cs="微软雅黑"/>
          <w:sz w:val="24"/>
        </w:rPr>
      </w:pPr>
    </w:p>
    <w:p w14:paraId="5EB7B954">
      <w:pPr>
        <w:snapToGrid w:val="0"/>
        <w:spacing w:line="380" w:lineRule="exact"/>
        <w:ind w:firstLine="480" w:firstLineChars="200"/>
        <w:textAlignment w:val="baseline"/>
        <w:rPr>
          <w:rFonts w:ascii="微软雅黑" w:hAnsi="微软雅黑" w:eastAsia="微软雅黑" w:cs="微软雅黑"/>
          <w:sz w:val="24"/>
        </w:rPr>
      </w:pPr>
    </w:p>
    <w:p w14:paraId="73D47F7F">
      <w:pPr>
        <w:snapToGrid w:val="0"/>
        <w:spacing w:line="380" w:lineRule="exact"/>
        <w:ind w:firstLine="480" w:firstLineChars="200"/>
        <w:textAlignment w:val="baseline"/>
        <w:rPr>
          <w:rFonts w:ascii="微软雅黑" w:hAnsi="微软雅黑" w:eastAsia="微软雅黑" w:cs="微软雅黑"/>
          <w:sz w:val="24"/>
        </w:rPr>
      </w:pPr>
    </w:p>
    <w:p w14:paraId="372FC7B0">
      <w:pPr>
        <w:snapToGrid w:val="0"/>
        <w:spacing w:line="380" w:lineRule="exact"/>
        <w:ind w:firstLine="480" w:firstLineChars="200"/>
        <w:textAlignment w:val="baseline"/>
        <w:rPr>
          <w:rFonts w:ascii="微软雅黑" w:hAnsi="微软雅黑" w:eastAsia="微软雅黑" w:cs="微软雅黑"/>
          <w:sz w:val="24"/>
        </w:rPr>
      </w:pPr>
    </w:p>
    <w:p w14:paraId="27629472">
      <w:pPr>
        <w:snapToGrid w:val="0"/>
        <w:spacing w:line="380" w:lineRule="exact"/>
        <w:ind w:firstLine="480" w:firstLineChars="200"/>
        <w:textAlignment w:val="baseline"/>
        <w:rPr>
          <w:rFonts w:ascii="微软雅黑" w:hAnsi="微软雅黑" w:eastAsia="微软雅黑" w:cs="微软雅黑"/>
          <w:sz w:val="24"/>
        </w:rPr>
      </w:pPr>
    </w:p>
    <w:p w14:paraId="733E3FCF">
      <w:pPr>
        <w:snapToGrid w:val="0"/>
        <w:spacing w:line="380" w:lineRule="exact"/>
        <w:ind w:firstLine="480" w:firstLineChars="200"/>
        <w:textAlignment w:val="baseline"/>
        <w:rPr>
          <w:rFonts w:ascii="微软雅黑" w:hAnsi="微软雅黑" w:eastAsia="微软雅黑" w:cs="微软雅黑"/>
          <w:sz w:val="24"/>
        </w:rPr>
      </w:pPr>
    </w:p>
    <w:p w14:paraId="0EF1110A">
      <w:pPr>
        <w:snapToGrid w:val="0"/>
        <w:spacing w:line="380" w:lineRule="exact"/>
        <w:ind w:firstLine="480" w:firstLineChars="200"/>
        <w:textAlignment w:val="baseline"/>
        <w:rPr>
          <w:rFonts w:ascii="微软雅黑" w:hAnsi="微软雅黑" w:eastAsia="微软雅黑" w:cs="微软雅黑"/>
          <w:sz w:val="24"/>
        </w:rPr>
      </w:pPr>
    </w:p>
    <w:p w14:paraId="057D7944">
      <w:pPr>
        <w:pStyle w:val="10"/>
        <w:rPr>
          <w:rFonts w:ascii="微软雅黑" w:hAnsi="微软雅黑" w:eastAsia="微软雅黑" w:cs="微软雅黑"/>
        </w:rPr>
      </w:pPr>
    </w:p>
    <w:p w14:paraId="72A05D7E"/>
    <w:p w14:paraId="6E3DDA5A">
      <w:pPr>
        <w:pStyle w:val="2"/>
      </w:pPr>
      <w:r>
        <w:rPr>
          <w:rFonts w:ascii="Times New Roman" w:eastAsia="方正仿宋_GBK"/>
          <w:sz w:val="28"/>
          <w:szCs w:val="28"/>
        </w:rPr>
        <w:t>（4）具有健全的财务会计制度（2023年的财务审计报告与健全的财务会计制度，新成立公司不足一年的提供近三个月内有效的银行资信证明）；</w:t>
      </w:r>
    </w:p>
    <w:p w14:paraId="5A4BAFBF"/>
    <w:p w14:paraId="7ED94F00">
      <w:pPr>
        <w:pStyle w:val="10"/>
      </w:pPr>
    </w:p>
    <w:p w14:paraId="16F11BEE"/>
    <w:p w14:paraId="5C3ECAED">
      <w:pPr>
        <w:snapToGrid w:val="0"/>
        <w:spacing w:line="380" w:lineRule="exact"/>
        <w:ind w:firstLine="480" w:firstLineChars="200"/>
        <w:textAlignment w:val="baseline"/>
        <w:rPr>
          <w:rFonts w:ascii="微软雅黑" w:hAnsi="微软雅黑" w:eastAsia="微软雅黑" w:cs="微软雅黑"/>
          <w:sz w:val="24"/>
        </w:rPr>
      </w:pPr>
    </w:p>
    <w:p w14:paraId="78A906E6">
      <w:pPr>
        <w:snapToGrid w:val="0"/>
        <w:spacing w:line="380" w:lineRule="exact"/>
        <w:ind w:firstLine="480" w:firstLineChars="200"/>
        <w:textAlignment w:val="baseline"/>
        <w:rPr>
          <w:rFonts w:ascii="微软雅黑" w:hAnsi="微软雅黑" w:eastAsia="微软雅黑" w:cs="微软雅黑"/>
          <w:sz w:val="24"/>
        </w:rPr>
      </w:pPr>
    </w:p>
    <w:p w14:paraId="31D8CBFE">
      <w:pPr>
        <w:snapToGrid w:val="0"/>
        <w:spacing w:line="380" w:lineRule="exact"/>
        <w:ind w:firstLine="480" w:firstLineChars="200"/>
        <w:textAlignment w:val="baseline"/>
        <w:rPr>
          <w:rFonts w:ascii="微软雅黑" w:hAnsi="微软雅黑" w:eastAsia="微软雅黑" w:cs="微软雅黑"/>
          <w:sz w:val="24"/>
        </w:rPr>
      </w:pPr>
    </w:p>
    <w:p w14:paraId="2B460402">
      <w:pPr>
        <w:snapToGrid w:val="0"/>
        <w:spacing w:line="380" w:lineRule="exact"/>
        <w:ind w:firstLine="480" w:firstLineChars="200"/>
        <w:textAlignment w:val="baseline"/>
        <w:rPr>
          <w:rFonts w:ascii="微软雅黑" w:hAnsi="微软雅黑" w:eastAsia="微软雅黑" w:cs="微软雅黑"/>
          <w:sz w:val="24"/>
        </w:rPr>
      </w:pPr>
    </w:p>
    <w:p w14:paraId="1042E756">
      <w:pPr>
        <w:snapToGrid w:val="0"/>
        <w:spacing w:line="380" w:lineRule="exact"/>
        <w:ind w:firstLine="480" w:firstLineChars="200"/>
        <w:textAlignment w:val="baseline"/>
        <w:rPr>
          <w:rFonts w:ascii="微软雅黑" w:hAnsi="微软雅黑" w:eastAsia="微软雅黑" w:cs="微软雅黑"/>
          <w:sz w:val="24"/>
        </w:rPr>
      </w:pPr>
    </w:p>
    <w:p w14:paraId="543B79AA">
      <w:pPr>
        <w:snapToGrid w:val="0"/>
        <w:spacing w:line="380" w:lineRule="exact"/>
        <w:ind w:firstLine="480" w:firstLineChars="200"/>
        <w:textAlignment w:val="baseline"/>
        <w:rPr>
          <w:rFonts w:ascii="微软雅黑" w:hAnsi="微软雅黑" w:eastAsia="微软雅黑" w:cs="微软雅黑"/>
          <w:sz w:val="24"/>
        </w:rPr>
      </w:pPr>
    </w:p>
    <w:p w14:paraId="070650C0">
      <w:pPr>
        <w:snapToGrid w:val="0"/>
        <w:spacing w:line="380" w:lineRule="exact"/>
        <w:ind w:firstLine="480" w:firstLineChars="200"/>
        <w:textAlignment w:val="baseline"/>
        <w:rPr>
          <w:rFonts w:ascii="微软雅黑" w:hAnsi="微软雅黑" w:eastAsia="微软雅黑" w:cs="微软雅黑"/>
          <w:sz w:val="24"/>
        </w:rPr>
      </w:pPr>
    </w:p>
    <w:p w14:paraId="4BE593B8">
      <w:pPr>
        <w:snapToGrid w:val="0"/>
        <w:spacing w:line="380" w:lineRule="exact"/>
        <w:textAlignment w:val="baseline"/>
        <w:rPr>
          <w:rFonts w:ascii="微软雅黑" w:hAnsi="微软雅黑" w:eastAsia="微软雅黑" w:cs="微软雅黑"/>
          <w:sz w:val="24"/>
        </w:rPr>
      </w:pPr>
    </w:p>
    <w:p w14:paraId="622EF89C">
      <w:pPr>
        <w:snapToGrid w:val="0"/>
        <w:spacing w:line="380" w:lineRule="exact"/>
        <w:ind w:firstLine="480" w:firstLineChars="200"/>
        <w:textAlignment w:val="baseline"/>
        <w:rPr>
          <w:rFonts w:ascii="微软雅黑" w:hAnsi="微软雅黑" w:eastAsia="微软雅黑" w:cs="微软雅黑"/>
          <w:sz w:val="24"/>
        </w:rPr>
      </w:pPr>
    </w:p>
    <w:p w14:paraId="5751D071">
      <w:pPr>
        <w:snapToGrid w:val="0"/>
        <w:spacing w:line="380" w:lineRule="exact"/>
        <w:ind w:firstLine="480" w:firstLineChars="200"/>
        <w:textAlignment w:val="baseline"/>
        <w:rPr>
          <w:rFonts w:ascii="微软雅黑" w:hAnsi="微软雅黑" w:eastAsia="微软雅黑" w:cs="微软雅黑"/>
          <w:sz w:val="24"/>
        </w:rPr>
      </w:pPr>
    </w:p>
    <w:p w14:paraId="46F8C58F">
      <w:pPr>
        <w:snapToGrid w:val="0"/>
        <w:spacing w:line="380" w:lineRule="exact"/>
        <w:ind w:firstLine="480" w:firstLineChars="200"/>
        <w:textAlignment w:val="baseline"/>
        <w:rPr>
          <w:rFonts w:ascii="微软雅黑" w:hAnsi="微软雅黑" w:eastAsia="微软雅黑" w:cs="微软雅黑"/>
          <w:sz w:val="24"/>
        </w:rPr>
      </w:pPr>
    </w:p>
    <w:p w14:paraId="04120869">
      <w:pPr>
        <w:snapToGrid w:val="0"/>
        <w:spacing w:line="380" w:lineRule="exact"/>
        <w:ind w:firstLine="480" w:firstLineChars="200"/>
        <w:textAlignment w:val="baseline"/>
        <w:rPr>
          <w:rFonts w:ascii="微软雅黑" w:hAnsi="微软雅黑" w:eastAsia="微软雅黑" w:cs="微软雅黑"/>
          <w:sz w:val="24"/>
        </w:rPr>
      </w:pPr>
    </w:p>
    <w:p w14:paraId="7C6B37F0">
      <w:pPr>
        <w:snapToGrid w:val="0"/>
        <w:spacing w:line="380" w:lineRule="exact"/>
        <w:ind w:firstLine="480" w:firstLineChars="200"/>
        <w:textAlignment w:val="baseline"/>
        <w:rPr>
          <w:rFonts w:ascii="微软雅黑" w:hAnsi="微软雅黑" w:eastAsia="微软雅黑" w:cs="微软雅黑"/>
          <w:sz w:val="24"/>
        </w:rPr>
      </w:pPr>
    </w:p>
    <w:p w14:paraId="750E514D">
      <w:pPr>
        <w:snapToGrid w:val="0"/>
        <w:spacing w:line="380" w:lineRule="exact"/>
        <w:ind w:firstLine="480" w:firstLineChars="200"/>
        <w:textAlignment w:val="baseline"/>
        <w:rPr>
          <w:rFonts w:ascii="微软雅黑" w:hAnsi="微软雅黑" w:eastAsia="微软雅黑" w:cs="微软雅黑"/>
          <w:sz w:val="24"/>
        </w:rPr>
      </w:pPr>
    </w:p>
    <w:p w14:paraId="03B4A8D0">
      <w:pPr>
        <w:snapToGrid w:val="0"/>
        <w:spacing w:line="380" w:lineRule="exact"/>
        <w:ind w:firstLine="480" w:firstLineChars="200"/>
        <w:textAlignment w:val="baseline"/>
        <w:rPr>
          <w:rFonts w:ascii="微软雅黑" w:hAnsi="微软雅黑" w:eastAsia="微软雅黑" w:cs="微软雅黑"/>
          <w:sz w:val="24"/>
        </w:rPr>
      </w:pPr>
    </w:p>
    <w:p w14:paraId="31CB963B">
      <w:pPr>
        <w:pStyle w:val="10"/>
        <w:rPr>
          <w:rFonts w:ascii="微软雅黑" w:hAnsi="微软雅黑" w:eastAsia="微软雅黑" w:cs="微软雅黑"/>
        </w:rPr>
      </w:pPr>
    </w:p>
    <w:p w14:paraId="0A45B60A">
      <w:pPr>
        <w:rPr>
          <w:rFonts w:ascii="微软雅黑" w:hAnsi="微软雅黑" w:eastAsia="微软雅黑" w:cs="微软雅黑"/>
          <w:sz w:val="24"/>
        </w:rPr>
      </w:pPr>
    </w:p>
    <w:p w14:paraId="359B2EE0">
      <w:pPr>
        <w:pStyle w:val="10"/>
        <w:rPr>
          <w:rFonts w:ascii="微软雅黑" w:hAnsi="微软雅黑" w:eastAsia="微软雅黑" w:cs="微软雅黑"/>
        </w:rPr>
      </w:pPr>
    </w:p>
    <w:p w14:paraId="2960B4AE">
      <w:pPr>
        <w:rPr>
          <w:rFonts w:ascii="微软雅黑" w:hAnsi="微软雅黑" w:eastAsia="微软雅黑" w:cs="微软雅黑"/>
          <w:sz w:val="24"/>
        </w:rPr>
      </w:pPr>
    </w:p>
    <w:p w14:paraId="0407DA67">
      <w:pPr>
        <w:pStyle w:val="10"/>
        <w:rPr>
          <w:rFonts w:ascii="微软雅黑" w:hAnsi="微软雅黑" w:eastAsia="微软雅黑" w:cs="微软雅黑"/>
        </w:rPr>
      </w:pPr>
    </w:p>
    <w:p w14:paraId="5BC77D56">
      <w:pPr>
        <w:rPr>
          <w:rFonts w:ascii="微软雅黑" w:hAnsi="微软雅黑" w:eastAsia="微软雅黑" w:cs="微软雅黑"/>
          <w:sz w:val="24"/>
        </w:rPr>
      </w:pPr>
    </w:p>
    <w:p w14:paraId="3BA38509">
      <w:pPr>
        <w:pStyle w:val="10"/>
        <w:rPr>
          <w:rFonts w:ascii="微软雅黑" w:hAnsi="微软雅黑" w:eastAsia="微软雅黑" w:cs="微软雅黑"/>
        </w:rPr>
      </w:pPr>
    </w:p>
    <w:p w14:paraId="377610DD">
      <w:pPr>
        <w:rPr>
          <w:rFonts w:ascii="微软雅黑" w:hAnsi="微软雅黑" w:eastAsia="微软雅黑" w:cs="微软雅黑"/>
          <w:sz w:val="24"/>
        </w:rPr>
      </w:pPr>
    </w:p>
    <w:p w14:paraId="270F50C2">
      <w:pPr>
        <w:pStyle w:val="18"/>
        <w:numPr>
          <w:ilvl w:val="0"/>
          <w:numId w:val="3"/>
        </w:numPr>
        <w:tabs>
          <w:tab w:val="left" w:pos="5580"/>
        </w:tabs>
        <w:spacing w:line="400" w:lineRule="exact"/>
        <w:ind w:firstLine="840" w:firstLineChars="300"/>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在税务局依法缴纳近半年任意一个月税收证明的良好记录及投标截止日内无拖欠税收证明（零申报的企业需提供税务局的相关证明）；</w:t>
      </w:r>
    </w:p>
    <w:p w14:paraId="3919E2A9">
      <w:pPr>
        <w:pStyle w:val="18"/>
        <w:tabs>
          <w:tab w:val="left" w:pos="5580"/>
        </w:tabs>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说明：新成立公司若无纳税记录，可开具无欠税证明。</w:t>
      </w:r>
    </w:p>
    <w:p w14:paraId="205D95C6">
      <w:pPr>
        <w:snapToGrid w:val="0"/>
        <w:spacing w:line="380" w:lineRule="exact"/>
        <w:ind w:firstLine="480" w:firstLineChars="200"/>
        <w:textAlignment w:val="baseline"/>
        <w:rPr>
          <w:rFonts w:ascii="方正仿宋_GBK" w:hAnsi="方正仿宋_GBK" w:eastAsia="方正仿宋_GBK" w:cs="方正仿宋_GBK"/>
          <w:sz w:val="24"/>
        </w:rPr>
      </w:pPr>
    </w:p>
    <w:p w14:paraId="4243F1E6">
      <w:pPr>
        <w:snapToGrid w:val="0"/>
        <w:spacing w:line="380" w:lineRule="exact"/>
        <w:ind w:firstLine="480" w:firstLineChars="200"/>
        <w:textAlignment w:val="baseline"/>
        <w:rPr>
          <w:rFonts w:ascii="微软雅黑" w:hAnsi="微软雅黑" w:eastAsia="微软雅黑" w:cs="微软雅黑"/>
          <w:sz w:val="24"/>
        </w:rPr>
      </w:pPr>
    </w:p>
    <w:p w14:paraId="5798B9C6">
      <w:pPr>
        <w:snapToGrid w:val="0"/>
        <w:spacing w:line="380" w:lineRule="exact"/>
        <w:ind w:firstLine="480" w:firstLineChars="200"/>
        <w:textAlignment w:val="baseline"/>
        <w:rPr>
          <w:rFonts w:ascii="微软雅黑" w:hAnsi="微软雅黑" w:eastAsia="微软雅黑" w:cs="微软雅黑"/>
          <w:sz w:val="24"/>
        </w:rPr>
      </w:pPr>
    </w:p>
    <w:p w14:paraId="4BAB63FE">
      <w:pPr>
        <w:snapToGrid w:val="0"/>
        <w:spacing w:line="380" w:lineRule="exact"/>
        <w:ind w:firstLine="480" w:firstLineChars="200"/>
        <w:textAlignment w:val="baseline"/>
        <w:rPr>
          <w:rFonts w:ascii="微软雅黑" w:hAnsi="微软雅黑" w:eastAsia="微软雅黑" w:cs="微软雅黑"/>
          <w:sz w:val="24"/>
        </w:rPr>
      </w:pPr>
    </w:p>
    <w:p w14:paraId="2C49D8FC">
      <w:pPr>
        <w:snapToGrid w:val="0"/>
        <w:spacing w:line="380" w:lineRule="exact"/>
        <w:ind w:firstLine="480" w:firstLineChars="200"/>
        <w:textAlignment w:val="baseline"/>
        <w:rPr>
          <w:rFonts w:ascii="微软雅黑" w:hAnsi="微软雅黑" w:eastAsia="微软雅黑" w:cs="微软雅黑"/>
          <w:sz w:val="24"/>
        </w:rPr>
      </w:pPr>
    </w:p>
    <w:p w14:paraId="10F952EE">
      <w:pPr>
        <w:snapToGrid w:val="0"/>
        <w:spacing w:line="380" w:lineRule="exact"/>
        <w:ind w:firstLine="480" w:firstLineChars="200"/>
        <w:textAlignment w:val="baseline"/>
        <w:rPr>
          <w:rFonts w:ascii="微软雅黑" w:hAnsi="微软雅黑" w:eastAsia="微软雅黑" w:cs="微软雅黑"/>
          <w:sz w:val="24"/>
        </w:rPr>
      </w:pPr>
    </w:p>
    <w:p w14:paraId="207BBDDF">
      <w:pPr>
        <w:snapToGrid w:val="0"/>
        <w:spacing w:line="380" w:lineRule="exact"/>
        <w:ind w:firstLine="480" w:firstLineChars="200"/>
        <w:textAlignment w:val="baseline"/>
        <w:rPr>
          <w:rFonts w:ascii="微软雅黑" w:hAnsi="微软雅黑" w:eastAsia="微软雅黑" w:cs="微软雅黑"/>
          <w:sz w:val="24"/>
        </w:rPr>
      </w:pPr>
    </w:p>
    <w:p w14:paraId="38355C1E">
      <w:pPr>
        <w:snapToGrid w:val="0"/>
        <w:spacing w:line="380" w:lineRule="exact"/>
        <w:textAlignment w:val="baseline"/>
        <w:rPr>
          <w:rFonts w:ascii="微软雅黑" w:hAnsi="微软雅黑" w:eastAsia="微软雅黑" w:cs="微软雅黑"/>
          <w:sz w:val="24"/>
        </w:rPr>
      </w:pPr>
    </w:p>
    <w:p w14:paraId="66D1129A"/>
    <w:p w14:paraId="32B47F41">
      <w:pPr>
        <w:snapToGrid w:val="0"/>
        <w:spacing w:line="380" w:lineRule="exact"/>
        <w:ind w:firstLine="480" w:firstLineChars="200"/>
        <w:textAlignment w:val="baseline"/>
        <w:rPr>
          <w:rFonts w:ascii="微软雅黑" w:hAnsi="微软雅黑" w:eastAsia="微软雅黑" w:cs="微软雅黑"/>
          <w:sz w:val="24"/>
        </w:rPr>
      </w:pPr>
    </w:p>
    <w:p w14:paraId="69AECA05">
      <w:pPr>
        <w:pStyle w:val="10"/>
        <w:rPr>
          <w:rFonts w:ascii="微软雅黑" w:hAnsi="微软雅黑" w:eastAsia="微软雅黑" w:cs="微软雅黑"/>
        </w:rPr>
      </w:pPr>
    </w:p>
    <w:p w14:paraId="1705BD52">
      <w:pPr>
        <w:rPr>
          <w:rFonts w:ascii="微软雅黑" w:hAnsi="微软雅黑" w:eastAsia="微软雅黑" w:cs="微软雅黑"/>
          <w:sz w:val="24"/>
        </w:rPr>
      </w:pPr>
    </w:p>
    <w:p w14:paraId="568B9239">
      <w:pPr>
        <w:pStyle w:val="10"/>
        <w:rPr>
          <w:rFonts w:ascii="微软雅黑" w:hAnsi="微软雅黑" w:eastAsia="微软雅黑" w:cs="微软雅黑"/>
        </w:rPr>
      </w:pPr>
    </w:p>
    <w:p w14:paraId="60200482">
      <w:pPr>
        <w:rPr>
          <w:rFonts w:ascii="微软雅黑" w:hAnsi="微软雅黑" w:eastAsia="微软雅黑" w:cs="微软雅黑"/>
          <w:sz w:val="24"/>
        </w:rPr>
      </w:pPr>
    </w:p>
    <w:p w14:paraId="7288290A">
      <w:pPr>
        <w:pStyle w:val="10"/>
        <w:rPr>
          <w:rFonts w:ascii="微软雅黑" w:hAnsi="微软雅黑" w:eastAsia="微软雅黑" w:cs="微软雅黑"/>
        </w:rPr>
      </w:pPr>
    </w:p>
    <w:p w14:paraId="32E5FAC9">
      <w:pPr>
        <w:rPr>
          <w:rFonts w:ascii="微软雅黑" w:hAnsi="微软雅黑" w:eastAsia="微软雅黑" w:cs="微软雅黑"/>
          <w:sz w:val="24"/>
        </w:rPr>
      </w:pPr>
    </w:p>
    <w:p w14:paraId="0799BA14">
      <w:pPr>
        <w:pStyle w:val="10"/>
        <w:rPr>
          <w:rFonts w:ascii="微软雅黑" w:hAnsi="微软雅黑" w:eastAsia="微软雅黑" w:cs="微软雅黑"/>
        </w:rPr>
      </w:pPr>
    </w:p>
    <w:p w14:paraId="451DAE9A">
      <w:pPr>
        <w:rPr>
          <w:rFonts w:ascii="微软雅黑" w:hAnsi="微软雅黑" w:eastAsia="微软雅黑" w:cs="微软雅黑"/>
          <w:sz w:val="24"/>
        </w:rPr>
      </w:pPr>
    </w:p>
    <w:p w14:paraId="7D64F95B">
      <w:pPr>
        <w:pStyle w:val="10"/>
        <w:rPr>
          <w:rFonts w:ascii="微软雅黑" w:hAnsi="微软雅黑" w:eastAsia="微软雅黑" w:cs="微软雅黑"/>
        </w:rPr>
      </w:pPr>
    </w:p>
    <w:p w14:paraId="70002610">
      <w:pPr>
        <w:rPr>
          <w:rFonts w:ascii="微软雅黑" w:hAnsi="微软雅黑" w:eastAsia="微软雅黑" w:cs="微软雅黑"/>
          <w:sz w:val="24"/>
        </w:rPr>
      </w:pPr>
    </w:p>
    <w:p w14:paraId="2BFA72B2">
      <w:pPr>
        <w:pStyle w:val="10"/>
        <w:rPr>
          <w:rFonts w:ascii="微软雅黑" w:hAnsi="微软雅黑" w:eastAsia="微软雅黑" w:cs="微软雅黑"/>
        </w:rPr>
      </w:pPr>
    </w:p>
    <w:p w14:paraId="706A9D9B">
      <w:pPr>
        <w:rPr>
          <w:rFonts w:ascii="微软雅黑" w:hAnsi="微软雅黑" w:eastAsia="微软雅黑" w:cs="微软雅黑"/>
          <w:sz w:val="24"/>
        </w:rPr>
      </w:pPr>
    </w:p>
    <w:p w14:paraId="49F0AF25">
      <w:pPr>
        <w:topLinePunct/>
        <w:spacing w:before="1" w:line="360" w:lineRule="auto"/>
        <w:ind w:left="420" w:leftChars="200" w:firstLine="560" w:firstLineChars="200"/>
        <w:rPr>
          <w:rFonts w:eastAsia="方正仿宋_GBK"/>
          <w:sz w:val="28"/>
          <w:szCs w:val="28"/>
        </w:rPr>
      </w:pPr>
      <w:r>
        <w:rPr>
          <w:rFonts w:hint="eastAsia" w:eastAsia="方正仿宋_GBK"/>
          <w:sz w:val="28"/>
          <w:szCs w:val="28"/>
        </w:rPr>
        <w:t>（6）根据《财政部关于在政府采购活动中查询及使用信用记录有关问题的通知》（财库﹝2016﹞125号）的要求，凡拟参加本次招标项目的供应商，如在“信用中国”网站（www.creditchina.gov.cn）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p w14:paraId="4811A4D8">
      <w:pPr>
        <w:topLinePunct/>
        <w:spacing w:before="1" w:line="360" w:lineRule="auto"/>
        <w:ind w:firstLine="460" w:firstLineChars="200"/>
        <w:rPr>
          <w:rFonts w:ascii="仿宋" w:hAnsi="仿宋" w:eastAsia="仿宋" w:cs="仿宋"/>
          <w:b/>
          <w:bCs/>
          <w:color w:val="000000" w:themeColor="text1"/>
          <w:spacing w:val="-5"/>
          <w:sz w:val="24"/>
          <w14:textFill>
            <w14:solidFill>
              <w14:schemeClr w14:val="tx1"/>
            </w14:solidFill>
          </w14:textFill>
        </w:rPr>
      </w:pPr>
      <w:r>
        <w:rPr>
          <w:rFonts w:hint="eastAsia" w:ascii="仿宋" w:hAnsi="仿宋" w:eastAsia="仿宋" w:cs="仿宋"/>
          <w:b/>
          <w:bCs/>
          <w:color w:val="000000" w:themeColor="text1"/>
          <w:spacing w:val="-5"/>
          <w:sz w:val="24"/>
          <w14:textFill>
            <w14:solidFill>
              <w14:schemeClr w14:val="tx1"/>
            </w14:solidFill>
          </w14:textFill>
        </w:rPr>
        <w:t>注：“信用中国”网站(www.creditchina.gov.cn)查询记录请下载完整的查询报告并加盖公章上传扫描件</w:t>
      </w:r>
    </w:p>
    <w:p w14:paraId="6D477AD4">
      <w:pPr>
        <w:snapToGrid w:val="0"/>
        <w:spacing w:line="380" w:lineRule="exact"/>
        <w:ind w:firstLine="480" w:firstLineChars="200"/>
        <w:textAlignment w:val="baseline"/>
        <w:rPr>
          <w:rFonts w:ascii="微软雅黑" w:hAnsi="微软雅黑" w:eastAsia="微软雅黑" w:cs="微软雅黑"/>
          <w:sz w:val="24"/>
        </w:rPr>
      </w:pPr>
    </w:p>
    <w:p w14:paraId="29A804F1">
      <w:pPr>
        <w:snapToGrid w:val="0"/>
        <w:spacing w:line="380" w:lineRule="exact"/>
        <w:ind w:firstLine="480" w:firstLineChars="200"/>
        <w:textAlignment w:val="baseline"/>
        <w:rPr>
          <w:rFonts w:ascii="微软雅黑" w:hAnsi="微软雅黑" w:eastAsia="微软雅黑" w:cs="微软雅黑"/>
          <w:sz w:val="24"/>
        </w:rPr>
      </w:pPr>
    </w:p>
    <w:p w14:paraId="568F15F0">
      <w:pPr>
        <w:snapToGrid w:val="0"/>
        <w:spacing w:line="380" w:lineRule="exact"/>
        <w:ind w:firstLine="480" w:firstLineChars="200"/>
        <w:textAlignment w:val="baseline"/>
        <w:rPr>
          <w:rFonts w:ascii="微软雅黑" w:hAnsi="微软雅黑" w:eastAsia="微软雅黑" w:cs="微软雅黑"/>
          <w:sz w:val="24"/>
        </w:rPr>
      </w:pPr>
    </w:p>
    <w:p w14:paraId="42580810">
      <w:pPr>
        <w:snapToGrid w:val="0"/>
        <w:spacing w:line="380" w:lineRule="exact"/>
        <w:ind w:firstLine="480" w:firstLineChars="200"/>
        <w:textAlignment w:val="baseline"/>
        <w:rPr>
          <w:rFonts w:ascii="微软雅黑" w:hAnsi="微软雅黑" w:eastAsia="微软雅黑" w:cs="微软雅黑"/>
          <w:sz w:val="24"/>
        </w:rPr>
      </w:pPr>
    </w:p>
    <w:p w14:paraId="50289EDD">
      <w:pPr>
        <w:snapToGrid w:val="0"/>
        <w:spacing w:line="380" w:lineRule="exact"/>
        <w:ind w:firstLine="480" w:firstLineChars="200"/>
        <w:textAlignment w:val="baseline"/>
        <w:rPr>
          <w:rFonts w:ascii="微软雅黑" w:hAnsi="微软雅黑" w:eastAsia="微软雅黑" w:cs="微软雅黑"/>
          <w:sz w:val="24"/>
        </w:rPr>
      </w:pPr>
    </w:p>
    <w:p w14:paraId="39B05E10">
      <w:pPr>
        <w:snapToGrid w:val="0"/>
        <w:spacing w:line="380" w:lineRule="exact"/>
        <w:ind w:firstLine="480" w:firstLineChars="200"/>
        <w:textAlignment w:val="baseline"/>
        <w:rPr>
          <w:rFonts w:ascii="微软雅黑" w:hAnsi="微软雅黑" w:eastAsia="微软雅黑" w:cs="微软雅黑"/>
          <w:sz w:val="24"/>
        </w:rPr>
      </w:pPr>
    </w:p>
    <w:p w14:paraId="5C3050EA">
      <w:pPr>
        <w:snapToGrid w:val="0"/>
        <w:spacing w:line="380" w:lineRule="exact"/>
        <w:ind w:firstLine="480" w:firstLineChars="200"/>
        <w:textAlignment w:val="baseline"/>
        <w:rPr>
          <w:rFonts w:ascii="微软雅黑" w:hAnsi="微软雅黑" w:eastAsia="微软雅黑" w:cs="微软雅黑"/>
          <w:sz w:val="24"/>
        </w:rPr>
      </w:pPr>
    </w:p>
    <w:p w14:paraId="7F53A67A">
      <w:pPr>
        <w:snapToGrid w:val="0"/>
        <w:spacing w:line="380" w:lineRule="exact"/>
        <w:ind w:firstLine="480" w:firstLineChars="200"/>
        <w:textAlignment w:val="baseline"/>
        <w:rPr>
          <w:rFonts w:ascii="微软雅黑" w:hAnsi="微软雅黑" w:eastAsia="微软雅黑" w:cs="微软雅黑"/>
          <w:sz w:val="24"/>
        </w:rPr>
      </w:pPr>
    </w:p>
    <w:p w14:paraId="2B1589ED">
      <w:pPr>
        <w:snapToGrid w:val="0"/>
        <w:spacing w:line="380" w:lineRule="exact"/>
        <w:ind w:firstLine="480" w:firstLineChars="200"/>
        <w:textAlignment w:val="baseline"/>
        <w:rPr>
          <w:rFonts w:ascii="微软雅黑" w:hAnsi="微软雅黑" w:eastAsia="微软雅黑" w:cs="微软雅黑"/>
          <w:sz w:val="24"/>
        </w:rPr>
      </w:pPr>
    </w:p>
    <w:p w14:paraId="7CC1AA9B">
      <w:pPr>
        <w:snapToGrid w:val="0"/>
        <w:spacing w:line="380" w:lineRule="exact"/>
        <w:ind w:firstLine="480" w:firstLineChars="200"/>
        <w:textAlignment w:val="baseline"/>
        <w:rPr>
          <w:rFonts w:ascii="微软雅黑" w:hAnsi="微软雅黑" w:eastAsia="微软雅黑" w:cs="微软雅黑"/>
          <w:sz w:val="24"/>
        </w:rPr>
      </w:pPr>
    </w:p>
    <w:p w14:paraId="64280D90">
      <w:pPr>
        <w:snapToGrid w:val="0"/>
        <w:spacing w:line="380" w:lineRule="exact"/>
        <w:ind w:firstLine="480" w:firstLineChars="200"/>
        <w:textAlignment w:val="baseline"/>
        <w:rPr>
          <w:rFonts w:ascii="微软雅黑" w:hAnsi="微软雅黑" w:eastAsia="微软雅黑" w:cs="微软雅黑"/>
          <w:sz w:val="24"/>
        </w:rPr>
      </w:pPr>
    </w:p>
    <w:p w14:paraId="082035B6">
      <w:pPr>
        <w:snapToGrid w:val="0"/>
        <w:spacing w:line="380" w:lineRule="exact"/>
        <w:ind w:firstLine="480" w:firstLineChars="200"/>
        <w:textAlignment w:val="baseline"/>
        <w:rPr>
          <w:rFonts w:ascii="微软雅黑" w:hAnsi="微软雅黑" w:eastAsia="微软雅黑" w:cs="微软雅黑"/>
          <w:sz w:val="24"/>
        </w:rPr>
      </w:pPr>
    </w:p>
    <w:p w14:paraId="6D5CC008">
      <w:pPr>
        <w:snapToGrid w:val="0"/>
        <w:spacing w:line="380" w:lineRule="exact"/>
        <w:ind w:firstLine="480" w:firstLineChars="200"/>
        <w:textAlignment w:val="baseline"/>
        <w:rPr>
          <w:rFonts w:ascii="微软雅黑" w:hAnsi="微软雅黑" w:eastAsia="微软雅黑" w:cs="微软雅黑"/>
          <w:sz w:val="24"/>
        </w:rPr>
      </w:pPr>
    </w:p>
    <w:p w14:paraId="1323AD9D">
      <w:pPr>
        <w:snapToGrid w:val="0"/>
        <w:spacing w:line="380" w:lineRule="exact"/>
        <w:ind w:firstLine="480" w:firstLineChars="200"/>
        <w:textAlignment w:val="baseline"/>
        <w:rPr>
          <w:rFonts w:ascii="微软雅黑" w:hAnsi="微软雅黑" w:eastAsia="微软雅黑" w:cs="微软雅黑"/>
          <w:sz w:val="24"/>
        </w:rPr>
      </w:pPr>
    </w:p>
    <w:p w14:paraId="3F59AE6D">
      <w:pPr>
        <w:snapToGrid w:val="0"/>
        <w:spacing w:line="380" w:lineRule="exact"/>
        <w:ind w:firstLine="480" w:firstLineChars="200"/>
        <w:textAlignment w:val="baseline"/>
        <w:rPr>
          <w:rFonts w:ascii="微软雅黑" w:hAnsi="微软雅黑" w:eastAsia="微软雅黑" w:cs="微软雅黑"/>
          <w:sz w:val="24"/>
        </w:rPr>
      </w:pPr>
    </w:p>
    <w:p w14:paraId="6C53D2F0">
      <w:pPr>
        <w:pStyle w:val="18"/>
        <w:tabs>
          <w:tab w:val="left" w:pos="5580"/>
        </w:tabs>
        <w:spacing w:line="400" w:lineRule="exact"/>
        <w:ind w:left="630" w:leftChars="300"/>
        <w:rPr>
          <w:rFonts w:ascii="Times New Roman" w:hAnsi="Times New Roman" w:eastAsia="方正仿宋_GBK"/>
          <w:sz w:val="28"/>
          <w:szCs w:val="28"/>
        </w:rPr>
      </w:pPr>
      <w:r>
        <w:rPr>
          <w:rFonts w:hint="eastAsia" w:ascii="Times New Roman" w:hAnsi="Times New Roman" w:eastAsia="方正仿宋_GBK"/>
          <w:sz w:val="28"/>
          <w:szCs w:val="28"/>
        </w:rPr>
        <w:t>(7)</w:t>
      </w:r>
      <w:r>
        <w:rPr>
          <w:rFonts w:ascii="Times New Roman" w:hAnsi="Times New Roman" w:eastAsia="方正仿宋_GBK"/>
          <w:sz w:val="28"/>
          <w:szCs w:val="28"/>
        </w:rPr>
        <w:t>在参加政府采购活动中前三年内无重大违法记录的承诺书；</w:t>
      </w:r>
    </w:p>
    <w:p w14:paraId="722D969B">
      <w:pPr>
        <w:pStyle w:val="18"/>
        <w:tabs>
          <w:tab w:val="left" w:pos="5580"/>
        </w:tabs>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说明：供应商应按照相关法规规定如实作出说明，格式自拟。</w:t>
      </w:r>
    </w:p>
    <w:p w14:paraId="39E95F44">
      <w:pPr>
        <w:pStyle w:val="2"/>
        <w:rPr>
          <w:rFonts w:ascii="方正仿宋_GBK" w:hAnsi="方正仿宋_GBK" w:eastAsia="方正仿宋_GBK" w:cs="方正仿宋_GBK"/>
          <w:szCs w:val="24"/>
        </w:rPr>
      </w:pPr>
    </w:p>
    <w:p w14:paraId="38F8E3C3">
      <w:pPr>
        <w:snapToGrid w:val="0"/>
        <w:ind w:firstLine="480" w:firstLineChars="200"/>
        <w:textAlignment w:val="baseline"/>
        <w:rPr>
          <w:rFonts w:ascii="微软雅黑" w:hAnsi="微软雅黑" w:eastAsia="微软雅黑" w:cs="微软雅黑"/>
          <w:sz w:val="24"/>
        </w:rPr>
      </w:pPr>
    </w:p>
    <w:p w14:paraId="2CD09C4B">
      <w:pPr>
        <w:snapToGrid w:val="0"/>
        <w:ind w:firstLine="480" w:firstLineChars="200"/>
        <w:textAlignment w:val="baseline"/>
        <w:rPr>
          <w:rFonts w:ascii="微软雅黑" w:hAnsi="微软雅黑" w:eastAsia="微软雅黑" w:cs="微软雅黑"/>
          <w:sz w:val="24"/>
        </w:rPr>
      </w:pPr>
    </w:p>
    <w:p w14:paraId="375F64C2">
      <w:pPr>
        <w:snapToGrid w:val="0"/>
        <w:ind w:firstLine="480" w:firstLineChars="200"/>
        <w:textAlignment w:val="baseline"/>
        <w:rPr>
          <w:rFonts w:ascii="微软雅黑" w:hAnsi="微软雅黑" w:eastAsia="微软雅黑" w:cs="微软雅黑"/>
          <w:sz w:val="24"/>
        </w:rPr>
      </w:pPr>
    </w:p>
    <w:p w14:paraId="4A511739">
      <w:pPr>
        <w:snapToGrid w:val="0"/>
        <w:ind w:firstLine="480" w:firstLineChars="200"/>
        <w:textAlignment w:val="baseline"/>
        <w:rPr>
          <w:rFonts w:ascii="微软雅黑" w:hAnsi="微软雅黑" w:eastAsia="微软雅黑" w:cs="微软雅黑"/>
          <w:sz w:val="24"/>
        </w:rPr>
      </w:pPr>
    </w:p>
    <w:p w14:paraId="4C38DF1F">
      <w:pPr>
        <w:snapToGrid w:val="0"/>
        <w:ind w:firstLine="480" w:firstLineChars="200"/>
        <w:textAlignment w:val="baseline"/>
        <w:rPr>
          <w:rFonts w:ascii="微软雅黑" w:hAnsi="微软雅黑" w:eastAsia="微软雅黑" w:cs="微软雅黑"/>
          <w:sz w:val="24"/>
        </w:rPr>
      </w:pPr>
    </w:p>
    <w:p w14:paraId="3F9FA2EC">
      <w:pPr>
        <w:snapToGrid w:val="0"/>
        <w:ind w:firstLine="480" w:firstLineChars="200"/>
        <w:textAlignment w:val="baseline"/>
        <w:rPr>
          <w:rFonts w:ascii="微软雅黑" w:hAnsi="微软雅黑" w:eastAsia="微软雅黑" w:cs="微软雅黑"/>
          <w:sz w:val="24"/>
        </w:rPr>
      </w:pPr>
    </w:p>
    <w:p w14:paraId="3540F480">
      <w:pPr>
        <w:snapToGrid w:val="0"/>
        <w:ind w:firstLine="480" w:firstLineChars="200"/>
        <w:textAlignment w:val="baseline"/>
        <w:rPr>
          <w:rFonts w:ascii="微软雅黑" w:hAnsi="微软雅黑" w:eastAsia="微软雅黑" w:cs="微软雅黑"/>
          <w:sz w:val="24"/>
        </w:rPr>
      </w:pPr>
    </w:p>
    <w:p w14:paraId="63706D5F">
      <w:pPr>
        <w:snapToGrid w:val="0"/>
        <w:ind w:firstLine="480" w:firstLineChars="200"/>
        <w:textAlignment w:val="baseline"/>
        <w:rPr>
          <w:rFonts w:ascii="微软雅黑" w:hAnsi="微软雅黑" w:eastAsia="微软雅黑" w:cs="微软雅黑"/>
          <w:sz w:val="24"/>
        </w:rPr>
      </w:pPr>
    </w:p>
    <w:p w14:paraId="18370CA0">
      <w:pPr>
        <w:snapToGrid w:val="0"/>
        <w:ind w:firstLine="480" w:firstLineChars="200"/>
        <w:textAlignment w:val="baseline"/>
        <w:rPr>
          <w:rFonts w:ascii="微软雅黑" w:hAnsi="微软雅黑" w:eastAsia="微软雅黑" w:cs="微软雅黑"/>
          <w:sz w:val="24"/>
        </w:rPr>
      </w:pPr>
    </w:p>
    <w:p w14:paraId="6B7D628F">
      <w:pPr>
        <w:snapToGrid w:val="0"/>
        <w:ind w:firstLine="480" w:firstLineChars="200"/>
        <w:textAlignment w:val="baseline"/>
        <w:rPr>
          <w:rFonts w:ascii="微软雅黑" w:hAnsi="微软雅黑" w:eastAsia="微软雅黑" w:cs="微软雅黑"/>
          <w:sz w:val="24"/>
        </w:rPr>
      </w:pPr>
    </w:p>
    <w:p w14:paraId="27136B10">
      <w:pPr>
        <w:snapToGrid w:val="0"/>
        <w:ind w:firstLine="480" w:firstLineChars="200"/>
        <w:textAlignment w:val="baseline"/>
        <w:rPr>
          <w:rFonts w:ascii="微软雅黑" w:hAnsi="微软雅黑" w:eastAsia="微软雅黑" w:cs="微软雅黑"/>
          <w:sz w:val="24"/>
        </w:rPr>
      </w:pPr>
    </w:p>
    <w:p w14:paraId="742227AF">
      <w:pPr>
        <w:snapToGrid w:val="0"/>
        <w:ind w:firstLine="480" w:firstLineChars="200"/>
        <w:textAlignment w:val="baseline"/>
        <w:rPr>
          <w:rFonts w:ascii="微软雅黑" w:hAnsi="微软雅黑" w:eastAsia="微软雅黑" w:cs="微软雅黑"/>
          <w:sz w:val="24"/>
        </w:rPr>
      </w:pPr>
    </w:p>
    <w:p w14:paraId="2F79E11A">
      <w:pPr>
        <w:snapToGrid w:val="0"/>
        <w:ind w:firstLine="480" w:firstLineChars="200"/>
        <w:textAlignment w:val="baseline"/>
        <w:rPr>
          <w:rFonts w:ascii="微软雅黑" w:hAnsi="微软雅黑" w:eastAsia="微软雅黑" w:cs="微软雅黑"/>
          <w:sz w:val="24"/>
        </w:rPr>
      </w:pPr>
    </w:p>
    <w:p w14:paraId="2050ACDF">
      <w:pPr>
        <w:snapToGrid w:val="0"/>
        <w:ind w:firstLine="480" w:firstLineChars="200"/>
        <w:textAlignment w:val="baseline"/>
        <w:rPr>
          <w:rFonts w:ascii="微软雅黑" w:hAnsi="微软雅黑" w:eastAsia="微软雅黑" w:cs="微软雅黑"/>
          <w:sz w:val="24"/>
        </w:rPr>
      </w:pPr>
    </w:p>
    <w:p w14:paraId="76E8C1A1">
      <w:pPr>
        <w:snapToGrid w:val="0"/>
        <w:ind w:firstLine="480" w:firstLineChars="200"/>
        <w:textAlignment w:val="baseline"/>
        <w:rPr>
          <w:rFonts w:ascii="微软雅黑" w:hAnsi="微软雅黑" w:eastAsia="微软雅黑" w:cs="微软雅黑"/>
          <w:sz w:val="24"/>
        </w:rPr>
      </w:pPr>
    </w:p>
    <w:p w14:paraId="209B0144">
      <w:pPr>
        <w:snapToGrid w:val="0"/>
        <w:ind w:firstLine="480" w:firstLineChars="200"/>
        <w:textAlignment w:val="baseline"/>
        <w:rPr>
          <w:rFonts w:ascii="微软雅黑" w:hAnsi="微软雅黑" w:eastAsia="微软雅黑" w:cs="微软雅黑"/>
          <w:sz w:val="24"/>
        </w:rPr>
      </w:pPr>
    </w:p>
    <w:p w14:paraId="2AFE95AB">
      <w:pPr>
        <w:snapToGrid w:val="0"/>
        <w:ind w:firstLine="480" w:firstLineChars="200"/>
        <w:textAlignment w:val="baseline"/>
        <w:rPr>
          <w:rFonts w:ascii="微软雅黑" w:hAnsi="微软雅黑" w:eastAsia="微软雅黑" w:cs="微软雅黑"/>
          <w:sz w:val="24"/>
        </w:rPr>
      </w:pPr>
    </w:p>
    <w:p w14:paraId="71C228D1">
      <w:pPr>
        <w:snapToGrid w:val="0"/>
        <w:ind w:firstLine="480" w:firstLineChars="200"/>
        <w:textAlignment w:val="baseline"/>
        <w:rPr>
          <w:rFonts w:ascii="微软雅黑" w:hAnsi="微软雅黑" w:eastAsia="微软雅黑" w:cs="微软雅黑"/>
          <w:sz w:val="24"/>
        </w:rPr>
      </w:pPr>
    </w:p>
    <w:p w14:paraId="118BE52B">
      <w:pPr>
        <w:snapToGrid w:val="0"/>
        <w:ind w:firstLine="480" w:firstLineChars="200"/>
        <w:textAlignment w:val="baseline"/>
        <w:rPr>
          <w:rFonts w:ascii="微软雅黑" w:hAnsi="微软雅黑" w:eastAsia="微软雅黑" w:cs="微软雅黑"/>
          <w:sz w:val="24"/>
        </w:rPr>
      </w:pPr>
    </w:p>
    <w:p w14:paraId="5F1BF844">
      <w:pPr>
        <w:snapToGrid w:val="0"/>
        <w:ind w:firstLine="480" w:firstLineChars="200"/>
        <w:textAlignment w:val="baseline"/>
        <w:rPr>
          <w:rFonts w:ascii="微软雅黑" w:hAnsi="微软雅黑" w:eastAsia="微软雅黑" w:cs="微软雅黑"/>
          <w:sz w:val="24"/>
        </w:rPr>
      </w:pPr>
    </w:p>
    <w:p w14:paraId="4A39A146">
      <w:pPr>
        <w:snapToGrid w:val="0"/>
        <w:ind w:firstLine="480" w:firstLineChars="200"/>
        <w:textAlignment w:val="baseline"/>
        <w:rPr>
          <w:rFonts w:ascii="微软雅黑" w:hAnsi="微软雅黑" w:eastAsia="微软雅黑" w:cs="微软雅黑"/>
          <w:sz w:val="24"/>
        </w:rPr>
      </w:pPr>
    </w:p>
    <w:p w14:paraId="24D15C35">
      <w:pPr>
        <w:snapToGrid w:val="0"/>
        <w:ind w:firstLine="480" w:firstLineChars="200"/>
        <w:textAlignment w:val="baseline"/>
        <w:rPr>
          <w:rFonts w:ascii="微软雅黑" w:hAnsi="微软雅黑" w:eastAsia="微软雅黑" w:cs="微软雅黑"/>
          <w:sz w:val="24"/>
        </w:rPr>
      </w:pPr>
    </w:p>
    <w:p w14:paraId="549181B8">
      <w:pPr>
        <w:snapToGrid w:val="0"/>
        <w:ind w:firstLine="480" w:firstLineChars="200"/>
        <w:textAlignment w:val="baseline"/>
        <w:rPr>
          <w:rFonts w:ascii="微软雅黑" w:hAnsi="微软雅黑" w:eastAsia="微软雅黑" w:cs="微软雅黑"/>
          <w:sz w:val="24"/>
        </w:rPr>
      </w:pPr>
    </w:p>
    <w:p w14:paraId="1518828D">
      <w:pPr>
        <w:snapToGrid w:val="0"/>
        <w:ind w:firstLine="480" w:firstLineChars="200"/>
        <w:textAlignment w:val="baseline"/>
        <w:rPr>
          <w:rFonts w:ascii="微软雅黑" w:hAnsi="微软雅黑" w:eastAsia="微软雅黑" w:cs="微软雅黑"/>
          <w:sz w:val="24"/>
        </w:rPr>
      </w:pPr>
    </w:p>
    <w:p w14:paraId="3617F311">
      <w:pPr>
        <w:snapToGrid w:val="0"/>
        <w:ind w:firstLine="480" w:firstLineChars="200"/>
        <w:textAlignment w:val="baseline"/>
        <w:rPr>
          <w:rFonts w:ascii="微软雅黑" w:hAnsi="微软雅黑" w:eastAsia="微软雅黑" w:cs="微软雅黑"/>
          <w:sz w:val="24"/>
        </w:rPr>
      </w:pPr>
    </w:p>
    <w:p w14:paraId="0B99BEE3">
      <w:pPr>
        <w:snapToGrid w:val="0"/>
        <w:ind w:firstLine="480" w:firstLineChars="200"/>
        <w:textAlignment w:val="baseline"/>
        <w:rPr>
          <w:rFonts w:ascii="微软雅黑" w:hAnsi="微软雅黑" w:eastAsia="微软雅黑" w:cs="微软雅黑"/>
          <w:sz w:val="24"/>
        </w:rPr>
      </w:pPr>
    </w:p>
    <w:p w14:paraId="79B928BD">
      <w:pPr>
        <w:snapToGrid w:val="0"/>
        <w:ind w:firstLine="480" w:firstLineChars="200"/>
        <w:textAlignment w:val="baseline"/>
        <w:rPr>
          <w:rFonts w:ascii="微软雅黑" w:hAnsi="微软雅黑" w:eastAsia="微软雅黑" w:cs="微软雅黑"/>
          <w:sz w:val="24"/>
        </w:rPr>
      </w:pPr>
    </w:p>
    <w:p w14:paraId="2EB7149A">
      <w:pPr>
        <w:snapToGrid w:val="0"/>
        <w:ind w:firstLine="480" w:firstLineChars="200"/>
        <w:textAlignment w:val="baseline"/>
        <w:rPr>
          <w:rFonts w:ascii="微软雅黑" w:hAnsi="微软雅黑" w:eastAsia="微软雅黑" w:cs="微软雅黑"/>
          <w:sz w:val="24"/>
        </w:rPr>
      </w:pPr>
    </w:p>
    <w:p w14:paraId="1BB05190">
      <w:pPr>
        <w:snapToGrid w:val="0"/>
        <w:ind w:firstLine="480" w:firstLineChars="200"/>
        <w:textAlignment w:val="baseline"/>
        <w:rPr>
          <w:rFonts w:ascii="微软雅黑" w:hAnsi="微软雅黑" w:eastAsia="微软雅黑" w:cs="微软雅黑"/>
          <w:sz w:val="24"/>
        </w:rPr>
      </w:pPr>
    </w:p>
    <w:p w14:paraId="209D763C">
      <w:pPr>
        <w:snapToGrid w:val="0"/>
        <w:ind w:firstLine="560" w:firstLineChars="200"/>
        <w:textAlignment w:val="baseline"/>
        <w:rPr>
          <w:rFonts w:eastAsia="方正仿宋_GBK"/>
          <w:sz w:val="28"/>
          <w:szCs w:val="28"/>
        </w:rPr>
      </w:pPr>
      <w:r>
        <w:rPr>
          <w:rFonts w:eastAsia="方正仿宋_GBK"/>
          <w:sz w:val="28"/>
          <w:szCs w:val="28"/>
        </w:rPr>
        <w:t>（8）针对本次采购项目《反商业贿赂承诺书》的书面声明；</w:t>
      </w:r>
    </w:p>
    <w:p w14:paraId="490D82C3">
      <w:pPr>
        <w:snapToGrid w:val="0"/>
        <w:textAlignment w:val="baseline"/>
        <w:rPr>
          <w:rFonts w:ascii="微软雅黑" w:hAnsi="微软雅黑" w:eastAsia="微软雅黑" w:cs="微软雅黑"/>
          <w:bCs/>
          <w:sz w:val="24"/>
        </w:rPr>
      </w:pPr>
      <w:r>
        <w:rPr>
          <w:rFonts w:hint="eastAsia" w:ascii="微软雅黑" w:hAnsi="微软雅黑" w:eastAsia="微软雅黑" w:cs="微软雅黑"/>
          <w:bCs/>
          <w:sz w:val="24"/>
        </w:rPr>
        <w:t xml:space="preserve">  </w:t>
      </w:r>
      <w:r>
        <w:rPr>
          <w:rFonts w:hint="eastAsia" w:ascii="方正仿宋_GBK" w:hAnsi="方正仿宋_GBK" w:eastAsia="方正仿宋_GBK" w:cs="方正仿宋_GBK"/>
          <w:bCs/>
          <w:sz w:val="24"/>
        </w:rPr>
        <w:t xml:space="preserve">    </w:t>
      </w:r>
      <w:r>
        <w:rPr>
          <w:rFonts w:hint="eastAsia" w:ascii="方正仿宋_GBK" w:hAnsi="方正仿宋_GBK" w:eastAsia="方正仿宋_GBK" w:cs="方正仿宋_GBK"/>
          <w:sz w:val="24"/>
        </w:rPr>
        <w:t>说明：格式自拟</w:t>
      </w:r>
    </w:p>
    <w:p w14:paraId="75C020D9">
      <w:pPr>
        <w:snapToGrid w:val="0"/>
        <w:spacing w:line="380" w:lineRule="exact"/>
        <w:ind w:firstLine="480" w:firstLineChars="200"/>
        <w:textAlignment w:val="baseline"/>
        <w:rPr>
          <w:rFonts w:ascii="微软雅黑" w:hAnsi="微软雅黑" w:eastAsia="微软雅黑" w:cs="微软雅黑"/>
          <w:sz w:val="24"/>
        </w:rPr>
      </w:pPr>
    </w:p>
    <w:p w14:paraId="70693E80">
      <w:pPr>
        <w:snapToGrid w:val="0"/>
        <w:spacing w:line="380" w:lineRule="exact"/>
        <w:ind w:firstLine="480" w:firstLineChars="200"/>
        <w:textAlignment w:val="baseline"/>
        <w:rPr>
          <w:rFonts w:ascii="微软雅黑" w:hAnsi="微软雅黑" w:eastAsia="微软雅黑" w:cs="微软雅黑"/>
          <w:sz w:val="24"/>
        </w:rPr>
      </w:pPr>
    </w:p>
    <w:p w14:paraId="3B958986">
      <w:pPr>
        <w:snapToGrid w:val="0"/>
        <w:spacing w:line="380" w:lineRule="exact"/>
        <w:ind w:firstLine="480" w:firstLineChars="200"/>
        <w:textAlignment w:val="baseline"/>
        <w:rPr>
          <w:rFonts w:ascii="微软雅黑" w:hAnsi="微软雅黑" w:eastAsia="微软雅黑" w:cs="微软雅黑"/>
          <w:sz w:val="24"/>
        </w:rPr>
      </w:pPr>
    </w:p>
    <w:p w14:paraId="19A50DC5">
      <w:pPr>
        <w:snapToGrid w:val="0"/>
        <w:spacing w:line="380" w:lineRule="exact"/>
        <w:ind w:firstLine="480" w:firstLineChars="200"/>
        <w:textAlignment w:val="baseline"/>
        <w:rPr>
          <w:rFonts w:ascii="微软雅黑" w:hAnsi="微软雅黑" w:eastAsia="微软雅黑" w:cs="微软雅黑"/>
          <w:sz w:val="24"/>
        </w:rPr>
      </w:pPr>
    </w:p>
    <w:p w14:paraId="3F72B9C4">
      <w:pPr>
        <w:snapToGrid w:val="0"/>
        <w:spacing w:line="380" w:lineRule="exact"/>
        <w:ind w:firstLine="480" w:firstLineChars="200"/>
        <w:textAlignment w:val="baseline"/>
        <w:rPr>
          <w:rFonts w:ascii="微软雅黑" w:hAnsi="微软雅黑" w:eastAsia="微软雅黑" w:cs="微软雅黑"/>
          <w:sz w:val="24"/>
        </w:rPr>
      </w:pPr>
    </w:p>
    <w:p w14:paraId="43D97CDE">
      <w:pPr>
        <w:snapToGrid w:val="0"/>
        <w:spacing w:line="380" w:lineRule="exact"/>
        <w:ind w:firstLine="480" w:firstLineChars="200"/>
        <w:textAlignment w:val="baseline"/>
        <w:rPr>
          <w:rFonts w:ascii="微软雅黑" w:hAnsi="微软雅黑" w:eastAsia="微软雅黑" w:cs="微软雅黑"/>
          <w:sz w:val="24"/>
        </w:rPr>
      </w:pPr>
    </w:p>
    <w:p w14:paraId="3ED874B9">
      <w:pPr>
        <w:snapToGrid w:val="0"/>
        <w:spacing w:line="380" w:lineRule="exact"/>
        <w:ind w:firstLine="480" w:firstLineChars="200"/>
        <w:textAlignment w:val="baseline"/>
        <w:rPr>
          <w:rFonts w:ascii="微软雅黑" w:hAnsi="微软雅黑" w:eastAsia="微软雅黑" w:cs="微软雅黑"/>
          <w:sz w:val="24"/>
        </w:rPr>
      </w:pPr>
    </w:p>
    <w:p w14:paraId="30E86B1D">
      <w:pPr>
        <w:snapToGrid w:val="0"/>
        <w:spacing w:line="380" w:lineRule="exact"/>
        <w:ind w:firstLine="480" w:firstLineChars="200"/>
        <w:textAlignment w:val="baseline"/>
        <w:rPr>
          <w:rFonts w:ascii="微软雅黑" w:hAnsi="微软雅黑" w:eastAsia="微软雅黑" w:cs="微软雅黑"/>
          <w:sz w:val="24"/>
        </w:rPr>
      </w:pPr>
    </w:p>
    <w:p w14:paraId="60C5910F">
      <w:pPr>
        <w:snapToGrid w:val="0"/>
        <w:spacing w:line="380" w:lineRule="exact"/>
        <w:ind w:firstLine="480" w:firstLineChars="200"/>
        <w:textAlignment w:val="baseline"/>
        <w:rPr>
          <w:rFonts w:ascii="微软雅黑" w:hAnsi="微软雅黑" w:eastAsia="微软雅黑" w:cs="微软雅黑"/>
          <w:sz w:val="24"/>
        </w:rPr>
      </w:pPr>
    </w:p>
    <w:p w14:paraId="26D79C65">
      <w:pPr>
        <w:snapToGrid w:val="0"/>
        <w:spacing w:line="380" w:lineRule="exact"/>
        <w:ind w:firstLine="480" w:firstLineChars="200"/>
        <w:textAlignment w:val="baseline"/>
        <w:rPr>
          <w:rFonts w:ascii="微软雅黑" w:hAnsi="微软雅黑" w:eastAsia="微软雅黑" w:cs="微软雅黑"/>
          <w:sz w:val="24"/>
        </w:rPr>
      </w:pPr>
    </w:p>
    <w:p w14:paraId="3BC3BA57">
      <w:pPr>
        <w:snapToGrid w:val="0"/>
        <w:spacing w:line="380" w:lineRule="exact"/>
        <w:ind w:firstLine="480" w:firstLineChars="200"/>
        <w:textAlignment w:val="baseline"/>
        <w:rPr>
          <w:rFonts w:ascii="微软雅黑" w:hAnsi="微软雅黑" w:eastAsia="微软雅黑" w:cs="微软雅黑"/>
          <w:sz w:val="24"/>
        </w:rPr>
      </w:pPr>
    </w:p>
    <w:p w14:paraId="446D8372">
      <w:pPr>
        <w:snapToGrid w:val="0"/>
        <w:spacing w:line="380" w:lineRule="exact"/>
        <w:ind w:firstLine="480" w:firstLineChars="200"/>
        <w:textAlignment w:val="baseline"/>
        <w:rPr>
          <w:rFonts w:ascii="微软雅黑" w:hAnsi="微软雅黑" w:eastAsia="微软雅黑" w:cs="微软雅黑"/>
          <w:sz w:val="24"/>
        </w:rPr>
      </w:pPr>
    </w:p>
    <w:p w14:paraId="383F2D85">
      <w:pPr>
        <w:snapToGrid w:val="0"/>
        <w:spacing w:line="380" w:lineRule="exact"/>
        <w:ind w:firstLine="480" w:firstLineChars="200"/>
        <w:textAlignment w:val="baseline"/>
        <w:rPr>
          <w:rFonts w:ascii="微软雅黑" w:hAnsi="微软雅黑" w:eastAsia="微软雅黑" w:cs="微软雅黑"/>
          <w:sz w:val="24"/>
        </w:rPr>
      </w:pPr>
    </w:p>
    <w:p w14:paraId="333B8196">
      <w:pPr>
        <w:snapToGrid w:val="0"/>
        <w:spacing w:line="380" w:lineRule="exact"/>
        <w:ind w:firstLine="480" w:firstLineChars="200"/>
        <w:textAlignment w:val="baseline"/>
        <w:rPr>
          <w:rFonts w:ascii="微软雅黑" w:hAnsi="微软雅黑" w:eastAsia="微软雅黑" w:cs="微软雅黑"/>
          <w:sz w:val="24"/>
        </w:rPr>
      </w:pPr>
    </w:p>
    <w:p w14:paraId="557927A0">
      <w:pPr>
        <w:snapToGrid w:val="0"/>
        <w:spacing w:line="380" w:lineRule="exact"/>
        <w:ind w:firstLine="480" w:firstLineChars="200"/>
        <w:textAlignment w:val="baseline"/>
        <w:rPr>
          <w:rFonts w:ascii="微软雅黑" w:hAnsi="微软雅黑" w:eastAsia="微软雅黑" w:cs="微软雅黑"/>
          <w:sz w:val="24"/>
        </w:rPr>
      </w:pPr>
    </w:p>
    <w:p w14:paraId="2270B089">
      <w:pPr>
        <w:snapToGrid w:val="0"/>
        <w:spacing w:line="380" w:lineRule="exact"/>
        <w:ind w:firstLine="480" w:firstLineChars="200"/>
        <w:textAlignment w:val="baseline"/>
        <w:rPr>
          <w:rFonts w:ascii="微软雅黑" w:hAnsi="微软雅黑" w:eastAsia="微软雅黑" w:cs="微软雅黑"/>
          <w:sz w:val="24"/>
        </w:rPr>
      </w:pPr>
    </w:p>
    <w:p w14:paraId="46B696A4">
      <w:pPr>
        <w:snapToGrid w:val="0"/>
        <w:spacing w:line="380" w:lineRule="exact"/>
        <w:ind w:firstLine="480" w:firstLineChars="200"/>
        <w:textAlignment w:val="baseline"/>
        <w:rPr>
          <w:rFonts w:ascii="微软雅黑" w:hAnsi="微软雅黑" w:eastAsia="微软雅黑" w:cs="微软雅黑"/>
          <w:sz w:val="24"/>
        </w:rPr>
      </w:pPr>
    </w:p>
    <w:p w14:paraId="5D7E6E17">
      <w:pPr>
        <w:snapToGrid w:val="0"/>
        <w:spacing w:line="380" w:lineRule="exact"/>
        <w:ind w:firstLine="480" w:firstLineChars="200"/>
        <w:textAlignment w:val="baseline"/>
        <w:rPr>
          <w:rFonts w:ascii="微软雅黑" w:hAnsi="微软雅黑" w:eastAsia="微软雅黑" w:cs="微软雅黑"/>
          <w:sz w:val="24"/>
        </w:rPr>
      </w:pPr>
    </w:p>
    <w:p w14:paraId="78ED8FA2">
      <w:pPr>
        <w:snapToGrid w:val="0"/>
        <w:spacing w:line="380" w:lineRule="exact"/>
        <w:ind w:firstLine="480" w:firstLineChars="200"/>
        <w:textAlignment w:val="baseline"/>
        <w:rPr>
          <w:rFonts w:ascii="微软雅黑" w:hAnsi="微软雅黑" w:eastAsia="微软雅黑" w:cs="微软雅黑"/>
          <w:sz w:val="24"/>
        </w:rPr>
      </w:pPr>
    </w:p>
    <w:p w14:paraId="4AC0E248">
      <w:pPr>
        <w:snapToGrid w:val="0"/>
        <w:spacing w:line="380" w:lineRule="exact"/>
        <w:ind w:firstLine="480" w:firstLineChars="200"/>
        <w:textAlignment w:val="baseline"/>
        <w:rPr>
          <w:rFonts w:ascii="微软雅黑" w:hAnsi="微软雅黑" w:eastAsia="微软雅黑" w:cs="微软雅黑"/>
          <w:sz w:val="24"/>
        </w:rPr>
      </w:pPr>
    </w:p>
    <w:p w14:paraId="0BB57847">
      <w:pPr>
        <w:snapToGrid w:val="0"/>
        <w:spacing w:line="380" w:lineRule="exact"/>
        <w:ind w:firstLine="480" w:firstLineChars="200"/>
        <w:textAlignment w:val="baseline"/>
        <w:rPr>
          <w:rFonts w:ascii="微软雅黑" w:hAnsi="微软雅黑" w:eastAsia="微软雅黑" w:cs="微软雅黑"/>
          <w:sz w:val="24"/>
        </w:rPr>
      </w:pPr>
    </w:p>
    <w:p w14:paraId="624CEA41">
      <w:pPr>
        <w:snapToGrid w:val="0"/>
        <w:spacing w:line="380" w:lineRule="exact"/>
        <w:ind w:firstLine="480" w:firstLineChars="200"/>
        <w:textAlignment w:val="baseline"/>
        <w:rPr>
          <w:rFonts w:ascii="微软雅黑" w:hAnsi="微软雅黑" w:eastAsia="微软雅黑" w:cs="微软雅黑"/>
          <w:sz w:val="24"/>
        </w:rPr>
      </w:pPr>
    </w:p>
    <w:p w14:paraId="1B01E399">
      <w:pPr>
        <w:snapToGrid w:val="0"/>
        <w:spacing w:line="380" w:lineRule="exact"/>
        <w:ind w:firstLine="480" w:firstLineChars="200"/>
        <w:textAlignment w:val="baseline"/>
        <w:rPr>
          <w:rFonts w:ascii="微软雅黑" w:hAnsi="微软雅黑" w:eastAsia="微软雅黑" w:cs="微软雅黑"/>
          <w:sz w:val="24"/>
        </w:rPr>
      </w:pPr>
    </w:p>
    <w:p w14:paraId="19CDEF6F">
      <w:pPr>
        <w:snapToGrid w:val="0"/>
        <w:spacing w:line="380" w:lineRule="exact"/>
        <w:ind w:firstLine="480" w:firstLineChars="200"/>
        <w:textAlignment w:val="baseline"/>
        <w:rPr>
          <w:rFonts w:ascii="微软雅黑" w:hAnsi="微软雅黑" w:eastAsia="微软雅黑" w:cs="微软雅黑"/>
          <w:sz w:val="24"/>
        </w:rPr>
      </w:pPr>
    </w:p>
    <w:p w14:paraId="68D48550">
      <w:pPr>
        <w:snapToGrid w:val="0"/>
        <w:spacing w:line="380" w:lineRule="exact"/>
        <w:ind w:firstLine="480" w:firstLineChars="200"/>
        <w:textAlignment w:val="baseline"/>
        <w:rPr>
          <w:rFonts w:ascii="微软雅黑" w:hAnsi="微软雅黑" w:eastAsia="微软雅黑" w:cs="微软雅黑"/>
          <w:sz w:val="24"/>
        </w:rPr>
      </w:pPr>
    </w:p>
    <w:p w14:paraId="2D669B18">
      <w:pPr>
        <w:snapToGrid w:val="0"/>
        <w:spacing w:line="380" w:lineRule="exact"/>
        <w:ind w:firstLine="480" w:firstLineChars="200"/>
        <w:textAlignment w:val="baseline"/>
        <w:rPr>
          <w:rFonts w:ascii="微软雅黑" w:hAnsi="微软雅黑" w:eastAsia="微软雅黑" w:cs="微软雅黑"/>
          <w:sz w:val="24"/>
        </w:rPr>
      </w:pPr>
    </w:p>
    <w:p w14:paraId="18E86E42">
      <w:pPr>
        <w:snapToGrid w:val="0"/>
        <w:spacing w:line="380" w:lineRule="exact"/>
        <w:ind w:firstLine="480" w:firstLineChars="200"/>
        <w:textAlignment w:val="baseline"/>
        <w:rPr>
          <w:rFonts w:ascii="微软雅黑" w:hAnsi="微软雅黑" w:eastAsia="微软雅黑" w:cs="微软雅黑"/>
          <w:sz w:val="24"/>
        </w:rPr>
      </w:pPr>
    </w:p>
    <w:p w14:paraId="2E90FB61">
      <w:pPr>
        <w:snapToGrid w:val="0"/>
        <w:spacing w:line="380" w:lineRule="exact"/>
        <w:ind w:firstLine="480" w:firstLineChars="200"/>
        <w:textAlignment w:val="baseline"/>
        <w:rPr>
          <w:rFonts w:ascii="微软雅黑" w:hAnsi="微软雅黑" w:eastAsia="微软雅黑" w:cs="微软雅黑"/>
          <w:sz w:val="24"/>
        </w:rPr>
      </w:pPr>
    </w:p>
    <w:p w14:paraId="5229082D">
      <w:pPr>
        <w:snapToGrid w:val="0"/>
        <w:spacing w:line="380" w:lineRule="exact"/>
        <w:ind w:firstLine="480" w:firstLineChars="200"/>
        <w:textAlignment w:val="baseline"/>
        <w:rPr>
          <w:rFonts w:ascii="微软雅黑" w:hAnsi="微软雅黑" w:eastAsia="微软雅黑" w:cs="微软雅黑"/>
          <w:sz w:val="24"/>
        </w:rPr>
      </w:pPr>
    </w:p>
    <w:p w14:paraId="41F75BDD">
      <w:pPr>
        <w:snapToGrid w:val="0"/>
        <w:spacing w:line="380" w:lineRule="exact"/>
        <w:ind w:firstLine="480" w:firstLineChars="200"/>
        <w:textAlignment w:val="baseline"/>
        <w:rPr>
          <w:rFonts w:ascii="微软雅黑" w:hAnsi="微软雅黑" w:eastAsia="微软雅黑" w:cs="微软雅黑"/>
          <w:sz w:val="24"/>
        </w:rPr>
      </w:pPr>
    </w:p>
    <w:p w14:paraId="480186CA">
      <w:pPr>
        <w:pStyle w:val="2"/>
        <w:rPr>
          <w:rFonts w:ascii="微软雅黑" w:hAnsi="微软雅黑" w:eastAsia="微软雅黑" w:cs="微软雅黑"/>
        </w:rPr>
      </w:pPr>
    </w:p>
    <w:p w14:paraId="125E7DD1">
      <w:pPr>
        <w:snapToGrid w:val="0"/>
        <w:spacing w:line="380" w:lineRule="exact"/>
        <w:textAlignment w:val="baseline"/>
        <w:rPr>
          <w:rFonts w:ascii="微软雅黑" w:hAnsi="微软雅黑" w:eastAsia="微软雅黑" w:cs="微软雅黑"/>
          <w:sz w:val="24"/>
        </w:rPr>
      </w:pPr>
    </w:p>
    <w:p w14:paraId="52CF5481">
      <w:pPr>
        <w:snapToGrid w:val="0"/>
        <w:spacing w:line="380" w:lineRule="exact"/>
        <w:textAlignment w:val="baseline"/>
        <w:rPr>
          <w:rFonts w:ascii="微软雅黑" w:hAnsi="微软雅黑" w:eastAsia="微软雅黑" w:cs="微软雅黑"/>
          <w:sz w:val="24"/>
        </w:rPr>
      </w:pPr>
    </w:p>
    <w:p w14:paraId="00B11250">
      <w:pPr>
        <w:snapToGrid w:val="0"/>
        <w:spacing w:line="380" w:lineRule="exact"/>
        <w:textAlignment w:val="baseline"/>
        <w:rPr>
          <w:rFonts w:ascii="微软雅黑" w:hAnsi="微软雅黑" w:eastAsia="微软雅黑" w:cs="微软雅黑"/>
          <w:sz w:val="24"/>
        </w:rPr>
      </w:pPr>
    </w:p>
    <w:p w14:paraId="2AE56103">
      <w:pPr>
        <w:snapToGrid w:val="0"/>
        <w:spacing w:line="380" w:lineRule="exact"/>
        <w:ind w:firstLine="280" w:firstLineChars="100"/>
        <w:jc w:val="center"/>
        <w:textAlignment w:val="baseline"/>
        <w:rPr>
          <w:rFonts w:eastAsia="方正仿宋_GBK"/>
          <w:color w:val="FF0000"/>
          <w:kern w:val="0"/>
          <w:sz w:val="28"/>
          <w:szCs w:val="28"/>
        </w:rPr>
      </w:pPr>
      <w:r>
        <w:rPr>
          <w:rFonts w:eastAsia="方正仿宋_GBK"/>
          <w:sz w:val="28"/>
          <w:szCs w:val="28"/>
        </w:rPr>
        <w:t>（9）本项目不接受联合体投标；</w:t>
      </w:r>
    </w:p>
    <w:p w14:paraId="3CA54804">
      <w:pPr>
        <w:pStyle w:val="37"/>
        <w:snapToGrid w:val="0"/>
        <w:ind w:firstLine="0" w:firstLineChars="0"/>
        <w:textAlignment w:val="baseline"/>
        <w:rPr>
          <w:rFonts w:ascii="微软雅黑" w:hAnsi="微软雅黑" w:eastAsia="微软雅黑" w:cs="微软雅黑"/>
          <w:b/>
          <w:kern w:val="0"/>
          <w:sz w:val="21"/>
        </w:rPr>
      </w:pPr>
    </w:p>
    <w:p w14:paraId="600C437B">
      <w:pPr>
        <w:pStyle w:val="18"/>
        <w:tabs>
          <w:tab w:val="left" w:pos="5580"/>
        </w:tabs>
        <w:snapToGrid w:val="0"/>
        <w:spacing w:line="240" w:lineRule="atLeast"/>
        <w:textAlignment w:val="baseline"/>
        <w:rPr>
          <w:rFonts w:ascii="微软雅黑" w:hAnsi="微软雅黑" w:eastAsia="微软雅黑" w:cs="微软雅黑"/>
          <w:b/>
          <w:kern w:val="0"/>
          <w:sz w:val="24"/>
          <w:szCs w:val="24"/>
        </w:rPr>
      </w:pPr>
    </w:p>
    <w:p w14:paraId="2BADD246">
      <w:pPr>
        <w:pStyle w:val="18"/>
        <w:tabs>
          <w:tab w:val="left" w:pos="5580"/>
        </w:tabs>
        <w:snapToGrid w:val="0"/>
        <w:spacing w:line="240" w:lineRule="atLeast"/>
        <w:ind w:left="1079" w:leftChars="257" w:hanging="540"/>
        <w:textAlignment w:val="baseline"/>
        <w:rPr>
          <w:rFonts w:ascii="微软雅黑" w:hAnsi="微软雅黑" w:eastAsia="微软雅黑" w:cs="微软雅黑"/>
          <w:b/>
          <w:kern w:val="0"/>
          <w:sz w:val="24"/>
          <w:szCs w:val="24"/>
        </w:rPr>
      </w:pPr>
    </w:p>
    <w:p w14:paraId="552F779F">
      <w:pPr>
        <w:snapToGrid w:val="0"/>
        <w:spacing w:line="380" w:lineRule="exact"/>
        <w:ind w:firstLine="480" w:firstLineChars="200"/>
        <w:textAlignment w:val="baseline"/>
        <w:rPr>
          <w:rFonts w:ascii="微软雅黑" w:hAnsi="微软雅黑" w:eastAsia="微软雅黑" w:cs="微软雅黑"/>
          <w:sz w:val="24"/>
        </w:rPr>
      </w:pPr>
    </w:p>
    <w:p w14:paraId="71CA5788">
      <w:pPr>
        <w:snapToGrid w:val="0"/>
        <w:spacing w:line="380" w:lineRule="exact"/>
        <w:ind w:firstLine="480" w:firstLineChars="200"/>
        <w:textAlignment w:val="baseline"/>
        <w:rPr>
          <w:rFonts w:ascii="微软雅黑" w:hAnsi="微软雅黑" w:eastAsia="微软雅黑" w:cs="微软雅黑"/>
          <w:sz w:val="24"/>
        </w:rPr>
      </w:pPr>
    </w:p>
    <w:p w14:paraId="02141B5B">
      <w:pPr>
        <w:snapToGrid w:val="0"/>
        <w:spacing w:line="380" w:lineRule="exact"/>
        <w:ind w:firstLine="480" w:firstLineChars="200"/>
        <w:textAlignment w:val="baseline"/>
        <w:rPr>
          <w:rFonts w:ascii="微软雅黑" w:hAnsi="微软雅黑" w:eastAsia="微软雅黑" w:cs="微软雅黑"/>
          <w:sz w:val="24"/>
        </w:rPr>
      </w:pPr>
    </w:p>
    <w:p w14:paraId="40AB1AB7">
      <w:pPr>
        <w:snapToGrid w:val="0"/>
        <w:spacing w:line="380" w:lineRule="exact"/>
        <w:ind w:firstLine="480" w:firstLineChars="200"/>
        <w:textAlignment w:val="baseline"/>
        <w:rPr>
          <w:rFonts w:ascii="微软雅黑" w:hAnsi="微软雅黑" w:eastAsia="微软雅黑" w:cs="微软雅黑"/>
          <w:sz w:val="24"/>
        </w:rPr>
      </w:pPr>
    </w:p>
    <w:p w14:paraId="276A12F2">
      <w:pPr>
        <w:snapToGrid w:val="0"/>
        <w:spacing w:line="380" w:lineRule="exact"/>
        <w:ind w:firstLine="480" w:firstLineChars="200"/>
        <w:textAlignment w:val="baseline"/>
        <w:rPr>
          <w:rFonts w:ascii="微软雅黑" w:hAnsi="微软雅黑" w:eastAsia="微软雅黑" w:cs="微软雅黑"/>
          <w:sz w:val="24"/>
        </w:rPr>
      </w:pPr>
    </w:p>
    <w:p w14:paraId="6C407C76">
      <w:pPr>
        <w:snapToGrid w:val="0"/>
        <w:spacing w:line="380" w:lineRule="exact"/>
        <w:ind w:firstLine="480" w:firstLineChars="200"/>
        <w:textAlignment w:val="baseline"/>
        <w:rPr>
          <w:rFonts w:ascii="微软雅黑" w:hAnsi="微软雅黑" w:eastAsia="微软雅黑" w:cs="微软雅黑"/>
          <w:sz w:val="24"/>
        </w:rPr>
      </w:pPr>
    </w:p>
    <w:p w14:paraId="00466E56">
      <w:pPr>
        <w:snapToGrid w:val="0"/>
        <w:spacing w:line="380" w:lineRule="exact"/>
        <w:ind w:firstLine="480" w:firstLineChars="200"/>
        <w:textAlignment w:val="baseline"/>
        <w:rPr>
          <w:rFonts w:ascii="微软雅黑" w:hAnsi="微软雅黑" w:eastAsia="微软雅黑" w:cs="微软雅黑"/>
          <w:sz w:val="24"/>
        </w:rPr>
      </w:pPr>
    </w:p>
    <w:p w14:paraId="3F46B672">
      <w:pPr>
        <w:snapToGrid w:val="0"/>
        <w:spacing w:line="380" w:lineRule="exact"/>
        <w:ind w:firstLine="480" w:firstLineChars="200"/>
        <w:textAlignment w:val="baseline"/>
        <w:rPr>
          <w:rFonts w:ascii="微软雅黑" w:hAnsi="微软雅黑" w:eastAsia="微软雅黑" w:cs="微软雅黑"/>
          <w:sz w:val="24"/>
        </w:rPr>
      </w:pPr>
    </w:p>
    <w:p w14:paraId="362F9682">
      <w:pPr>
        <w:snapToGrid w:val="0"/>
        <w:spacing w:line="380" w:lineRule="exact"/>
        <w:ind w:firstLine="480" w:firstLineChars="200"/>
        <w:textAlignment w:val="baseline"/>
        <w:rPr>
          <w:rFonts w:ascii="微软雅黑" w:hAnsi="微软雅黑" w:eastAsia="微软雅黑" w:cs="微软雅黑"/>
          <w:sz w:val="24"/>
        </w:rPr>
      </w:pPr>
    </w:p>
    <w:p w14:paraId="2D897950">
      <w:pPr>
        <w:snapToGrid w:val="0"/>
        <w:spacing w:line="380" w:lineRule="exact"/>
        <w:ind w:firstLine="480" w:firstLineChars="200"/>
        <w:textAlignment w:val="baseline"/>
        <w:rPr>
          <w:rFonts w:ascii="微软雅黑" w:hAnsi="微软雅黑" w:eastAsia="微软雅黑" w:cs="微软雅黑"/>
          <w:sz w:val="24"/>
        </w:rPr>
      </w:pPr>
    </w:p>
    <w:p w14:paraId="4C1433A6">
      <w:pPr>
        <w:snapToGrid w:val="0"/>
        <w:spacing w:line="380" w:lineRule="exact"/>
        <w:ind w:firstLine="480" w:firstLineChars="200"/>
        <w:textAlignment w:val="baseline"/>
        <w:rPr>
          <w:rFonts w:ascii="微软雅黑" w:hAnsi="微软雅黑" w:eastAsia="微软雅黑" w:cs="微软雅黑"/>
          <w:sz w:val="24"/>
        </w:rPr>
      </w:pPr>
    </w:p>
    <w:p w14:paraId="33864D9B">
      <w:pPr>
        <w:snapToGrid w:val="0"/>
        <w:spacing w:line="380" w:lineRule="exact"/>
        <w:ind w:firstLine="480" w:firstLineChars="200"/>
        <w:textAlignment w:val="baseline"/>
        <w:rPr>
          <w:rFonts w:ascii="微软雅黑" w:hAnsi="微软雅黑" w:eastAsia="微软雅黑" w:cs="微软雅黑"/>
          <w:sz w:val="24"/>
        </w:rPr>
      </w:pPr>
    </w:p>
    <w:p w14:paraId="773DDF09">
      <w:pPr>
        <w:snapToGrid w:val="0"/>
        <w:spacing w:line="380" w:lineRule="exact"/>
        <w:ind w:firstLine="480" w:firstLineChars="200"/>
        <w:textAlignment w:val="baseline"/>
        <w:rPr>
          <w:rFonts w:ascii="微软雅黑" w:hAnsi="微软雅黑" w:eastAsia="微软雅黑" w:cs="微软雅黑"/>
          <w:sz w:val="24"/>
        </w:rPr>
      </w:pPr>
    </w:p>
    <w:p w14:paraId="40EF6AFB">
      <w:pPr>
        <w:snapToGrid w:val="0"/>
        <w:spacing w:line="380" w:lineRule="exact"/>
        <w:ind w:firstLine="480" w:firstLineChars="200"/>
        <w:textAlignment w:val="baseline"/>
        <w:rPr>
          <w:rFonts w:ascii="微软雅黑" w:hAnsi="微软雅黑" w:eastAsia="微软雅黑" w:cs="微软雅黑"/>
          <w:sz w:val="24"/>
        </w:rPr>
      </w:pPr>
    </w:p>
    <w:p w14:paraId="7CB08FCA">
      <w:pPr>
        <w:snapToGrid w:val="0"/>
        <w:spacing w:line="380" w:lineRule="exact"/>
        <w:ind w:firstLine="480" w:firstLineChars="200"/>
        <w:textAlignment w:val="baseline"/>
        <w:rPr>
          <w:rFonts w:ascii="微软雅黑" w:hAnsi="微软雅黑" w:eastAsia="微软雅黑" w:cs="微软雅黑"/>
          <w:sz w:val="24"/>
        </w:rPr>
      </w:pPr>
    </w:p>
    <w:p w14:paraId="1A0DC84F">
      <w:pPr>
        <w:snapToGrid w:val="0"/>
        <w:spacing w:line="380" w:lineRule="exact"/>
        <w:ind w:firstLine="480" w:firstLineChars="200"/>
        <w:textAlignment w:val="baseline"/>
        <w:rPr>
          <w:rFonts w:ascii="微软雅黑" w:hAnsi="微软雅黑" w:eastAsia="微软雅黑" w:cs="微软雅黑"/>
          <w:sz w:val="24"/>
        </w:rPr>
      </w:pPr>
    </w:p>
    <w:p w14:paraId="349BD384">
      <w:pPr>
        <w:snapToGrid w:val="0"/>
        <w:spacing w:line="380" w:lineRule="exact"/>
        <w:ind w:firstLine="480" w:firstLineChars="200"/>
        <w:textAlignment w:val="baseline"/>
        <w:rPr>
          <w:rFonts w:ascii="微软雅黑" w:hAnsi="微软雅黑" w:eastAsia="微软雅黑" w:cs="微软雅黑"/>
          <w:sz w:val="24"/>
        </w:rPr>
      </w:pPr>
    </w:p>
    <w:p w14:paraId="44E5DE30">
      <w:pPr>
        <w:snapToGrid w:val="0"/>
        <w:spacing w:line="380" w:lineRule="exact"/>
        <w:ind w:firstLine="480" w:firstLineChars="200"/>
        <w:textAlignment w:val="baseline"/>
        <w:rPr>
          <w:rFonts w:ascii="微软雅黑" w:hAnsi="微软雅黑" w:eastAsia="微软雅黑" w:cs="微软雅黑"/>
          <w:sz w:val="24"/>
        </w:rPr>
      </w:pPr>
    </w:p>
    <w:p w14:paraId="58A5290E">
      <w:pPr>
        <w:snapToGrid w:val="0"/>
        <w:spacing w:line="380" w:lineRule="exact"/>
        <w:ind w:firstLine="480" w:firstLineChars="200"/>
        <w:textAlignment w:val="baseline"/>
        <w:rPr>
          <w:rFonts w:ascii="微软雅黑" w:hAnsi="微软雅黑" w:eastAsia="微软雅黑" w:cs="微软雅黑"/>
          <w:sz w:val="24"/>
        </w:rPr>
      </w:pPr>
    </w:p>
    <w:p w14:paraId="3EA2330B">
      <w:pPr>
        <w:snapToGrid w:val="0"/>
        <w:spacing w:line="380" w:lineRule="exact"/>
        <w:ind w:firstLine="480" w:firstLineChars="200"/>
        <w:textAlignment w:val="baseline"/>
        <w:rPr>
          <w:rFonts w:ascii="微软雅黑" w:hAnsi="微软雅黑" w:eastAsia="微软雅黑" w:cs="微软雅黑"/>
          <w:sz w:val="24"/>
        </w:rPr>
      </w:pPr>
    </w:p>
    <w:p w14:paraId="2286CDC4">
      <w:pPr>
        <w:snapToGrid w:val="0"/>
        <w:spacing w:line="380" w:lineRule="exact"/>
        <w:ind w:firstLine="480" w:firstLineChars="200"/>
        <w:textAlignment w:val="baseline"/>
        <w:rPr>
          <w:rFonts w:ascii="微软雅黑" w:hAnsi="微软雅黑" w:eastAsia="微软雅黑" w:cs="微软雅黑"/>
          <w:sz w:val="24"/>
        </w:rPr>
      </w:pPr>
    </w:p>
    <w:p w14:paraId="472C8DE3">
      <w:pPr>
        <w:snapToGrid w:val="0"/>
        <w:spacing w:line="380" w:lineRule="exact"/>
        <w:ind w:firstLine="480" w:firstLineChars="200"/>
        <w:textAlignment w:val="baseline"/>
        <w:rPr>
          <w:rFonts w:ascii="微软雅黑" w:hAnsi="微软雅黑" w:eastAsia="微软雅黑" w:cs="微软雅黑"/>
          <w:sz w:val="24"/>
        </w:rPr>
      </w:pPr>
    </w:p>
    <w:p w14:paraId="5D19280B">
      <w:pPr>
        <w:snapToGrid w:val="0"/>
        <w:spacing w:line="380" w:lineRule="exact"/>
        <w:ind w:firstLine="480" w:firstLineChars="200"/>
        <w:textAlignment w:val="baseline"/>
        <w:rPr>
          <w:rFonts w:ascii="微软雅黑" w:hAnsi="微软雅黑" w:eastAsia="微软雅黑" w:cs="微软雅黑"/>
          <w:sz w:val="24"/>
        </w:rPr>
      </w:pPr>
    </w:p>
    <w:p w14:paraId="6E2D11D8">
      <w:pPr>
        <w:snapToGrid w:val="0"/>
        <w:spacing w:line="380" w:lineRule="exact"/>
        <w:ind w:firstLine="480" w:firstLineChars="200"/>
        <w:textAlignment w:val="baseline"/>
        <w:rPr>
          <w:rFonts w:ascii="微软雅黑" w:hAnsi="微软雅黑" w:eastAsia="微软雅黑" w:cs="微软雅黑"/>
          <w:sz w:val="24"/>
        </w:rPr>
      </w:pPr>
    </w:p>
    <w:p w14:paraId="3B27464A">
      <w:pPr>
        <w:snapToGrid w:val="0"/>
        <w:spacing w:line="380" w:lineRule="exact"/>
        <w:ind w:firstLine="480" w:firstLineChars="200"/>
        <w:textAlignment w:val="baseline"/>
        <w:rPr>
          <w:rFonts w:ascii="微软雅黑" w:hAnsi="微软雅黑" w:eastAsia="微软雅黑" w:cs="微软雅黑"/>
          <w:sz w:val="24"/>
        </w:rPr>
      </w:pPr>
    </w:p>
    <w:p w14:paraId="327FF43A">
      <w:pPr>
        <w:snapToGrid w:val="0"/>
        <w:spacing w:line="380" w:lineRule="exact"/>
        <w:ind w:firstLine="480" w:firstLineChars="200"/>
        <w:textAlignment w:val="baseline"/>
        <w:rPr>
          <w:rFonts w:ascii="微软雅黑" w:hAnsi="微软雅黑" w:eastAsia="微软雅黑" w:cs="微软雅黑"/>
          <w:sz w:val="24"/>
        </w:rPr>
      </w:pPr>
    </w:p>
    <w:p w14:paraId="05D0CA6C">
      <w:pPr>
        <w:snapToGrid w:val="0"/>
        <w:spacing w:line="380" w:lineRule="exact"/>
        <w:ind w:firstLine="480" w:firstLineChars="200"/>
        <w:textAlignment w:val="baseline"/>
        <w:rPr>
          <w:rFonts w:ascii="微软雅黑" w:hAnsi="微软雅黑" w:eastAsia="微软雅黑" w:cs="微软雅黑"/>
          <w:sz w:val="24"/>
        </w:rPr>
      </w:pPr>
    </w:p>
    <w:p w14:paraId="0ABB7A25">
      <w:pPr>
        <w:snapToGrid w:val="0"/>
        <w:spacing w:line="380" w:lineRule="exact"/>
        <w:ind w:firstLine="480" w:firstLineChars="200"/>
        <w:textAlignment w:val="baseline"/>
        <w:rPr>
          <w:rFonts w:ascii="微软雅黑" w:hAnsi="微软雅黑" w:eastAsia="微软雅黑" w:cs="微软雅黑"/>
          <w:sz w:val="24"/>
        </w:rPr>
      </w:pPr>
    </w:p>
    <w:p w14:paraId="78CAABB6">
      <w:pPr>
        <w:pStyle w:val="10"/>
        <w:rPr>
          <w:rFonts w:ascii="微软雅黑" w:hAnsi="微软雅黑" w:eastAsia="微软雅黑" w:cs="微软雅黑"/>
        </w:rPr>
      </w:pPr>
    </w:p>
    <w:p w14:paraId="0FEAC063"/>
    <w:p w14:paraId="36551FB3">
      <w:pPr>
        <w:snapToGrid w:val="0"/>
        <w:spacing w:line="380" w:lineRule="exact"/>
        <w:ind w:firstLine="480" w:firstLineChars="200"/>
        <w:textAlignment w:val="baseline"/>
        <w:rPr>
          <w:rFonts w:ascii="微软雅黑" w:hAnsi="微软雅黑" w:eastAsia="微软雅黑" w:cs="微软雅黑"/>
          <w:sz w:val="24"/>
        </w:rPr>
      </w:pPr>
    </w:p>
    <w:p w14:paraId="5472C7E9">
      <w:pPr>
        <w:snapToGrid w:val="0"/>
        <w:spacing w:line="380" w:lineRule="exact"/>
        <w:textAlignment w:val="baseline"/>
        <w:rPr>
          <w:rFonts w:ascii="微软雅黑" w:hAnsi="微软雅黑" w:eastAsia="微软雅黑" w:cs="微软雅黑"/>
          <w:b/>
          <w:bCs/>
          <w:sz w:val="24"/>
        </w:rPr>
      </w:pPr>
    </w:p>
    <w:p w14:paraId="09A038B9">
      <w:pPr>
        <w:snapToGrid w:val="0"/>
        <w:spacing w:line="380" w:lineRule="exact"/>
        <w:ind w:firstLine="560" w:firstLineChars="200"/>
        <w:textAlignment w:val="baseline"/>
        <w:rPr>
          <w:rFonts w:eastAsia="方正仿宋_GBK"/>
          <w:b/>
          <w:bCs/>
          <w:sz w:val="28"/>
          <w:szCs w:val="28"/>
        </w:rPr>
      </w:pPr>
      <w:r>
        <w:rPr>
          <w:rFonts w:eastAsia="方正仿宋_GBK"/>
          <w:b/>
          <w:bCs/>
          <w:sz w:val="28"/>
          <w:szCs w:val="28"/>
        </w:rPr>
        <w:t>3.供应商可提供有利于投标的其他资格证明材料。</w:t>
      </w:r>
    </w:p>
    <w:p w14:paraId="19DEF038">
      <w:pPr>
        <w:snapToGrid w:val="0"/>
        <w:ind w:firstLine="540" w:firstLineChars="300"/>
        <w:textAlignment w:val="baseline"/>
        <w:rPr>
          <w:rFonts w:ascii="微软雅黑" w:hAnsi="微软雅黑" w:eastAsia="微软雅黑" w:cs="微软雅黑"/>
          <w:sz w:val="18"/>
        </w:rPr>
      </w:pPr>
    </w:p>
    <w:p w14:paraId="5FFA07FE">
      <w:pPr>
        <w:snapToGrid w:val="0"/>
        <w:ind w:firstLine="720" w:firstLineChars="300"/>
        <w:textAlignment w:val="baseline"/>
        <w:rPr>
          <w:rFonts w:ascii="方正仿宋_GBK" w:hAnsi="方正仿宋_GBK" w:eastAsia="方正仿宋_GBK" w:cs="方正仿宋_GBK"/>
          <w:sz w:val="24"/>
        </w:rPr>
      </w:pPr>
      <w:r>
        <w:rPr>
          <w:rFonts w:hint="eastAsia" w:ascii="方正仿宋_GBK" w:hAnsi="方正仿宋_GBK" w:eastAsia="方正仿宋_GBK" w:cs="方正仿宋_GBK"/>
          <w:sz w:val="24"/>
        </w:rPr>
        <w:t>说明：如磋商保证金的有效缴纳凭证；</w:t>
      </w:r>
    </w:p>
    <w:p w14:paraId="3443033C">
      <w:pPr>
        <w:snapToGrid w:val="0"/>
        <w:spacing w:line="380" w:lineRule="exact"/>
        <w:ind w:firstLine="480" w:firstLineChars="200"/>
        <w:textAlignment w:val="baseline"/>
        <w:rPr>
          <w:rFonts w:ascii="微软雅黑" w:hAnsi="微软雅黑" w:eastAsia="微软雅黑" w:cs="微软雅黑"/>
          <w:sz w:val="24"/>
        </w:rPr>
      </w:pPr>
    </w:p>
    <w:p w14:paraId="4D947D2E">
      <w:pPr>
        <w:snapToGrid w:val="0"/>
        <w:spacing w:line="380" w:lineRule="exact"/>
        <w:ind w:firstLine="480" w:firstLineChars="200"/>
        <w:textAlignment w:val="baseline"/>
        <w:rPr>
          <w:rFonts w:ascii="微软雅黑" w:hAnsi="微软雅黑" w:eastAsia="微软雅黑" w:cs="微软雅黑"/>
          <w:sz w:val="24"/>
        </w:rPr>
      </w:pPr>
    </w:p>
    <w:p w14:paraId="735F431F">
      <w:pPr>
        <w:snapToGrid w:val="0"/>
        <w:spacing w:line="380" w:lineRule="exact"/>
        <w:ind w:firstLine="480" w:firstLineChars="200"/>
        <w:textAlignment w:val="baseline"/>
        <w:rPr>
          <w:rFonts w:ascii="微软雅黑" w:hAnsi="微软雅黑" w:eastAsia="微软雅黑" w:cs="微软雅黑"/>
          <w:sz w:val="24"/>
        </w:rPr>
      </w:pPr>
    </w:p>
    <w:p w14:paraId="49C89D81">
      <w:pPr>
        <w:pStyle w:val="2"/>
        <w:rPr>
          <w:rFonts w:ascii="微软雅黑" w:hAnsi="微软雅黑" w:eastAsia="微软雅黑" w:cs="微软雅黑"/>
        </w:rPr>
      </w:pPr>
    </w:p>
    <w:p w14:paraId="18F9F815">
      <w:pPr>
        <w:rPr>
          <w:rFonts w:ascii="微软雅黑" w:hAnsi="微软雅黑" w:eastAsia="微软雅黑" w:cs="微软雅黑"/>
          <w:sz w:val="24"/>
        </w:rPr>
      </w:pPr>
    </w:p>
    <w:p w14:paraId="06C31ACB">
      <w:pPr>
        <w:pStyle w:val="2"/>
        <w:rPr>
          <w:rFonts w:ascii="微软雅黑" w:hAnsi="微软雅黑" w:eastAsia="微软雅黑" w:cs="微软雅黑"/>
        </w:rPr>
      </w:pPr>
    </w:p>
    <w:p w14:paraId="1ED70743">
      <w:pPr>
        <w:rPr>
          <w:rFonts w:ascii="微软雅黑" w:hAnsi="微软雅黑" w:eastAsia="微软雅黑" w:cs="微软雅黑"/>
          <w:sz w:val="24"/>
        </w:rPr>
      </w:pPr>
    </w:p>
    <w:p w14:paraId="736FB9E1">
      <w:pPr>
        <w:pStyle w:val="2"/>
        <w:rPr>
          <w:rFonts w:ascii="微软雅黑" w:hAnsi="微软雅黑" w:eastAsia="微软雅黑" w:cs="微软雅黑"/>
        </w:rPr>
      </w:pPr>
    </w:p>
    <w:p w14:paraId="3F68C269">
      <w:pPr>
        <w:rPr>
          <w:rFonts w:ascii="微软雅黑" w:hAnsi="微软雅黑" w:eastAsia="微软雅黑" w:cs="微软雅黑"/>
          <w:sz w:val="24"/>
        </w:rPr>
      </w:pPr>
    </w:p>
    <w:p w14:paraId="47E6ECC0">
      <w:pPr>
        <w:pStyle w:val="2"/>
        <w:rPr>
          <w:rFonts w:ascii="微软雅黑" w:hAnsi="微软雅黑" w:eastAsia="微软雅黑" w:cs="微软雅黑"/>
        </w:rPr>
      </w:pPr>
    </w:p>
    <w:p w14:paraId="7F871785">
      <w:pPr>
        <w:rPr>
          <w:rFonts w:ascii="微软雅黑" w:hAnsi="微软雅黑" w:eastAsia="微软雅黑" w:cs="微软雅黑"/>
          <w:sz w:val="24"/>
        </w:rPr>
      </w:pPr>
    </w:p>
    <w:p w14:paraId="5229222E">
      <w:pPr>
        <w:pStyle w:val="2"/>
        <w:rPr>
          <w:rFonts w:ascii="微软雅黑" w:hAnsi="微软雅黑" w:eastAsia="微软雅黑" w:cs="微软雅黑"/>
        </w:rPr>
      </w:pPr>
    </w:p>
    <w:p w14:paraId="17421976">
      <w:pPr>
        <w:rPr>
          <w:rFonts w:ascii="微软雅黑" w:hAnsi="微软雅黑" w:eastAsia="微软雅黑" w:cs="微软雅黑"/>
          <w:sz w:val="24"/>
        </w:rPr>
      </w:pPr>
    </w:p>
    <w:p w14:paraId="410F9D19">
      <w:pPr>
        <w:pStyle w:val="2"/>
        <w:rPr>
          <w:rFonts w:ascii="微软雅黑" w:hAnsi="微软雅黑" w:eastAsia="微软雅黑" w:cs="微软雅黑"/>
        </w:rPr>
      </w:pPr>
    </w:p>
    <w:p w14:paraId="607ABEC6">
      <w:pPr>
        <w:rPr>
          <w:rFonts w:ascii="微软雅黑" w:hAnsi="微软雅黑" w:eastAsia="微软雅黑" w:cs="微软雅黑"/>
          <w:sz w:val="24"/>
        </w:rPr>
      </w:pPr>
    </w:p>
    <w:p w14:paraId="6ED94973">
      <w:pPr>
        <w:pStyle w:val="2"/>
        <w:rPr>
          <w:rFonts w:ascii="微软雅黑" w:hAnsi="微软雅黑" w:eastAsia="微软雅黑" w:cs="微软雅黑"/>
        </w:rPr>
      </w:pPr>
    </w:p>
    <w:p w14:paraId="3BED85B3">
      <w:pPr>
        <w:rPr>
          <w:rFonts w:ascii="微软雅黑" w:hAnsi="微软雅黑" w:eastAsia="微软雅黑" w:cs="微软雅黑"/>
          <w:sz w:val="24"/>
        </w:rPr>
      </w:pPr>
    </w:p>
    <w:p w14:paraId="13009A94">
      <w:pPr>
        <w:pStyle w:val="2"/>
        <w:rPr>
          <w:rFonts w:ascii="微软雅黑" w:hAnsi="微软雅黑" w:eastAsia="微软雅黑" w:cs="微软雅黑"/>
        </w:rPr>
      </w:pPr>
    </w:p>
    <w:p w14:paraId="2104A4A7">
      <w:pPr>
        <w:rPr>
          <w:rFonts w:ascii="微软雅黑" w:hAnsi="微软雅黑" w:eastAsia="微软雅黑" w:cs="微软雅黑"/>
          <w:sz w:val="24"/>
        </w:rPr>
      </w:pPr>
    </w:p>
    <w:p w14:paraId="0155071E">
      <w:pPr>
        <w:pStyle w:val="2"/>
        <w:rPr>
          <w:rFonts w:ascii="微软雅黑" w:hAnsi="微软雅黑" w:eastAsia="微软雅黑" w:cs="微软雅黑"/>
        </w:rPr>
      </w:pPr>
    </w:p>
    <w:p w14:paraId="7D0154CE">
      <w:pPr>
        <w:snapToGrid w:val="0"/>
        <w:spacing w:line="380" w:lineRule="exact"/>
        <w:textAlignment w:val="baseline"/>
        <w:rPr>
          <w:rFonts w:ascii="微软雅黑" w:hAnsi="微软雅黑" w:eastAsia="微软雅黑" w:cs="微软雅黑"/>
          <w:sz w:val="24"/>
        </w:rPr>
      </w:pPr>
    </w:p>
    <w:p w14:paraId="26D544AE">
      <w:pPr>
        <w:pStyle w:val="10"/>
      </w:pPr>
    </w:p>
    <w:p w14:paraId="0481F005">
      <w:pPr>
        <w:snapToGrid w:val="0"/>
        <w:spacing w:line="380" w:lineRule="exact"/>
        <w:ind w:firstLine="560" w:firstLineChars="200"/>
        <w:textAlignment w:val="baseline"/>
        <w:rPr>
          <w:rFonts w:eastAsia="方正仿宋_GBK"/>
          <w:b/>
          <w:bCs/>
          <w:sz w:val="28"/>
          <w:szCs w:val="28"/>
        </w:rPr>
      </w:pPr>
      <w:r>
        <w:rPr>
          <w:rFonts w:eastAsia="方正仿宋_GBK"/>
          <w:b/>
          <w:bCs/>
          <w:sz w:val="28"/>
          <w:szCs w:val="28"/>
        </w:rPr>
        <w:t>4.供应商须知资料表要求的其他资格证明文件。</w:t>
      </w:r>
    </w:p>
    <w:p w14:paraId="1DF57990">
      <w:pPr>
        <w:snapToGrid w:val="0"/>
        <w:ind w:firstLine="540" w:firstLineChars="300"/>
        <w:textAlignment w:val="baseline"/>
        <w:rPr>
          <w:rFonts w:ascii="微软雅黑" w:hAnsi="微软雅黑" w:eastAsia="微软雅黑" w:cs="微软雅黑"/>
          <w:sz w:val="18"/>
        </w:rPr>
      </w:pPr>
    </w:p>
    <w:p w14:paraId="520BAEAA">
      <w:pPr>
        <w:snapToGrid w:val="0"/>
        <w:ind w:firstLine="720" w:firstLineChars="300"/>
        <w:textAlignment w:val="baseline"/>
        <w:rPr>
          <w:rFonts w:eastAsia="方正仿宋_GBK"/>
          <w:sz w:val="24"/>
        </w:rPr>
      </w:pPr>
      <w:r>
        <w:rPr>
          <w:rFonts w:eastAsia="方正仿宋_GBK"/>
          <w:sz w:val="24"/>
        </w:rPr>
        <w:t>说明：1.应提供供应商须知资料表要求的其他资格证明文件。</w:t>
      </w:r>
    </w:p>
    <w:p w14:paraId="52919891">
      <w:pPr>
        <w:snapToGrid w:val="0"/>
        <w:ind w:firstLine="1440" w:firstLineChars="600"/>
        <w:textAlignment w:val="baseline"/>
        <w:rPr>
          <w:rFonts w:eastAsia="方正仿宋_GBK"/>
          <w:sz w:val="24"/>
        </w:rPr>
      </w:pPr>
      <w:r>
        <w:rPr>
          <w:rFonts w:eastAsia="方正仿宋_GBK"/>
          <w:sz w:val="24"/>
        </w:rPr>
        <w:t>2.复印件上应加盖本单位公章。</w:t>
      </w:r>
    </w:p>
    <w:p w14:paraId="3A9902A8">
      <w:pPr>
        <w:snapToGrid w:val="0"/>
        <w:ind w:firstLine="720" w:firstLineChars="300"/>
        <w:textAlignment w:val="baseline"/>
        <w:rPr>
          <w:rFonts w:ascii="微软雅黑" w:hAnsi="微软雅黑" w:eastAsia="微软雅黑" w:cs="微软雅黑"/>
          <w:sz w:val="18"/>
        </w:rPr>
      </w:pPr>
      <w:r>
        <w:rPr>
          <w:rFonts w:eastAsia="方正仿宋_GBK"/>
          <w:sz w:val="24"/>
        </w:rPr>
        <w:t xml:space="preserve">      3. 如果是联合体投标，联合体各方需提供的满足竞争性磋商文件要求的其他资格证明文件（本项目不接受联合体投标）</w:t>
      </w:r>
      <w:r>
        <w:rPr>
          <w:rFonts w:hint="eastAsia" w:ascii="微软雅黑" w:hAnsi="微软雅黑" w:eastAsia="微软雅黑" w:cs="微软雅黑"/>
          <w:sz w:val="18"/>
        </w:rPr>
        <w:t>。</w:t>
      </w:r>
    </w:p>
    <w:p w14:paraId="282A5534">
      <w:pPr>
        <w:snapToGrid w:val="0"/>
        <w:spacing w:line="360" w:lineRule="exact"/>
        <w:textAlignment w:val="baseline"/>
        <w:rPr>
          <w:rFonts w:ascii="微软雅黑" w:hAnsi="微软雅黑" w:eastAsia="微软雅黑" w:cs="微软雅黑"/>
          <w:b/>
          <w:kern w:val="0"/>
          <w:sz w:val="24"/>
        </w:rPr>
      </w:pPr>
    </w:p>
    <w:p w14:paraId="2CC96DAE">
      <w:pPr>
        <w:snapToGrid w:val="0"/>
        <w:textAlignment w:val="baseline"/>
        <w:rPr>
          <w:rFonts w:ascii="微软雅黑" w:hAnsi="微软雅黑" w:eastAsia="微软雅黑" w:cs="微软雅黑"/>
          <w:sz w:val="20"/>
        </w:rPr>
      </w:pPr>
    </w:p>
    <w:p w14:paraId="7EFB0CAA">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0BD8A61B">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269706BA">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7945A61C">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460EBFB0">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5D7E0E53">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6558EEEA">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2071038F">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0DF2ABDC">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79573197">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47101CD4">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42B972A9">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2941FE3F">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4F33F379">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7B154698">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22783285">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060880EF"/>
    <w:p w14:paraId="0210DDA4">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24945685">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7B0DA9BE">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6E6C1646">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2ED555B7">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5B252EF5">
      <w:pPr>
        <w:pStyle w:val="18"/>
        <w:tabs>
          <w:tab w:val="left" w:pos="5580"/>
        </w:tabs>
        <w:snapToGrid w:val="0"/>
        <w:spacing w:line="360" w:lineRule="exact"/>
        <w:textAlignment w:val="baseline"/>
        <w:rPr>
          <w:rFonts w:ascii="微软雅黑" w:hAnsi="微软雅黑" w:eastAsia="微软雅黑" w:cs="微软雅黑"/>
          <w:sz w:val="24"/>
          <w:szCs w:val="24"/>
          <w:u w:val="single" w:color="000000"/>
        </w:rPr>
      </w:pPr>
    </w:p>
    <w:p w14:paraId="294D8FBF">
      <w:pPr>
        <w:pStyle w:val="31"/>
        <w:ind w:left="2520"/>
        <w:rPr>
          <w:rFonts w:ascii="微软雅黑" w:hAnsi="微软雅黑" w:eastAsia="微软雅黑" w:cs="微软雅黑"/>
          <w:sz w:val="24"/>
          <w:u w:val="single" w:color="000000"/>
        </w:rPr>
      </w:pPr>
    </w:p>
    <w:p w14:paraId="600F713F">
      <w:pPr>
        <w:rPr>
          <w:rFonts w:ascii="微软雅黑" w:hAnsi="微软雅黑" w:eastAsia="微软雅黑" w:cs="微软雅黑"/>
          <w:sz w:val="24"/>
          <w:u w:val="single" w:color="000000"/>
        </w:rPr>
      </w:pPr>
    </w:p>
    <w:p w14:paraId="18A30663">
      <w:pPr>
        <w:pStyle w:val="2"/>
        <w:rPr>
          <w:rFonts w:ascii="微软雅黑" w:hAnsi="微软雅黑" w:eastAsia="微软雅黑" w:cs="微软雅黑"/>
          <w:szCs w:val="24"/>
          <w:u w:val="single" w:color="000000"/>
        </w:rPr>
      </w:pPr>
    </w:p>
    <w:p w14:paraId="5B77831F">
      <w:pPr>
        <w:pStyle w:val="10"/>
      </w:pPr>
    </w:p>
    <w:p w14:paraId="4BA5578B"/>
    <w:p w14:paraId="303A4C96">
      <w:pPr>
        <w:snapToGrid w:val="0"/>
        <w:spacing w:line="380" w:lineRule="exact"/>
        <w:ind w:firstLine="560" w:firstLineChars="200"/>
        <w:textAlignment w:val="baseline"/>
        <w:rPr>
          <w:rFonts w:eastAsia="方正仿宋_GBK"/>
          <w:b/>
          <w:bCs/>
          <w:sz w:val="28"/>
          <w:szCs w:val="28"/>
        </w:rPr>
      </w:pPr>
      <w:bookmarkStart w:id="642" w:name="_Toc3552"/>
      <w:bookmarkStart w:id="643" w:name="_Toc25827"/>
      <w:bookmarkStart w:id="644" w:name="_Toc22967"/>
      <w:bookmarkStart w:id="645" w:name="_Toc11956"/>
      <w:bookmarkStart w:id="646" w:name="_Toc11180"/>
      <w:bookmarkStart w:id="647" w:name="_Toc515647816"/>
      <w:bookmarkStart w:id="648" w:name="_Toc12440"/>
      <w:r>
        <w:rPr>
          <w:rFonts w:eastAsia="方正仿宋_GBK"/>
          <w:b/>
          <w:bCs/>
          <w:sz w:val="28"/>
          <w:szCs w:val="28"/>
        </w:rPr>
        <w:t>5、落实政府采购政策需满足的资格要求：中小企业</w:t>
      </w:r>
    </w:p>
    <w:p w14:paraId="3BAFBAF8">
      <w:pPr>
        <w:pStyle w:val="34"/>
        <w:widowControl/>
        <w:spacing w:line="360" w:lineRule="exact"/>
        <w:ind w:firstLine="480" w:firstLineChars="200"/>
        <w:rPr>
          <w:rFonts w:ascii="微软雅黑" w:hAnsi="微软雅黑" w:eastAsia="微软雅黑" w:cs="微软雅黑"/>
          <w:b/>
          <w:bCs/>
          <w:color w:val="FF0000"/>
        </w:rPr>
      </w:pPr>
      <w:r>
        <w:rPr>
          <w:rFonts w:hint="eastAsia" w:ascii="方正仿宋_GBK" w:hAnsi="方正仿宋_GBK" w:eastAsia="方正仿宋_GBK" w:cs="方正仿宋_GBK"/>
          <w:color w:val="000000" w:themeColor="text1"/>
          <w14:textFill>
            <w14:solidFill>
              <w14:schemeClr w14:val="tx1"/>
            </w14:solidFill>
          </w14:textFill>
        </w:rPr>
        <w:t>说明：</w:t>
      </w:r>
      <w:r>
        <w:rPr>
          <w:rFonts w:hint="eastAsia" w:ascii="方正仿宋_GBK" w:hAnsi="方正仿宋_GBK" w:eastAsia="方正仿宋_GBK" w:cs="方正仿宋_GBK"/>
          <w:b/>
          <w:bCs/>
          <w:color w:val="FF0000"/>
        </w:rPr>
        <w:t>需提供采购文件规定格式的《中小企业声明函（服务）》扫描件，需法人签字、加盖企业公章</w:t>
      </w:r>
      <w:r>
        <w:rPr>
          <w:rFonts w:hint="eastAsia" w:ascii="微软雅黑" w:hAnsi="微软雅黑" w:eastAsia="微软雅黑" w:cs="微软雅黑"/>
          <w:b/>
          <w:bCs/>
          <w:color w:val="FF0000"/>
        </w:rPr>
        <w:t>。</w:t>
      </w:r>
    </w:p>
    <w:p w14:paraId="5C75B1FF">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2CFCDB13">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1F9F0EE6">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2ECFBFE6">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6FA23BB3">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0EDAADE0">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48A538CD">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5587EACA">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3C3D7011">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526C7A4A">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755B1656">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33BD6523">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6EC419A8">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629E261E">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58BC9617">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7D4834AB">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3233E713">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42776C86">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6863AA76">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4C0B58E4">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78C8A18E">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6E6197AC">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7D7F1BFF">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4365B978">
      <w:pPr>
        <w:pStyle w:val="34"/>
        <w:widowControl/>
        <w:spacing w:line="360" w:lineRule="exact"/>
        <w:ind w:firstLine="480" w:firstLineChars="200"/>
        <w:rPr>
          <w:rFonts w:ascii="微软雅黑" w:hAnsi="微软雅黑" w:eastAsia="微软雅黑" w:cs="微软雅黑"/>
          <w:color w:val="000000" w:themeColor="text1"/>
          <w14:textFill>
            <w14:solidFill>
              <w14:schemeClr w14:val="tx1"/>
            </w14:solidFill>
          </w14:textFill>
        </w:rPr>
      </w:pPr>
    </w:p>
    <w:p w14:paraId="354F552C">
      <w:pPr>
        <w:snapToGrid w:val="0"/>
        <w:spacing w:line="240" w:lineRule="atLeast"/>
        <w:ind w:left="1079" w:leftChars="257" w:hanging="540"/>
        <w:jc w:val="center"/>
        <w:textAlignment w:val="baseline"/>
        <w:rPr>
          <w:rFonts w:ascii="微软雅黑" w:hAnsi="微软雅黑" w:eastAsia="微软雅黑" w:cs="微软雅黑"/>
          <w:b/>
          <w:sz w:val="24"/>
        </w:rPr>
      </w:pPr>
    </w:p>
    <w:p w14:paraId="111FACB1">
      <w:pPr>
        <w:pStyle w:val="5"/>
        <w:snapToGrid w:val="0"/>
        <w:spacing w:before="0" w:line="240" w:lineRule="atLeast"/>
        <w:ind w:left="1079" w:leftChars="257" w:hanging="540"/>
        <w:textAlignment w:val="baseline"/>
        <w:rPr>
          <w:rFonts w:ascii="微软雅黑" w:hAnsi="微软雅黑" w:eastAsia="微软雅黑" w:cs="微软雅黑"/>
          <w:sz w:val="24"/>
          <w:szCs w:val="24"/>
        </w:rPr>
      </w:pPr>
    </w:p>
    <w:p w14:paraId="5E68C66F">
      <w:pPr>
        <w:rPr>
          <w:rFonts w:ascii="微软雅黑" w:hAnsi="微软雅黑" w:eastAsia="微软雅黑" w:cs="微软雅黑"/>
          <w:sz w:val="24"/>
        </w:rPr>
      </w:pPr>
    </w:p>
    <w:p w14:paraId="609C68E3">
      <w:pPr>
        <w:pStyle w:val="10"/>
      </w:pPr>
    </w:p>
    <w:p w14:paraId="08FB587E">
      <w:pPr>
        <w:pStyle w:val="5"/>
        <w:snapToGrid w:val="0"/>
        <w:spacing w:before="0" w:line="240" w:lineRule="atLeast"/>
        <w:ind w:left="1079" w:leftChars="257" w:hanging="540"/>
        <w:textAlignment w:val="baseline"/>
        <w:rPr>
          <w:rFonts w:ascii="方正仿宋_GBK" w:hAnsi="方正仿宋_GBK" w:eastAsia="方正仿宋_GBK" w:cs="方正仿宋_GBK"/>
          <w:sz w:val="32"/>
          <w:szCs w:val="32"/>
        </w:rPr>
      </w:pPr>
      <w:bookmarkStart w:id="649" w:name="_Toc1396"/>
      <w:r>
        <w:rPr>
          <w:rFonts w:hint="eastAsia" w:ascii="方正仿宋_GBK" w:hAnsi="方正仿宋_GBK" w:eastAsia="方正仿宋_GBK" w:cs="方正仿宋_GBK"/>
          <w:sz w:val="32"/>
          <w:szCs w:val="32"/>
        </w:rPr>
        <w:t>第二部分  商务及技术文件</w:t>
      </w:r>
      <w:bookmarkEnd w:id="642"/>
      <w:bookmarkEnd w:id="643"/>
      <w:bookmarkEnd w:id="644"/>
      <w:bookmarkEnd w:id="645"/>
      <w:bookmarkEnd w:id="646"/>
      <w:bookmarkEnd w:id="647"/>
      <w:bookmarkEnd w:id="648"/>
      <w:bookmarkEnd w:id="649"/>
    </w:p>
    <w:p w14:paraId="14BA40CB">
      <w:pPr>
        <w:pStyle w:val="18"/>
        <w:spacing w:line="400" w:lineRule="exact"/>
        <w:ind w:firstLine="840" w:firstLineChars="300"/>
        <w:rPr>
          <w:rFonts w:ascii="Times New Roman" w:hAnsi="Times New Roman" w:eastAsia="方正仿宋_GBK"/>
          <w:sz w:val="28"/>
          <w:szCs w:val="28"/>
        </w:rPr>
      </w:pPr>
    </w:p>
    <w:p w14:paraId="6C43B05B">
      <w:pPr>
        <w:pStyle w:val="18"/>
        <w:spacing w:line="400" w:lineRule="exact"/>
        <w:ind w:firstLine="840" w:firstLineChars="300"/>
        <w:rPr>
          <w:rFonts w:ascii="Times New Roman" w:hAnsi="Times New Roman" w:eastAsia="方正仿宋_GBK"/>
          <w:sz w:val="28"/>
          <w:szCs w:val="28"/>
        </w:rPr>
      </w:pPr>
      <w:r>
        <w:rPr>
          <w:rFonts w:ascii="Times New Roman" w:hAnsi="Times New Roman" w:eastAsia="方正仿宋_GBK"/>
          <w:sz w:val="28"/>
          <w:szCs w:val="28"/>
        </w:rPr>
        <w:t>1、响应函</w:t>
      </w:r>
    </w:p>
    <w:p w14:paraId="62A1011B">
      <w:pPr>
        <w:pStyle w:val="18"/>
        <w:spacing w:line="400" w:lineRule="exact"/>
        <w:ind w:firstLine="840" w:firstLineChars="300"/>
        <w:rPr>
          <w:rFonts w:ascii="Times New Roman" w:hAnsi="Times New Roman" w:eastAsia="方正仿宋_GBK"/>
          <w:sz w:val="28"/>
          <w:szCs w:val="28"/>
        </w:rPr>
      </w:pPr>
      <w:r>
        <w:rPr>
          <w:rFonts w:ascii="Times New Roman" w:hAnsi="Times New Roman" w:eastAsia="方正仿宋_GBK"/>
          <w:sz w:val="28"/>
          <w:szCs w:val="28"/>
        </w:rPr>
        <w:t>2、服务说明一览表</w:t>
      </w:r>
    </w:p>
    <w:p w14:paraId="5D578087">
      <w:pPr>
        <w:pStyle w:val="18"/>
        <w:spacing w:line="400" w:lineRule="exact"/>
        <w:ind w:firstLine="840" w:firstLineChars="300"/>
        <w:rPr>
          <w:rFonts w:ascii="Times New Roman" w:hAnsi="Times New Roman" w:eastAsia="方正仿宋_GBK"/>
          <w:sz w:val="28"/>
          <w:szCs w:val="28"/>
        </w:rPr>
      </w:pPr>
      <w:r>
        <w:rPr>
          <w:rFonts w:ascii="Times New Roman" w:hAnsi="Times New Roman" w:eastAsia="方正仿宋_GBK"/>
          <w:sz w:val="28"/>
          <w:szCs w:val="28"/>
        </w:rPr>
        <w:t>3、报价明细表</w:t>
      </w:r>
    </w:p>
    <w:p w14:paraId="4F1E8E2D">
      <w:pPr>
        <w:pStyle w:val="18"/>
        <w:spacing w:line="400" w:lineRule="exact"/>
        <w:ind w:firstLine="840" w:firstLineChars="300"/>
        <w:rPr>
          <w:rFonts w:ascii="Times New Roman" w:hAnsi="Times New Roman" w:eastAsia="方正仿宋_GBK"/>
          <w:sz w:val="28"/>
          <w:szCs w:val="28"/>
        </w:rPr>
      </w:pPr>
      <w:r>
        <w:rPr>
          <w:rFonts w:ascii="Times New Roman" w:hAnsi="Times New Roman" w:eastAsia="方正仿宋_GBK"/>
          <w:sz w:val="28"/>
          <w:szCs w:val="28"/>
        </w:rPr>
        <w:t>4、采购需求响应表（技术规格偏离表）</w:t>
      </w:r>
    </w:p>
    <w:p w14:paraId="23F831FD">
      <w:pPr>
        <w:pStyle w:val="18"/>
        <w:spacing w:line="400" w:lineRule="exact"/>
        <w:ind w:firstLine="840" w:firstLineChars="300"/>
        <w:rPr>
          <w:rFonts w:ascii="Times New Roman" w:hAnsi="Times New Roman" w:eastAsia="方正仿宋_GBK"/>
          <w:sz w:val="28"/>
          <w:szCs w:val="28"/>
        </w:rPr>
      </w:pPr>
      <w:r>
        <w:rPr>
          <w:rFonts w:ascii="Times New Roman" w:hAnsi="Times New Roman" w:eastAsia="方正仿宋_GBK"/>
          <w:sz w:val="28"/>
          <w:szCs w:val="28"/>
        </w:rPr>
        <w:t>5、采购需求响应表（商务条款偏离表）</w:t>
      </w:r>
    </w:p>
    <w:p w14:paraId="4C5484C5">
      <w:pPr>
        <w:pStyle w:val="18"/>
        <w:spacing w:line="400" w:lineRule="exact"/>
        <w:ind w:firstLine="840" w:firstLineChars="300"/>
        <w:rPr>
          <w:rFonts w:ascii="Times New Roman" w:hAnsi="Times New Roman" w:eastAsia="方正仿宋_GBK"/>
          <w:sz w:val="28"/>
          <w:szCs w:val="28"/>
        </w:rPr>
      </w:pPr>
      <w:r>
        <w:rPr>
          <w:rFonts w:ascii="Times New Roman" w:hAnsi="Times New Roman" w:eastAsia="方正仿宋_GBK"/>
          <w:sz w:val="28"/>
          <w:szCs w:val="28"/>
        </w:rPr>
        <w:t>6-1 中小企业声明函</w:t>
      </w:r>
    </w:p>
    <w:p w14:paraId="76A0AC37">
      <w:pPr>
        <w:pStyle w:val="18"/>
        <w:spacing w:line="400" w:lineRule="exact"/>
        <w:ind w:firstLine="840" w:firstLineChars="300"/>
        <w:rPr>
          <w:rFonts w:ascii="Times New Roman" w:hAnsi="Times New Roman" w:eastAsia="方正仿宋_GBK"/>
          <w:sz w:val="28"/>
          <w:szCs w:val="28"/>
        </w:rPr>
      </w:pPr>
      <w:r>
        <w:rPr>
          <w:rFonts w:ascii="Times New Roman" w:hAnsi="Times New Roman" w:eastAsia="方正仿宋_GBK"/>
          <w:sz w:val="28"/>
          <w:szCs w:val="28"/>
        </w:rPr>
        <w:t>6-2 残疾人福利性单位声明函</w:t>
      </w:r>
    </w:p>
    <w:p w14:paraId="338052BF">
      <w:pPr>
        <w:pStyle w:val="18"/>
        <w:spacing w:line="400" w:lineRule="exact"/>
        <w:ind w:firstLine="840" w:firstLineChars="300"/>
        <w:rPr>
          <w:rFonts w:ascii="Times New Roman" w:hAnsi="Times New Roman" w:eastAsia="方正仿宋_GBK"/>
          <w:sz w:val="28"/>
          <w:szCs w:val="28"/>
        </w:rPr>
      </w:pPr>
      <w:r>
        <w:rPr>
          <w:rFonts w:ascii="Times New Roman" w:hAnsi="Times New Roman" w:eastAsia="方正仿宋_GBK"/>
          <w:sz w:val="28"/>
          <w:szCs w:val="28"/>
        </w:rPr>
        <w:t>7、供应商关联单位的说明</w:t>
      </w:r>
    </w:p>
    <w:p w14:paraId="5C4BD821">
      <w:pPr>
        <w:pStyle w:val="18"/>
        <w:spacing w:line="400" w:lineRule="exact"/>
        <w:ind w:firstLine="840" w:firstLineChars="300"/>
        <w:rPr>
          <w:rFonts w:ascii="Times New Roman" w:hAnsi="Times New Roman" w:eastAsia="方正仿宋_GBK"/>
          <w:sz w:val="28"/>
          <w:szCs w:val="28"/>
        </w:rPr>
      </w:pPr>
      <w:r>
        <w:rPr>
          <w:rFonts w:ascii="Times New Roman" w:hAnsi="Times New Roman" w:eastAsia="方正仿宋_GBK"/>
          <w:sz w:val="28"/>
          <w:szCs w:val="28"/>
        </w:rPr>
        <w:t>8、供应商可提供有利于投标的其他资格证明材料</w:t>
      </w:r>
    </w:p>
    <w:p w14:paraId="428CC1AA">
      <w:pPr>
        <w:pStyle w:val="18"/>
        <w:spacing w:line="400" w:lineRule="exact"/>
        <w:ind w:firstLine="840" w:firstLineChars="300"/>
        <w:rPr>
          <w:rFonts w:ascii="Times New Roman" w:hAnsi="Times New Roman" w:eastAsia="方正仿宋_GBK"/>
          <w:sz w:val="28"/>
          <w:szCs w:val="28"/>
        </w:rPr>
      </w:pPr>
      <w:r>
        <w:rPr>
          <w:rFonts w:ascii="Times New Roman" w:hAnsi="Times New Roman" w:eastAsia="方正仿宋_GBK"/>
          <w:sz w:val="28"/>
          <w:szCs w:val="28"/>
        </w:rPr>
        <w:t>9、响应文件格式范本</w:t>
      </w:r>
    </w:p>
    <w:p w14:paraId="2FA8D7EB">
      <w:pPr>
        <w:pStyle w:val="18"/>
        <w:snapToGrid w:val="0"/>
        <w:ind w:left="1079" w:leftChars="257" w:hanging="540"/>
        <w:textAlignment w:val="baseline"/>
        <w:rPr>
          <w:rFonts w:ascii="微软雅黑" w:hAnsi="微软雅黑" w:eastAsia="微软雅黑" w:cs="微软雅黑"/>
          <w:sz w:val="24"/>
          <w:szCs w:val="24"/>
        </w:rPr>
      </w:pPr>
    </w:p>
    <w:p w14:paraId="2B331D4F">
      <w:pPr>
        <w:pStyle w:val="18"/>
        <w:tabs>
          <w:tab w:val="left" w:pos="5580"/>
        </w:tabs>
        <w:snapToGrid w:val="0"/>
        <w:spacing w:line="240" w:lineRule="atLeast"/>
        <w:textAlignment w:val="baseline"/>
        <w:rPr>
          <w:rFonts w:ascii="微软雅黑" w:hAnsi="微软雅黑" w:eastAsia="微软雅黑" w:cs="微软雅黑"/>
          <w:sz w:val="24"/>
          <w:szCs w:val="24"/>
        </w:rPr>
      </w:pPr>
    </w:p>
    <w:p w14:paraId="279FC957">
      <w:pPr>
        <w:pStyle w:val="18"/>
        <w:tabs>
          <w:tab w:val="left" w:pos="5580"/>
        </w:tabs>
        <w:snapToGrid w:val="0"/>
        <w:spacing w:line="240" w:lineRule="atLeast"/>
        <w:textAlignment w:val="baseline"/>
        <w:rPr>
          <w:rFonts w:ascii="微软雅黑" w:hAnsi="微软雅黑" w:eastAsia="微软雅黑" w:cs="微软雅黑"/>
          <w:sz w:val="24"/>
          <w:szCs w:val="24"/>
        </w:rPr>
      </w:pPr>
    </w:p>
    <w:p w14:paraId="14DAFE3D">
      <w:pPr>
        <w:pStyle w:val="18"/>
        <w:tabs>
          <w:tab w:val="left" w:pos="5580"/>
        </w:tabs>
        <w:snapToGrid w:val="0"/>
        <w:spacing w:line="240" w:lineRule="atLeast"/>
        <w:textAlignment w:val="baseline"/>
        <w:rPr>
          <w:rFonts w:ascii="微软雅黑" w:hAnsi="微软雅黑" w:eastAsia="微软雅黑" w:cs="微软雅黑"/>
          <w:sz w:val="24"/>
          <w:szCs w:val="24"/>
        </w:rPr>
      </w:pPr>
    </w:p>
    <w:p w14:paraId="727C7FF3">
      <w:pPr>
        <w:pStyle w:val="18"/>
        <w:tabs>
          <w:tab w:val="left" w:pos="5580"/>
        </w:tabs>
        <w:snapToGrid w:val="0"/>
        <w:spacing w:line="240" w:lineRule="atLeast"/>
        <w:textAlignment w:val="baseline"/>
        <w:rPr>
          <w:rFonts w:ascii="微软雅黑" w:hAnsi="微软雅黑" w:eastAsia="微软雅黑" w:cs="微软雅黑"/>
          <w:sz w:val="24"/>
          <w:szCs w:val="24"/>
        </w:rPr>
      </w:pPr>
    </w:p>
    <w:p w14:paraId="51745674">
      <w:pPr>
        <w:pStyle w:val="18"/>
        <w:tabs>
          <w:tab w:val="left" w:pos="5580"/>
        </w:tabs>
        <w:snapToGrid w:val="0"/>
        <w:spacing w:line="240" w:lineRule="atLeast"/>
        <w:textAlignment w:val="baseline"/>
        <w:rPr>
          <w:rFonts w:ascii="微软雅黑" w:hAnsi="微软雅黑" w:eastAsia="微软雅黑" w:cs="微软雅黑"/>
          <w:sz w:val="24"/>
          <w:szCs w:val="24"/>
        </w:rPr>
      </w:pPr>
    </w:p>
    <w:p w14:paraId="201ED280">
      <w:pPr>
        <w:pStyle w:val="18"/>
        <w:tabs>
          <w:tab w:val="left" w:pos="5580"/>
        </w:tabs>
        <w:snapToGrid w:val="0"/>
        <w:spacing w:line="240" w:lineRule="atLeast"/>
        <w:textAlignment w:val="baseline"/>
        <w:rPr>
          <w:rFonts w:ascii="微软雅黑" w:hAnsi="微软雅黑" w:eastAsia="微软雅黑" w:cs="微软雅黑"/>
          <w:sz w:val="24"/>
          <w:szCs w:val="24"/>
        </w:rPr>
      </w:pPr>
    </w:p>
    <w:p w14:paraId="48811089">
      <w:pPr>
        <w:pStyle w:val="18"/>
        <w:tabs>
          <w:tab w:val="left" w:pos="5580"/>
        </w:tabs>
        <w:snapToGrid w:val="0"/>
        <w:spacing w:line="240" w:lineRule="atLeast"/>
        <w:textAlignment w:val="baseline"/>
        <w:rPr>
          <w:rFonts w:ascii="微软雅黑" w:hAnsi="微软雅黑" w:eastAsia="微软雅黑" w:cs="微软雅黑"/>
          <w:sz w:val="24"/>
          <w:szCs w:val="24"/>
        </w:rPr>
      </w:pPr>
    </w:p>
    <w:p w14:paraId="5F8A2DC1">
      <w:pPr>
        <w:pStyle w:val="18"/>
        <w:tabs>
          <w:tab w:val="left" w:pos="5580"/>
        </w:tabs>
        <w:snapToGrid w:val="0"/>
        <w:spacing w:line="240" w:lineRule="atLeast"/>
        <w:textAlignment w:val="baseline"/>
        <w:rPr>
          <w:rFonts w:ascii="微软雅黑" w:hAnsi="微软雅黑" w:eastAsia="微软雅黑" w:cs="微软雅黑"/>
          <w:sz w:val="24"/>
          <w:szCs w:val="24"/>
        </w:rPr>
      </w:pPr>
    </w:p>
    <w:p w14:paraId="41B3FB81">
      <w:pPr>
        <w:pStyle w:val="18"/>
        <w:tabs>
          <w:tab w:val="left" w:pos="5580"/>
        </w:tabs>
        <w:snapToGrid w:val="0"/>
        <w:spacing w:line="240" w:lineRule="atLeast"/>
        <w:textAlignment w:val="baseline"/>
        <w:rPr>
          <w:rFonts w:ascii="微软雅黑" w:hAnsi="微软雅黑" w:eastAsia="微软雅黑" w:cs="微软雅黑"/>
          <w:sz w:val="24"/>
          <w:szCs w:val="24"/>
        </w:rPr>
      </w:pPr>
    </w:p>
    <w:p w14:paraId="6D09960F">
      <w:pPr>
        <w:pStyle w:val="18"/>
        <w:tabs>
          <w:tab w:val="left" w:pos="5580"/>
        </w:tabs>
        <w:snapToGrid w:val="0"/>
        <w:spacing w:line="240" w:lineRule="atLeast"/>
        <w:textAlignment w:val="baseline"/>
        <w:rPr>
          <w:rFonts w:ascii="微软雅黑" w:hAnsi="微软雅黑" w:eastAsia="微软雅黑" w:cs="微软雅黑"/>
          <w:sz w:val="24"/>
          <w:szCs w:val="24"/>
        </w:rPr>
      </w:pPr>
    </w:p>
    <w:p w14:paraId="76E50B81">
      <w:pPr>
        <w:pStyle w:val="18"/>
        <w:tabs>
          <w:tab w:val="left" w:pos="5580"/>
        </w:tabs>
        <w:snapToGrid w:val="0"/>
        <w:spacing w:line="240" w:lineRule="atLeast"/>
        <w:textAlignment w:val="baseline"/>
        <w:rPr>
          <w:rFonts w:ascii="微软雅黑" w:hAnsi="微软雅黑" w:eastAsia="微软雅黑" w:cs="微软雅黑"/>
          <w:sz w:val="24"/>
          <w:szCs w:val="24"/>
        </w:rPr>
      </w:pPr>
    </w:p>
    <w:p w14:paraId="6A03584A">
      <w:pPr>
        <w:pStyle w:val="18"/>
        <w:tabs>
          <w:tab w:val="left" w:pos="5580"/>
        </w:tabs>
        <w:snapToGrid w:val="0"/>
        <w:spacing w:line="240" w:lineRule="atLeast"/>
        <w:textAlignment w:val="baseline"/>
        <w:rPr>
          <w:rFonts w:ascii="微软雅黑" w:hAnsi="微软雅黑" w:eastAsia="微软雅黑" w:cs="微软雅黑"/>
          <w:sz w:val="24"/>
          <w:szCs w:val="24"/>
        </w:rPr>
      </w:pPr>
    </w:p>
    <w:p w14:paraId="4A90B734">
      <w:pPr>
        <w:pStyle w:val="18"/>
        <w:tabs>
          <w:tab w:val="left" w:pos="5580"/>
        </w:tabs>
        <w:snapToGrid w:val="0"/>
        <w:spacing w:line="240" w:lineRule="atLeast"/>
        <w:textAlignment w:val="baseline"/>
        <w:rPr>
          <w:rFonts w:ascii="微软雅黑" w:hAnsi="微软雅黑" w:eastAsia="微软雅黑" w:cs="微软雅黑"/>
          <w:sz w:val="24"/>
          <w:szCs w:val="24"/>
        </w:rPr>
      </w:pPr>
    </w:p>
    <w:p w14:paraId="4F8EEA83">
      <w:pPr>
        <w:pStyle w:val="18"/>
        <w:tabs>
          <w:tab w:val="left" w:pos="5580"/>
        </w:tabs>
        <w:snapToGrid w:val="0"/>
        <w:spacing w:line="240" w:lineRule="atLeast"/>
        <w:textAlignment w:val="baseline"/>
        <w:rPr>
          <w:rFonts w:ascii="微软雅黑" w:hAnsi="微软雅黑" w:eastAsia="微软雅黑" w:cs="微软雅黑"/>
          <w:sz w:val="24"/>
          <w:szCs w:val="24"/>
        </w:rPr>
      </w:pPr>
    </w:p>
    <w:p w14:paraId="6771C222">
      <w:pPr>
        <w:pStyle w:val="18"/>
        <w:tabs>
          <w:tab w:val="left" w:pos="5580"/>
        </w:tabs>
        <w:snapToGrid w:val="0"/>
        <w:spacing w:line="240" w:lineRule="atLeast"/>
        <w:textAlignment w:val="baseline"/>
        <w:rPr>
          <w:rFonts w:ascii="微软雅黑" w:hAnsi="微软雅黑" w:eastAsia="微软雅黑" w:cs="微软雅黑"/>
          <w:sz w:val="24"/>
          <w:szCs w:val="24"/>
        </w:rPr>
      </w:pPr>
    </w:p>
    <w:p w14:paraId="36D29DAB">
      <w:pPr>
        <w:pStyle w:val="18"/>
        <w:tabs>
          <w:tab w:val="left" w:pos="5580"/>
        </w:tabs>
        <w:snapToGrid w:val="0"/>
        <w:spacing w:line="240" w:lineRule="atLeast"/>
        <w:textAlignment w:val="baseline"/>
        <w:rPr>
          <w:rFonts w:ascii="微软雅黑" w:hAnsi="微软雅黑" w:eastAsia="微软雅黑" w:cs="微软雅黑"/>
          <w:sz w:val="24"/>
          <w:szCs w:val="24"/>
        </w:rPr>
      </w:pPr>
    </w:p>
    <w:p w14:paraId="621584B8">
      <w:pPr>
        <w:pStyle w:val="18"/>
        <w:tabs>
          <w:tab w:val="left" w:pos="5580"/>
        </w:tabs>
        <w:snapToGrid w:val="0"/>
        <w:spacing w:line="240" w:lineRule="atLeast"/>
        <w:textAlignment w:val="baseline"/>
        <w:rPr>
          <w:rFonts w:ascii="微软雅黑" w:hAnsi="微软雅黑" w:eastAsia="微软雅黑" w:cs="微软雅黑"/>
          <w:sz w:val="24"/>
          <w:szCs w:val="24"/>
        </w:rPr>
      </w:pPr>
    </w:p>
    <w:p w14:paraId="44FA1C91">
      <w:pPr>
        <w:pStyle w:val="18"/>
        <w:tabs>
          <w:tab w:val="left" w:pos="5580"/>
        </w:tabs>
        <w:snapToGrid w:val="0"/>
        <w:spacing w:line="240" w:lineRule="atLeast"/>
        <w:textAlignment w:val="baseline"/>
        <w:rPr>
          <w:rFonts w:ascii="微软雅黑" w:hAnsi="微软雅黑" w:eastAsia="微软雅黑" w:cs="微软雅黑"/>
          <w:sz w:val="24"/>
          <w:szCs w:val="24"/>
        </w:rPr>
      </w:pPr>
    </w:p>
    <w:p w14:paraId="2CBC233A">
      <w:pPr>
        <w:pStyle w:val="2"/>
      </w:pPr>
    </w:p>
    <w:bookmarkEnd w:id="623"/>
    <w:bookmarkEnd w:id="624"/>
    <w:bookmarkEnd w:id="625"/>
    <w:bookmarkEnd w:id="626"/>
    <w:p w14:paraId="69EC4C58">
      <w:pPr>
        <w:pStyle w:val="5"/>
        <w:snapToGrid w:val="0"/>
        <w:spacing w:before="0" w:line="240" w:lineRule="atLeast"/>
        <w:textAlignment w:val="baseline"/>
        <w:rPr>
          <w:rFonts w:ascii="微软雅黑" w:hAnsi="微软雅黑" w:eastAsia="微软雅黑" w:cs="微软雅黑"/>
          <w:sz w:val="24"/>
          <w:szCs w:val="24"/>
        </w:rPr>
      </w:pPr>
      <w:bookmarkStart w:id="650" w:name="_Toc24778"/>
      <w:bookmarkStart w:id="651" w:name="_Toc9529"/>
      <w:bookmarkStart w:id="652" w:name="_Toc21814"/>
      <w:bookmarkStart w:id="653" w:name="_Toc18940"/>
      <w:bookmarkStart w:id="654" w:name="_Toc32628"/>
      <w:bookmarkStart w:id="655" w:name="_Toc3467"/>
      <w:bookmarkStart w:id="656" w:name="_Toc16278"/>
      <w:bookmarkStart w:id="657" w:name="_Toc23195"/>
      <w:bookmarkStart w:id="658" w:name="_Toc11664"/>
      <w:bookmarkStart w:id="659" w:name="_Toc22104"/>
      <w:bookmarkStart w:id="660" w:name="_Toc515647819"/>
      <w:bookmarkStart w:id="661" w:name="_Toc12151"/>
      <w:bookmarkStart w:id="662" w:name="_Toc6343"/>
      <w:bookmarkStart w:id="663" w:name="_Toc9921"/>
      <w:bookmarkStart w:id="664" w:name="_Toc25251"/>
      <w:bookmarkStart w:id="665" w:name="_Toc24292"/>
      <w:bookmarkStart w:id="666" w:name="_Toc14037"/>
      <w:bookmarkStart w:id="667" w:name="_Toc22132"/>
      <w:bookmarkStart w:id="668" w:name="_Toc216582816"/>
      <w:bookmarkStart w:id="669" w:name="_Toc18267"/>
    </w:p>
    <w:p w14:paraId="7CF0D58A">
      <w:pPr>
        <w:pStyle w:val="5"/>
        <w:snapToGrid w:val="0"/>
        <w:spacing w:before="0" w:line="240" w:lineRule="atLeast"/>
        <w:textAlignment w:val="baseline"/>
        <w:rPr>
          <w:rFonts w:ascii="Times New Roman" w:hAnsi="Times New Roman" w:eastAsia="方正仿宋_GBK"/>
          <w:sz w:val="28"/>
          <w:szCs w:val="28"/>
        </w:rPr>
      </w:pPr>
      <w:r>
        <w:rPr>
          <w:rFonts w:ascii="Times New Roman" w:hAnsi="Times New Roman" w:eastAsia="方正仿宋_GBK"/>
          <w:sz w:val="28"/>
          <w:szCs w:val="28"/>
        </w:rPr>
        <w:t>1、响应函</w:t>
      </w:r>
      <w:bookmarkEnd w:id="650"/>
    </w:p>
    <w:p w14:paraId="1AC26BD4">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（采购人/采购代理机构名称）</w:t>
      </w:r>
    </w:p>
    <w:p w14:paraId="38AA5E53">
      <w:pPr>
        <w:spacing w:line="400" w:lineRule="exact"/>
        <w:ind w:firstLine="600"/>
        <w:rPr>
          <w:rFonts w:ascii="方正仿宋_GBK" w:hAnsi="方正仿宋_GBK" w:eastAsia="方正仿宋_GBK" w:cs="方正仿宋_GBK"/>
          <w:sz w:val="24"/>
        </w:rPr>
      </w:pPr>
      <w:r>
        <w:rPr>
          <w:rFonts w:hint="eastAsia" w:ascii="方正仿宋_GBK" w:hAnsi="方正仿宋_GBK" w:eastAsia="方正仿宋_GBK" w:cs="方正仿宋_GBK"/>
          <w:sz w:val="24"/>
        </w:rPr>
        <w:t>我</w:t>
      </w:r>
      <w:r>
        <w:rPr>
          <w:rFonts w:hint="eastAsia" w:ascii="方正仿宋_GBK" w:hAnsi="方正仿宋_GBK" w:eastAsia="方正仿宋_GBK" w:cs="方正仿宋_GBK"/>
          <w:sz w:val="24"/>
          <w:u w:val="single"/>
        </w:rPr>
        <w:t>（单位/本人，以下统称我方）</w:t>
      </w:r>
      <w:r>
        <w:rPr>
          <w:rFonts w:hint="eastAsia" w:ascii="方正仿宋_GBK" w:hAnsi="方正仿宋_GBK" w:eastAsia="方正仿宋_GBK" w:cs="方正仿宋_GBK"/>
          <w:sz w:val="24"/>
        </w:rPr>
        <w:t>签字代表(</w:t>
      </w:r>
      <w:r>
        <w:rPr>
          <w:rFonts w:hint="eastAsia" w:ascii="方正仿宋_GBK" w:hAnsi="方正仿宋_GBK" w:eastAsia="方正仿宋_GBK" w:cs="方正仿宋_GBK"/>
          <w:i/>
          <w:sz w:val="24"/>
          <w:u w:val="single" w:color="000000"/>
        </w:rPr>
        <w:t>姓名、职务</w:t>
      </w:r>
      <w:r>
        <w:rPr>
          <w:rFonts w:hint="eastAsia" w:ascii="方正仿宋_GBK" w:hAnsi="方正仿宋_GBK" w:eastAsia="方正仿宋_GBK" w:cs="方正仿宋_GBK"/>
          <w:sz w:val="24"/>
        </w:rPr>
        <w:t>)经正式授权并代表供应商（</w:t>
      </w:r>
      <w:r>
        <w:rPr>
          <w:rFonts w:hint="eastAsia" w:ascii="方正仿宋_GBK" w:hAnsi="方正仿宋_GBK" w:eastAsia="方正仿宋_GBK" w:cs="方正仿宋_GBK"/>
          <w:i/>
          <w:sz w:val="24"/>
          <w:u w:val="single" w:color="000000"/>
        </w:rPr>
        <w:t>名称、地址</w:t>
      </w:r>
      <w:r>
        <w:rPr>
          <w:rFonts w:hint="eastAsia" w:ascii="方正仿宋_GBK" w:hAnsi="方正仿宋_GBK" w:eastAsia="方正仿宋_GBK" w:cs="方正仿宋_GBK"/>
          <w:sz w:val="24"/>
        </w:rPr>
        <w:t>）自愿参加</w:t>
      </w:r>
      <w:r>
        <w:rPr>
          <w:rFonts w:hint="eastAsia" w:ascii="方正仿宋_GBK" w:hAnsi="方正仿宋_GBK" w:eastAsia="方正仿宋_GBK" w:cs="方正仿宋_GBK"/>
          <w:sz w:val="24"/>
          <w:u w:val="single"/>
        </w:rPr>
        <w:t xml:space="preserve">              （项目名称和招标编号）项目</w:t>
      </w:r>
      <w:r>
        <w:rPr>
          <w:rFonts w:hint="eastAsia" w:ascii="方正仿宋_GBK" w:hAnsi="方正仿宋_GBK" w:eastAsia="方正仿宋_GBK" w:cs="方正仿宋_GBK"/>
          <w:sz w:val="24"/>
        </w:rPr>
        <w:t>,并做出如下承诺：</w:t>
      </w:r>
    </w:p>
    <w:p w14:paraId="42889287">
      <w:pPr>
        <w:spacing w:line="40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sz w:val="24"/>
        </w:rPr>
        <w:t>一、</w:t>
      </w:r>
      <w:r>
        <w:rPr>
          <w:rFonts w:hint="eastAsia" w:ascii="方正仿宋_GBK" w:hAnsi="方正仿宋_GBK" w:eastAsia="方正仿宋_GBK" w:cs="方正仿宋_GBK"/>
          <w:bCs/>
          <w:sz w:val="24"/>
        </w:rPr>
        <w:t>我方授权</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(姓名和职务)代表我方</w:t>
      </w:r>
      <w:r>
        <w:rPr>
          <w:rFonts w:hint="eastAsia" w:ascii="方正仿宋_GBK" w:hAnsi="方正仿宋_GBK" w:eastAsia="方正仿宋_GBK" w:cs="方正仿宋_GBK"/>
          <w:bCs/>
          <w:sz w:val="24"/>
          <w:u w:val="single"/>
        </w:rPr>
        <w:t xml:space="preserve">           （投标单位</w:t>
      </w:r>
      <w:r>
        <w:rPr>
          <w:rFonts w:hint="eastAsia" w:ascii="方正仿宋_GBK" w:hAnsi="方正仿宋_GBK" w:eastAsia="方正仿宋_GBK" w:cs="方正仿宋_GBK"/>
          <w:bCs/>
          <w:sz w:val="24"/>
        </w:rPr>
        <w:t>的名称）全权处理本项目的有关事宜。</w:t>
      </w:r>
    </w:p>
    <w:p w14:paraId="26D58A37">
      <w:pPr>
        <w:spacing w:line="40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二、我方愿意按照磋商文件规定的各项要求，向采购人提供所需的货物。</w:t>
      </w:r>
    </w:p>
    <w:p w14:paraId="78BC6A57">
      <w:pPr>
        <w:pStyle w:val="5"/>
        <w:spacing w:line="400" w:lineRule="exact"/>
        <w:ind w:firstLine="480" w:firstLineChars="200"/>
        <w:jc w:val="both"/>
        <w:rPr>
          <w:rFonts w:ascii="方正仿宋_GBK" w:hAnsi="方正仿宋_GBK" w:eastAsia="方正仿宋_GBK" w:cs="方正仿宋_GBK"/>
          <w:b w:val="0"/>
          <w:sz w:val="24"/>
          <w:szCs w:val="24"/>
        </w:rPr>
      </w:pPr>
      <w:bookmarkStart w:id="670" w:name="_Toc22616"/>
      <w:r>
        <w:rPr>
          <w:rFonts w:hint="eastAsia" w:ascii="方正仿宋_GBK" w:hAnsi="方正仿宋_GBK" w:eastAsia="方正仿宋_GBK" w:cs="方正仿宋_GBK"/>
          <w:b w:val="0"/>
          <w:sz w:val="24"/>
          <w:szCs w:val="24"/>
        </w:rPr>
        <w:t>三、我方已详细审查全部磋商文件，包括所有补充通知（如有），完全理解并同意放弃对这方面有不明、误解的权利。</w:t>
      </w:r>
      <w:bookmarkEnd w:id="670"/>
    </w:p>
    <w:p w14:paraId="54226185">
      <w:pPr>
        <w:pStyle w:val="51"/>
        <w:spacing w:line="400" w:lineRule="exact"/>
        <w:ind w:firstLine="480"/>
        <w:rPr>
          <w:rFonts w:ascii="方正仿宋_GBK" w:hAnsi="方正仿宋_GBK" w:eastAsia="方正仿宋_GBK" w:cs="方正仿宋_GBK"/>
          <w:bCs/>
        </w:rPr>
      </w:pPr>
      <w:r>
        <w:rPr>
          <w:rFonts w:hint="eastAsia" w:ascii="方正仿宋_GBK" w:hAnsi="方正仿宋_GBK" w:eastAsia="方正仿宋_GBK" w:cs="方正仿宋_GBK"/>
          <w:bCs/>
        </w:rPr>
        <w:t>四、我方同意按照磋商文件要求缴纳保证金，并承诺自响应截止时间至本项目发</w:t>
      </w:r>
      <w:r>
        <w:rPr>
          <w:rFonts w:hint="eastAsia" w:ascii="方正仿宋_GBK" w:hAnsi="方正仿宋_GBK" w:eastAsia="方正仿宋_GBK" w:cs="方正仿宋_GBK"/>
        </w:rPr>
        <w:t>布成交公告为止，撤销响应文件的、或者成交后不依法与采购人签订合同、或者成交后不按照本采购文件规定缴纳招标代理费的，</w:t>
      </w:r>
      <w:r>
        <w:rPr>
          <w:rFonts w:hint="eastAsia" w:ascii="方正仿宋_GBK" w:hAnsi="方正仿宋_GBK" w:eastAsia="方正仿宋_GBK" w:cs="方正仿宋_GBK"/>
          <w:bCs/>
        </w:rPr>
        <w:t>我方将向采购人、采购代理机构</w:t>
      </w:r>
      <w:r>
        <w:rPr>
          <w:rFonts w:hint="eastAsia" w:ascii="方正仿宋_GBK" w:hAnsi="方正仿宋_GBK" w:eastAsia="方正仿宋_GBK" w:cs="方正仿宋_GBK"/>
        </w:rPr>
        <w:t>支付本项目磋商文件公布的保证金作为违约赔偿金。</w:t>
      </w:r>
    </w:p>
    <w:p w14:paraId="0B9913E0">
      <w:pPr>
        <w:spacing w:line="40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五、我方愿意按照磋商文件的要求，提供与项目有关的所有文件资料，并保证我方所有文件资料的合法性、真实性、完整性和准确性。</w:t>
      </w:r>
    </w:p>
    <w:p w14:paraId="7442D19A">
      <w:pPr>
        <w:spacing w:line="40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六、一旦我方被确定为成交供应商，我方将严格履行合同规定的责任和义务，保证于合同签字生效后按照约定时间完成项目，并交付采购人验收。</w:t>
      </w:r>
    </w:p>
    <w:p w14:paraId="1F314013">
      <w:pPr>
        <w:spacing w:line="40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七、 本投标有效期为自投标截止之日起                  个日历日。</w:t>
      </w:r>
    </w:p>
    <w:p w14:paraId="67BA1F4B">
      <w:pPr>
        <w:spacing w:line="400" w:lineRule="exact"/>
        <w:jc w:val="left"/>
        <w:rPr>
          <w:rFonts w:ascii="方正仿宋_GBK" w:hAnsi="方正仿宋_GBK" w:eastAsia="方正仿宋_GBK" w:cs="方正仿宋_GBK"/>
          <w:sz w:val="24"/>
        </w:rPr>
      </w:pPr>
    </w:p>
    <w:p w14:paraId="6ED2602D">
      <w:pPr>
        <w:spacing w:line="400" w:lineRule="exact"/>
        <w:ind w:left="1413" w:leftChars="273" w:hanging="840" w:hangingChars="350"/>
        <w:rPr>
          <w:rFonts w:ascii="方正仿宋_GBK" w:hAnsi="方正仿宋_GBK" w:eastAsia="方正仿宋_GBK" w:cs="方正仿宋_GBK"/>
          <w:sz w:val="24"/>
        </w:rPr>
      </w:pPr>
      <w:r>
        <w:rPr>
          <w:rFonts w:hint="eastAsia" w:ascii="方正仿宋_GBK" w:hAnsi="方正仿宋_GBK" w:eastAsia="方正仿宋_GBK" w:cs="方正仿宋_GBK"/>
          <w:sz w:val="24"/>
        </w:rPr>
        <w:t>供应商：</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rPr>
        <w:t>（盖公章）</w:t>
      </w:r>
    </w:p>
    <w:p w14:paraId="75CB6A39">
      <w:pPr>
        <w:spacing w:line="400" w:lineRule="exact"/>
        <w:ind w:left="1619" w:leftChars="257" w:hanging="1080"/>
        <w:rPr>
          <w:rFonts w:ascii="方正仿宋_GBK" w:hAnsi="方正仿宋_GBK" w:eastAsia="方正仿宋_GBK" w:cs="方正仿宋_GBK"/>
          <w:sz w:val="24"/>
        </w:rPr>
      </w:pPr>
      <w:r>
        <w:rPr>
          <w:rFonts w:hint="eastAsia" w:ascii="方正仿宋_GBK" w:hAnsi="方正仿宋_GBK" w:eastAsia="方正仿宋_GBK" w:cs="方正仿宋_GBK"/>
          <w:sz w:val="24"/>
        </w:rPr>
        <w:t>地址：</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p>
    <w:p w14:paraId="714C19B6">
      <w:pPr>
        <w:spacing w:line="400" w:lineRule="exact"/>
        <w:ind w:left="1619" w:leftChars="257" w:hanging="1080"/>
        <w:rPr>
          <w:rFonts w:ascii="方正仿宋_GBK" w:hAnsi="方正仿宋_GBK" w:eastAsia="方正仿宋_GBK" w:cs="方正仿宋_GBK"/>
          <w:sz w:val="24"/>
        </w:rPr>
      </w:pPr>
      <w:r>
        <w:rPr>
          <w:rFonts w:hint="eastAsia" w:ascii="方正仿宋_GBK" w:hAnsi="方正仿宋_GBK" w:eastAsia="方正仿宋_GBK" w:cs="方正仿宋_GBK"/>
          <w:sz w:val="24"/>
        </w:rPr>
        <w:t>电话：</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传真：</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p>
    <w:p w14:paraId="3F55E02A">
      <w:pPr>
        <w:spacing w:line="400" w:lineRule="exact"/>
        <w:ind w:left="1619" w:leftChars="257" w:hanging="1080"/>
        <w:rPr>
          <w:rFonts w:ascii="方正仿宋_GBK" w:hAnsi="方正仿宋_GBK" w:eastAsia="方正仿宋_GBK" w:cs="方正仿宋_GBK"/>
          <w:sz w:val="24"/>
        </w:rPr>
      </w:pPr>
      <w:r>
        <w:rPr>
          <w:rFonts w:hint="eastAsia" w:ascii="方正仿宋_GBK" w:hAnsi="方正仿宋_GBK" w:eastAsia="方正仿宋_GBK" w:cs="方正仿宋_GBK"/>
          <w:sz w:val="24"/>
        </w:rPr>
        <w:t>电子邮件：</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邮编：</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p>
    <w:p w14:paraId="68CFA06F">
      <w:pPr>
        <w:spacing w:line="400" w:lineRule="exact"/>
        <w:ind w:left="1619" w:leftChars="257" w:hanging="1080"/>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法定代表人或委托代理人(签字或签章)：</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ab/>
      </w:r>
    </w:p>
    <w:p w14:paraId="5A401359">
      <w:pPr>
        <w:pStyle w:val="2"/>
        <w:spacing w:line="400" w:lineRule="exact"/>
        <w:ind w:firstLine="480" w:firstLineChars="200"/>
        <w:rPr>
          <w:rFonts w:ascii="方正仿宋_GBK" w:hAnsi="方正仿宋_GBK" w:eastAsia="方正仿宋_GBK" w:cs="方正仿宋_GBK"/>
          <w:szCs w:val="24"/>
          <w:u w:val="single"/>
        </w:rPr>
      </w:pPr>
      <w:r>
        <w:rPr>
          <w:rFonts w:hint="eastAsia" w:ascii="方正仿宋_GBK" w:hAnsi="方正仿宋_GBK" w:eastAsia="方正仿宋_GBK" w:cs="方正仿宋_GBK"/>
          <w:szCs w:val="24"/>
        </w:rPr>
        <w:t>日期：</w:t>
      </w:r>
      <w:r>
        <w:rPr>
          <w:rFonts w:hint="eastAsia" w:ascii="方正仿宋_GBK" w:hAnsi="方正仿宋_GBK" w:eastAsia="方正仿宋_GBK" w:cs="方正仿宋_GBK"/>
          <w:szCs w:val="24"/>
          <w:u w:val="single"/>
        </w:rPr>
        <w:tab/>
      </w:r>
      <w:r>
        <w:rPr>
          <w:rFonts w:hint="eastAsia" w:ascii="方正仿宋_GBK" w:hAnsi="方正仿宋_GBK" w:eastAsia="方正仿宋_GBK" w:cs="方正仿宋_GBK"/>
          <w:szCs w:val="24"/>
          <w:u w:val="single"/>
        </w:rPr>
        <w:tab/>
      </w:r>
      <w:r>
        <w:rPr>
          <w:rFonts w:hint="eastAsia" w:ascii="方正仿宋_GBK" w:hAnsi="方正仿宋_GBK" w:eastAsia="方正仿宋_GBK" w:cs="方正仿宋_GBK"/>
          <w:szCs w:val="24"/>
          <w:u w:val="single"/>
        </w:rPr>
        <w:tab/>
      </w:r>
      <w:r>
        <w:rPr>
          <w:rFonts w:hint="eastAsia" w:ascii="方正仿宋_GBK" w:hAnsi="方正仿宋_GBK" w:eastAsia="方正仿宋_GBK" w:cs="方正仿宋_GBK"/>
          <w:szCs w:val="24"/>
          <w:u w:val="single"/>
        </w:rPr>
        <w:tab/>
      </w:r>
      <w:r>
        <w:rPr>
          <w:rFonts w:hint="eastAsia" w:ascii="方正仿宋_GBK" w:hAnsi="方正仿宋_GBK" w:eastAsia="方正仿宋_GBK" w:cs="方正仿宋_GBK"/>
          <w:szCs w:val="24"/>
          <w:u w:val="single"/>
        </w:rPr>
        <w:tab/>
      </w:r>
      <w:r>
        <w:rPr>
          <w:rFonts w:hint="eastAsia" w:ascii="方正仿宋_GBK" w:hAnsi="方正仿宋_GBK" w:eastAsia="方正仿宋_GBK" w:cs="方正仿宋_GBK"/>
          <w:szCs w:val="24"/>
          <w:u w:val="single"/>
        </w:rPr>
        <w:t xml:space="preserve">      </w:t>
      </w:r>
    </w:p>
    <w:p w14:paraId="09187E61">
      <w:pPr>
        <w:rPr>
          <w:rFonts w:ascii="方正仿宋_GBK" w:hAnsi="方正仿宋_GBK" w:eastAsia="方正仿宋_GBK" w:cs="方正仿宋_GBK"/>
          <w:sz w:val="24"/>
          <w:u w:val="single"/>
        </w:rPr>
      </w:pPr>
    </w:p>
    <w:p w14:paraId="772E82D5">
      <w:pPr>
        <w:pStyle w:val="6"/>
        <w:rPr>
          <w:rFonts w:ascii="微软雅黑" w:hAnsi="微软雅黑" w:eastAsia="微软雅黑" w:cs="微软雅黑"/>
          <w:szCs w:val="24"/>
        </w:rPr>
      </w:pPr>
    </w:p>
    <w:p w14:paraId="244EA459">
      <w:pPr>
        <w:rPr>
          <w:rFonts w:ascii="微软雅黑" w:hAnsi="微软雅黑" w:eastAsia="微软雅黑" w:cs="微软雅黑"/>
          <w:sz w:val="24"/>
          <w:u w:val="single"/>
        </w:rPr>
      </w:pPr>
    </w:p>
    <w:p w14:paraId="69FF4089">
      <w:pPr>
        <w:pStyle w:val="10"/>
      </w:pPr>
    </w:p>
    <w:p w14:paraId="4A1E3C62">
      <w:pPr>
        <w:pStyle w:val="5"/>
        <w:spacing w:before="0" w:line="240" w:lineRule="atLeast"/>
        <w:ind w:left="1079" w:leftChars="257" w:hanging="540"/>
        <w:rPr>
          <w:rFonts w:ascii="方正仿宋_GBK" w:hAnsi="方正仿宋_GBK" w:eastAsia="方正仿宋_GBK" w:cs="方正仿宋_GBK"/>
          <w:sz w:val="28"/>
          <w:szCs w:val="28"/>
        </w:rPr>
      </w:pPr>
      <w:bookmarkStart w:id="671" w:name="_Toc5101"/>
      <w:bookmarkStart w:id="672" w:name="_Toc1943"/>
      <w:r>
        <w:rPr>
          <w:rFonts w:hint="eastAsia" w:ascii="方正仿宋_GBK" w:hAnsi="方正仿宋_GBK" w:eastAsia="方正仿宋_GBK" w:cs="方正仿宋_GBK"/>
          <w:sz w:val="28"/>
          <w:szCs w:val="28"/>
        </w:rPr>
        <w:t>2、服务说明一览表</w:t>
      </w:r>
    </w:p>
    <w:p w14:paraId="465FAE8F">
      <w:pPr>
        <w:pStyle w:val="18"/>
        <w:spacing w:line="240" w:lineRule="atLeast"/>
        <w:ind w:left="1079" w:leftChars="257" w:hanging="540"/>
        <w:rPr>
          <w:rFonts w:ascii="仿宋" w:hAnsi="仿宋" w:eastAsia="仿宋" w:cs="仿宋"/>
          <w:sz w:val="24"/>
          <w:szCs w:val="24"/>
        </w:rPr>
      </w:pPr>
    </w:p>
    <w:p w14:paraId="327A899B">
      <w:pPr>
        <w:pStyle w:val="18"/>
        <w:spacing w:line="240" w:lineRule="atLeast"/>
        <w:ind w:left="1079" w:leftChars="257" w:hanging="540"/>
        <w:rPr>
          <w:rFonts w:ascii="仿宋" w:hAnsi="仿宋" w:eastAsia="仿宋" w:cs="仿宋"/>
          <w:sz w:val="24"/>
          <w:szCs w:val="24"/>
        </w:rPr>
      </w:pPr>
    </w:p>
    <w:p w14:paraId="3D6CF369">
      <w:pPr>
        <w:pStyle w:val="18"/>
        <w:spacing w:line="240" w:lineRule="atLeast"/>
        <w:ind w:left="1079" w:leftChars="257" w:hanging="540"/>
        <w:rPr>
          <w:rFonts w:ascii="仿宋" w:hAnsi="仿宋" w:eastAsia="仿宋" w:cs="仿宋"/>
          <w:sz w:val="24"/>
          <w:szCs w:val="24"/>
        </w:rPr>
      </w:pPr>
      <w:r>
        <w:rPr>
          <w:rFonts w:hint="eastAsia" w:ascii="仿宋" w:hAnsi="仿宋" w:eastAsia="仿宋" w:cs="仿宋"/>
          <w:sz w:val="24"/>
          <w:szCs w:val="24"/>
        </w:rPr>
        <w:t xml:space="preserve">项目名称:                </w:t>
      </w:r>
    </w:p>
    <w:p w14:paraId="53C42DD8">
      <w:pPr>
        <w:pStyle w:val="18"/>
        <w:spacing w:line="240" w:lineRule="atLeast"/>
        <w:ind w:left="1079" w:leftChars="257" w:hanging="540"/>
        <w:rPr>
          <w:rFonts w:ascii="仿宋" w:hAnsi="仿宋" w:eastAsia="仿宋" w:cs="仿宋"/>
          <w:sz w:val="24"/>
          <w:szCs w:val="24"/>
        </w:rPr>
      </w:pPr>
      <w:r>
        <w:rPr>
          <w:rFonts w:hint="eastAsia" w:ascii="仿宋" w:hAnsi="仿宋" w:eastAsia="仿宋" w:cs="仿宋"/>
          <w:sz w:val="24"/>
          <w:szCs w:val="24"/>
        </w:rPr>
        <w:t>项目编号:                       包号</w:t>
      </w:r>
    </w:p>
    <w:p w14:paraId="141D1209">
      <w:pPr>
        <w:pStyle w:val="18"/>
        <w:spacing w:line="240" w:lineRule="atLeast"/>
        <w:ind w:left="1079" w:leftChars="257" w:hanging="540"/>
        <w:rPr>
          <w:rFonts w:ascii="仿宋" w:hAnsi="仿宋" w:eastAsia="仿宋" w:cs="仿宋"/>
          <w:sz w:val="24"/>
          <w:szCs w:val="24"/>
        </w:rPr>
      </w:pPr>
    </w:p>
    <w:tbl>
      <w:tblPr>
        <w:tblStyle w:val="38"/>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588"/>
        <w:gridCol w:w="2225"/>
        <w:gridCol w:w="1167"/>
        <w:gridCol w:w="1256"/>
        <w:gridCol w:w="1227"/>
        <w:gridCol w:w="1132"/>
      </w:tblGrid>
      <w:tr w14:paraId="7E49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7" w:type="dxa"/>
            <w:vAlign w:val="center"/>
          </w:tcPr>
          <w:p w14:paraId="522FA7DB">
            <w:pPr>
              <w:pStyle w:val="18"/>
              <w:spacing w:line="240" w:lineRule="atLeast"/>
              <w:jc w:val="center"/>
              <w:rPr>
                <w:rFonts w:ascii="仿宋" w:hAnsi="仿宋" w:eastAsia="仿宋" w:cs="仿宋"/>
                <w:sz w:val="24"/>
                <w:szCs w:val="24"/>
              </w:rPr>
            </w:pPr>
            <w:r>
              <w:rPr>
                <w:rFonts w:hint="eastAsia" w:ascii="仿宋" w:hAnsi="仿宋" w:eastAsia="仿宋" w:cs="仿宋"/>
                <w:sz w:val="24"/>
                <w:szCs w:val="24"/>
              </w:rPr>
              <w:t>序号</w:t>
            </w:r>
          </w:p>
        </w:tc>
        <w:tc>
          <w:tcPr>
            <w:tcW w:w="1588" w:type="dxa"/>
            <w:vAlign w:val="center"/>
          </w:tcPr>
          <w:p w14:paraId="71AA0CCE">
            <w:pPr>
              <w:pStyle w:val="18"/>
              <w:spacing w:line="240" w:lineRule="atLeast"/>
              <w:jc w:val="center"/>
              <w:rPr>
                <w:rFonts w:ascii="仿宋" w:hAnsi="仿宋" w:eastAsia="仿宋" w:cs="仿宋"/>
                <w:sz w:val="24"/>
                <w:szCs w:val="24"/>
              </w:rPr>
            </w:pPr>
            <w:r>
              <w:rPr>
                <w:rFonts w:hint="eastAsia" w:ascii="仿宋" w:hAnsi="仿宋" w:eastAsia="仿宋" w:cs="仿宋"/>
                <w:sz w:val="24"/>
                <w:szCs w:val="24"/>
              </w:rPr>
              <w:t>服务名称</w:t>
            </w:r>
          </w:p>
        </w:tc>
        <w:tc>
          <w:tcPr>
            <w:tcW w:w="2225" w:type="dxa"/>
            <w:vAlign w:val="center"/>
          </w:tcPr>
          <w:p w14:paraId="1BD6410F">
            <w:pPr>
              <w:pStyle w:val="18"/>
              <w:spacing w:line="240" w:lineRule="atLeast"/>
              <w:jc w:val="center"/>
              <w:rPr>
                <w:rFonts w:ascii="仿宋" w:hAnsi="仿宋" w:eastAsia="仿宋" w:cs="仿宋"/>
                <w:sz w:val="24"/>
                <w:szCs w:val="24"/>
              </w:rPr>
            </w:pPr>
            <w:r>
              <w:rPr>
                <w:rFonts w:hint="eastAsia" w:ascii="仿宋" w:hAnsi="仿宋" w:eastAsia="仿宋" w:cs="仿宋"/>
                <w:sz w:val="24"/>
                <w:szCs w:val="24"/>
              </w:rPr>
              <w:t>服务内容</w:t>
            </w:r>
          </w:p>
        </w:tc>
        <w:tc>
          <w:tcPr>
            <w:tcW w:w="1167" w:type="dxa"/>
            <w:vAlign w:val="center"/>
          </w:tcPr>
          <w:p w14:paraId="0FBC0CF4">
            <w:pPr>
              <w:pStyle w:val="18"/>
              <w:spacing w:line="240" w:lineRule="atLeast"/>
              <w:jc w:val="center"/>
              <w:rPr>
                <w:rFonts w:ascii="仿宋" w:hAnsi="仿宋" w:eastAsia="仿宋" w:cs="仿宋"/>
                <w:sz w:val="24"/>
                <w:szCs w:val="24"/>
              </w:rPr>
            </w:pPr>
            <w:r>
              <w:rPr>
                <w:rFonts w:hint="eastAsia" w:ascii="仿宋" w:hAnsi="仿宋" w:eastAsia="仿宋" w:cs="仿宋"/>
                <w:sz w:val="24"/>
                <w:szCs w:val="24"/>
              </w:rPr>
              <w:t>数量</w:t>
            </w:r>
          </w:p>
        </w:tc>
        <w:tc>
          <w:tcPr>
            <w:tcW w:w="1256" w:type="dxa"/>
            <w:vAlign w:val="center"/>
          </w:tcPr>
          <w:p w14:paraId="24AF14ED">
            <w:pPr>
              <w:pStyle w:val="18"/>
              <w:spacing w:line="240" w:lineRule="atLeast"/>
              <w:jc w:val="center"/>
              <w:rPr>
                <w:rFonts w:ascii="仿宋" w:hAnsi="仿宋" w:eastAsia="仿宋" w:cs="仿宋"/>
                <w:sz w:val="24"/>
                <w:szCs w:val="24"/>
              </w:rPr>
            </w:pPr>
            <w:r>
              <w:rPr>
                <w:rFonts w:hint="eastAsia" w:ascii="仿宋" w:hAnsi="仿宋" w:eastAsia="仿宋" w:cs="仿宋"/>
                <w:sz w:val="24"/>
                <w:szCs w:val="24"/>
              </w:rPr>
              <w:t>服务期限</w:t>
            </w:r>
          </w:p>
        </w:tc>
        <w:tc>
          <w:tcPr>
            <w:tcW w:w="1227" w:type="dxa"/>
            <w:vAlign w:val="center"/>
          </w:tcPr>
          <w:p w14:paraId="5771667D">
            <w:pPr>
              <w:pStyle w:val="18"/>
              <w:spacing w:line="240" w:lineRule="atLeast"/>
              <w:jc w:val="center"/>
              <w:rPr>
                <w:rFonts w:ascii="仿宋" w:hAnsi="仿宋" w:eastAsia="仿宋" w:cs="仿宋"/>
                <w:sz w:val="24"/>
                <w:szCs w:val="24"/>
              </w:rPr>
            </w:pPr>
            <w:r>
              <w:rPr>
                <w:rFonts w:hint="eastAsia" w:ascii="仿宋" w:hAnsi="仿宋" w:eastAsia="仿宋" w:cs="仿宋"/>
                <w:sz w:val="24"/>
                <w:szCs w:val="24"/>
              </w:rPr>
              <w:t>服务地点</w:t>
            </w:r>
          </w:p>
        </w:tc>
        <w:tc>
          <w:tcPr>
            <w:tcW w:w="1132" w:type="dxa"/>
            <w:vAlign w:val="center"/>
          </w:tcPr>
          <w:p w14:paraId="72917CAC">
            <w:pPr>
              <w:pStyle w:val="18"/>
              <w:spacing w:line="240" w:lineRule="atLeast"/>
              <w:jc w:val="center"/>
              <w:rPr>
                <w:rFonts w:ascii="仿宋" w:hAnsi="仿宋" w:eastAsia="仿宋" w:cs="仿宋"/>
                <w:sz w:val="24"/>
                <w:szCs w:val="24"/>
              </w:rPr>
            </w:pPr>
            <w:r>
              <w:rPr>
                <w:rFonts w:hint="eastAsia" w:ascii="仿宋" w:hAnsi="仿宋" w:eastAsia="仿宋" w:cs="仿宋"/>
                <w:sz w:val="24"/>
                <w:szCs w:val="24"/>
              </w:rPr>
              <w:t>其他</w:t>
            </w:r>
          </w:p>
        </w:tc>
      </w:tr>
      <w:tr w14:paraId="6242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77" w:type="dxa"/>
            <w:vAlign w:val="center"/>
          </w:tcPr>
          <w:p w14:paraId="6641E447">
            <w:pPr>
              <w:widowControl/>
              <w:jc w:val="center"/>
              <w:textAlignment w:val="center"/>
              <w:rPr>
                <w:rFonts w:ascii="宋体" w:hAnsi="宋体" w:cs="宋体"/>
                <w:color w:val="000000"/>
                <w:kern w:val="0"/>
                <w:sz w:val="22"/>
                <w:szCs w:val="22"/>
              </w:rPr>
            </w:pPr>
          </w:p>
        </w:tc>
        <w:tc>
          <w:tcPr>
            <w:tcW w:w="1588" w:type="dxa"/>
            <w:vAlign w:val="center"/>
          </w:tcPr>
          <w:p w14:paraId="4CFB1D18">
            <w:pPr>
              <w:widowControl/>
              <w:jc w:val="left"/>
              <w:textAlignment w:val="center"/>
              <w:rPr>
                <w:rFonts w:ascii="宋体" w:hAnsi="宋体" w:cs="宋体"/>
                <w:color w:val="000000"/>
                <w:kern w:val="0"/>
                <w:sz w:val="22"/>
                <w:szCs w:val="22"/>
              </w:rPr>
            </w:pPr>
          </w:p>
        </w:tc>
        <w:tc>
          <w:tcPr>
            <w:tcW w:w="2225" w:type="dxa"/>
            <w:vAlign w:val="center"/>
          </w:tcPr>
          <w:p w14:paraId="47563DE2">
            <w:pPr>
              <w:pStyle w:val="18"/>
              <w:spacing w:line="240" w:lineRule="atLeast"/>
              <w:jc w:val="left"/>
              <w:rPr>
                <w:rFonts w:hAnsi="宋体" w:cs="宋体"/>
                <w:color w:val="000000"/>
                <w:kern w:val="0"/>
                <w:sz w:val="22"/>
                <w:szCs w:val="22"/>
              </w:rPr>
            </w:pPr>
          </w:p>
        </w:tc>
        <w:tc>
          <w:tcPr>
            <w:tcW w:w="1167" w:type="dxa"/>
            <w:vAlign w:val="center"/>
          </w:tcPr>
          <w:p w14:paraId="2E3BA125">
            <w:pPr>
              <w:widowControl/>
              <w:jc w:val="center"/>
              <w:textAlignment w:val="center"/>
              <w:rPr>
                <w:rFonts w:ascii="宋体" w:hAnsi="宋体" w:cs="宋体"/>
                <w:color w:val="000000"/>
                <w:kern w:val="0"/>
                <w:sz w:val="22"/>
                <w:szCs w:val="22"/>
              </w:rPr>
            </w:pPr>
          </w:p>
        </w:tc>
        <w:tc>
          <w:tcPr>
            <w:tcW w:w="1256" w:type="dxa"/>
            <w:vAlign w:val="center"/>
          </w:tcPr>
          <w:p w14:paraId="78C53BE6">
            <w:pPr>
              <w:pStyle w:val="18"/>
              <w:spacing w:line="240" w:lineRule="atLeast"/>
              <w:ind w:left="1079" w:leftChars="257" w:hanging="540"/>
              <w:jc w:val="left"/>
              <w:rPr>
                <w:rFonts w:ascii="仿宋" w:hAnsi="仿宋" w:eastAsia="仿宋" w:cs="仿宋"/>
                <w:sz w:val="24"/>
                <w:szCs w:val="24"/>
              </w:rPr>
            </w:pPr>
          </w:p>
        </w:tc>
        <w:tc>
          <w:tcPr>
            <w:tcW w:w="1227" w:type="dxa"/>
            <w:vAlign w:val="center"/>
          </w:tcPr>
          <w:p w14:paraId="7BA0041A">
            <w:pPr>
              <w:pStyle w:val="18"/>
              <w:spacing w:line="240" w:lineRule="atLeast"/>
              <w:ind w:left="1079" w:leftChars="257" w:hanging="540"/>
              <w:jc w:val="left"/>
              <w:rPr>
                <w:rFonts w:ascii="仿宋" w:hAnsi="仿宋" w:eastAsia="仿宋" w:cs="仿宋"/>
                <w:sz w:val="24"/>
                <w:szCs w:val="24"/>
              </w:rPr>
            </w:pPr>
          </w:p>
        </w:tc>
        <w:tc>
          <w:tcPr>
            <w:tcW w:w="1132" w:type="dxa"/>
            <w:vAlign w:val="center"/>
          </w:tcPr>
          <w:p w14:paraId="4895F0AA">
            <w:pPr>
              <w:pStyle w:val="18"/>
              <w:spacing w:line="240" w:lineRule="atLeast"/>
              <w:ind w:left="1079" w:leftChars="257" w:hanging="540"/>
              <w:jc w:val="left"/>
              <w:rPr>
                <w:rFonts w:ascii="仿宋" w:hAnsi="仿宋" w:eastAsia="仿宋" w:cs="仿宋"/>
                <w:sz w:val="24"/>
                <w:szCs w:val="24"/>
              </w:rPr>
            </w:pPr>
          </w:p>
        </w:tc>
      </w:tr>
      <w:tr w14:paraId="7DEF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77" w:type="dxa"/>
            <w:vAlign w:val="center"/>
          </w:tcPr>
          <w:p w14:paraId="7A964970">
            <w:pPr>
              <w:widowControl/>
              <w:jc w:val="center"/>
              <w:textAlignment w:val="center"/>
              <w:rPr>
                <w:rFonts w:ascii="宋体" w:hAnsi="宋体" w:cs="宋体"/>
                <w:color w:val="000000"/>
                <w:kern w:val="0"/>
                <w:sz w:val="22"/>
                <w:szCs w:val="22"/>
              </w:rPr>
            </w:pPr>
          </w:p>
        </w:tc>
        <w:tc>
          <w:tcPr>
            <w:tcW w:w="1588" w:type="dxa"/>
            <w:vAlign w:val="center"/>
          </w:tcPr>
          <w:p w14:paraId="79167FD8">
            <w:pPr>
              <w:widowControl/>
              <w:jc w:val="left"/>
              <w:textAlignment w:val="center"/>
              <w:rPr>
                <w:rFonts w:ascii="宋体" w:hAnsi="宋体" w:cs="宋体"/>
                <w:color w:val="000000"/>
                <w:kern w:val="0"/>
                <w:sz w:val="22"/>
                <w:szCs w:val="22"/>
              </w:rPr>
            </w:pPr>
          </w:p>
        </w:tc>
        <w:tc>
          <w:tcPr>
            <w:tcW w:w="2225" w:type="dxa"/>
            <w:vAlign w:val="center"/>
          </w:tcPr>
          <w:p w14:paraId="2D115F7C">
            <w:pPr>
              <w:pStyle w:val="18"/>
              <w:spacing w:line="240" w:lineRule="atLeast"/>
              <w:jc w:val="left"/>
              <w:rPr>
                <w:rFonts w:hAnsi="宋体" w:cs="宋体"/>
                <w:color w:val="000000"/>
                <w:kern w:val="0"/>
                <w:sz w:val="22"/>
                <w:szCs w:val="22"/>
              </w:rPr>
            </w:pPr>
          </w:p>
        </w:tc>
        <w:tc>
          <w:tcPr>
            <w:tcW w:w="1167" w:type="dxa"/>
            <w:vAlign w:val="center"/>
          </w:tcPr>
          <w:p w14:paraId="68254558">
            <w:pPr>
              <w:widowControl/>
              <w:jc w:val="center"/>
              <w:textAlignment w:val="center"/>
              <w:rPr>
                <w:rFonts w:ascii="宋体" w:hAnsi="宋体" w:cs="宋体"/>
                <w:color w:val="000000"/>
                <w:kern w:val="0"/>
                <w:sz w:val="22"/>
                <w:szCs w:val="22"/>
              </w:rPr>
            </w:pPr>
          </w:p>
        </w:tc>
        <w:tc>
          <w:tcPr>
            <w:tcW w:w="1256" w:type="dxa"/>
            <w:vAlign w:val="center"/>
          </w:tcPr>
          <w:p w14:paraId="34D9873F">
            <w:pPr>
              <w:pStyle w:val="18"/>
              <w:spacing w:line="240" w:lineRule="atLeast"/>
              <w:ind w:left="1079" w:leftChars="257" w:hanging="540"/>
              <w:jc w:val="left"/>
              <w:rPr>
                <w:rFonts w:ascii="仿宋" w:hAnsi="仿宋" w:eastAsia="仿宋" w:cs="仿宋"/>
                <w:sz w:val="24"/>
                <w:szCs w:val="24"/>
              </w:rPr>
            </w:pPr>
          </w:p>
        </w:tc>
        <w:tc>
          <w:tcPr>
            <w:tcW w:w="1227" w:type="dxa"/>
            <w:vAlign w:val="center"/>
          </w:tcPr>
          <w:p w14:paraId="09CA8DAE">
            <w:pPr>
              <w:pStyle w:val="18"/>
              <w:spacing w:line="240" w:lineRule="atLeast"/>
              <w:ind w:left="1079" w:leftChars="257" w:hanging="540"/>
              <w:jc w:val="left"/>
              <w:rPr>
                <w:rFonts w:ascii="仿宋" w:hAnsi="仿宋" w:eastAsia="仿宋" w:cs="仿宋"/>
                <w:sz w:val="24"/>
                <w:szCs w:val="24"/>
              </w:rPr>
            </w:pPr>
          </w:p>
        </w:tc>
        <w:tc>
          <w:tcPr>
            <w:tcW w:w="1132" w:type="dxa"/>
            <w:vAlign w:val="center"/>
          </w:tcPr>
          <w:p w14:paraId="689F047C">
            <w:pPr>
              <w:pStyle w:val="18"/>
              <w:spacing w:line="240" w:lineRule="atLeast"/>
              <w:ind w:left="1079" w:leftChars="257" w:hanging="540"/>
              <w:jc w:val="left"/>
              <w:rPr>
                <w:rFonts w:ascii="仿宋" w:hAnsi="仿宋" w:eastAsia="仿宋" w:cs="仿宋"/>
                <w:sz w:val="24"/>
                <w:szCs w:val="24"/>
              </w:rPr>
            </w:pPr>
          </w:p>
        </w:tc>
      </w:tr>
      <w:tr w14:paraId="643A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77" w:type="dxa"/>
            <w:vAlign w:val="center"/>
          </w:tcPr>
          <w:p w14:paraId="5AE9AB87">
            <w:pPr>
              <w:widowControl/>
              <w:jc w:val="center"/>
              <w:textAlignment w:val="center"/>
              <w:rPr>
                <w:rFonts w:ascii="宋体" w:hAnsi="宋体" w:cs="宋体"/>
                <w:color w:val="000000"/>
                <w:kern w:val="0"/>
                <w:sz w:val="22"/>
                <w:szCs w:val="22"/>
              </w:rPr>
            </w:pPr>
          </w:p>
        </w:tc>
        <w:tc>
          <w:tcPr>
            <w:tcW w:w="1588" w:type="dxa"/>
            <w:vAlign w:val="center"/>
          </w:tcPr>
          <w:p w14:paraId="5AF52750">
            <w:pPr>
              <w:widowControl/>
              <w:jc w:val="left"/>
              <w:textAlignment w:val="center"/>
              <w:rPr>
                <w:rFonts w:ascii="宋体" w:hAnsi="宋体" w:cs="宋体"/>
                <w:color w:val="000000"/>
                <w:kern w:val="0"/>
                <w:sz w:val="22"/>
                <w:szCs w:val="22"/>
              </w:rPr>
            </w:pPr>
          </w:p>
        </w:tc>
        <w:tc>
          <w:tcPr>
            <w:tcW w:w="2225" w:type="dxa"/>
            <w:vAlign w:val="center"/>
          </w:tcPr>
          <w:p w14:paraId="6E2E7204">
            <w:pPr>
              <w:pStyle w:val="18"/>
              <w:spacing w:line="240" w:lineRule="atLeast"/>
              <w:jc w:val="left"/>
              <w:rPr>
                <w:rFonts w:hAnsi="宋体" w:cs="宋体"/>
                <w:color w:val="000000"/>
                <w:kern w:val="0"/>
                <w:sz w:val="22"/>
                <w:szCs w:val="22"/>
              </w:rPr>
            </w:pPr>
          </w:p>
        </w:tc>
        <w:tc>
          <w:tcPr>
            <w:tcW w:w="1167" w:type="dxa"/>
            <w:vAlign w:val="center"/>
          </w:tcPr>
          <w:p w14:paraId="430389A2">
            <w:pPr>
              <w:widowControl/>
              <w:jc w:val="center"/>
              <w:textAlignment w:val="center"/>
              <w:rPr>
                <w:rFonts w:ascii="宋体" w:hAnsi="宋体" w:cs="宋体"/>
                <w:color w:val="000000"/>
                <w:kern w:val="0"/>
                <w:sz w:val="22"/>
                <w:szCs w:val="22"/>
              </w:rPr>
            </w:pPr>
          </w:p>
        </w:tc>
        <w:tc>
          <w:tcPr>
            <w:tcW w:w="1256" w:type="dxa"/>
            <w:vAlign w:val="center"/>
          </w:tcPr>
          <w:p w14:paraId="53F7CD68">
            <w:pPr>
              <w:pStyle w:val="18"/>
              <w:spacing w:line="240" w:lineRule="atLeast"/>
              <w:ind w:left="1079" w:leftChars="257" w:hanging="540"/>
              <w:jc w:val="left"/>
              <w:rPr>
                <w:rFonts w:ascii="仿宋" w:hAnsi="仿宋" w:eastAsia="仿宋" w:cs="仿宋"/>
                <w:sz w:val="24"/>
                <w:szCs w:val="24"/>
              </w:rPr>
            </w:pPr>
          </w:p>
        </w:tc>
        <w:tc>
          <w:tcPr>
            <w:tcW w:w="1227" w:type="dxa"/>
            <w:vAlign w:val="center"/>
          </w:tcPr>
          <w:p w14:paraId="3016642E">
            <w:pPr>
              <w:pStyle w:val="18"/>
              <w:spacing w:line="240" w:lineRule="atLeast"/>
              <w:ind w:left="1079" w:leftChars="257" w:hanging="540"/>
              <w:jc w:val="left"/>
              <w:rPr>
                <w:rFonts w:ascii="仿宋" w:hAnsi="仿宋" w:eastAsia="仿宋" w:cs="仿宋"/>
                <w:sz w:val="24"/>
                <w:szCs w:val="24"/>
              </w:rPr>
            </w:pPr>
          </w:p>
        </w:tc>
        <w:tc>
          <w:tcPr>
            <w:tcW w:w="1132" w:type="dxa"/>
            <w:vAlign w:val="center"/>
          </w:tcPr>
          <w:p w14:paraId="4FEA8830">
            <w:pPr>
              <w:pStyle w:val="18"/>
              <w:spacing w:line="240" w:lineRule="atLeast"/>
              <w:ind w:left="1079" w:leftChars="257" w:hanging="540"/>
              <w:jc w:val="left"/>
              <w:rPr>
                <w:rFonts w:ascii="仿宋" w:hAnsi="仿宋" w:eastAsia="仿宋" w:cs="仿宋"/>
                <w:sz w:val="24"/>
                <w:szCs w:val="24"/>
              </w:rPr>
            </w:pPr>
          </w:p>
        </w:tc>
      </w:tr>
      <w:tr w14:paraId="7624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77" w:type="dxa"/>
            <w:vAlign w:val="center"/>
          </w:tcPr>
          <w:p w14:paraId="0F93EC12">
            <w:pPr>
              <w:widowControl/>
              <w:jc w:val="center"/>
              <w:textAlignment w:val="center"/>
              <w:rPr>
                <w:rFonts w:ascii="宋体" w:hAnsi="宋体" w:cs="宋体"/>
                <w:color w:val="000000"/>
                <w:kern w:val="0"/>
                <w:sz w:val="22"/>
                <w:szCs w:val="22"/>
              </w:rPr>
            </w:pPr>
          </w:p>
        </w:tc>
        <w:tc>
          <w:tcPr>
            <w:tcW w:w="1588" w:type="dxa"/>
            <w:vAlign w:val="center"/>
          </w:tcPr>
          <w:p w14:paraId="47E1BA5B">
            <w:pPr>
              <w:widowControl/>
              <w:jc w:val="left"/>
              <w:textAlignment w:val="center"/>
              <w:rPr>
                <w:rFonts w:ascii="宋体" w:hAnsi="宋体" w:cs="宋体"/>
                <w:color w:val="000000"/>
                <w:kern w:val="0"/>
                <w:sz w:val="22"/>
                <w:szCs w:val="22"/>
              </w:rPr>
            </w:pPr>
          </w:p>
        </w:tc>
        <w:tc>
          <w:tcPr>
            <w:tcW w:w="2225" w:type="dxa"/>
            <w:vAlign w:val="center"/>
          </w:tcPr>
          <w:p w14:paraId="102AB0F8">
            <w:pPr>
              <w:pStyle w:val="18"/>
              <w:spacing w:line="240" w:lineRule="atLeast"/>
              <w:jc w:val="left"/>
              <w:rPr>
                <w:rFonts w:hAnsi="宋体" w:cs="宋体"/>
                <w:color w:val="000000"/>
                <w:kern w:val="0"/>
                <w:sz w:val="22"/>
                <w:szCs w:val="22"/>
              </w:rPr>
            </w:pPr>
          </w:p>
        </w:tc>
        <w:tc>
          <w:tcPr>
            <w:tcW w:w="1167" w:type="dxa"/>
            <w:vAlign w:val="center"/>
          </w:tcPr>
          <w:p w14:paraId="7D1A3B2A">
            <w:pPr>
              <w:widowControl/>
              <w:jc w:val="center"/>
              <w:textAlignment w:val="center"/>
              <w:rPr>
                <w:rFonts w:ascii="宋体" w:hAnsi="宋体" w:cs="宋体"/>
                <w:color w:val="000000"/>
                <w:kern w:val="0"/>
                <w:sz w:val="22"/>
                <w:szCs w:val="22"/>
              </w:rPr>
            </w:pPr>
          </w:p>
        </w:tc>
        <w:tc>
          <w:tcPr>
            <w:tcW w:w="1256" w:type="dxa"/>
            <w:vAlign w:val="center"/>
          </w:tcPr>
          <w:p w14:paraId="0039E0EA">
            <w:pPr>
              <w:pStyle w:val="18"/>
              <w:spacing w:line="240" w:lineRule="atLeast"/>
              <w:ind w:left="1079" w:leftChars="257" w:hanging="540"/>
              <w:jc w:val="left"/>
              <w:rPr>
                <w:rFonts w:ascii="仿宋" w:hAnsi="仿宋" w:eastAsia="仿宋" w:cs="仿宋"/>
                <w:sz w:val="24"/>
                <w:szCs w:val="24"/>
              </w:rPr>
            </w:pPr>
          </w:p>
        </w:tc>
        <w:tc>
          <w:tcPr>
            <w:tcW w:w="1227" w:type="dxa"/>
            <w:vAlign w:val="center"/>
          </w:tcPr>
          <w:p w14:paraId="5469AA42">
            <w:pPr>
              <w:pStyle w:val="18"/>
              <w:spacing w:line="240" w:lineRule="atLeast"/>
              <w:ind w:left="1079" w:leftChars="257" w:hanging="540"/>
              <w:jc w:val="left"/>
              <w:rPr>
                <w:rFonts w:ascii="仿宋" w:hAnsi="仿宋" w:eastAsia="仿宋" w:cs="仿宋"/>
                <w:sz w:val="24"/>
                <w:szCs w:val="24"/>
              </w:rPr>
            </w:pPr>
          </w:p>
        </w:tc>
        <w:tc>
          <w:tcPr>
            <w:tcW w:w="1132" w:type="dxa"/>
            <w:vAlign w:val="center"/>
          </w:tcPr>
          <w:p w14:paraId="6B356E7B">
            <w:pPr>
              <w:pStyle w:val="18"/>
              <w:spacing w:line="240" w:lineRule="atLeast"/>
              <w:ind w:left="1079" w:leftChars="257" w:hanging="540"/>
              <w:jc w:val="left"/>
              <w:rPr>
                <w:rFonts w:ascii="仿宋" w:hAnsi="仿宋" w:eastAsia="仿宋" w:cs="仿宋"/>
                <w:sz w:val="24"/>
                <w:szCs w:val="24"/>
              </w:rPr>
            </w:pPr>
          </w:p>
        </w:tc>
      </w:tr>
      <w:tr w14:paraId="7AF9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35CB956E">
            <w:pPr>
              <w:widowControl/>
              <w:jc w:val="center"/>
              <w:textAlignment w:val="center"/>
              <w:rPr>
                <w:rFonts w:ascii="宋体" w:hAnsi="宋体" w:cs="宋体"/>
                <w:color w:val="000000"/>
                <w:kern w:val="0"/>
                <w:sz w:val="22"/>
                <w:szCs w:val="22"/>
              </w:rPr>
            </w:pPr>
          </w:p>
        </w:tc>
        <w:tc>
          <w:tcPr>
            <w:tcW w:w="1588" w:type="dxa"/>
            <w:vAlign w:val="center"/>
          </w:tcPr>
          <w:p w14:paraId="1AFC8C0E">
            <w:pPr>
              <w:widowControl/>
              <w:jc w:val="left"/>
              <w:textAlignment w:val="center"/>
              <w:rPr>
                <w:rFonts w:ascii="宋体" w:hAnsi="宋体" w:cs="宋体"/>
                <w:color w:val="000000"/>
                <w:kern w:val="0"/>
                <w:sz w:val="22"/>
                <w:szCs w:val="22"/>
              </w:rPr>
            </w:pPr>
          </w:p>
        </w:tc>
        <w:tc>
          <w:tcPr>
            <w:tcW w:w="2225" w:type="dxa"/>
            <w:vAlign w:val="center"/>
          </w:tcPr>
          <w:p w14:paraId="6AD66DD8">
            <w:pPr>
              <w:pStyle w:val="18"/>
              <w:spacing w:line="240" w:lineRule="atLeast"/>
              <w:jc w:val="left"/>
              <w:rPr>
                <w:rFonts w:hAnsi="宋体" w:cs="宋体"/>
                <w:color w:val="000000"/>
                <w:kern w:val="0"/>
                <w:sz w:val="22"/>
                <w:szCs w:val="22"/>
              </w:rPr>
            </w:pPr>
          </w:p>
        </w:tc>
        <w:tc>
          <w:tcPr>
            <w:tcW w:w="1167" w:type="dxa"/>
            <w:vAlign w:val="center"/>
          </w:tcPr>
          <w:p w14:paraId="0A28072F">
            <w:pPr>
              <w:widowControl/>
              <w:jc w:val="center"/>
              <w:textAlignment w:val="center"/>
              <w:rPr>
                <w:rFonts w:ascii="宋体" w:hAnsi="宋体" w:cs="宋体"/>
                <w:color w:val="000000"/>
                <w:kern w:val="0"/>
                <w:sz w:val="22"/>
                <w:szCs w:val="22"/>
              </w:rPr>
            </w:pPr>
          </w:p>
        </w:tc>
        <w:tc>
          <w:tcPr>
            <w:tcW w:w="1256" w:type="dxa"/>
            <w:vAlign w:val="center"/>
          </w:tcPr>
          <w:p w14:paraId="4F28A52A">
            <w:pPr>
              <w:pStyle w:val="18"/>
              <w:spacing w:line="240" w:lineRule="atLeast"/>
              <w:ind w:left="1079" w:leftChars="257" w:hanging="540"/>
              <w:jc w:val="left"/>
              <w:rPr>
                <w:rFonts w:ascii="仿宋" w:hAnsi="仿宋" w:eastAsia="仿宋" w:cs="仿宋"/>
                <w:sz w:val="24"/>
                <w:szCs w:val="24"/>
              </w:rPr>
            </w:pPr>
          </w:p>
        </w:tc>
        <w:tc>
          <w:tcPr>
            <w:tcW w:w="1227" w:type="dxa"/>
            <w:vAlign w:val="center"/>
          </w:tcPr>
          <w:p w14:paraId="3C247C36">
            <w:pPr>
              <w:pStyle w:val="18"/>
              <w:spacing w:line="240" w:lineRule="atLeast"/>
              <w:ind w:left="1079" w:leftChars="257" w:hanging="540"/>
              <w:jc w:val="left"/>
              <w:rPr>
                <w:rFonts w:ascii="仿宋" w:hAnsi="仿宋" w:eastAsia="仿宋" w:cs="仿宋"/>
                <w:sz w:val="24"/>
                <w:szCs w:val="24"/>
              </w:rPr>
            </w:pPr>
          </w:p>
        </w:tc>
        <w:tc>
          <w:tcPr>
            <w:tcW w:w="1132" w:type="dxa"/>
            <w:vAlign w:val="center"/>
          </w:tcPr>
          <w:p w14:paraId="05517547">
            <w:pPr>
              <w:pStyle w:val="18"/>
              <w:spacing w:line="240" w:lineRule="atLeast"/>
              <w:ind w:left="1079" w:leftChars="257" w:hanging="540"/>
              <w:jc w:val="left"/>
              <w:rPr>
                <w:rFonts w:ascii="仿宋" w:hAnsi="仿宋" w:eastAsia="仿宋" w:cs="仿宋"/>
                <w:sz w:val="24"/>
                <w:szCs w:val="24"/>
              </w:rPr>
            </w:pPr>
          </w:p>
        </w:tc>
      </w:tr>
      <w:tr w14:paraId="4EB5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6E99BE9B">
            <w:pPr>
              <w:widowControl/>
              <w:jc w:val="center"/>
              <w:textAlignment w:val="center"/>
              <w:rPr>
                <w:rFonts w:ascii="宋体" w:hAnsi="宋体" w:cs="宋体"/>
                <w:color w:val="000000"/>
                <w:kern w:val="0"/>
                <w:sz w:val="22"/>
                <w:szCs w:val="22"/>
              </w:rPr>
            </w:pPr>
          </w:p>
        </w:tc>
        <w:tc>
          <w:tcPr>
            <w:tcW w:w="1588" w:type="dxa"/>
            <w:vAlign w:val="center"/>
          </w:tcPr>
          <w:p w14:paraId="13B53C49">
            <w:pPr>
              <w:widowControl/>
              <w:jc w:val="left"/>
              <w:textAlignment w:val="center"/>
              <w:rPr>
                <w:rFonts w:ascii="宋体" w:hAnsi="宋体" w:cs="宋体"/>
                <w:color w:val="000000"/>
                <w:kern w:val="0"/>
                <w:sz w:val="22"/>
                <w:szCs w:val="22"/>
              </w:rPr>
            </w:pPr>
          </w:p>
        </w:tc>
        <w:tc>
          <w:tcPr>
            <w:tcW w:w="2225" w:type="dxa"/>
            <w:vAlign w:val="center"/>
          </w:tcPr>
          <w:p w14:paraId="377F1048">
            <w:pPr>
              <w:pStyle w:val="18"/>
              <w:spacing w:line="240" w:lineRule="atLeast"/>
              <w:jc w:val="left"/>
              <w:rPr>
                <w:rFonts w:hAnsi="宋体" w:cs="宋体"/>
                <w:color w:val="000000"/>
                <w:kern w:val="0"/>
                <w:sz w:val="22"/>
                <w:szCs w:val="22"/>
              </w:rPr>
            </w:pPr>
          </w:p>
        </w:tc>
        <w:tc>
          <w:tcPr>
            <w:tcW w:w="1167" w:type="dxa"/>
            <w:vAlign w:val="center"/>
          </w:tcPr>
          <w:p w14:paraId="17DCAFFA">
            <w:pPr>
              <w:widowControl/>
              <w:jc w:val="center"/>
              <w:textAlignment w:val="center"/>
              <w:rPr>
                <w:rFonts w:ascii="宋体" w:hAnsi="宋体" w:cs="宋体"/>
                <w:color w:val="000000"/>
                <w:kern w:val="0"/>
                <w:sz w:val="22"/>
                <w:szCs w:val="22"/>
              </w:rPr>
            </w:pPr>
          </w:p>
        </w:tc>
        <w:tc>
          <w:tcPr>
            <w:tcW w:w="1256" w:type="dxa"/>
            <w:vAlign w:val="center"/>
          </w:tcPr>
          <w:p w14:paraId="08F69E65">
            <w:pPr>
              <w:pStyle w:val="18"/>
              <w:spacing w:line="240" w:lineRule="atLeast"/>
              <w:ind w:left="1079" w:leftChars="257" w:hanging="540"/>
              <w:jc w:val="left"/>
              <w:rPr>
                <w:rFonts w:ascii="仿宋" w:hAnsi="仿宋" w:eastAsia="仿宋" w:cs="仿宋"/>
                <w:sz w:val="24"/>
                <w:szCs w:val="24"/>
              </w:rPr>
            </w:pPr>
          </w:p>
        </w:tc>
        <w:tc>
          <w:tcPr>
            <w:tcW w:w="1227" w:type="dxa"/>
            <w:vAlign w:val="center"/>
          </w:tcPr>
          <w:p w14:paraId="19A30BF1">
            <w:pPr>
              <w:pStyle w:val="18"/>
              <w:spacing w:line="240" w:lineRule="atLeast"/>
              <w:ind w:left="1079" w:leftChars="257" w:hanging="540"/>
              <w:jc w:val="left"/>
              <w:rPr>
                <w:rFonts w:ascii="仿宋" w:hAnsi="仿宋" w:eastAsia="仿宋" w:cs="仿宋"/>
                <w:sz w:val="24"/>
                <w:szCs w:val="24"/>
              </w:rPr>
            </w:pPr>
          </w:p>
        </w:tc>
        <w:tc>
          <w:tcPr>
            <w:tcW w:w="1132" w:type="dxa"/>
            <w:vAlign w:val="center"/>
          </w:tcPr>
          <w:p w14:paraId="2C8F79F9">
            <w:pPr>
              <w:pStyle w:val="18"/>
              <w:spacing w:line="240" w:lineRule="atLeast"/>
              <w:ind w:left="1079" w:leftChars="257" w:hanging="540"/>
              <w:jc w:val="left"/>
              <w:rPr>
                <w:rFonts w:ascii="仿宋" w:hAnsi="仿宋" w:eastAsia="仿宋" w:cs="仿宋"/>
                <w:sz w:val="24"/>
                <w:szCs w:val="24"/>
              </w:rPr>
            </w:pPr>
          </w:p>
        </w:tc>
      </w:tr>
      <w:tr w14:paraId="121A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715757CD">
            <w:pPr>
              <w:widowControl/>
              <w:jc w:val="center"/>
              <w:textAlignment w:val="center"/>
              <w:rPr>
                <w:rFonts w:ascii="宋体" w:hAnsi="宋体" w:cs="宋体"/>
                <w:color w:val="000000"/>
                <w:kern w:val="0"/>
                <w:sz w:val="22"/>
                <w:szCs w:val="22"/>
              </w:rPr>
            </w:pPr>
          </w:p>
        </w:tc>
        <w:tc>
          <w:tcPr>
            <w:tcW w:w="1588" w:type="dxa"/>
            <w:vAlign w:val="center"/>
          </w:tcPr>
          <w:p w14:paraId="260084CA">
            <w:pPr>
              <w:widowControl/>
              <w:jc w:val="left"/>
              <w:textAlignment w:val="center"/>
              <w:rPr>
                <w:rFonts w:ascii="宋体" w:hAnsi="宋体" w:cs="宋体"/>
                <w:color w:val="000000"/>
                <w:kern w:val="0"/>
                <w:sz w:val="22"/>
                <w:szCs w:val="22"/>
              </w:rPr>
            </w:pPr>
          </w:p>
        </w:tc>
        <w:tc>
          <w:tcPr>
            <w:tcW w:w="2225" w:type="dxa"/>
            <w:vAlign w:val="center"/>
          </w:tcPr>
          <w:p w14:paraId="350FC746">
            <w:pPr>
              <w:pStyle w:val="18"/>
              <w:spacing w:line="240" w:lineRule="atLeast"/>
              <w:jc w:val="left"/>
              <w:rPr>
                <w:rFonts w:hAnsi="宋体" w:cs="宋体"/>
                <w:color w:val="000000"/>
                <w:kern w:val="0"/>
                <w:sz w:val="22"/>
                <w:szCs w:val="22"/>
              </w:rPr>
            </w:pPr>
          </w:p>
        </w:tc>
        <w:tc>
          <w:tcPr>
            <w:tcW w:w="1167" w:type="dxa"/>
            <w:vAlign w:val="center"/>
          </w:tcPr>
          <w:p w14:paraId="16612294">
            <w:pPr>
              <w:widowControl/>
              <w:jc w:val="center"/>
              <w:textAlignment w:val="center"/>
              <w:rPr>
                <w:rFonts w:ascii="宋体" w:hAnsi="宋体" w:cs="宋体"/>
                <w:color w:val="000000"/>
                <w:kern w:val="0"/>
                <w:sz w:val="22"/>
                <w:szCs w:val="22"/>
              </w:rPr>
            </w:pPr>
          </w:p>
        </w:tc>
        <w:tc>
          <w:tcPr>
            <w:tcW w:w="1256" w:type="dxa"/>
            <w:vAlign w:val="center"/>
          </w:tcPr>
          <w:p w14:paraId="6D5C4F3A">
            <w:pPr>
              <w:pStyle w:val="18"/>
              <w:spacing w:line="240" w:lineRule="atLeast"/>
              <w:ind w:left="1079" w:leftChars="257" w:hanging="540"/>
              <w:jc w:val="left"/>
              <w:rPr>
                <w:rFonts w:ascii="仿宋" w:hAnsi="仿宋" w:eastAsia="仿宋" w:cs="仿宋"/>
                <w:sz w:val="24"/>
                <w:szCs w:val="24"/>
              </w:rPr>
            </w:pPr>
          </w:p>
        </w:tc>
        <w:tc>
          <w:tcPr>
            <w:tcW w:w="1227" w:type="dxa"/>
            <w:vAlign w:val="center"/>
          </w:tcPr>
          <w:p w14:paraId="4970F91A">
            <w:pPr>
              <w:pStyle w:val="18"/>
              <w:spacing w:line="240" w:lineRule="atLeast"/>
              <w:ind w:left="1079" w:leftChars="257" w:hanging="540"/>
              <w:jc w:val="left"/>
              <w:rPr>
                <w:rFonts w:ascii="仿宋" w:hAnsi="仿宋" w:eastAsia="仿宋" w:cs="仿宋"/>
                <w:sz w:val="24"/>
                <w:szCs w:val="24"/>
              </w:rPr>
            </w:pPr>
          </w:p>
        </w:tc>
        <w:tc>
          <w:tcPr>
            <w:tcW w:w="1132" w:type="dxa"/>
            <w:vAlign w:val="center"/>
          </w:tcPr>
          <w:p w14:paraId="70113753">
            <w:pPr>
              <w:pStyle w:val="18"/>
              <w:spacing w:line="240" w:lineRule="atLeast"/>
              <w:ind w:left="1079" w:leftChars="257" w:hanging="540"/>
              <w:jc w:val="left"/>
              <w:rPr>
                <w:rFonts w:ascii="仿宋" w:hAnsi="仿宋" w:eastAsia="仿宋" w:cs="仿宋"/>
                <w:sz w:val="24"/>
                <w:szCs w:val="24"/>
              </w:rPr>
            </w:pPr>
          </w:p>
        </w:tc>
      </w:tr>
      <w:tr w14:paraId="2D6D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410C5990">
            <w:pPr>
              <w:widowControl/>
              <w:jc w:val="center"/>
              <w:textAlignment w:val="center"/>
              <w:rPr>
                <w:rFonts w:ascii="宋体" w:hAnsi="宋体" w:cs="宋体"/>
                <w:color w:val="000000"/>
                <w:kern w:val="0"/>
                <w:sz w:val="22"/>
                <w:szCs w:val="22"/>
              </w:rPr>
            </w:pPr>
          </w:p>
        </w:tc>
        <w:tc>
          <w:tcPr>
            <w:tcW w:w="1588" w:type="dxa"/>
            <w:vAlign w:val="center"/>
          </w:tcPr>
          <w:p w14:paraId="3C252825">
            <w:pPr>
              <w:widowControl/>
              <w:jc w:val="left"/>
              <w:textAlignment w:val="center"/>
              <w:rPr>
                <w:rFonts w:ascii="宋体" w:hAnsi="宋体" w:cs="宋体"/>
                <w:color w:val="000000"/>
                <w:kern w:val="0"/>
                <w:sz w:val="22"/>
                <w:szCs w:val="22"/>
              </w:rPr>
            </w:pPr>
          </w:p>
        </w:tc>
        <w:tc>
          <w:tcPr>
            <w:tcW w:w="2225" w:type="dxa"/>
            <w:vAlign w:val="center"/>
          </w:tcPr>
          <w:p w14:paraId="7CB7BF92">
            <w:pPr>
              <w:pStyle w:val="18"/>
              <w:spacing w:line="240" w:lineRule="atLeast"/>
              <w:jc w:val="left"/>
              <w:rPr>
                <w:rFonts w:hAnsi="宋体" w:cs="宋体"/>
                <w:color w:val="000000"/>
                <w:kern w:val="0"/>
                <w:sz w:val="22"/>
                <w:szCs w:val="22"/>
              </w:rPr>
            </w:pPr>
          </w:p>
        </w:tc>
        <w:tc>
          <w:tcPr>
            <w:tcW w:w="1167" w:type="dxa"/>
            <w:vAlign w:val="center"/>
          </w:tcPr>
          <w:p w14:paraId="3E8EDF8D">
            <w:pPr>
              <w:widowControl/>
              <w:jc w:val="center"/>
              <w:textAlignment w:val="center"/>
              <w:rPr>
                <w:rFonts w:ascii="宋体" w:hAnsi="宋体" w:cs="宋体"/>
                <w:color w:val="000000"/>
                <w:kern w:val="0"/>
                <w:sz w:val="22"/>
                <w:szCs w:val="22"/>
              </w:rPr>
            </w:pPr>
          </w:p>
        </w:tc>
        <w:tc>
          <w:tcPr>
            <w:tcW w:w="1256" w:type="dxa"/>
            <w:vAlign w:val="center"/>
          </w:tcPr>
          <w:p w14:paraId="14F10577">
            <w:pPr>
              <w:pStyle w:val="18"/>
              <w:spacing w:line="240" w:lineRule="atLeast"/>
              <w:ind w:left="1079" w:leftChars="257" w:hanging="540"/>
              <w:jc w:val="left"/>
              <w:rPr>
                <w:rFonts w:ascii="仿宋" w:hAnsi="仿宋" w:eastAsia="仿宋" w:cs="仿宋"/>
                <w:sz w:val="24"/>
                <w:szCs w:val="24"/>
              </w:rPr>
            </w:pPr>
          </w:p>
        </w:tc>
        <w:tc>
          <w:tcPr>
            <w:tcW w:w="1227" w:type="dxa"/>
            <w:vAlign w:val="center"/>
          </w:tcPr>
          <w:p w14:paraId="284731A1">
            <w:pPr>
              <w:pStyle w:val="18"/>
              <w:spacing w:line="240" w:lineRule="atLeast"/>
              <w:ind w:left="1079" w:leftChars="257" w:hanging="540"/>
              <w:jc w:val="left"/>
              <w:rPr>
                <w:rFonts w:ascii="仿宋" w:hAnsi="仿宋" w:eastAsia="仿宋" w:cs="仿宋"/>
                <w:sz w:val="24"/>
                <w:szCs w:val="24"/>
              </w:rPr>
            </w:pPr>
          </w:p>
        </w:tc>
        <w:tc>
          <w:tcPr>
            <w:tcW w:w="1132" w:type="dxa"/>
            <w:vAlign w:val="center"/>
          </w:tcPr>
          <w:p w14:paraId="03032665">
            <w:pPr>
              <w:pStyle w:val="18"/>
              <w:spacing w:line="240" w:lineRule="atLeast"/>
              <w:ind w:left="1079" w:leftChars="257" w:hanging="540"/>
              <w:jc w:val="left"/>
              <w:rPr>
                <w:rFonts w:ascii="仿宋" w:hAnsi="仿宋" w:eastAsia="仿宋" w:cs="仿宋"/>
                <w:sz w:val="24"/>
                <w:szCs w:val="24"/>
              </w:rPr>
            </w:pPr>
          </w:p>
        </w:tc>
      </w:tr>
      <w:tr w14:paraId="6A43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3C05D38A">
            <w:pPr>
              <w:widowControl/>
              <w:jc w:val="center"/>
              <w:textAlignment w:val="center"/>
              <w:rPr>
                <w:rFonts w:ascii="宋体" w:hAnsi="宋体" w:cs="宋体"/>
                <w:color w:val="000000"/>
                <w:kern w:val="0"/>
                <w:sz w:val="22"/>
                <w:szCs w:val="22"/>
              </w:rPr>
            </w:pPr>
          </w:p>
        </w:tc>
        <w:tc>
          <w:tcPr>
            <w:tcW w:w="1588" w:type="dxa"/>
            <w:vAlign w:val="center"/>
          </w:tcPr>
          <w:p w14:paraId="0525A54A">
            <w:pPr>
              <w:widowControl/>
              <w:jc w:val="left"/>
              <w:textAlignment w:val="center"/>
              <w:rPr>
                <w:rFonts w:ascii="宋体" w:hAnsi="宋体" w:cs="宋体"/>
                <w:color w:val="000000"/>
                <w:kern w:val="0"/>
                <w:sz w:val="22"/>
                <w:szCs w:val="22"/>
              </w:rPr>
            </w:pPr>
          </w:p>
        </w:tc>
        <w:tc>
          <w:tcPr>
            <w:tcW w:w="2225" w:type="dxa"/>
            <w:vAlign w:val="center"/>
          </w:tcPr>
          <w:p w14:paraId="5B60E458">
            <w:pPr>
              <w:pStyle w:val="18"/>
              <w:spacing w:line="240" w:lineRule="atLeast"/>
              <w:jc w:val="left"/>
              <w:rPr>
                <w:rFonts w:hAnsi="宋体" w:cs="宋体"/>
                <w:color w:val="000000"/>
                <w:kern w:val="0"/>
                <w:sz w:val="22"/>
                <w:szCs w:val="22"/>
              </w:rPr>
            </w:pPr>
          </w:p>
        </w:tc>
        <w:tc>
          <w:tcPr>
            <w:tcW w:w="1167" w:type="dxa"/>
            <w:vAlign w:val="center"/>
          </w:tcPr>
          <w:p w14:paraId="4C7F7BA2">
            <w:pPr>
              <w:widowControl/>
              <w:jc w:val="center"/>
              <w:textAlignment w:val="center"/>
              <w:rPr>
                <w:rFonts w:ascii="宋体" w:hAnsi="宋体" w:cs="宋体"/>
                <w:color w:val="000000"/>
                <w:kern w:val="0"/>
                <w:sz w:val="22"/>
                <w:szCs w:val="22"/>
              </w:rPr>
            </w:pPr>
          </w:p>
        </w:tc>
        <w:tc>
          <w:tcPr>
            <w:tcW w:w="1256" w:type="dxa"/>
            <w:vAlign w:val="center"/>
          </w:tcPr>
          <w:p w14:paraId="35C356C3">
            <w:pPr>
              <w:pStyle w:val="18"/>
              <w:spacing w:line="240" w:lineRule="atLeast"/>
              <w:ind w:left="1079" w:leftChars="257" w:hanging="540"/>
              <w:jc w:val="left"/>
              <w:rPr>
                <w:rFonts w:ascii="仿宋" w:hAnsi="仿宋" w:eastAsia="仿宋" w:cs="仿宋"/>
                <w:sz w:val="24"/>
                <w:szCs w:val="24"/>
              </w:rPr>
            </w:pPr>
          </w:p>
        </w:tc>
        <w:tc>
          <w:tcPr>
            <w:tcW w:w="1227" w:type="dxa"/>
            <w:vAlign w:val="center"/>
          </w:tcPr>
          <w:p w14:paraId="722D7BD6">
            <w:pPr>
              <w:pStyle w:val="18"/>
              <w:spacing w:line="240" w:lineRule="atLeast"/>
              <w:ind w:left="1079" w:leftChars="257" w:hanging="540"/>
              <w:jc w:val="left"/>
              <w:rPr>
                <w:rFonts w:ascii="仿宋" w:hAnsi="仿宋" w:eastAsia="仿宋" w:cs="仿宋"/>
                <w:sz w:val="24"/>
                <w:szCs w:val="24"/>
              </w:rPr>
            </w:pPr>
          </w:p>
        </w:tc>
        <w:tc>
          <w:tcPr>
            <w:tcW w:w="1132" w:type="dxa"/>
            <w:vAlign w:val="center"/>
          </w:tcPr>
          <w:p w14:paraId="7F2D8368">
            <w:pPr>
              <w:pStyle w:val="18"/>
              <w:spacing w:line="240" w:lineRule="atLeast"/>
              <w:ind w:left="1079" w:leftChars="257" w:hanging="540"/>
              <w:jc w:val="left"/>
              <w:rPr>
                <w:rFonts w:ascii="仿宋" w:hAnsi="仿宋" w:eastAsia="仿宋" w:cs="仿宋"/>
                <w:sz w:val="24"/>
                <w:szCs w:val="24"/>
              </w:rPr>
            </w:pPr>
          </w:p>
        </w:tc>
      </w:tr>
      <w:tr w14:paraId="0CF1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3EBD6F7D">
            <w:pPr>
              <w:widowControl/>
              <w:jc w:val="center"/>
              <w:textAlignment w:val="center"/>
              <w:rPr>
                <w:rFonts w:ascii="宋体" w:hAnsi="宋体" w:cs="宋体"/>
                <w:color w:val="000000"/>
                <w:kern w:val="0"/>
                <w:sz w:val="22"/>
                <w:szCs w:val="22"/>
              </w:rPr>
            </w:pPr>
          </w:p>
        </w:tc>
        <w:tc>
          <w:tcPr>
            <w:tcW w:w="1588" w:type="dxa"/>
            <w:vAlign w:val="center"/>
          </w:tcPr>
          <w:p w14:paraId="40979E7D">
            <w:pPr>
              <w:widowControl/>
              <w:jc w:val="left"/>
              <w:textAlignment w:val="center"/>
              <w:rPr>
                <w:rFonts w:ascii="宋体" w:hAnsi="宋体" w:cs="宋体"/>
                <w:color w:val="000000"/>
                <w:kern w:val="0"/>
                <w:sz w:val="22"/>
                <w:szCs w:val="22"/>
              </w:rPr>
            </w:pPr>
          </w:p>
        </w:tc>
        <w:tc>
          <w:tcPr>
            <w:tcW w:w="2225" w:type="dxa"/>
            <w:vAlign w:val="center"/>
          </w:tcPr>
          <w:p w14:paraId="361BB291">
            <w:pPr>
              <w:pStyle w:val="18"/>
              <w:spacing w:line="240" w:lineRule="atLeast"/>
              <w:jc w:val="left"/>
              <w:rPr>
                <w:rFonts w:hAnsi="宋体" w:cs="宋体"/>
                <w:color w:val="000000"/>
                <w:kern w:val="0"/>
                <w:sz w:val="22"/>
                <w:szCs w:val="22"/>
              </w:rPr>
            </w:pPr>
          </w:p>
        </w:tc>
        <w:tc>
          <w:tcPr>
            <w:tcW w:w="1167" w:type="dxa"/>
            <w:vAlign w:val="center"/>
          </w:tcPr>
          <w:p w14:paraId="7A70D1ED">
            <w:pPr>
              <w:widowControl/>
              <w:jc w:val="center"/>
              <w:textAlignment w:val="center"/>
              <w:rPr>
                <w:rFonts w:ascii="宋体" w:hAnsi="宋体" w:cs="宋体"/>
                <w:color w:val="000000"/>
                <w:kern w:val="0"/>
                <w:sz w:val="22"/>
                <w:szCs w:val="22"/>
              </w:rPr>
            </w:pPr>
          </w:p>
        </w:tc>
        <w:tc>
          <w:tcPr>
            <w:tcW w:w="1256" w:type="dxa"/>
            <w:vAlign w:val="center"/>
          </w:tcPr>
          <w:p w14:paraId="07814A87">
            <w:pPr>
              <w:pStyle w:val="18"/>
              <w:spacing w:line="240" w:lineRule="atLeast"/>
              <w:ind w:left="1079" w:leftChars="257" w:hanging="540"/>
              <w:jc w:val="left"/>
              <w:rPr>
                <w:rFonts w:ascii="仿宋" w:hAnsi="仿宋" w:eastAsia="仿宋" w:cs="仿宋"/>
                <w:sz w:val="24"/>
                <w:szCs w:val="24"/>
              </w:rPr>
            </w:pPr>
          </w:p>
        </w:tc>
        <w:tc>
          <w:tcPr>
            <w:tcW w:w="1227" w:type="dxa"/>
            <w:vAlign w:val="center"/>
          </w:tcPr>
          <w:p w14:paraId="3C72A956">
            <w:pPr>
              <w:pStyle w:val="18"/>
              <w:spacing w:line="240" w:lineRule="atLeast"/>
              <w:ind w:left="1079" w:leftChars="257" w:hanging="540"/>
              <w:jc w:val="left"/>
              <w:rPr>
                <w:rFonts w:ascii="仿宋" w:hAnsi="仿宋" w:eastAsia="仿宋" w:cs="仿宋"/>
                <w:sz w:val="24"/>
                <w:szCs w:val="24"/>
              </w:rPr>
            </w:pPr>
          </w:p>
        </w:tc>
        <w:tc>
          <w:tcPr>
            <w:tcW w:w="1132" w:type="dxa"/>
            <w:vAlign w:val="center"/>
          </w:tcPr>
          <w:p w14:paraId="6F609E2F">
            <w:pPr>
              <w:pStyle w:val="18"/>
              <w:spacing w:line="240" w:lineRule="atLeast"/>
              <w:ind w:left="1079" w:leftChars="257" w:hanging="540"/>
              <w:jc w:val="left"/>
              <w:rPr>
                <w:rFonts w:ascii="仿宋" w:hAnsi="仿宋" w:eastAsia="仿宋" w:cs="仿宋"/>
                <w:sz w:val="24"/>
                <w:szCs w:val="24"/>
              </w:rPr>
            </w:pPr>
          </w:p>
        </w:tc>
      </w:tr>
      <w:tr w14:paraId="3E6E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5202EE88">
            <w:pPr>
              <w:widowControl/>
              <w:jc w:val="center"/>
              <w:textAlignment w:val="center"/>
              <w:rPr>
                <w:rFonts w:ascii="宋体" w:hAnsi="宋体" w:cs="宋体"/>
                <w:color w:val="000000"/>
                <w:kern w:val="0"/>
                <w:sz w:val="22"/>
                <w:szCs w:val="22"/>
              </w:rPr>
            </w:pPr>
          </w:p>
        </w:tc>
        <w:tc>
          <w:tcPr>
            <w:tcW w:w="1588" w:type="dxa"/>
            <w:vAlign w:val="center"/>
          </w:tcPr>
          <w:p w14:paraId="54ED7B86">
            <w:pPr>
              <w:widowControl/>
              <w:jc w:val="left"/>
              <w:textAlignment w:val="center"/>
              <w:rPr>
                <w:rFonts w:ascii="宋体" w:hAnsi="宋体" w:cs="宋体"/>
                <w:color w:val="000000"/>
                <w:kern w:val="0"/>
                <w:sz w:val="22"/>
                <w:szCs w:val="22"/>
              </w:rPr>
            </w:pPr>
          </w:p>
        </w:tc>
        <w:tc>
          <w:tcPr>
            <w:tcW w:w="2225" w:type="dxa"/>
            <w:vAlign w:val="center"/>
          </w:tcPr>
          <w:p w14:paraId="3C74EE79">
            <w:pPr>
              <w:pStyle w:val="18"/>
              <w:spacing w:line="240" w:lineRule="atLeast"/>
              <w:jc w:val="left"/>
              <w:rPr>
                <w:rFonts w:hAnsi="宋体" w:cs="宋体"/>
                <w:color w:val="000000"/>
                <w:kern w:val="0"/>
                <w:sz w:val="22"/>
                <w:szCs w:val="22"/>
              </w:rPr>
            </w:pPr>
          </w:p>
        </w:tc>
        <w:tc>
          <w:tcPr>
            <w:tcW w:w="1167" w:type="dxa"/>
            <w:vAlign w:val="center"/>
          </w:tcPr>
          <w:p w14:paraId="53E6EC44">
            <w:pPr>
              <w:widowControl/>
              <w:jc w:val="center"/>
              <w:textAlignment w:val="center"/>
              <w:rPr>
                <w:rFonts w:ascii="宋体" w:hAnsi="宋体" w:cs="宋体"/>
                <w:color w:val="000000"/>
                <w:kern w:val="0"/>
                <w:sz w:val="22"/>
                <w:szCs w:val="22"/>
              </w:rPr>
            </w:pPr>
          </w:p>
        </w:tc>
        <w:tc>
          <w:tcPr>
            <w:tcW w:w="1256" w:type="dxa"/>
            <w:vAlign w:val="center"/>
          </w:tcPr>
          <w:p w14:paraId="3B5405B7">
            <w:pPr>
              <w:pStyle w:val="18"/>
              <w:spacing w:line="240" w:lineRule="atLeast"/>
              <w:ind w:left="1079" w:leftChars="257" w:hanging="540"/>
              <w:jc w:val="left"/>
              <w:rPr>
                <w:rFonts w:ascii="仿宋" w:hAnsi="仿宋" w:eastAsia="仿宋" w:cs="仿宋"/>
                <w:sz w:val="24"/>
                <w:szCs w:val="24"/>
              </w:rPr>
            </w:pPr>
          </w:p>
        </w:tc>
        <w:tc>
          <w:tcPr>
            <w:tcW w:w="1227" w:type="dxa"/>
            <w:vAlign w:val="center"/>
          </w:tcPr>
          <w:p w14:paraId="20903BC5">
            <w:pPr>
              <w:pStyle w:val="18"/>
              <w:spacing w:line="240" w:lineRule="atLeast"/>
              <w:ind w:left="1079" w:leftChars="257" w:hanging="540"/>
              <w:jc w:val="left"/>
              <w:rPr>
                <w:rFonts w:ascii="仿宋" w:hAnsi="仿宋" w:eastAsia="仿宋" w:cs="仿宋"/>
                <w:sz w:val="24"/>
                <w:szCs w:val="24"/>
              </w:rPr>
            </w:pPr>
          </w:p>
        </w:tc>
        <w:tc>
          <w:tcPr>
            <w:tcW w:w="1132" w:type="dxa"/>
            <w:vAlign w:val="center"/>
          </w:tcPr>
          <w:p w14:paraId="6A503C24">
            <w:pPr>
              <w:pStyle w:val="18"/>
              <w:spacing w:line="240" w:lineRule="atLeast"/>
              <w:ind w:left="1079" w:leftChars="257" w:hanging="540"/>
              <w:jc w:val="left"/>
              <w:rPr>
                <w:rFonts w:ascii="仿宋" w:hAnsi="仿宋" w:eastAsia="仿宋" w:cs="仿宋"/>
                <w:sz w:val="24"/>
                <w:szCs w:val="24"/>
              </w:rPr>
            </w:pPr>
          </w:p>
        </w:tc>
      </w:tr>
      <w:tr w14:paraId="1997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779B255E">
            <w:pPr>
              <w:widowControl/>
              <w:jc w:val="center"/>
              <w:textAlignment w:val="center"/>
              <w:rPr>
                <w:rFonts w:ascii="宋体" w:hAnsi="宋体" w:cs="宋体"/>
                <w:color w:val="000000"/>
                <w:kern w:val="0"/>
                <w:sz w:val="22"/>
                <w:szCs w:val="22"/>
              </w:rPr>
            </w:pPr>
          </w:p>
        </w:tc>
        <w:tc>
          <w:tcPr>
            <w:tcW w:w="1588" w:type="dxa"/>
            <w:vAlign w:val="center"/>
          </w:tcPr>
          <w:p w14:paraId="52E515B5">
            <w:pPr>
              <w:widowControl/>
              <w:jc w:val="left"/>
              <w:textAlignment w:val="center"/>
              <w:rPr>
                <w:rFonts w:ascii="宋体" w:hAnsi="宋体" w:cs="宋体"/>
                <w:color w:val="000000"/>
                <w:kern w:val="0"/>
                <w:sz w:val="22"/>
                <w:szCs w:val="22"/>
              </w:rPr>
            </w:pPr>
          </w:p>
        </w:tc>
        <w:tc>
          <w:tcPr>
            <w:tcW w:w="2225" w:type="dxa"/>
            <w:vAlign w:val="center"/>
          </w:tcPr>
          <w:p w14:paraId="19162595">
            <w:pPr>
              <w:pStyle w:val="18"/>
              <w:spacing w:line="240" w:lineRule="atLeast"/>
              <w:jc w:val="left"/>
              <w:rPr>
                <w:rFonts w:hAnsi="宋体" w:cs="宋体"/>
                <w:color w:val="000000"/>
                <w:kern w:val="0"/>
                <w:sz w:val="22"/>
                <w:szCs w:val="22"/>
              </w:rPr>
            </w:pPr>
          </w:p>
        </w:tc>
        <w:tc>
          <w:tcPr>
            <w:tcW w:w="1167" w:type="dxa"/>
            <w:vAlign w:val="center"/>
          </w:tcPr>
          <w:p w14:paraId="0211AAA4">
            <w:pPr>
              <w:widowControl/>
              <w:jc w:val="center"/>
              <w:textAlignment w:val="center"/>
              <w:rPr>
                <w:rFonts w:ascii="宋体" w:hAnsi="宋体" w:cs="宋体"/>
                <w:color w:val="000000"/>
                <w:kern w:val="0"/>
                <w:sz w:val="22"/>
                <w:szCs w:val="22"/>
              </w:rPr>
            </w:pPr>
          </w:p>
        </w:tc>
        <w:tc>
          <w:tcPr>
            <w:tcW w:w="1256" w:type="dxa"/>
            <w:vAlign w:val="center"/>
          </w:tcPr>
          <w:p w14:paraId="5FD3443A">
            <w:pPr>
              <w:pStyle w:val="18"/>
              <w:spacing w:line="240" w:lineRule="atLeast"/>
              <w:ind w:left="1079" w:leftChars="257" w:hanging="540"/>
              <w:jc w:val="left"/>
              <w:rPr>
                <w:rFonts w:ascii="仿宋" w:hAnsi="仿宋" w:eastAsia="仿宋" w:cs="仿宋"/>
                <w:sz w:val="24"/>
                <w:szCs w:val="24"/>
              </w:rPr>
            </w:pPr>
          </w:p>
        </w:tc>
        <w:tc>
          <w:tcPr>
            <w:tcW w:w="1227" w:type="dxa"/>
            <w:vAlign w:val="center"/>
          </w:tcPr>
          <w:p w14:paraId="3BADC65A">
            <w:pPr>
              <w:pStyle w:val="18"/>
              <w:spacing w:line="240" w:lineRule="atLeast"/>
              <w:ind w:left="1079" w:leftChars="257" w:hanging="540"/>
              <w:jc w:val="left"/>
              <w:rPr>
                <w:rFonts w:ascii="仿宋" w:hAnsi="仿宋" w:eastAsia="仿宋" w:cs="仿宋"/>
                <w:sz w:val="24"/>
                <w:szCs w:val="24"/>
              </w:rPr>
            </w:pPr>
          </w:p>
        </w:tc>
        <w:tc>
          <w:tcPr>
            <w:tcW w:w="1132" w:type="dxa"/>
            <w:vAlign w:val="center"/>
          </w:tcPr>
          <w:p w14:paraId="13A87765">
            <w:pPr>
              <w:pStyle w:val="18"/>
              <w:spacing w:line="240" w:lineRule="atLeast"/>
              <w:ind w:left="1079" w:leftChars="257" w:hanging="540"/>
              <w:jc w:val="left"/>
              <w:rPr>
                <w:rFonts w:ascii="仿宋" w:hAnsi="仿宋" w:eastAsia="仿宋" w:cs="仿宋"/>
                <w:sz w:val="24"/>
                <w:szCs w:val="24"/>
              </w:rPr>
            </w:pPr>
          </w:p>
        </w:tc>
      </w:tr>
      <w:tr w14:paraId="675F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45CF3946">
            <w:pPr>
              <w:widowControl/>
              <w:jc w:val="center"/>
              <w:textAlignment w:val="center"/>
              <w:rPr>
                <w:rFonts w:ascii="宋体" w:hAnsi="宋体" w:cs="宋体"/>
                <w:color w:val="000000"/>
                <w:kern w:val="0"/>
                <w:sz w:val="22"/>
                <w:szCs w:val="22"/>
              </w:rPr>
            </w:pPr>
          </w:p>
        </w:tc>
        <w:tc>
          <w:tcPr>
            <w:tcW w:w="1588" w:type="dxa"/>
            <w:vAlign w:val="center"/>
          </w:tcPr>
          <w:p w14:paraId="7A38E07A">
            <w:pPr>
              <w:widowControl/>
              <w:jc w:val="left"/>
              <w:textAlignment w:val="center"/>
              <w:rPr>
                <w:rFonts w:ascii="宋体" w:hAnsi="宋体" w:cs="宋体"/>
                <w:color w:val="000000"/>
                <w:kern w:val="0"/>
                <w:sz w:val="22"/>
                <w:szCs w:val="22"/>
              </w:rPr>
            </w:pPr>
          </w:p>
        </w:tc>
        <w:tc>
          <w:tcPr>
            <w:tcW w:w="2225" w:type="dxa"/>
            <w:vAlign w:val="center"/>
          </w:tcPr>
          <w:p w14:paraId="5098CC9B">
            <w:pPr>
              <w:pStyle w:val="18"/>
              <w:spacing w:line="240" w:lineRule="atLeast"/>
              <w:jc w:val="left"/>
              <w:rPr>
                <w:rFonts w:hAnsi="宋体" w:cs="宋体"/>
                <w:color w:val="000000"/>
                <w:kern w:val="0"/>
                <w:sz w:val="22"/>
                <w:szCs w:val="22"/>
              </w:rPr>
            </w:pPr>
          </w:p>
        </w:tc>
        <w:tc>
          <w:tcPr>
            <w:tcW w:w="1167" w:type="dxa"/>
            <w:vAlign w:val="center"/>
          </w:tcPr>
          <w:p w14:paraId="2E3B6270">
            <w:pPr>
              <w:widowControl/>
              <w:jc w:val="center"/>
              <w:textAlignment w:val="center"/>
              <w:rPr>
                <w:rFonts w:ascii="宋体" w:hAnsi="宋体" w:cs="宋体"/>
                <w:color w:val="000000"/>
                <w:kern w:val="0"/>
                <w:sz w:val="22"/>
                <w:szCs w:val="22"/>
              </w:rPr>
            </w:pPr>
          </w:p>
        </w:tc>
        <w:tc>
          <w:tcPr>
            <w:tcW w:w="1256" w:type="dxa"/>
            <w:vAlign w:val="center"/>
          </w:tcPr>
          <w:p w14:paraId="146DAA5E">
            <w:pPr>
              <w:pStyle w:val="18"/>
              <w:spacing w:line="240" w:lineRule="atLeast"/>
              <w:ind w:left="1079" w:leftChars="257" w:hanging="540"/>
              <w:jc w:val="left"/>
              <w:rPr>
                <w:rFonts w:ascii="仿宋" w:hAnsi="仿宋" w:eastAsia="仿宋" w:cs="仿宋"/>
                <w:sz w:val="24"/>
                <w:szCs w:val="24"/>
              </w:rPr>
            </w:pPr>
          </w:p>
        </w:tc>
        <w:tc>
          <w:tcPr>
            <w:tcW w:w="1227" w:type="dxa"/>
            <w:vAlign w:val="center"/>
          </w:tcPr>
          <w:p w14:paraId="7AC1586B">
            <w:pPr>
              <w:pStyle w:val="18"/>
              <w:spacing w:line="240" w:lineRule="atLeast"/>
              <w:ind w:left="1079" w:leftChars="257" w:hanging="540"/>
              <w:jc w:val="left"/>
              <w:rPr>
                <w:rFonts w:ascii="仿宋" w:hAnsi="仿宋" w:eastAsia="仿宋" w:cs="仿宋"/>
                <w:sz w:val="24"/>
                <w:szCs w:val="24"/>
              </w:rPr>
            </w:pPr>
          </w:p>
        </w:tc>
        <w:tc>
          <w:tcPr>
            <w:tcW w:w="1132" w:type="dxa"/>
            <w:vAlign w:val="center"/>
          </w:tcPr>
          <w:p w14:paraId="50042E0C">
            <w:pPr>
              <w:pStyle w:val="18"/>
              <w:spacing w:line="240" w:lineRule="atLeast"/>
              <w:ind w:left="1079" w:leftChars="257" w:hanging="540"/>
              <w:jc w:val="left"/>
              <w:rPr>
                <w:rFonts w:ascii="仿宋" w:hAnsi="仿宋" w:eastAsia="仿宋" w:cs="仿宋"/>
                <w:sz w:val="24"/>
                <w:szCs w:val="24"/>
              </w:rPr>
            </w:pPr>
          </w:p>
        </w:tc>
      </w:tr>
    </w:tbl>
    <w:p w14:paraId="65ECC3F8">
      <w:pPr>
        <w:pStyle w:val="18"/>
        <w:spacing w:line="240" w:lineRule="atLeast"/>
        <w:rPr>
          <w:rFonts w:ascii="仿宋" w:hAnsi="仿宋" w:eastAsia="仿宋" w:cs="仿宋"/>
          <w:sz w:val="24"/>
          <w:szCs w:val="24"/>
        </w:rPr>
      </w:pPr>
      <w:bookmarkStart w:id="673" w:name="_Toc16873"/>
    </w:p>
    <w:p w14:paraId="4D4D4879">
      <w:pPr>
        <w:pStyle w:val="18"/>
        <w:spacing w:line="240" w:lineRule="atLeast"/>
        <w:rPr>
          <w:rFonts w:ascii="仿宋" w:hAnsi="仿宋" w:eastAsia="仿宋" w:cs="仿宋"/>
          <w:sz w:val="24"/>
          <w:szCs w:val="24"/>
        </w:rPr>
      </w:pPr>
      <w:r>
        <w:rPr>
          <w:rFonts w:hint="eastAsia" w:ascii="仿宋" w:hAnsi="仿宋" w:eastAsia="仿宋" w:cs="仿宋"/>
          <w:sz w:val="24"/>
          <w:szCs w:val="24"/>
        </w:rPr>
        <w:t>法定代表人或其委托代理人（CA签字）: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768FECD8">
      <w:pPr>
        <w:pStyle w:val="18"/>
        <w:tabs>
          <w:tab w:val="left" w:pos="5370"/>
        </w:tabs>
        <w:spacing w:line="240" w:lineRule="atLeast"/>
        <w:rPr>
          <w:rFonts w:ascii="仿宋" w:hAnsi="仿宋" w:eastAsia="仿宋" w:cs="仿宋"/>
          <w:sz w:val="24"/>
          <w:szCs w:val="24"/>
          <w:u w:val="single"/>
        </w:rPr>
      </w:pPr>
      <w:r>
        <w:rPr>
          <w:rFonts w:hint="eastAsia" w:ascii="仿宋" w:hAnsi="仿宋" w:eastAsia="仿宋" w:cs="仿宋"/>
          <w:sz w:val="24"/>
          <w:szCs w:val="24"/>
        </w:rPr>
        <w:t>供应商(电子签章):</w:t>
      </w:r>
      <w:r>
        <w:rPr>
          <w:rFonts w:hint="eastAsia" w:ascii="仿宋" w:hAnsi="仿宋" w:eastAsia="仿宋" w:cs="仿宋"/>
          <w:sz w:val="24"/>
          <w:szCs w:val="24"/>
          <w:u w:val="single"/>
        </w:rPr>
        <w:tab/>
      </w:r>
    </w:p>
    <w:p w14:paraId="64F78C8C">
      <w:pPr>
        <w:pStyle w:val="18"/>
        <w:tabs>
          <w:tab w:val="left" w:pos="5370"/>
        </w:tabs>
        <w:spacing w:line="240" w:lineRule="atLeast"/>
        <w:rPr>
          <w:rFonts w:ascii="微软雅黑" w:hAnsi="微软雅黑" w:eastAsia="微软雅黑" w:cs="微软雅黑"/>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bookmarkEnd w:id="673"/>
    </w:p>
    <w:p w14:paraId="62D58B30">
      <w:pPr>
        <w:pStyle w:val="5"/>
        <w:spacing w:before="0" w:line="360" w:lineRule="exact"/>
        <w:ind w:left="1079" w:leftChars="257" w:hanging="540"/>
        <w:rPr>
          <w:rFonts w:ascii="微软雅黑" w:hAnsi="微软雅黑" w:eastAsia="微软雅黑" w:cs="微软雅黑"/>
          <w:bCs/>
          <w:sz w:val="24"/>
          <w:szCs w:val="24"/>
        </w:rPr>
      </w:pPr>
    </w:p>
    <w:p w14:paraId="5F5CD056">
      <w:pPr>
        <w:pStyle w:val="5"/>
        <w:spacing w:before="0" w:line="360" w:lineRule="exact"/>
        <w:ind w:left="1079" w:leftChars="257" w:hanging="540"/>
        <w:rPr>
          <w:rFonts w:ascii="Times New Roman" w:hAnsi="Times New Roman" w:eastAsia="方正仿宋_GBK"/>
          <w:sz w:val="28"/>
          <w:szCs w:val="28"/>
        </w:rPr>
      </w:pPr>
      <w:r>
        <w:rPr>
          <w:rFonts w:ascii="Times New Roman" w:hAnsi="Times New Roman" w:eastAsia="方正仿宋_GBK"/>
          <w:bCs/>
          <w:sz w:val="28"/>
          <w:szCs w:val="28"/>
        </w:rPr>
        <w:t>3、</w:t>
      </w:r>
      <w:bookmarkEnd w:id="651"/>
      <w:bookmarkEnd w:id="671"/>
      <w:r>
        <w:rPr>
          <w:rFonts w:ascii="Times New Roman" w:hAnsi="Times New Roman" w:eastAsia="方正仿宋_GBK"/>
          <w:bCs/>
          <w:sz w:val="28"/>
          <w:szCs w:val="28"/>
        </w:rPr>
        <w:t>报价明细表</w:t>
      </w:r>
      <w:bookmarkEnd w:id="672"/>
    </w:p>
    <w:p w14:paraId="60F384B6">
      <w:pPr>
        <w:pStyle w:val="18"/>
        <w:spacing w:line="360" w:lineRule="exact"/>
        <w:jc w:val="left"/>
        <w:rPr>
          <w:rFonts w:ascii="微软雅黑" w:hAnsi="微软雅黑" w:eastAsia="微软雅黑" w:cs="微软雅黑"/>
          <w:sz w:val="24"/>
          <w:szCs w:val="24"/>
        </w:rPr>
      </w:pPr>
    </w:p>
    <w:p w14:paraId="3683749E">
      <w:pPr>
        <w:pStyle w:val="18"/>
        <w:spacing w:line="400" w:lineRule="exact"/>
        <w:jc w:val="left"/>
        <w:rPr>
          <w:rFonts w:ascii="Times New Roman" w:hAnsi="Times New Roman" w:eastAsia="方正仿宋_GBK"/>
          <w:sz w:val="24"/>
          <w:szCs w:val="24"/>
        </w:rPr>
      </w:pPr>
      <w:r>
        <w:rPr>
          <w:rFonts w:ascii="Times New Roman" w:hAnsi="Times New Roman" w:eastAsia="方正仿宋_GBK"/>
          <w:sz w:val="24"/>
          <w:szCs w:val="24"/>
        </w:rPr>
        <w:t>项目名称:                      招标编号:                  标段号： 　 　             报价单位：</w:t>
      </w:r>
      <w:r>
        <w:rPr>
          <w:rFonts w:hint="eastAsia" w:ascii="Times New Roman" w:hAnsi="Times New Roman" w:eastAsia="方正仿宋_GBK"/>
          <w:sz w:val="24"/>
          <w:szCs w:val="24"/>
        </w:rPr>
        <w:t xml:space="preserve"> 元</w:t>
      </w:r>
    </w:p>
    <w:tbl>
      <w:tblPr>
        <w:tblStyle w:val="38"/>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107"/>
        <w:gridCol w:w="1185"/>
        <w:gridCol w:w="783"/>
        <w:gridCol w:w="1342"/>
        <w:gridCol w:w="1580"/>
        <w:gridCol w:w="1461"/>
        <w:gridCol w:w="993"/>
      </w:tblGrid>
      <w:tr w14:paraId="7B5F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904" w:type="dxa"/>
            <w:noWrap/>
            <w:vAlign w:val="center"/>
          </w:tcPr>
          <w:p w14:paraId="0DC225AA">
            <w:pPr>
              <w:pStyle w:val="18"/>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序号</w:t>
            </w:r>
          </w:p>
        </w:tc>
        <w:tc>
          <w:tcPr>
            <w:tcW w:w="2107" w:type="dxa"/>
            <w:noWrap/>
            <w:vAlign w:val="center"/>
          </w:tcPr>
          <w:p w14:paraId="6537D63E">
            <w:pPr>
              <w:pStyle w:val="18"/>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服务名称</w:t>
            </w:r>
          </w:p>
        </w:tc>
        <w:tc>
          <w:tcPr>
            <w:tcW w:w="1185" w:type="dxa"/>
            <w:noWrap/>
            <w:vAlign w:val="center"/>
          </w:tcPr>
          <w:p w14:paraId="082E6E3E">
            <w:pPr>
              <w:pStyle w:val="18"/>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服务内容</w:t>
            </w:r>
          </w:p>
        </w:tc>
        <w:tc>
          <w:tcPr>
            <w:tcW w:w="783" w:type="dxa"/>
            <w:noWrap/>
            <w:vAlign w:val="center"/>
          </w:tcPr>
          <w:p w14:paraId="1A98DD47">
            <w:pPr>
              <w:pStyle w:val="18"/>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数量</w:t>
            </w:r>
          </w:p>
        </w:tc>
        <w:tc>
          <w:tcPr>
            <w:tcW w:w="1342" w:type="dxa"/>
            <w:noWrap/>
            <w:vAlign w:val="center"/>
          </w:tcPr>
          <w:p w14:paraId="14128988">
            <w:pPr>
              <w:pStyle w:val="18"/>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总价</w:t>
            </w:r>
          </w:p>
        </w:tc>
        <w:tc>
          <w:tcPr>
            <w:tcW w:w="1580" w:type="dxa"/>
            <w:noWrap/>
            <w:vAlign w:val="center"/>
          </w:tcPr>
          <w:p w14:paraId="08774ED0">
            <w:pPr>
              <w:pStyle w:val="18"/>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服务期限</w:t>
            </w:r>
          </w:p>
        </w:tc>
        <w:tc>
          <w:tcPr>
            <w:tcW w:w="1461" w:type="dxa"/>
            <w:noWrap/>
            <w:vAlign w:val="center"/>
          </w:tcPr>
          <w:p w14:paraId="7B7F2C44">
            <w:pPr>
              <w:pStyle w:val="18"/>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服务商</w:t>
            </w:r>
          </w:p>
        </w:tc>
        <w:tc>
          <w:tcPr>
            <w:tcW w:w="993" w:type="dxa"/>
            <w:noWrap/>
            <w:vAlign w:val="center"/>
          </w:tcPr>
          <w:p w14:paraId="34E783E9">
            <w:pPr>
              <w:pStyle w:val="18"/>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备注</w:t>
            </w:r>
          </w:p>
        </w:tc>
      </w:tr>
      <w:tr w14:paraId="5AF8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04" w:type="dxa"/>
            <w:noWrap/>
            <w:vAlign w:val="center"/>
          </w:tcPr>
          <w:p w14:paraId="7376E881">
            <w:pPr>
              <w:pStyle w:val="18"/>
              <w:spacing w:line="400" w:lineRule="exact"/>
              <w:rPr>
                <w:rFonts w:ascii="Times New Roman" w:hAnsi="Times New Roman" w:eastAsia="方正仿宋_GBK"/>
                <w:sz w:val="24"/>
                <w:szCs w:val="24"/>
              </w:rPr>
            </w:pPr>
          </w:p>
        </w:tc>
        <w:tc>
          <w:tcPr>
            <w:tcW w:w="2107" w:type="dxa"/>
            <w:noWrap/>
            <w:vAlign w:val="center"/>
          </w:tcPr>
          <w:p w14:paraId="33CD6EB5">
            <w:pPr>
              <w:pStyle w:val="18"/>
              <w:spacing w:line="400" w:lineRule="exact"/>
              <w:jc w:val="center"/>
              <w:rPr>
                <w:rFonts w:ascii="Times New Roman" w:hAnsi="Times New Roman" w:eastAsia="方正仿宋_GBK"/>
                <w:sz w:val="24"/>
                <w:szCs w:val="24"/>
              </w:rPr>
            </w:pPr>
          </w:p>
        </w:tc>
        <w:tc>
          <w:tcPr>
            <w:tcW w:w="1185" w:type="dxa"/>
            <w:noWrap/>
            <w:vAlign w:val="center"/>
          </w:tcPr>
          <w:p w14:paraId="6C24F645">
            <w:pPr>
              <w:pStyle w:val="18"/>
              <w:spacing w:line="400" w:lineRule="exact"/>
              <w:ind w:left="1079" w:leftChars="257" w:hanging="540"/>
              <w:jc w:val="center"/>
              <w:rPr>
                <w:rFonts w:ascii="Times New Roman" w:hAnsi="Times New Roman" w:eastAsia="方正仿宋_GBK"/>
                <w:sz w:val="24"/>
                <w:szCs w:val="24"/>
              </w:rPr>
            </w:pPr>
          </w:p>
        </w:tc>
        <w:tc>
          <w:tcPr>
            <w:tcW w:w="783" w:type="dxa"/>
            <w:noWrap/>
            <w:vAlign w:val="center"/>
          </w:tcPr>
          <w:p w14:paraId="496DC6B9">
            <w:pPr>
              <w:pStyle w:val="18"/>
              <w:spacing w:line="400" w:lineRule="exact"/>
              <w:ind w:left="1079" w:leftChars="257" w:hanging="540"/>
              <w:jc w:val="center"/>
              <w:rPr>
                <w:rFonts w:ascii="Times New Roman" w:hAnsi="Times New Roman" w:eastAsia="方正仿宋_GBK"/>
                <w:sz w:val="24"/>
                <w:szCs w:val="24"/>
              </w:rPr>
            </w:pPr>
          </w:p>
        </w:tc>
        <w:tc>
          <w:tcPr>
            <w:tcW w:w="1342" w:type="dxa"/>
            <w:noWrap/>
            <w:vAlign w:val="center"/>
          </w:tcPr>
          <w:p w14:paraId="6F21C945">
            <w:pPr>
              <w:pStyle w:val="18"/>
              <w:spacing w:line="400" w:lineRule="exact"/>
              <w:ind w:left="1079" w:leftChars="257" w:hanging="540"/>
              <w:jc w:val="center"/>
              <w:rPr>
                <w:rFonts w:ascii="Times New Roman" w:hAnsi="Times New Roman" w:eastAsia="方正仿宋_GBK"/>
                <w:sz w:val="24"/>
                <w:szCs w:val="24"/>
              </w:rPr>
            </w:pPr>
          </w:p>
        </w:tc>
        <w:tc>
          <w:tcPr>
            <w:tcW w:w="1580" w:type="dxa"/>
            <w:noWrap/>
            <w:vAlign w:val="center"/>
          </w:tcPr>
          <w:p w14:paraId="4C9010AE">
            <w:pPr>
              <w:pStyle w:val="18"/>
              <w:spacing w:line="400" w:lineRule="exact"/>
              <w:ind w:left="1079" w:leftChars="257" w:hanging="540"/>
              <w:jc w:val="center"/>
              <w:rPr>
                <w:rFonts w:ascii="Times New Roman" w:hAnsi="Times New Roman" w:eastAsia="方正仿宋_GBK"/>
                <w:sz w:val="24"/>
                <w:szCs w:val="24"/>
              </w:rPr>
            </w:pPr>
          </w:p>
        </w:tc>
        <w:tc>
          <w:tcPr>
            <w:tcW w:w="1461" w:type="dxa"/>
            <w:noWrap/>
            <w:vAlign w:val="center"/>
          </w:tcPr>
          <w:p w14:paraId="307020A6">
            <w:pPr>
              <w:pStyle w:val="18"/>
              <w:spacing w:line="400" w:lineRule="exact"/>
              <w:ind w:left="1079" w:leftChars="257" w:hanging="540"/>
              <w:jc w:val="center"/>
              <w:rPr>
                <w:rFonts w:ascii="Times New Roman" w:hAnsi="Times New Roman" w:eastAsia="方正仿宋_GBK"/>
                <w:sz w:val="24"/>
                <w:szCs w:val="24"/>
              </w:rPr>
            </w:pPr>
          </w:p>
        </w:tc>
        <w:tc>
          <w:tcPr>
            <w:tcW w:w="993" w:type="dxa"/>
            <w:noWrap/>
            <w:vAlign w:val="center"/>
          </w:tcPr>
          <w:p w14:paraId="5FF5FA46">
            <w:pPr>
              <w:pStyle w:val="18"/>
              <w:spacing w:line="400" w:lineRule="exact"/>
              <w:ind w:left="1079" w:leftChars="257" w:hanging="540"/>
              <w:jc w:val="center"/>
              <w:rPr>
                <w:rFonts w:ascii="Times New Roman" w:hAnsi="Times New Roman" w:eastAsia="方正仿宋_GBK"/>
                <w:sz w:val="24"/>
                <w:szCs w:val="24"/>
              </w:rPr>
            </w:pPr>
          </w:p>
        </w:tc>
      </w:tr>
      <w:tr w14:paraId="5A42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04" w:type="dxa"/>
            <w:noWrap/>
            <w:vAlign w:val="center"/>
          </w:tcPr>
          <w:p w14:paraId="034DA841">
            <w:pPr>
              <w:pStyle w:val="18"/>
              <w:spacing w:line="400" w:lineRule="exact"/>
              <w:rPr>
                <w:rFonts w:ascii="Times New Roman" w:hAnsi="Times New Roman" w:eastAsia="方正仿宋_GBK"/>
                <w:sz w:val="24"/>
                <w:szCs w:val="24"/>
              </w:rPr>
            </w:pPr>
          </w:p>
        </w:tc>
        <w:tc>
          <w:tcPr>
            <w:tcW w:w="2107" w:type="dxa"/>
            <w:noWrap/>
            <w:vAlign w:val="center"/>
          </w:tcPr>
          <w:p w14:paraId="2F9123F5">
            <w:pPr>
              <w:pStyle w:val="18"/>
              <w:spacing w:line="400" w:lineRule="exact"/>
              <w:jc w:val="center"/>
              <w:rPr>
                <w:rFonts w:ascii="Times New Roman" w:hAnsi="Times New Roman" w:eastAsia="方正仿宋_GBK"/>
                <w:sz w:val="24"/>
                <w:szCs w:val="24"/>
              </w:rPr>
            </w:pPr>
          </w:p>
        </w:tc>
        <w:tc>
          <w:tcPr>
            <w:tcW w:w="1185" w:type="dxa"/>
            <w:noWrap/>
            <w:vAlign w:val="center"/>
          </w:tcPr>
          <w:p w14:paraId="7683DD9E">
            <w:pPr>
              <w:pStyle w:val="18"/>
              <w:spacing w:line="400" w:lineRule="exact"/>
              <w:ind w:left="1079" w:leftChars="257" w:hanging="540"/>
              <w:jc w:val="center"/>
              <w:rPr>
                <w:rFonts w:ascii="Times New Roman" w:hAnsi="Times New Roman" w:eastAsia="方正仿宋_GBK"/>
                <w:sz w:val="24"/>
                <w:szCs w:val="24"/>
              </w:rPr>
            </w:pPr>
          </w:p>
        </w:tc>
        <w:tc>
          <w:tcPr>
            <w:tcW w:w="783" w:type="dxa"/>
            <w:noWrap/>
            <w:vAlign w:val="center"/>
          </w:tcPr>
          <w:p w14:paraId="681214A3">
            <w:pPr>
              <w:pStyle w:val="18"/>
              <w:spacing w:line="400" w:lineRule="exact"/>
              <w:ind w:left="1079" w:leftChars="257" w:hanging="540"/>
              <w:jc w:val="center"/>
              <w:rPr>
                <w:rFonts w:ascii="Times New Roman" w:hAnsi="Times New Roman" w:eastAsia="方正仿宋_GBK"/>
                <w:sz w:val="24"/>
                <w:szCs w:val="24"/>
              </w:rPr>
            </w:pPr>
          </w:p>
        </w:tc>
        <w:tc>
          <w:tcPr>
            <w:tcW w:w="1342" w:type="dxa"/>
            <w:noWrap/>
            <w:vAlign w:val="center"/>
          </w:tcPr>
          <w:p w14:paraId="6EB5BA9D">
            <w:pPr>
              <w:pStyle w:val="18"/>
              <w:spacing w:line="400" w:lineRule="exact"/>
              <w:ind w:left="1079" w:leftChars="257" w:hanging="540"/>
              <w:jc w:val="center"/>
              <w:rPr>
                <w:rFonts w:ascii="Times New Roman" w:hAnsi="Times New Roman" w:eastAsia="方正仿宋_GBK"/>
                <w:sz w:val="24"/>
                <w:szCs w:val="24"/>
              </w:rPr>
            </w:pPr>
          </w:p>
        </w:tc>
        <w:tc>
          <w:tcPr>
            <w:tcW w:w="1580" w:type="dxa"/>
            <w:noWrap/>
            <w:vAlign w:val="center"/>
          </w:tcPr>
          <w:p w14:paraId="50845319">
            <w:pPr>
              <w:pStyle w:val="18"/>
              <w:spacing w:line="400" w:lineRule="exact"/>
              <w:ind w:left="1079" w:leftChars="257" w:hanging="540"/>
              <w:jc w:val="center"/>
              <w:rPr>
                <w:rFonts w:ascii="Times New Roman" w:hAnsi="Times New Roman" w:eastAsia="方正仿宋_GBK"/>
                <w:sz w:val="24"/>
                <w:szCs w:val="24"/>
              </w:rPr>
            </w:pPr>
          </w:p>
        </w:tc>
        <w:tc>
          <w:tcPr>
            <w:tcW w:w="1461" w:type="dxa"/>
            <w:noWrap/>
            <w:vAlign w:val="center"/>
          </w:tcPr>
          <w:p w14:paraId="3C124BF5">
            <w:pPr>
              <w:pStyle w:val="18"/>
              <w:spacing w:line="400" w:lineRule="exact"/>
              <w:ind w:left="1079" w:leftChars="257" w:hanging="540"/>
              <w:jc w:val="center"/>
              <w:rPr>
                <w:rFonts w:ascii="Times New Roman" w:hAnsi="Times New Roman" w:eastAsia="方正仿宋_GBK"/>
                <w:sz w:val="24"/>
                <w:szCs w:val="24"/>
              </w:rPr>
            </w:pPr>
          </w:p>
        </w:tc>
        <w:tc>
          <w:tcPr>
            <w:tcW w:w="993" w:type="dxa"/>
            <w:noWrap/>
            <w:vAlign w:val="center"/>
          </w:tcPr>
          <w:p w14:paraId="3C6EF02C">
            <w:pPr>
              <w:pStyle w:val="18"/>
              <w:spacing w:line="400" w:lineRule="exact"/>
              <w:ind w:left="1079" w:leftChars="257" w:hanging="540"/>
              <w:jc w:val="center"/>
              <w:rPr>
                <w:rFonts w:ascii="Times New Roman" w:hAnsi="Times New Roman" w:eastAsia="方正仿宋_GBK"/>
                <w:sz w:val="24"/>
                <w:szCs w:val="24"/>
              </w:rPr>
            </w:pPr>
          </w:p>
        </w:tc>
      </w:tr>
      <w:tr w14:paraId="48F7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04" w:type="dxa"/>
            <w:noWrap/>
            <w:vAlign w:val="center"/>
          </w:tcPr>
          <w:p w14:paraId="250DC05A">
            <w:pPr>
              <w:pStyle w:val="18"/>
              <w:spacing w:line="400" w:lineRule="exact"/>
              <w:rPr>
                <w:rFonts w:ascii="Times New Roman" w:hAnsi="Times New Roman" w:eastAsia="方正仿宋_GBK"/>
                <w:sz w:val="24"/>
                <w:szCs w:val="24"/>
              </w:rPr>
            </w:pPr>
          </w:p>
        </w:tc>
        <w:tc>
          <w:tcPr>
            <w:tcW w:w="2107" w:type="dxa"/>
            <w:noWrap/>
            <w:vAlign w:val="center"/>
          </w:tcPr>
          <w:p w14:paraId="26A90E3B">
            <w:pPr>
              <w:pStyle w:val="18"/>
              <w:spacing w:line="400" w:lineRule="exact"/>
              <w:jc w:val="center"/>
              <w:rPr>
                <w:rFonts w:ascii="Times New Roman" w:hAnsi="Times New Roman" w:eastAsia="方正仿宋_GBK"/>
                <w:sz w:val="24"/>
                <w:szCs w:val="24"/>
              </w:rPr>
            </w:pPr>
          </w:p>
        </w:tc>
        <w:tc>
          <w:tcPr>
            <w:tcW w:w="1185" w:type="dxa"/>
            <w:noWrap/>
            <w:vAlign w:val="center"/>
          </w:tcPr>
          <w:p w14:paraId="20AB1D3A">
            <w:pPr>
              <w:pStyle w:val="18"/>
              <w:spacing w:line="400" w:lineRule="exact"/>
              <w:ind w:left="1079" w:leftChars="257" w:hanging="540"/>
              <w:jc w:val="center"/>
              <w:rPr>
                <w:rFonts w:ascii="Times New Roman" w:hAnsi="Times New Roman" w:eastAsia="方正仿宋_GBK"/>
                <w:sz w:val="24"/>
                <w:szCs w:val="24"/>
              </w:rPr>
            </w:pPr>
          </w:p>
        </w:tc>
        <w:tc>
          <w:tcPr>
            <w:tcW w:w="783" w:type="dxa"/>
            <w:noWrap/>
            <w:vAlign w:val="center"/>
          </w:tcPr>
          <w:p w14:paraId="2C01DA6A">
            <w:pPr>
              <w:pStyle w:val="18"/>
              <w:spacing w:line="400" w:lineRule="exact"/>
              <w:ind w:left="1079" w:leftChars="257" w:hanging="540"/>
              <w:jc w:val="center"/>
              <w:rPr>
                <w:rFonts w:ascii="Times New Roman" w:hAnsi="Times New Roman" w:eastAsia="方正仿宋_GBK"/>
                <w:sz w:val="24"/>
                <w:szCs w:val="24"/>
              </w:rPr>
            </w:pPr>
          </w:p>
        </w:tc>
        <w:tc>
          <w:tcPr>
            <w:tcW w:w="1342" w:type="dxa"/>
            <w:noWrap/>
            <w:vAlign w:val="center"/>
          </w:tcPr>
          <w:p w14:paraId="1298CBD0">
            <w:pPr>
              <w:pStyle w:val="18"/>
              <w:spacing w:line="400" w:lineRule="exact"/>
              <w:ind w:left="1079" w:leftChars="257" w:hanging="540"/>
              <w:jc w:val="center"/>
              <w:rPr>
                <w:rFonts w:ascii="Times New Roman" w:hAnsi="Times New Roman" w:eastAsia="方正仿宋_GBK"/>
                <w:sz w:val="24"/>
                <w:szCs w:val="24"/>
              </w:rPr>
            </w:pPr>
          </w:p>
        </w:tc>
        <w:tc>
          <w:tcPr>
            <w:tcW w:w="1580" w:type="dxa"/>
            <w:noWrap/>
            <w:vAlign w:val="center"/>
          </w:tcPr>
          <w:p w14:paraId="0C214EB7">
            <w:pPr>
              <w:pStyle w:val="18"/>
              <w:spacing w:line="400" w:lineRule="exact"/>
              <w:ind w:left="1079" w:leftChars="257" w:hanging="540"/>
              <w:jc w:val="center"/>
              <w:rPr>
                <w:rFonts w:ascii="Times New Roman" w:hAnsi="Times New Roman" w:eastAsia="方正仿宋_GBK"/>
                <w:sz w:val="24"/>
                <w:szCs w:val="24"/>
              </w:rPr>
            </w:pPr>
          </w:p>
        </w:tc>
        <w:tc>
          <w:tcPr>
            <w:tcW w:w="1461" w:type="dxa"/>
            <w:noWrap/>
            <w:vAlign w:val="center"/>
          </w:tcPr>
          <w:p w14:paraId="2BAC046C">
            <w:pPr>
              <w:pStyle w:val="18"/>
              <w:spacing w:line="400" w:lineRule="exact"/>
              <w:ind w:left="1079" w:leftChars="257" w:hanging="540"/>
              <w:jc w:val="center"/>
              <w:rPr>
                <w:rFonts w:ascii="Times New Roman" w:hAnsi="Times New Roman" w:eastAsia="方正仿宋_GBK"/>
                <w:sz w:val="24"/>
                <w:szCs w:val="24"/>
              </w:rPr>
            </w:pPr>
          </w:p>
        </w:tc>
        <w:tc>
          <w:tcPr>
            <w:tcW w:w="993" w:type="dxa"/>
            <w:noWrap/>
            <w:vAlign w:val="center"/>
          </w:tcPr>
          <w:p w14:paraId="17EE9423">
            <w:pPr>
              <w:pStyle w:val="18"/>
              <w:spacing w:line="400" w:lineRule="exact"/>
              <w:ind w:left="1079" w:leftChars="257" w:hanging="540"/>
              <w:jc w:val="center"/>
              <w:rPr>
                <w:rFonts w:ascii="Times New Roman" w:hAnsi="Times New Roman" w:eastAsia="方正仿宋_GBK"/>
                <w:sz w:val="24"/>
                <w:szCs w:val="24"/>
              </w:rPr>
            </w:pPr>
          </w:p>
        </w:tc>
      </w:tr>
      <w:tr w14:paraId="7528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04" w:type="dxa"/>
            <w:noWrap/>
            <w:vAlign w:val="center"/>
          </w:tcPr>
          <w:p w14:paraId="414A5BD8">
            <w:pPr>
              <w:pStyle w:val="18"/>
              <w:spacing w:line="400" w:lineRule="exact"/>
              <w:rPr>
                <w:rFonts w:ascii="Times New Roman" w:hAnsi="Times New Roman" w:eastAsia="方正仿宋_GBK"/>
                <w:sz w:val="24"/>
                <w:szCs w:val="24"/>
              </w:rPr>
            </w:pPr>
          </w:p>
        </w:tc>
        <w:tc>
          <w:tcPr>
            <w:tcW w:w="2107" w:type="dxa"/>
            <w:noWrap/>
            <w:vAlign w:val="center"/>
          </w:tcPr>
          <w:p w14:paraId="68781BC1">
            <w:pPr>
              <w:pStyle w:val="18"/>
              <w:spacing w:line="400" w:lineRule="exact"/>
              <w:jc w:val="center"/>
              <w:rPr>
                <w:rFonts w:ascii="Times New Roman" w:hAnsi="Times New Roman" w:eastAsia="方正仿宋_GBK"/>
                <w:sz w:val="24"/>
                <w:szCs w:val="24"/>
              </w:rPr>
            </w:pPr>
          </w:p>
        </w:tc>
        <w:tc>
          <w:tcPr>
            <w:tcW w:w="1185" w:type="dxa"/>
            <w:noWrap/>
            <w:vAlign w:val="center"/>
          </w:tcPr>
          <w:p w14:paraId="36E444BF">
            <w:pPr>
              <w:pStyle w:val="18"/>
              <w:spacing w:line="400" w:lineRule="exact"/>
              <w:ind w:left="1079" w:leftChars="257" w:hanging="540"/>
              <w:jc w:val="center"/>
              <w:rPr>
                <w:rFonts w:ascii="Times New Roman" w:hAnsi="Times New Roman" w:eastAsia="方正仿宋_GBK"/>
                <w:sz w:val="24"/>
                <w:szCs w:val="24"/>
              </w:rPr>
            </w:pPr>
          </w:p>
        </w:tc>
        <w:tc>
          <w:tcPr>
            <w:tcW w:w="783" w:type="dxa"/>
            <w:noWrap/>
            <w:vAlign w:val="center"/>
          </w:tcPr>
          <w:p w14:paraId="7176E21E">
            <w:pPr>
              <w:pStyle w:val="18"/>
              <w:spacing w:line="400" w:lineRule="exact"/>
              <w:ind w:left="1079" w:leftChars="257" w:hanging="540"/>
              <w:jc w:val="center"/>
              <w:rPr>
                <w:rFonts w:ascii="Times New Roman" w:hAnsi="Times New Roman" w:eastAsia="方正仿宋_GBK"/>
                <w:sz w:val="24"/>
                <w:szCs w:val="24"/>
              </w:rPr>
            </w:pPr>
          </w:p>
        </w:tc>
        <w:tc>
          <w:tcPr>
            <w:tcW w:w="1342" w:type="dxa"/>
            <w:noWrap/>
            <w:vAlign w:val="center"/>
          </w:tcPr>
          <w:p w14:paraId="2BE1B155">
            <w:pPr>
              <w:pStyle w:val="18"/>
              <w:spacing w:line="400" w:lineRule="exact"/>
              <w:ind w:left="1079" w:leftChars="257" w:hanging="540"/>
              <w:jc w:val="center"/>
              <w:rPr>
                <w:rFonts w:ascii="Times New Roman" w:hAnsi="Times New Roman" w:eastAsia="方正仿宋_GBK"/>
                <w:sz w:val="24"/>
                <w:szCs w:val="24"/>
              </w:rPr>
            </w:pPr>
          </w:p>
        </w:tc>
        <w:tc>
          <w:tcPr>
            <w:tcW w:w="1580" w:type="dxa"/>
            <w:noWrap/>
            <w:vAlign w:val="center"/>
          </w:tcPr>
          <w:p w14:paraId="608BF26B">
            <w:pPr>
              <w:pStyle w:val="18"/>
              <w:spacing w:line="400" w:lineRule="exact"/>
              <w:ind w:left="1079" w:leftChars="257" w:hanging="540"/>
              <w:jc w:val="center"/>
              <w:rPr>
                <w:rFonts w:ascii="Times New Roman" w:hAnsi="Times New Roman" w:eastAsia="方正仿宋_GBK"/>
                <w:sz w:val="24"/>
                <w:szCs w:val="24"/>
              </w:rPr>
            </w:pPr>
          </w:p>
        </w:tc>
        <w:tc>
          <w:tcPr>
            <w:tcW w:w="1461" w:type="dxa"/>
            <w:noWrap/>
            <w:vAlign w:val="center"/>
          </w:tcPr>
          <w:p w14:paraId="4A0F77DB">
            <w:pPr>
              <w:pStyle w:val="18"/>
              <w:spacing w:line="400" w:lineRule="exact"/>
              <w:ind w:left="1079" w:leftChars="257" w:hanging="540"/>
              <w:jc w:val="center"/>
              <w:rPr>
                <w:rFonts w:ascii="Times New Roman" w:hAnsi="Times New Roman" w:eastAsia="方正仿宋_GBK"/>
                <w:sz w:val="24"/>
                <w:szCs w:val="24"/>
              </w:rPr>
            </w:pPr>
          </w:p>
        </w:tc>
        <w:tc>
          <w:tcPr>
            <w:tcW w:w="993" w:type="dxa"/>
            <w:noWrap/>
            <w:vAlign w:val="center"/>
          </w:tcPr>
          <w:p w14:paraId="5EEA09F9">
            <w:pPr>
              <w:pStyle w:val="18"/>
              <w:spacing w:line="400" w:lineRule="exact"/>
              <w:ind w:left="1079" w:leftChars="257" w:hanging="540"/>
              <w:jc w:val="center"/>
              <w:rPr>
                <w:rFonts w:ascii="Times New Roman" w:hAnsi="Times New Roman" w:eastAsia="方正仿宋_GBK"/>
                <w:sz w:val="24"/>
                <w:szCs w:val="24"/>
              </w:rPr>
            </w:pPr>
          </w:p>
        </w:tc>
      </w:tr>
      <w:tr w14:paraId="58BF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04" w:type="dxa"/>
            <w:noWrap/>
            <w:vAlign w:val="center"/>
          </w:tcPr>
          <w:p w14:paraId="75846D25">
            <w:pPr>
              <w:pStyle w:val="18"/>
              <w:spacing w:line="400" w:lineRule="exact"/>
              <w:rPr>
                <w:rFonts w:ascii="Times New Roman" w:hAnsi="Times New Roman" w:eastAsia="方正仿宋_GBK"/>
                <w:sz w:val="24"/>
                <w:szCs w:val="24"/>
              </w:rPr>
            </w:pPr>
          </w:p>
        </w:tc>
        <w:tc>
          <w:tcPr>
            <w:tcW w:w="2107" w:type="dxa"/>
            <w:noWrap/>
            <w:vAlign w:val="center"/>
          </w:tcPr>
          <w:p w14:paraId="50C7E4C6">
            <w:pPr>
              <w:pStyle w:val="18"/>
              <w:spacing w:line="400" w:lineRule="exact"/>
              <w:jc w:val="center"/>
              <w:rPr>
                <w:rFonts w:ascii="Times New Roman" w:hAnsi="Times New Roman" w:eastAsia="方正仿宋_GBK"/>
                <w:sz w:val="24"/>
                <w:szCs w:val="24"/>
              </w:rPr>
            </w:pPr>
          </w:p>
        </w:tc>
        <w:tc>
          <w:tcPr>
            <w:tcW w:w="1185" w:type="dxa"/>
            <w:noWrap/>
            <w:vAlign w:val="center"/>
          </w:tcPr>
          <w:p w14:paraId="30BD34CA">
            <w:pPr>
              <w:pStyle w:val="18"/>
              <w:spacing w:line="400" w:lineRule="exact"/>
              <w:ind w:left="1079" w:leftChars="257" w:hanging="540"/>
              <w:jc w:val="center"/>
              <w:rPr>
                <w:rFonts w:ascii="Times New Roman" w:hAnsi="Times New Roman" w:eastAsia="方正仿宋_GBK"/>
                <w:sz w:val="24"/>
                <w:szCs w:val="24"/>
              </w:rPr>
            </w:pPr>
          </w:p>
        </w:tc>
        <w:tc>
          <w:tcPr>
            <w:tcW w:w="783" w:type="dxa"/>
            <w:noWrap/>
            <w:vAlign w:val="center"/>
          </w:tcPr>
          <w:p w14:paraId="07F5ED90">
            <w:pPr>
              <w:pStyle w:val="18"/>
              <w:spacing w:line="400" w:lineRule="exact"/>
              <w:ind w:left="1079" w:leftChars="257" w:hanging="540"/>
              <w:jc w:val="center"/>
              <w:rPr>
                <w:rFonts w:ascii="Times New Roman" w:hAnsi="Times New Roman" w:eastAsia="方正仿宋_GBK"/>
                <w:sz w:val="24"/>
                <w:szCs w:val="24"/>
              </w:rPr>
            </w:pPr>
          </w:p>
        </w:tc>
        <w:tc>
          <w:tcPr>
            <w:tcW w:w="1342" w:type="dxa"/>
            <w:noWrap/>
            <w:vAlign w:val="center"/>
          </w:tcPr>
          <w:p w14:paraId="74B3FB7A">
            <w:pPr>
              <w:pStyle w:val="18"/>
              <w:spacing w:line="400" w:lineRule="exact"/>
              <w:ind w:left="1079" w:leftChars="257" w:hanging="540"/>
              <w:jc w:val="center"/>
              <w:rPr>
                <w:rFonts w:ascii="Times New Roman" w:hAnsi="Times New Roman" w:eastAsia="方正仿宋_GBK"/>
                <w:sz w:val="24"/>
                <w:szCs w:val="24"/>
              </w:rPr>
            </w:pPr>
          </w:p>
        </w:tc>
        <w:tc>
          <w:tcPr>
            <w:tcW w:w="1580" w:type="dxa"/>
            <w:noWrap/>
            <w:vAlign w:val="center"/>
          </w:tcPr>
          <w:p w14:paraId="3E339202">
            <w:pPr>
              <w:pStyle w:val="18"/>
              <w:spacing w:line="400" w:lineRule="exact"/>
              <w:ind w:left="1079" w:leftChars="257" w:hanging="540"/>
              <w:jc w:val="center"/>
              <w:rPr>
                <w:rFonts w:ascii="Times New Roman" w:hAnsi="Times New Roman" w:eastAsia="方正仿宋_GBK"/>
                <w:sz w:val="24"/>
                <w:szCs w:val="24"/>
              </w:rPr>
            </w:pPr>
          </w:p>
        </w:tc>
        <w:tc>
          <w:tcPr>
            <w:tcW w:w="1461" w:type="dxa"/>
            <w:noWrap/>
            <w:vAlign w:val="center"/>
          </w:tcPr>
          <w:p w14:paraId="443340FA">
            <w:pPr>
              <w:pStyle w:val="18"/>
              <w:spacing w:line="400" w:lineRule="exact"/>
              <w:ind w:left="1079" w:leftChars="257" w:hanging="540"/>
              <w:jc w:val="center"/>
              <w:rPr>
                <w:rFonts w:ascii="Times New Roman" w:hAnsi="Times New Roman" w:eastAsia="方正仿宋_GBK"/>
                <w:sz w:val="24"/>
                <w:szCs w:val="24"/>
              </w:rPr>
            </w:pPr>
          </w:p>
        </w:tc>
        <w:tc>
          <w:tcPr>
            <w:tcW w:w="993" w:type="dxa"/>
            <w:noWrap/>
            <w:vAlign w:val="center"/>
          </w:tcPr>
          <w:p w14:paraId="2246CC77">
            <w:pPr>
              <w:pStyle w:val="18"/>
              <w:spacing w:line="400" w:lineRule="exact"/>
              <w:ind w:left="1079" w:leftChars="257" w:hanging="540"/>
              <w:jc w:val="center"/>
              <w:rPr>
                <w:rFonts w:ascii="Times New Roman" w:hAnsi="Times New Roman" w:eastAsia="方正仿宋_GBK"/>
                <w:sz w:val="24"/>
                <w:szCs w:val="24"/>
              </w:rPr>
            </w:pPr>
          </w:p>
        </w:tc>
      </w:tr>
    </w:tbl>
    <w:p w14:paraId="7A08A41E">
      <w:pPr>
        <w:pStyle w:val="18"/>
        <w:spacing w:line="400" w:lineRule="exact"/>
        <w:jc w:val="left"/>
        <w:rPr>
          <w:rFonts w:ascii="Times New Roman" w:hAnsi="Times New Roman" w:eastAsia="方正仿宋_GBK"/>
          <w:sz w:val="24"/>
          <w:szCs w:val="24"/>
        </w:rPr>
      </w:pPr>
    </w:p>
    <w:p w14:paraId="615DCECA">
      <w:pPr>
        <w:pStyle w:val="18"/>
        <w:spacing w:line="400" w:lineRule="exact"/>
        <w:rPr>
          <w:rFonts w:ascii="Times New Roman" w:hAnsi="Times New Roman" w:eastAsia="方正仿宋_GBK"/>
          <w:sz w:val="24"/>
          <w:szCs w:val="24"/>
        </w:rPr>
      </w:pPr>
    </w:p>
    <w:p w14:paraId="7DA8A0D6">
      <w:pPr>
        <w:pStyle w:val="18"/>
        <w:spacing w:line="400" w:lineRule="exact"/>
        <w:ind w:left="1079" w:leftChars="257" w:hanging="540"/>
        <w:rPr>
          <w:rFonts w:ascii="Times New Roman" w:hAnsi="Times New Roman" w:eastAsia="方正仿宋_GBK"/>
          <w:sz w:val="24"/>
          <w:szCs w:val="24"/>
        </w:rPr>
      </w:pPr>
      <w:r>
        <w:rPr>
          <w:rFonts w:ascii="Times New Roman" w:hAnsi="Times New Roman" w:eastAsia="方正仿宋_GBK"/>
          <w:sz w:val="24"/>
          <w:szCs w:val="24"/>
        </w:rPr>
        <w:t>法定代表人或其委托代理人（签/章）:</w:t>
      </w:r>
      <w:r>
        <w:rPr>
          <w:rFonts w:ascii="Times New Roman" w:hAnsi="Times New Roman" w:eastAsia="方正仿宋_GBK"/>
          <w:sz w:val="24"/>
          <w:szCs w:val="24"/>
          <w:u w:val="single"/>
        </w:rPr>
        <w:tab/>
      </w:r>
      <w:r>
        <w:rPr>
          <w:rFonts w:ascii="Times New Roman" w:hAnsi="Times New Roman" w:eastAsia="方正仿宋_GBK"/>
          <w:sz w:val="24"/>
          <w:szCs w:val="24"/>
          <w:u w:val="single"/>
        </w:rPr>
        <w:t xml:space="preserve">                    </w:t>
      </w:r>
    </w:p>
    <w:p w14:paraId="3A2E5349">
      <w:pPr>
        <w:pStyle w:val="18"/>
        <w:tabs>
          <w:tab w:val="left" w:pos="5370"/>
        </w:tabs>
        <w:spacing w:line="400" w:lineRule="exact"/>
        <w:ind w:left="1079" w:leftChars="257" w:hanging="540"/>
        <w:rPr>
          <w:rFonts w:ascii="Times New Roman" w:hAnsi="Times New Roman" w:eastAsia="方正仿宋_GBK"/>
          <w:sz w:val="24"/>
          <w:szCs w:val="24"/>
          <w:u w:val="single"/>
        </w:rPr>
      </w:pPr>
      <w:r>
        <w:rPr>
          <w:rFonts w:ascii="Times New Roman" w:hAnsi="Times New Roman" w:eastAsia="方正仿宋_GBK"/>
          <w:sz w:val="24"/>
          <w:szCs w:val="24"/>
        </w:rPr>
        <w:t xml:space="preserve">供应商（公章）： </w:t>
      </w:r>
      <w:r>
        <w:rPr>
          <w:rFonts w:ascii="Times New Roman" w:hAnsi="Times New Roman" w:eastAsia="方正仿宋_GBK"/>
          <w:sz w:val="24"/>
          <w:szCs w:val="24"/>
          <w:u w:val="single"/>
        </w:rPr>
        <w:t xml:space="preserve">                                        </w:t>
      </w:r>
    </w:p>
    <w:p w14:paraId="3DFA30E8">
      <w:pPr>
        <w:pStyle w:val="31"/>
        <w:ind w:left="0" w:leftChars="0" w:firstLine="480" w:firstLineChars="200"/>
        <w:rPr>
          <w:rFonts w:eastAsia="方正仿宋_GBK"/>
          <w:sz w:val="24"/>
        </w:rPr>
      </w:pPr>
      <w:r>
        <w:rPr>
          <w:rFonts w:eastAsia="方正仿宋_GBK"/>
          <w:sz w:val="24"/>
        </w:rPr>
        <w:t>日  期：</w:t>
      </w:r>
      <w:r>
        <w:rPr>
          <w:rFonts w:eastAsia="方正仿宋_GBK"/>
          <w:sz w:val="24"/>
          <w:u w:val="single"/>
        </w:rPr>
        <w:t xml:space="preserve">                                                     </w:t>
      </w:r>
    </w:p>
    <w:p w14:paraId="4CE76133">
      <w:pPr>
        <w:pStyle w:val="18"/>
        <w:spacing w:line="400" w:lineRule="exact"/>
        <w:ind w:left="1079" w:leftChars="257" w:hanging="540"/>
        <w:rPr>
          <w:rFonts w:ascii="Times New Roman" w:hAnsi="Times New Roman" w:eastAsia="方正仿宋_GBK"/>
          <w:sz w:val="24"/>
          <w:szCs w:val="24"/>
        </w:rPr>
      </w:pPr>
      <w:r>
        <w:rPr>
          <w:rFonts w:ascii="Times New Roman" w:hAnsi="Times New Roman" w:eastAsia="方正仿宋_GBK"/>
          <w:sz w:val="24"/>
          <w:szCs w:val="24"/>
        </w:rPr>
        <w:t>注：1.供应商根据本项目服务需求进行详细描述并进行列项明细，明细必须明确各项报价。此表根据自身需求可扩展。</w:t>
      </w:r>
    </w:p>
    <w:p w14:paraId="2C255DAF">
      <w:pPr>
        <w:pStyle w:val="18"/>
        <w:spacing w:line="400" w:lineRule="exact"/>
        <w:ind w:firstLine="960" w:firstLineChars="400"/>
        <w:rPr>
          <w:rFonts w:ascii="Times New Roman" w:hAnsi="Times New Roman" w:eastAsia="方正仿宋_GBK"/>
          <w:sz w:val="24"/>
          <w:szCs w:val="24"/>
        </w:rPr>
      </w:pPr>
      <w:r>
        <w:rPr>
          <w:rFonts w:ascii="Times New Roman" w:hAnsi="Times New Roman" w:eastAsia="方正仿宋_GBK"/>
          <w:sz w:val="24"/>
          <w:szCs w:val="24"/>
        </w:rPr>
        <w:t>2.如果按单价计算的结果与总价不一致,以单价为准修正总价。</w:t>
      </w:r>
    </w:p>
    <w:p w14:paraId="20A57ED4">
      <w:pPr>
        <w:pStyle w:val="18"/>
        <w:spacing w:line="400" w:lineRule="exact"/>
        <w:ind w:firstLine="960" w:firstLineChars="400"/>
        <w:rPr>
          <w:rFonts w:ascii="Times New Roman" w:hAnsi="Times New Roman" w:eastAsia="方正仿宋_GBK"/>
          <w:sz w:val="24"/>
          <w:szCs w:val="24"/>
        </w:rPr>
      </w:pPr>
      <w:r>
        <w:rPr>
          <w:rFonts w:ascii="Times New Roman" w:hAnsi="Times New Roman" w:eastAsia="方正仿宋_GBK"/>
          <w:sz w:val="24"/>
          <w:szCs w:val="24"/>
        </w:rPr>
        <w:t>3.如果不提供详细分项报价将视为没有实质性响应招标文件。</w:t>
      </w:r>
    </w:p>
    <w:p w14:paraId="12E20F21">
      <w:pPr>
        <w:pStyle w:val="18"/>
        <w:spacing w:line="400" w:lineRule="exact"/>
        <w:ind w:firstLine="960" w:firstLineChars="400"/>
        <w:rPr>
          <w:rFonts w:ascii="Times New Roman" w:hAnsi="Times New Roman" w:eastAsia="方正仿宋_GBK"/>
          <w:sz w:val="24"/>
          <w:szCs w:val="24"/>
        </w:rPr>
      </w:pPr>
      <w:r>
        <w:rPr>
          <w:rFonts w:ascii="Times New Roman" w:hAnsi="Times New Roman" w:eastAsia="方正仿宋_GBK"/>
          <w:sz w:val="24"/>
          <w:szCs w:val="24"/>
        </w:rPr>
        <w:t>4.上述各项的详细分项报价，应另页描述。</w:t>
      </w:r>
    </w:p>
    <w:p w14:paraId="37C42A18">
      <w:pPr>
        <w:pStyle w:val="18"/>
        <w:spacing w:line="400" w:lineRule="exact"/>
        <w:ind w:firstLine="960" w:firstLineChars="400"/>
        <w:rPr>
          <w:rFonts w:ascii="Times New Roman" w:hAnsi="Times New Roman" w:eastAsia="方正仿宋_GBK"/>
          <w:b/>
          <w:bCs/>
          <w:kern w:val="0"/>
          <w:sz w:val="24"/>
          <w:szCs w:val="24"/>
        </w:rPr>
      </w:pPr>
      <w:r>
        <w:rPr>
          <w:rFonts w:ascii="Times New Roman" w:hAnsi="Times New Roman" w:eastAsia="方正仿宋_GBK"/>
          <w:sz w:val="24"/>
          <w:szCs w:val="24"/>
        </w:rPr>
        <w:t>5.如果开标一览表（报价表）内容与响应文件中明细表内容不一致的，以开标一览表（报价表）内容为准。</w:t>
      </w:r>
      <w:bookmarkStart w:id="674" w:name="_Toc13812"/>
      <w:bookmarkStart w:id="675" w:name="_Toc30209"/>
      <w:bookmarkStart w:id="676" w:name="_Toc16166"/>
      <w:bookmarkStart w:id="677" w:name="_Toc10486"/>
      <w:bookmarkStart w:id="678" w:name="_Toc27721"/>
      <w:bookmarkStart w:id="679" w:name="_Toc12483"/>
      <w:bookmarkStart w:id="680" w:name="_Toc6480"/>
      <w:bookmarkStart w:id="681" w:name="_Toc6382"/>
      <w:bookmarkStart w:id="682" w:name="_Toc13950"/>
      <w:bookmarkStart w:id="683" w:name="_Toc16798"/>
      <w:bookmarkStart w:id="684" w:name="_Toc28199"/>
    </w:p>
    <w:p w14:paraId="71732AD8">
      <w:pPr>
        <w:spacing w:line="360" w:lineRule="auto"/>
        <w:jc w:val="center"/>
        <w:outlineLvl w:val="1"/>
        <w:rPr>
          <w:rFonts w:eastAsia="方正仿宋_GBK"/>
          <w:b/>
          <w:bCs/>
          <w:kern w:val="0"/>
          <w:sz w:val="24"/>
        </w:rPr>
      </w:pPr>
      <w:bookmarkStart w:id="685" w:name="_Toc15592"/>
    </w:p>
    <w:p w14:paraId="690D42ED">
      <w:pPr>
        <w:spacing w:line="360" w:lineRule="auto"/>
        <w:jc w:val="center"/>
        <w:outlineLvl w:val="1"/>
        <w:rPr>
          <w:rFonts w:eastAsia="方正仿宋_GBK"/>
          <w:b/>
          <w:bCs/>
          <w:kern w:val="0"/>
          <w:sz w:val="24"/>
        </w:rPr>
      </w:pPr>
    </w:p>
    <w:p w14:paraId="6592CCDF">
      <w:pPr>
        <w:pStyle w:val="10"/>
      </w:pPr>
    </w:p>
    <w:bookmarkEnd w:id="652"/>
    <w:bookmarkEnd w:id="653"/>
    <w:bookmarkEnd w:id="654"/>
    <w:bookmarkEnd w:id="655"/>
    <w:bookmarkEnd w:id="656"/>
    <w:bookmarkEnd w:id="657"/>
    <w:bookmarkEnd w:id="658"/>
    <w:bookmarkEnd w:id="674"/>
    <w:bookmarkEnd w:id="675"/>
    <w:bookmarkEnd w:id="676"/>
    <w:bookmarkEnd w:id="677"/>
    <w:bookmarkEnd w:id="678"/>
    <w:bookmarkEnd w:id="679"/>
    <w:bookmarkEnd w:id="680"/>
    <w:bookmarkEnd w:id="681"/>
    <w:bookmarkEnd w:id="682"/>
    <w:bookmarkEnd w:id="683"/>
    <w:bookmarkEnd w:id="684"/>
    <w:bookmarkEnd w:id="685"/>
    <w:p w14:paraId="4183CC1F">
      <w:pPr>
        <w:pStyle w:val="18"/>
        <w:spacing w:line="240" w:lineRule="atLeast"/>
        <w:jc w:val="center"/>
        <w:outlineLvl w:val="1"/>
        <w:rPr>
          <w:rFonts w:ascii="Times New Roman" w:hAnsi="Times New Roman" w:eastAsia="方正仿宋_GBK"/>
          <w:b/>
          <w:bCs/>
          <w:sz w:val="28"/>
          <w:szCs w:val="28"/>
        </w:rPr>
      </w:pPr>
      <w:bookmarkStart w:id="686" w:name="_Toc2120"/>
      <w:r>
        <w:rPr>
          <w:rFonts w:ascii="Times New Roman" w:hAnsi="Times New Roman" w:eastAsia="方正仿宋_GBK"/>
          <w:b/>
          <w:bCs/>
          <w:sz w:val="28"/>
          <w:szCs w:val="28"/>
        </w:rPr>
        <w:t xml:space="preserve"> 4、采购需求响应表（技术规格偏离表）</w:t>
      </w:r>
      <w:bookmarkEnd w:id="686"/>
    </w:p>
    <w:p w14:paraId="7F1103EA">
      <w:pPr>
        <w:pStyle w:val="18"/>
        <w:spacing w:line="400" w:lineRule="exact"/>
        <w:ind w:left="1079" w:leftChars="257" w:hanging="540"/>
        <w:rPr>
          <w:rFonts w:ascii="Times New Roman" w:hAnsi="Times New Roman" w:eastAsia="方正仿宋_GBK"/>
          <w:sz w:val="24"/>
          <w:szCs w:val="24"/>
        </w:rPr>
      </w:pPr>
      <w:r>
        <w:rPr>
          <w:rFonts w:ascii="Times New Roman" w:hAnsi="Times New Roman" w:eastAsia="方正仿宋_GBK"/>
          <w:sz w:val="24"/>
          <w:szCs w:val="24"/>
        </w:rPr>
        <w:t>项目名称:                 项目编号:                    标段号：</w:t>
      </w:r>
    </w:p>
    <w:p w14:paraId="4A470F35">
      <w:pPr>
        <w:pStyle w:val="18"/>
        <w:spacing w:line="400" w:lineRule="exact"/>
        <w:ind w:left="1079" w:leftChars="257" w:hanging="540"/>
        <w:rPr>
          <w:rFonts w:ascii="Times New Roman" w:hAnsi="Times New Roman" w:eastAsia="方正仿宋_GBK"/>
          <w:sz w:val="24"/>
          <w:szCs w:val="24"/>
        </w:rPr>
      </w:pPr>
    </w:p>
    <w:tbl>
      <w:tblPr>
        <w:tblStyle w:val="102"/>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4350B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center"/>
          </w:tcPr>
          <w:p w14:paraId="23166FAE">
            <w:pPr>
              <w:spacing w:line="560" w:lineRule="exact"/>
              <w:jc w:val="center"/>
              <w:rPr>
                <w:rFonts w:eastAsia="方正仿宋_GBK"/>
                <w:sz w:val="24"/>
              </w:rPr>
            </w:pPr>
            <w:r>
              <w:rPr>
                <w:rFonts w:eastAsia="方正仿宋_GBK"/>
                <w:sz w:val="24"/>
              </w:rPr>
              <w:t>序号</w:t>
            </w:r>
          </w:p>
        </w:tc>
        <w:tc>
          <w:tcPr>
            <w:tcW w:w="1329" w:type="dxa"/>
            <w:vAlign w:val="center"/>
          </w:tcPr>
          <w:p w14:paraId="062D531F">
            <w:pPr>
              <w:spacing w:line="560" w:lineRule="exact"/>
              <w:jc w:val="center"/>
              <w:rPr>
                <w:rFonts w:eastAsia="方正仿宋_GBK"/>
                <w:sz w:val="24"/>
              </w:rPr>
            </w:pPr>
            <w:r>
              <w:rPr>
                <w:rFonts w:eastAsia="方正仿宋_GBK"/>
                <w:sz w:val="24"/>
              </w:rPr>
              <w:t>服务名称</w:t>
            </w:r>
          </w:p>
        </w:tc>
        <w:tc>
          <w:tcPr>
            <w:tcW w:w="2471" w:type="dxa"/>
            <w:vAlign w:val="center"/>
          </w:tcPr>
          <w:p w14:paraId="0CED3D4C">
            <w:pPr>
              <w:spacing w:line="560" w:lineRule="exact"/>
              <w:jc w:val="center"/>
              <w:rPr>
                <w:rFonts w:eastAsia="方正仿宋_GBK"/>
                <w:sz w:val="24"/>
              </w:rPr>
            </w:pPr>
            <w:r>
              <w:rPr>
                <w:rFonts w:eastAsia="方正仿宋_GBK"/>
                <w:sz w:val="24"/>
              </w:rPr>
              <w:t>磋商文件条款号</w:t>
            </w:r>
          </w:p>
        </w:tc>
        <w:tc>
          <w:tcPr>
            <w:tcW w:w="1330" w:type="dxa"/>
            <w:vAlign w:val="center"/>
          </w:tcPr>
          <w:p w14:paraId="4DCF1061">
            <w:pPr>
              <w:spacing w:line="560" w:lineRule="exact"/>
              <w:jc w:val="center"/>
              <w:rPr>
                <w:rFonts w:eastAsia="方正仿宋_GBK"/>
                <w:sz w:val="24"/>
              </w:rPr>
            </w:pPr>
            <w:r>
              <w:rPr>
                <w:rFonts w:eastAsia="方正仿宋_GBK"/>
                <w:sz w:val="24"/>
              </w:rPr>
              <w:t>磋商文件规定的规格</w:t>
            </w:r>
          </w:p>
        </w:tc>
        <w:tc>
          <w:tcPr>
            <w:tcW w:w="1330" w:type="dxa"/>
            <w:vAlign w:val="center"/>
          </w:tcPr>
          <w:p w14:paraId="5C35AD91">
            <w:pPr>
              <w:spacing w:line="560" w:lineRule="exact"/>
              <w:jc w:val="center"/>
              <w:rPr>
                <w:rFonts w:eastAsia="方正仿宋_GBK"/>
                <w:sz w:val="24"/>
              </w:rPr>
            </w:pPr>
            <w:r>
              <w:rPr>
                <w:rFonts w:eastAsia="方正仿宋_GBK"/>
                <w:sz w:val="24"/>
              </w:rPr>
              <w:t>响应文件响应的规格</w:t>
            </w:r>
          </w:p>
        </w:tc>
        <w:tc>
          <w:tcPr>
            <w:tcW w:w="950" w:type="dxa"/>
            <w:vAlign w:val="center"/>
          </w:tcPr>
          <w:p w14:paraId="1BCA283E">
            <w:pPr>
              <w:spacing w:line="560" w:lineRule="exact"/>
              <w:jc w:val="center"/>
              <w:rPr>
                <w:rFonts w:eastAsia="方正仿宋_GBK"/>
                <w:sz w:val="24"/>
              </w:rPr>
            </w:pPr>
            <w:r>
              <w:rPr>
                <w:rFonts w:eastAsia="方正仿宋_GBK"/>
                <w:sz w:val="24"/>
              </w:rPr>
              <w:t>偏离</w:t>
            </w:r>
          </w:p>
        </w:tc>
        <w:tc>
          <w:tcPr>
            <w:tcW w:w="955" w:type="dxa"/>
            <w:vAlign w:val="center"/>
          </w:tcPr>
          <w:p w14:paraId="786F9C14">
            <w:pPr>
              <w:spacing w:line="560" w:lineRule="exact"/>
              <w:jc w:val="center"/>
              <w:rPr>
                <w:rFonts w:eastAsia="方正仿宋_GBK"/>
                <w:sz w:val="24"/>
              </w:rPr>
            </w:pPr>
            <w:r>
              <w:rPr>
                <w:rFonts w:eastAsia="方正仿宋_GBK"/>
                <w:sz w:val="24"/>
              </w:rPr>
              <w:t>说明</w:t>
            </w:r>
          </w:p>
        </w:tc>
      </w:tr>
      <w:tr w14:paraId="03DE4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tcPr>
          <w:p w14:paraId="7BDBD396">
            <w:pPr>
              <w:rPr>
                <w:rFonts w:eastAsia="方正仿宋_GBK"/>
                <w:sz w:val="24"/>
              </w:rPr>
            </w:pPr>
          </w:p>
        </w:tc>
        <w:tc>
          <w:tcPr>
            <w:tcW w:w="1329" w:type="dxa"/>
          </w:tcPr>
          <w:p w14:paraId="185D881B">
            <w:pPr>
              <w:rPr>
                <w:rFonts w:eastAsia="方正仿宋_GBK"/>
                <w:sz w:val="24"/>
              </w:rPr>
            </w:pPr>
          </w:p>
        </w:tc>
        <w:tc>
          <w:tcPr>
            <w:tcW w:w="2471" w:type="dxa"/>
          </w:tcPr>
          <w:p w14:paraId="78CB21CC">
            <w:pPr>
              <w:rPr>
                <w:rFonts w:eastAsia="方正仿宋_GBK"/>
                <w:sz w:val="24"/>
              </w:rPr>
            </w:pPr>
          </w:p>
        </w:tc>
        <w:tc>
          <w:tcPr>
            <w:tcW w:w="1330" w:type="dxa"/>
          </w:tcPr>
          <w:p w14:paraId="6E97A026">
            <w:pPr>
              <w:rPr>
                <w:rFonts w:eastAsia="方正仿宋_GBK"/>
                <w:sz w:val="24"/>
              </w:rPr>
            </w:pPr>
          </w:p>
        </w:tc>
        <w:tc>
          <w:tcPr>
            <w:tcW w:w="1330" w:type="dxa"/>
          </w:tcPr>
          <w:p w14:paraId="61BC3614">
            <w:pPr>
              <w:rPr>
                <w:rFonts w:eastAsia="方正仿宋_GBK"/>
                <w:sz w:val="24"/>
              </w:rPr>
            </w:pPr>
          </w:p>
        </w:tc>
        <w:tc>
          <w:tcPr>
            <w:tcW w:w="950" w:type="dxa"/>
          </w:tcPr>
          <w:p w14:paraId="4B62D5CB">
            <w:pPr>
              <w:rPr>
                <w:rFonts w:eastAsia="方正仿宋_GBK"/>
                <w:sz w:val="24"/>
              </w:rPr>
            </w:pPr>
          </w:p>
        </w:tc>
        <w:tc>
          <w:tcPr>
            <w:tcW w:w="955" w:type="dxa"/>
          </w:tcPr>
          <w:p w14:paraId="42F200F8">
            <w:pPr>
              <w:rPr>
                <w:rFonts w:eastAsia="方正仿宋_GBK"/>
                <w:sz w:val="24"/>
              </w:rPr>
            </w:pPr>
          </w:p>
        </w:tc>
      </w:tr>
      <w:tr w14:paraId="005A6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tcPr>
          <w:p w14:paraId="32FF49C9">
            <w:pPr>
              <w:rPr>
                <w:rFonts w:eastAsia="方正仿宋_GBK"/>
                <w:sz w:val="24"/>
              </w:rPr>
            </w:pPr>
          </w:p>
        </w:tc>
        <w:tc>
          <w:tcPr>
            <w:tcW w:w="1329" w:type="dxa"/>
          </w:tcPr>
          <w:p w14:paraId="0211ACF2">
            <w:pPr>
              <w:rPr>
                <w:rFonts w:eastAsia="方正仿宋_GBK"/>
                <w:sz w:val="24"/>
              </w:rPr>
            </w:pPr>
          </w:p>
        </w:tc>
        <w:tc>
          <w:tcPr>
            <w:tcW w:w="2471" w:type="dxa"/>
          </w:tcPr>
          <w:p w14:paraId="6B07CF4D">
            <w:pPr>
              <w:rPr>
                <w:rFonts w:eastAsia="方正仿宋_GBK"/>
                <w:sz w:val="24"/>
              </w:rPr>
            </w:pPr>
          </w:p>
        </w:tc>
        <w:tc>
          <w:tcPr>
            <w:tcW w:w="1330" w:type="dxa"/>
          </w:tcPr>
          <w:p w14:paraId="4AACA441">
            <w:pPr>
              <w:rPr>
                <w:rFonts w:eastAsia="方正仿宋_GBK"/>
                <w:sz w:val="24"/>
              </w:rPr>
            </w:pPr>
          </w:p>
        </w:tc>
        <w:tc>
          <w:tcPr>
            <w:tcW w:w="1330" w:type="dxa"/>
          </w:tcPr>
          <w:p w14:paraId="0339B3B6">
            <w:pPr>
              <w:rPr>
                <w:rFonts w:eastAsia="方正仿宋_GBK"/>
                <w:sz w:val="24"/>
              </w:rPr>
            </w:pPr>
          </w:p>
        </w:tc>
        <w:tc>
          <w:tcPr>
            <w:tcW w:w="950" w:type="dxa"/>
          </w:tcPr>
          <w:p w14:paraId="2657BC88">
            <w:pPr>
              <w:rPr>
                <w:rFonts w:eastAsia="方正仿宋_GBK"/>
                <w:sz w:val="24"/>
              </w:rPr>
            </w:pPr>
          </w:p>
        </w:tc>
        <w:tc>
          <w:tcPr>
            <w:tcW w:w="955" w:type="dxa"/>
          </w:tcPr>
          <w:p w14:paraId="09F479B5">
            <w:pPr>
              <w:rPr>
                <w:rFonts w:eastAsia="方正仿宋_GBK"/>
                <w:sz w:val="24"/>
              </w:rPr>
            </w:pPr>
          </w:p>
        </w:tc>
      </w:tr>
      <w:tr w14:paraId="67248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tcPr>
          <w:p w14:paraId="21E7BB5B">
            <w:pPr>
              <w:rPr>
                <w:rFonts w:eastAsia="方正仿宋_GBK"/>
                <w:sz w:val="24"/>
              </w:rPr>
            </w:pPr>
          </w:p>
        </w:tc>
        <w:tc>
          <w:tcPr>
            <w:tcW w:w="1329" w:type="dxa"/>
          </w:tcPr>
          <w:p w14:paraId="7CDCB2C1">
            <w:pPr>
              <w:rPr>
                <w:rFonts w:eastAsia="方正仿宋_GBK"/>
                <w:sz w:val="24"/>
              </w:rPr>
            </w:pPr>
          </w:p>
        </w:tc>
        <w:tc>
          <w:tcPr>
            <w:tcW w:w="2471" w:type="dxa"/>
          </w:tcPr>
          <w:p w14:paraId="0CB6465E">
            <w:pPr>
              <w:rPr>
                <w:rFonts w:eastAsia="方正仿宋_GBK"/>
                <w:sz w:val="24"/>
              </w:rPr>
            </w:pPr>
          </w:p>
        </w:tc>
        <w:tc>
          <w:tcPr>
            <w:tcW w:w="1330" w:type="dxa"/>
          </w:tcPr>
          <w:p w14:paraId="39F1E0E0">
            <w:pPr>
              <w:rPr>
                <w:rFonts w:eastAsia="方正仿宋_GBK"/>
                <w:sz w:val="24"/>
              </w:rPr>
            </w:pPr>
          </w:p>
        </w:tc>
        <w:tc>
          <w:tcPr>
            <w:tcW w:w="1330" w:type="dxa"/>
          </w:tcPr>
          <w:p w14:paraId="178535A8">
            <w:pPr>
              <w:rPr>
                <w:rFonts w:eastAsia="方正仿宋_GBK"/>
                <w:sz w:val="24"/>
              </w:rPr>
            </w:pPr>
          </w:p>
        </w:tc>
        <w:tc>
          <w:tcPr>
            <w:tcW w:w="950" w:type="dxa"/>
          </w:tcPr>
          <w:p w14:paraId="7DE50D8F">
            <w:pPr>
              <w:rPr>
                <w:rFonts w:eastAsia="方正仿宋_GBK"/>
                <w:sz w:val="24"/>
              </w:rPr>
            </w:pPr>
          </w:p>
        </w:tc>
        <w:tc>
          <w:tcPr>
            <w:tcW w:w="955" w:type="dxa"/>
          </w:tcPr>
          <w:p w14:paraId="12FE47A6">
            <w:pPr>
              <w:rPr>
                <w:rFonts w:eastAsia="方正仿宋_GBK"/>
                <w:sz w:val="24"/>
              </w:rPr>
            </w:pPr>
          </w:p>
        </w:tc>
      </w:tr>
      <w:tr w14:paraId="52FDE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tcPr>
          <w:p w14:paraId="47A60741">
            <w:pPr>
              <w:rPr>
                <w:rFonts w:eastAsia="方正仿宋_GBK"/>
                <w:sz w:val="24"/>
              </w:rPr>
            </w:pPr>
          </w:p>
        </w:tc>
        <w:tc>
          <w:tcPr>
            <w:tcW w:w="1329" w:type="dxa"/>
          </w:tcPr>
          <w:p w14:paraId="254EE893">
            <w:pPr>
              <w:rPr>
                <w:rFonts w:eastAsia="方正仿宋_GBK"/>
                <w:sz w:val="24"/>
              </w:rPr>
            </w:pPr>
          </w:p>
        </w:tc>
        <w:tc>
          <w:tcPr>
            <w:tcW w:w="2471" w:type="dxa"/>
          </w:tcPr>
          <w:p w14:paraId="7A015E1D">
            <w:pPr>
              <w:rPr>
                <w:rFonts w:eastAsia="方正仿宋_GBK"/>
                <w:sz w:val="24"/>
              </w:rPr>
            </w:pPr>
          </w:p>
        </w:tc>
        <w:tc>
          <w:tcPr>
            <w:tcW w:w="1330" w:type="dxa"/>
          </w:tcPr>
          <w:p w14:paraId="18462F95">
            <w:pPr>
              <w:rPr>
                <w:rFonts w:eastAsia="方正仿宋_GBK"/>
                <w:sz w:val="24"/>
              </w:rPr>
            </w:pPr>
          </w:p>
        </w:tc>
        <w:tc>
          <w:tcPr>
            <w:tcW w:w="1330" w:type="dxa"/>
          </w:tcPr>
          <w:p w14:paraId="16F331C5">
            <w:pPr>
              <w:rPr>
                <w:rFonts w:eastAsia="方正仿宋_GBK"/>
                <w:sz w:val="24"/>
              </w:rPr>
            </w:pPr>
          </w:p>
        </w:tc>
        <w:tc>
          <w:tcPr>
            <w:tcW w:w="950" w:type="dxa"/>
          </w:tcPr>
          <w:p w14:paraId="03FF769A">
            <w:pPr>
              <w:rPr>
                <w:rFonts w:eastAsia="方正仿宋_GBK"/>
                <w:sz w:val="24"/>
              </w:rPr>
            </w:pPr>
          </w:p>
        </w:tc>
        <w:tc>
          <w:tcPr>
            <w:tcW w:w="955" w:type="dxa"/>
          </w:tcPr>
          <w:p w14:paraId="5F91F45E">
            <w:pPr>
              <w:rPr>
                <w:rFonts w:eastAsia="方正仿宋_GBK"/>
                <w:sz w:val="24"/>
              </w:rPr>
            </w:pPr>
          </w:p>
        </w:tc>
      </w:tr>
      <w:tr w14:paraId="20601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tcPr>
          <w:p w14:paraId="1C5573BE">
            <w:pPr>
              <w:rPr>
                <w:rFonts w:eastAsia="方正仿宋_GBK"/>
                <w:sz w:val="24"/>
              </w:rPr>
            </w:pPr>
          </w:p>
        </w:tc>
        <w:tc>
          <w:tcPr>
            <w:tcW w:w="1329" w:type="dxa"/>
          </w:tcPr>
          <w:p w14:paraId="62BB37B2">
            <w:pPr>
              <w:rPr>
                <w:rFonts w:eastAsia="方正仿宋_GBK"/>
                <w:sz w:val="24"/>
              </w:rPr>
            </w:pPr>
          </w:p>
        </w:tc>
        <w:tc>
          <w:tcPr>
            <w:tcW w:w="2471" w:type="dxa"/>
          </w:tcPr>
          <w:p w14:paraId="55FB6224">
            <w:pPr>
              <w:rPr>
                <w:rFonts w:eastAsia="方正仿宋_GBK"/>
                <w:sz w:val="24"/>
              </w:rPr>
            </w:pPr>
          </w:p>
        </w:tc>
        <w:tc>
          <w:tcPr>
            <w:tcW w:w="1330" w:type="dxa"/>
          </w:tcPr>
          <w:p w14:paraId="1218AD17">
            <w:pPr>
              <w:rPr>
                <w:rFonts w:eastAsia="方正仿宋_GBK"/>
                <w:sz w:val="24"/>
              </w:rPr>
            </w:pPr>
          </w:p>
        </w:tc>
        <w:tc>
          <w:tcPr>
            <w:tcW w:w="1330" w:type="dxa"/>
          </w:tcPr>
          <w:p w14:paraId="68660574">
            <w:pPr>
              <w:rPr>
                <w:rFonts w:eastAsia="方正仿宋_GBK"/>
                <w:sz w:val="24"/>
              </w:rPr>
            </w:pPr>
          </w:p>
        </w:tc>
        <w:tc>
          <w:tcPr>
            <w:tcW w:w="950" w:type="dxa"/>
          </w:tcPr>
          <w:p w14:paraId="0ADCDB67">
            <w:pPr>
              <w:rPr>
                <w:rFonts w:eastAsia="方正仿宋_GBK"/>
                <w:sz w:val="24"/>
              </w:rPr>
            </w:pPr>
          </w:p>
        </w:tc>
        <w:tc>
          <w:tcPr>
            <w:tcW w:w="955" w:type="dxa"/>
          </w:tcPr>
          <w:p w14:paraId="60085492">
            <w:pPr>
              <w:rPr>
                <w:rFonts w:eastAsia="方正仿宋_GBK"/>
                <w:sz w:val="24"/>
              </w:rPr>
            </w:pPr>
          </w:p>
        </w:tc>
      </w:tr>
      <w:tr w14:paraId="72938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tcPr>
          <w:p w14:paraId="5AEBF757">
            <w:pPr>
              <w:rPr>
                <w:rFonts w:eastAsia="方正仿宋_GBK"/>
                <w:sz w:val="24"/>
              </w:rPr>
            </w:pPr>
          </w:p>
        </w:tc>
        <w:tc>
          <w:tcPr>
            <w:tcW w:w="1329" w:type="dxa"/>
          </w:tcPr>
          <w:p w14:paraId="5BBC4628">
            <w:pPr>
              <w:rPr>
                <w:rFonts w:eastAsia="方正仿宋_GBK"/>
                <w:sz w:val="24"/>
              </w:rPr>
            </w:pPr>
          </w:p>
        </w:tc>
        <w:tc>
          <w:tcPr>
            <w:tcW w:w="2471" w:type="dxa"/>
          </w:tcPr>
          <w:p w14:paraId="38665996">
            <w:pPr>
              <w:rPr>
                <w:rFonts w:eastAsia="方正仿宋_GBK"/>
                <w:sz w:val="24"/>
              </w:rPr>
            </w:pPr>
          </w:p>
        </w:tc>
        <w:tc>
          <w:tcPr>
            <w:tcW w:w="1330" w:type="dxa"/>
          </w:tcPr>
          <w:p w14:paraId="1D5B9987">
            <w:pPr>
              <w:rPr>
                <w:rFonts w:eastAsia="方正仿宋_GBK"/>
                <w:sz w:val="24"/>
              </w:rPr>
            </w:pPr>
          </w:p>
        </w:tc>
        <w:tc>
          <w:tcPr>
            <w:tcW w:w="1330" w:type="dxa"/>
          </w:tcPr>
          <w:p w14:paraId="7A8346D4">
            <w:pPr>
              <w:rPr>
                <w:rFonts w:eastAsia="方正仿宋_GBK"/>
                <w:sz w:val="24"/>
              </w:rPr>
            </w:pPr>
          </w:p>
        </w:tc>
        <w:tc>
          <w:tcPr>
            <w:tcW w:w="950" w:type="dxa"/>
          </w:tcPr>
          <w:p w14:paraId="327A544E">
            <w:pPr>
              <w:rPr>
                <w:rFonts w:eastAsia="方正仿宋_GBK"/>
                <w:sz w:val="24"/>
              </w:rPr>
            </w:pPr>
          </w:p>
        </w:tc>
        <w:tc>
          <w:tcPr>
            <w:tcW w:w="955" w:type="dxa"/>
          </w:tcPr>
          <w:p w14:paraId="1F913286">
            <w:pPr>
              <w:rPr>
                <w:rFonts w:eastAsia="方正仿宋_GBK"/>
                <w:sz w:val="24"/>
              </w:rPr>
            </w:pPr>
          </w:p>
        </w:tc>
      </w:tr>
      <w:tr w14:paraId="2DD0F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tcPr>
          <w:p w14:paraId="37BCB812">
            <w:pPr>
              <w:rPr>
                <w:rFonts w:eastAsia="方正仿宋_GBK"/>
                <w:sz w:val="24"/>
              </w:rPr>
            </w:pPr>
          </w:p>
        </w:tc>
        <w:tc>
          <w:tcPr>
            <w:tcW w:w="1329" w:type="dxa"/>
          </w:tcPr>
          <w:p w14:paraId="54DB9C9E">
            <w:pPr>
              <w:rPr>
                <w:rFonts w:eastAsia="方正仿宋_GBK"/>
                <w:sz w:val="24"/>
              </w:rPr>
            </w:pPr>
          </w:p>
        </w:tc>
        <w:tc>
          <w:tcPr>
            <w:tcW w:w="2471" w:type="dxa"/>
          </w:tcPr>
          <w:p w14:paraId="12B05643">
            <w:pPr>
              <w:rPr>
                <w:rFonts w:eastAsia="方正仿宋_GBK"/>
                <w:sz w:val="24"/>
              </w:rPr>
            </w:pPr>
          </w:p>
        </w:tc>
        <w:tc>
          <w:tcPr>
            <w:tcW w:w="1330" w:type="dxa"/>
          </w:tcPr>
          <w:p w14:paraId="62B00218">
            <w:pPr>
              <w:rPr>
                <w:rFonts w:eastAsia="方正仿宋_GBK"/>
                <w:sz w:val="24"/>
              </w:rPr>
            </w:pPr>
          </w:p>
        </w:tc>
        <w:tc>
          <w:tcPr>
            <w:tcW w:w="1330" w:type="dxa"/>
          </w:tcPr>
          <w:p w14:paraId="36DEB403">
            <w:pPr>
              <w:rPr>
                <w:rFonts w:eastAsia="方正仿宋_GBK"/>
                <w:sz w:val="24"/>
              </w:rPr>
            </w:pPr>
          </w:p>
        </w:tc>
        <w:tc>
          <w:tcPr>
            <w:tcW w:w="950" w:type="dxa"/>
          </w:tcPr>
          <w:p w14:paraId="52D5F4F3">
            <w:pPr>
              <w:rPr>
                <w:rFonts w:eastAsia="方正仿宋_GBK"/>
                <w:sz w:val="24"/>
              </w:rPr>
            </w:pPr>
          </w:p>
        </w:tc>
        <w:tc>
          <w:tcPr>
            <w:tcW w:w="955" w:type="dxa"/>
          </w:tcPr>
          <w:p w14:paraId="4C7C3FD6">
            <w:pPr>
              <w:rPr>
                <w:rFonts w:eastAsia="方正仿宋_GBK"/>
                <w:sz w:val="24"/>
              </w:rPr>
            </w:pPr>
          </w:p>
        </w:tc>
      </w:tr>
    </w:tbl>
    <w:p w14:paraId="12FE6525">
      <w:pPr>
        <w:pStyle w:val="18"/>
        <w:spacing w:line="400" w:lineRule="exact"/>
        <w:ind w:left="1079" w:leftChars="257" w:hanging="540"/>
        <w:rPr>
          <w:rFonts w:ascii="Times New Roman" w:hAnsi="Times New Roman" w:eastAsia="方正仿宋_GBK"/>
          <w:sz w:val="24"/>
          <w:szCs w:val="24"/>
        </w:rPr>
      </w:pPr>
    </w:p>
    <w:p w14:paraId="69405530">
      <w:pPr>
        <w:pStyle w:val="18"/>
        <w:spacing w:line="400" w:lineRule="exact"/>
        <w:ind w:left="1079" w:leftChars="257" w:hanging="540"/>
        <w:rPr>
          <w:rFonts w:ascii="Times New Roman" w:hAnsi="Times New Roman" w:eastAsia="方正仿宋_GBK"/>
          <w:sz w:val="24"/>
          <w:szCs w:val="24"/>
        </w:rPr>
      </w:pPr>
      <w:r>
        <w:rPr>
          <w:rFonts w:ascii="Times New Roman" w:hAnsi="Times New Roman" w:eastAsia="方正仿宋_GBK"/>
          <w:sz w:val="24"/>
          <w:szCs w:val="24"/>
        </w:rPr>
        <w:t>法定代表人或其委托代理人（签/章）:</w:t>
      </w:r>
      <w:r>
        <w:rPr>
          <w:rFonts w:ascii="Times New Roman" w:hAnsi="Times New Roman" w:eastAsia="方正仿宋_GBK"/>
          <w:sz w:val="24"/>
          <w:szCs w:val="24"/>
          <w:u w:val="single"/>
        </w:rPr>
        <w:tab/>
      </w:r>
      <w:r>
        <w:rPr>
          <w:rFonts w:ascii="Times New Roman" w:hAnsi="Times New Roman" w:eastAsia="方正仿宋_GBK"/>
          <w:sz w:val="24"/>
          <w:szCs w:val="24"/>
          <w:u w:val="single"/>
        </w:rPr>
        <w:t xml:space="preserve">                    </w:t>
      </w:r>
    </w:p>
    <w:p w14:paraId="77C2E745">
      <w:pPr>
        <w:pStyle w:val="18"/>
        <w:tabs>
          <w:tab w:val="left" w:pos="5370"/>
        </w:tabs>
        <w:spacing w:line="400" w:lineRule="exact"/>
        <w:ind w:left="1079" w:leftChars="257" w:hanging="540"/>
        <w:rPr>
          <w:rFonts w:ascii="Times New Roman" w:hAnsi="Times New Roman" w:eastAsia="方正仿宋_GBK"/>
          <w:sz w:val="24"/>
          <w:szCs w:val="24"/>
          <w:u w:val="single"/>
        </w:rPr>
      </w:pPr>
      <w:r>
        <w:rPr>
          <w:rFonts w:ascii="Times New Roman" w:hAnsi="Times New Roman" w:eastAsia="方正仿宋_GBK"/>
          <w:sz w:val="24"/>
          <w:szCs w:val="24"/>
        </w:rPr>
        <w:t xml:space="preserve">供应商（公章）： </w:t>
      </w:r>
      <w:r>
        <w:rPr>
          <w:rFonts w:ascii="Times New Roman" w:hAnsi="Times New Roman" w:eastAsia="方正仿宋_GBK"/>
          <w:sz w:val="24"/>
          <w:szCs w:val="24"/>
          <w:u w:val="single"/>
        </w:rPr>
        <w:t xml:space="preserve">                                        </w:t>
      </w:r>
    </w:p>
    <w:p w14:paraId="4591CF6F">
      <w:pPr>
        <w:pStyle w:val="31"/>
        <w:ind w:left="0" w:leftChars="0" w:firstLine="480" w:firstLineChars="200"/>
        <w:rPr>
          <w:rFonts w:eastAsia="方正仿宋_GBK"/>
          <w:sz w:val="24"/>
        </w:rPr>
      </w:pPr>
      <w:r>
        <w:rPr>
          <w:rFonts w:eastAsia="方正仿宋_GBK"/>
          <w:sz w:val="24"/>
        </w:rPr>
        <w:t>日  期：</w:t>
      </w:r>
      <w:r>
        <w:rPr>
          <w:rFonts w:eastAsia="方正仿宋_GBK"/>
          <w:sz w:val="24"/>
          <w:u w:val="single"/>
        </w:rPr>
        <w:t xml:space="preserve">                                                     </w:t>
      </w:r>
    </w:p>
    <w:p w14:paraId="3F42CFCF">
      <w:pPr>
        <w:pStyle w:val="18"/>
        <w:spacing w:line="400" w:lineRule="exact"/>
        <w:ind w:left="1079" w:leftChars="257" w:hanging="540"/>
        <w:rPr>
          <w:rFonts w:ascii="Times New Roman" w:hAnsi="Times New Roman" w:eastAsia="方正仿宋_GBK"/>
          <w:sz w:val="24"/>
          <w:szCs w:val="24"/>
        </w:rPr>
      </w:pPr>
      <w:r>
        <w:rPr>
          <w:rFonts w:ascii="Times New Roman" w:hAnsi="Times New Roman" w:eastAsia="方正仿宋_GBK"/>
          <w:sz w:val="24"/>
          <w:szCs w:val="24"/>
        </w:rPr>
        <w:t xml:space="preserve">                                                     </w:t>
      </w:r>
    </w:p>
    <w:p w14:paraId="1A6CB12D">
      <w:pPr>
        <w:pStyle w:val="18"/>
        <w:spacing w:line="400" w:lineRule="exact"/>
        <w:rPr>
          <w:rFonts w:ascii="Times New Roman" w:hAnsi="Times New Roman" w:eastAsia="方正仿宋_GBK"/>
          <w:sz w:val="24"/>
          <w:szCs w:val="24"/>
        </w:rPr>
      </w:pPr>
      <w:r>
        <w:rPr>
          <w:rFonts w:ascii="Times New Roman" w:hAnsi="Times New Roman" w:eastAsia="方正仿宋_GBK"/>
          <w:sz w:val="24"/>
          <w:szCs w:val="24"/>
        </w:rPr>
        <w:t>注：1. 表格长度方向可做扩展根据需求可补充相关资料 ，但不可减少。</w:t>
      </w:r>
    </w:p>
    <w:p w14:paraId="02D33FC6">
      <w:pPr>
        <w:pStyle w:val="18"/>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2</w:t>
      </w:r>
      <w:r>
        <w:rPr>
          <w:rFonts w:hint="eastAsia" w:ascii="Times New Roman" w:hAnsi="Times New Roman" w:eastAsia="方正仿宋_GBK"/>
          <w:sz w:val="24"/>
          <w:szCs w:val="24"/>
        </w:rPr>
        <w:t>.</w:t>
      </w:r>
      <w:r>
        <w:rPr>
          <w:rFonts w:ascii="Times New Roman" w:hAnsi="Times New Roman" w:eastAsia="方正仿宋_GBK"/>
          <w:sz w:val="24"/>
          <w:szCs w:val="24"/>
        </w:rPr>
        <w:t>投标人必须明确写明是否“偏离 ”字样 ，不得空白 ，否则视为无效投标。</w:t>
      </w:r>
    </w:p>
    <w:p w14:paraId="4ACEB773">
      <w:pPr>
        <w:pStyle w:val="18"/>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3、投标人正偏离必须是关键指标且加黑加粗标明提示，并进行详细阐述，否则不作为正偏离。</w:t>
      </w:r>
    </w:p>
    <w:p w14:paraId="5AB14C24">
      <w:pPr>
        <w:pStyle w:val="18"/>
        <w:spacing w:line="240" w:lineRule="atLeast"/>
        <w:jc w:val="center"/>
        <w:outlineLvl w:val="1"/>
        <w:rPr>
          <w:rFonts w:ascii="微软雅黑" w:hAnsi="微软雅黑" w:eastAsia="微软雅黑" w:cs="微软雅黑"/>
          <w:b/>
          <w:bCs/>
          <w:sz w:val="24"/>
          <w:szCs w:val="24"/>
        </w:rPr>
      </w:pPr>
    </w:p>
    <w:p w14:paraId="7F88EE33">
      <w:pPr>
        <w:pStyle w:val="18"/>
        <w:spacing w:line="240" w:lineRule="atLeast"/>
        <w:jc w:val="center"/>
        <w:outlineLvl w:val="1"/>
        <w:rPr>
          <w:rFonts w:ascii="微软雅黑" w:hAnsi="微软雅黑" w:eastAsia="微软雅黑" w:cs="微软雅黑"/>
          <w:b/>
          <w:bCs/>
          <w:sz w:val="24"/>
          <w:szCs w:val="24"/>
        </w:rPr>
      </w:pPr>
    </w:p>
    <w:p w14:paraId="37378D51">
      <w:pPr>
        <w:pStyle w:val="18"/>
        <w:spacing w:line="240" w:lineRule="atLeast"/>
        <w:jc w:val="center"/>
        <w:outlineLvl w:val="1"/>
        <w:rPr>
          <w:rFonts w:ascii="微软雅黑" w:hAnsi="微软雅黑" w:eastAsia="微软雅黑" w:cs="微软雅黑"/>
          <w:b/>
          <w:bCs/>
          <w:sz w:val="24"/>
          <w:szCs w:val="24"/>
        </w:rPr>
      </w:pPr>
      <w:bookmarkStart w:id="687" w:name="_Toc18024"/>
    </w:p>
    <w:p w14:paraId="780722A3">
      <w:pPr>
        <w:pStyle w:val="18"/>
        <w:spacing w:line="240" w:lineRule="atLeast"/>
        <w:jc w:val="center"/>
        <w:outlineLvl w:val="1"/>
        <w:rPr>
          <w:rFonts w:ascii="微软雅黑" w:hAnsi="微软雅黑" w:eastAsia="微软雅黑" w:cs="微软雅黑"/>
          <w:b/>
          <w:bCs/>
          <w:sz w:val="22"/>
          <w:szCs w:val="22"/>
        </w:rPr>
      </w:pPr>
      <w:r>
        <w:rPr>
          <w:rFonts w:ascii="Times New Roman" w:hAnsi="Times New Roman" w:eastAsia="方正仿宋_GBK"/>
          <w:b/>
          <w:bCs/>
          <w:sz w:val="28"/>
          <w:szCs w:val="28"/>
        </w:rPr>
        <w:t>5、采购需求响应表（商务条款偏离表）</w:t>
      </w:r>
      <w:bookmarkEnd w:id="687"/>
    </w:p>
    <w:p w14:paraId="1244C1C4">
      <w:pPr>
        <w:pStyle w:val="18"/>
        <w:spacing w:line="240" w:lineRule="atLeast"/>
        <w:ind w:left="1079" w:leftChars="257" w:hanging="540"/>
        <w:rPr>
          <w:rFonts w:ascii="微软雅黑" w:hAnsi="微软雅黑" w:eastAsia="微软雅黑" w:cs="微软雅黑"/>
          <w:szCs w:val="21"/>
        </w:rPr>
      </w:pPr>
    </w:p>
    <w:p w14:paraId="0637DBE1">
      <w:pPr>
        <w:pStyle w:val="18"/>
        <w:spacing w:line="400" w:lineRule="exact"/>
        <w:rPr>
          <w:rFonts w:ascii="Times New Roman" w:hAnsi="Times New Roman" w:eastAsia="方正仿宋_GBK"/>
          <w:sz w:val="24"/>
          <w:szCs w:val="24"/>
        </w:rPr>
      </w:pPr>
      <w:r>
        <w:rPr>
          <w:rFonts w:ascii="Times New Roman" w:hAnsi="Times New Roman" w:eastAsia="方正仿宋_GBK"/>
          <w:sz w:val="24"/>
          <w:szCs w:val="24"/>
        </w:rPr>
        <w:t>项目名称:                 项目编号:                 标段号：</w:t>
      </w:r>
    </w:p>
    <w:p w14:paraId="692BCFC1">
      <w:pPr>
        <w:pStyle w:val="18"/>
        <w:spacing w:line="400" w:lineRule="exact"/>
        <w:ind w:left="1079" w:leftChars="257" w:hanging="540"/>
        <w:rPr>
          <w:rFonts w:ascii="Times New Roman" w:hAnsi="Times New Roman" w:eastAsia="方正仿宋_GBK"/>
          <w:sz w:val="24"/>
          <w:szCs w:val="24"/>
        </w:rPr>
      </w:pPr>
    </w:p>
    <w:tbl>
      <w:tblPr>
        <w:tblStyle w:val="38"/>
        <w:tblW w:w="100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28"/>
        <w:gridCol w:w="1786"/>
        <w:gridCol w:w="1789"/>
        <w:gridCol w:w="2821"/>
        <w:gridCol w:w="939"/>
        <w:gridCol w:w="939"/>
      </w:tblGrid>
      <w:tr w14:paraId="746B2E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676" w:type="dxa"/>
            <w:vMerge w:val="restart"/>
            <w:vAlign w:val="center"/>
          </w:tcPr>
          <w:p w14:paraId="13D59AF2">
            <w:pPr>
              <w:spacing w:line="560" w:lineRule="exact"/>
              <w:jc w:val="center"/>
              <w:rPr>
                <w:rFonts w:eastAsia="方正仿宋_GBK"/>
                <w:sz w:val="24"/>
              </w:rPr>
            </w:pPr>
            <w:r>
              <w:rPr>
                <w:rFonts w:eastAsia="方正仿宋_GBK"/>
                <w:sz w:val="24"/>
              </w:rPr>
              <w:t>序号</w:t>
            </w:r>
          </w:p>
        </w:tc>
        <w:tc>
          <w:tcPr>
            <w:tcW w:w="1128" w:type="dxa"/>
            <w:vMerge w:val="restart"/>
            <w:vAlign w:val="center"/>
          </w:tcPr>
          <w:p w14:paraId="1D4ABBBC">
            <w:pPr>
              <w:spacing w:line="560" w:lineRule="exact"/>
              <w:jc w:val="center"/>
              <w:rPr>
                <w:rFonts w:eastAsia="方正仿宋_GBK"/>
                <w:sz w:val="24"/>
              </w:rPr>
            </w:pPr>
            <w:r>
              <w:rPr>
                <w:rFonts w:eastAsia="方正仿宋_GBK"/>
                <w:sz w:val="24"/>
              </w:rPr>
              <w:t>服务</w:t>
            </w:r>
          </w:p>
          <w:p w14:paraId="4BAE230E">
            <w:pPr>
              <w:spacing w:line="560" w:lineRule="exact"/>
              <w:jc w:val="center"/>
              <w:rPr>
                <w:rFonts w:eastAsia="方正仿宋_GBK"/>
                <w:sz w:val="24"/>
              </w:rPr>
            </w:pPr>
            <w:r>
              <w:rPr>
                <w:rFonts w:eastAsia="方正仿宋_GBK"/>
                <w:sz w:val="24"/>
              </w:rPr>
              <w:t>名称</w:t>
            </w:r>
          </w:p>
        </w:tc>
        <w:tc>
          <w:tcPr>
            <w:tcW w:w="3575" w:type="dxa"/>
            <w:gridSpan w:val="2"/>
            <w:vAlign w:val="center"/>
          </w:tcPr>
          <w:p w14:paraId="7CD9C37F">
            <w:pPr>
              <w:spacing w:line="560" w:lineRule="exact"/>
              <w:jc w:val="center"/>
              <w:rPr>
                <w:rFonts w:eastAsia="方正仿宋_GBK"/>
                <w:sz w:val="24"/>
              </w:rPr>
            </w:pPr>
            <w:r>
              <w:rPr>
                <w:rFonts w:eastAsia="方正仿宋_GBK"/>
                <w:sz w:val="24"/>
              </w:rPr>
              <w:t>磋商文件规定</w:t>
            </w:r>
          </w:p>
        </w:tc>
        <w:tc>
          <w:tcPr>
            <w:tcW w:w="2821" w:type="dxa"/>
            <w:vAlign w:val="center"/>
          </w:tcPr>
          <w:p w14:paraId="7FC31BC9">
            <w:pPr>
              <w:spacing w:line="560" w:lineRule="exact"/>
              <w:jc w:val="center"/>
              <w:rPr>
                <w:rFonts w:eastAsia="方正仿宋_GBK"/>
                <w:sz w:val="24"/>
              </w:rPr>
            </w:pPr>
            <w:r>
              <w:rPr>
                <w:rFonts w:eastAsia="方正仿宋_GBK"/>
                <w:sz w:val="24"/>
              </w:rPr>
              <w:t>响应文件响应情况</w:t>
            </w:r>
          </w:p>
        </w:tc>
        <w:tc>
          <w:tcPr>
            <w:tcW w:w="939" w:type="dxa"/>
            <w:vMerge w:val="restart"/>
            <w:vAlign w:val="center"/>
          </w:tcPr>
          <w:p w14:paraId="61234D65">
            <w:pPr>
              <w:spacing w:line="560" w:lineRule="exact"/>
              <w:jc w:val="center"/>
              <w:rPr>
                <w:rFonts w:eastAsia="方正仿宋_GBK"/>
                <w:sz w:val="24"/>
              </w:rPr>
            </w:pPr>
            <w:r>
              <w:rPr>
                <w:rFonts w:eastAsia="方正仿宋_GBK"/>
                <w:sz w:val="24"/>
              </w:rPr>
              <w:t>偏离</w:t>
            </w:r>
          </w:p>
          <w:p w14:paraId="612A51D7">
            <w:pPr>
              <w:spacing w:line="560" w:lineRule="exact"/>
              <w:jc w:val="center"/>
              <w:rPr>
                <w:rFonts w:eastAsia="方正仿宋_GBK"/>
                <w:sz w:val="24"/>
              </w:rPr>
            </w:pPr>
            <w:r>
              <w:rPr>
                <w:rFonts w:eastAsia="方正仿宋_GBK"/>
                <w:sz w:val="24"/>
              </w:rPr>
              <w:t>情况</w:t>
            </w:r>
          </w:p>
        </w:tc>
        <w:tc>
          <w:tcPr>
            <w:tcW w:w="939" w:type="dxa"/>
            <w:vMerge w:val="restart"/>
            <w:vAlign w:val="center"/>
          </w:tcPr>
          <w:p w14:paraId="58184B52">
            <w:pPr>
              <w:spacing w:line="560" w:lineRule="exact"/>
              <w:jc w:val="center"/>
              <w:rPr>
                <w:rFonts w:eastAsia="方正仿宋_GBK"/>
                <w:sz w:val="24"/>
              </w:rPr>
            </w:pPr>
            <w:r>
              <w:rPr>
                <w:rFonts w:eastAsia="方正仿宋_GBK"/>
                <w:sz w:val="24"/>
              </w:rPr>
              <w:t>说明</w:t>
            </w:r>
          </w:p>
        </w:tc>
      </w:tr>
      <w:tr w14:paraId="7531C0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76" w:type="dxa"/>
            <w:vMerge w:val="continue"/>
            <w:vAlign w:val="center"/>
          </w:tcPr>
          <w:p w14:paraId="38DAEB6E">
            <w:pPr>
              <w:spacing w:line="560" w:lineRule="exact"/>
              <w:jc w:val="center"/>
              <w:rPr>
                <w:rFonts w:eastAsia="方正仿宋_GBK"/>
                <w:sz w:val="24"/>
              </w:rPr>
            </w:pPr>
          </w:p>
        </w:tc>
        <w:tc>
          <w:tcPr>
            <w:tcW w:w="1128" w:type="dxa"/>
            <w:vMerge w:val="continue"/>
            <w:vAlign w:val="center"/>
          </w:tcPr>
          <w:p w14:paraId="31B3C5D3">
            <w:pPr>
              <w:spacing w:line="560" w:lineRule="exact"/>
              <w:jc w:val="center"/>
              <w:rPr>
                <w:rFonts w:eastAsia="方正仿宋_GBK"/>
                <w:sz w:val="24"/>
              </w:rPr>
            </w:pPr>
          </w:p>
        </w:tc>
        <w:tc>
          <w:tcPr>
            <w:tcW w:w="1786" w:type="dxa"/>
            <w:vAlign w:val="center"/>
          </w:tcPr>
          <w:p w14:paraId="22C9E588">
            <w:pPr>
              <w:spacing w:line="560" w:lineRule="exact"/>
              <w:jc w:val="center"/>
              <w:rPr>
                <w:rFonts w:eastAsia="方正仿宋_GBK"/>
                <w:sz w:val="24"/>
              </w:rPr>
            </w:pPr>
            <w:r>
              <w:rPr>
                <w:rFonts w:eastAsia="方正仿宋_GBK"/>
                <w:sz w:val="24"/>
              </w:rPr>
              <w:t>条款号</w:t>
            </w:r>
          </w:p>
        </w:tc>
        <w:tc>
          <w:tcPr>
            <w:tcW w:w="1789" w:type="dxa"/>
            <w:vAlign w:val="center"/>
          </w:tcPr>
          <w:p w14:paraId="7D7B981B">
            <w:pPr>
              <w:spacing w:line="560" w:lineRule="exact"/>
              <w:jc w:val="center"/>
              <w:rPr>
                <w:rFonts w:eastAsia="方正仿宋_GBK"/>
                <w:sz w:val="24"/>
              </w:rPr>
            </w:pPr>
            <w:r>
              <w:rPr>
                <w:rFonts w:eastAsia="方正仿宋_GBK"/>
                <w:sz w:val="24"/>
              </w:rPr>
              <w:t>服务内容</w:t>
            </w:r>
          </w:p>
        </w:tc>
        <w:tc>
          <w:tcPr>
            <w:tcW w:w="2821" w:type="dxa"/>
            <w:vAlign w:val="center"/>
          </w:tcPr>
          <w:p w14:paraId="020B86E9">
            <w:pPr>
              <w:spacing w:line="560" w:lineRule="exact"/>
              <w:jc w:val="center"/>
              <w:rPr>
                <w:rFonts w:eastAsia="方正仿宋_GBK"/>
                <w:sz w:val="24"/>
              </w:rPr>
            </w:pPr>
            <w:r>
              <w:rPr>
                <w:rFonts w:eastAsia="方正仿宋_GBK"/>
                <w:sz w:val="24"/>
              </w:rPr>
              <w:t>服务内容</w:t>
            </w:r>
          </w:p>
        </w:tc>
        <w:tc>
          <w:tcPr>
            <w:tcW w:w="939" w:type="dxa"/>
            <w:vMerge w:val="continue"/>
            <w:vAlign w:val="center"/>
          </w:tcPr>
          <w:p w14:paraId="6303A87F">
            <w:pPr>
              <w:spacing w:line="560" w:lineRule="exact"/>
              <w:jc w:val="center"/>
              <w:rPr>
                <w:rFonts w:eastAsia="方正仿宋_GBK"/>
                <w:sz w:val="24"/>
              </w:rPr>
            </w:pPr>
          </w:p>
        </w:tc>
        <w:tc>
          <w:tcPr>
            <w:tcW w:w="939" w:type="dxa"/>
            <w:vMerge w:val="continue"/>
            <w:vAlign w:val="center"/>
          </w:tcPr>
          <w:p w14:paraId="456421D5">
            <w:pPr>
              <w:spacing w:line="560" w:lineRule="exact"/>
              <w:jc w:val="center"/>
              <w:rPr>
                <w:rFonts w:eastAsia="方正仿宋_GBK"/>
                <w:sz w:val="24"/>
              </w:rPr>
            </w:pPr>
          </w:p>
        </w:tc>
      </w:tr>
      <w:tr w14:paraId="36FF69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76" w:type="dxa"/>
            <w:vAlign w:val="center"/>
          </w:tcPr>
          <w:p w14:paraId="3B8F5C9E">
            <w:pPr>
              <w:spacing w:line="560" w:lineRule="exact"/>
              <w:jc w:val="center"/>
              <w:rPr>
                <w:rFonts w:eastAsia="方正仿宋_GBK"/>
                <w:sz w:val="24"/>
              </w:rPr>
            </w:pPr>
            <w:r>
              <w:rPr>
                <w:rFonts w:eastAsia="方正仿宋_GBK"/>
                <w:sz w:val="24"/>
              </w:rPr>
              <w:t>1</w:t>
            </w:r>
          </w:p>
        </w:tc>
        <w:tc>
          <w:tcPr>
            <w:tcW w:w="1128" w:type="dxa"/>
            <w:vAlign w:val="center"/>
          </w:tcPr>
          <w:p w14:paraId="32DF7AF9">
            <w:pPr>
              <w:spacing w:line="560" w:lineRule="exact"/>
              <w:jc w:val="center"/>
              <w:rPr>
                <w:rFonts w:eastAsia="方正仿宋_GBK"/>
                <w:sz w:val="24"/>
              </w:rPr>
            </w:pPr>
          </w:p>
        </w:tc>
        <w:tc>
          <w:tcPr>
            <w:tcW w:w="1786" w:type="dxa"/>
            <w:vAlign w:val="center"/>
          </w:tcPr>
          <w:p w14:paraId="3C992A66">
            <w:pPr>
              <w:spacing w:line="560" w:lineRule="exact"/>
              <w:jc w:val="center"/>
              <w:rPr>
                <w:rFonts w:eastAsia="方正仿宋_GBK"/>
                <w:sz w:val="24"/>
              </w:rPr>
            </w:pPr>
          </w:p>
        </w:tc>
        <w:tc>
          <w:tcPr>
            <w:tcW w:w="1789" w:type="dxa"/>
            <w:vAlign w:val="center"/>
          </w:tcPr>
          <w:p w14:paraId="098354B3">
            <w:pPr>
              <w:spacing w:line="560" w:lineRule="exact"/>
              <w:jc w:val="center"/>
              <w:rPr>
                <w:rFonts w:eastAsia="方正仿宋_GBK"/>
                <w:sz w:val="24"/>
              </w:rPr>
            </w:pPr>
          </w:p>
        </w:tc>
        <w:tc>
          <w:tcPr>
            <w:tcW w:w="2821" w:type="dxa"/>
            <w:vAlign w:val="center"/>
          </w:tcPr>
          <w:p w14:paraId="63B7170B">
            <w:pPr>
              <w:spacing w:line="560" w:lineRule="exact"/>
              <w:jc w:val="center"/>
              <w:rPr>
                <w:rFonts w:eastAsia="方正仿宋_GBK"/>
                <w:sz w:val="24"/>
              </w:rPr>
            </w:pPr>
          </w:p>
        </w:tc>
        <w:tc>
          <w:tcPr>
            <w:tcW w:w="939" w:type="dxa"/>
            <w:vAlign w:val="center"/>
          </w:tcPr>
          <w:p w14:paraId="74603D66">
            <w:pPr>
              <w:spacing w:line="560" w:lineRule="exact"/>
              <w:jc w:val="center"/>
              <w:rPr>
                <w:rFonts w:eastAsia="方正仿宋_GBK"/>
                <w:sz w:val="24"/>
              </w:rPr>
            </w:pPr>
          </w:p>
        </w:tc>
        <w:tc>
          <w:tcPr>
            <w:tcW w:w="939" w:type="dxa"/>
            <w:vAlign w:val="center"/>
          </w:tcPr>
          <w:p w14:paraId="0E582F5C">
            <w:pPr>
              <w:spacing w:line="560" w:lineRule="exact"/>
              <w:jc w:val="center"/>
              <w:rPr>
                <w:rFonts w:eastAsia="方正仿宋_GBK"/>
                <w:sz w:val="24"/>
              </w:rPr>
            </w:pPr>
          </w:p>
        </w:tc>
      </w:tr>
      <w:tr w14:paraId="7D7F02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76" w:type="dxa"/>
            <w:vAlign w:val="center"/>
          </w:tcPr>
          <w:p w14:paraId="46C62E5E">
            <w:pPr>
              <w:spacing w:line="560" w:lineRule="exact"/>
              <w:jc w:val="center"/>
              <w:rPr>
                <w:rFonts w:eastAsia="方正仿宋_GBK"/>
                <w:sz w:val="24"/>
              </w:rPr>
            </w:pPr>
            <w:r>
              <w:rPr>
                <w:rFonts w:eastAsia="方正仿宋_GBK"/>
                <w:sz w:val="24"/>
              </w:rPr>
              <w:t>2</w:t>
            </w:r>
          </w:p>
        </w:tc>
        <w:tc>
          <w:tcPr>
            <w:tcW w:w="1128" w:type="dxa"/>
            <w:vAlign w:val="center"/>
          </w:tcPr>
          <w:p w14:paraId="6B8E76A6">
            <w:pPr>
              <w:spacing w:line="560" w:lineRule="exact"/>
              <w:jc w:val="center"/>
              <w:rPr>
                <w:rFonts w:eastAsia="方正仿宋_GBK"/>
                <w:sz w:val="24"/>
              </w:rPr>
            </w:pPr>
          </w:p>
        </w:tc>
        <w:tc>
          <w:tcPr>
            <w:tcW w:w="1786" w:type="dxa"/>
            <w:vAlign w:val="center"/>
          </w:tcPr>
          <w:p w14:paraId="6A225700">
            <w:pPr>
              <w:spacing w:line="560" w:lineRule="exact"/>
              <w:jc w:val="center"/>
              <w:rPr>
                <w:rFonts w:eastAsia="方正仿宋_GBK"/>
                <w:sz w:val="24"/>
              </w:rPr>
            </w:pPr>
          </w:p>
        </w:tc>
        <w:tc>
          <w:tcPr>
            <w:tcW w:w="1789" w:type="dxa"/>
            <w:vAlign w:val="center"/>
          </w:tcPr>
          <w:p w14:paraId="36FF32CD">
            <w:pPr>
              <w:spacing w:line="560" w:lineRule="exact"/>
              <w:jc w:val="center"/>
              <w:rPr>
                <w:rFonts w:eastAsia="方正仿宋_GBK"/>
                <w:sz w:val="24"/>
              </w:rPr>
            </w:pPr>
          </w:p>
        </w:tc>
        <w:tc>
          <w:tcPr>
            <w:tcW w:w="2821" w:type="dxa"/>
            <w:vAlign w:val="center"/>
          </w:tcPr>
          <w:p w14:paraId="692C7C63">
            <w:pPr>
              <w:spacing w:line="560" w:lineRule="exact"/>
              <w:jc w:val="center"/>
              <w:rPr>
                <w:rFonts w:eastAsia="方正仿宋_GBK"/>
                <w:sz w:val="24"/>
              </w:rPr>
            </w:pPr>
          </w:p>
        </w:tc>
        <w:tc>
          <w:tcPr>
            <w:tcW w:w="939" w:type="dxa"/>
            <w:vAlign w:val="center"/>
          </w:tcPr>
          <w:p w14:paraId="44AA4214">
            <w:pPr>
              <w:spacing w:line="560" w:lineRule="exact"/>
              <w:jc w:val="center"/>
              <w:rPr>
                <w:rFonts w:eastAsia="方正仿宋_GBK"/>
                <w:sz w:val="24"/>
              </w:rPr>
            </w:pPr>
          </w:p>
        </w:tc>
        <w:tc>
          <w:tcPr>
            <w:tcW w:w="939" w:type="dxa"/>
            <w:vAlign w:val="center"/>
          </w:tcPr>
          <w:p w14:paraId="50B39201">
            <w:pPr>
              <w:spacing w:line="560" w:lineRule="exact"/>
              <w:jc w:val="center"/>
              <w:rPr>
                <w:rFonts w:eastAsia="方正仿宋_GBK"/>
                <w:sz w:val="24"/>
              </w:rPr>
            </w:pPr>
          </w:p>
        </w:tc>
      </w:tr>
      <w:tr w14:paraId="5D5311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76" w:type="dxa"/>
            <w:vAlign w:val="center"/>
          </w:tcPr>
          <w:p w14:paraId="58F5D428">
            <w:pPr>
              <w:spacing w:line="560" w:lineRule="exact"/>
              <w:jc w:val="center"/>
              <w:rPr>
                <w:rFonts w:eastAsia="方正仿宋_GBK"/>
                <w:sz w:val="24"/>
              </w:rPr>
            </w:pPr>
            <w:r>
              <w:rPr>
                <w:rFonts w:eastAsia="方正仿宋_GBK"/>
                <w:sz w:val="24"/>
              </w:rPr>
              <w:t>3</w:t>
            </w:r>
          </w:p>
        </w:tc>
        <w:tc>
          <w:tcPr>
            <w:tcW w:w="1128" w:type="dxa"/>
            <w:vAlign w:val="center"/>
          </w:tcPr>
          <w:p w14:paraId="1AD514BF">
            <w:pPr>
              <w:spacing w:line="560" w:lineRule="exact"/>
              <w:jc w:val="center"/>
              <w:rPr>
                <w:rFonts w:eastAsia="方正仿宋_GBK"/>
                <w:sz w:val="24"/>
              </w:rPr>
            </w:pPr>
          </w:p>
        </w:tc>
        <w:tc>
          <w:tcPr>
            <w:tcW w:w="1786" w:type="dxa"/>
            <w:vAlign w:val="center"/>
          </w:tcPr>
          <w:p w14:paraId="49D06581">
            <w:pPr>
              <w:spacing w:line="560" w:lineRule="exact"/>
              <w:jc w:val="center"/>
              <w:rPr>
                <w:rFonts w:eastAsia="方正仿宋_GBK"/>
                <w:sz w:val="24"/>
              </w:rPr>
            </w:pPr>
          </w:p>
        </w:tc>
        <w:tc>
          <w:tcPr>
            <w:tcW w:w="1789" w:type="dxa"/>
            <w:vAlign w:val="center"/>
          </w:tcPr>
          <w:p w14:paraId="1C5FF3F0">
            <w:pPr>
              <w:spacing w:line="560" w:lineRule="exact"/>
              <w:jc w:val="center"/>
              <w:rPr>
                <w:rFonts w:eastAsia="方正仿宋_GBK"/>
                <w:sz w:val="24"/>
              </w:rPr>
            </w:pPr>
          </w:p>
        </w:tc>
        <w:tc>
          <w:tcPr>
            <w:tcW w:w="2821" w:type="dxa"/>
            <w:vAlign w:val="center"/>
          </w:tcPr>
          <w:p w14:paraId="159723FA">
            <w:pPr>
              <w:spacing w:line="560" w:lineRule="exact"/>
              <w:jc w:val="center"/>
              <w:rPr>
                <w:rFonts w:eastAsia="方正仿宋_GBK"/>
                <w:sz w:val="24"/>
              </w:rPr>
            </w:pPr>
          </w:p>
        </w:tc>
        <w:tc>
          <w:tcPr>
            <w:tcW w:w="939" w:type="dxa"/>
            <w:vAlign w:val="center"/>
          </w:tcPr>
          <w:p w14:paraId="6BEBDC76">
            <w:pPr>
              <w:spacing w:line="560" w:lineRule="exact"/>
              <w:jc w:val="center"/>
              <w:rPr>
                <w:rFonts w:eastAsia="方正仿宋_GBK"/>
                <w:sz w:val="24"/>
              </w:rPr>
            </w:pPr>
          </w:p>
        </w:tc>
        <w:tc>
          <w:tcPr>
            <w:tcW w:w="939" w:type="dxa"/>
            <w:vAlign w:val="center"/>
          </w:tcPr>
          <w:p w14:paraId="4F82F293">
            <w:pPr>
              <w:spacing w:line="560" w:lineRule="exact"/>
              <w:jc w:val="center"/>
              <w:rPr>
                <w:rFonts w:eastAsia="方正仿宋_GBK"/>
                <w:sz w:val="24"/>
              </w:rPr>
            </w:pPr>
          </w:p>
        </w:tc>
      </w:tr>
      <w:tr w14:paraId="2F4EA6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76" w:type="dxa"/>
            <w:vAlign w:val="center"/>
          </w:tcPr>
          <w:p w14:paraId="74D20713">
            <w:pPr>
              <w:spacing w:line="560" w:lineRule="exact"/>
              <w:jc w:val="center"/>
              <w:rPr>
                <w:rFonts w:eastAsia="方正仿宋_GBK"/>
                <w:sz w:val="24"/>
              </w:rPr>
            </w:pPr>
            <w:r>
              <w:rPr>
                <w:rFonts w:eastAsia="方正仿宋_GBK"/>
                <w:sz w:val="24"/>
              </w:rPr>
              <w:t>4</w:t>
            </w:r>
          </w:p>
        </w:tc>
        <w:tc>
          <w:tcPr>
            <w:tcW w:w="1128" w:type="dxa"/>
            <w:vAlign w:val="center"/>
          </w:tcPr>
          <w:p w14:paraId="07F2B8F7">
            <w:pPr>
              <w:spacing w:line="560" w:lineRule="exact"/>
              <w:jc w:val="center"/>
              <w:rPr>
                <w:rFonts w:eastAsia="方正仿宋_GBK"/>
                <w:sz w:val="24"/>
              </w:rPr>
            </w:pPr>
          </w:p>
        </w:tc>
        <w:tc>
          <w:tcPr>
            <w:tcW w:w="1786" w:type="dxa"/>
            <w:vAlign w:val="center"/>
          </w:tcPr>
          <w:p w14:paraId="727AB40D">
            <w:pPr>
              <w:spacing w:line="560" w:lineRule="exact"/>
              <w:jc w:val="center"/>
              <w:rPr>
                <w:rFonts w:eastAsia="方正仿宋_GBK"/>
                <w:sz w:val="24"/>
              </w:rPr>
            </w:pPr>
          </w:p>
        </w:tc>
        <w:tc>
          <w:tcPr>
            <w:tcW w:w="1789" w:type="dxa"/>
            <w:vAlign w:val="center"/>
          </w:tcPr>
          <w:p w14:paraId="30F87ACD">
            <w:pPr>
              <w:spacing w:line="560" w:lineRule="exact"/>
              <w:jc w:val="center"/>
              <w:rPr>
                <w:rFonts w:eastAsia="方正仿宋_GBK"/>
                <w:sz w:val="24"/>
              </w:rPr>
            </w:pPr>
          </w:p>
        </w:tc>
        <w:tc>
          <w:tcPr>
            <w:tcW w:w="2821" w:type="dxa"/>
            <w:vAlign w:val="center"/>
          </w:tcPr>
          <w:p w14:paraId="45F5D510">
            <w:pPr>
              <w:spacing w:line="560" w:lineRule="exact"/>
              <w:jc w:val="center"/>
              <w:rPr>
                <w:rFonts w:eastAsia="方正仿宋_GBK"/>
                <w:sz w:val="24"/>
              </w:rPr>
            </w:pPr>
          </w:p>
        </w:tc>
        <w:tc>
          <w:tcPr>
            <w:tcW w:w="939" w:type="dxa"/>
            <w:vAlign w:val="center"/>
          </w:tcPr>
          <w:p w14:paraId="6686DF5A">
            <w:pPr>
              <w:spacing w:line="560" w:lineRule="exact"/>
              <w:jc w:val="center"/>
              <w:rPr>
                <w:rFonts w:eastAsia="方正仿宋_GBK"/>
                <w:sz w:val="24"/>
              </w:rPr>
            </w:pPr>
          </w:p>
        </w:tc>
        <w:tc>
          <w:tcPr>
            <w:tcW w:w="939" w:type="dxa"/>
            <w:vAlign w:val="center"/>
          </w:tcPr>
          <w:p w14:paraId="1C244694">
            <w:pPr>
              <w:spacing w:line="560" w:lineRule="exact"/>
              <w:jc w:val="center"/>
              <w:rPr>
                <w:rFonts w:eastAsia="方正仿宋_GBK"/>
                <w:sz w:val="24"/>
              </w:rPr>
            </w:pPr>
          </w:p>
        </w:tc>
      </w:tr>
      <w:tr w14:paraId="368189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76" w:type="dxa"/>
            <w:vAlign w:val="center"/>
          </w:tcPr>
          <w:p w14:paraId="395FAFEE">
            <w:pPr>
              <w:spacing w:line="560" w:lineRule="exact"/>
              <w:jc w:val="center"/>
              <w:rPr>
                <w:rFonts w:eastAsia="方正仿宋_GBK"/>
                <w:sz w:val="24"/>
              </w:rPr>
            </w:pPr>
            <w:r>
              <w:rPr>
                <w:rFonts w:eastAsia="方正仿宋_GBK"/>
                <w:sz w:val="24"/>
              </w:rPr>
              <w:t>5</w:t>
            </w:r>
          </w:p>
        </w:tc>
        <w:tc>
          <w:tcPr>
            <w:tcW w:w="1128" w:type="dxa"/>
            <w:vAlign w:val="center"/>
          </w:tcPr>
          <w:p w14:paraId="26252C02">
            <w:pPr>
              <w:spacing w:line="560" w:lineRule="exact"/>
              <w:jc w:val="center"/>
              <w:rPr>
                <w:rFonts w:eastAsia="方正仿宋_GBK"/>
                <w:sz w:val="24"/>
              </w:rPr>
            </w:pPr>
          </w:p>
        </w:tc>
        <w:tc>
          <w:tcPr>
            <w:tcW w:w="1786" w:type="dxa"/>
            <w:vAlign w:val="center"/>
          </w:tcPr>
          <w:p w14:paraId="1385A872">
            <w:pPr>
              <w:spacing w:line="560" w:lineRule="exact"/>
              <w:jc w:val="center"/>
              <w:rPr>
                <w:rFonts w:eastAsia="方正仿宋_GBK"/>
                <w:sz w:val="24"/>
              </w:rPr>
            </w:pPr>
          </w:p>
        </w:tc>
        <w:tc>
          <w:tcPr>
            <w:tcW w:w="1789" w:type="dxa"/>
            <w:vAlign w:val="center"/>
          </w:tcPr>
          <w:p w14:paraId="47D76298">
            <w:pPr>
              <w:spacing w:line="560" w:lineRule="exact"/>
              <w:jc w:val="center"/>
              <w:rPr>
                <w:rFonts w:eastAsia="方正仿宋_GBK"/>
                <w:sz w:val="24"/>
              </w:rPr>
            </w:pPr>
          </w:p>
        </w:tc>
        <w:tc>
          <w:tcPr>
            <w:tcW w:w="2821" w:type="dxa"/>
            <w:vAlign w:val="center"/>
          </w:tcPr>
          <w:p w14:paraId="5162B207">
            <w:pPr>
              <w:spacing w:line="560" w:lineRule="exact"/>
              <w:jc w:val="center"/>
              <w:rPr>
                <w:rFonts w:eastAsia="方正仿宋_GBK"/>
                <w:sz w:val="24"/>
              </w:rPr>
            </w:pPr>
          </w:p>
        </w:tc>
        <w:tc>
          <w:tcPr>
            <w:tcW w:w="939" w:type="dxa"/>
            <w:vAlign w:val="center"/>
          </w:tcPr>
          <w:p w14:paraId="2C917B1A">
            <w:pPr>
              <w:spacing w:line="560" w:lineRule="exact"/>
              <w:jc w:val="center"/>
              <w:rPr>
                <w:rFonts w:eastAsia="方正仿宋_GBK"/>
                <w:sz w:val="24"/>
              </w:rPr>
            </w:pPr>
          </w:p>
        </w:tc>
        <w:tc>
          <w:tcPr>
            <w:tcW w:w="939" w:type="dxa"/>
            <w:vAlign w:val="center"/>
          </w:tcPr>
          <w:p w14:paraId="42F3F442">
            <w:pPr>
              <w:spacing w:line="560" w:lineRule="exact"/>
              <w:jc w:val="center"/>
              <w:rPr>
                <w:rFonts w:eastAsia="方正仿宋_GBK"/>
                <w:sz w:val="24"/>
              </w:rPr>
            </w:pPr>
          </w:p>
        </w:tc>
      </w:tr>
      <w:tr w14:paraId="623C89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676" w:type="dxa"/>
            <w:tcBorders>
              <w:bottom w:val="double" w:color="auto" w:sz="4" w:space="0"/>
            </w:tcBorders>
            <w:vAlign w:val="center"/>
          </w:tcPr>
          <w:p w14:paraId="7481F0B1">
            <w:pPr>
              <w:spacing w:line="560" w:lineRule="exact"/>
              <w:jc w:val="center"/>
              <w:rPr>
                <w:rFonts w:eastAsia="方正仿宋_GBK"/>
                <w:sz w:val="24"/>
              </w:rPr>
            </w:pPr>
            <w:r>
              <w:rPr>
                <w:rFonts w:eastAsia="方正仿宋_GBK"/>
                <w:sz w:val="24"/>
              </w:rPr>
              <w:t>…</w:t>
            </w:r>
          </w:p>
        </w:tc>
        <w:tc>
          <w:tcPr>
            <w:tcW w:w="1128" w:type="dxa"/>
            <w:tcBorders>
              <w:bottom w:val="double" w:color="auto" w:sz="4" w:space="0"/>
            </w:tcBorders>
            <w:vAlign w:val="center"/>
          </w:tcPr>
          <w:p w14:paraId="3EB98749">
            <w:pPr>
              <w:spacing w:line="560" w:lineRule="exact"/>
              <w:jc w:val="center"/>
              <w:rPr>
                <w:rFonts w:eastAsia="方正仿宋_GBK"/>
                <w:sz w:val="24"/>
              </w:rPr>
            </w:pPr>
          </w:p>
        </w:tc>
        <w:tc>
          <w:tcPr>
            <w:tcW w:w="1786" w:type="dxa"/>
            <w:tcBorders>
              <w:bottom w:val="double" w:color="auto" w:sz="4" w:space="0"/>
            </w:tcBorders>
            <w:vAlign w:val="center"/>
          </w:tcPr>
          <w:p w14:paraId="1CBFD428">
            <w:pPr>
              <w:spacing w:line="560" w:lineRule="exact"/>
              <w:jc w:val="center"/>
              <w:rPr>
                <w:rFonts w:eastAsia="方正仿宋_GBK"/>
                <w:sz w:val="24"/>
              </w:rPr>
            </w:pPr>
          </w:p>
        </w:tc>
        <w:tc>
          <w:tcPr>
            <w:tcW w:w="1789" w:type="dxa"/>
            <w:tcBorders>
              <w:bottom w:val="double" w:color="auto" w:sz="4" w:space="0"/>
            </w:tcBorders>
            <w:vAlign w:val="center"/>
          </w:tcPr>
          <w:p w14:paraId="51707DE6">
            <w:pPr>
              <w:spacing w:line="560" w:lineRule="exact"/>
              <w:jc w:val="center"/>
              <w:rPr>
                <w:rFonts w:eastAsia="方正仿宋_GBK"/>
                <w:sz w:val="24"/>
              </w:rPr>
            </w:pPr>
          </w:p>
        </w:tc>
        <w:tc>
          <w:tcPr>
            <w:tcW w:w="2821" w:type="dxa"/>
            <w:tcBorders>
              <w:bottom w:val="double" w:color="auto" w:sz="4" w:space="0"/>
            </w:tcBorders>
            <w:vAlign w:val="center"/>
          </w:tcPr>
          <w:p w14:paraId="415D526D">
            <w:pPr>
              <w:spacing w:line="560" w:lineRule="exact"/>
              <w:jc w:val="center"/>
              <w:rPr>
                <w:rFonts w:eastAsia="方正仿宋_GBK"/>
                <w:sz w:val="24"/>
              </w:rPr>
            </w:pPr>
          </w:p>
        </w:tc>
        <w:tc>
          <w:tcPr>
            <w:tcW w:w="939" w:type="dxa"/>
            <w:tcBorders>
              <w:bottom w:val="double" w:color="auto" w:sz="4" w:space="0"/>
            </w:tcBorders>
            <w:vAlign w:val="center"/>
          </w:tcPr>
          <w:p w14:paraId="3E94553D">
            <w:pPr>
              <w:spacing w:line="560" w:lineRule="exact"/>
              <w:jc w:val="center"/>
              <w:rPr>
                <w:rFonts w:eastAsia="方正仿宋_GBK"/>
                <w:sz w:val="24"/>
              </w:rPr>
            </w:pPr>
          </w:p>
        </w:tc>
        <w:tc>
          <w:tcPr>
            <w:tcW w:w="939" w:type="dxa"/>
            <w:tcBorders>
              <w:bottom w:val="double" w:color="auto" w:sz="4" w:space="0"/>
            </w:tcBorders>
            <w:vAlign w:val="center"/>
          </w:tcPr>
          <w:p w14:paraId="7A7C71ED">
            <w:pPr>
              <w:spacing w:line="560" w:lineRule="exact"/>
              <w:jc w:val="center"/>
              <w:rPr>
                <w:rFonts w:eastAsia="方正仿宋_GBK"/>
                <w:sz w:val="24"/>
              </w:rPr>
            </w:pPr>
          </w:p>
        </w:tc>
      </w:tr>
    </w:tbl>
    <w:p w14:paraId="194C4F06">
      <w:pPr>
        <w:pStyle w:val="18"/>
        <w:spacing w:line="400" w:lineRule="exact"/>
        <w:rPr>
          <w:rFonts w:ascii="Times New Roman" w:hAnsi="Times New Roman" w:eastAsia="方正仿宋_GBK"/>
          <w:sz w:val="24"/>
          <w:szCs w:val="24"/>
        </w:rPr>
      </w:pPr>
    </w:p>
    <w:p w14:paraId="1A3B8C35">
      <w:pPr>
        <w:pStyle w:val="18"/>
        <w:spacing w:line="400" w:lineRule="exact"/>
        <w:ind w:left="1079" w:leftChars="257" w:hanging="540"/>
        <w:rPr>
          <w:rFonts w:ascii="Times New Roman" w:hAnsi="Times New Roman" w:eastAsia="方正仿宋_GBK"/>
          <w:sz w:val="24"/>
          <w:szCs w:val="24"/>
        </w:rPr>
      </w:pPr>
      <w:r>
        <w:rPr>
          <w:rFonts w:ascii="Times New Roman" w:hAnsi="Times New Roman" w:eastAsia="方正仿宋_GBK"/>
          <w:sz w:val="24"/>
          <w:szCs w:val="24"/>
        </w:rPr>
        <w:t>法定代表人或其委托代理人（签/章）:</w:t>
      </w:r>
      <w:r>
        <w:rPr>
          <w:rFonts w:ascii="Times New Roman" w:hAnsi="Times New Roman" w:eastAsia="方正仿宋_GBK"/>
          <w:sz w:val="24"/>
          <w:szCs w:val="24"/>
          <w:u w:val="single"/>
        </w:rPr>
        <w:tab/>
      </w:r>
      <w:r>
        <w:rPr>
          <w:rFonts w:ascii="Times New Roman" w:hAnsi="Times New Roman" w:eastAsia="方正仿宋_GBK"/>
          <w:sz w:val="24"/>
          <w:szCs w:val="24"/>
          <w:u w:val="single"/>
        </w:rPr>
        <w:t xml:space="preserve">                    </w:t>
      </w:r>
    </w:p>
    <w:p w14:paraId="17D52DB0">
      <w:pPr>
        <w:pStyle w:val="18"/>
        <w:tabs>
          <w:tab w:val="left" w:pos="5370"/>
        </w:tabs>
        <w:spacing w:line="400" w:lineRule="exact"/>
        <w:ind w:left="1079" w:leftChars="257" w:hanging="540"/>
        <w:rPr>
          <w:rFonts w:ascii="Times New Roman" w:hAnsi="Times New Roman" w:eastAsia="方正仿宋_GBK"/>
          <w:sz w:val="24"/>
          <w:szCs w:val="24"/>
          <w:u w:val="single"/>
        </w:rPr>
      </w:pPr>
      <w:r>
        <w:rPr>
          <w:rFonts w:ascii="Times New Roman" w:hAnsi="Times New Roman" w:eastAsia="方正仿宋_GBK"/>
          <w:sz w:val="24"/>
          <w:szCs w:val="24"/>
        </w:rPr>
        <w:t xml:space="preserve">供应商（公章）： </w:t>
      </w:r>
      <w:r>
        <w:rPr>
          <w:rFonts w:ascii="Times New Roman" w:hAnsi="Times New Roman" w:eastAsia="方正仿宋_GBK"/>
          <w:sz w:val="24"/>
          <w:szCs w:val="24"/>
          <w:u w:val="single"/>
        </w:rPr>
        <w:t xml:space="preserve">                                        </w:t>
      </w:r>
    </w:p>
    <w:p w14:paraId="4D866DE2">
      <w:pPr>
        <w:pStyle w:val="31"/>
        <w:ind w:left="0" w:leftChars="0" w:firstLine="480" w:firstLineChars="200"/>
        <w:rPr>
          <w:rFonts w:eastAsia="方正仿宋_GBK"/>
          <w:sz w:val="24"/>
        </w:rPr>
      </w:pPr>
      <w:r>
        <w:rPr>
          <w:rFonts w:eastAsia="方正仿宋_GBK"/>
          <w:sz w:val="24"/>
        </w:rPr>
        <w:t>日  期：</w:t>
      </w:r>
      <w:r>
        <w:rPr>
          <w:rFonts w:eastAsia="方正仿宋_GBK"/>
          <w:sz w:val="24"/>
          <w:u w:val="single"/>
        </w:rPr>
        <w:t xml:space="preserve">                                                     </w:t>
      </w:r>
    </w:p>
    <w:p w14:paraId="25D00D6B">
      <w:pPr>
        <w:pStyle w:val="28"/>
        <w:rPr>
          <w:rFonts w:ascii="微软雅黑" w:hAnsi="微软雅黑" w:eastAsia="微软雅黑" w:cs="微软雅黑"/>
          <w:u w:val="single"/>
        </w:rPr>
      </w:pPr>
    </w:p>
    <w:p w14:paraId="62DAFB0E">
      <w:pPr>
        <w:pStyle w:val="28"/>
        <w:rPr>
          <w:rFonts w:ascii="微软雅黑" w:hAnsi="微软雅黑" w:eastAsia="微软雅黑" w:cs="微软雅黑"/>
        </w:rPr>
      </w:pPr>
    </w:p>
    <w:p w14:paraId="228FD3C4">
      <w:pPr>
        <w:pStyle w:val="28"/>
        <w:rPr>
          <w:rFonts w:ascii="微软雅黑" w:hAnsi="微软雅黑" w:eastAsia="微软雅黑" w:cs="微软雅黑"/>
        </w:rPr>
      </w:pPr>
    </w:p>
    <w:p w14:paraId="67FF2B81">
      <w:pPr>
        <w:pStyle w:val="28"/>
        <w:rPr>
          <w:rFonts w:ascii="微软雅黑" w:hAnsi="微软雅黑" w:eastAsia="微软雅黑" w:cs="微软雅黑"/>
        </w:rPr>
      </w:pPr>
    </w:p>
    <w:p w14:paraId="26DB6A9D">
      <w:pPr>
        <w:pStyle w:val="28"/>
        <w:rPr>
          <w:rFonts w:ascii="微软雅黑" w:hAnsi="微软雅黑" w:eastAsia="微软雅黑" w:cs="微软雅黑"/>
        </w:rPr>
      </w:pPr>
    </w:p>
    <w:p w14:paraId="791ED187">
      <w:pPr>
        <w:pStyle w:val="28"/>
        <w:rPr>
          <w:rFonts w:ascii="微软雅黑" w:hAnsi="微软雅黑" w:eastAsia="微软雅黑" w:cs="微软雅黑"/>
        </w:rPr>
      </w:pPr>
    </w:p>
    <w:p w14:paraId="230B45A9">
      <w:pPr>
        <w:pStyle w:val="28"/>
        <w:rPr>
          <w:rFonts w:ascii="微软雅黑" w:hAnsi="微软雅黑" w:eastAsia="微软雅黑" w:cs="微软雅黑"/>
        </w:rPr>
      </w:pPr>
    </w:p>
    <w:p w14:paraId="6B10C783">
      <w:pPr>
        <w:pStyle w:val="28"/>
        <w:rPr>
          <w:rFonts w:ascii="微软雅黑" w:hAnsi="微软雅黑" w:eastAsia="微软雅黑" w:cs="微软雅黑"/>
        </w:rPr>
      </w:pPr>
    </w:p>
    <w:p w14:paraId="0FF54789">
      <w:pPr>
        <w:pStyle w:val="28"/>
        <w:rPr>
          <w:rFonts w:ascii="微软雅黑" w:hAnsi="微软雅黑" w:eastAsia="微软雅黑" w:cs="微软雅黑"/>
        </w:rPr>
      </w:pPr>
    </w:p>
    <w:p w14:paraId="73353F24">
      <w:pPr>
        <w:pStyle w:val="28"/>
        <w:rPr>
          <w:rFonts w:ascii="微软雅黑" w:hAnsi="微软雅黑" w:eastAsia="微软雅黑" w:cs="微软雅黑"/>
        </w:rPr>
      </w:pPr>
    </w:p>
    <w:p w14:paraId="53085A3E">
      <w:pPr>
        <w:pStyle w:val="12"/>
      </w:pPr>
    </w:p>
    <w:p w14:paraId="28B38F9C"/>
    <w:bookmarkEnd w:id="659"/>
    <w:bookmarkEnd w:id="660"/>
    <w:bookmarkEnd w:id="661"/>
    <w:bookmarkEnd w:id="662"/>
    <w:bookmarkEnd w:id="663"/>
    <w:bookmarkEnd w:id="664"/>
    <w:bookmarkEnd w:id="665"/>
    <w:bookmarkEnd w:id="666"/>
    <w:bookmarkEnd w:id="667"/>
    <w:bookmarkEnd w:id="668"/>
    <w:bookmarkEnd w:id="669"/>
    <w:p w14:paraId="40C721BC">
      <w:pPr>
        <w:pStyle w:val="5"/>
        <w:spacing w:before="0" w:line="240" w:lineRule="atLeast"/>
        <w:rPr>
          <w:rFonts w:ascii="Times New Roman" w:hAnsi="Times New Roman" w:eastAsia="方正仿宋_GBK"/>
          <w:bCs/>
          <w:sz w:val="28"/>
          <w:szCs w:val="28"/>
        </w:rPr>
      </w:pPr>
      <w:bookmarkStart w:id="688" w:name="_Hlt520271212"/>
      <w:bookmarkEnd w:id="688"/>
      <w:bookmarkStart w:id="689" w:name="_Hlt520343000"/>
      <w:bookmarkEnd w:id="689"/>
      <w:bookmarkStart w:id="690" w:name="_Hlt520274065"/>
      <w:bookmarkEnd w:id="690"/>
      <w:bookmarkStart w:id="691" w:name="_Hlt520274393"/>
      <w:bookmarkEnd w:id="691"/>
      <w:bookmarkStart w:id="692" w:name="_Hlt520273973"/>
      <w:bookmarkEnd w:id="692"/>
      <w:bookmarkStart w:id="693" w:name="_Hlt520350918"/>
      <w:bookmarkEnd w:id="693"/>
      <w:bookmarkStart w:id="694" w:name="_Hlt520350957"/>
      <w:bookmarkEnd w:id="694"/>
      <w:bookmarkStart w:id="695" w:name="_Hlt520273711"/>
      <w:bookmarkEnd w:id="695"/>
      <w:bookmarkStart w:id="696" w:name="_Hlt520343392"/>
      <w:bookmarkEnd w:id="696"/>
      <w:bookmarkStart w:id="697" w:name="_Hlt520274911"/>
      <w:bookmarkEnd w:id="697"/>
      <w:bookmarkStart w:id="698" w:name="_Hlt520274407"/>
      <w:bookmarkEnd w:id="698"/>
      <w:bookmarkStart w:id="699" w:name="_Toc24430"/>
      <w:bookmarkStart w:id="700" w:name="_Toc16408"/>
      <w:bookmarkStart w:id="701" w:name="_Toc13710"/>
      <w:bookmarkStart w:id="702" w:name="_Toc24705"/>
      <w:bookmarkStart w:id="703" w:name="_Toc8073"/>
      <w:bookmarkStart w:id="704" w:name="_Toc29345"/>
      <w:bookmarkStart w:id="705" w:name="_Toc20471"/>
      <w:bookmarkStart w:id="706" w:name="_Toc25307"/>
      <w:bookmarkStart w:id="707" w:name="_Toc2099"/>
      <w:bookmarkStart w:id="708" w:name="_Toc13385"/>
      <w:r>
        <w:rPr>
          <w:rFonts w:ascii="Times New Roman" w:hAnsi="Times New Roman" w:eastAsia="方正仿宋_GBK"/>
          <w:bCs/>
          <w:sz w:val="28"/>
          <w:szCs w:val="28"/>
        </w:rPr>
        <w:t>6-1中小企业声明函（服务）</w:t>
      </w:r>
      <w:bookmarkEnd w:id="699"/>
      <w:bookmarkEnd w:id="700"/>
      <w:bookmarkEnd w:id="701"/>
    </w:p>
    <w:p w14:paraId="6A5D6C91">
      <w:pPr>
        <w:widowControl/>
        <w:spacing w:line="480" w:lineRule="exact"/>
        <w:ind w:firstLine="480" w:firstLineChars="200"/>
        <w:rPr>
          <w:rFonts w:eastAsia="方正仿宋_GBK"/>
          <w:sz w:val="24"/>
        </w:rPr>
      </w:pPr>
      <w:r>
        <w:rPr>
          <w:rFonts w:eastAsia="方正仿宋_GBK"/>
          <w:sz w:val="24"/>
        </w:rPr>
        <w:t>本公司（联合体）郑重声明，根据《政府采购促进中小企业发展管理办法》（财库﹝2020﹞46 号）的规定，本公司（联合体）参加</w:t>
      </w:r>
      <w:r>
        <w:rPr>
          <w:rFonts w:eastAsia="方正仿宋_GBK"/>
          <w:sz w:val="24"/>
          <w:u w:val="single"/>
        </w:rPr>
        <w:t>（单位名称）</w:t>
      </w:r>
      <w:r>
        <w:rPr>
          <w:rFonts w:eastAsia="方正仿宋_GBK"/>
          <w:sz w:val="24"/>
        </w:rPr>
        <w:t>的</w:t>
      </w:r>
      <w:r>
        <w:rPr>
          <w:rFonts w:eastAsia="方正仿宋_GBK"/>
          <w:sz w:val="24"/>
          <w:u w:val="single"/>
        </w:rPr>
        <w:t>（项目名称）</w:t>
      </w:r>
      <w:r>
        <w:rPr>
          <w:rFonts w:eastAsia="方正仿宋_GBK"/>
          <w:sz w:val="24"/>
        </w:rPr>
        <w:t>采购活动，服务全部由符合政策要求的中小企业承接。相关企业（含联合体中的中小企业、签订分包意向协议的中小企业） 的具体情况如下：</w:t>
      </w:r>
    </w:p>
    <w:p w14:paraId="74AE4FEB">
      <w:pPr>
        <w:widowControl/>
        <w:spacing w:line="480" w:lineRule="exact"/>
        <w:jc w:val="left"/>
        <w:rPr>
          <w:rFonts w:eastAsia="方正仿宋_GBK"/>
          <w:sz w:val="24"/>
        </w:rPr>
      </w:pPr>
      <w:r>
        <w:rPr>
          <w:rFonts w:eastAsia="方正仿宋_GBK"/>
          <w:sz w:val="24"/>
        </w:rPr>
        <w:t xml:space="preserve">    1、</w:t>
      </w:r>
      <w:r>
        <w:rPr>
          <w:rFonts w:eastAsia="方正仿宋_GBK"/>
          <w:sz w:val="24"/>
          <w:u w:val="single"/>
        </w:rPr>
        <w:t>（标的名称）</w:t>
      </w:r>
      <w:r>
        <w:rPr>
          <w:rFonts w:eastAsia="方正仿宋_GBK"/>
          <w:sz w:val="24"/>
        </w:rPr>
        <w:t>，属于</w:t>
      </w:r>
      <w:r>
        <w:rPr>
          <w:rFonts w:eastAsia="方正仿宋_GBK"/>
          <w:sz w:val="24"/>
          <w:u w:val="single"/>
        </w:rPr>
        <w:t>（采购文件中明确的所属行业）</w:t>
      </w:r>
      <w:r>
        <w:rPr>
          <w:rFonts w:eastAsia="方正仿宋_GBK"/>
          <w:sz w:val="24"/>
        </w:rPr>
        <w:t>行业；承接企业为（企业名称），从业人员</w:t>
      </w:r>
      <w:r>
        <w:rPr>
          <w:rFonts w:eastAsia="方正仿宋_GBK"/>
          <w:sz w:val="24"/>
          <w:u w:val="single"/>
        </w:rPr>
        <w:t xml:space="preserve">   </w:t>
      </w:r>
      <w:r>
        <w:rPr>
          <w:rFonts w:eastAsia="方正仿宋_GBK"/>
          <w:sz w:val="24"/>
        </w:rPr>
        <w:t>人，营业收入为</w:t>
      </w:r>
      <w:r>
        <w:rPr>
          <w:rFonts w:eastAsia="方正仿宋_GBK"/>
          <w:sz w:val="24"/>
          <w:u w:val="single"/>
        </w:rPr>
        <w:t xml:space="preserve">   </w:t>
      </w:r>
      <w:r>
        <w:rPr>
          <w:rFonts w:eastAsia="方正仿宋_GBK"/>
          <w:sz w:val="24"/>
          <w:u w:val="single"/>
        </w:rPr>
        <w:tab/>
      </w:r>
      <w:r>
        <w:rPr>
          <w:rFonts w:eastAsia="方正仿宋_GBK"/>
          <w:sz w:val="24"/>
        </w:rPr>
        <w:t>万元，资产总额为</w:t>
      </w:r>
      <w:r>
        <w:rPr>
          <w:rFonts w:eastAsia="方正仿宋_GBK"/>
          <w:sz w:val="24"/>
          <w:u w:val="single"/>
        </w:rPr>
        <w:t xml:space="preserve">    </w:t>
      </w:r>
      <w:r>
        <w:rPr>
          <w:rFonts w:eastAsia="方正仿宋_GBK"/>
          <w:sz w:val="24"/>
          <w:u w:val="single"/>
        </w:rPr>
        <w:tab/>
      </w:r>
      <w:r>
        <w:rPr>
          <w:rFonts w:eastAsia="方正仿宋_GBK"/>
          <w:sz w:val="24"/>
        </w:rPr>
        <w:t>万元，属于</w:t>
      </w:r>
      <w:r>
        <w:rPr>
          <w:rFonts w:eastAsia="方正仿宋_GBK"/>
          <w:sz w:val="24"/>
          <w:u w:val="single"/>
        </w:rPr>
        <w:t xml:space="preserve">       </w:t>
      </w:r>
      <w:r>
        <w:rPr>
          <w:rFonts w:eastAsia="方正仿宋_GBK"/>
          <w:sz w:val="24"/>
        </w:rPr>
        <w:t>（中型企业、小型企业、微型企业）；</w:t>
      </w:r>
    </w:p>
    <w:p w14:paraId="2427274A">
      <w:pPr>
        <w:widowControl/>
        <w:spacing w:line="480" w:lineRule="exact"/>
        <w:ind w:firstLine="480" w:firstLineChars="200"/>
        <w:jc w:val="left"/>
        <w:rPr>
          <w:rFonts w:eastAsia="方正仿宋_GBK"/>
          <w:sz w:val="24"/>
        </w:rPr>
      </w:pPr>
      <w:r>
        <w:rPr>
          <w:rFonts w:eastAsia="方正仿宋_GBK"/>
          <w:sz w:val="24"/>
        </w:rPr>
        <w:t>2、</w:t>
      </w:r>
      <w:r>
        <w:rPr>
          <w:rFonts w:eastAsia="方正仿宋_GBK"/>
          <w:sz w:val="24"/>
          <w:u w:val="single"/>
        </w:rPr>
        <w:t>（标的名称）</w:t>
      </w:r>
      <w:r>
        <w:rPr>
          <w:rFonts w:eastAsia="方正仿宋_GBK"/>
          <w:sz w:val="24"/>
        </w:rPr>
        <w:t>，属于</w:t>
      </w:r>
      <w:r>
        <w:rPr>
          <w:rFonts w:eastAsia="方正仿宋_GBK"/>
          <w:sz w:val="24"/>
          <w:u w:val="single"/>
        </w:rPr>
        <w:t>（采购文件中明确的所属行业）</w:t>
      </w:r>
      <w:r>
        <w:rPr>
          <w:rFonts w:eastAsia="方正仿宋_GBK"/>
          <w:sz w:val="24"/>
        </w:rPr>
        <w:t>行业；承接企业为（企业名称），从业人员</w:t>
      </w:r>
      <w:r>
        <w:rPr>
          <w:rFonts w:eastAsia="方正仿宋_GBK"/>
          <w:sz w:val="24"/>
          <w:u w:val="single"/>
        </w:rPr>
        <w:t xml:space="preserve">   </w:t>
      </w:r>
      <w:r>
        <w:rPr>
          <w:rFonts w:eastAsia="方正仿宋_GBK"/>
          <w:sz w:val="24"/>
        </w:rPr>
        <w:t>人，营业收入为</w:t>
      </w:r>
      <w:r>
        <w:rPr>
          <w:rFonts w:eastAsia="方正仿宋_GBK"/>
          <w:sz w:val="24"/>
          <w:u w:val="single"/>
        </w:rPr>
        <w:t xml:space="preserve">   </w:t>
      </w:r>
      <w:r>
        <w:rPr>
          <w:rFonts w:eastAsia="方正仿宋_GBK"/>
          <w:sz w:val="24"/>
          <w:u w:val="single"/>
        </w:rPr>
        <w:tab/>
      </w:r>
      <w:r>
        <w:rPr>
          <w:rFonts w:eastAsia="方正仿宋_GBK"/>
          <w:sz w:val="24"/>
        </w:rPr>
        <w:t>万元，资产总额为</w:t>
      </w:r>
      <w:r>
        <w:rPr>
          <w:rFonts w:eastAsia="方正仿宋_GBK"/>
          <w:sz w:val="24"/>
          <w:u w:val="single"/>
        </w:rPr>
        <w:t xml:space="preserve">    </w:t>
      </w:r>
      <w:r>
        <w:rPr>
          <w:rFonts w:eastAsia="方正仿宋_GBK"/>
          <w:sz w:val="24"/>
          <w:u w:val="single"/>
        </w:rPr>
        <w:tab/>
      </w:r>
      <w:r>
        <w:rPr>
          <w:rFonts w:eastAsia="方正仿宋_GBK"/>
          <w:sz w:val="24"/>
        </w:rPr>
        <w:t>万元，属于</w:t>
      </w:r>
      <w:r>
        <w:rPr>
          <w:rFonts w:eastAsia="方正仿宋_GBK"/>
          <w:sz w:val="24"/>
          <w:u w:val="single"/>
        </w:rPr>
        <w:t xml:space="preserve">       </w:t>
      </w:r>
      <w:r>
        <w:rPr>
          <w:rFonts w:eastAsia="方正仿宋_GBK"/>
          <w:sz w:val="24"/>
        </w:rPr>
        <w:t>（中型企业、小型企业、微型企业）；</w:t>
      </w:r>
    </w:p>
    <w:p w14:paraId="128DB954">
      <w:pPr>
        <w:widowControl/>
        <w:spacing w:line="480" w:lineRule="exact"/>
        <w:rPr>
          <w:rFonts w:eastAsia="方正仿宋_GBK"/>
          <w:sz w:val="24"/>
        </w:rPr>
      </w:pPr>
      <w:r>
        <w:rPr>
          <w:rFonts w:eastAsia="方正仿宋_GBK"/>
          <w:sz w:val="24"/>
        </w:rPr>
        <w:t>……</w:t>
      </w:r>
    </w:p>
    <w:p w14:paraId="387A9C46">
      <w:pPr>
        <w:widowControl/>
        <w:spacing w:line="480" w:lineRule="exact"/>
        <w:ind w:firstLine="480" w:firstLineChars="200"/>
        <w:rPr>
          <w:rFonts w:eastAsia="方正仿宋_GBK"/>
          <w:sz w:val="24"/>
        </w:rPr>
      </w:pPr>
      <w:r>
        <w:rPr>
          <w:rFonts w:eastAsia="方正仿宋_GBK"/>
          <w:sz w:val="24"/>
        </w:rPr>
        <w:t>以上企业，不属于大企业的分支机构，不存在控股股东为大企业的情形，也不存在与大企业的负责人为同一人的情形。</w:t>
      </w:r>
    </w:p>
    <w:p w14:paraId="561A3945">
      <w:pPr>
        <w:widowControl/>
        <w:spacing w:line="480" w:lineRule="exact"/>
        <w:rPr>
          <w:rFonts w:eastAsia="方正仿宋_GBK"/>
          <w:sz w:val="24"/>
        </w:rPr>
      </w:pPr>
      <w:r>
        <w:rPr>
          <w:rFonts w:eastAsia="方正仿宋_GBK"/>
          <w:sz w:val="24"/>
        </w:rPr>
        <w:t>本企业对上述声明内容的真实性负责。如有虚假，将依法承担相应责任。</w:t>
      </w:r>
    </w:p>
    <w:p w14:paraId="2D48AAE5">
      <w:pPr>
        <w:widowControl/>
        <w:spacing w:line="480" w:lineRule="exact"/>
        <w:ind w:firstLine="2400" w:firstLineChars="1000"/>
        <w:rPr>
          <w:rFonts w:eastAsia="方正仿宋_GBK"/>
          <w:sz w:val="24"/>
        </w:rPr>
      </w:pPr>
    </w:p>
    <w:p w14:paraId="5CBEF0EF">
      <w:pPr>
        <w:widowControl/>
        <w:spacing w:line="480" w:lineRule="exact"/>
        <w:ind w:firstLine="4800" w:firstLineChars="2000"/>
        <w:rPr>
          <w:rFonts w:eastAsia="方正仿宋_GBK"/>
          <w:sz w:val="24"/>
          <w:u w:val="single"/>
        </w:rPr>
      </w:pPr>
      <w:r>
        <w:rPr>
          <w:rFonts w:eastAsia="方正仿宋_GBK"/>
          <w:sz w:val="24"/>
        </w:rPr>
        <w:t>企业名称（盖章）：</w:t>
      </w:r>
      <w:r>
        <w:rPr>
          <w:rFonts w:eastAsia="方正仿宋_GBK"/>
          <w:sz w:val="24"/>
          <w:u w:val="single"/>
        </w:rPr>
        <w:t xml:space="preserve">                </w:t>
      </w:r>
    </w:p>
    <w:p w14:paraId="4152D412">
      <w:pPr>
        <w:widowControl/>
        <w:spacing w:line="480" w:lineRule="exact"/>
        <w:ind w:firstLine="4800" w:firstLineChars="2000"/>
        <w:rPr>
          <w:rFonts w:eastAsia="方正仿宋_GBK"/>
          <w:sz w:val="24"/>
          <w:u w:val="single"/>
        </w:rPr>
      </w:pPr>
      <w:r>
        <w:rPr>
          <w:rFonts w:eastAsia="方正仿宋_GBK"/>
          <w:sz w:val="24"/>
        </w:rPr>
        <w:t>日    期：</w:t>
      </w:r>
      <w:r>
        <w:rPr>
          <w:rFonts w:eastAsia="方正仿宋_GBK"/>
          <w:sz w:val="24"/>
          <w:u w:val="single"/>
        </w:rPr>
        <w:t xml:space="preserve">                         </w:t>
      </w:r>
    </w:p>
    <w:p w14:paraId="092B1508">
      <w:pPr>
        <w:widowControl/>
        <w:spacing w:line="480" w:lineRule="exact"/>
        <w:rPr>
          <w:rFonts w:eastAsia="方正仿宋_GBK"/>
          <w:sz w:val="24"/>
        </w:rPr>
      </w:pPr>
    </w:p>
    <w:p w14:paraId="38076DFF">
      <w:pPr>
        <w:spacing w:line="480" w:lineRule="exact"/>
        <w:ind w:left="480" w:hanging="480" w:hangingChars="200"/>
        <w:rPr>
          <w:rFonts w:eastAsia="方正仿宋_GBK"/>
          <w:sz w:val="24"/>
        </w:rPr>
      </w:pPr>
      <w:r>
        <w:rPr>
          <w:rFonts w:eastAsia="方正仿宋_GBK"/>
          <w:kern w:val="0"/>
          <w:sz w:val="24"/>
        </w:rPr>
        <w:t>注：1、须附从业人员、营业收入、资产总额填报上一年度数据，无上一年度数据的新成立企业可不填报。</w:t>
      </w:r>
    </w:p>
    <w:p w14:paraId="11E46305">
      <w:pPr>
        <w:numPr>
          <w:ilvl w:val="0"/>
          <w:numId w:val="4"/>
        </w:numPr>
        <w:spacing w:line="480" w:lineRule="exact"/>
        <w:ind w:left="0"/>
        <w:rPr>
          <w:rFonts w:eastAsia="方正仿宋_GBK"/>
          <w:kern w:val="0"/>
          <w:sz w:val="24"/>
        </w:rPr>
      </w:pPr>
      <w:r>
        <w:rPr>
          <w:rFonts w:eastAsia="方正仿宋_GBK"/>
          <w:kern w:val="0"/>
          <w:sz w:val="24"/>
        </w:rPr>
        <w:t xml:space="preserve">潜在投标企业属于中小微企业的，应在投标文件中提供“中小企业声明函”，如果未提供或提供的“中小企业声明函”虚假不属实，供应商将承担由此造成的一切不利后果。    </w:t>
      </w:r>
    </w:p>
    <w:p w14:paraId="63B8AC41">
      <w:pPr>
        <w:numPr>
          <w:ilvl w:val="0"/>
          <w:numId w:val="4"/>
        </w:numPr>
        <w:spacing w:line="480" w:lineRule="exact"/>
        <w:ind w:left="0"/>
        <w:rPr>
          <w:rFonts w:eastAsia="方正仿宋_GBK"/>
          <w:b/>
          <w:bCs/>
          <w:color w:val="FF0000"/>
          <w:sz w:val="24"/>
        </w:rPr>
      </w:pPr>
      <w:r>
        <w:rPr>
          <w:rFonts w:eastAsia="方正仿宋_GBK"/>
          <w:b/>
          <w:bCs/>
          <w:color w:val="FF0000"/>
          <w:kern w:val="0"/>
          <w:sz w:val="24"/>
        </w:rPr>
        <w:t>本项目所属行业：</w:t>
      </w:r>
      <w:r>
        <w:rPr>
          <w:rFonts w:hint="eastAsia" w:eastAsia="方正仿宋_GBK"/>
          <w:b/>
          <w:bCs/>
          <w:color w:val="FF0000"/>
          <w:kern w:val="0"/>
          <w:sz w:val="24"/>
        </w:rPr>
        <w:t>软件和信息技术服务业</w:t>
      </w:r>
      <w:r>
        <w:rPr>
          <w:rFonts w:eastAsia="方正仿宋_GBK"/>
          <w:b/>
          <w:bCs/>
          <w:color w:val="FF0000"/>
          <w:kern w:val="0"/>
          <w:sz w:val="24"/>
        </w:rPr>
        <w:t>。</w:t>
      </w:r>
    </w:p>
    <w:p w14:paraId="016503A4">
      <w:pPr>
        <w:pStyle w:val="2"/>
        <w:ind w:firstLine="0"/>
        <w:rPr>
          <w:rFonts w:ascii="微软雅黑" w:hAnsi="微软雅黑" w:eastAsia="微软雅黑" w:cs="微软雅黑"/>
          <w:szCs w:val="21"/>
        </w:rPr>
      </w:pPr>
    </w:p>
    <w:p w14:paraId="7B4DDC3D"/>
    <w:p w14:paraId="6F50F5C8">
      <w:pPr>
        <w:pStyle w:val="5"/>
        <w:spacing w:before="0" w:line="240" w:lineRule="atLeast"/>
        <w:rPr>
          <w:rFonts w:ascii="Times New Roman" w:hAnsi="Times New Roman" w:eastAsia="方正仿宋_GBK"/>
          <w:bCs/>
          <w:sz w:val="28"/>
          <w:szCs w:val="28"/>
        </w:rPr>
      </w:pPr>
      <w:bookmarkStart w:id="709" w:name="_Toc26116"/>
      <w:bookmarkStart w:id="710" w:name="_Toc30321"/>
      <w:bookmarkStart w:id="711" w:name="_Toc10900"/>
      <w:bookmarkStart w:id="712" w:name="OLE_LINK13"/>
      <w:bookmarkStart w:id="713" w:name="_Toc515647825"/>
      <w:bookmarkStart w:id="714" w:name="_Toc23103"/>
      <w:bookmarkStart w:id="715" w:name="_Toc10530"/>
      <w:bookmarkStart w:id="716" w:name="_Toc13191"/>
      <w:bookmarkStart w:id="717" w:name="_Toc1860"/>
      <w:bookmarkStart w:id="718" w:name="_Toc6345"/>
      <w:bookmarkStart w:id="719" w:name="_Toc19284"/>
      <w:bookmarkStart w:id="720" w:name="_Toc15209"/>
      <w:bookmarkStart w:id="721" w:name="OLE_LINK14"/>
      <w:bookmarkStart w:id="722" w:name="_Toc23068"/>
      <w:bookmarkStart w:id="723" w:name="_Toc5825"/>
      <w:r>
        <w:rPr>
          <w:rFonts w:ascii="Times New Roman" w:hAnsi="Times New Roman" w:eastAsia="方正仿宋_GBK"/>
          <w:bCs/>
          <w:sz w:val="28"/>
          <w:szCs w:val="28"/>
        </w:rPr>
        <w:t>6-2 残疾人福利性单位声明函</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5D8909C0">
      <w:pPr>
        <w:spacing w:line="240" w:lineRule="atLeast"/>
        <w:ind w:left="1079" w:leftChars="257" w:hanging="540"/>
        <w:jc w:val="center"/>
        <w:rPr>
          <w:rFonts w:ascii="微软雅黑" w:hAnsi="微软雅黑" w:eastAsia="微软雅黑" w:cs="微软雅黑"/>
          <w:kern w:val="0"/>
          <w:sz w:val="24"/>
        </w:rPr>
      </w:pPr>
    </w:p>
    <w:p w14:paraId="28E4F4C9">
      <w:pPr>
        <w:spacing w:line="240" w:lineRule="atLeast"/>
        <w:ind w:firstLine="567"/>
        <w:rPr>
          <w:rFonts w:eastAsia="方正仿宋_GBK"/>
          <w:kern w:val="0"/>
          <w:sz w:val="24"/>
        </w:rPr>
      </w:pPr>
      <w:r>
        <w:rPr>
          <w:rFonts w:eastAsia="方正仿宋_GBK"/>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595893">
      <w:pPr>
        <w:spacing w:line="240" w:lineRule="atLeast"/>
        <w:ind w:left="1079" w:leftChars="257" w:hanging="540"/>
        <w:rPr>
          <w:rFonts w:eastAsia="方正仿宋_GBK"/>
          <w:kern w:val="0"/>
          <w:sz w:val="24"/>
        </w:rPr>
      </w:pPr>
      <w:r>
        <w:rPr>
          <w:rFonts w:eastAsia="方正仿宋_GBK"/>
          <w:kern w:val="0"/>
          <w:sz w:val="24"/>
        </w:rPr>
        <w:t>本单位对上述声明的真实性负责。如有虚假，将依法承担相应责任。</w:t>
      </w:r>
    </w:p>
    <w:p w14:paraId="59CA2C5F">
      <w:pPr>
        <w:spacing w:line="240" w:lineRule="atLeast"/>
        <w:ind w:left="1079" w:leftChars="257" w:hanging="540"/>
        <w:jc w:val="center"/>
        <w:rPr>
          <w:rFonts w:eastAsia="方正仿宋_GBK"/>
          <w:kern w:val="0"/>
          <w:sz w:val="24"/>
        </w:rPr>
      </w:pPr>
    </w:p>
    <w:p w14:paraId="0EF91EAF">
      <w:pPr>
        <w:spacing w:line="240" w:lineRule="atLeast"/>
        <w:ind w:left="1079" w:leftChars="257" w:hanging="540"/>
        <w:jc w:val="center"/>
        <w:rPr>
          <w:rFonts w:eastAsia="方正仿宋_GBK"/>
          <w:kern w:val="0"/>
          <w:sz w:val="24"/>
        </w:rPr>
      </w:pPr>
    </w:p>
    <w:p w14:paraId="23FAB785">
      <w:pPr>
        <w:spacing w:line="240" w:lineRule="atLeast"/>
        <w:ind w:left="1079" w:leftChars="257" w:hanging="540"/>
        <w:jc w:val="center"/>
        <w:rPr>
          <w:rFonts w:eastAsia="方正仿宋_GBK"/>
          <w:kern w:val="0"/>
          <w:sz w:val="24"/>
        </w:rPr>
      </w:pPr>
      <w:r>
        <w:rPr>
          <w:rFonts w:eastAsia="方正仿宋_GBK"/>
          <w:kern w:val="0"/>
          <w:sz w:val="24"/>
        </w:rPr>
        <w:t xml:space="preserve"> 残疾人福利性单位名称（公章）： </w:t>
      </w:r>
    </w:p>
    <w:p w14:paraId="3C10C8D1">
      <w:pPr>
        <w:spacing w:line="240" w:lineRule="atLeast"/>
        <w:ind w:left="1079" w:leftChars="257" w:hanging="540"/>
        <w:jc w:val="center"/>
        <w:rPr>
          <w:rFonts w:eastAsia="方正仿宋_GBK"/>
          <w:b/>
          <w:kern w:val="0"/>
          <w:sz w:val="24"/>
        </w:rPr>
      </w:pPr>
      <w:r>
        <w:rPr>
          <w:rFonts w:eastAsia="方正仿宋_GBK"/>
          <w:kern w:val="0"/>
          <w:sz w:val="24"/>
        </w:rPr>
        <w:t xml:space="preserve">                    日     期：</w:t>
      </w:r>
    </w:p>
    <w:p w14:paraId="1A8A97A1">
      <w:pPr>
        <w:spacing w:line="240" w:lineRule="atLeast"/>
        <w:ind w:left="1079" w:leftChars="257" w:hanging="540"/>
        <w:jc w:val="center"/>
        <w:rPr>
          <w:rFonts w:ascii="微软雅黑" w:hAnsi="微软雅黑" w:eastAsia="微软雅黑" w:cs="微软雅黑"/>
          <w:b/>
          <w:kern w:val="0"/>
          <w:sz w:val="24"/>
        </w:rPr>
      </w:pPr>
    </w:p>
    <w:p w14:paraId="5FDA00F1">
      <w:pPr>
        <w:widowControl/>
        <w:spacing w:before="100" w:beforeAutospacing="1" w:after="100" w:afterAutospacing="1" w:line="480" w:lineRule="exact"/>
        <w:ind w:firstLine="2730" w:firstLineChars="1300"/>
        <w:jc w:val="left"/>
        <w:rPr>
          <w:rFonts w:ascii="微软雅黑" w:hAnsi="微软雅黑" w:eastAsia="微软雅黑" w:cs="微软雅黑"/>
          <w:szCs w:val="21"/>
        </w:rPr>
      </w:pPr>
    </w:p>
    <w:p w14:paraId="37422118">
      <w:pPr>
        <w:spacing w:line="480" w:lineRule="exact"/>
        <w:ind w:left="1079" w:leftChars="257" w:hanging="540"/>
        <w:jc w:val="center"/>
        <w:rPr>
          <w:rFonts w:ascii="微软雅黑" w:hAnsi="微软雅黑" w:eastAsia="微软雅黑" w:cs="微软雅黑"/>
          <w:szCs w:val="21"/>
        </w:rPr>
      </w:pPr>
    </w:p>
    <w:p w14:paraId="209E4843">
      <w:pPr>
        <w:pStyle w:val="2"/>
        <w:rPr>
          <w:rFonts w:ascii="微软雅黑" w:hAnsi="微软雅黑" w:eastAsia="微软雅黑" w:cs="微软雅黑"/>
          <w:szCs w:val="21"/>
        </w:rPr>
      </w:pPr>
    </w:p>
    <w:p w14:paraId="0A9B9997">
      <w:pPr>
        <w:rPr>
          <w:rFonts w:ascii="微软雅黑" w:hAnsi="微软雅黑" w:eastAsia="微软雅黑" w:cs="微软雅黑"/>
          <w:szCs w:val="21"/>
        </w:rPr>
      </w:pPr>
    </w:p>
    <w:p w14:paraId="38B77ACE">
      <w:pPr>
        <w:pStyle w:val="2"/>
        <w:rPr>
          <w:rFonts w:ascii="微软雅黑" w:hAnsi="微软雅黑" w:eastAsia="微软雅黑" w:cs="微软雅黑"/>
          <w:szCs w:val="21"/>
        </w:rPr>
      </w:pPr>
    </w:p>
    <w:p w14:paraId="398A7DAA">
      <w:pPr>
        <w:rPr>
          <w:rFonts w:ascii="微软雅黑" w:hAnsi="微软雅黑" w:eastAsia="微软雅黑" w:cs="微软雅黑"/>
          <w:szCs w:val="21"/>
        </w:rPr>
      </w:pPr>
    </w:p>
    <w:p w14:paraId="0374D050">
      <w:pPr>
        <w:pStyle w:val="2"/>
        <w:ind w:firstLine="0"/>
      </w:pPr>
    </w:p>
    <w:p w14:paraId="79C81840">
      <w:pPr>
        <w:pStyle w:val="10"/>
      </w:pPr>
    </w:p>
    <w:p w14:paraId="588BCEF7"/>
    <w:p w14:paraId="3D06BB06">
      <w:pPr>
        <w:pStyle w:val="10"/>
      </w:pPr>
    </w:p>
    <w:p w14:paraId="718D357E">
      <w:pPr>
        <w:pStyle w:val="5"/>
        <w:spacing w:before="0" w:line="240" w:lineRule="atLeast"/>
        <w:rPr>
          <w:rFonts w:ascii="Times New Roman" w:hAnsi="Times New Roman" w:eastAsia="方正仿宋_GBK"/>
          <w:bCs/>
          <w:sz w:val="28"/>
          <w:szCs w:val="28"/>
        </w:rPr>
      </w:pPr>
      <w:bookmarkStart w:id="724" w:name="_Toc452"/>
      <w:bookmarkStart w:id="725" w:name="_Toc19223"/>
      <w:bookmarkStart w:id="726" w:name="_Toc22378"/>
      <w:bookmarkStart w:id="727" w:name="_Toc28099"/>
      <w:bookmarkStart w:id="728" w:name="_Toc22561"/>
      <w:bookmarkStart w:id="729" w:name="_Toc6004"/>
      <w:bookmarkStart w:id="730" w:name="_Toc6009"/>
      <w:bookmarkStart w:id="731" w:name="_Toc30795"/>
      <w:bookmarkStart w:id="732" w:name="_Toc30946"/>
      <w:bookmarkStart w:id="733" w:name="_Toc22436"/>
      <w:bookmarkStart w:id="734" w:name="_Toc2304"/>
      <w:bookmarkStart w:id="735" w:name="_Toc5527"/>
      <w:bookmarkStart w:id="736" w:name="_Toc5568"/>
      <w:bookmarkStart w:id="737" w:name="_Toc515647827"/>
      <w:bookmarkStart w:id="738" w:name="_Toc26133"/>
      <w:bookmarkStart w:id="739" w:name="_Toc16850"/>
      <w:bookmarkStart w:id="740" w:name="_Toc11868"/>
      <w:r>
        <w:rPr>
          <w:rFonts w:ascii="Times New Roman" w:hAnsi="Times New Roman" w:eastAsia="方正仿宋_GBK"/>
          <w:bCs/>
          <w:sz w:val="28"/>
          <w:szCs w:val="28"/>
        </w:rPr>
        <w:t>7、供应商关联单位的说明</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5109E760">
      <w:pPr>
        <w:pStyle w:val="2"/>
        <w:spacing w:line="480" w:lineRule="exact"/>
        <w:jc w:val="center"/>
        <w:rPr>
          <w:rFonts w:ascii="微软雅黑" w:hAnsi="微软雅黑" w:eastAsia="微软雅黑" w:cs="微软雅黑"/>
          <w:kern w:val="2"/>
          <w:sz w:val="21"/>
          <w:szCs w:val="21"/>
        </w:rPr>
      </w:pPr>
    </w:p>
    <w:p w14:paraId="6186D092">
      <w:pPr>
        <w:pStyle w:val="2"/>
        <w:spacing w:line="480" w:lineRule="exact"/>
        <w:ind w:firstLine="480" w:firstLineChars="200"/>
        <w:rPr>
          <w:rFonts w:ascii="Times New Roman" w:eastAsia="方正仿宋_GBK"/>
          <w:kern w:val="2"/>
          <w:szCs w:val="24"/>
        </w:rPr>
      </w:pPr>
      <w:r>
        <w:rPr>
          <w:rFonts w:ascii="Times New Roman" w:eastAsia="方正仿宋_GBK"/>
          <w:kern w:val="2"/>
          <w:szCs w:val="24"/>
        </w:rPr>
        <w:t>说明：供应商应当如实披露与本单位存在下列关联关系的单位名称：</w:t>
      </w:r>
    </w:p>
    <w:p w14:paraId="6F3EE74C">
      <w:pPr>
        <w:pStyle w:val="2"/>
        <w:spacing w:line="480" w:lineRule="exact"/>
        <w:ind w:firstLine="960" w:firstLineChars="400"/>
        <w:rPr>
          <w:rFonts w:ascii="Times New Roman" w:eastAsia="方正仿宋_GBK"/>
          <w:kern w:val="2"/>
          <w:szCs w:val="24"/>
        </w:rPr>
      </w:pPr>
      <w:r>
        <w:rPr>
          <w:rFonts w:ascii="Times New Roman" w:eastAsia="方正仿宋_GBK"/>
          <w:kern w:val="2"/>
          <w:szCs w:val="24"/>
        </w:rPr>
        <w:t>（1）与供应商单位负责人为同一人的其他单位；</w:t>
      </w:r>
    </w:p>
    <w:p w14:paraId="710432F1">
      <w:pPr>
        <w:pStyle w:val="2"/>
        <w:spacing w:line="480" w:lineRule="exact"/>
        <w:ind w:firstLine="480" w:firstLineChars="200"/>
        <w:rPr>
          <w:rFonts w:ascii="Times New Roman" w:eastAsia="方正仿宋_GBK"/>
          <w:kern w:val="2"/>
          <w:szCs w:val="24"/>
        </w:rPr>
      </w:pPr>
      <w:r>
        <w:rPr>
          <w:rFonts w:ascii="Times New Roman" w:eastAsia="方正仿宋_GBK"/>
          <w:kern w:val="2"/>
          <w:szCs w:val="24"/>
        </w:rPr>
        <w:t xml:space="preserve">    （2）与供应商存在直接控股、管理关系的其他单位。</w:t>
      </w:r>
    </w:p>
    <w:p w14:paraId="27F482D5">
      <w:pPr>
        <w:pStyle w:val="2"/>
        <w:spacing w:line="480" w:lineRule="exact"/>
        <w:rPr>
          <w:rFonts w:ascii="微软雅黑" w:hAnsi="微软雅黑" w:eastAsia="微软雅黑" w:cs="微软雅黑"/>
          <w:kern w:val="2"/>
          <w:sz w:val="21"/>
          <w:szCs w:val="21"/>
        </w:rPr>
      </w:pPr>
    </w:p>
    <w:p w14:paraId="598C571A">
      <w:pPr>
        <w:pStyle w:val="2"/>
        <w:spacing w:line="480" w:lineRule="exact"/>
        <w:rPr>
          <w:rFonts w:ascii="微软雅黑" w:hAnsi="微软雅黑" w:eastAsia="微软雅黑" w:cs="微软雅黑"/>
          <w:kern w:val="2"/>
          <w:sz w:val="21"/>
          <w:szCs w:val="21"/>
        </w:rPr>
      </w:pPr>
    </w:p>
    <w:p w14:paraId="0FB1D6E4">
      <w:pPr>
        <w:pStyle w:val="2"/>
        <w:spacing w:line="480" w:lineRule="exact"/>
        <w:rPr>
          <w:rFonts w:ascii="微软雅黑" w:hAnsi="微软雅黑" w:eastAsia="微软雅黑" w:cs="微软雅黑"/>
          <w:kern w:val="2"/>
          <w:sz w:val="21"/>
          <w:szCs w:val="21"/>
        </w:rPr>
      </w:pPr>
    </w:p>
    <w:bookmarkEnd w:id="702"/>
    <w:bookmarkEnd w:id="703"/>
    <w:bookmarkEnd w:id="704"/>
    <w:bookmarkEnd w:id="705"/>
    <w:bookmarkEnd w:id="706"/>
    <w:bookmarkEnd w:id="707"/>
    <w:bookmarkEnd w:id="708"/>
    <w:p w14:paraId="093157D1">
      <w:pPr>
        <w:pStyle w:val="5"/>
        <w:spacing w:before="0" w:line="240" w:lineRule="atLeast"/>
        <w:jc w:val="both"/>
        <w:rPr>
          <w:rFonts w:ascii="微软雅黑" w:hAnsi="微软雅黑" w:eastAsia="微软雅黑" w:cs="微软雅黑"/>
          <w:bCs/>
          <w:sz w:val="24"/>
          <w:szCs w:val="24"/>
        </w:rPr>
      </w:pPr>
      <w:bookmarkStart w:id="741" w:name="_Toc17333"/>
      <w:bookmarkStart w:id="742" w:name="_Toc515647828"/>
      <w:bookmarkStart w:id="743" w:name="_Toc10352"/>
      <w:bookmarkStart w:id="744" w:name="_Toc29367"/>
      <w:bookmarkStart w:id="745" w:name="_Toc7414"/>
      <w:bookmarkStart w:id="746" w:name="_Toc31226"/>
      <w:bookmarkStart w:id="747" w:name="_Toc16811"/>
      <w:bookmarkStart w:id="748" w:name="_Toc20015"/>
      <w:bookmarkStart w:id="749" w:name="_Toc25126"/>
      <w:bookmarkStart w:id="750" w:name="_Toc6932"/>
      <w:bookmarkStart w:id="751" w:name="_Toc17843"/>
      <w:bookmarkStart w:id="752" w:name="_Toc12486"/>
      <w:bookmarkStart w:id="753" w:name="_Toc27478"/>
      <w:bookmarkStart w:id="754" w:name="_Toc15535"/>
      <w:bookmarkStart w:id="755" w:name="_Toc7966"/>
      <w:bookmarkStart w:id="756" w:name="_Toc23897"/>
      <w:bookmarkStart w:id="757" w:name="_Toc515647829"/>
      <w:bookmarkStart w:id="758" w:name="_Toc216582822"/>
      <w:bookmarkStart w:id="759" w:name="_Toc28765"/>
      <w:bookmarkStart w:id="760" w:name="_Toc507399902"/>
      <w:bookmarkStart w:id="761" w:name="_Toc219175634"/>
      <w:bookmarkStart w:id="762" w:name="_Toc218935350"/>
      <w:bookmarkStart w:id="763" w:name="_Toc16370"/>
    </w:p>
    <w:p w14:paraId="03DB4E03">
      <w:pPr>
        <w:pStyle w:val="5"/>
        <w:spacing w:before="0" w:line="240" w:lineRule="atLeast"/>
        <w:jc w:val="both"/>
        <w:rPr>
          <w:rFonts w:ascii="微软雅黑" w:hAnsi="微软雅黑" w:eastAsia="微软雅黑" w:cs="微软雅黑"/>
          <w:bCs/>
          <w:sz w:val="24"/>
          <w:szCs w:val="24"/>
        </w:rPr>
      </w:pPr>
    </w:p>
    <w:p w14:paraId="542CFA9C">
      <w:pPr>
        <w:pStyle w:val="5"/>
        <w:spacing w:before="0" w:line="240" w:lineRule="atLeast"/>
        <w:jc w:val="both"/>
        <w:rPr>
          <w:rFonts w:ascii="微软雅黑" w:hAnsi="微软雅黑" w:eastAsia="微软雅黑" w:cs="微软雅黑"/>
          <w:bCs/>
          <w:sz w:val="24"/>
          <w:szCs w:val="24"/>
        </w:rPr>
      </w:pPr>
    </w:p>
    <w:p w14:paraId="033DB27D">
      <w:pPr>
        <w:pStyle w:val="5"/>
        <w:spacing w:before="0" w:line="240" w:lineRule="atLeast"/>
        <w:jc w:val="both"/>
        <w:rPr>
          <w:rFonts w:ascii="微软雅黑" w:hAnsi="微软雅黑" w:eastAsia="微软雅黑" w:cs="微软雅黑"/>
          <w:bCs/>
          <w:sz w:val="24"/>
          <w:szCs w:val="24"/>
        </w:rPr>
      </w:pPr>
    </w:p>
    <w:p w14:paraId="0DF23BE0">
      <w:pPr>
        <w:pStyle w:val="5"/>
        <w:spacing w:before="0" w:line="240" w:lineRule="atLeast"/>
        <w:jc w:val="both"/>
        <w:rPr>
          <w:rFonts w:ascii="微软雅黑" w:hAnsi="微软雅黑" w:eastAsia="微软雅黑" w:cs="微软雅黑"/>
          <w:bCs/>
          <w:sz w:val="24"/>
          <w:szCs w:val="24"/>
        </w:rPr>
      </w:pPr>
    </w:p>
    <w:p w14:paraId="07EB31E9">
      <w:pPr>
        <w:pStyle w:val="5"/>
        <w:spacing w:before="0" w:line="240" w:lineRule="atLeast"/>
        <w:jc w:val="both"/>
        <w:rPr>
          <w:rFonts w:ascii="微软雅黑" w:hAnsi="微软雅黑" w:eastAsia="微软雅黑" w:cs="微软雅黑"/>
          <w:bCs/>
          <w:sz w:val="24"/>
          <w:szCs w:val="24"/>
        </w:rPr>
      </w:pPr>
    </w:p>
    <w:p w14:paraId="4E1CB0DA">
      <w:pPr>
        <w:pStyle w:val="5"/>
        <w:spacing w:before="0" w:line="240" w:lineRule="atLeast"/>
        <w:jc w:val="both"/>
        <w:rPr>
          <w:rFonts w:ascii="微软雅黑" w:hAnsi="微软雅黑" w:eastAsia="微软雅黑" w:cs="微软雅黑"/>
          <w:bCs/>
          <w:sz w:val="24"/>
          <w:szCs w:val="24"/>
        </w:rPr>
      </w:pPr>
    </w:p>
    <w:p w14:paraId="6766AA49">
      <w:pPr>
        <w:pStyle w:val="5"/>
        <w:spacing w:before="0" w:line="240" w:lineRule="atLeast"/>
        <w:jc w:val="both"/>
        <w:rPr>
          <w:rFonts w:ascii="微软雅黑" w:hAnsi="微软雅黑" w:eastAsia="微软雅黑" w:cs="微软雅黑"/>
          <w:bCs/>
          <w:sz w:val="24"/>
          <w:szCs w:val="24"/>
        </w:rPr>
      </w:pPr>
    </w:p>
    <w:p w14:paraId="12BD372E">
      <w:pPr>
        <w:pStyle w:val="5"/>
        <w:spacing w:before="0" w:line="240" w:lineRule="atLeast"/>
        <w:jc w:val="both"/>
        <w:rPr>
          <w:rFonts w:ascii="微软雅黑" w:hAnsi="微软雅黑" w:eastAsia="微软雅黑" w:cs="微软雅黑"/>
          <w:bCs/>
          <w:sz w:val="24"/>
          <w:szCs w:val="24"/>
        </w:rPr>
      </w:pPr>
    </w:p>
    <w:p w14:paraId="1799192A">
      <w:pPr>
        <w:pStyle w:val="5"/>
        <w:spacing w:before="0" w:line="240" w:lineRule="atLeast"/>
        <w:jc w:val="both"/>
        <w:rPr>
          <w:rFonts w:ascii="微软雅黑" w:hAnsi="微软雅黑" w:eastAsia="微软雅黑" w:cs="微软雅黑"/>
          <w:bCs/>
          <w:sz w:val="24"/>
          <w:szCs w:val="24"/>
        </w:rPr>
      </w:pPr>
    </w:p>
    <w:p w14:paraId="29BF87FF">
      <w:pPr>
        <w:pStyle w:val="5"/>
        <w:spacing w:before="0" w:line="240" w:lineRule="atLeast"/>
        <w:jc w:val="both"/>
        <w:rPr>
          <w:rFonts w:ascii="微软雅黑" w:hAnsi="微软雅黑" w:eastAsia="微软雅黑" w:cs="微软雅黑"/>
          <w:bCs/>
          <w:sz w:val="24"/>
          <w:szCs w:val="24"/>
        </w:rPr>
      </w:pPr>
    </w:p>
    <w:p w14:paraId="01FF1FA8">
      <w:pPr>
        <w:pStyle w:val="5"/>
        <w:spacing w:before="0" w:line="240" w:lineRule="atLeast"/>
        <w:jc w:val="both"/>
        <w:rPr>
          <w:rFonts w:ascii="微软雅黑" w:hAnsi="微软雅黑" w:eastAsia="微软雅黑" w:cs="微软雅黑"/>
          <w:bCs/>
          <w:sz w:val="24"/>
          <w:szCs w:val="24"/>
        </w:rPr>
      </w:pPr>
    </w:p>
    <w:p w14:paraId="57504B89">
      <w:pPr>
        <w:pStyle w:val="5"/>
        <w:spacing w:before="0" w:line="240" w:lineRule="atLeast"/>
        <w:jc w:val="both"/>
        <w:rPr>
          <w:rFonts w:ascii="微软雅黑" w:hAnsi="微软雅黑" w:eastAsia="微软雅黑" w:cs="微软雅黑"/>
          <w:bCs/>
          <w:sz w:val="24"/>
          <w:szCs w:val="24"/>
        </w:rPr>
      </w:pPr>
    </w:p>
    <w:p w14:paraId="7094CB5B">
      <w:pPr>
        <w:pStyle w:val="5"/>
        <w:spacing w:before="0" w:line="240" w:lineRule="atLeast"/>
        <w:jc w:val="both"/>
        <w:rPr>
          <w:rFonts w:ascii="微软雅黑" w:hAnsi="微软雅黑" w:eastAsia="微软雅黑" w:cs="微软雅黑"/>
          <w:bCs/>
          <w:sz w:val="24"/>
          <w:szCs w:val="24"/>
        </w:rPr>
      </w:pPr>
    </w:p>
    <w:p w14:paraId="50071BCB">
      <w:pPr>
        <w:pStyle w:val="2"/>
        <w:ind w:firstLine="0"/>
      </w:pPr>
    </w:p>
    <w:bookmarkEnd w:id="741"/>
    <w:bookmarkEnd w:id="742"/>
    <w:bookmarkEnd w:id="743"/>
    <w:bookmarkEnd w:id="744"/>
    <w:bookmarkEnd w:id="745"/>
    <w:p w14:paraId="79CBF666">
      <w:pPr>
        <w:pStyle w:val="5"/>
        <w:spacing w:before="0" w:line="240" w:lineRule="atLeast"/>
        <w:rPr>
          <w:rFonts w:ascii="Times New Roman" w:hAnsi="Times New Roman" w:eastAsia="方正仿宋_GBK"/>
          <w:bCs/>
          <w:sz w:val="28"/>
          <w:szCs w:val="28"/>
        </w:rPr>
      </w:pPr>
      <w:bookmarkStart w:id="764" w:name="_Toc12730"/>
      <w:bookmarkStart w:id="765" w:name="_Toc27058"/>
      <w:r>
        <w:rPr>
          <w:rFonts w:ascii="Times New Roman" w:hAnsi="Times New Roman" w:eastAsia="方正仿宋_GBK"/>
          <w:bCs/>
          <w:sz w:val="28"/>
          <w:szCs w:val="28"/>
        </w:rPr>
        <w:t>8、供应商可提供有利于投标的其他资格证明材料</w:t>
      </w:r>
      <w:bookmarkEnd w:id="746"/>
      <w:bookmarkEnd w:id="747"/>
      <w:bookmarkEnd w:id="748"/>
      <w:bookmarkEnd w:id="749"/>
      <w:bookmarkEnd w:id="750"/>
      <w:bookmarkEnd w:id="751"/>
      <w:bookmarkEnd w:id="752"/>
      <w:bookmarkEnd w:id="753"/>
      <w:bookmarkEnd w:id="754"/>
      <w:bookmarkEnd w:id="755"/>
      <w:bookmarkEnd w:id="756"/>
      <w:bookmarkEnd w:id="764"/>
      <w:bookmarkEnd w:id="765"/>
    </w:p>
    <w:p w14:paraId="049E795A">
      <w:pPr>
        <w:spacing w:line="480" w:lineRule="exact"/>
        <w:jc w:val="center"/>
        <w:rPr>
          <w:rFonts w:ascii="微软雅黑" w:hAnsi="微软雅黑" w:eastAsia="微软雅黑" w:cs="微软雅黑"/>
          <w:sz w:val="24"/>
        </w:rPr>
      </w:pPr>
    </w:p>
    <w:p w14:paraId="2EBA02D7">
      <w:pPr>
        <w:pStyle w:val="18"/>
        <w:tabs>
          <w:tab w:val="left" w:pos="5580"/>
        </w:tabs>
        <w:snapToGrid w:val="0"/>
        <w:spacing w:line="240" w:lineRule="atLeast"/>
        <w:ind w:firstLine="480" w:firstLineChars="200"/>
        <w:textAlignment w:val="baseline"/>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注：供应商可提供采购需求及相关要求响应详情（本部分由供应商根据磋商文件的采购需求和相关要求填写，附详细的方案和相应的承诺等。）</w:t>
      </w:r>
    </w:p>
    <w:p w14:paraId="1A108C9D">
      <w:pPr>
        <w:pStyle w:val="37"/>
        <w:ind w:firstLine="480"/>
        <w:jc w:val="center"/>
        <w:rPr>
          <w:rFonts w:ascii="方正仿宋_GBK" w:hAnsi="方正仿宋_GBK" w:eastAsia="方正仿宋_GBK" w:cs="方正仿宋_GBK"/>
        </w:rPr>
      </w:pPr>
    </w:p>
    <w:p w14:paraId="2A0ABBF1">
      <w:pPr>
        <w:pStyle w:val="37"/>
        <w:ind w:firstLine="480"/>
        <w:jc w:val="center"/>
        <w:rPr>
          <w:rFonts w:ascii="微软雅黑" w:hAnsi="微软雅黑" w:eastAsia="微软雅黑" w:cs="微软雅黑"/>
        </w:rPr>
      </w:pPr>
    </w:p>
    <w:p w14:paraId="192C3EA3">
      <w:pPr>
        <w:snapToGrid w:val="0"/>
        <w:spacing w:line="240" w:lineRule="atLeast"/>
        <w:jc w:val="center"/>
        <w:textAlignment w:val="baseline"/>
        <w:rPr>
          <w:rFonts w:ascii="微软雅黑" w:hAnsi="微软雅黑" w:eastAsia="微软雅黑" w:cs="微软雅黑"/>
          <w:b/>
          <w:kern w:val="0"/>
          <w:sz w:val="24"/>
          <w:szCs w:val="20"/>
        </w:rPr>
      </w:pPr>
    </w:p>
    <w:p w14:paraId="129273B5">
      <w:pPr>
        <w:snapToGrid w:val="0"/>
        <w:spacing w:line="240" w:lineRule="atLeast"/>
        <w:jc w:val="center"/>
        <w:textAlignment w:val="baseline"/>
        <w:rPr>
          <w:rFonts w:ascii="微软雅黑" w:hAnsi="微软雅黑" w:eastAsia="微软雅黑" w:cs="微软雅黑"/>
          <w:b/>
          <w:kern w:val="0"/>
          <w:sz w:val="24"/>
          <w:szCs w:val="20"/>
        </w:rPr>
      </w:pPr>
    </w:p>
    <w:p w14:paraId="0A6A8BCC">
      <w:pPr>
        <w:pStyle w:val="2"/>
        <w:rPr>
          <w:rFonts w:ascii="微软雅黑" w:hAnsi="微软雅黑" w:eastAsia="微软雅黑" w:cs="微软雅黑"/>
          <w:b/>
        </w:rPr>
      </w:pPr>
    </w:p>
    <w:p w14:paraId="74EB02E4">
      <w:pPr>
        <w:rPr>
          <w:rFonts w:ascii="微软雅黑" w:hAnsi="微软雅黑" w:eastAsia="微软雅黑" w:cs="微软雅黑"/>
          <w:b/>
          <w:kern w:val="0"/>
          <w:sz w:val="24"/>
          <w:szCs w:val="20"/>
        </w:rPr>
      </w:pPr>
    </w:p>
    <w:p w14:paraId="209503EB">
      <w:pPr>
        <w:pStyle w:val="2"/>
        <w:rPr>
          <w:rFonts w:ascii="微软雅黑" w:hAnsi="微软雅黑" w:eastAsia="微软雅黑" w:cs="微软雅黑"/>
          <w:b/>
        </w:rPr>
      </w:pPr>
    </w:p>
    <w:p w14:paraId="11D513F6">
      <w:pPr>
        <w:rPr>
          <w:rFonts w:ascii="微软雅黑" w:hAnsi="微软雅黑" w:eastAsia="微软雅黑" w:cs="微软雅黑"/>
          <w:b/>
          <w:kern w:val="0"/>
          <w:sz w:val="24"/>
          <w:szCs w:val="20"/>
        </w:rPr>
      </w:pPr>
    </w:p>
    <w:p w14:paraId="32F6F476">
      <w:pPr>
        <w:pStyle w:val="2"/>
        <w:rPr>
          <w:rFonts w:ascii="微软雅黑" w:hAnsi="微软雅黑" w:eastAsia="微软雅黑" w:cs="微软雅黑"/>
          <w:b/>
        </w:rPr>
      </w:pPr>
    </w:p>
    <w:p w14:paraId="0972B558">
      <w:pPr>
        <w:rPr>
          <w:rFonts w:ascii="微软雅黑" w:hAnsi="微软雅黑" w:eastAsia="微软雅黑" w:cs="微软雅黑"/>
          <w:b/>
          <w:kern w:val="0"/>
          <w:sz w:val="24"/>
          <w:szCs w:val="20"/>
        </w:rPr>
      </w:pPr>
    </w:p>
    <w:p w14:paraId="3A512FC7">
      <w:pPr>
        <w:pStyle w:val="2"/>
        <w:rPr>
          <w:rFonts w:ascii="微软雅黑" w:hAnsi="微软雅黑" w:eastAsia="微软雅黑" w:cs="微软雅黑"/>
          <w:b/>
        </w:rPr>
      </w:pPr>
    </w:p>
    <w:p w14:paraId="215F7932">
      <w:pPr>
        <w:rPr>
          <w:rFonts w:ascii="微软雅黑" w:hAnsi="微软雅黑" w:eastAsia="微软雅黑" w:cs="微软雅黑"/>
          <w:b/>
          <w:kern w:val="0"/>
          <w:sz w:val="24"/>
          <w:szCs w:val="20"/>
        </w:rPr>
      </w:pPr>
    </w:p>
    <w:p w14:paraId="39969718">
      <w:pPr>
        <w:pStyle w:val="48"/>
        <w:rPr>
          <w:rFonts w:ascii="微软雅黑" w:hAnsi="微软雅黑" w:eastAsia="微软雅黑" w:cs="微软雅黑"/>
        </w:rPr>
      </w:pPr>
    </w:p>
    <w:p w14:paraId="5A14450A">
      <w:pPr>
        <w:rPr>
          <w:rFonts w:ascii="微软雅黑" w:hAnsi="微软雅黑" w:eastAsia="微软雅黑" w:cs="微软雅黑"/>
          <w:b/>
          <w:kern w:val="0"/>
          <w:sz w:val="24"/>
          <w:szCs w:val="20"/>
        </w:rPr>
      </w:pPr>
    </w:p>
    <w:p w14:paraId="1C2B5029">
      <w:pPr>
        <w:pStyle w:val="48"/>
        <w:rPr>
          <w:rFonts w:ascii="微软雅黑" w:hAnsi="微软雅黑" w:eastAsia="微软雅黑" w:cs="微软雅黑"/>
        </w:rPr>
      </w:pPr>
    </w:p>
    <w:p w14:paraId="371287AA"/>
    <w:p w14:paraId="42204DEC">
      <w:pPr>
        <w:snapToGrid w:val="0"/>
        <w:spacing w:line="240" w:lineRule="atLeast"/>
        <w:jc w:val="left"/>
        <w:textAlignment w:val="baseline"/>
        <w:rPr>
          <w:rFonts w:ascii="微软雅黑" w:hAnsi="微软雅黑" w:eastAsia="微软雅黑" w:cs="微软雅黑"/>
          <w:b/>
          <w:kern w:val="0"/>
          <w:sz w:val="24"/>
          <w:szCs w:val="20"/>
        </w:rPr>
      </w:pPr>
    </w:p>
    <w:p w14:paraId="37296BDB">
      <w:pPr>
        <w:pStyle w:val="10"/>
        <w:rPr>
          <w:rFonts w:ascii="微软雅黑" w:hAnsi="微软雅黑" w:eastAsia="微软雅黑" w:cs="微软雅黑"/>
          <w:b/>
          <w:kern w:val="0"/>
          <w:szCs w:val="20"/>
        </w:rPr>
      </w:pPr>
    </w:p>
    <w:p w14:paraId="5823B4C4"/>
    <w:p w14:paraId="1986DB80">
      <w:pPr>
        <w:snapToGrid w:val="0"/>
        <w:spacing w:line="240" w:lineRule="atLeast"/>
        <w:jc w:val="center"/>
        <w:textAlignment w:val="baseline"/>
        <w:rPr>
          <w:rFonts w:ascii="微软雅黑" w:hAnsi="微软雅黑" w:eastAsia="微软雅黑" w:cs="微软雅黑"/>
          <w:b/>
          <w:kern w:val="0"/>
          <w:sz w:val="24"/>
          <w:szCs w:val="20"/>
        </w:rPr>
      </w:pPr>
    </w:p>
    <w:p w14:paraId="0E431AFB">
      <w:pPr>
        <w:snapToGrid w:val="0"/>
        <w:spacing w:line="240" w:lineRule="atLeast"/>
        <w:jc w:val="center"/>
        <w:textAlignment w:val="baseline"/>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9、响应文件格式范本</w:t>
      </w:r>
    </w:p>
    <w:tbl>
      <w:tblPr>
        <w:tblStyle w:val="38"/>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2AC82F27">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1DA5EC94">
            <w:pPr>
              <w:pStyle w:val="12"/>
              <w:snapToGrid w:val="0"/>
              <w:jc w:val="center"/>
              <w:textAlignment w:val="baseline"/>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（正本/副本）</w:t>
            </w:r>
          </w:p>
          <w:p w14:paraId="079AD9F1">
            <w:pPr>
              <w:pStyle w:val="12"/>
              <w:snapToGrid w:val="0"/>
              <w:ind w:firstLine="4200" w:firstLineChars="1500"/>
              <w:textAlignment w:val="baseline"/>
              <w:rPr>
                <w:rFonts w:ascii="微软雅黑" w:hAnsi="微软雅黑" w:eastAsia="微软雅黑" w:cs="微软雅黑"/>
                <w:b/>
                <w:bCs/>
                <w:sz w:val="28"/>
                <w:szCs w:val="28"/>
              </w:rPr>
            </w:pPr>
          </w:p>
          <w:p w14:paraId="7CF7799A">
            <w:pPr>
              <w:pStyle w:val="12"/>
              <w:snapToGrid w:val="0"/>
              <w:ind w:firstLine="4200" w:firstLineChars="1500"/>
              <w:textAlignment w:val="baseline"/>
              <w:rPr>
                <w:rFonts w:ascii="微软雅黑" w:hAnsi="微软雅黑" w:eastAsia="微软雅黑" w:cs="微软雅黑"/>
                <w:b/>
                <w:bCs/>
                <w:sz w:val="28"/>
                <w:szCs w:val="28"/>
              </w:rPr>
            </w:pPr>
          </w:p>
          <w:p w14:paraId="465137E5">
            <w:pPr>
              <w:pStyle w:val="12"/>
              <w:snapToGrid w:val="0"/>
              <w:textAlignment w:val="baseline"/>
              <w:rPr>
                <w:rFonts w:ascii="微软雅黑" w:hAnsi="微软雅黑" w:eastAsia="微软雅黑" w:cs="微软雅黑"/>
                <w:b/>
                <w:bCs/>
                <w:sz w:val="28"/>
                <w:szCs w:val="28"/>
              </w:rPr>
            </w:pPr>
          </w:p>
          <w:p w14:paraId="31BBC93B">
            <w:pPr>
              <w:pStyle w:val="12"/>
              <w:snapToGrid w:val="0"/>
              <w:ind w:firstLine="2520" w:firstLineChars="900"/>
              <w:textAlignment w:val="baseline"/>
              <w:rPr>
                <w:rFonts w:ascii="微软雅黑" w:hAnsi="微软雅黑" w:eastAsia="微软雅黑" w:cs="微软雅黑"/>
                <w:b/>
                <w:bCs/>
                <w:sz w:val="28"/>
                <w:szCs w:val="28"/>
              </w:rPr>
            </w:pPr>
            <w:r>
              <w:rPr>
                <w:rFonts w:hint="eastAsia" w:ascii="微软雅黑" w:hAnsi="微软雅黑" w:eastAsia="微软雅黑" w:cs="微软雅黑"/>
                <w:b/>
                <w:bCs/>
                <w:sz w:val="28"/>
                <w:szCs w:val="28"/>
              </w:rPr>
              <w:t>*****************   项目</w:t>
            </w:r>
          </w:p>
          <w:p w14:paraId="2E54B0B8">
            <w:pPr>
              <w:pStyle w:val="12"/>
              <w:snapToGrid w:val="0"/>
              <w:jc w:val="center"/>
              <w:textAlignment w:val="baseline"/>
              <w:rPr>
                <w:rFonts w:ascii="微软雅黑" w:hAnsi="微软雅黑" w:eastAsia="微软雅黑" w:cs="微软雅黑"/>
                <w:b/>
                <w:bCs/>
                <w:sz w:val="21"/>
                <w:szCs w:val="21"/>
              </w:rPr>
            </w:pPr>
          </w:p>
          <w:p w14:paraId="093D923A">
            <w:pPr>
              <w:pStyle w:val="12"/>
              <w:snapToGrid w:val="0"/>
              <w:jc w:val="center"/>
              <w:textAlignment w:val="baseline"/>
              <w:rPr>
                <w:rFonts w:ascii="微软雅黑" w:hAnsi="微软雅黑" w:eastAsia="微软雅黑" w:cs="微软雅黑"/>
                <w:b/>
                <w:bCs/>
                <w:sz w:val="48"/>
              </w:rPr>
            </w:pPr>
          </w:p>
          <w:p w14:paraId="5637B04F">
            <w:pPr>
              <w:pStyle w:val="12"/>
              <w:snapToGrid w:val="0"/>
              <w:jc w:val="center"/>
              <w:textAlignment w:val="baseline"/>
              <w:rPr>
                <w:rFonts w:ascii="微软雅黑" w:hAnsi="微软雅黑" w:eastAsia="微软雅黑" w:cs="微软雅黑"/>
                <w:b/>
                <w:bCs/>
                <w:sz w:val="48"/>
              </w:rPr>
            </w:pPr>
            <w:r>
              <w:rPr>
                <w:rFonts w:hint="eastAsia" w:ascii="微软雅黑" w:hAnsi="微软雅黑" w:eastAsia="微软雅黑" w:cs="微软雅黑"/>
                <w:b/>
                <w:bCs/>
                <w:sz w:val="48"/>
              </w:rPr>
              <w:t>响 应 文 件</w:t>
            </w:r>
          </w:p>
          <w:p w14:paraId="7F60CE23">
            <w:pPr>
              <w:snapToGrid w:val="0"/>
              <w:jc w:val="center"/>
              <w:textAlignment w:val="baseline"/>
              <w:rPr>
                <w:rFonts w:ascii="微软雅黑" w:hAnsi="微软雅黑" w:eastAsia="微软雅黑" w:cs="微软雅黑"/>
                <w:b/>
                <w:sz w:val="32"/>
              </w:rPr>
            </w:pPr>
          </w:p>
          <w:p w14:paraId="511D4EAA">
            <w:pPr>
              <w:pStyle w:val="2"/>
              <w:snapToGrid w:val="0"/>
              <w:ind w:firstLine="0"/>
              <w:textAlignment w:val="baseline"/>
              <w:rPr>
                <w:rFonts w:ascii="微软雅黑" w:hAnsi="微软雅黑" w:eastAsia="微软雅黑" w:cs="微软雅黑"/>
                <w:b/>
                <w:sz w:val="32"/>
              </w:rPr>
            </w:pPr>
          </w:p>
          <w:p w14:paraId="1B6D40F0">
            <w:pPr>
              <w:snapToGrid w:val="0"/>
              <w:spacing w:line="360" w:lineRule="auto"/>
              <w:ind w:left="176" w:leftChars="84" w:firstLine="840" w:firstLineChars="400"/>
              <w:textAlignment w:val="baseline"/>
              <w:rPr>
                <w:rFonts w:ascii="微软雅黑" w:hAnsi="微软雅黑" w:eastAsia="微软雅黑" w:cs="微软雅黑"/>
                <w:sz w:val="20"/>
                <w:szCs w:val="21"/>
              </w:rPr>
            </w:pPr>
            <w:r>
              <w:rPr>
                <w:rFonts w:hint="eastAsia" w:ascii="微软雅黑" w:hAnsi="微软雅黑" w:eastAsia="微软雅黑" w:cs="微软雅黑"/>
                <w:szCs w:val="21"/>
              </w:rPr>
              <w:t>投标单位：</w:t>
            </w:r>
            <w:r>
              <w:rPr>
                <w:rFonts w:hint="eastAsia" w:ascii="微软雅黑" w:hAnsi="微软雅黑" w:eastAsia="微软雅黑" w:cs="微软雅黑"/>
                <w:szCs w:val="21"/>
                <w:u w:val="single" w:color="000000"/>
              </w:rPr>
              <w:t xml:space="preserve">                                       </w:t>
            </w:r>
            <w:r>
              <w:rPr>
                <w:rFonts w:hint="eastAsia" w:ascii="微软雅黑" w:hAnsi="微软雅黑" w:eastAsia="微软雅黑" w:cs="微软雅黑"/>
                <w:szCs w:val="21"/>
              </w:rPr>
              <w:t>（公章）</w:t>
            </w:r>
          </w:p>
          <w:p w14:paraId="6E18EC32">
            <w:pPr>
              <w:snapToGrid w:val="0"/>
              <w:spacing w:line="360" w:lineRule="auto"/>
              <w:ind w:left="176" w:leftChars="84" w:firstLine="840" w:firstLineChars="400"/>
              <w:textAlignment w:val="baseline"/>
              <w:rPr>
                <w:rFonts w:ascii="微软雅黑" w:hAnsi="微软雅黑" w:eastAsia="微软雅黑" w:cs="微软雅黑"/>
                <w:sz w:val="20"/>
                <w:szCs w:val="21"/>
                <w:u w:val="single" w:color="000000"/>
              </w:rPr>
            </w:pPr>
            <w:r>
              <w:rPr>
                <w:rFonts w:hint="eastAsia" w:ascii="微软雅黑" w:hAnsi="微软雅黑" w:eastAsia="微软雅黑" w:cs="微软雅黑"/>
                <w:szCs w:val="21"/>
              </w:rPr>
              <w:t>项目名称：</w:t>
            </w:r>
            <w:r>
              <w:rPr>
                <w:rFonts w:hint="eastAsia" w:ascii="微软雅黑" w:hAnsi="微软雅黑" w:eastAsia="微软雅黑" w:cs="微软雅黑"/>
                <w:szCs w:val="21"/>
                <w:u w:val="single" w:color="000000"/>
              </w:rPr>
              <w:t xml:space="preserve">                                          </w:t>
            </w:r>
          </w:p>
          <w:p w14:paraId="5583DB22">
            <w:pPr>
              <w:snapToGrid w:val="0"/>
              <w:spacing w:line="360" w:lineRule="auto"/>
              <w:ind w:left="176" w:leftChars="84" w:firstLine="840" w:firstLineChars="400"/>
              <w:textAlignment w:val="baseline"/>
              <w:rPr>
                <w:rFonts w:ascii="微软雅黑" w:hAnsi="微软雅黑" w:eastAsia="微软雅黑" w:cs="微软雅黑"/>
                <w:szCs w:val="21"/>
                <w:u w:val="single" w:color="000000"/>
              </w:rPr>
            </w:pPr>
            <w:r>
              <w:rPr>
                <w:rFonts w:hint="eastAsia" w:ascii="微软雅黑" w:hAnsi="微软雅黑" w:eastAsia="微软雅黑" w:cs="微软雅黑"/>
                <w:szCs w:val="21"/>
              </w:rPr>
              <w:t>项目编号：</w:t>
            </w:r>
            <w:r>
              <w:rPr>
                <w:rFonts w:hint="eastAsia" w:ascii="微软雅黑" w:hAnsi="微软雅黑" w:eastAsia="微软雅黑" w:cs="微软雅黑"/>
                <w:szCs w:val="21"/>
                <w:u w:val="single" w:color="000000"/>
              </w:rPr>
              <w:t xml:space="preserve">                                        </w:t>
            </w:r>
          </w:p>
          <w:p w14:paraId="09A9CA58">
            <w:pPr>
              <w:snapToGrid w:val="0"/>
              <w:spacing w:line="360" w:lineRule="auto"/>
              <w:ind w:left="176" w:leftChars="84" w:firstLine="840" w:firstLineChars="400"/>
              <w:textAlignment w:val="baseline"/>
            </w:pPr>
            <w:r>
              <w:rPr>
                <w:rFonts w:hint="eastAsia" w:ascii="微软雅黑" w:hAnsi="微软雅黑" w:eastAsia="微软雅黑" w:cs="微软雅黑"/>
                <w:szCs w:val="21"/>
              </w:rPr>
              <w:t>标 段 号：</w:t>
            </w:r>
            <w:r>
              <w:rPr>
                <w:rFonts w:hint="eastAsia" w:ascii="微软雅黑" w:hAnsi="微软雅黑" w:eastAsia="微软雅黑" w:cs="微软雅黑"/>
                <w:szCs w:val="21"/>
                <w:u w:val="single" w:color="000000"/>
              </w:rPr>
              <w:t xml:space="preserve">                                        </w:t>
            </w:r>
          </w:p>
          <w:p w14:paraId="3D26E710">
            <w:pPr>
              <w:snapToGrid w:val="0"/>
              <w:spacing w:line="360" w:lineRule="auto"/>
              <w:ind w:left="176" w:leftChars="84" w:firstLine="840" w:firstLineChars="400"/>
              <w:textAlignment w:val="baseline"/>
              <w:rPr>
                <w:rFonts w:ascii="微软雅黑" w:hAnsi="微软雅黑" w:eastAsia="微软雅黑" w:cs="微软雅黑"/>
                <w:sz w:val="20"/>
                <w:szCs w:val="21"/>
                <w:u w:val="single" w:color="000000"/>
              </w:rPr>
            </w:pPr>
            <w:r>
              <w:rPr>
                <w:rFonts w:hint="eastAsia" w:ascii="微软雅黑" w:hAnsi="微软雅黑" w:eastAsia="微软雅黑" w:cs="微软雅黑"/>
                <w:szCs w:val="21"/>
              </w:rPr>
              <w:t>联 系 人：</w:t>
            </w:r>
            <w:r>
              <w:rPr>
                <w:rFonts w:hint="eastAsia" w:ascii="微软雅黑" w:hAnsi="微软雅黑" w:eastAsia="微软雅黑" w:cs="微软雅黑"/>
                <w:szCs w:val="21"/>
                <w:u w:val="single" w:color="000000"/>
              </w:rPr>
              <w:t xml:space="preserve">                                        </w:t>
            </w:r>
          </w:p>
          <w:p w14:paraId="68D55DA6">
            <w:pPr>
              <w:snapToGrid w:val="0"/>
              <w:spacing w:line="360" w:lineRule="auto"/>
              <w:ind w:left="176" w:leftChars="84" w:firstLine="840" w:firstLineChars="400"/>
              <w:textAlignment w:val="baseline"/>
              <w:rPr>
                <w:rFonts w:ascii="微软雅黑" w:hAnsi="微软雅黑" w:eastAsia="微软雅黑" w:cs="微软雅黑"/>
                <w:sz w:val="20"/>
                <w:szCs w:val="21"/>
              </w:rPr>
            </w:pPr>
            <w:r>
              <w:rPr>
                <w:rFonts w:hint="eastAsia" w:ascii="微软雅黑" w:hAnsi="微软雅黑" w:eastAsia="微软雅黑" w:cs="微软雅黑"/>
                <w:szCs w:val="21"/>
              </w:rPr>
              <w:t>电    话：</w:t>
            </w:r>
            <w:r>
              <w:rPr>
                <w:rFonts w:hint="eastAsia" w:ascii="微软雅黑" w:hAnsi="微软雅黑" w:eastAsia="微软雅黑" w:cs="微软雅黑"/>
                <w:szCs w:val="21"/>
                <w:u w:val="single" w:color="000000"/>
              </w:rPr>
              <w:t xml:space="preserve">                                        </w:t>
            </w:r>
          </w:p>
          <w:p w14:paraId="61C5068E">
            <w:pPr>
              <w:snapToGrid w:val="0"/>
              <w:spacing w:line="360" w:lineRule="auto"/>
              <w:ind w:left="176" w:leftChars="84" w:firstLine="840" w:firstLineChars="400"/>
              <w:textAlignment w:val="baseline"/>
              <w:rPr>
                <w:rFonts w:ascii="微软雅黑" w:hAnsi="微软雅黑" w:eastAsia="微软雅黑" w:cs="微软雅黑"/>
                <w:sz w:val="20"/>
                <w:szCs w:val="21"/>
                <w:u w:val="single" w:color="000000"/>
              </w:rPr>
            </w:pPr>
            <w:r>
              <w:rPr>
                <w:rFonts w:hint="eastAsia" w:ascii="微软雅黑" w:hAnsi="微软雅黑" w:eastAsia="微软雅黑" w:cs="微软雅黑"/>
                <w:szCs w:val="21"/>
              </w:rPr>
              <w:t xml:space="preserve">地    址  ：  </w:t>
            </w:r>
            <w:r>
              <w:rPr>
                <w:rFonts w:hint="eastAsia" w:ascii="微软雅黑" w:hAnsi="微软雅黑" w:eastAsia="微软雅黑" w:cs="微软雅黑"/>
                <w:szCs w:val="21"/>
                <w:u w:val="single" w:color="000000"/>
              </w:rPr>
              <w:t xml:space="preserve">                                    </w:t>
            </w:r>
          </w:p>
          <w:p w14:paraId="776311C0">
            <w:pPr>
              <w:snapToGrid w:val="0"/>
              <w:spacing w:line="360" w:lineRule="auto"/>
              <w:ind w:left="176" w:leftChars="84" w:firstLine="960" w:firstLineChars="400"/>
              <w:textAlignment w:val="baseline"/>
              <w:rPr>
                <w:rFonts w:ascii="微软雅黑" w:hAnsi="微软雅黑" w:eastAsia="微软雅黑" w:cs="微软雅黑"/>
                <w:sz w:val="24"/>
              </w:rPr>
            </w:pPr>
          </w:p>
          <w:p w14:paraId="61670BF8">
            <w:pPr>
              <w:snapToGrid w:val="0"/>
              <w:jc w:val="center"/>
              <w:textAlignment w:val="baseline"/>
              <w:rPr>
                <w:rFonts w:ascii="微软雅黑" w:hAnsi="微软雅黑" w:eastAsia="微软雅黑" w:cs="微软雅黑"/>
                <w:b/>
                <w:bCs/>
                <w:sz w:val="20"/>
              </w:rPr>
            </w:pPr>
          </w:p>
          <w:p w14:paraId="6845D43B">
            <w:pPr>
              <w:snapToGrid w:val="0"/>
              <w:ind w:firstLine="2310" w:firstLineChars="1100"/>
              <w:textAlignment w:val="baseline"/>
              <w:rPr>
                <w:rFonts w:ascii="微软雅黑" w:hAnsi="微软雅黑" w:eastAsia="微软雅黑" w:cs="微软雅黑"/>
                <w:b/>
                <w:bCs/>
                <w:sz w:val="20"/>
              </w:rPr>
            </w:pPr>
            <w:r>
              <w:rPr>
                <w:rFonts w:hint="eastAsia" w:ascii="微软雅黑" w:hAnsi="微软雅黑" w:eastAsia="微软雅黑" w:cs="微软雅黑"/>
                <w:b/>
                <w:bCs/>
              </w:rPr>
              <w:t>注：    在202*年*月*日*午***之前不得启封</w:t>
            </w:r>
          </w:p>
          <w:p w14:paraId="47F654B9">
            <w:pPr>
              <w:snapToGrid w:val="0"/>
              <w:jc w:val="center"/>
              <w:textAlignment w:val="baseline"/>
              <w:rPr>
                <w:rFonts w:ascii="微软雅黑" w:hAnsi="微软雅黑" w:eastAsia="微软雅黑" w:cs="微软雅黑"/>
                <w:b/>
                <w:bCs/>
                <w:sz w:val="20"/>
              </w:rPr>
            </w:pPr>
          </w:p>
        </w:tc>
      </w:tr>
    </w:tbl>
    <w:p w14:paraId="1E8B0438">
      <w:pPr>
        <w:snapToGrid w:val="0"/>
        <w:spacing w:line="240" w:lineRule="atLeast"/>
        <w:textAlignment w:val="baseline"/>
        <w:rPr>
          <w:rFonts w:ascii="微软雅黑" w:hAnsi="微软雅黑" w:eastAsia="微软雅黑" w:cs="微软雅黑"/>
          <w:b/>
          <w:sz w:val="30"/>
          <w:szCs w:val="30"/>
        </w:rPr>
      </w:pPr>
      <w:r>
        <w:rPr>
          <w:rFonts w:hint="eastAsia" w:ascii="微软雅黑" w:hAnsi="微软雅黑" w:eastAsia="微软雅黑" w:cs="微软雅黑"/>
          <w:sz w:val="24"/>
        </w:rPr>
        <w:br w:type="page"/>
      </w:r>
    </w:p>
    <w:p w14:paraId="7C0EA192">
      <w:pPr>
        <w:jc w:val="center"/>
        <w:rPr>
          <w:rFonts w:ascii="方正小标宋_GBK" w:hAnsi="方正小标宋_GBK" w:eastAsia="方正小标宋_GBK" w:cs="方正小标宋_GBK"/>
          <w:bCs/>
          <w:sz w:val="44"/>
          <w:szCs w:val="44"/>
        </w:rPr>
      </w:pPr>
    </w:p>
    <w:p w14:paraId="124BBE25">
      <w:pPr>
        <w:jc w:val="center"/>
        <w:rPr>
          <w:rFonts w:ascii="方正小标宋_GBK" w:hAnsi="方正小标宋_GBK" w:eastAsia="方正小标宋_GBK" w:cs="方正小标宋_GBK"/>
          <w:bCs/>
          <w:sz w:val="44"/>
          <w:szCs w:val="44"/>
        </w:rPr>
      </w:pPr>
      <w:r>
        <w:rPr>
          <w:rFonts w:ascii="方正小标宋_GBK" w:hAnsi="方正小标宋_GBK" w:eastAsia="方正小标宋_GBK" w:cs="方正小标宋_GBK"/>
          <w:bCs/>
          <w:sz w:val="44"/>
          <w:szCs w:val="44"/>
        </w:rPr>
        <w:t>莎车县人民医院信息化绩效核算平台</w:t>
      </w:r>
    </w:p>
    <w:p w14:paraId="095080A5">
      <w:pPr>
        <w:jc w:val="center"/>
        <w:rPr>
          <w:rFonts w:ascii="方正小标宋_GBK" w:hAnsi="方正小标宋_GBK" w:eastAsia="方正小标宋_GBK" w:cs="方正小标宋_GBK"/>
          <w:bCs/>
          <w:sz w:val="44"/>
          <w:szCs w:val="44"/>
        </w:rPr>
      </w:pPr>
      <w:r>
        <w:rPr>
          <w:rFonts w:ascii="方正小标宋_GBK" w:hAnsi="方正小标宋_GBK" w:eastAsia="方正小标宋_GBK" w:cs="方正小标宋_GBK"/>
          <w:bCs/>
          <w:sz w:val="44"/>
          <w:szCs w:val="44"/>
        </w:rPr>
        <w:t>采购项目</w:t>
      </w:r>
      <w:r>
        <w:rPr>
          <w:rFonts w:hint="eastAsia" w:ascii="方正小标宋_GBK" w:hAnsi="方正小标宋_GBK" w:eastAsia="方正小标宋_GBK" w:cs="方正小标宋_GBK"/>
          <w:bCs/>
          <w:sz w:val="44"/>
          <w:szCs w:val="44"/>
        </w:rPr>
        <w:t>竞争性磋商文件</w:t>
      </w:r>
    </w:p>
    <w:p w14:paraId="69201226">
      <w:pPr>
        <w:pStyle w:val="2"/>
        <w:ind w:firstLine="0"/>
        <w:rPr>
          <w:rFonts w:ascii="微软雅黑" w:hAnsi="微软雅黑" w:eastAsia="微软雅黑" w:cs="微软雅黑"/>
          <w:bCs/>
          <w:sz w:val="48"/>
          <w:szCs w:val="48"/>
        </w:rPr>
      </w:pPr>
    </w:p>
    <w:p w14:paraId="3C5C418E">
      <w:pPr>
        <w:rPr>
          <w:rFonts w:ascii="微软雅黑" w:hAnsi="微软雅黑" w:eastAsia="微软雅黑" w:cs="微软雅黑"/>
          <w:bCs/>
        </w:rPr>
      </w:pPr>
    </w:p>
    <w:p w14:paraId="443C0B05">
      <w:pPr>
        <w:spacing w:line="240" w:lineRule="atLeast"/>
        <w:ind w:left="1079" w:leftChars="257" w:hanging="540"/>
        <w:jc w:val="center"/>
        <w:rPr>
          <w:rFonts w:ascii="微软雅黑" w:hAnsi="微软雅黑" w:eastAsia="微软雅黑" w:cs="微软雅黑"/>
          <w:bCs/>
          <w:sz w:val="48"/>
          <w:szCs w:val="48"/>
        </w:rPr>
      </w:pPr>
      <w:r>
        <w:rPr>
          <w:rFonts w:eastAsia="方正小标宋_GBK"/>
          <w:bCs/>
          <w:sz w:val="36"/>
          <w:szCs w:val="36"/>
        </w:rPr>
        <w:t>项目编号：KSSCX（CS）2024-00</w:t>
      </w:r>
      <w:r>
        <w:rPr>
          <w:rFonts w:hint="eastAsia" w:eastAsia="方正小标宋_GBK"/>
          <w:bCs/>
          <w:sz w:val="36"/>
          <w:szCs w:val="36"/>
        </w:rPr>
        <w:t>4</w:t>
      </w:r>
      <w:r>
        <w:rPr>
          <w:rFonts w:eastAsia="方正小标宋_GBK"/>
          <w:bCs/>
          <w:sz w:val="36"/>
          <w:szCs w:val="36"/>
        </w:rPr>
        <w:t>号</w:t>
      </w:r>
    </w:p>
    <w:p w14:paraId="42A76F1B">
      <w:pPr>
        <w:spacing w:line="240" w:lineRule="atLeast"/>
        <w:ind w:left="1079" w:leftChars="257" w:hanging="540"/>
        <w:jc w:val="center"/>
        <w:rPr>
          <w:rFonts w:ascii="微软雅黑" w:hAnsi="微软雅黑" w:eastAsia="微软雅黑" w:cs="微软雅黑"/>
          <w:bCs/>
          <w:sz w:val="48"/>
          <w:szCs w:val="48"/>
        </w:rPr>
      </w:pPr>
    </w:p>
    <w:p w14:paraId="18FE2731">
      <w:pPr>
        <w:spacing w:line="240" w:lineRule="atLeast"/>
        <w:ind w:left="1079" w:leftChars="257" w:hanging="540"/>
        <w:jc w:val="center"/>
        <w:rPr>
          <w:rFonts w:ascii="微软雅黑" w:hAnsi="微软雅黑" w:eastAsia="微软雅黑" w:cs="微软雅黑"/>
          <w:bCs/>
          <w:sz w:val="48"/>
          <w:szCs w:val="48"/>
        </w:rPr>
      </w:pPr>
    </w:p>
    <w:p w14:paraId="0A5C096E">
      <w:pPr>
        <w:spacing w:line="240" w:lineRule="atLeast"/>
        <w:ind w:left="1079" w:leftChars="257" w:hanging="54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第二册</w:t>
      </w:r>
    </w:p>
    <w:p w14:paraId="481F6FE2">
      <w:pPr>
        <w:spacing w:line="240" w:lineRule="atLeast"/>
        <w:ind w:left="1079" w:leftChars="257" w:hanging="540"/>
        <w:jc w:val="center"/>
        <w:rPr>
          <w:rFonts w:ascii="微软雅黑" w:hAnsi="微软雅黑" w:eastAsia="微软雅黑" w:cs="微软雅黑"/>
        </w:rPr>
        <w:sectPr>
          <w:footerReference r:id="rId6" w:type="default"/>
          <w:pgSz w:w="11906" w:h="16838"/>
          <w:pgMar w:top="1440" w:right="1797" w:bottom="1440" w:left="1797" w:header="851" w:footer="992" w:gutter="0"/>
          <w:pgNumType w:start="1"/>
          <w:cols w:space="720" w:num="1"/>
          <w:docGrid w:type="linesAndChars" w:linePitch="312" w:charSpace="0"/>
        </w:sectPr>
      </w:pPr>
    </w:p>
    <w:p w14:paraId="3615B5A0">
      <w:pPr>
        <w:pStyle w:val="3"/>
        <w:tabs>
          <w:tab w:val="left" w:pos="0"/>
        </w:tabs>
        <w:snapToGrid w:val="0"/>
        <w:spacing w:before="0" w:after="240" w:afterLines="100" w:line="240" w:lineRule="auto"/>
        <w:textAlignment w:val="baseline"/>
        <w:rPr>
          <w:rFonts w:ascii="Times New Roman" w:hAnsi="Times New Roman" w:eastAsia="方正小标宋简体" w:cs="Times New Roman"/>
        </w:rPr>
      </w:pPr>
      <w:bookmarkStart w:id="766" w:name="_Toc19252"/>
      <w:r>
        <w:rPr>
          <w:rFonts w:ascii="Times New Roman" w:hAnsi="Times New Roman" w:eastAsia="方正小标宋简体" w:cs="Times New Roman"/>
        </w:rPr>
        <w:t>第3章 磋商邀请</w:t>
      </w:r>
      <w:bookmarkEnd w:id="757"/>
      <w:bookmarkEnd w:id="758"/>
      <w:bookmarkEnd w:id="759"/>
      <w:bookmarkEnd w:id="760"/>
      <w:bookmarkEnd w:id="761"/>
      <w:bookmarkEnd w:id="762"/>
      <w:bookmarkEnd w:id="763"/>
      <w:bookmarkEnd w:id="766"/>
    </w:p>
    <w:p w14:paraId="2C87D894">
      <w:pPr>
        <w:pStyle w:val="12"/>
        <w:topLinePunct/>
        <w:spacing w:before="0" w:line="560" w:lineRule="exact"/>
        <w:ind w:firstLine="560" w:firstLineChars="200"/>
        <w:outlineLvl w:val="0"/>
        <w:rPr>
          <w:rFonts w:ascii="微软雅黑" w:hAnsi="微软雅黑" w:eastAsia="微软雅黑" w:cs="微软雅黑"/>
          <w:b/>
          <w:bCs/>
          <w:kern w:val="44"/>
          <w:sz w:val="28"/>
          <w:szCs w:val="28"/>
        </w:rPr>
      </w:pPr>
      <w:bookmarkStart w:id="767" w:name="_Toc35393797"/>
      <w:bookmarkStart w:id="768" w:name="_Toc28359011"/>
      <w:bookmarkStart w:id="769" w:name="_Toc507399903"/>
      <w:bookmarkStart w:id="770" w:name="_Toc10488"/>
      <w:bookmarkStart w:id="771" w:name="_Toc31583"/>
      <w:bookmarkStart w:id="772" w:name="_Toc512937850"/>
      <w:bookmarkStart w:id="773" w:name="_Toc515647830"/>
      <w:bookmarkStart w:id="774" w:name="_Toc216582823"/>
      <w:r>
        <w:rPr>
          <w:rFonts w:ascii="方正仿宋_GBK" w:hAnsi="方正仿宋_GBK" w:eastAsia="方正仿宋_GBK" w:cs="方正仿宋_GBK"/>
          <w:b/>
          <w:bCs/>
          <w:kern w:val="44"/>
          <w:sz w:val="28"/>
          <w:szCs w:val="28"/>
        </w:rPr>
        <w:t>莎车县人民医院信息化绩效核算平台采购项目</w:t>
      </w:r>
      <w:r>
        <w:rPr>
          <w:rFonts w:hint="eastAsia" w:ascii="方正仿宋_GBK" w:hAnsi="方正仿宋_GBK" w:eastAsia="方正仿宋_GBK" w:cs="方正仿宋_GBK"/>
          <w:b/>
          <w:bCs/>
          <w:kern w:val="44"/>
          <w:sz w:val="28"/>
          <w:szCs w:val="28"/>
        </w:rPr>
        <w:t>竞争性磋商公告</w:t>
      </w:r>
      <w:bookmarkEnd w:id="767"/>
      <w:bookmarkEnd w:id="768"/>
    </w:p>
    <w:p w14:paraId="176D2FB9">
      <w:pPr>
        <w:spacing w:line="400" w:lineRule="exact"/>
        <w:rPr>
          <w:rFonts w:ascii="微软雅黑" w:hAnsi="微软雅黑" w:eastAsia="微软雅黑" w:cs="微软雅黑"/>
          <w:sz w:val="24"/>
        </w:rPr>
      </w:pPr>
    </w:p>
    <w:p w14:paraId="1A2EF587">
      <w:pPr>
        <w:pBdr>
          <w:top w:val="single" w:color="auto" w:sz="4" w:space="1"/>
          <w:left w:val="single" w:color="auto" w:sz="4" w:space="4"/>
          <w:bottom w:val="single" w:color="auto" w:sz="4" w:space="1"/>
          <w:right w:val="single" w:color="auto" w:sz="4" w:space="4"/>
        </w:pBdr>
        <w:spacing w:line="360" w:lineRule="exact"/>
        <w:ind w:firstLine="480" w:firstLineChars="200"/>
        <w:rPr>
          <w:rFonts w:eastAsia="方正仿宋_GBK"/>
          <w:sz w:val="24"/>
        </w:rPr>
      </w:pPr>
      <w:r>
        <w:rPr>
          <w:rFonts w:eastAsia="方正仿宋_GBK"/>
          <w:sz w:val="24"/>
        </w:rPr>
        <w:t>项目概况</w:t>
      </w:r>
    </w:p>
    <w:p w14:paraId="68A712E9">
      <w:pPr>
        <w:pBdr>
          <w:top w:val="single" w:color="auto" w:sz="4" w:space="1"/>
          <w:left w:val="single" w:color="auto" w:sz="4" w:space="4"/>
          <w:bottom w:val="single" w:color="auto" w:sz="4" w:space="1"/>
          <w:right w:val="single" w:color="auto" w:sz="4" w:space="4"/>
        </w:pBdr>
        <w:spacing w:line="360" w:lineRule="exact"/>
        <w:ind w:firstLine="480" w:firstLineChars="200"/>
        <w:rPr>
          <w:rFonts w:eastAsia="方正仿宋_GBK"/>
          <w:sz w:val="24"/>
        </w:rPr>
      </w:pPr>
      <w:r>
        <w:rPr>
          <w:rFonts w:hint="eastAsia" w:eastAsia="方正仿宋_GBK"/>
          <w:sz w:val="24"/>
        </w:rPr>
        <w:t>莎车县人民医院信息化绩效核算平台</w:t>
      </w:r>
      <w:r>
        <w:rPr>
          <w:rFonts w:eastAsia="方正仿宋_GBK"/>
          <w:sz w:val="24"/>
        </w:rPr>
        <w:t>采购项目的潜在供应商应在</w:t>
      </w:r>
      <w:r>
        <w:rPr>
          <w:rFonts w:eastAsia="方正仿宋_GBK"/>
          <w:sz w:val="24"/>
          <w:u w:val="single"/>
        </w:rPr>
        <w:t>政采云平台（https://www.zcygov.cn/） </w:t>
      </w:r>
      <w:r>
        <w:rPr>
          <w:rFonts w:eastAsia="方正仿宋_GBK"/>
          <w:sz w:val="24"/>
        </w:rPr>
        <w:t>获取采购文件，并于</w:t>
      </w:r>
      <w:r>
        <w:rPr>
          <w:rFonts w:eastAsia="方正仿宋_GBK"/>
          <w:sz w:val="24"/>
          <w:u w:val="single"/>
        </w:rPr>
        <w:t>2024年</w:t>
      </w:r>
      <w:r>
        <w:rPr>
          <w:rFonts w:hint="eastAsia" w:eastAsia="方正仿宋_GBK"/>
          <w:sz w:val="24"/>
          <w:u w:val="single"/>
          <w:lang w:val="en-US" w:eastAsia="zh-CN"/>
        </w:rPr>
        <w:t>12</w:t>
      </w:r>
      <w:r>
        <w:rPr>
          <w:rFonts w:hint="eastAsia" w:eastAsia="方正仿宋_GBK"/>
          <w:sz w:val="24"/>
          <w:u w:val="single"/>
        </w:rPr>
        <w:t xml:space="preserve"> </w:t>
      </w:r>
      <w:r>
        <w:rPr>
          <w:rFonts w:eastAsia="方正仿宋_GBK"/>
          <w:sz w:val="24"/>
          <w:u w:val="single"/>
        </w:rPr>
        <w:t>月</w:t>
      </w:r>
      <w:r>
        <w:rPr>
          <w:rFonts w:hint="eastAsia" w:eastAsia="方正仿宋_GBK"/>
          <w:sz w:val="24"/>
          <w:u w:val="single"/>
          <w:lang w:val="en-US" w:eastAsia="zh-CN"/>
        </w:rPr>
        <w:t>27</w:t>
      </w:r>
      <w:r>
        <w:rPr>
          <w:rFonts w:eastAsia="方正仿宋_GBK"/>
          <w:sz w:val="24"/>
          <w:u w:val="single"/>
        </w:rPr>
        <w:t>日11点00分</w:t>
      </w:r>
      <w:r>
        <w:rPr>
          <w:rFonts w:eastAsia="方正仿宋_GBK"/>
          <w:bCs/>
          <w:sz w:val="24"/>
        </w:rPr>
        <w:t>（北京时间）前提交响应文件</w:t>
      </w:r>
      <w:r>
        <w:rPr>
          <w:rFonts w:eastAsia="方正仿宋_GBK"/>
          <w:sz w:val="24"/>
        </w:rPr>
        <w:t>。</w:t>
      </w:r>
    </w:p>
    <w:p w14:paraId="63571D4B">
      <w:pPr>
        <w:keepNext/>
        <w:keepLines/>
        <w:spacing w:line="400" w:lineRule="exact"/>
        <w:ind w:firstLine="480" w:firstLineChars="200"/>
        <w:rPr>
          <w:rFonts w:ascii="方正黑体_GBK" w:hAnsi="方正黑体_GBK" w:eastAsia="方正黑体_GBK" w:cs="方正黑体_GBK"/>
          <w:b/>
          <w:sz w:val="24"/>
        </w:rPr>
      </w:pPr>
      <w:bookmarkStart w:id="775" w:name="_Toc28359012"/>
      <w:bookmarkStart w:id="776" w:name="_Toc35393798"/>
      <w:bookmarkStart w:id="777" w:name="_Toc28359089"/>
      <w:bookmarkStart w:id="778" w:name="_Toc35393629"/>
      <w:r>
        <w:rPr>
          <w:rFonts w:hint="eastAsia" w:ascii="方正黑体_GBK" w:hAnsi="方正黑体_GBK" w:eastAsia="方正黑体_GBK" w:cs="方正黑体_GBK"/>
          <w:b/>
          <w:sz w:val="24"/>
        </w:rPr>
        <w:t>一、项目基本情况</w:t>
      </w:r>
      <w:bookmarkEnd w:id="775"/>
      <w:bookmarkEnd w:id="776"/>
      <w:bookmarkEnd w:id="777"/>
      <w:bookmarkEnd w:id="778"/>
    </w:p>
    <w:p w14:paraId="40B08AFE">
      <w:pPr>
        <w:spacing w:line="400" w:lineRule="exact"/>
        <w:ind w:firstLine="480" w:firstLineChars="200"/>
        <w:rPr>
          <w:rFonts w:eastAsia="方正仿宋_GBK"/>
          <w:sz w:val="24"/>
        </w:rPr>
      </w:pPr>
      <w:r>
        <w:rPr>
          <w:rFonts w:eastAsia="方正仿宋_GBK"/>
          <w:sz w:val="24"/>
        </w:rPr>
        <w:t>1、项目编号：KSSCX（CS）2024-00</w:t>
      </w:r>
      <w:r>
        <w:rPr>
          <w:rFonts w:hint="eastAsia" w:eastAsia="方正仿宋_GBK"/>
          <w:sz w:val="24"/>
        </w:rPr>
        <w:t>4</w:t>
      </w:r>
      <w:r>
        <w:rPr>
          <w:rFonts w:eastAsia="方正仿宋_GBK"/>
          <w:sz w:val="24"/>
        </w:rPr>
        <w:t>号</w:t>
      </w:r>
    </w:p>
    <w:p w14:paraId="10D3D2EC">
      <w:pPr>
        <w:spacing w:line="400" w:lineRule="exact"/>
        <w:ind w:firstLine="480" w:firstLineChars="200"/>
        <w:rPr>
          <w:rFonts w:eastAsia="方正仿宋_GBK"/>
          <w:sz w:val="24"/>
        </w:rPr>
      </w:pPr>
      <w:r>
        <w:rPr>
          <w:rFonts w:eastAsia="方正仿宋_GBK"/>
          <w:sz w:val="24"/>
        </w:rPr>
        <w:t>2、项目名称：</w:t>
      </w:r>
      <w:r>
        <w:rPr>
          <w:rFonts w:hint="eastAsia" w:eastAsia="方正仿宋_GBK"/>
          <w:sz w:val="24"/>
        </w:rPr>
        <w:t>莎车县人民医院信息化绩效核算平台</w:t>
      </w:r>
      <w:r>
        <w:rPr>
          <w:rFonts w:eastAsia="方正仿宋_GBK"/>
          <w:sz w:val="24"/>
        </w:rPr>
        <w:t>采购项目</w:t>
      </w:r>
    </w:p>
    <w:p w14:paraId="1E4020DD">
      <w:pPr>
        <w:spacing w:line="400" w:lineRule="exact"/>
        <w:ind w:firstLine="480" w:firstLineChars="200"/>
        <w:rPr>
          <w:rFonts w:eastAsia="方正仿宋_GBK"/>
          <w:sz w:val="24"/>
        </w:rPr>
      </w:pPr>
      <w:r>
        <w:rPr>
          <w:rFonts w:eastAsia="方正仿宋_GBK"/>
          <w:sz w:val="24"/>
        </w:rPr>
        <w:t>3、采购方式：竞争性磋商</w:t>
      </w:r>
    </w:p>
    <w:p w14:paraId="5ED64791">
      <w:pPr>
        <w:spacing w:line="400" w:lineRule="exact"/>
        <w:ind w:firstLine="480" w:firstLineChars="200"/>
        <w:rPr>
          <w:rFonts w:eastAsia="方正仿宋_GBK"/>
          <w:sz w:val="24"/>
        </w:rPr>
      </w:pPr>
      <w:r>
        <w:rPr>
          <w:rFonts w:eastAsia="方正仿宋_GBK"/>
          <w:sz w:val="24"/>
        </w:rPr>
        <w:t>4、总预算金额及采购需求：（本项目共1个标段）</w:t>
      </w:r>
    </w:p>
    <w:p w14:paraId="666BDE5E">
      <w:pPr>
        <w:spacing w:line="400" w:lineRule="exact"/>
        <w:ind w:firstLine="960" w:firstLineChars="400"/>
        <w:rPr>
          <w:rFonts w:eastAsia="方正仿宋_GBK"/>
          <w:sz w:val="24"/>
        </w:rPr>
      </w:pPr>
      <w:bookmarkStart w:id="779" w:name="_Toc28359013"/>
      <w:bookmarkStart w:id="780" w:name="_Toc35393630"/>
      <w:bookmarkStart w:id="781" w:name="_Toc28359090"/>
      <w:bookmarkStart w:id="782" w:name="_Toc35393799"/>
      <w:r>
        <w:rPr>
          <w:rFonts w:eastAsia="方正仿宋_GBK"/>
          <w:sz w:val="24"/>
        </w:rPr>
        <w:t>预算金额：</w:t>
      </w:r>
      <w:r>
        <w:rPr>
          <w:rFonts w:hint="eastAsia" w:eastAsia="方正仿宋_GBK"/>
          <w:sz w:val="24"/>
        </w:rPr>
        <w:t>100</w:t>
      </w:r>
      <w:r>
        <w:rPr>
          <w:rFonts w:eastAsia="方正仿宋_GBK"/>
          <w:sz w:val="24"/>
        </w:rPr>
        <w:t>万元</w:t>
      </w:r>
    </w:p>
    <w:p w14:paraId="16C0085B">
      <w:pPr>
        <w:spacing w:line="400" w:lineRule="exact"/>
        <w:ind w:firstLine="960" w:firstLineChars="400"/>
        <w:rPr>
          <w:rFonts w:eastAsia="方正仿宋_GBK"/>
          <w:sz w:val="24"/>
        </w:rPr>
      </w:pPr>
      <w:r>
        <w:rPr>
          <w:rFonts w:eastAsia="方正仿宋_GBK"/>
          <w:sz w:val="24"/>
        </w:rPr>
        <w:t>最高限价：</w:t>
      </w:r>
      <w:r>
        <w:rPr>
          <w:rFonts w:hint="eastAsia" w:eastAsia="方正仿宋_GBK"/>
          <w:sz w:val="24"/>
        </w:rPr>
        <w:t>100</w:t>
      </w:r>
      <w:r>
        <w:rPr>
          <w:rFonts w:eastAsia="方正仿宋_GBK"/>
          <w:sz w:val="24"/>
        </w:rPr>
        <w:t>万元</w:t>
      </w:r>
    </w:p>
    <w:p w14:paraId="7F66748F">
      <w:pPr>
        <w:spacing w:line="400" w:lineRule="exact"/>
        <w:ind w:firstLine="480" w:firstLineChars="200"/>
        <w:rPr>
          <w:rFonts w:eastAsia="方正仿宋_GBK"/>
          <w:sz w:val="24"/>
        </w:rPr>
      </w:pPr>
      <w:r>
        <w:rPr>
          <w:rFonts w:hint="eastAsia" w:eastAsia="方正仿宋_GBK"/>
          <w:sz w:val="24"/>
        </w:rPr>
        <w:t>5、</w:t>
      </w:r>
      <w:r>
        <w:rPr>
          <w:rFonts w:eastAsia="方正仿宋_GBK"/>
          <w:sz w:val="24"/>
        </w:rPr>
        <w:t>采购内容：</w:t>
      </w:r>
      <w:r>
        <w:rPr>
          <w:rFonts w:hint="eastAsia" w:eastAsia="方正仿宋_GBK"/>
          <w:sz w:val="24"/>
        </w:rPr>
        <w:t>信息化绩效核算平台</w:t>
      </w:r>
      <w:r>
        <w:rPr>
          <w:rFonts w:eastAsia="方正仿宋_GBK"/>
          <w:sz w:val="24"/>
        </w:rPr>
        <w:t>。</w:t>
      </w:r>
    </w:p>
    <w:p w14:paraId="388C57B5">
      <w:pPr>
        <w:pStyle w:val="2"/>
        <w:spacing w:line="560" w:lineRule="exact"/>
        <w:ind w:firstLine="480" w:firstLineChars="200"/>
        <w:jc w:val="both"/>
        <w:rPr>
          <w:rFonts w:ascii="Times New Roman" w:eastAsia="方正仿宋_GBK"/>
          <w:szCs w:val="24"/>
          <w:highlight w:val="yellow"/>
        </w:rPr>
      </w:pPr>
      <w:r>
        <w:rPr>
          <w:rFonts w:hint="eastAsia" w:ascii="Times New Roman" w:eastAsia="方正仿宋_GBK"/>
          <w:szCs w:val="24"/>
        </w:rPr>
        <w:t>6、</w:t>
      </w:r>
      <w:r>
        <w:rPr>
          <w:rFonts w:ascii="Times New Roman" w:eastAsia="方正仿宋_GBK"/>
          <w:szCs w:val="24"/>
        </w:rPr>
        <w:t>服务期限:</w:t>
      </w:r>
      <w:r>
        <w:rPr>
          <w:rFonts w:hint="eastAsia" w:ascii="Times New Roman" w:eastAsia="方正仿宋_GBK"/>
          <w:szCs w:val="24"/>
        </w:rPr>
        <w:t xml:space="preserve"> 5-8个月 （具体以合同签订为准）</w:t>
      </w:r>
    </w:p>
    <w:p w14:paraId="5F99749A">
      <w:pPr>
        <w:spacing w:line="400" w:lineRule="exact"/>
        <w:ind w:firstLine="480" w:firstLineChars="200"/>
        <w:rPr>
          <w:rFonts w:eastAsia="方正仿宋_GBK"/>
          <w:sz w:val="24"/>
        </w:rPr>
      </w:pPr>
      <w:r>
        <w:rPr>
          <w:rFonts w:hint="eastAsia" w:eastAsia="方正仿宋_GBK"/>
          <w:sz w:val="24"/>
        </w:rPr>
        <w:t>7、</w:t>
      </w:r>
      <w:r>
        <w:rPr>
          <w:rFonts w:eastAsia="方正仿宋_GBK"/>
          <w:sz w:val="24"/>
        </w:rPr>
        <w:t>采购需求：医院绩效管理系统、配套方案及相关服务（具体详见参数）</w:t>
      </w:r>
    </w:p>
    <w:p w14:paraId="7F37955A">
      <w:pPr>
        <w:spacing w:line="400" w:lineRule="exact"/>
        <w:ind w:firstLine="480" w:firstLineChars="200"/>
        <w:rPr>
          <w:rFonts w:eastAsia="方正仿宋_GBK"/>
          <w:sz w:val="24"/>
        </w:rPr>
      </w:pPr>
      <w:r>
        <w:rPr>
          <w:rFonts w:hint="eastAsia" w:eastAsia="方正仿宋_GBK"/>
          <w:sz w:val="24"/>
        </w:rPr>
        <w:t>8、</w:t>
      </w:r>
      <w:r>
        <w:rPr>
          <w:rFonts w:eastAsia="方正仿宋_GBK"/>
          <w:sz w:val="24"/>
        </w:rPr>
        <w:t>资金来源：</w:t>
      </w:r>
      <w:r>
        <w:rPr>
          <w:rFonts w:hint="eastAsia" w:eastAsia="方正仿宋_GBK"/>
          <w:sz w:val="24"/>
        </w:rPr>
        <w:t>自筹资金</w:t>
      </w:r>
    </w:p>
    <w:p w14:paraId="6A488FA3">
      <w:pPr>
        <w:spacing w:line="400" w:lineRule="exact"/>
        <w:ind w:firstLine="480" w:firstLineChars="200"/>
        <w:rPr>
          <w:rFonts w:eastAsia="方正仿宋_GBK"/>
          <w:sz w:val="24"/>
        </w:rPr>
      </w:pPr>
      <w:r>
        <w:rPr>
          <w:rFonts w:hint="eastAsia" w:eastAsia="方正仿宋_GBK"/>
          <w:sz w:val="24"/>
        </w:rPr>
        <w:t>9、本项目不接受联合体投标。</w:t>
      </w:r>
    </w:p>
    <w:p w14:paraId="226FD545">
      <w:pPr>
        <w:spacing w:line="400" w:lineRule="exact"/>
        <w:rPr>
          <w:rFonts w:ascii="方正黑体_GBK" w:hAnsi="方正黑体_GBK" w:eastAsia="方正黑体_GBK" w:cs="方正黑体_GBK"/>
          <w:b/>
          <w:sz w:val="24"/>
        </w:rPr>
      </w:pPr>
      <w:r>
        <w:rPr>
          <w:rFonts w:hint="eastAsia" w:ascii="方正黑体_GBK" w:hAnsi="方正黑体_GBK" w:eastAsia="方正黑体_GBK" w:cs="方正黑体_GBK"/>
          <w:b/>
          <w:sz w:val="24"/>
        </w:rPr>
        <w:t>二、供应商资格要求：</w:t>
      </w:r>
      <w:bookmarkEnd w:id="779"/>
      <w:bookmarkEnd w:id="780"/>
      <w:bookmarkEnd w:id="781"/>
      <w:bookmarkEnd w:id="782"/>
      <w:bookmarkStart w:id="783" w:name="_Toc35393632"/>
      <w:bookmarkStart w:id="784" w:name="_Toc28359092"/>
      <w:bookmarkStart w:id="785" w:name="_Toc28359015"/>
      <w:bookmarkStart w:id="786" w:name="_Toc35393801"/>
    </w:p>
    <w:p w14:paraId="0BCFA33E">
      <w:pPr>
        <w:pStyle w:val="34"/>
        <w:widowControl/>
        <w:spacing w:line="400" w:lineRule="exact"/>
        <w:ind w:left="458" w:leftChars="218"/>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1、满足《中华人民共和国政府采购法》第二十二条规定；</w:t>
      </w:r>
    </w:p>
    <w:p w14:paraId="679CDBF2">
      <w:pPr>
        <w:pStyle w:val="34"/>
        <w:widowControl/>
        <w:spacing w:line="400" w:lineRule="exact"/>
        <w:ind w:firstLine="48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（1）企业三证合一的法人营业执照或含二维码的营业执照；</w:t>
      </w:r>
    </w:p>
    <w:p w14:paraId="17775E58">
      <w:pPr>
        <w:pStyle w:val="34"/>
        <w:widowControl/>
        <w:spacing w:line="400" w:lineRule="exact"/>
        <w:ind w:firstLine="48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（2）法定代表人授权书及被授权人身份证，法人本人参与投标提供法人身份证及法人资格证明；</w:t>
      </w:r>
    </w:p>
    <w:p w14:paraId="45EBB5D1">
      <w:pPr>
        <w:pStyle w:val="34"/>
        <w:widowControl/>
        <w:spacing w:line="400" w:lineRule="exact"/>
        <w:ind w:firstLine="48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（3）被授权委托人在本单位缴纳近六个月内任意一个月的社保证明（单位社保缴费凭证和个人明细表）、法定代表人提供本单位社保缴费凭证；（新成立公司从成立之日起缴纳的相关社保证明材料）；</w:t>
      </w:r>
    </w:p>
    <w:p w14:paraId="5DACEFC3">
      <w:pPr>
        <w:pStyle w:val="34"/>
        <w:widowControl/>
        <w:spacing w:line="400" w:lineRule="exact"/>
        <w:ind w:firstLine="48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（4）具有健全的财务会计制度（2023年的财务审计报告与健全的财务会计制度，新成立公司不足一年的提供近三个月内有效的银行资信证明）；</w:t>
      </w:r>
    </w:p>
    <w:p w14:paraId="23D5192F">
      <w:pPr>
        <w:pStyle w:val="34"/>
        <w:widowControl/>
        <w:spacing w:line="400" w:lineRule="exact"/>
        <w:ind w:firstLine="48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（5）在税务局依法缴纳近半年任意一个月税收证明的良好记录及投标截止日内无拖欠税收证明（零申报的企业需提供税务局的相关证明）；</w:t>
      </w:r>
    </w:p>
    <w:p w14:paraId="3563880D">
      <w:pPr>
        <w:pStyle w:val="34"/>
        <w:widowControl/>
        <w:spacing w:line="400" w:lineRule="exact"/>
        <w:ind w:firstLine="48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（6）根据《财政部关于在政府采购活动中查询及使用信用记录有关问题的通知》（财库﹝2016﹞125号）的要求，凡拟参加本次招标项目的供应商，如在“信用中国”网站（www.creditchina.gov.cn）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p w14:paraId="4796DB49">
      <w:pPr>
        <w:pStyle w:val="34"/>
        <w:widowControl/>
        <w:spacing w:line="400" w:lineRule="exact"/>
        <w:ind w:firstLine="48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（7）在参加政府采购活动中前三年内无重大违法记录的承诺书；</w:t>
      </w:r>
    </w:p>
    <w:p w14:paraId="7DC637F7">
      <w:pPr>
        <w:pStyle w:val="34"/>
        <w:widowControl/>
        <w:spacing w:line="400" w:lineRule="exact"/>
        <w:ind w:firstLine="48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（8）提供针对本次项目《反商业贿赂承诺书》书面声明；</w:t>
      </w:r>
    </w:p>
    <w:p w14:paraId="1B83A96D">
      <w:pPr>
        <w:pStyle w:val="34"/>
        <w:widowControl/>
        <w:spacing w:line="400" w:lineRule="exact"/>
        <w:ind w:firstLine="48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 xml:space="preserve">（9）必须具有履行合同所必需的设备和专业技术能力； </w:t>
      </w:r>
    </w:p>
    <w:p w14:paraId="213A964A">
      <w:pPr>
        <w:pStyle w:val="34"/>
        <w:widowControl/>
        <w:spacing w:line="400" w:lineRule="exact"/>
        <w:ind w:firstLine="48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（10）本项目不接受联合体投标。</w:t>
      </w:r>
    </w:p>
    <w:p w14:paraId="2C353295">
      <w:pPr>
        <w:pStyle w:val="34"/>
        <w:widowControl/>
        <w:spacing w:line="400" w:lineRule="exact"/>
        <w:ind w:firstLine="48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2、落实政府采购政策需满足的资格要求：中小企业（需提供采购文件规定格式的《中小企业声明函（服务）》扫描件，需法人签字、加盖企业公章）</w:t>
      </w:r>
      <w:r>
        <w:rPr>
          <w:rFonts w:hint="eastAsia" w:eastAsia="方正仿宋_GBK"/>
          <w:color w:val="000000" w:themeColor="text1"/>
          <w14:textFill>
            <w14:solidFill>
              <w14:schemeClr w14:val="tx1"/>
            </w14:solidFill>
          </w14:textFill>
        </w:rPr>
        <w:t>。</w:t>
      </w:r>
    </w:p>
    <w:p w14:paraId="49A09E1D">
      <w:pPr>
        <w:keepNext/>
        <w:keepLines/>
        <w:spacing w:line="400" w:lineRule="exact"/>
        <w:jc w:val="left"/>
        <w:rPr>
          <w:rFonts w:eastAsia="方正仿宋_GBK"/>
          <w:b/>
          <w:kern w:val="0"/>
          <w:sz w:val="24"/>
        </w:rPr>
      </w:pPr>
      <w:r>
        <w:rPr>
          <w:rFonts w:eastAsia="方正仿宋_GBK"/>
          <w:b/>
          <w:sz w:val="24"/>
        </w:rPr>
        <w:t>三、获取磋商文件</w:t>
      </w:r>
    </w:p>
    <w:p w14:paraId="272A511C">
      <w:pPr>
        <w:spacing w:line="400" w:lineRule="exact"/>
        <w:ind w:firstLine="480" w:firstLineChars="200"/>
        <w:rPr>
          <w:rFonts w:eastAsia="方正仿宋_GBK"/>
          <w:sz w:val="24"/>
        </w:rPr>
      </w:pPr>
      <w:r>
        <w:rPr>
          <w:rFonts w:eastAsia="方正仿宋_GBK"/>
          <w:sz w:val="24"/>
        </w:rPr>
        <w:t>时间：</w:t>
      </w:r>
      <w:bookmarkStart w:id="787" w:name="OLE_LINK3"/>
      <w:r>
        <w:rPr>
          <w:rFonts w:eastAsia="方正仿宋_GBK"/>
          <w:sz w:val="24"/>
        </w:rPr>
        <w:t>2024年</w:t>
      </w:r>
      <w:r>
        <w:rPr>
          <w:rFonts w:hint="eastAsia" w:eastAsia="方正仿宋_GBK"/>
          <w:sz w:val="24"/>
          <w:lang w:val="en-US" w:eastAsia="zh-CN"/>
        </w:rPr>
        <w:t>12</w:t>
      </w:r>
      <w:r>
        <w:rPr>
          <w:rFonts w:hint="eastAsia" w:eastAsia="方正仿宋_GBK"/>
          <w:sz w:val="24"/>
        </w:rPr>
        <w:t xml:space="preserve"> </w:t>
      </w:r>
      <w:r>
        <w:rPr>
          <w:rFonts w:eastAsia="方正仿宋_GBK"/>
          <w:sz w:val="24"/>
        </w:rPr>
        <w:t>月</w:t>
      </w:r>
      <w:r>
        <w:rPr>
          <w:rFonts w:hint="eastAsia" w:eastAsia="方正仿宋_GBK"/>
          <w:sz w:val="24"/>
          <w:lang w:val="en-US" w:eastAsia="zh-CN"/>
        </w:rPr>
        <w:t>17</w:t>
      </w:r>
      <w:r>
        <w:rPr>
          <w:rFonts w:eastAsia="方正仿宋_GBK"/>
          <w:sz w:val="24"/>
        </w:rPr>
        <w:t>日至2024年</w:t>
      </w:r>
      <w:r>
        <w:rPr>
          <w:rFonts w:hint="eastAsia" w:eastAsia="方正仿宋_GBK"/>
          <w:sz w:val="24"/>
          <w:lang w:val="en-US" w:eastAsia="zh-CN"/>
        </w:rPr>
        <w:t>12</w:t>
      </w:r>
      <w:r>
        <w:rPr>
          <w:rFonts w:hint="eastAsia" w:eastAsia="方正仿宋_GBK"/>
          <w:sz w:val="24"/>
        </w:rPr>
        <w:t xml:space="preserve"> </w:t>
      </w:r>
      <w:r>
        <w:rPr>
          <w:rFonts w:eastAsia="方正仿宋_GBK"/>
          <w:sz w:val="24"/>
        </w:rPr>
        <w:t>月</w:t>
      </w:r>
      <w:r>
        <w:rPr>
          <w:rFonts w:hint="eastAsia" w:eastAsia="方正仿宋_GBK"/>
          <w:sz w:val="24"/>
          <w:lang w:val="en-US" w:eastAsia="zh-CN"/>
        </w:rPr>
        <w:t>24</w:t>
      </w:r>
      <w:r>
        <w:rPr>
          <w:rFonts w:eastAsia="方正仿宋_GBK"/>
          <w:sz w:val="24"/>
        </w:rPr>
        <w:t>日（每日上午00：00至12:00，下午12:00至23:59 北京时间，节假日除外）</w:t>
      </w:r>
    </w:p>
    <w:bookmarkEnd w:id="787"/>
    <w:p w14:paraId="6CB301A2">
      <w:pPr>
        <w:spacing w:line="400" w:lineRule="exact"/>
        <w:ind w:firstLine="480" w:firstLineChars="200"/>
        <w:rPr>
          <w:rFonts w:eastAsia="方正仿宋_GBK"/>
          <w:sz w:val="24"/>
        </w:rPr>
      </w:pPr>
      <w:r>
        <w:rPr>
          <w:rFonts w:eastAsia="方正仿宋_GBK"/>
          <w:sz w:val="24"/>
        </w:rPr>
        <w:t>方式：供应商登录政采云平台https://www.zcygov.cn/在线申请获取采购文件（进入“项目采购”应用，在获取采购文件菜单中选择项目，申请获取采购文件）；供应商获取招标文件前应注册成为政府采购云平台正式供应商。</w:t>
      </w:r>
    </w:p>
    <w:p w14:paraId="1B0FDAED">
      <w:pPr>
        <w:pStyle w:val="37"/>
        <w:spacing w:line="400" w:lineRule="exact"/>
        <w:ind w:firstLine="480"/>
        <w:rPr>
          <w:rFonts w:eastAsia="方正仿宋_GBK"/>
        </w:rPr>
      </w:pPr>
      <w:r>
        <w:rPr>
          <w:rFonts w:eastAsia="方正仿宋_GBK"/>
        </w:rPr>
        <w:t>地点：政采云平台（https://www.zcygov.cn/） </w:t>
      </w:r>
    </w:p>
    <w:p w14:paraId="5C14C015">
      <w:pPr>
        <w:keepNext/>
        <w:keepLines/>
        <w:spacing w:line="400" w:lineRule="exact"/>
        <w:jc w:val="left"/>
        <w:rPr>
          <w:rFonts w:eastAsia="方正仿宋_GBK"/>
          <w:b/>
          <w:sz w:val="24"/>
        </w:rPr>
      </w:pPr>
      <w:r>
        <w:rPr>
          <w:rFonts w:eastAsia="方正仿宋_GBK"/>
          <w:b/>
          <w:sz w:val="24"/>
        </w:rPr>
        <w:t>四、</w:t>
      </w:r>
      <w:bookmarkEnd w:id="783"/>
      <w:bookmarkEnd w:id="784"/>
      <w:bookmarkEnd w:id="785"/>
      <w:bookmarkEnd w:id="786"/>
      <w:r>
        <w:rPr>
          <w:rFonts w:eastAsia="方正仿宋_GBK"/>
          <w:b/>
          <w:sz w:val="24"/>
        </w:rPr>
        <w:t>提交投标文件截止时间、开标时间和地点</w:t>
      </w:r>
    </w:p>
    <w:p w14:paraId="6684F8A2">
      <w:pPr>
        <w:spacing w:line="400" w:lineRule="exact"/>
        <w:ind w:firstLine="480" w:firstLineChars="200"/>
        <w:rPr>
          <w:rFonts w:eastAsia="方正仿宋_GBK"/>
          <w:sz w:val="24"/>
        </w:rPr>
      </w:pPr>
      <w:r>
        <w:rPr>
          <w:rFonts w:eastAsia="方正仿宋_GBK"/>
          <w:sz w:val="24"/>
        </w:rPr>
        <w:t>提交响应文件截止时间：2024年</w:t>
      </w:r>
      <w:r>
        <w:rPr>
          <w:rFonts w:hint="eastAsia" w:eastAsia="方正仿宋_GBK"/>
          <w:sz w:val="24"/>
          <w:lang w:val="en-US" w:eastAsia="zh-CN"/>
        </w:rPr>
        <w:t>12</w:t>
      </w:r>
      <w:r>
        <w:rPr>
          <w:rFonts w:eastAsia="方正仿宋_GBK"/>
          <w:sz w:val="24"/>
        </w:rPr>
        <w:t>月</w:t>
      </w:r>
      <w:r>
        <w:rPr>
          <w:rFonts w:hint="eastAsia" w:eastAsia="方正仿宋_GBK"/>
          <w:sz w:val="24"/>
          <w:lang w:val="en-US" w:eastAsia="zh-CN"/>
        </w:rPr>
        <w:t>27</w:t>
      </w:r>
      <w:r>
        <w:rPr>
          <w:rFonts w:hint="eastAsia" w:eastAsia="方正仿宋_GBK"/>
          <w:sz w:val="24"/>
        </w:rPr>
        <w:t xml:space="preserve"> </w:t>
      </w:r>
      <w:r>
        <w:rPr>
          <w:rFonts w:eastAsia="方正仿宋_GBK"/>
          <w:sz w:val="24"/>
        </w:rPr>
        <w:t>日上午11:00（北京时间）</w:t>
      </w:r>
    </w:p>
    <w:p w14:paraId="1E371FC9">
      <w:pPr>
        <w:spacing w:line="400" w:lineRule="exact"/>
        <w:ind w:firstLine="480" w:firstLineChars="200"/>
        <w:rPr>
          <w:rFonts w:eastAsia="方正仿宋_GBK"/>
          <w:sz w:val="24"/>
        </w:rPr>
      </w:pPr>
      <w:r>
        <w:rPr>
          <w:rFonts w:eastAsia="方正仿宋_GBK"/>
          <w:sz w:val="24"/>
        </w:rPr>
        <w:t>投标地点：请登录政采云投标客户端投标</w:t>
      </w:r>
    </w:p>
    <w:p w14:paraId="3CDAC648">
      <w:pPr>
        <w:spacing w:line="400" w:lineRule="exact"/>
        <w:ind w:firstLine="480" w:firstLineChars="200"/>
        <w:rPr>
          <w:rFonts w:eastAsia="方正仿宋_GBK"/>
          <w:sz w:val="24"/>
        </w:rPr>
      </w:pPr>
      <w:r>
        <w:rPr>
          <w:rFonts w:eastAsia="方正仿宋_GBK"/>
          <w:sz w:val="24"/>
        </w:rPr>
        <w:t>开标时间：2024年</w:t>
      </w:r>
      <w:r>
        <w:rPr>
          <w:rFonts w:hint="eastAsia" w:eastAsia="方正仿宋_GBK"/>
          <w:sz w:val="24"/>
          <w:lang w:val="en-US" w:eastAsia="zh-CN"/>
        </w:rPr>
        <w:t>12</w:t>
      </w:r>
      <w:r>
        <w:rPr>
          <w:rFonts w:hint="eastAsia" w:eastAsia="方正仿宋_GBK"/>
          <w:sz w:val="24"/>
        </w:rPr>
        <w:t xml:space="preserve"> </w:t>
      </w:r>
      <w:r>
        <w:rPr>
          <w:rFonts w:eastAsia="方正仿宋_GBK"/>
          <w:sz w:val="24"/>
        </w:rPr>
        <w:t>月</w:t>
      </w:r>
      <w:r>
        <w:rPr>
          <w:rFonts w:hint="eastAsia" w:eastAsia="方正仿宋_GBK"/>
          <w:sz w:val="24"/>
          <w:lang w:val="en-US" w:eastAsia="zh-CN"/>
        </w:rPr>
        <w:t>27</w:t>
      </w:r>
      <w:r>
        <w:rPr>
          <w:rFonts w:hint="eastAsia" w:eastAsia="方正仿宋_GBK"/>
          <w:sz w:val="24"/>
        </w:rPr>
        <w:t xml:space="preserve"> </w:t>
      </w:r>
      <w:r>
        <w:rPr>
          <w:rFonts w:eastAsia="方正仿宋_GBK"/>
          <w:sz w:val="24"/>
        </w:rPr>
        <w:t>日上午11:00（北京时间）</w:t>
      </w:r>
    </w:p>
    <w:p w14:paraId="588503AE">
      <w:pPr>
        <w:keepNext/>
        <w:keepLines/>
        <w:spacing w:line="400" w:lineRule="exact"/>
        <w:ind w:firstLine="480" w:firstLineChars="200"/>
        <w:rPr>
          <w:rFonts w:eastAsia="方正仿宋_GBK"/>
          <w:sz w:val="24"/>
        </w:rPr>
      </w:pPr>
      <w:r>
        <w:rPr>
          <w:rFonts w:eastAsia="方正仿宋_GBK"/>
          <w:sz w:val="24"/>
        </w:rPr>
        <w:t>开标地点：</w:t>
      </w:r>
      <w:bookmarkStart w:id="788" w:name="_Toc28359016"/>
      <w:bookmarkStart w:id="789" w:name="_Toc28359093"/>
      <w:bookmarkStart w:id="790" w:name="_Toc35393802"/>
      <w:bookmarkStart w:id="791" w:name="_Toc35393633"/>
      <w:r>
        <w:rPr>
          <w:rFonts w:eastAsia="方正仿宋_GBK"/>
          <w:sz w:val="24"/>
        </w:rPr>
        <w:t>政采云平台--不见面开标大厅</w:t>
      </w:r>
    </w:p>
    <w:p w14:paraId="0FEDC194">
      <w:pPr>
        <w:keepNext/>
        <w:keepLines/>
        <w:spacing w:line="400" w:lineRule="exact"/>
        <w:rPr>
          <w:rFonts w:eastAsia="方正仿宋_GBK"/>
          <w:b/>
          <w:sz w:val="24"/>
        </w:rPr>
      </w:pPr>
      <w:r>
        <w:rPr>
          <w:rFonts w:eastAsia="方正仿宋_GBK"/>
          <w:b/>
          <w:sz w:val="24"/>
        </w:rPr>
        <w:t>五、</w:t>
      </w:r>
      <w:bookmarkEnd w:id="788"/>
      <w:bookmarkEnd w:id="789"/>
      <w:bookmarkEnd w:id="790"/>
      <w:bookmarkEnd w:id="791"/>
      <w:bookmarkStart w:id="792" w:name="_Toc28359017"/>
      <w:bookmarkStart w:id="793" w:name="_Toc35393634"/>
      <w:bookmarkStart w:id="794" w:name="_Toc28359094"/>
      <w:bookmarkStart w:id="795" w:name="_Toc35393803"/>
      <w:r>
        <w:rPr>
          <w:rFonts w:eastAsia="方正仿宋_GBK"/>
          <w:b/>
          <w:sz w:val="24"/>
        </w:rPr>
        <w:t>公告期限</w:t>
      </w:r>
      <w:bookmarkEnd w:id="792"/>
      <w:bookmarkEnd w:id="793"/>
      <w:bookmarkEnd w:id="794"/>
      <w:bookmarkEnd w:id="795"/>
    </w:p>
    <w:p w14:paraId="19CE07A2">
      <w:pPr>
        <w:spacing w:line="400" w:lineRule="exact"/>
        <w:ind w:firstLine="480" w:firstLineChars="200"/>
        <w:rPr>
          <w:rFonts w:eastAsia="方正仿宋_GBK"/>
          <w:kern w:val="0"/>
          <w:sz w:val="24"/>
        </w:rPr>
      </w:pPr>
      <w:r>
        <w:rPr>
          <w:rFonts w:eastAsia="方正仿宋_GBK"/>
          <w:kern w:val="0"/>
          <w:sz w:val="24"/>
        </w:rPr>
        <w:t>自本公告发布之日起5个工作日。</w:t>
      </w:r>
    </w:p>
    <w:p w14:paraId="157784AA">
      <w:pPr>
        <w:keepNext/>
        <w:keepLines/>
        <w:spacing w:line="400" w:lineRule="exact"/>
        <w:rPr>
          <w:rFonts w:eastAsia="方正仿宋_GBK"/>
          <w:b/>
          <w:sz w:val="24"/>
        </w:rPr>
      </w:pPr>
      <w:r>
        <w:rPr>
          <w:rFonts w:eastAsia="方正仿宋_GBK"/>
          <w:b/>
          <w:sz w:val="24"/>
        </w:rPr>
        <w:t>六、其他补充事宜</w:t>
      </w:r>
    </w:p>
    <w:p w14:paraId="7291C64F">
      <w:pPr>
        <w:spacing w:line="400" w:lineRule="exact"/>
        <w:ind w:left="105" w:firstLine="480" w:firstLineChars="200"/>
        <w:rPr>
          <w:rFonts w:eastAsia="方正仿宋_GBK"/>
          <w:sz w:val="24"/>
        </w:rPr>
      </w:pPr>
      <w:bookmarkStart w:id="796" w:name="_Toc35393635"/>
      <w:bookmarkStart w:id="797" w:name="_Toc35393804"/>
      <w:r>
        <w:rPr>
          <w:rFonts w:eastAsia="方正仿宋_GBK"/>
          <w:sz w:val="24"/>
        </w:rPr>
        <w:t>1、本项目为电子招投标，供应商需要使用 CA 加密设备，凡参加本项目必须可自主通过新疆 CA 申领渠道“新疆政务通”申请政采云平台可使用的 CA 设备， 如原有兵团或公共资源使用的 CA，可与新疆 CA 联系，申请增加电子证书即可，无需重复申领。如需咨询，请联系新疆CA服务热线0991-2819290。</w:t>
      </w:r>
    </w:p>
    <w:p w14:paraId="5B2A5159">
      <w:pPr>
        <w:spacing w:line="400" w:lineRule="exact"/>
        <w:ind w:left="105" w:firstLine="480" w:firstLineChars="200"/>
        <w:rPr>
          <w:rFonts w:eastAsia="方正仿宋_GBK"/>
          <w:sz w:val="24"/>
        </w:rPr>
      </w:pPr>
      <w:r>
        <w:rPr>
          <w:rFonts w:eastAsia="方正仿宋_GBK"/>
          <w:sz w:val="24"/>
        </w:rPr>
        <w:t>2、本项目实行网上投标，采用电子响应文件(供应商须使用 CA 加密设备通过政采云电子投标客户端制作响应文件)。若供应商参与投标，自行承担投标一切费用。</w:t>
      </w:r>
    </w:p>
    <w:p w14:paraId="738D4580">
      <w:pPr>
        <w:spacing w:line="400" w:lineRule="exact"/>
        <w:ind w:left="105" w:firstLine="480" w:firstLineChars="200"/>
        <w:rPr>
          <w:rFonts w:eastAsia="方正仿宋_GBK"/>
          <w:sz w:val="24"/>
        </w:rPr>
      </w:pPr>
      <w:r>
        <w:rPr>
          <w:rFonts w:eastAsia="方正仿宋_GBK"/>
          <w:sz w:val="24"/>
        </w:rPr>
        <w:t>3、各供应商应在开标前应确保成为新疆政府采购网正式注册入库供应商，并完成 CA 数字证书申领。因未注册入库、未办理 CA 数字证书等原因造成无法投标或投标失败等后果由供应商自行承担。</w:t>
      </w:r>
    </w:p>
    <w:p w14:paraId="458565EF">
      <w:pPr>
        <w:spacing w:line="400" w:lineRule="exact"/>
        <w:ind w:left="105" w:firstLine="480" w:firstLineChars="200"/>
        <w:rPr>
          <w:rFonts w:eastAsia="方正仿宋_GBK"/>
          <w:sz w:val="24"/>
        </w:rPr>
      </w:pPr>
      <w:r>
        <w:rPr>
          <w:rFonts w:eastAsia="方正仿宋_GBK"/>
          <w:sz w:val="24"/>
        </w:rPr>
        <w:t>4、供应商将政采云电子交易客户端下载、安装完成后，可通过账号密码或CA 登录客户端进行响应文件制作。在使用政采云投标客户端时，建议使用 WIN7 及 以 上 操 作 系 统 。 客 户 端 请 至 新 疆 政 府 采 购 网</w:t>
      </w:r>
      <w:r>
        <w:fldChar w:fldCharType="begin"/>
      </w:r>
      <w:r>
        <w:instrText xml:space="preserve"> HYPERLINK "http://www.ccgp-xinjiang.gov.cn/" \h </w:instrText>
      </w:r>
      <w:r>
        <w:fldChar w:fldCharType="separate"/>
      </w:r>
      <w:r>
        <w:rPr>
          <w:rFonts w:eastAsia="方正仿宋_GBK"/>
          <w:sz w:val="24"/>
        </w:rPr>
        <w:t>（http://www.ccgp-xinjiang.gov.cn/</w:t>
      </w:r>
      <w:r>
        <w:rPr>
          <w:rFonts w:eastAsia="方正仿宋_GBK"/>
          <w:sz w:val="24"/>
        </w:rPr>
        <w:fldChar w:fldCharType="end"/>
      </w:r>
      <w:r>
        <w:rPr>
          <w:rFonts w:eastAsia="方正仿宋_GBK"/>
          <w:sz w:val="24"/>
        </w:rPr>
        <w:t>）下载专区查看，如有问题可拨打政采云客户服务热线400-881-7190进行咨询。</w:t>
      </w:r>
    </w:p>
    <w:p w14:paraId="016B3A1D">
      <w:pPr>
        <w:pStyle w:val="97"/>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5、供应商在开标时须使用制作加密电子响应文件所使用的 CA 锁及电脑，电脑须提前配置好浏览器（建议使用谷歌浏览器），以便开标时解锁。</w:t>
      </w:r>
    </w:p>
    <w:p w14:paraId="228E63BE">
      <w:pPr>
        <w:pStyle w:val="97"/>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6、投标保证金缴纳及确认时间：凡拟参加本次招标项目的供应商，必须在开标前将投标保证金汇入指定账户。投标保证金汇款凭证上用途栏应注明:招标项目名称+项目编号+标项号+投标保证金。否则，届时其投标将被拒绝。</w:t>
      </w:r>
    </w:p>
    <w:p w14:paraId="5760235F">
      <w:pPr>
        <w:pStyle w:val="97"/>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7、供 应 商 对 不 见 面 开 评 标 系 统 的 技 术 操 作 咨 询 ， 可 通 过https://edu.zcygov.cn/luban/xinjiang-e-biding 自助查询，也可在政采云帮助中心 常见问题解答和操作流程讲解视频中自助查询，网址为：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360B5E2">
      <w:pPr>
        <w:pStyle w:val="97"/>
        <w:spacing w:line="400" w:lineRule="exact"/>
        <w:ind w:firstLine="0" w:firstLineChars="0"/>
        <w:rPr>
          <w:rFonts w:ascii="Times New Roman" w:hAnsi="Times New Roman" w:eastAsia="方正仿宋_GBK"/>
          <w:b/>
          <w:bCs/>
          <w:sz w:val="24"/>
        </w:rPr>
      </w:pPr>
      <w:r>
        <w:rPr>
          <w:rFonts w:ascii="Times New Roman" w:hAnsi="Times New Roman" w:eastAsia="方正仿宋_GBK"/>
          <w:b/>
          <w:bCs/>
          <w:sz w:val="24"/>
        </w:rPr>
        <w:t>特别注意：</w:t>
      </w:r>
    </w:p>
    <w:p w14:paraId="2AAD2A21">
      <w:pPr>
        <w:spacing w:line="400" w:lineRule="exact"/>
        <w:ind w:firstLine="480" w:firstLineChars="200"/>
        <w:rPr>
          <w:rFonts w:eastAsia="方正仿宋_GBK"/>
          <w:kern w:val="0"/>
          <w:sz w:val="24"/>
        </w:rPr>
      </w:pPr>
      <w:r>
        <w:rPr>
          <w:rFonts w:eastAsia="方正仿宋_GBK"/>
          <w:kern w:val="0"/>
          <w:sz w:val="24"/>
        </w:rPr>
        <w:t>1、超过200万元的货物和服务采购项目、超过400万元的工程采购项目中适宜由中小企业提供的，预留该部分采购项目预算总额的30%以上专门面向中小企业采购，其中预留给小微企业的比例不低于60%。</w:t>
      </w:r>
    </w:p>
    <w:p w14:paraId="596746B9">
      <w:pPr>
        <w:spacing w:line="400" w:lineRule="exact"/>
        <w:ind w:firstLine="480" w:firstLineChars="200"/>
        <w:rPr>
          <w:rFonts w:eastAsia="方正仿宋_GBK"/>
          <w:kern w:val="0"/>
          <w:sz w:val="24"/>
        </w:rPr>
      </w:pPr>
      <w:r>
        <w:rPr>
          <w:rFonts w:eastAsia="方正仿宋_GBK"/>
          <w:kern w:val="0"/>
          <w:sz w:val="24"/>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3748FE08">
      <w:pPr>
        <w:pStyle w:val="28"/>
        <w:spacing w:line="400" w:lineRule="exact"/>
        <w:ind w:firstLine="480" w:firstLineChars="200"/>
        <w:rPr>
          <w:rFonts w:eastAsia="方正仿宋_GBK"/>
          <w:b/>
          <w:sz w:val="24"/>
        </w:rPr>
      </w:pPr>
      <w:r>
        <w:rPr>
          <w:rFonts w:eastAsia="方正仿宋_GBK"/>
          <w:kern w:val="0"/>
          <w:sz w:val="24"/>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0C7A5DC0">
      <w:pPr>
        <w:pStyle w:val="28"/>
        <w:spacing w:line="400" w:lineRule="exact"/>
        <w:rPr>
          <w:rFonts w:eastAsia="方正仿宋_GBK"/>
          <w:b/>
          <w:sz w:val="24"/>
        </w:rPr>
      </w:pPr>
      <w:r>
        <w:rPr>
          <w:rFonts w:eastAsia="方正仿宋_GBK"/>
          <w:b/>
          <w:sz w:val="24"/>
        </w:rPr>
        <w:t>七、</w:t>
      </w:r>
      <w:bookmarkEnd w:id="796"/>
      <w:bookmarkEnd w:id="797"/>
      <w:bookmarkStart w:id="798" w:name="_Toc35393636"/>
      <w:bookmarkStart w:id="799" w:name="_Toc28359095"/>
      <w:bookmarkStart w:id="800" w:name="_Toc35393805"/>
      <w:bookmarkStart w:id="801" w:name="_Toc28359018"/>
      <w:r>
        <w:rPr>
          <w:rFonts w:eastAsia="方正仿宋_GBK"/>
          <w:b/>
          <w:sz w:val="24"/>
        </w:rPr>
        <w:t>凡对本次采购提出询问，请按以下方式联系。</w:t>
      </w:r>
      <w:bookmarkEnd w:id="798"/>
      <w:bookmarkEnd w:id="799"/>
      <w:bookmarkEnd w:id="800"/>
      <w:bookmarkEnd w:id="801"/>
      <w:bookmarkStart w:id="802" w:name="_Toc28359019"/>
      <w:bookmarkStart w:id="803" w:name="_Toc28359096"/>
      <w:bookmarkStart w:id="804" w:name="_Toc4002"/>
      <w:bookmarkStart w:id="805" w:name="_Toc35393637"/>
      <w:bookmarkStart w:id="806" w:name="_Toc35393806"/>
    </w:p>
    <w:bookmarkEnd w:id="802"/>
    <w:bookmarkEnd w:id="803"/>
    <w:bookmarkEnd w:id="804"/>
    <w:bookmarkEnd w:id="805"/>
    <w:bookmarkEnd w:id="806"/>
    <w:p w14:paraId="6EB00CB9">
      <w:pPr>
        <w:pStyle w:val="28"/>
        <w:spacing w:line="400" w:lineRule="exact"/>
        <w:ind w:firstLine="480" w:firstLineChars="200"/>
        <w:rPr>
          <w:rFonts w:eastAsia="方正仿宋_GBK"/>
          <w:bCs/>
          <w:sz w:val="24"/>
        </w:rPr>
      </w:pPr>
      <w:r>
        <w:rPr>
          <w:rFonts w:eastAsia="方正仿宋_GBK"/>
          <w:bCs/>
          <w:sz w:val="24"/>
        </w:rPr>
        <w:t>1.采购人信息</w:t>
      </w:r>
      <w:bookmarkStart w:id="807" w:name="_Toc29470"/>
      <w:bookmarkStart w:id="808" w:name="_Toc35393807"/>
      <w:bookmarkStart w:id="809" w:name="_Toc28359097"/>
      <w:bookmarkStart w:id="810" w:name="_Toc35393638"/>
      <w:bookmarkStart w:id="811" w:name="_Toc28359020"/>
    </w:p>
    <w:p w14:paraId="2A59A9D2">
      <w:pPr>
        <w:pStyle w:val="28"/>
        <w:spacing w:line="400" w:lineRule="exact"/>
        <w:ind w:firstLine="480" w:firstLineChars="200"/>
        <w:rPr>
          <w:rFonts w:eastAsia="方正仿宋_GBK"/>
          <w:bCs/>
          <w:sz w:val="24"/>
        </w:rPr>
      </w:pPr>
      <w:r>
        <w:rPr>
          <w:rFonts w:eastAsia="方正仿宋_GBK"/>
          <w:bCs/>
          <w:sz w:val="24"/>
        </w:rPr>
        <w:t>单位名称：</w:t>
      </w:r>
      <w:bookmarkEnd w:id="807"/>
      <w:bookmarkStart w:id="812" w:name="_Toc21820"/>
      <w:r>
        <w:rPr>
          <w:rFonts w:hint="eastAsia" w:eastAsia="方正仿宋_GBK"/>
          <w:bCs/>
          <w:sz w:val="24"/>
        </w:rPr>
        <w:t>莎车县人民医院</w:t>
      </w:r>
    </w:p>
    <w:bookmarkEnd w:id="812"/>
    <w:p w14:paraId="08FC0C56">
      <w:pPr>
        <w:pStyle w:val="28"/>
        <w:spacing w:line="400" w:lineRule="exact"/>
        <w:ind w:firstLine="480" w:firstLineChars="200"/>
        <w:rPr>
          <w:rFonts w:eastAsia="方正仿宋_GBK"/>
          <w:bCs/>
          <w:sz w:val="24"/>
        </w:rPr>
      </w:pPr>
      <w:bookmarkStart w:id="813" w:name="_Toc7391"/>
      <w:r>
        <w:rPr>
          <w:rFonts w:eastAsia="方正仿宋_GBK"/>
          <w:bCs/>
          <w:sz w:val="24"/>
        </w:rPr>
        <w:t>联 系 人：</w:t>
      </w:r>
      <w:bookmarkEnd w:id="813"/>
      <w:r>
        <w:rPr>
          <w:rFonts w:hint="eastAsia" w:eastAsia="方正仿宋_GBK"/>
          <w:bCs/>
          <w:sz w:val="24"/>
        </w:rPr>
        <w:t>刘红</w:t>
      </w:r>
    </w:p>
    <w:p w14:paraId="44DB4538">
      <w:pPr>
        <w:spacing w:line="400" w:lineRule="exact"/>
        <w:ind w:firstLine="480" w:firstLineChars="200"/>
        <w:jc w:val="left"/>
        <w:rPr>
          <w:rFonts w:eastAsia="方正仿宋_GBK"/>
          <w:bCs/>
          <w:sz w:val="24"/>
        </w:rPr>
      </w:pPr>
      <w:bookmarkStart w:id="814" w:name="_Toc242"/>
      <w:r>
        <w:rPr>
          <w:rFonts w:eastAsia="方正仿宋_GBK"/>
          <w:bCs/>
          <w:sz w:val="24"/>
        </w:rPr>
        <w:t>联系方式：</w:t>
      </w:r>
      <w:bookmarkEnd w:id="814"/>
      <w:bookmarkStart w:id="815" w:name="_Toc24525"/>
      <w:bookmarkStart w:id="816" w:name="_Toc1170"/>
      <w:r>
        <w:rPr>
          <w:rFonts w:hint="eastAsia" w:eastAsia="方正仿宋_GBK"/>
          <w:bCs/>
          <w:sz w:val="24"/>
        </w:rPr>
        <w:t>0998-8525130</w:t>
      </w:r>
    </w:p>
    <w:p w14:paraId="1F74E9DC">
      <w:pPr>
        <w:spacing w:line="400" w:lineRule="exact"/>
        <w:ind w:firstLine="480" w:firstLineChars="200"/>
        <w:jc w:val="left"/>
        <w:rPr>
          <w:rFonts w:eastAsia="方正仿宋_GBK"/>
          <w:bCs/>
          <w:sz w:val="24"/>
        </w:rPr>
      </w:pPr>
      <w:r>
        <w:rPr>
          <w:rFonts w:eastAsia="方正仿宋_GBK"/>
          <w:bCs/>
          <w:sz w:val="24"/>
        </w:rPr>
        <w:t>2.采购代理机构信息</w:t>
      </w:r>
      <w:bookmarkEnd w:id="808"/>
      <w:bookmarkEnd w:id="809"/>
      <w:bookmarkEnd w:id="810"/>
      <w:bookmarkEnd w:id="811"/>
      <w:bookmarkEnd w:id="815"/>
      <w:bookmarkEnd w:id="816"/>
    </w:p>
    <w:p w14:paraId="680122A8">
      <w:pPr>
        <w:spacing w:before="19" w:line="400" w:lineRule="exact"/>
        <w:ind w:firstLine="480" w:firstLineChars="200"/>
        <w:rPr>
          <w:rFonts w:eastAsia="方正仿宋_GBK"/>
          <w:bCs/>
          <w:sz w:val="24"/>
        </w:rPr>
      </w:pPr>
      <w:r>
        <w:rPr>
          <w:rFonts w:eastAsia="方正仿宋_GBK"/>
          <w:bCs/>
          <w:sz w:val="24"/>
        </w:rPr>
        <w:t>单位名称：莎车县政府采购中心</w:t>
      </w:r>
    </w:p>
    <w:p w14:paraId="37770876">
      <w:pPr>
        <w:spacing w:before="19" w:line="400" w:lineRule="exact"/>
        <w:ind w:firstLine="480" w:firstLineChars="200"/>
        <w:rPr>
          <w:rFonts w:eastAsia="方正仿宋_GBK"/>
          <w:bCs/>
          <w:sz w:val="24"/>
        </w:rPr>
      </w:pPr>
      <w:r>
        <w:rPr>
          <w:rFonts w:eastAsia="方正仿宋_GBK"/>
          <w:bCs/>
          <w:sz w:val="24"/>
        </w:rPr>
        <w:t>联 系 人：</w:t>
      </w:r>
      <w:r>
        <w:rPr>
          <w:rFonts w:hint="eastAsia" w:eastAsia="方正仿宋_GBK"/>
          <w:bCs/>
          <w:sz w:val="24"/>
        </w:rPr>
        <w:t>田莉</w:t>
      </w:r>
    </w:p>
    <w:p w14:paraId="6D9EC64C">
      <w:pPr>
        <w:spacing w:before="19" w:line="400" w:lineRule="exact"/>
        <w:ind w:firstLine="480" w:firstLineChars="200"/>
        <w:rPr>
          <w:rFonts w:eastAsia="方正仿宋_GBK"/>
          <w:bCs/>
          <w:sz w:val="24"/>
        </w:rPr>
      </w:pPr>
      <w:r>
        <w:rPr>
          <w:rFonts w:eastAsia="方正仿宋_GBK"/>
          <w:bCs/>
          <w:sz w:val="24"/>
        </w:rPr>
        <w:t>联系方式：0998-8512672</w:t>
      </w:r>
    </w:p>
    <w:p w14:paraId="50EC57E2">
      <w:pPr>
        <w:spacing w:before="19" w:line="400" w:lineRule="exact"/>
        <w:ind w:firstLine="480" w:firstLineChars="200"/>
        <w:rPr>
          <w:rFonts w:eastAsia="方正仿宋_GBK"/>
          <w:bCs/>
          <w:sz w:val="24"/>
        </w:rPr>
      </w:pPr>
      <w:r>
        <w:rPr>
          <w:rFonts w:eastAsia="方正仿宋_GBK"/>
          <w:bCs/>
          <w:sz w:val="24"/>
        </w:rPr>
        <w:t>3.政府采购监督管理部门</w:t>
      </w:r>
    </w:p>
    <w:p w14:paraId="272D2FF5">
      <w:pPr>
        <w:spacing w:before="24" w:line="400" w:lineRule="exact"/>
        <w:ind w:firstLine="480" w:firstLineChars="200"/>
        <w:rPr>
          <w:rFonts w:eastAsia="方正仿宋_GBK"/>
          <w:bCs/>
          <w:sz w:val="24"/>
        </w:rPr>
      </w:pPr>
      <w:r>
        <w:rPr>
          <w:rFonts w:eastAsia="方正仿宋_GBK"/>
          <w:bCs/>
          <w:sz w:val="24"/>
        </w:rPr>
        <w:t>单位名称：莎车县财政局采购办</w:t>
      </w:r>
    </w:p>
    <w:p w14:paraId="17583E31">
      <w:pPr>
        <w:spacing w:before="1" w:line="400" w:lineRule="exact"/>
        <w:ind w:firstLine="480" w:firstLineChars="200"/>
        <w:rPr>
          <w:rFonts w:eastAsia="方正仿宋_GBK"/>
          <w:bCs/>
          <w:sz w:val="24"/>
        </w:rPr>
      </w:pPr>
      <w:r>
        <w:rPr>
          <w:rFonts w:eastAsia="方正仿宋_GBK"/>
          <w:bCs/>
          <w:sz w:val="24"/>
        </w:rPr>
        <w:t>联 系 人：丁洪</w:t>
      </w:r>
    </w:p>
    <w:p w14:paraId="286B0D8E">
      <w:pPr>
        <w:spacing w:before="20" w:line="400" w:lineRule="exact"/>
        <w:ind w:firstLine="480" w:firstLineChars="200"/>
        <w:rPr>
          <w:rFonts w:eastAsia="方正仿宋_GBK"/>
          <w:bCs/>
          <w:sz w:val="24"/>
        </w:rPr>
      </w:pPr>
      <w:r>
        <w:rPr>
          <w:rFonts w:eastAsia="方正仿宋_GBK"/>
          <w:bCs/>
          <w:sz w:val="24"/>
        </w:rPr>
        <w:t>联系方式：0998-8512578</w:t>
      </w:r>
    </w:p>
    <w:p w14:paraId="1854F15B">
      <w:pPr>
        <w:pStyle w:val="28"/>
        <w:spacing w:line="400" w:lineRule="exact"/>
        <w:ind w:firstLine="480" w:firstLineChars="200"/>
        <w:rPr>
          <w:rFonts w:eastAsia="方正仿宋_GBK"/>
          <w:bCs/>
          <w:sz w:val="24"/>
        </w:rPr>
      </w:pPr>
    </w:p>
    <w:p w14:paraId="20B0E409">
      <w:pPr>
        <w:spacing w:line="400" w:lineRule="exact"/>
        <w:rPr>
          <w:rFonts w:eastAsia="方正仿宋_GBK"/>
          <w:sz w:val="24"/>
        </w:rPr>
      </w:pPr>
    </w:p>
    <w:p w14:paraId="1CABAC08">
      <w:pPr>
        <w:pStyle w:val="34"/>
        <w:widowControl/>
        <w:shd w:val="clear" w:color="auto" w:fill="FFFFFF"/>
        <w:spacing w:before="0" w:after="0" w:line="400" w:lineRule="exact"/>
        <w:ind w:firstLine="480" w:firstLineChars="200"/>
        <w:rPr>
          <w:rFonts w:eastAsia="方正仿宋_GBK"/>
        </w:rPr>
      </w:pPr>
    </w:p>
    <w:p w14:paraId="4764EF38">
      <w:pPr>
        <w:jc w:val="center"/>
        <w:rPr>
          <w:rFonts w:ascii="方正仿宋_GBK" w:hAnsi="方正仿宋_GBK" w:eastAsia="方正仿宋_GBK" w:cs="方正仿宋_GBK"/>
          <w:b/>
          <w:bCs/>
          <w:sz w:val="32"/>
          <w:szCs w:val="32"/>
        </w:rPr>
      </w:pPr>
      <w:bookmarkStart w:id="817" w:name="_Toc1157"/>
      <w:r>
        <w:rPr>
          <w:rFonts w:ascii="方正仿宋_GBK" w:hAnsi="方正仿宋_GBK" w:eastAsia="方正仿宋_GBK" w:cs="方正仿宋_GBK"/>
          <w:b/>
          <w:bCs/>
          <w:sz w:val="32"/>
          <w:szCs w:val="32"/>
        </w:rPr>
        <w:t>第4章  供应商须知资料表</w:t>
      </w:r>
      <w:bookmarkEnd w:id="769"/>
      <w:bookmarkEnd w:id="770"/>
      <w:bookmarkEnd w:id="771"/>
      <w:bookmarkEnd w:id="772"/>
      <w:bookmarkEnd w:id="773"/>
      <w:bookmarkEnd w:id="774"/>
      <w:bookmarkEnd w:id="817"/>
    </w:p>
    <w:p w14:paraId="3514FEA7">
      <w:pPr>
        <w:snapToGrid w:val="0"/>
        <w:spacing w:line="240" w:lineRule="atLeast"/>
        <w:ind w:firstLine="360" w:firstLineChars="150"/>
        <w:textAlignment w:val="baseline"/>
        <w:rPr>
          <w:rFonts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方正仿宋_GBK" w:hAnsi="方正仿宋_GBK" w:eastAsia="方正仿宋_GBK" w:cs="方正仿宋_GBK"/>
          <w:sz w:val="24"/>
        </w:rPr>
        <w:t>本表是本采购项目的具体资料，是对供应商须知的具体补充和修改，如有矛盾，应以本资料表为准。</w:t>
      </w:r>
    </w:p>
    <w:tbl>
      <w:tblPr>
        <w:tblStyle w:val="38"/>
        <w:tblW w:w="9510" w:type="dxa"/>
        <w:tblInd w:w="-49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95"/>
        <w:gridCol w:w="8115"/>
      </w:tblGrid>
      <w:tr w14:paraId="14A0E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1395" w:type="dxa"/>
            <w:vAlign w:val="center"/>
          </w:tcPr>
          <w:p w14:paraId="6B03F29E">
            <w:pPr>
              <w:snapToGrid w:val="0"/>
              <w:jc w:val="center"/>
              <w:textAlignment w:val="baseline"/>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条款号</w:t>
            </w:r>
          </w:p>
        </w:tc>
        <w:tc>
          <w:tcPr>
            <w:tcW w:w="8115" w:type="dxa"/>
            <w:vAlign w:val="center"/>
          </w:tcPr>
          <w:p w14:paraId="1CC4E311">
            <w:pPr>
              <w:snapToGrid w:val="0"/>
              <w:jc w:val="center"/>
              <w:textAlignment w:val="baseline"/>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内      容</w:t>
            </w:r>
          </w:p>
        </w:tc>
      </w:tr>
      <w:tr w14:paraId="7C5CD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6" w:hRule="atLeast"/>
        </w:trPr>
        <w:tc>
          <w:tcPr>
            <w:tcW w:w="1395" w:type="dxa"/>
            <w:vAlign w:val="center"/>
          </w:tcPr>
          <w:p w14:paraId="68A39B0A">
            <w:pPr>
              <w:snapToGrid w:val="0"/>
              <w:jc w:val="center"/>
              <w:textAlignment w:val="baseline"/>
              <w:rPr>
                <w:rFonts w:eastAsia="方正仿宋_GBK"/>
                <w:sz w:val="24"/>
              </w:rPr>
            </w:pPr>
            <w:r>
              <w:rPr>
                <w:rFonts w:eastAsia="方正仿宋_GBK"/>
                <w:sz w:val="24"/>
              </w:rPr>
              <w:t>1.1</w:t>
            </w:r>
          </w:p>
        </w:tc>
        <w:tc>
          <w:tcPr>
            <w:tcW w:w="8115" w:type="dxa"/>
            <w:vAlign w:val="center"/>
          </w:tcPr>
          <w:p w14:paraId="6C3FD301">
            <w:pPr>
              <w:pStyle w:val="34"/>
              <w:widowControl/>
              <w:snapToGrid w:val="0"/>
              <w:spacing w:before="0" w:after="0"/>
              <w:textAlignment w:val="baseline"/>
              <w:rPr>
                <w:rFonts w:eastAsia="方正仿宋_GBK"/>
              </w:rPr>
            </w:pPr>
            <w:r>
              <w:rPr>
                <w:rFonts w:eastAsia="方正仿宋_GBK"/>
              </w:rPr>
              <w:t>采购单位：</w:t>
            </w:r>
            <w:r>
              <w:rPr>
                <w:rFonts w:hint="eastAsia" w:eastAsia="方正仿宋_GBK"/>
              </w:rPr>
              <w:t>莎车县人民医院</w:t>
            </w:r>
          </w:p>
          <w:p w14:paraId="5F8EDD07">
            <w:pPr>
              <w:pStyle w:val="34"/>
              <w:widowControl/>
              <w:snapToGrid w:val="0"/>
              <w:spacing w:before="0" w:after="0"/>
              <w:textAlignment w:val="baseline"/>
              <w:rPr>
                <w:rFonts w:eastAsia="方正仿宋_GBK"/>
              </w:rPr>
            </w:pPr>
            <w:r>
              <w:rPr>
                <w:rFonts w:eastAsia="方正仿宋_GBK"/>
              </w:rPr>
              <w:t>联 系 人：</w:t>
            </w:r>
            <w:r>
              <w:rPr>
                <w:rFonts w:hint="eastAsia" w:eastAsia="方正仿宋_GBK"/>
              </w:rPr>
              <w:t>刘红</w:t>
            </w:r>
            <w:r>
              <w:rPr>
                <w:rFonts w:eastAsia="方正仿宋_GBK"/>
              </w:rPr>
              <w:t xml:space="preserve">   </w:t>
            </w:r>
          </w:p>
          <w:p w14:paraId="28717091">
            <w:pPr>
              <w:pStyle w:val="34"/>
              <w:widowControl/>
              <w:snapToGrid w:val="0"/>
              <w:spacing w:before="0" w:after="0"/>
              <w:textAlignment w:val="baseline"/>
              <w:rPr>
                <w:rFonts w:eastAsia="方正仿宋_GBK"/>
              </w:rPr>
            </w:pPr>
            <w:r>
              <w:rPr>
                <w:rFonts w:eastAsia="方正仿宋_GBK"/>
              </w:rPr>
              <w:t>联系电话：</w:t>
            </w:r>
            <w:r>
              <w:rPr>
                <w:rFonts w:hint="eastAsia" w:eastAsia="方正仿宋_GBK"/>
              </w:rPr>
              <w:t>0998-8525130</w:t>
            </w:r>
          </w:p>
        </w:tc>
      </w:tr>
      <w:tr w14:paraId="2C114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95" w:type="dxa"/>
            <w:vAlign w:val="center"/>
          </w:tcPr>
          <w:p w14:paraId="5574632B">
            <w:pPr>
              <w:snapToGrid w:val="0"/>
              <w:jc w:val="center"/>
              <w:textAlignment w:val="baseline"/>
              <w:rPr>
                <w:rFonts w:eastAsia="方正仿宋_GBK"/>
                <w:sz w:val="24"/>
              </w:rPr>
            </w:pPr>
            <w:r>
              <w:rPr>
                <w:rFonts w:eastAsia="方正仿宋_GBK"/>
                <w:sz w:val="24"/>
              </w:rPr>
              <w:t>1.2</w:t>
            </w:r>
          </w:p>
        </w:tc>
        <w:tc>
          <w:tcPr>
            <w:tcW w:w="8115" w:type="dxa"/>
            <w:vAlign w:val="center"/>
          </w:tcPr>
          <w:p w14:paraId="2981DDC2">
            <w:pPr>
              <w:widowControl/>
              <w:snapToGrid w:val="0"/>
              <w:jc w:val="left"/>
              <w:textAlignment w:val="baseline"/>
              <w:rPr>
                <w:rFonts w:eastAsia="方正仿宋_GBK"/>
                <w:sz w:val="24"/>
              </w:rPr>
            </w:pPr>
            <w:r>
              <w:rPr>
                <w:rFonts w:eastAsia="方正仿宋_GBK"/>
                <w:sz w:val="24"/>
              </w:rPr>
              <w:t>采购代理机构：莎车县政府采购中心</w:t>
            </w:r>
          </w:p>
          <w:p w14:paraId="1ECD11CC">
            <w:pPr>
              <w:widowControl/>
              <w:snapToGrid w:val="0"/>
              <w:jc w:val="left"/>
              <w:textAlignment w:val="baseline"/>
              <w:rPr>
                <w:rFonts w:eastAsia="方正仿宋_GBK"/>
                <w:sz w:val="24"/>
              </w:rPr>
            </w:pPr>
            <w:r>
              <w:rPr>
                <w:rFonts w:eastAsia="方正仿宋_GBK"/>
                <w:sz w:val="24"/>
              </w:rPr>
              <w:t>联 系 人：</w:t>
            </w:r>
            <w:r>
              <w:rPr>
                <w:rFonts w:hint="eastAsia" w:eastAsia="方正仿宋_GBK"/>
                <w:sz w:val="24"/>
              </w:rPr>
              <w:t>田莉</w:t>
            </w:r>
          </w:p>
          <w:p w14:paraId="1C3ABDFE">
            <w:pPr>
              <w:widowControl/>
              <w:snapToGrid w:val="0"/>
              <w:jc w:val="left"/>
              <w:textAlignment w:val="baseline"/>
              <w:rPr>
                <w:rFonts w:eastAsia="方正仿宋_GBK"/>
                <w:sz w:val="24"/>
              </w:rPr>
            </w:pPr>
            <w:r>
              <w:rPr>
                <w:rFonts w:eastAsia="方正仿宋_GBK"/>
                <w:sz w:val="24"/>
              </w:rPr>
              <w:t>联系方式：0998-8512672</w:t>
            </w:r>
          </w:p>
        </w:tc>
      </w:tr>
      <w:tr w14:paraId="6B2A4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1395" w:type="dxa"/>
            <w:vAlign w:val="center"/>
          </w:tcPr>
          <w:p w14:paraId="4A5E7647">
            <w:pPr>
              <w:snapToGrid w:val="0"/>
              <w:jc w:val="center"/>
              <w:textAlignment w:val="baseline"/>
              <w:rPr>
                <w:rFonts w:eastAsia="方正仿宋_GBK"/>
                <w:sz w:val="24"/>
              </w:rPr>
            </w:pPr>
            <w:r>
              <w:rPr>
                <w:rFonts w:eastAsia="方正仿宋_GBK"/>
                <w:sz w:val="24"/>
              </w:rPr>
              <w:t>1.3.4</w:t>
            </w:r>
          </w:p>
        </w:tc>
        <w:tc>
          <w:tcPr>
            <w:tcW w:w="8115" w:type="dxa"/>
            <w:vAlign w:val="center"/>
          </w:tcPr>
          <w:p w14:paraId="017677CB">
            <w:pPr>
              <w:snapToGrid w:val="0"/>
              <w:textAlignment w:val="baseline"/>
              <w:rPr>
                <w:rFonts w:eastAsia="方正仿宋_GBK"/>
                <w:b/>
                <w:bCs/>
                <w:sz w:val="24"/>
              </w:rPr>
            </w:pPr>
            <w:r>
              <w:rPr>
                <w:rFonts w:eastAsia="方正仿宋_GBK"/>
                <w:b/>
                <w:bCs/>
                <w:sz w:val="24"/>
              </w:rPr>
              <w:t>合格供应商的资格要求：</w:t>
            </w:r>
          </w:p>
          <w:p w14:paraId="6CCEB2FF">
            <w:pPr>
              <w:snapToGrid w:val="0"/>
              <w:spacing w:line="380" w:lineRule="exact"/>
              <w:jc w:val="left"/>
              <w:textAlignment w:val="baseline"/>
              <w:rPr>
                <w:rFonts w:eastAsia="方正仿宋_GBK"/>
                <w:sz w:val="24"/>
              </w:rPr>
            </w:pPr>
            <w:r>
              <w:rPr>
                <w:rFonts w:eastAsia="方正仿宋_GBK"/>
                <w:sz w:val="24"/>
              </w:rPr>
              <w:t>符合《中华人民共和国政府采购法》第二十二条的规定：</w:t>
            </w:r>
          </w:p>
          <w:p w14:paraId="7D8FB9E3">
            <w:pPr>
              <w:snapToGrid w:val="0"/>
              <w:spacing w:line="380" w:lineRule="exact"/>
              <w:jc w:val="left"/>
              <w:textAlignment w:val="baseline"/>
              <w:rPr>
                <w:rFonts w:eastAsia="方正仿宋_GBK"/>
                <w:sz w:val="24"/>
              </w:rPr>
            </w:pPr>
            <w:r>
              <w:rPr>
                <w:rFonts w:eastAsia="方正仿宋_GBK"/>
                <w:sz w:val="24"/>
              </w:rPr>
              <w:t>1、企业三证合一的法人营业执照或含二维码的营业执照；</w:t>
            </w:r>
          </w:p>
          <w:p w14:paraId="0F3EA378">
            <w:pPr>
              <w:snapToGrid w:val="0"/>
              <w:spacing w:line="380" w:lineRule="exact"/>
              <w:jc w:val="left"/>
              <w:textAlignment w:val="baseline"/>
              <w:rPr>
                <w:rFonts w:eastAsia="方正仿宋_GBK"/>
                <w:sz w:val="24"/>
              </w:rPr>
            </w:pPr>
            <w:r>
              <w:rPr>
                <w:rFonts w:eastAsia="方正仿宋_GBK"/>
                <w:sz w:val="24"/>
              </w:rPr>
              <w:t xml:space="preserve">2、法定代表人授权书及被授权人身份证，法人本人参与投标提供法人身份证及法人资格证明；  </w:t>
            </w:r>
          </w:p>
          <w:p w14:paraId="305491DD">
            <w:pPr>
              <w:snapToGrid w:val="0"/>
              <w:spacing w:line="380" w:lineRule="exact"/>
              <w:jc w:val="left"/>
              <w:textAlignment w:val="baseline"/>
              <w:rPr>
                <w:rFonts w:eastAsia="方正仿宋_GBK"/>
                <w:sz w:val="24"/>
              </w:rPr>
            </w:pPr>
            <w:r>
              <w:rPr>
                <w:rFonts w:eastAsia="方正仿宋_GBK"/>
                <w:sz w:val="24"/>
              </w:rPr>
              <w:t>3、被授权委托人在本单位缴纳近六个月内任意一个月的社保证明（单位社保缴费凭证和个人明细表）、法定代表人提供本单位社保缴费凭证；（新成立公司从成立之日起缴纳的相关社保证明材料）；</w:t>
            </w:r>
          </w:p>
          <w:p w14:paraId="12FD8167">
            <w:pPr>
              <w:snapToGrid w:val="0"/>
              <w:spacing w:line="380" w:lineRule="exact"/>
              <w:jc w:val="left"/>
              <w:textAlignment w:val="baseline"/>
              <w:rPr>
                <w:rFonts w:eastAsia="方正仿宋_GBK"/>
                <w:sz w:val="24"/>
              </w:rPr>
            </w:pPr>
            <w:r>
              <w:rPr>
                <w:rFonts w:eastAsia="方正仿宋_GBK"/>
                <w:sz w:val="24"/>
              </w:rPr>
              <w:t>4、具有健全的财务会计制度（2023年的财务审计报告与健全的财务会计制度，新成立公司不足一年的提供近三个月内有效的银行资信证明）；</w:t>
            </w:r>
          </w:p>
          <w:p w14:paraId="6E1AC47B">
            <w:pPr>
              <w:snapToGrid w:val="0"/>
              <w:spacing w:line="380" w:lineRule="exact"/>
              <w:jc w:val="left"/>
              <w:textAlignment w:val="baseline"/>
              <w:rPr>
                <w:rFonts w:eastAsia="方正仿宋_GBK"/>
                <w:sz w:val="24"/>
              </w:rPr>
            </w:pPr>
            <w:r>
              <w:rPr>
                <w:rFonts w:eastAsia="方正仿宋_GBK"/>
                <w:sz w:val="24"/>
              </w:rPr>
              <w:t>5、在税务局依法缴纳近半年任意一个月税收证明的良好记录及投标截止日内无拖欠税收证明（零申报的企业需提供税务局的相关证明）；</w:t>
            </w:r>
          </w:p>
          <w:p w14:paraId="0DAD3E24">
            <w:pPr>
              <w:snapToGrid w:val="0"/>
              <w:spacing w:line="380" w:lineRule="exact"/>
              <w:jc w:val="left"/>
              <w:textAlignment w:val="baseline"/>
              <w:rPr>
                <w:rFonts w:eastAsia="方正仿宋_GBK"/>
                <w:sz w:val="24"/>
              </w:rPr>
            </w:pPr>
            <w:r>
              <w:rPr>
                <w:rFonts w:eastAsia="方正仿宋_GBK"/>
                <w:sz w:val="24"/>
              </w:rPr>
              <w:t>6、根据《财政部关于在政府采购活动中查询及使用信用记录有关问题的通知》（财库﹝2016﹞125号）的要求，凡拟参加本次招标项目的供应商，如在“信用中国”网站（www.creditchina.gov.cn）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p w14:paraId="00D5082C">
            <w:pPr>
              <w:snapToGrid w:val="0"/>
              <w:spacing w:line="380" w:lineRule="exact"/>
              <w:jc w:val="left"/>
              <w:textAlignment w:val="baseline"/>
              <w:rPr>
                <w:rFonts w:eastAsia="方正仿宋_GBK"/>
                <w:sz w:val="24"/>
              </w:rPr>
            </w:pPr>
            <w:r>
              <w:rPr>
                <w:rFonts w:eastAsia="方正仿宋_GBK"/>
                <w:sz w:val="24"/>
              </w:rPr>
              <w:t>7、在参加政府采购活动中前三年内无重大违法记录的承诺书；</w:t>
            </w:r>
          </w:p>
          <w:p w14:paraId="045DF1D6">
            <w:pPr>
              <w:snapToGrid w:val="0"/>
              <w:spacing w:line="380" w:lineRule="exact"/>
              <w:jc w:val="left"/>
              <w:textAlignment w:val="baseline"/>
              <w:rPr>
                <w:rFonts w:eastAsia="方正仿宋_GBK"/>
                <w:sz w:val="24"/>
              </w:rPr>
            </w:pPr>
            <w:r>
              <w:rPr>
                <w:rFonts w:eastAsia="方正仿宋_GBK"/>
                <w:sz w:val="24"/>
              </w:rPr>
              <w:t>8、提供针对本次项目《反商业贿赂承诺书》书面声明；</w:t>
            </w:r>
          </w:p>
          <w:p w14:paraId="7DC35F58">
            <w:pPr>
              <w:snapToGrid w:val="0"/>
              <w:spacing w:line="380" w:lineRule="exact"/>
              <w:jc w:val="left"/>
              <w:textAlignment w:val="baseline"/>
              <w:rPr>
                <w:rFonts w:eastAsia="方正仿宋_GBK"/>
                <w:sz w:val="24"/>
              </w:rPr>
            </w:pPr>
            <w:r>
              <w:rPr>
                <w:rFonts w:eastAsia="方正仿宋_GBK"/>
                <w:sz w:val="24"/>
              </w:rPr>
              <w:t xml:space="preserve">9、必须具有履行合同所必需的设备和专业技术能力； </w:t>
            </w:r>
          </w:p>
          <w:p w14:paraId="5C559454">
            <w:pPr>
              <w:snapToGrid w:val="0"/>
              <w:spacing w:line="380" w:lineRule="exact"/>
              <w:jc w:val="left"/>
              <w:textAlignment w:val="baseline"/>
              <w:rPr>
                <w:rFonts w:eastAsia="方正仿宋_GBK"/>
                <w:sz w:val="24"/>
              </w:rPr>
            </w:pPr>
            <w:r>
              <w:rPr>
                <w:rFonts w:eastAsia="方正仿宋_GBK"/>
                <w:sz w:val="24"/>
              </w:rPr>
              <w:t>10、本项目不接受联合体投标。</w:t>
            </w:r>
          </w:p>
        </w:tc>
      </w:tr>
      <w:tr w14:paraId="4136F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0" w:hRule="atLeast"/>
        </w:trPr>
        <w:tc>
          <w:tcPr>
            <w:tcW w:w="1395" w:type="dxa"/>
            <w:vAlign w:val="center"/>
          </w:tcPr>
          <w:p w14:paraId="1FE801A2">
            <w:pPr>
              <w:snapToGrid w:val="0"/>
              <w:jc w:val="center"/>
              <w:textAlignment w:val="baseline"/>
              <w:rPr>
                <w:rFonts w:eastAsia="方正仿宋_GBK"/>
                <w:sz w:val="24"/>
              </w:rPr>
            </w:pPr>
            <w:r>
              <w:rPr>
                <w:rFonts w:eastAsia="方正仿宋_GBK"/>
                <w:sz w:val="24"/>
              </w:rPr>
              <w:t>1.3.5</w:t>
            </w:r>
          </w:p>
        </w:tc>
        <w:tc>
          <w:tcPr>
            <w:tcW w:w="8115" w:type="dxa"/>
            <w:vAlign w:val="center"/>
          </w:tcPr>
          <w:p w14:paraId="20737058">
            <w:pPr>
              <w:snapToGrid w:val="0"/>
              <w:textAlignment w:val="baseline"/>
              <w:rPr>
                <w:rFonts w:eastAsia="方正仿宋_GBK"/>
                <w:sz w:val="24"/>
              </w:rPr>
            </w:pPr>
            <w:r>
              <w:rPr>
                <w:rFonts w:eastAsia="方正仿宋_GBK"/>
                <w:sz w:val="24"/>
              </w:rPr>
              <w:t>是否允许采购进口产品：</w:t>
            </w:r>
            <w:r>
              <w:rPr>
                <w:rFonts w:eastAsia="方正仿宋_GBK"/>
                <w:sz w:val="24"/>
                <w:u w:val="single" w:color="000000"/>
              </w:rPr>
              <w:t xml:space="preserve">  否  </w:t>
            </w:r>
            <w:r>
              <w:rPr>
                <w:rFonts w:eastAsia="方正仿宋_GBK"/>
                <w:i/>
                <w:iCs/>
                <w:sz w:val="24"/>
              </w:rPr>
              <w:t>（是、否）</w:t>
            </w:r>
          </w:p>
        </w:tc>
      </w:tr>
      <w:tr w14:paraId="60408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trPr>
        <w:tc>
          <w:tcPr>
            <w:tcW w:w="1395" w:type="dxa"/>
            <w:vAlign w:val="center"/>
          </w:tcPr>
          <w:p w14:paraId="363CE133">
            <w:pPr>
              <w:snapToGrid w:val="0"/>
              <w:jc w:val="center"/>
              <w:textAlignment w:val="baseline"/>
              <w:rPr>
                <w:rFonts w:eastAsia="方正仿宋_GBK"/>
                <w:sz w:val="24"/>
              </w:rPr>
            </w:pPr>
            <w:r>
              <w:rPr>
                <w:rFonts w:eastAsia="方正仿宋_GBK"/>
                <w:sz w:val="24"/>
              </w:rPr>
              <w:t>1.3.6</w:t>
            </w:r>
          </w:p>
        </w:tc>
        <w:tc>
          <w:tcPr>
            <w:tcW w:w="8115" w:type="dxa"/>
            <w:vAlign w:val="center"/>
          </w:tcPr>
          <w:p w14:paraId="17890ECE">
            <w:pPr>
              <w:snapToGrid w:val="0"/>
              <w:textAlignment w:val="baseline"/>
              <w:rPr>
                <w:rFonts w:hint="eastAsia" w:eastAsia="方正仿宋_GBK"/>
                <w:sz w:val="24"/>
                <w:lang w:eastAsia="zh-CN"/>
              </w:rPr>
            </w:pPr>
            <w:r>
              <w:rPr>
                <w:rFonts w:eastAsia="方正仿宋_GBK"/>
                <w:b/>
                <w:bCs/>
                <w:sz w:val="24"/>
              </w:rPr>
              <w:t>是否</w:t>
            </w:r>
            <w:r>
              <w:rPr>
                <w:rFonts w:hint="eastAsia" w:eastAsia="方正仿宋_GBK"/>
                <w:b/>
                <w:bCs/>
                <w:sz w:val="24"/>
              </w:rPr>
              <w:t>适宜</w:t>
            </w:r>
            <w:r>
              <w:rPr>
                <w:rFonts w:eastAsia="方正仿宋_GBK"/>
                <w:b/>
                <w:bCs/>
                <w:sz w:val="24"/>
              </w:rPr>
              <w:t>中小企业采购：</w:t>
            </w:r>
            <w:r>
              <w:rPr>
                <w:rFonts w:eastAsia="方正仿宋_GBK"/>
                <w:b/>
                <w:bCs/>
                <w:sz w:val="24"/>
                <w:u w:val="single" w:color="000000"/>
              </w:rPr>
              <w:t xml:space="preserve"> </w:t>
            </w:r>
            <w:r>
              <w:rPr>
                <w:rFonts w:hint="eastAsia" w:eastAsia="方正仿宋_GBK"/>
                <w:b/>
                <w:bCs/>
                <w:sz w:val="24"/>
                <w:u w:val="single" w:color="000000"/>
                <w:lang w:eastAsia="zh-CN"/>
              </w:rPr>
              <w:t>是</w:t>
            </w:r>
            <w:r>
              <w:rPr>
                <w:rFonts w:eastAsia="方正仿宋_GBK"/>
                <w:b/>
                <w:bCs/>
                <w:sz w:val="24"/>
                <w:u w:val="single" w:color="000000"/>
              </w:rPr>
              <w:t xml:space="preserve"> </w:t>
            </w:r>
            <w:r>
              <w:rPr>
                <w:rFonts w:eastAsia="方正仿宋_GBK"/>
                <w:b/>
                <w:bCs/>
                <w:i/>
                <w:iCs/>
                <w:sz w:val="24"/>
              </w:rPr>
              <w:t>（是、否）</w:t>
            </w:r>
            <w:r>
              <w:rPr>
                <w:rFonts w:hint="eastAsia" w:eastAsia="方正仿宋_GBK"/>
                <w:b w:val="0"/>
                <w:bCs w:val="0"/>
                <w:i/>
                <w:iCs/>
                <w:sz w:val="24"/>
                <w:lang w:eastAsia="zh-CN"/>
              </w:rPr>
              <w:t>本项目不专门面向中小企业</w:t>
            </w:r>
          </w:p>
        </w:tc>
      </w:tr>
      <w:tr w14:paraId="17EF9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trPr>
        <w:tc>
          <w:tcPr>
            <w:tcW w:w="1395" w:type="dxa"/>
            <w:vAlign w:val="center"/>
          </w:tcPr>
          <w:p w14:paraId="70A46D6E">
            <w:pPr>
              <w:snapToGrid w:val="0"/>
              <w:jc w:val="center"/>
              <w:textAlignment w:val="baseline"/>
              <w:rPr>
                <w:rFonts w:eastAsia="方正仿宋_GBK"/>
                <w:sz w:val="24"/>
              </w:rPr>
            </w:pPr>
            <w:r>
              <w:rPr>
                <w:rFonts w:eastAsia="方正仿宋_GBK"/>
                <w:sz w:val="24"/>
              </w:rPr>
              <w:t>1.4</w:t>
            </w:r>
          </w:p>
        </w:tc>
        <w:tc>
          <w:tcPr>
            <w:tcW w:w="8115" w:type="dxa"/>
            <w:vAlign w:val="center"/>
          </w:tcPr>
          <w:p w14:paraId="63AB56EA">
            <w:pPr>
              <w:snapToGrid w:val="0"/>
              <w:textAlignment w:val="baseline"/>
              <w:rPr>
                <w:rFonts w:eastAsia="方正仿宋_GBK"/>
                <w:sz w:val="24"/>
              </w:rPr>
            </w:pPr>
            <w:r>
              <w:rPr>
                <w:rFonts w:eastAsia="方正仿宋_GBK"/>
                <w:sz w:val="24"/>
              </w:rPr>
              <w:t>是否允许联合体投标：</w:t>
            </w:r>
            <w:r>
              <w:rPr>
                <w:rFonts w:eastAsia="方正仿宋_GBK"/>
                <w:sz w:val="24"/>
                <w:u w:val="single" w:color="000000"/>
              </w:rPr>
              <w:t xml:space="preserve">   否   </w:t>
            </w:r>
            <w:r>
              <w:rPr>
                <w:rFonts w:eastAsia="方正仿宋_GBK"/>
                <w:i/>
                <w:iCs/>
                <w:sz w:val="24"/>
              </w:rPr>
              <w:t>（是、否）</w:t>
            </w:r>
          </w:p>
        </w:tc>
      </w:tr>
      <w:tr w14:paraId="4F20C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395" w:type="dxa"/>
            <w:vAlign w:val="center"/>
          </w:tcPr>
          <w:p w14:paraId="798A738D">
            <w:pPr>
              <w:snapToGrid w:val="0"/>
              <w:jc w:val="center"/>
              <w:textAlignment w:val="baseline"/>
              <w:rPr>
                <w:rFonts w:eastAsia="方正仿宋_GBK"/>
                <w:sz w:val="24"/>
              </w:rPr>
            </w:pPr>
            <w:r>
              <w:rPr>
                <w:rFonts w:eastAsia="方正仿宋_GBK"/>
                <w:sz w:val="24"/>
              </w:rPr>
              <w:t>1.4.8</w:t>
            </w:r>
          </w:p>
        </w:tc>
        <w:tc>
          <w:tcPr>
            <w:tcW w:w="8115" w:type="dxa"/>
            <w:vAlign w:val="center"/>
          </w:tcPr>
          <w:p w14:paraId="43284388">
            <w:pPr>
              <w:snapToGrid w:val="0"/>
              <w:textAlignment w:val="baseline"/>
              <w:rPr>
                <w:rFonts w:eastAsia="方正仿宋_GBK"/>
                <w:sz w:val="24"/>
              </w:rPr>
            </w:pPr>
            <w:r>
              <w:rPr>
                <w:rFonts w:eastAsia="方正仿宋_GBK"/>
                <w:sz w:val="24"/>
              </w:rPr>
              <w:t>联合体的其他资格要求：无</w:t>
            </w:r>
          </w:p>
        </w:tc>
      </w:tr>
      <w:tr w14:paraId="06FD4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1395" w:type="dxa"/>
            <w:vAlign w:val="center"/>
          </w:tcPr>
          <w:p w14:paraId="695EC3DE">
            <w:pPr>
              <w:snapToGrid w:val="0"/>
              <w:jc w:val="center"/>
              <w:textAlignment w:val="baseline"/>
              <w:rPr>
                <w:rFonts w:eastAsia="方正仿宋_GBK"/>
                <w:sz w:val="24"/>
              </w:rPr>
            </w:pPr>
            <w:r>
              <w:rPr>
                <w:rFonts w:eastAsia="方正仿宋_GBK"/>
                <w:sz w:val="24"/>
              </w:rPr>
              <w:t>2.2</w:t>
            </w:r>
          </w:p>
        </w:tc>
        <w:tc>
          <w:tcPr>
            <w:tcW w:w="8115" w:type="dxa"/>
            <w:vAlign w:val="center"/>
          </w:tcPr>
          <w:p w14:paraId="4F84C2BB">
            <w:pPr>
              <w:snapToGrid w:val="0"/>
              <w:textAlignment w:val="baseline"/>
              <w:rPr>
                <w:rFonts w:eastAsia="方正仿宋_GBK"/>
                <w:sz w:val="24"/>
              </w:rPr>
            </w:pPr>
            <w:r>
              <w:rPr>
                <w:rFonts w:eastAsia="方正仿宋_GBK"/>
                <w:sz w:val="24"/>
              </w:rPr>
              <w:t>项目总</w:t>
            </w:r>
            <w:r>
              <w:rPr>
                <w:rFonts w:eastAsia="方正仿宋_GBK"/>
                <w:sz w:val="24"/>
                <w:lang w:val="zh-CN"/>
              </w:rPr>
              <w:t>预算金额:</w:t>
            </w:r>
            <w:r>
              <w:rPr>
                <w:rFonts w:eastAsia="方正仿宋_GBK"/>
                <w:sz w:val="24"/>
              </w:rPr>
              <w:t xml:space="preserve"> </w:t>
            </w:r>
            <w:r>
              <w:rPr>
                <w:rFonts w:hint="eastAsia" w:eastAsia="方正仿宋_GBK"/>
                <w:sz w:val="24"/>
              </w:rPr>
              <w:t>100</w:t>
            </w:r>
            <w:r>
              <w:rPr>
                <w:rFonts w:eastAsia="方正仿宋_GBK"/>
                <w:sz w:val="24"/>
              </w:rPr>
              <w:t>万元</w:t>
            </w:r>
            <w:r>
              <w:rPr>
                <w:rFonts w:eastAsia="方正仿宋_GBK"/>
                <w:sz w:val="24"/>
                <w:lang w:val="zh-CN"/>
              </w:rPr>
              <w:t>;</w:t>
            </w:r>
          </w:p>
        </w:tc>
      </w:tr>
      <w:tr w14:paraId="5B59D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1395" w:type="dxa"/>
            <w:vAlign w:val="center"/>
          </w:tcPr>
          <w:p w14:paraId="0CBF238E">
            <w:pPr>
              <w:snapToGrid w:val="0"/>
              <w:jc w:val="center"/>
              <w:textAlignment w:val="baseline"/>
              <w:rPr>
                <w:rFonts w:eastAsia="方正仿宋_GBK"/>
                <w:sz w:val="24"/>
              </w:rPr>
            </w:pPr>
            <w:r>
              <w:rPr>
                <w:rFonts w:eastAsia="方正仿宋_GBK"/>
                <w:sz w:val="24"/>
              </w:rPr>
              <w:t>8.1</w:t>
            </w:r>
          </w:p>
        </w:tc>
        <w:tc>
          <w:tcPr>
            <w:tcW w:w="8115" w:type="dxa"/>
            <w:vAlign w:val="center"/>
          </w:tcPr>
          <w:p w14:paraId="6BDF9EA6">
            <w:pPr>
              <w:snapToGrid w:val="0"/>
              <w:textAlignment w:val="baseline"/>
              <w:rPr>
                <w:rFonts w:eastAsia="方正仿宋_GBK"/>
                <w:sz w:val="24"/>
              </w:rPr>
            </w:pPr>
            <w:r>
              <w:rPr>
                <w:rFonts w:eastAsia="方正仿宋_GBK"/>
                <w:sz w:val="24"/>
              </w:rPr>
              <w:t>本项目共有1个标段。</w:t>
            </w:r>
          </w:p>
        </w:tc>
      </w:tr>
      <w:tr w14:paraId="6D512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84" w:hRule="atLeast"/>
        </w:trPr>
        <w:tc>
          <w:tcPr>
            <w:tcW w:w="1395" w:type="dxa"/>
            <w:vAlign w:val="center"/>
          </w:tcPr>
          <w:p w14:paraId="39DFE224">
            <w:pPr>
              <w:snapToGrid w:val="0"/>
              <w:jc w:val="center"/>
              <w:textAlignment w:val="baseline"/>
              <w:rPr>
                <w:rFonts w:eastAsia="方正仿宋_GBK"/>
                <w:sz w:val="24"/>
              </w:rPr>
            </w:pPr>
            <w:r>
              <w:rPr>
                <w:rFonts w:eastAsia="方正仿宋_GBK"/>
                <w:sz w:val="24"/>
              </w:rPr>
              <w:t>12.1</w:t>
            </w:r>
          </w:p>
        </w:tc>
        <w:tc>
          <w:tcPr>
            <w:tcW w:w="8115" w:type="dxa"/>
            <w:vAlign w:val="center"/>
          </w:tcPr>
          <w:p w14:paraId="3129E95B">
            <w:pPr>
              <w:snapToGrid w:val="0"/>
              <w:textAlignment w:val="baseline"/>
              <w:rPr>
                <w:rFonts w:eastAsia="方正仿宋_GBK"/>
                <w:sz w:val="24"/>
              </w:rPr>
            </w:pPr>
            <w:r>
              <w:rPr>
                <w:rFonts w:hint="eastAsia" w:eastAsia="方正仿宋_GBK"/>
                <w:sz w:val="24"/>
              </w:rPr>
              <w:t>投标</w:t>
            </w:r>
            <w:r>
              <w:rPr>
                <w:rFonts w:eastAsia="方正仿宋_GBK"/>
                <w:sz w:val="24"/>
              </w:rPr>
              <w:t xml:space="preserve">保证金缴纳形式：☑ 保函  ☑ 电汇 ☑ 支票  ☑ 对公转账  ☑ 网银 </w:t>
            </w:r>
          </w:p>
          <w:p w14:paraId="0D9C7890">
            <w:pPr>
              <w:snapToGrid w:val="0"/>
              <w:textAlignment w:val="baseline"/>
              <w:rPr>
                <w:rFonts w:eastAsia="方正仿宋_GBK"/>
                <w:b/>
                <w:bCs/>
                <w:kern w:val="0"/>
                <w:sz w:val="24"/>
                <w:lang w:val="zh-CN"/>
              </w:rPr>
            </w:pPr>
            <w:r>
              <w:rPr>
                <w:rFonts w:hint="eastAsia" w:eastAsia="方正仿宋_GBK"/>
                <w:b/>
                <w:bCs/>
                <w:kern w:val="0"/>
                <w:sz w:val="24"/>
              </w:rPr>
              <w:t>投标</w:t>
            </w:r>
            <w:r>
              <w:rPr>
                <w:rFonts w:eastAsia="方正仿宋_GBK"/>
                <w:b/>
                <w:bCs/>
                <w:kern w:val="0"/>
                <w:sz w:val="24"/>
                <w:lang w:val="zh-CN"/>
              </w:rPr>
              <w:t>保证金缴纳金额：</w:t>
            </w:r>
          </w:p>
          <w:p w14:paraId="703FD27F">
            <w:pPr>
              <w:snapToGrid w:val="0"/>
              <w:textAlignment w:val="baseline"/>
              <w:rPr>
                <w:rFonts w:eastAsia="方正仿宋_GBK"/>
                <w:sz w:val="24"/>
              </w:rPr>
            </w:pPr>
            <w:r>
              <w:rPr>
                <w:rFonts w:eastAsia="方正仿宋_GBK"/>
                <w:sz w:val="24"/>
              </w:rPr>
              <w:t>小写：</w:t>
            </w:r>
            <w:r>
              <w:rPr>
                <w:rFonts w:hint="eastAsia" w:eastAsia="方正仿宋_GBK"/>
                <w:sz w:val="24"/>
              </w:rPr>
              <w:t>20000</w:t>
            </w:r>
            <w:r>
              <w:rPr>
                <w:rFonts w:eastAsia="方正仿宋_GBK"/>
                <w:sz w:val="24"/>
              </w:rPr>
              <w:t>元(大写：</w:t>
            </w:r>
            <w:r>
              <w:rPr>
                <w:rFonts w:hint="eastAsia" w:eastAsia="方正仿宋_GBK"/>
                <w:sz w:val="24"/>
                <w:lang w:eastAsia="zh-CN"/>
              </w:rPr>
              <w:t>贰</w:t>
            </w:r>
            <w:r>
              <w:rPr>
                <w:rFonts w:hint="eastAsia" w:eastAsia="方正仿宋_GBK"/>
                <w:sz w:val="24"/>
              </w:rPr>
              <w:t>万</w:t>
            </w:r>
            <w:r>
              <w:rPr>
                <w:rFonts w:eastAsia="方正仿宋_GBK"/>
                <w:sz w:val="24"/>
              </w:rPr>
              <w:t>元整）</w:t>
            </w:r>
          </w:p>
          <w:p w14:paraId="264A5F24">
            <w:pPr>
              <w:snapToGrid w:val="0"/>
              <w:textAlignment w:val="baseline"/>
              <w:rPr>
                <w:rFonts w:eastAsia="方正仿宋_GBK"/>
                <w:sz w:val="24"/>
              </w:rPr>
            </w:pPr>
            <w:r>
              <w:rPr>
                <w:rFonts w:eastAsia="方正仿宋_GBK"/>
                <w:sz w:val="24"/>
              </w:rPr>
              <w:t>（按照各分包控制金额2%以内的整数计算，本项目按照各分包控制金额</w:t>
            </w:r>
            <w:r>
              <w:rPr>
                <w:rFonts w:hint="eastAsia" w:eastAsia="方正仿宋_GBK"/>
                <w:sz w:val="24"/>
              </w:rPr>
              <w:t>2</w:t>
            </w:r>
            <w:r>
              <w:rPr>
                <w:rFonts w:eastAsia="方正仿宋_GBK"/>
                <w:sz w:val="24"/>
              </w:rPr>
              <w:t>%的整数计算）</w:t>
            </w:r>
          </w:p>
          <w:p w14:paraId="712E409B">
            <w:pPr>
              <w:pStyle w:val="34"/>
              <w:widowControl/>
              <w:snapToGrid w:val="0"/>
              <w:spacing w:before="0" w:after="0"/>
              <w:textAlignment w:val="baseline"/>
              <w:rPr>
                <w:rFonts w:eastAsia="方正仿宋_GBK"/>
              </w:rPr>
            </w:pPr>
            <w:r>
              <w:rPr>
                <w:rFonts w:hint="eastAsia" w:eastAsia="方正仿宋_GBK"/>
                <w:b/>
                <w:bCs/>
              </w:rPr>
              <w:t>投标</w:t>
            </w:r>
            <w:r>
              <w:rPr>
                <w:rFonts w:eastAsia="方正仿宋_GBK"/>
                <w:b/>
                <w:bCs/>
                <w:lang w:val="zh-CN"/>
              </w:rPr>
              <w:t>保证金收款单位名称：</w:t>
            </w:r>
            <w:r>
              <w:rPr>
                <w:rFonts w:hint="eastAsia" w:eastAsia="方正仿宋_GBK"/>
                <w:bCs/>
              </w:rPr>
              <w:t>莎车县人民医院</w:t>
            </w:r>
          </w:p>
          <w:p w14:paraId="5458EE2B">
            <w:pPr>
              <w:snapToGrid w:val="0"/>
              <w:textAlignment w:val="baseline"/>
              <w:rPr>
                <w:rFonts w:eastAsia="方正仿宋_GBK"/>
                <w:sz w:val="24"/>
              </w:rPr>
            </w:pPr>
            <w:r>
              <w:rPr>
                <w:rFonts w:eastAsia="方正仿宋_GBK"/>
                <w:b/>
                <w:bCs/>
                <w:kern w:val="0"/>
                <w:sz w:val="24"/>
                <w:lang w:val="zh-CN"/>
              </w:rPr>
              <w:t>账  </w:t>
            </w:r>
            <w:r>
              <w:rPr>
                <w:rFonts w:eastAsia="方正仿宋_GBK"/>
                <w:b/>
                <w:bCs/>
                <w:kern w:val="0"/>
                <w:sz w:val="24"/>
              </w:rPr>
              <w:t xml:space="preserve"> </w:t>
            </w:r>
            <w:r>
              <w:rPr>
                <w:rFonts w:hint="eastAsia" w:eastAsia="方正仿宋_GBK"/>
                <w:b/>
                <w:bCs/>
                <w:kern w:val="0"/>
                <w:sz w:val="24"/>
              </w:rPr>
              <w:t xml:space="preserve"> </w:t>
            </w:r>
            <w:r>
              <w:rPr>
                <w:rFonts w:eastAsia="方正仿宋_GBK"/>
                <w:b/>
                <w:bCs/>
                <w:kern w:val="0"/>
                <w:sz w:val="24"/>
                <w:lang w:val="zh-CN"/>
              </w:rPr>
              <w:t xml:space="preserve"> 号：</w:t>
            </w:r>
            <w:r>
              <w:rPr>
                <w:rFonts w:ascii="仿宋" w:hAnsi="仿宋" w:eastAsia="仿宋" w:cs="仿宋"/>
                <w:iCs/>
                <w:sz w:val="24"/>
                <w:lang w:val="zh-CN"/>
              </w:rPr>
              <w:t>1076 0128 0043</w:t>
            </w:r>
          </w:p>
          <w:p w14:paraId="179AE205">
            <w:pPr>
              <w:snapToGrid w:val="0"/>
              <w:textAlignment w:val="baseline"/>
              <w:rPr>
                <w:rFonts w:eastAsia="方正仿宋_GBK"/>
                <w:sz w:val="24"/>
              </w:rPr>
            </w:pPr>
            <w:r>
              <w:rPr>
                <w:rFonts w:eastAsia="方正仿宋_GBK"/>
                <w:b/>
                <w:bCs/>
                <w:kern w:val="0"/>
                <w:sz w:val="24"/>
                <w:lang w:val="zh-CN"/>
              </w:rPr>
              <w:t>开</w:t>
            </w:r>
            <w:r>
              <w:rPr>
                <w:rFonts w:eastAsia="方正仿宋_GBK"/>
                <w:b/>
                <w:bCs/>
                <w:kern w:val="0"/>
                <w:sz w:val="24"/>
              </w:rPr>
              <w:t xml:space="preserve"> </w:t>
            </w:r>
            <w:r>
              <w:rPr>
                <w:rFonts w:eastAsia="方正仿宋_GBK"/>
                <w:b/>
                <w:bCs/>
                <w:kern w:val="0"/>
                <w:sz w:val="24"/>
                <w:lang w:val="zh-CN"/>
              </w:rPr>
              <w:t>户</w:t>
            </w:r>
            <w:r>
              <w:rPr>
                <w:rFonts w:eastAsia="方正仿宋_GBK"/>
                <w:b/>
                <w:bCs/>
                <w:kern w:val="0"/>
                <w:sz w:val="24"/>
              </w:rPr>
              <w:t xml:space="preserve"> </w:t>
            </w:r>
            <w:r>
              <w:rPr>
                <w:rFonts w:eastAsia="方正仿宋_GBK"/>
                <w:b/>
                <w:bCs/>
                <w:kern w:val="0"/>
                <w:sz w:val="24"/>
                <w:lang w:val="zh-CN"/>
              </w:rPr>
              <w:t>行：</w:t>
            </w:r>
            <w:r>
              <w:rPr>
                <w:rFonts w:eastAsia="方正仿宋_GBK"/>
                <w:kern w:val="0"/>
                <w:sz w:val="24"/>
                <w:lang w:val="zh-CN"/>
              </w:rPr>
              <w:t>中国银行莎车县支行营业部</w:t>
            </w:r>
          </w:p>
          <w:p w14:paraId="2A6FF197">
            <w:pPr>
              <w:snapToGrid w:val="0"/>
              <w:textAlignment w:val="baseline"/>
              <w:rPr>
                <w:rFonts w:eastAsia="方正仿宋_GBK"/>
                <w:sz w:val="24"/>
              </w:rPr>
            </w:pPr>
            <w:r>
              <w:rPr>
                <w:rFonts w:eastAsia="方正仿宋_GBK"/>
                <w:b/>
                <w:bCs/>
                <w:kern w:val="0"/>
                <w:sz w:val="24"/>
                <w:lang w:val="zh-CN"/>
              </w:rPr>
              <w:t xml:space="preserve">行  </w:t>
            </w:r>
            <w:r>
              <w:rPr>
                <w:rFonts w:eastAsia="方正仿宋_GBK"/>
                <w:b/>
                <w:bCs/>
                <w:kern w:val="0"/>
                <w:sz w:val="24"/>
              </w:rPr>
              <w:t xml:space="preserve">  </w:t>
            </w:r>
            <w:r>
              <w:rPr>
                <w:rFonts w:eastAsia="方正仿宋_GBK"/>
                <w:b/>
                <w:bCs/>
                <w:kern w:val="0"/>
                <w:sz w:val="24"/>
                <w:lang w:val="zh-CN"/>
              </w:rPr>
              <w:t>号：</w:t>
            </w:r>
            <w:r>
              <w:rPr>
                <w:rFonts w:hint="eastAsia" w:ascii="仿宋" w:hAnsi="仿宋" w:eastAsia="仿宋" w:cs="仿宋"/>
                <w:iCs/>
                <w:sz w:val="24"/>
              </w:rPr>
              <w:t>1048 9460 1015</w:t>
            </w:r>
          </w:p>
          <w:p w14:paraId="7793881D">
            <w:pPr>
              <w:snapToGrid w:val="0"/>
              <w:textAlignment w:val="baseline"/>
              <w:rPr>
                <w:rFonts w:eastAsia="方正仿宋_GBK"/>
                <w:sz w:val="24"/>
                <w:highlight w:val="yellow"/>
              </w:rPr>
            </w:pPr>
            <w:r>
              <w:rPr>
                <w:rFonts w:eastAsia="方正仿宋_GBK"/>
                <w:sz w:val="24"/>
                <w:lang w:val="zh-CN"/>
              </w:rPr>
              <w:t xml:space="preserve">联 系 人： 张佳微 </w:t>
            </w:r>
          </w:p>
          <w:p w14:paraId="2AB3F8E6">
            <w:pPr>
              <w:snapToGrid w:val="0"/>
              <w:textAlignment w:val="baseline"/>
              <w:rPr>
                <w:rFonts w:eastAsia="方正仿宋_GBK"/>
                <w:sz w:val="24"/>
              </w:rPr>
            </w:pPr>
            <w:r>
              <w:rPr>
                <w:rFonts w:eastAsia="方正仿宋_GBK"/>
                <w:sz w:val="24"/>
                <w:lang w:val="zh-CN"/>
              </w:rPr>
              <w:t>联系电话：0998-8525081</w:t>
            </w:r>
          </w:p>
          <w:p w14:paraId="77051C6C">
            <w:pPr>
              <w:snapToGrid w:val="0"/>
              <w:textAlignment w:val="baseline"/>
              <w:rPr>
                <w:rFonts w:eastAsia="方正仿宋_GBK"/>
                <w:sz w:val="24"/>
              </w:rPr>
            </w:pPr>
            <w:r>
              <w:rPr>
                <w:rFonts w:eastAsia="方正仿宋_GBK"/>
                <w:sz w:val="24"/>
              </w:rPr>
              <w:t>保证金缴纳要求：保证金须在开标前从投标供应商的基本账户一次性汇入指定账户，不接受现金。若没有在规定时间内汇入指定账户，视为自动放弃本项目投标。</w:t>
            </w:r>
          </w:p>
          <w:p w14:paraId="4D2EDBAC">
            <w:pPr>
              <w:snapToGrid w:val="0"/>
              <w:textAlignment w:val="baseline"/>
              <w:rPr>
                <w:rFonts w:eastAsia="方正仿宋_GBK"/>
                <w:sz w:val="24"/>
              </w:rPr>
            </w:pPr>
            <w:r>
              <w:rPr>
                <w:rFonts w:eastAsia="方正仿宋_GBK"/>
                <w:b/>
                <w:bCs/>
                <w:sz w:val="24"/>
              </w:rPr>
              <w:t>打款时注明投标保证金项目名称+项目编号+标段号+投标保证金。投标供应商未按本条规定提交投标保证金的，其投标将被认定为投标无效。</w:t>
            </w:r>
          </w:p>
          <w:p w14:paraId="57F12073">
            <w:pPr>
              <w:snapToGrid w:val="0"/>
              <w:textAlignment w:val="baseline"/>
              <w:rPr>
                <w:rFonts w:eastAsia="方正仿宋_GBK"/>
                <w:sz w:val="24"/>
              </w:rPr>
            </w:pPr>
            <w:r>
              <w:rPr>
                <w:rFonts w:eastAsia="方正仿宋_GBK"/>
                <w:sz w:val="24"/>
              </w:rPr>
              <w:t>投标保证金的退还：</w:t>
            </w:r>
            <w:r>
              <w:fldChar w:fldCharType="begin"/>
            </w:r>
            <w: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fldChar w:fldCharType="separate"/>
            </w:r>
            <w:r>
              <w:rPr>
                <w:rFonts w:eastAsia="方正仿宋_GBK"/>
                <w:sz w:val="24"/>
              </w:rPr>
              <w:t>根据财库〔2014〕214号《政府采购竞争性磋商采购方式管理暂行办法》第三十一条规定：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r>
              <w:rPr>
                <w:rFonts w:eastAsia="方正仿宋_GBK"/>
                <w:sz w:val="24"/>
              </w:rPr>
              <w:fldChar w:fldCharType="end"/>
            </w:r>
            <w:r>
              <w:rPr>
                <w:rFonts w:eastAsia="方正仿宋_GBK"/>
                <w:b/>
                <w:bCs/>
                <w:sz w:val="24"/>
              </w:rPr>
              <w:t>（</w:t>
            </w:r>
            <w:r>
              <w:rPr>
                <w:rFonts w:hint="eastAsia" w:eastAsia="方正仿宋_GBK"/>
                <w:b/>
                <w:bCs/>
                <w:sz w:val="24"/>
              </w:rPr>
              <w:t>投标商</w:t>
            </w:r>
            <w:r>
              <w:rPr>
                <w:rFonts w:eastAsia="方正仿宋_GBK"/>
                <w:b/>
                <w:bCs/>
                <w:sz w:val="24"/>
              </w:rPr>
              <w:t>退款需</w:t>
            </w:r>
            <w:r>
              <w:rPr>
                <w:rFonts w:hint="eastAsia" w:eastAsia="方正仿宋_GBK"/>
                <w:b/>
                <w:bCs/>
                <w:sz w:val="24"/>
              </w:rPr>
              <w:t>自行</w:t>
            </w:r>
            <w:r>
              <w:rPr>
                <w:rFonts w:eastAsia="方正仿宋_GBK"/>
                <w:b/>
                <w:bCs/>
                <w:sz w:val="24"/>
              </w:rPr>
              <w:t>到采购单位开具收据</w:t>
            </w:r>
            <w:r>
              <w:rPr>
                <w:rFonts w:hint="eastAsia" w:eastAsia="方正仿宋_GBK"/>
                <w:b/>
                <w:bCs/>
                <w:sz w:val="24"/>
              </w:rPr>
              <w:t>、退款申请、营业执照、开户行信息、法人身份证复印件</w:t>
            </w:r>
            <w:r>
              <w:rPr>
                <w:rFonts w:eastAsia="方正仿宋_GBK"/>
                <w:b/>
                <w:bCs/>
                <w:sz w:val="24"/>
              </w:rPr>
              <w:t>按照</w:t>
            </w:r>
            <w:r>
              <w:rPr>
                <w:rFonts w:hint="eastAsia" w:eastAsia="方正仿宋_GBK"/>
                <w:b/>
                <w:bCs/>
                <w:sz w:val="24"/>
              </w:rPr>
              <w:t>财务</w:t>
            </w:r>
            <w:r>
              <w:rPr>
                <w:rFonts w:eastAsia="方正仿宋_GBK"/>
                <w:b/>
                <w:bCs/>
                <w:sz w:val="24"/>
              </w:rPr>
              <w:t>程序依法依规办理退款手续</w:t>
            </w:r>
            <w:r>
              <w:rPr>
                <w:rFonts w:hint="eastAsia" w:eastAsia="方正仿宋_GBK"/>
                <w:b/>
                <w:bCs/>
                <w:sz w:val="24"/>
              </w:rPr>
              <w:t>，退款只能支票或者电汇，若电汇手续费用需投标商自行承担</w:t>
            </w:r>
            <w:r>
              <w:rPr>
                <w:rFonts w:eastAsia="方正仿宋_GBK"/>
                <w:b/>
                <w:bCs/>
                <w:sz w:val="24"/>
              </w:rPr>
              <w:t>）</w:t>
            </w:r>
            <w:r>
              <w:rPr>
                <w:rFonts w:hint="eastAsia" w:eastAsia="方正仿宋_GBK"/>
                <w:b/>
                <w:bCs/>
                <w:sz w:val="24"/>
              </w:rPr>
              <w:t>。</w:t>
            </w:r>
          </w:p>
        </w:tc>
      </w:tr>
      <w:tr w14:paraId="344C0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5" w:hRule="atLeast"/>
        </w:trPr>
        <w:tc>
          <w:tcPr>
            <w:tcW w:w="1395" w:type="dxa"/>
            <w:vAlign w:val="center"/>
          </w:tcPr>
          <w:p w14:paraId="20DAC55F">
            <w:pPr>
              <w:snapToGrid w:val="0"/>
              <w:jc w:val="center"/>
              <w:textAlignment w:val="baseline"/>
              <w:rPr>
                <w:rFonts w:eastAsia="方正仿宋_GBK"/>
                <w:sz w:val="24"/>
              </w:rPr>
            </w:pPr>
            <w:r>
              <w:rPr>
                <w:rFonts w:eastAsia="方正仿宋_GBK"/>
                <w:sz w:val="24"/>
              </w:rPr>
              <w:t>13.1</w:t>
            </w:r>
          </w:p>
        </w:tc>
        <w:tc>
          <w:tcPr>
            <w:tcW w:w="8115" w:type="dxa"/>
            <w:vAlign w:val="center"/>
          </w:tcPr>
          <w:p w14:paraId="6F7616BC">
            <w:pPr>
              <w:snapToGrid w:val="0"/>
              <w:textAlignment w:val="baseline"/>
              <w:rPr>
                <w:rFonts w:eastAsia="方正仿宋_GBK"/>
                <w:sz w:val="24"/>
                <w:u w:val="single" w:color="000000"/>
              </w:rPr>
            </w:pPr>
            <w:r>
              <w:rPr>
                <w:rFonts w:eastAsia="方正仿宋_GBK"/>
                <w:sz w:val="24"/>
              </w:rPr>
              <w:t>磋商有效期：提交响应文件截止之日起</w:t>
            </w:r>
            <w:r>
              <w:rPr>
                <w:rFonts w:eastAsia="方正仿宋_GBK"/>
                <w:color w:val="FF0000"/>
                <w:sz w:val="24"/>
                <w:u w:val="single"/>
              </w:rPr>
              <w:t>90</w:t>
            </w:r>
            <w:r>
              <w:rPr>
                <w:rFonts w:eastAsia="方正仿宋_GBK"/>
                <w:sz w:val="24"/>
              </w:rPr>
              <w:t>自然日（日历日）</w:t>
            </w:r>
          </w:p>
        </w:tc>
      </w:tr>
      <w:tr w14:paraId="45F1C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4" w:hRule="atLeast"/>
        </w:trPr>
        <w:tc>
          <w:tcPr>
            <w:tcW w:w="1395" w:type="dxa"/>
            <w:vAlign w:val="center"/>
          </w:tcPr>
          <w:p w14:paraId="12107FC5">
            <w:pPr>
              <w:snapToGrid w:val="0"/>
              <w:jc w:val="center"/>
              <w:textAlignment w:val="baseline"/>
              <w:rPr>
                <w:rFonts w:eastAsia="方正仿宋_GBK"/>
                <w:sz w:val="24"/>
              </w:rPr>
            </w:pPr>
            <w:r>
              <w:rPr>
                <w:rFonts w:eastAsia="方正仿宋_GBK"/>
                <w:sz w:val="24"/>
              </w:rPr>
              <w:t>14.1</w:t>
            </w:r>
          </w:p>
        </w:tc>
        <w:tc>
          <w:tcPr>
            <w:tcW w:w="8115" w:type="dxa"/>
            <w:vAlign w:val="center"/>
          </w:tcPr>
          <w:p w14:paraId="3B5D7429">
            <w:pPr>
              <w:spacing w:line="360" w:lineRule="exact"/>
              <w:ind w:left="105" w:firstLine="480" w:firstLineChars="200"/>
              <w:rPr>
                <w:rFonts w:eastAsia="方正仿宋_GBK"/>
                <w:sz w:val="24"/>
              </w:rPr>
            </w:pPr>
            <w:r>
              <w:rPr>
                <w:rFonts w:eastAsia="方正仿宋_GBK"/>
                <w:sz w:val="24"/>
              </w:rPr>
              <w:t>1、本项目为电子招投标，供应商需要使用 CA 加密设备，凡参加本项目必须可自主通过新疆 CA 申领渠道“新疆政务通”申请政采云平台可使用的 CA 设备， 如原有兵团或公共资源使用的 CA，可与新疆 CA 联系，申请增加电子证书即可，无需重复申领。如需咨询，请联系新疆CA服务热线0991-2819290。</w:t>
            </w:r>
          </w:p>
          <w:p w14:paraId="54A62454">
            <w:pPr>
              <w:spacing w:line="360" w:lineRule="exact"/>
              <w:ind w:left="105" w:firstLine="480" w:firstLineChars="200"/>
              <w:rPr>
                <w:rFonts w:eastAsia="方正仿宋_GBK"/>
                <w:sz w:val="24"/>
              </w:rPr>
            </w:pPr>
            <w:r>
              <w:rPr>
                <w:rFonts w:eastAsia="方正仿宋_GBK"/>
                <w:sz w:val="24"/>
              </w:rPr>
              <w:t>2、本项目实行网上投标，采用电子响应文件(供应商须使用 CA 加密设备通过政采云电子投标客户端制作响应文件)。若供应商参与投标，自行承担投标一切费用。</w:t>
            </w:r>
          </w:p>
          <w:p w14:paraId="6B87800E">
            <w:pPr>
              <w:spacing w:line="360" w:lineRule="exact"/>
              <w:ind w:left="105" w:firstLine="480" w:firstLineChars="200"/>
              <w:rPr>
                <w:rFonts w:eastAsia="方正仿宋_GBK"/>
                <w:sz w:val="24"/>
              </w:rPr>
            </w:pPr>
            <w:r>
              <w:rPr>
                <w:rFonts w:eastAsia="方正仿宋_GBK"/>
                <w:sz w:val="24"/>
              </w:rPr>
              <w:t>3、各供应商应在开标前应确保成为新疆政府采购网正式注册入库供应商，并完成 CA 数字证书申领。因未注册入库、未办理 CA 数字证书等原因造成无法投标或投标失败等后果由供应商自行承担。</w:t>
            </w:r>
          </w:p>
          <w:p w14:paraId="28359836">
            <w:pPr>
              <w:spacing w:line="360" w:lineRule="exact"/>
              <w:ind w:left="105" w:firstLine="480" w:firstLineChars="200"/>
              <w:rPr>
                <w:rFonts w:eastAsia="方正仿宋_GBK"/>
                <w:sz w:val="24"/>
              </w:rPr>
            </w:pPr>
            <w:r>
              <w:rPr>
                <w:rFonts w:eastAsia="方正仿宋_GBK"/>
                <w:sz w:val="24"/>
              </w:rPr>
              <w:t>4、供应商将政采云电子交易客户端下载、安装完成后，可通过账号密码或CA 登录客户端进行响应文件制作。在使用政采云投标客户端时，建议使用 WIN7 及 以 上 操 作 系 统 。 客 户 端 请 至 新 疆 政 府 采 购 网</w:t>
            </w:r>
            <w:r>
              <w:fldChar w:fldCharType="begin"/>
            </w:r>
            <w:r>
              <w:instrText xml:space="preserve"> HYPERLINK "http://www.ccgp-xinjiang.gov.cn/" \h </w:instrText>
            </w:r>
            <w:r>
              <w:fldChar w:fldCharType="separate"/>
            </w:r>
            <w:r>
              <w:rPr>
                <w:rFonts w:eastAsia="方正仿宋_GBK"/>
                <w:sz w:val="24"/>
              </w:rPr>
              <w:t>（http://www.ccgp-xinjiang.gov.cn/</w:t>
            </w:r>
            <w:r>
              <w:rPr>
                <w:rFonts w:eastAsia="方正仿宋_GBK"/>
                <w:sz w:val="24"/>
              </w:rPr>
              <w:fldChar w:fldCharType="end"/>
            </w:r>
            <w:r>
              <w:rPr>
                <w:rFonts w:eastAsia="方正仿宋_GBK"/>
                <w:sz w:val="24"/>
              </w:rPr>
              <w:t>）下载专区查看，如有问题可拨打政采云客户服务热线400-881-7190进行咨询。</w:t>
            </w:r>
          </w:p>
          <w:p w14:paraId="75AF1C53">
            <w:pPr>
              <w:pStyle w:val="2"/>
              <w:spacing w:line="360" w:lineRule="exact"/>
              <w:ind w:firstLine="480" w:firstLineChars="200"/>
              <w:jc w:val="both"/>
              <w:rPr>
                <w:rFonts w:ascii="Times New Roman" w:eastAsia="方正仿宋_GBK"/>
                <w:szCs w:val="24"/>
              </w:rPr>
            </w:pPr>
            <w:r>
              <w:rPr>
                <w:rFonts w:ascii="Times New Roman" w:eastAsia="方正仿宋_GBK"/>
                <w:szCs w:val="24"/>
              </w:rPr>
              <w:t>5、供应商在开标时须使用制作加密电子响应文件所使用的 CA 锁及电脑，电脑须提前配置好浏览器（建议使用谷歌浏览器），以便开标时解锁。</w:t>
            </w:r>
          </w:p>
          <w:p w14:paraId="4794E898">
            <w:pPr>
              <w:ind w:firstLine="480" w:firstLineChars="200"/>
              <w:rPr>
                <w:rFonts w:eastAsia="方正仿宋_GBK"/>
                <w:kern w:val="0"/>
                <w:sz w:val="24"/>
              </w:rPr>
            </w:pPr>
            <w:r>
              <w:rPr>
                <w:rFonts w:eastAsia="方正仿宋_GBK"/>
                <w:kern w:val="0"/>
                <w:sz w:val="24"/>
              </w:rPr>
              <w:t>6、投标保证金缴纳及确认时间：凡拟参加本次招标项目的供应商，必须在开标前将投标保证金汇入指定账户。投标保证金汇款凭证上用途栏应注明:招标项目名称+项目编号+标项号+投标保证金。否则，届时其投标将被拒绝。</w:t>
            </w:r>
          </w:p>
          <w:p w14:paraId="03D0EDC1">
            <w:pPr>
              <w:pStyle w:val="2"/>
              <w:rPr>
                <w:rFonts w:ascii="Times New Roman" w:eastAsia="方正仿宋_GBK"/>
                <w:szCs w:val="24"/>
              </w:rPr>
            </w:pPr>
            <w:r>
              <w:rPr>
                <w:rFonts w:ascii="Times New Roman" w:eastAsia="方正仿宋_GBK"/>
                <w:szCs w:val="24"/>
              </w:rPr>
              <w:t>7、供 应 商 对 不 见 面 开 评 标 系 统 的 技 术 操 作 咨 询 ， 可 通 过https://edu.zcygov.cn/luban/xinjiang-e-biding 自助查询，也可在政采云帮助 中心 常见 问题 解 答和 操作 流程 讲 解视 频中 自助 查询 ， 网址 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38BD6B82">
            <w:pPr>
              <w:pStyle w:val="2"/>
              <w:rPr>
                <w:rFonts w:ascii="Times New Roman" w:eastAsia="方正仿宋_GBK"/>
                <w:szCs w:val="24"/>
              </w:rPr>
            </w:pPr>
            <w:r>
              <w:rPr>
                <w:rFonts w:ascii="Times New Roman" w:eastAsia="方正仿宋_GBK"/>
                <w:szCs w:val="24"/>
              </w:rPr>
              <w:t>8、供应商应完整地按照磋商文件提供的响应文件格式及要求编写响应文件，对其响应文件的真实性与准确性负责，成交后，其响应文件将作为合同的组成部分。投标供应商须在投标截止时间前在政采云电子投标客户端递交电子响应文件，电子响应文件是经过CA 证书加密后上传提交的，任何单位或个人均无法在投标截止时间 (即开标时间)之前查看或篡改，不存在泄密风险。</w:t>
            </w:r>
          </w:p>
          <w:p w14:paraId="0B81FE20">
            <w:pPr>
              <w:pStyle w:val="2"/>
            </w:pPr>
            <w:r>
              <w:rPr>
                <w:rFonts w:ascii="Times New Roman" w:eastAsia="方正仿宋_GBK"/>
                <w:szCs w:val="24"/>
              </w:rPr>
              <w:t>9、解密时长为30分钟。</w:t>
            </w:r>
          </w:p>
        </w:tc>
      </w:tr>
      <w:tr w14:paraId="2CAA3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3" w:hRule="atLeast"/>
        </w:trPr>
        <w:tc>
          <w:tcPr>
            <w:tcW w:w="1395" w:type="dxa"/>
            <w:vAlign w:val="center"/>
          </w:tcPr>
          <w:p w14:paraId="0C244CF5">
            <w:pPr>
              <w:snapToGrid w:val="0"/>
              <w:jc w:val="center"/>
              <w:textAlignment w:val="baseline"/>
              <w:rPr>
                <w:rFonts w:eastAsia="方正仿宋_GBK"/>
                <w:sz w:val="24"/>
              </w:rPr>
            </w:pPr>
            <w:r>
              <w:rPr>
                <w:rFonts w:eastAsia="方正仿宋_GBK"/>
                <w:sz w:val="24"/>
              </w:rPr>
              <w:t>16.1</w:t>
            </w:r>
          </w:p>
        </w:tc>
        <w:tc>
          <w:tcPr>
            <w:tcW w:w="8115" w:type="dxa"/>
            <w:vAlign w:val="center"/>
          </w:tcPr>
          <w:p w14:paraId="123E9263">
            <w:pPr>
              <w:snapToGrid w:val="0"/>
              <w:textAlignment w:val="baseline"/>
              <w:rPr>
                <w:rFonts w:eastAsia="方正仿宋_GBK"/>
                <w:sz w:val="24"/>
              </w:rPr>
            </w:pPr>
            <w:r>
              <w:rPr>
                <w:rFonts w:hint="eastAsia" w:eastAsia="方正仿宋_GBK"/>
                <w:sz w:val="24"/>
              </w:rPr>
              <w:t>投标</w:t>
            </w:r>
            <w:r>
              <w:rPr>
                <w:rFonts w:eastAsia="方正仿宋_GBK"/>
                <w:sz w:val="24"/>
              </w:rPr>
              <w:t>文件递交截止时间：2024年</w:t>
            </w:r>
            <w:r>
              <w:rPr>
                <w:rFonts w:hint="eastAsia" w:eastAsia="方正仿宋_GBK"/>
                <w:sz w:val="24"/>
                <w:lang w:val="en-US" w:eastAsia="zh-CN"/>
              </w:rPr>
              <w:t>12</w:t>
            </w:r>
            <w:r>
              <w:rPr>
                <w:rFonts w:hint="eastAsia" w:eastAsia="方正仿宋_GBK"/>
                <w:sz w:val="24"/>
              </w:rPr>
              <w:t xml:space="preserve"> </w:t>
            </w:r>
            <w:r>
              <w:rPr>
                <w:rFonts w:eastAsia="方正仿宋_GBK"/>
                <w:sz w:val="24"/>
              </w:rPr>
              <w:t>月</w:t>
            </w:r>
            <w:r>
              <w:rPr>
                <w:rFonts w:hint="eastAsia" w:eastAsia="方正仿宋_GBK"/>
                <w:sz w:val="24"/>
                <w:lang w:val="en-US" w:eastAsia="zh-CN"/>
              </w:rPr>
              <w:t>27</w:t>
            </w:r>
            <w:r>
              <w:rPr>
                <w:rFonts w:hint="eastAsia" w:eastAsia="方正仿宋_GBK"/>
                <w:sz w:val="24"/>
              </w:rPr>
              <w:t xml:space="preserve"> </w:t>
            </w:r>
            <w:r>
              <w:rPr>
                <w:rFonts w:eastAsia="方正仿宋_GBK"/>
                <w:sz w:val="24"/>
              </w:rPr>
              <w:t>日上午11点00分（北京时间）</w:t>
            </w:r>
          </w:p>
        </w:tc>
      </w:tr>
      <w:tr w14:paraId="0D9E2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trPr>
        <w:tc>
          <w:tcPr>
            <w:tcW w:w="1395" w:type="dxa"/>
            <w:vAlign w:val="center"/>
          </w:tcPr>
          <w:p w14:paraId="2C735048">
            <w:pPr>
              <w:snapToGrid w:val="0"/>
              <w:jc w:val="center"/>
              <w:textAlignment w:val="baseline"/>
              <w:rPr>
                <w:rFonts w:eastAsia="方正仿宋_GBK"/>
                <w:sz w:val="24"/>
              </w:rPr>
            </w:pPr>
            <w:r>
              <w:rPr>
                <w:rFonts w:eastAsia="方正仿宋_GBK"/>
                <w:sz w:val="24"/>
              </w:rPr>
              <w:t>18</w:t>
            </w:r>
          </w:p>
        </w:tc>
        <w:tc>
          <w:tcPr>
            <w:tcW w:w="8115" w:type="dxa"/>
            <w:vAlign w:val="center"/>
          </w:tcPr>
          <w:p w14:paraId="21C2FFAE">
            <w:pPr>
              <w:snapToGrid w:val="0"/>
              <w:textAlignment w:val="baseline"/>
              <w:rPr>
                <w:rFonts w:eastAsia="方正仿宋_GBK"/>
                <w:kern w:val="0"/>
                <w:sz w:val="24"/>
              </w:rPr>
            </w:pPr>
            <w:r>
              <w:rPr>
                <w:rFonts w:eastAsia="方正仿宋_GBK"/>
                <w:sz w:val="24"/>
              </w:rPr>
              <w:t>磋商开启时间</w:t>
            </w:r>
            <w:r>
              <w:rPr>
                <w:rFonts w:eastAsia="方正仿宋_GBK"/>
                <w:kern w:val="0"/>
                <w:sz w:val="24"/>
              </w:rPr>
              <w:t>：</w:t>
            </w:r>
            <w:r>
              <w:rPr>
                <w:rFonts w:eastAsia="方正仿宋_GBK"/>
                <w:sz w:val="24"/>
              </w:rPr>
              <w:t>2024年</w:t>
            </w:r>
            <w:r>
              <w:rPr>
                <w:rFonts w:hint="eastAsia" w:eastAsia="方正仿宋_GBK"/>
                <w:sz w:val="24"/>
                <w:lang w:val="en-US" w:eastAsia="zh-CN"/>
              </w:rPr>
              <w:t>12</w:t>
            </w:r>
            <w:r>
              <w:rPr>
                <w:rFonts w:hint="eastAsia" w:eastAsia="方正仿宋_GBK"/>
                <w:sz w:val="24"/>
              </w:rPr>
              <w:t xml:space="preserve"> </w:t>
            </w:r>
            <w:r>
              <w:rPr>
                <w:rFonts w:eastAsia="方正仿宋_GBK"/>
                <w:sz w:val="24"/>
              </w:rPr>
              <w:t>月</w:t>
            </w:r>
            <w:r>
              <w:rPr>
                <w:rFonts w:hint="eastAsia" w:eastAsia="方正仿宋_GBK"/>
                <w:sz w:val="24"/>
                <w:lang w:val="en-US" w:eastAsia="zh-CN"/>
              </w:rPr>
              <w:t>27</w:t>
            </w:r>
            <w:r>
              <w:rPr>
                <w:rFonts w:eastAsia="方正仿宋_GBK"/>
                <w:sz w:val="24"/>
              </w:rPr>
              <w:t>日上午11点00分（北京时间）</w:t>
            </w:r>
          </w:p>
          <w:p w14:paraId="21974D07">
            <w:pPr>
              <w:snapToGrid w:val="0"/>
              <w:textAlignment w:val="baseline"/>
              <w:rPr>
                <w:rFonts w:eastAsia="方正仿宋_GBK"/>
                <w:sz w:val="24"/>
              </w:rPr>
            </w:pPr>
            <w:r>
              <w:rPr>
                <w:rFonts w:eastAsia="方正仿宋_GBK"/>
                <w:sz w:val="24"/>
              </w:rPr>
              <w:t>磋商开启地点</w:t>
            </w:r>
            <w:r>
              <w:rPr>
                <w:rFonts w:eastAsia="方正仿宋_GBK"/>
                <w:kern w:val="0"/>
                <w:sz w:val="24"/>
              </w:rPr>
              <w:t>：</w:t>
            </w:r>
            <w:r>
              <w:rPr>
                <w:rFonts w:eastAsia="方正仿宋_GBK"/>
                <w:sz w:val="24"/>
              </w:rPr>
              <w:t>政采云平台--不见面开标大厅</w:t>
            </w:r>
          </w:p>
        </w:tc>
      </w:tr>
      <w:tr w14:paraId="0BDB0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1395" w:type="dxa"/>
            <w:vAlign w:val="center"/>
          </w:tcPr>
          <w:p w14:paraId="60710243">
            <w:pPr>
              <w:snapToGrid w:val="0"/>
              <w:jc w:val="center"/>
              <w:textAlignment w:val="baseline"/>
              <w:rPr>
                <w:rFonts w:eastAsia="方正仿宋_GBK"/>
                <w:sz w:val="24"/>
              </w:rPr>
            </w:pPr>
            <w:r>
              <w:rPr>
                <w:rFonts w:eastAsia="方正仿宋_GBK"/>
                <w:sz w:val="24"/>
              </w:rPr>
              <w:t>23</w:t>
            </w:r>
          </w:p>
        </w:tc>
        <w:tc>
          <w:tcPr>
            <w:tcW w:w="8115" w:type="dxa"/>
            <w:vAlign w:val="center"/>
          </w:tcPr>
          <w:p w14:paraId="10E43238">
            <w:pPr>
              <w:snapToGrid w:val="0"/>
              <w:textAlignment w:val="baseline"/>
              <w:rPr>
                <w:rFonts w:eastAsia="方正仿宋_GBK"/>
                <w:i/>
                <w:sz w:val="24"/>
              </w:rPr>
            </w:pPr>
            <w:r>
              <w:rPr>
                <w:rFonts w:eastAsia="方正仿宋_GBK"/>
                <w:sz w:val="24"/>
              </w:rPr>
              <w:t>招标方式：</w:t>
            </w:r>
            <w:r>
              <w:rPr>
                <w:rFonts w:eastAsia="方正仿宋_GBK"/>
                <w:b/>
                <w:bCs/>
                <w:sz w:val="24"/>
                <w:u w:val="single"/>
              </w:rPr>
              <w:t xml:space="preserve">竞争性磋商。 </w:t>
            </w:r>
            <w:r>
              <w:rPr>
                <w:rFonts w:eastAsia="方正仿宋_GBK"/>
                <w:sz w:val="24"/>
              </w:rPr>
              <w:t>评审方法：</w:t>
            </w:r>
            <w:r>
              <w:rPr>
                <w:rFonts w:eastAsia="方正仿宋_GBK"/>
                <w:b/>
                <w:bCs/>
                <w:sz w:val="24"/>
                <w:u w:val="single"/>
              </w:rPr>
              <w:t>综合评分法。</w:t>
            </w:r>
            <w:r>
              <w:rPr>
                <w:rFonts w:eastAsia="方正仿宋_GBK"/>
                <w:sz w:val="24"/>
              </w:rPr>
              <w:t>　　</w:t>
            </w:r>
          </w:p>
        </w:tc>
      </w:tr>
      <w:tr w14:paraId="15343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trPr>
        <w:tc>
          <w:tcPr>
            <w:tcW w:w="1395" w:type="dxa"/>
            <w:vAlign w:val="center"/>
          </w:tcPr>
          <w:p w14:paraId="351DF57E">
            <w:pPr>
              <w:snapToGrid w:val="0"/>
              <w:jc w:val="center"/>
              <w:textAlignment w:val="baseline"/>
              <w:rPr>
                <w:rFonts w:eastAsia="方正仿宋_GBK"/>
                <w:sz w:val="24"/>
              </w:rPr>
            </w:pPr>
            <w:r>
              <w:rPr>
                <w:rFonts w:eastAsia="方正仿宋_GBK"/>
                <w:sz w:val="24"/>
              </w:rPr>
              <w:t>27</w:t>
            </w:r>
          </w:p>
        </w:tc>
        <w:tc>
          <w:tcPr>
            <w:tcW w:w="8115" w:type="dxa"/>
            <w:vAlign w:val="center"/>
          </w:tcPr>
          <w:p w14:paraId="57F72BB6">
            <w:pPr>
              <w:snapToGrid w:val="0"/>
              <w:textAlignment w:val="baseline"/>
              <w:rPr>
                <w:rFonts w:eastAsia="方正仿宋_GBK"/>
                <w:sz w:val="24"/>
              </w:rPr>
            </w:pPr>
            <w:r>
              <w:rPr>
                <w:rFonts w:eastAsia="方正仿宋_GBK"/>
                <w:sz w:val="24"/>
              </w:rPr>
              <w:t>推荐成交候选供应商的数量：</w:t>
            </w:r>
            <w:r>
              <w:rPr>
                <w:rFonts w:eastAsia="方正仿宋_GBK"/>
                <w:sz w:val="24"/>
                <w:u w:val="single" w:color="000000"/>
              </w:rPr>
              <w:t>　   3　　</w:t>
            </w:r>
          </w:p>
        </w:tc>
      </w:tr>
      <w:tr w14:paraId="73895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2" w:hRule="atLeast"/>
        </w:trPr>
        <w:tc>
          <w:tcPr>
            <w:tcW w:w="1395" w:type="dxa"/>
            <w:vAlign w:val="center"/>
          </w:tcPr>
          <w:p w14:paraId="632D46B0">
            <w:pPr>
              <w:snapToGrid w:val="0"/>
              <w:jc w:val="center"/>
              <w:textAlignment w:val="baseline"/>
              <w:rPr>
                <w:rFonts w:eastAsia="方正仿宋_GBK"/>
                <w:sz w:val="24"/>
              </w:rPr>
            </w:pPr>
            <w:r>
              <w:rPr>
                <w:rFonts w:eastAsia="方正仿宋_GBK"/>
                <w:sz w:val="24"/>
              </w:rPr>
              <w:t>27</w:t>
            </w:r>
          </w:p>
        </w:tc>
        <w:tc>
          <w:tcPr>
            <w:tcW w:w="8115" w:type="dxa"/>
            <w:vAlign w:val="center"/>
          </w:tcPr>
          <w:p w14:paraId="66B2C019">
            <w:pPr>
              <w:snapToGrid w:val="0"/>
              <w:textAlignment w:val="baseline"/>
              <w:rPr>
                <w:rFonts w:eastAsia="方正仿宋_GBK"/>
                <w:sz w:val="24"/>
              </w:rPr>
            </w:pPr>
            <w:r>
              <w:rPr>
                <w:rFonts w:eastAsia="方正仿宋_GBK"/>
                <w:sz w:val="24"/>
              </w:rPr>
              <w:t>采购人是否委托磋商小组直接确定成交供应商：</w:t>
            </w:r>
            <w:r>
              <w:rPr>
                <w:rFonts w:eastAsia="方正仿宋_GBK"/>
                <w:sz w:val="24"/>
                <w:u w:val="single" w:color="000000"/>
              </w:rPr>
              <w:t xml:space="preserve">  是  </w:t>
            </w:r>
            <w:r>
              <w:rPr>
                <w:rFonts w:eastAsia="方正仿宋_GBK"/>
                <w:i/>
                <w:iCs/>
                <w:sz w:val="24"/>
              </w:rPr>
              <w:t xml:space="preserve">（是、否） </w:t>
            </w:r>
          </w:p>
        </w:tc>
      </w:tr>
      <w:tr w14:paraId="1A102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0" w:hRule="atLeast"/>
        </w:trPr>
        <w:tc>
          <w:tcPr>
            <w:tcW w:w="1395" w:type="dxa"/>
            <w:vAlign w:val="center"/>
          </w:tcPr>
          <w:p w14:paraId="3C74ED41">
            <w:pPr>
              <w:snapToGrid w:val="0"/>
              <w:jc w:val="center"/>
              <w:textAlignment w:val="baseline"/>
              <w:rPr>
                <w:rFonts w:eastAsia="方正仿宋_GBK"/>
                <w:sz w:val="24"/>
              </w:rPr>
            </w:pPr>
            <w:r>
              <w:rPr>
                <w:rFonts w:eastAsia="方正仿宋_GBK"/>
                <w:sz w:val="24"/>
              </w:rPr>
              <w:t>31.1</w:t>
            </w:r>
          </w:p>
        </w:tc>
        <w:tc>
          <w:tcPr>
            <w:tcW w:w="8115" w:type="dxa"/>
            <w:vAlign w:val="center"/>
          </w:tcPr>
          <w:p w14:paraId="4E1CE6EA">
            <w:pPr>
              <w:snapToGrid w:val="0"/>
              <w:textAlignment w:val="baseline"/>
              <w:rPr>
                <w:rFonts w:eastAsia="方正仿宋_GBK"/>
                <w:sz w:val="24"/>
              </w:rPr>
            </w:pPr>
            <w:r>
              <w:rPr>
                <w:rFonts w:eastAsia="方正仿宋_GBK"/>
                <w:sz w:val="24"/>
              </w:rPr>
              <w:t>履约保证金金额：合同总价的</w:t>
            </w:r>
            <w:r>
              <w:rPr>
                <w:rFonts w:eastAsia="方正仿宋_GBK"/>
                <w:sz w:val="24"/>
                <w:u w:val="single" w:color="000000"/>
              </w:rPr>
              <w:t>　</w:t>
            </w:r>
            <w:r>
              <w:rPr>
                <w:rFonts w:hint="eastAsia" w:eastAsia="方正仿宋_GBK"/>
                <w:sz w:val="24"/>
                <w:u w:val="single" w:color="000000"/>
              </w:rPr>
              <w:t>5</w:t>
            </w:r>
            <w:r>
              <w:rPr>
                <w:rFonts w:eastAsia="方正仿宋_GBK"/>
                <w:sz w:val="24"/>
                <w:u w:val="single" w:color="000000"/>
              </w:rPr>
              <w:t>%　（打入甲方账号，具体以签订合同为准）</w:t>
            </w:r>
            <w:r>
              <w:rPr>
                <w:rFonts w:eastAsia="方正仿宋_GBK"/>
                <w:sz w:val="24"/>
              </w:rPr>
              <w:t>履约保证金形式：☑ 保函  ☑ 电汇  ☑ 支票   ☑ 对公转账  ☑ 网银</w:t>
            </w:r>
            <w:r>
              <w:rPr>
                <w:rFonts w:hint="eastAsia" w:eastAsia="方正仿宋_GBK"/>
                <w:sz w:val="24"/>
              </w:rPr>
              <w:t>（优先推荐对公转账）</w:t>
            </w:r>
            <w:r>
              <w:rPr>
                <w:rFonts w:eastAsia="方正仿宋_GBK"/>
                <w:sz w:val="24"/>
              </w:rPr>
              <w:t xml:space="preserve">  </w:t>
            </w:r>
          </w:p>
          <w:p w14:paraId="1C6F9E78">
            <w:pPr>
              <w:snapToGrid w:val="0"/>
              <w:textAlignment w:val="baseline"/>
              <w:rPr>
                <w:rFonts w:eastAsia="方正仿宋_GBK"/>
                <w:sz w:val="24"/>
              </w:rPr>
            </w:pPr>
            <w:r>
              <w:rPr>
                <w:rFonts w:eastAsia="方正仿宋_GBK"/>
                <w:sz w:val="24"/>
              </w:rPr>
              <w:t>保证金收款单位名称：莎车县人民医院</w:t>
            </w:r>
          </w:p>
          <w:p w14:paraId="31A7F12C">
            <w:pPr>
              <w:snapToGrid w:val="0"/>
              <w:textAlignment w:val="baseline"/>
              <w:rPr>
                <w:rFonts w:eastAsia="方正仿宋_GBK"/>
                <w:sz w:val="24"/>
              </w:rPr>
            </w:pPr>
            <w:r>
              <w:rPr>
                <w:rFonts w:eastAsia="方正仿宋_GBK"/>
                <w:sz w:val="24"/>
              </w:rPr>
              <w:t>保证金收款账户名：莎车县人民医院</w:t>
            </w:r>
          </w:p>
          <w:p w14:paraId="01294336">
            <w:pPr>
              <w:snapToGrid w:val="0"/>
              <w:textAlignment w:val="baseline"/>
              <w:rPr>
                <w:rFonts w:eastAsia="方正仿宋_GBK"/>
                <w:sz w:val="24"/>
              </w:rPr>
            </w:pPr>
            <w:r>
              <w:rPr>
                <w:rFonts w:eastAsia="方正仿宋_GBK"/>
                <w:sz w:val="24"/>
              </w:rPr>
              <w:t>账 </w:t>
            </w:r>
            <w:r>
              <w:rPr>
                <w:rFonts w:hint="eastAsia" w:eastAsia="方正仿宋_GBK"/>
                <w:sz w:val="24"/>
              </w:rPr>
              <w:t xml:space="preserve"> </w:t>
            </w:r>
            <w:r>
              <w:rPr>
                <w:rFonts w:eastAsia="方正仿宋_GBK"/>
                <w:sz w:val="24"/>
              </w:rPr>
              <w:t>   号：1076 0128 0043</w:t>
            </w:r>
          </w:p>
          <w:p w14:paraId="35B55D8C">
            <w:pPr>
              <w:snapToGrid w:val="0"/>
              <w:textAlignment w:val="baseline"/>
              <w:rPr>
                <w:rFonts w:eastAsia="方正仿宋_GBK"/>
                <w:sz w:val="24"/>
              </w:rPr>
            </w:pPr>
            <w:r>
              <w:rPr>
                <w:rFonts w:eastAsia="方正仿宋_GBK"/>
                <w:sz w:val="24"/>
              </w:rPr>
              <w:t>开 户 行：中国银行莎车县支行营业部</w:t>
            </w:r>
          </w:p>
          <w:p w14:paraId="71ED228A">
            <w:pPr>
              <w:snapToGrid w:val="0"/>
              <w:textAlignment w:val="baseline"/>
              <w:rPr>
                <w:rFonts w:eastAsia="方正仿宋_GBK"/>
                <w:sz w:val="24"/>
              </w:rPr>
            </w:pPr>
            <w:r>
              <w:rPr>
                <w:rFonts w:eastAsia="方正仿宋_GBK"/>
                <w:sz w:val="24"/>
              </w:rPr>
              <w:t>行    号：1048 9460 1015</w:t>
            </w:r>
          </w:p>
          <w:p w14:paraId="5D78C674">
            <w:pPr>
              <w:snapToGrid w:val="0"/>
              <w:textAlignment w:val="baseline"/>
              <w:rPr>
                <w:rFonts w:eastAsia="方正仿宋_GBK"/>
                <w:sz w:val="24"/>
              </w:rPr>
            </w:pPr>
            <w:r>
              <w:rPr>
                <w:rFonts w:eastAsia="方正仿宋_GBK"/>
                <w:sz w:val="24"/>
              </w:rPr>
              <w:t xml:space="preserve">联 系 人：张佳微 </w:t>
            </w:r>
          </w:p>
          <w:p w14:paraId="5D3E354D">
            <w:pPr>
              <w:snapToGrid w:val="0"/>
              <w:textAlignment w:val="baseline"/>
              <w:rPr>
                <w:rFonts w:eastAsia="方正仿宋_GBK"/>
                <w:sz w:val="24"/>
              </w:rPr>
            </w:pPr>
            <w:r>
              <w:rPr>
                <w:rFonts w:eastAsia="方正仿宋_GBK"/>
                <w:sz w:val="24"/>
              </w:rPr>
              <w:t>联系电话：0998-8525081</w:t>
            </w:r>
          </w:p>
          <w:p w14:paraId="45EF4C67">
            <w:pPr>
              <w:snapToGrid w:val="0"/>
              <w:textAlignment w:val="baseline"/>
              <w:rPr>
                <w:rFonts w:eastAsia="方正仿宋_GBK"/>
                <w:sz w:val="24"/>
                <w:highlight w:val="red"/>
                <w:u w:val="single"/>
              </w:rPr>
            </w:pPr>
            <w:r>
              <w:rPr>
                <w:rFonts w:eastAsia="方正仿宋_GBK"/>
                <w:sz w:val="24"/>
              </w:rPr>
              <w:t>提交履约保证金的时间：</w:t>
            </w:r>
            <w:r>
              <w:rPr>
                <w:rFonts w:hint="eastAsia" w:eastAsia="方正仿宋_GBK"/>
                <w:sz w:val="24"/>
              </w:rPr>
              <w:t>确定中标结果七个日历日内</w:t>
            </w:r>
            <w:r>
              <w:rPr>
                <w:rFonts w:eastAsia="方正仿宋_GBK"/>
                <w:b/>
                <w:bCs/>
                <w:sz w:val="24"/>
              </w:rPr>
              <w:t>(</w:t>
            </w:r>
            <w:r>
              <w:rPr>
                <w:rFonts w:hint="eastAsia" w:eastAsia="方正仿宋_GBK"/>
                <w:b/>
                <w:bCs/>
                <w:sz w:val="24"/>
              </w:rPr>
              <w:t>具体以</w:t>
            </w:r>
            <w:r>
              <w:rPr>
                <w:rFonts w:eastAsia="方正仿宋_GBK"/>
                <w:b/>
                <w:bCs/>
                <w:sz w:val="24"/>
              </w:rPr>
              <w:t>合同签定的为准）。</w:t>
            </w:r>
          </w:p>
          <w:p w14:paraId="0D2F84F1">
            <w:pPr>
              <w:snapToGrid w:val="0"/>
              <w:textAlignment w:val="baseline"/>
              <w:rPr>
                <w:rFonts w:eastAsia="方正仿宋_GBK"/>
                <w:sz w:val="24"/>
                <w:u w:val="single" w:color="000000"/>
              </w:rPr>
            </w:pPr>
            <w:r>
              <w:rPr>
                <w:rFonts w:eastAsia="方正仿宋_GBK"/>
                <w:sz w:val="24"/>
              </w:rPr>
              <w:t>注：双方可以通过协商另行约定其他缴纳时间、退还时间和方式及用途。</w:t>
            </w:r>
          </w:p>
        </w:tc>
      </w:tr>
      <w:tr w14:paraId="3EA57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395" w:type="dxa"/>
            <w:vAlign w:val="center"/>
          </w:tcPr>
          <w:p w14:paraId="3BBA4CD5">
            <w:pPr>
              <w:snapToGrid w:val="0"/>
              <w:jc w:val="center"/>
              <w:textAlignment w:val="baseline"/>
              <w:rPr>
                <w:rFonts w:eastAsia="方正仿宋_GBK"/>
                <w:sz w:val="24"/>
              </w:rPr>
            </w:pPr>
            <w:r>
              <w:rPr>
                <w:rFonts w:eastAsia="方正仿宋_GBK"/>
                <w:sz w:val="24"/>
              </w:rPr>
              <w:t>32</w:t>
            </w:r>
          </w:p>
        </w:tc>
        <w:tc>
          <w:tcPr>
            <w:tcW w:w="8115" w:type="dxa"/>
            <w:vAlign w:val="center"/>
          </w:tcPr>
          <w:p w14:paraId="044408E0">
            <w:pPr>
              <w:snapToGrid w:val="0"/>
              <w:textAlignment w:val="baseline"/>
              <w:rPr>
                <w:rFonts w:eastAsia="方正仿宋_GBK"/>
                <w:sz w:val="24"/>
              </w:rPr>
            </w:pPr>
            <w:r>
              <w:rPr>
                <w:rFonts w:eastAsia="方正仿宋_GBK"/>
                <w:sz w:val="24"/>
              </w:rPr>
              <w:t>招标代理费：本项目不收取招标代理费。</w:t>
            </w:r>
          </w:p>
        </w:tc>
      </w:tr>
      <w:tr w14:paraId="7A595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95" w:type="dxa"/>
            <w:vAlign w:val="center"/>
          </w:tcPr>
          <w:p w14:paraId="7824138A">
            <w:pPr>
              <w:snapToGrid w:val="0"/>
              <w:jc w:val="center"/>
              <w:textAlignment w:val="baseline"/>
              <w:rPr>
                <w:rFonts w:eastAsia="方正仿宋_GBK"/>
                <w:sz w:val="24"/>
              </w:rPr>
            </w:pPr>
            <w:r>
              <w:rPr>
                <w:rFonts w:eastAsia="方正仿宋_GBK"/>
                <w:sz w:val="24"/>
              </w:rPr>
              <w:t>33.1</w:t>
            </w:r>
          </w:p>
        </w:tc>
        <w:tc>
          <w:tcPr>
            <w:tcW w:w="8115" w:type="dxa"/>
            <w:vAlign w:val="center"/>
          </w:tcPr>
          <w:p w14:paraId="455D4423">
            <w:pPr>
              <w:snapToGrid w:val="0"/>
              <w:textAlignment w:val="baseline"/>
              <w:rPr>
                <w:rFonts w:eastAsia="方正仿宋_GBK"/>
                <w:sz w:val="24"/>
              </w:rPr>
            </w:pPr>
            <w:r>
              <w:rPr>
                <w:rFonts w:eastAsia="方正仿宋_GBK"/>
                <w:sz w:val="24"/>
              </w:rPr>
              <w:t>本项目是否属于信用担保试点范围：</w:t>
            </w:r>
            <w:r>
              <w:rPr>
                <w:rFonts w:eastAsia="方正仿宋_GBK"/>
                <w:sz w:val="24"/>
                <w:u w:val="single" w:color="000000"/>
              </w:rPr>
              <w:t xml:space="preserve">  否 </w:t>
            </w:r>
            <w:r>
              <w:rPr>
                <w:rFonts w:eastAsia="方正仿宋_GBK"/>
                <w:sz w:val="24"/>
              </w:rPr>
              <w:t xml:space="preserve"> </w:t>
            </w:r>
          </w:p>
        </w:tc>
      </w:tr>
      <w:tr w14:paraId="116B9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95" w:type="dxa"/>
            <w:vAlign w:val="center"/>
          </w:tcPr>
          <w:p w14:paraId="3F0291CA">
            <w:pPr>
              <w:spacing w:line="360" w:lineRule="exact"/>
              <w:jc w:val="center"/>
              <w:rPr>
                <w:rFonts w:eastAsia="方正仿宋_GBK"/>
                <w:sz w:val="24"/>
              </w:rPr>
            </w:pPr>
            <w:r>
              <w:rPr>
                <w:rFonts w:eastAsia="方正仿宋_GBK"/>
                <w:sz w:val="24"/>
              </w:rPr>
              <w:t>33.2</w:t>
            </w:r>
          </w:p>
        </w:tc>
        <w:tc>
          <w:tcPr>
            <w:tcW w:w="8115" w:type="dxa"/>
            <w:vAlign w:val="center"/>
          </w:tcPr>
          <w:p w14:paraId="47AFFABE">
            <w:pPr>
              <w:spacing w:line="360" w:lineRule="exact"/>
              <w:rPr>
                <w:rFonts w:eastAsia="方正仿宋_GBK"/>
                <w:sz w:val="24"/>
              </w:rPr>
            </w:pPr>
            <w:r>
              <w:rPr>
                <w:rFonts w:eastAsia="方正仿宋_GBK"/>
                <w:sz w:val="24"/>
              </w:rPr>
              <w:t>政府采购专业担保机构：</w:t>
            </w:r>
          </w:p>
          <w:p w14:paraId="7E7DD85A">
            <w:pPr>
              <w:spacing w:line="360" w:lineRule="exact"/>
              <w:rPr>
                <w:rFonts w:eastAsia="方正仿宋_GBK"/>
                <w:sz w:val="24"/>
              </w:rPr>
            </w:pPr>
            <w:r>
              <w:rPr>
                <w:rFonts w:eastAsia="方正仿宋_GBK"/>
                <w:sz w:val="24"/>
              </w:rPr>
              <w:t xml:space="preserve">信用担保专业的担保机构：莎车县宏远融资担保有限责任公司 </w:t>
            </w:r>
          </w:p>
          <w:p w14:paraId="61848D91">
            <w:pPr>
              <w:spacing w:line="360" w:lineRule="exact"/>
              <w:rPr>
                <w:rFonts w:eastAsia="方正仿宋_GBK"/>
                <w:sz w:val="24"/>
              </w:rPr>
            </w:pPr>
            <w:r>
              <w:rPr>
                <w:rFonts w:eastAsia="方正仿宋_GBK"/>
                <w:sz w:val="24"/>
              </w:rPr>
              <w:t>联系人：王  升  联系电话：18699899296</w:t>
            </w:r>
          </w:p>
          <w:p w14:paraId="7298EBE2">
            <w:pPr>
              <w:spacing w:line="360" w:lineRule="exact"/>
              <w:rPr>
                <w:rFonts w:eastAsia="方正仿宋_GBK"/>
                <w:sz w:val="24"/>
              </w:rPr>
            </w:pPr>
            <w:r>
              <w:rPr>
                <w:rFonts w:eastAsia="方正仿宋_GBK"/>
                <w:sz w:val="24"/>
              </w:rPr>
              <w:t>地址：莎车县新城路16号</w:t>
            </w:r>
          </w:p>
          <w:p w14:paraId="12B6E17A">
            <w:pPr>
              <w:spacing w:line="360" w:lineRule="exact"/>
              <w:rPr>
                <w:rFonts w:eastAsia="方正仿宋_GBK"/>
                <w:sz w:val="24"/>
              </w:rPr>
            </w:pPr>
            <w:r>
              <w:rPr>
                <w:rFonts w:eastAsia="方正仿宋_GBK"/>
                <w:sz w:val="24"/>
              </w:rPr>
              <w:t>邮箱：</w:t>
            </w:r>
            <w:r>
              <w:fldChar w:fldCharType="begin"/>
            </w:r>
            <w:r>
              <w:instrText xml:space="preserve"> HYPERLINK "mailto:3119698907@qq.com" </w:instrText>
            </w:r>
            <w:r>
              <w:fldChar w:fldCharType="separate"/>
            </w:r>
            <w:r>
              <w:rPr>
                <w:rFonts w:eastAsia="方正仿宋_GBK"/>
                <w:sz w:val="24"/>
              </w:rPr>
              <w:t>245462334@qq.com</w:t>
            </w:r>
            <w:r>
              <w:rPr>
                <w:rFonts w:eastAsia="方正仿宋_GBK"/>
                <w:sz w:val="24"/>
              </w:rPr>
              <w:fldChar w:fldCharType="end"/>
            </w:r>
          </w:p>
          <w:p w14:paraId="66EC715B">
            <w:pPr>
              <w:spacing w:line="360" w:lineRule="exact"/>
              <w:rPr>
                <w:rFonts w:eastAsia="方正仿宋_GBK"/>
                <w:b/>
                <w:bCs/>
                <w:sz w:val="24"/>
              </w:rPr>
            </w:pPr>
            <w:r>
              <w:rPr>
                <w:rFonts w:eastAsia="方正仿宋_GBK"/>
                <w:sz w:val="24"/>
              </w:rPr>
              <w:t>注：“以上担保机构只是给投标商多一个选择，最终选择哪个机构由投标单位自己决定，不论选择哪个合法的担保机构，不影响正常项目投标。”</w:t>
            </w:r>
          </w:p>
        </w:tc>
      </w:tr>
      <w:tr w14:paraId="2B500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1" w:hRule="atLeast"/>
        </w:trPr>
        <w:tc>
          <w:tcPr>
            <w:tcW w:w="1395" w:type="dxa"/>
            <w:vAlign w:val="center"/>
          </w:tcPr>
          <w:p w14:paraId="1726447A">
            <w:pPr>
              <w:spacing w:line="360" w:lineRule="exact"/>
              <w:jc w:val="center"/>
              <w:rPr>
                <w:rFonts w:eastAsia="方正仿宋_GBK"/>
                <w:sz w:val="24"/>
              </w:rPr>
            </w:pPr>
            <w:r>
              <w:rPr>
                <w:rFonts w:eastAsia="方正仿宋_GBK"/>
                <w:sz w:val="24"/>
              </w:rPr>
              <w:t>34.3</w:t>
            </w:r>
          </w:p>
        </w:tc>
        <w:tc>
          <w:tcPr>
            <w:tcW w:w="8115" w:type="dxa"/>
            <w:vAlign w:val="center"/>
          </w:tcPr>
          <w:p w14:paraId="2C0ABD77">
            <w:pPr>
              <w:spacing w:line="360" w:lineRule="exact"/>
              <w:rPr>
                <w:rFonts w:eastAsia="方正仿宋_GBK"/>
                <w:sz w:val="24"/>
              </w:rPr>
            </w:pPr>
            <w:r>
              <w:rPr>
                <w:rFonts w:eastAsia="方正仿宋_GBK"/>
                <w:sz w:val="24"/>
              </w:rPr>
              <w:t>政府采购监管部门：莎车县财政局采购办 联系电话：0998-8512578</w:t>
            </w:r>
          </w:p>
        </w:tc>
      </w:tr>
      <w:tr w14:paraId="5DFD8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73" w:hRule="atLeast"/>
        </w:trPr>
        <w:tc>
          <w:tcPr>
            <w:tcW w:w="1395" w:type="dxa"/>
            <w:vAlign w:val="center"/>
          </w:tcPr>
          <w:p w14:paraId="7F72CF23">
            <w:pPr>
              <w:spacing w:line="360" w:lineRule="exact"/>
              <w:jc w:val="center"/>
              <w:rPr>
                <w:rFonts w:eastAsia="方正仿宋_GBK"/>
                <w:sz w:val="24"/>
              </w:rPr>
            </w:pPr>
            <w:r>
              <w:rPr>
                <w:rFonts w:eastAsia="方正仿宋_GBK"/>
                <w:sz w:val="24"/>
              </w:rPr>
              <w:t>36.3</w:t>
            </w:r>
          </w:p>
        </w:tc>
        <w:tc>
          <w:tcPr>
            <w:tcW w:w="8115" w:type="dxa"/>
            <w:vAlign w:val="center"/>
          </w:tcPr>
          <w:p w14:paraId="22E4EC93">
            <w:pPr>
              <w:snapToGrid w:val="0"/>
              <w:textAlignment w:val="baseline"/>
              <w:rPr>
                <w:rFonts w:eastAsia="方正仿宋_GBK"/>
                <w:sz w:val="24"/>
              </w:rPr>
            </w:pPr>
            <w:r>
              <w:rPr>
                <w:rFonts w:eastAsia="方正仿宋_GBK"/>
                <w:sz w:val="24"/>
              </w:rPr>
              <w:t>采购单位质疑函接收部门、联系电话和通讯地址：莎车县古城东路36号（莎车县</w:t>
            </w:r>
            <w:r>
              <w:rPr>
                <w:rFonts w:hint="eastAsia" w:eastAsia="方正仿宋_GBK"/>
                <w:sz w:val="24"/>
              </w:rPr>
              <w:t>人民医院</w:t>
            </w:r>
            <w:r>
              <w:rPr>
                <w:rFonts w:eastAsia="方正仿宋_GBK"/>
                <w:sz w:val="24"/>
              </w:rPr>
              <w:t>）；联系人：</w:t>
            </w:r>
            <w:r>
              <w:rPr>
                <w:rFonts w:hint="eastAsia" w:eastAsia="方正仿宋_GBK"/>
                <w:sz w:val="24"/>
              </w:rPr>
              <w:t xml:space="preserve">张佳微 </w:t>
            </w:r>
            <w:r>
              <w:rPr>
                <w:rFonts w:eastAsia="方正仿宋_GBK"/>
                <w:sz w:val="24"/>
              </w:rPr>
              <w:t>联系电话：0998-8525081；</w:t>
            </w:r>
          </w:p>
          <w:p w14:paraId="4510D233">
            <w:pPr>
              <w:spacing w:line="360" w:lineRule="exact"/>
              <w:rPr>
                <w:rFonts w:eastAsia="方正仿宋_GBK"/>
                <w:sz w:val="24"/>
              </w:rPr>
            </w:pPr>
            <w:r>
              <w:rPr>
                <w:rFonts w:eastAsia="方正仿宋_GBK"/>
                <w:sz w:val="24"/>
              </w:rPr>
              <w:t>采购代理机构质疑函接收部门、联系电话和通讯地址：莎车县政府采购中心；联系人：</w:t>
            </w:r>
            <w:r>
              <w:rPr>
                <w:rFonts w:hint="eastAsia" w:eastAsia="方正仿宋_GBK"/>
                <w:sz w:val="24"/>
              </w:rPr>
              <w:t>田莉</w:t>
            </w:r>
            <w:r>
              <w:rPr>
                <w:rFonts w:eastAsia="方正仿宋_GBK"/>
                <w:sz w:val="24"/>
              </w:rPr>
              <w:t>；联系电话：0998-8512672；通讯地址：喀什地区莎车县行政服务中心三楼11</w:t>
            </w:r>
            <w:r>
              <w:rPr>
                <w:rFonts w:hint="eastAsia" w:eastAsia="方正仿宋_GBK"/>
                <w:sz w:val="24"/>
              </w:rPr>
              <w:t>2</w:t>
            </w:r>
            <w:r>
              <w:rPr>
                <w:rFonts w:eastAsia="方正仿宋_GBK"/>
                <w:sz w:val="24"/>
              </w:rPr>
              <w:t>号窗口</w:t>
            </w:r>
          </w:p>
        </w:tc>
      </w:tr>
      <w:tr w14:paraId="49486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1" w:hRule="atLeast"/>
        </w:trPr>
        <w:tc>
          <w:tcPr>
            <w:tcW w:w="1395" w:type="dxa"/>
            <w:vAlign w:val="center"/>
          </w:tcPr>
          <w:p w14:paraId="3397B41A">
            <w:pPr>
              <w:spacing w:line="360" w:lineRule="exact"/>
              <w:jc w:val="center"/>
              <w:rPr>
                <w:rFonts w:eastAsia="方正仿宋_GBK"/>
                <w:sz w:val="24"/>
              </w:rPr>
            </w:pPr>
            <w:r>
              <w:rPr>
                <w:rFonts w:eastAsia="方正仿宋_GBK"/>
                <w:sz w:val="24"/>
              </w:rPr>
              <w:t>37.2</w:t>
            </w:r>
          </w:p>
        </w:tc>
        <w:tc>
          <w:tcPr>
            <w:tcW w:w="8115" w:type="dxa"/>
            <w:vAlign w:val="center"/>
          </w:tcPr>
          <w:p w14:paraId="402F9473">
            <w:pPr>
              <w:spacing w:line="360" w:lineRule="exact"/>
              <w:rPr>
                <w:rFonts w:eastAsia="方正仿宋_GBK"/>
                <w:sz w:val="24"/>
              </w:rPr>
            </w:pPr>
            <w:r>
              <w:rPr>
                <w:rFonts w:eastAsia="方正仿宋_GBK"/>
                <w:sz w:val="24"/>
              </w:rPr>
              <w:t>投诉函接收部门、联系电话和通讯地址：莎车县财政局采购办；联系电话：0998-8512578；通讯地址：喀什地区莎车县人民政府大楼一楼112办公室</w:t>
            </w:r>
          </w:p>
        </w:tc>
      </w:tr>
      <w:tr w14:paraId="1E80F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trPr>
        <w:tc>
          <w:tcPr>
            <w:tcW w:w="9510" w:type="dxa"/>
            <w:gridSpan w:val="2"/>
            <w:vAlign w:val="center"/>
          </w:tcPr>
          <w:p w14:paraId="2EA686E6">
            <w:pPr>
              <w:spacing w:line="360" w:lineRule="exact"/>
              <w:jc w:val="center"/>
              <w:rPr>
                <w:rFonts w:eastAsia="方正仿宋_GBK"/>
                <w:sz w:val="24"/>
              </w:rPr>
            </w:pPr>
            <w:r>
              <w:rPr>
                <w:rFonts w:eastAsia="方正仿宋_GBK"/>
                <w:b/>
                <w:bCs/>
                <w:spacing w:val="-4"/>
                <w:sz w:val="24"/>
              </w:rPr>
              <w:t>适用于本投标人须知的额外增加的变动：</w:t>
            </w:r>
          </w:p>
        </w:tc>
      </w:tr>
      <w:tr w14:paraId="1848C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67" w:hRule="atLeast"/>
        </w:trPr>
        <w:tc>
          <w:tcPr>
            <w:tcW w:w="1395" w:type="dxa"/>
            <w:vAlign w:val="center"/>
          </w:tcPr>
          <w:p w14:paraId="203C66DA">
            <w:pPr>
              <w:spacing w:line="240" w:lineRule="atLeast"/>
              <w:jc w:val="center"/>
              <w:rPr>
                <w:rFonts w:eastAsia="方正仿宋_GBK"/>
                <w:sz w:val="24"/>
              </w:rPr>
            </w:pPr>
            <w:r>
              <w:rPr>
                <w:rFonts w:eastAsia="方正仿宋_GBK"/>
                <w:sz w:val="24"/>
                <w:lang w:eastAsia="en-US"/>
              </w:rPr>
              <w:t>1</w:t>
            </w:r>
          </w:p>
        </w:tc>
        <w:tc>
          <w:tcPr>
            <w:tcW w:w="8115" w:type="dxa"/>
            <w:vAlign w:val="center"/>
          </w:tcPr>
          <w:p w14:paraId="20E6CB2D">
            <w:pPr>
              <w:spacing w:line="240" w:lineRule="atLeast"/>
              <w:jc w:val="left"/>
              <w:rPr>
                <w:rFonts w:eastAsia="方正仿宋_GBK"/>
                <w:sz w:val="24"/>
              </w:rPr>
            </w:pPr>
            <w:r>
              <w:rPr>
                <w:rFonts w:eastAsia="方正仿宋_GBK"/>
                <w:sz w:val="24"/>
              </w:rPr>
              <w:t>①严禁恶意竞标，必须保证所投服务达到甲方要求。</w:t>
            </w:r>
          </w:p>
          <w:p w14:paraId="504CC88E">
            <w:pPr>
              <w:spacing w:line="240" w:lineRule="atLeast"/>
              <w:jc w:val="left"/>
              <w:rPr>
                <w:rFonts w:eastAsia="方正仿宋_GBK"/>
                <w:sz w:val="24"/>
              </w:rPr>
            </w:pPr>
            <w:r>
              <w:rPr>
                <w:rFonts w:eastAsia="方正仿宋_GBK"/>
                <w:sz w:val="24"/>
              </w:rPr>
              <w:t>②中标后，中标人向采购人提供的服务与磋商文件中采购需求不一致的，采购人有权拒收，期间所产生的任何费用由中标人承担。</w:t>
            </w:r>
          </w:p>
        </w:tc>
      </w:tr>
      <w:tr w14:paraId="579A7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7" w:hRule="atLeast"/>
        </w:trPr>
        <w:tc>
          <w:tcPr>
            <w:tcW w:w="1395" w:type="dxa"/>
            <w:vAlign w:val="center"/>
          </w:tcPr>
          <w:p w14:paraId="4CDBFAE5">
            <w:pPr>
              <w:spacing w:line="240" w:lineRule="atLeast"/>
              <w:jc w:val="center"/>
              <w:rPr>
                <w:rFonts w:eastAsia="方正仿宋_GBK"/>
                <w:sz w:val="24"/>
              </w:rPr>
            </w:pPr>
            <w:r>
              <w:rPr>
                <w:rFonts w:eastAsia="方正仿宋_GBK"/>
                <w:sz w:val="24"/>
                <w:lang w:eastAsia="en-US"/>
              </w:rPr>
              <w:t>2</w:t>
            </w:r>
          </w:p>
        </w:tc>
        <w:tc>
          <w:tcPr>
            <w:tcW w:w="8115" w:type="dxa"/>
          </w:tcPr>
          <w:p w14:paraId="7870873F">
            <w:pPr>
              <w:spacing w:line="240" w:lineRule="atLeast"/>
              <w:jc w:val="left"/>
              <w:rPr>
                <w:rFonts w:eastAsia="方正仿宋_GBK"/>
                <w:sz w:val="24"/>
              </w:rPr>
            </w:pPr>
            <w:r>
              <w:rPr>
                <w:rFonts w:eastAsia="方正仿宋_GBK"/>
                <w:sz w:val="24"/>
              </w:rPr>
              <w:t>低于成本价不正当竞争预防措施： 磋商小组认为供应商报价明显低于其他通过符合性审查供应商的报价，有可能影响服务质量或者不能诚信履约的，应当要求其在磋商过程中合理的时间内提供书面说明或承诺书。</w:t>
            </w:r>
          </w:p>
        </w:tc>
      </w:tr>
      <w:tr w14:paraId="0F1F1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73" w:hRule="atLeast"/>
        </w:trPr>
        <w:tc>
          <w:tcPr>
            <w:tcW w:w="1395" w:type="dxa"/>
            <w:vAlign w:val="center"/>
          </w:tcPr>
          <w:p w14:paraId="381B26E4">
            <w:pPr>
              <w:spacing w:line="240" w:lineRule="atLeast"/>
              <w:jc w:val="center"/>
              <w:rPr>
                <w:rFonts w:eastAsia="方正仿宋_GBK"/>
                <w:sz w:val="24"/>
              </w:rPr>
            </w:pPr>
            <w:r>
              <w:rPr>
                <w:rFonts w:eastAsia="方正仿宋_GBK"/>
                <w:sz w:val="24"/>
                <w:lang w:eastAsia="en-US"/>
              </w:rPr>
              <w:t>3</w:t>
            </w:r>
          </w:p>
        </w:tc>
        <w:tc>
          <w:tcPr>
            <w:tcW w:w="8115" w:type="dxa"/>
            <w:vAlign w:val="center"/>
          </w:tcPr>
          <w:p w14:paraId="0825A332">
            <w:pPr>
              <w:spacing w:line="240" w:lineRule="atLeast"/>
              <w:rPr>
                <w:rFonts w:eastAsia="方正仿宋_GBK"/>
                <w:sz w:val="24"/>
              </w:rPr>
            </w:pPr>
            <w:r>
              <w:rPr>
                <w:rFonts w:hint="eastAsia" w:eastAsia="方正仿宋_GBK"/>
                <w:sz w:val="24"/>
              </w:rPr>
              <w:t>服务</w:t>
            </w:r>
            <w:r>
              <w:rPr>
                <w:rFonts w:eastAsia="方正仿宋_GBK"/>
                <w:sz w:val="24"/>
              </w:rPr>
              <w:t>期限：5-8个月 （具体以合同签订为准）</w:t>
            </w:r>
          </w:p>
          <w:p w14:paraId="2B23E013">
            <w:pPr>
              <w:spacing w:line="240" w:lineRule="atLeast"/>
              <w:rPr>
                <w:rFonts w:eastAsia="方正仿宋_GBK"/>
                <w:sz w:val="24"/>
              </w:rPr>
            </w:pPr>
            <w:r>
              <w:rPr>
                <w:rFonts w:eastAsia="方正仿宋_GBK"/>
                <w:sz w:val="24"/>
              </w:rPr>
              <w:t>2、根据财库【2016】205号文相关要求严格规范开展履约验收：</w:t>
            </w:r>
          </w:p>
          <w:p w14:paraId="2FD24DDC">
            <w:pPr>
              <w:spacing w:line="240" w:lineRule="atLeast"/>
              <w:rPr>
                <w:rFonts w:eastAsia="方正仿宋_GBK"/>
                <w:sz w:val="24"/>
              </w:rPr>
            </w:pPr>
            <w:r>
              <w:rPr>
                <w:rFonts w:eastAsia="方正仿宋_GBK"/>
                <w:sz w:val="24"/>
              </w:rPr>
              <w:t>(1)采购人应当依法组织履约验收工作，根据采购项目的具体情况，自行组织项目验收。</w:t>
            </w:r>
          </w:p>
          <w:p w14:paraId="0DD4F838">
            <w:pPr>
              <w:spacing w:line="240" w:lineRule="atLeast"/>
              <w:rPr>
                <w:rFonts w:eastAsia="方正仿宋_GBK"/>
                <w:sz w:val="24"/>
              </w:rPr>
            </w:pPr>
            <w:r>
              <w:rPr>
                <w:rFonts w:eastAsia="方正仿宋_GBK"/>
                <w:sz w:val="24"/>
              </w:rPr>
              <w:t>(2)严格按照采购合同开展履约验收。采购人成立验收小组，按照采购合同的约定对供应商履约情况进行验收。验收时，按照采购合同的约定对每一项服务内容的履约情况进行确认。验收结束后，出具验收书，列明各项服务内容的验收情况及项目总体评价，由验收双方共同签署。验收结果将与采购合同约定的资金支付及履约保证金返还条件挂钩。履约验收的各项资料将存档备查。</w:t>
            </w:r>
          </w:p>
          <w:p w14:paraId="4D67D733">
            <w:pPr>
              <w:spacing w:line="240" w:lineRule="atLeast"/>
              <w:rPr>
                <w:rFonts w:eastAsia="方正仿宋_GBK"/>
                <w:sz w:val="24"/>
              </w:rPr>
            </w:pPr>
            <w:r>
              <w:rPr>
                <w:rFonts w:eastAsia="方正仿宋_GBK"/>
                <w:sz w:val="24"/>
              </w:rPr>
              <w:t>(3)严格落实履约验收责任。验收合格的项目，采购人将根据采购合同的约定及时向供应商支付采购资金、退还履约保证金。验收不合格的项目，采购人将按照《中华人民共和国民法典》合同编相关规定依法及时处理。</w:t>
            </w:r>
          </w:p>
        </w:tc>
      </w:tr>
      <w:tr w14:paraId="4D12F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3" w:hRule="atLeast"/>
        </w:trPr>
        <w:tc>
          <w:tcPr>
            <w:tcW w:w="1395" w:type="dxa"/>
            <w:vAlign w:val="center"/>
          </w:tcPr>
          <w:p w14:paraId="04E6DB19">
            <w:pPr>
              <w:spacing w:line="240" w:lineRule="atLeast"/>
              <w:jc w:val="center"/>
              <w:rPr>
                <w:rFonts w:eastAsia="方正仿宋_GBK"/>
                <w:sz w:val="24"/>
                <w:lang w:eastAsia="en-US"/>
              </w:rPr>
            </w:pPr>
            <w:r>
              <w:rPr>
                <w:rFonts w:eastAsia="方正仿宋_GBK"/>
                <w:sz w:val="24"/>
              </w:rPr>
              <w:t>4</w:t>
            </w:r>
          </w:p>
        </w:tc>
        <w:tc>
          <w:tcPr>
            <w:tcW w:w="8115" w:type="dxa"/>
            <w:vAlign w:val="center"/>
          </w:tcPr>
          <w:p w14:paraId="3B5314D0">
            <w:pPr>
              <w:spacing w:line="320" w:lineRule="exact"/>
              <w:rPr>
                <w:rFonts w:eastAsia="方正仿宋_GBK"/>
                <w:sz w:val="24"/>
                <w:u w:val="single"/>
              </w:rPr>
            </w:pPr>
            <w:r>
              <w:rPr>
                <w:rFonts w:eastAsia="方正仿宋_GBK"/>
                <w:sz w:val="24"/>
              </w:rPr>
              <w:t>本项目中小型企业所属行业：</w:t>
            </w:r>
            <w:r>
              <w:rPr>
                <w:rFonts w:hint="eastAsia" w:eastAsia="方正仿宋_GBK"/>
                <w:b/>
                <w:bCs/>
                <w:kern w:val="0"/>
                <w:sz w:val="24"/>
                <w:u w:val="single"/>
              </w:rPr>
              <w:t>软件和信息技术服务业</w:t>
            </w:r>
          </w:p>
          <w:p w14:paraId="7DEBA125">
            <w:pPr>
              <w:pStyle w:val="104"/>
              <w:spacing w:line="320" w:lineRule="exact"/>
              <w:ind w:firstLine="0" w:firstLineChars="0"/>
              <w:rPr>
                <w:rFonts w:ascii="Times New Roman" w:hAnsi="Times New Roman" w:eastAsia="方正仿宋_GBK" w:cs="Times New Roman"/>
                <w:sz w:val="24"/>
                <w:szCs w:val="24"/>
              </w:rPr>
            </w:pPr>
            <w:r>
              <w:rPr>
                <w:rFonts w:ascii="Times New Roman" w:hAnsi="Times New Roman" w:eastAsia="方正仿宋_GBK" w:cs="Times New Roman"/>
                <w:sz w:val="24"/>
                <w:szCs w:val="24"/>
              </w:rPr>
              <w:t>中小企业划型标准规定</w:t>
            </w:r>
          </w:p>
          <w:p w14:paraId="5B58136E">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一、根据《中华人民共和国中小企业促进法》和《国务院关于进一步促进中小企业发展的若干意见》(（国发〔2009〕[2009]36号)，制定本规定。</w:t>
            </w:r>
          </w:p>
          <w:p w14:paraId="4C068D43">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二、中小企业划分为中型、小型、微型三种类型，具体标准根据企业从业人员、营业收入、资产总额等指标，结合行业特点制定。</w:t>
            </w:r>
          </w:p>
          <w:p w14:paraId="48DDBA54">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3D9C9D4">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四、各行业划型标准为：</w:t>
            </w:r>
          </w:p>
          <w:p w14:paraId="534991BC">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（一）农、林、牧、渔业。营业收入20000万元以下的为中小微型企业。其中，营业收入500万元及以上的为中型企业，营业收入50万元及以上的为小型企业，营业收入50万元以下的为微型企业。</w:t>
            </w:r>
          </w:p>
          <w:p w14:paraId="0C1EA492">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0C55AF7">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A222FE">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BAE222">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6AC7A6">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20F9421">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2EA7BA2">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85143D2">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3FFB4E9">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3E1408">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AD16201">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898B0FC">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BD27629">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D76414">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C90D15A">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（十六）其他未列明行业。从业人员300人以下的为中小微型企业。其中，从业人员100人及以上的为中型企业；从业人员10人及以上的为小型企业；从业人员10人以下的为微型企业。</w:t>
            </w:r>
          </w:p>
          <w:p w14:paraId="2DB2C030">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五、企业类型的划分以统计部门的统计数据为依据。</w:t>
            </w:r>
          </w:p>
          <w:p w14:paraId="2C7CE992">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六、本规定适用于在中华人民共和国境内依法设立的各类所有制和各种组织形式的企业。个体工商户和本规定以外的行业，参照本规定进行划型。</w:t>
            </w:r>
          </w:p>
          <w:p w14:paraId="2AAF685F">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F2665DC">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八、本规定由工业和信息化部、国家统计局会同有关部门根据《国民经济行业分类》修订情况和企业发展变化情况适时修订。</w:t>
            </w:r>
          </w:p>
          <w:p w14:paraId="25FB4C04">
            <w:pPr>
              <w:pStyle w:val="104"/>
              <w:spacing w:line="32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九、本规定由工业和信息化部、国家统计局会同有关部门负责解释。</w:t>
            </w:r>
          </w:p>
          <w:p w14:paraId="6CF5388F">
            <w:pPr>
              <w:spacing w:line="240" w:lineRule="atLeast"/>
              <w:ind w:firstLine="480" w:firstLineChars="200"/>
              <w:rPr>
                <w:rFonts w:eastAsia="方正仿宋_GBK"/>
                <w:sz w:val="24"/>
              </w:rPr>
            </w:pPr>
            <w:r>
              <w:rPr>
                <w:rFonts w:eastAsia="方正仿宋_GBK"/>
                <w:sz w:val="24"/>
              </w:rPr>
              <w:t>十、本规定自发布之日起执行，原国家经贸委、原国家计委、财政部和国家统计局2003年颁布的《中小企业标准暂行规定》同时废止。</w:t>
            </w:r>
          </w:p>
        </w:tc>
      </w:tr>
    </w:tbl>
    <w:p w14:paraId="5037D553">
      <w:pPr>
        <w:pStyle w:val="37"/>
        <w:ind w:firstLine="0" w:firstLineChars="0"/>
        <w:rPr>
          <w:rFonts w:eastAsia="方正仿宋_GBK"/>
          <w:b/>
          <w:bCs/>
        </w:rPr>
        <w:sectPr>
          <w:footerReference r:id="rId7" w:type="default"/>
          <w:pgSz w:w="11905" w:h="16838"/>
          <w:pgMar w:top="1984" w:right="1531" w:bottom="1701" w:left="1531" w:header="851" w:footer="992" w:gutter="0"/>
          <w:cols w:space="0" w:num="1"/>
          <w:docGrid w:linePitch="312" w:charSpace="0"/>
        </w:sectPr>
      </w:pPr>
    </w:p>
    <w:p w14:paraId="5B4972B9">
      <w:pPr>
        <w:pStyle w:val="37"/>
        <w:ind w:firstLine="0" w:firstLineChars="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资格审查表</w:t>
      </w:r>
    </w:p>
    <w:tbl>
      <w:tblPr>
        <w:tblStyle w:val="38"/>
        <w:tblpPr w:leftFromText="180" w:rightFromText="180" w:vertAnchor="text" w:horzAnchor="page" w:tblpX="1004" w:tblpY="125"/>
        <w:tblOverlap w:val="never"/>
        <w:tblW w:w="15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321"/>
        <w:gridCol w:w="1158"/>
        <w:gridCol w:w="1846"/>
        <w:gridCol w:w="1408"/>
        <w:gridCol w:w="1119"/>
        <w:gridCol w:w="4085"/>
        <w:gridCol w:w="784"/>
        <w:gridCol w:w="1027"/>
        <w:gridCol w:w="782"/>
        <w:gridCol w:w="585"/>
        <w:gridCol w:w="585"/>
      </w:tblGrid>
      <w:tr w14:paraId="4D50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00" w:type="dxa"/>
            <w:vMerge w:val="restart"/>
            <w:noWrap/>
            <w:vAlign w:val="center"/>
          </w:tcPr>
          <w:p w14:paraId="5D0C8F5F">
            <w:pPr>
              <w:widowControl/>
              <w:spacing w:line="320" w:lineRule="exact"/>
              <w:rPr>
                <w:rFonts w:eastAsia="方正仿宋_GBK"/>
                <w:kern w:val="0"/>
                <w:sz w:val="24"/>
              </w:rPr>
            </w:pPr>
            <w:bookmarkStart w:id="818" w:name="_Toc218935355"/>
            <w:bookmarkStart w:id="819" w:name="_Toc216582826"/>
            <w:bookmarkStart w:id="820" w:name="_Toc219175639"/>
            <w:r>
              <w:rPr>
                <w:rFonts w:eastAsia="方正仿宋_GBK"/>
                <w:kern w:val="0"/>
                <w:sz w:val="24"/>
              </w:rPr>
              <w:t>供应商名称</w:t>
            </w:r>
          </w:p>
        </w:tc>
        <w:tc>
          <w:tcPr>
            <w:tcW w:w="13530" w:type="dxa"/>
            <w:gridSpan w:val="9"/>
            <w:noWrap/>
            <w:vAlign w:val="center"/>
          </w:tcPr>
          <w:p w14:paraId="49621B88">
            <w:pPr>
              <w:widowControl/>
              <w:spacing w:line="320" w:lineRule="exact"/>
              <w:jc w:val="center"/>
              <w:rPr>
                <w:rFonts w:eastAsia="方正仿宋_GBK"/>
                <w:kern w:val="0"/>
                <w:sz w:val="32"/>
                <w:szCs w:val="32"/>
              </w:rPr>
            </w:pPr>
            <w:r>
              <w:rPr>
                <w:rFonts w:eastAsia="方正仿宋_GBK"/>
                <w:kern w:val="0"/>
                <w:sz w:val="28"/>
                <w:szCs w:val="28"/>
              </w:rPr>
              <w:t>审查项目</w:t>
            </w:r>
          </w:p>
        </w:tc>
        <w:tc>
          <w:tcPr>
            <w:tcW w:w="585" w:type="dxa"/>
            <w:noWrap/>
            <w:vAlign w:val="center"/>
          </w:tcPr>
          <w:p w14:paraId="23AAF355">
            <w:pPr>
              <w:widowControl/>
              <w:spacing w:line="320" w:lineRule="exact"/>
              <w:rPr>
                <w:rFonts w:eastAsia="方正仿宋_GBK"/>
                <w:kern w:val="0"/>
                <w:sz w:val="24"/>
              </w:rPr>
            </w:pPr>
          </w:p>
        </w:tc>
        <w:tc>
          <w:tcPr>
            <w:tcW w:w="585" w:type="dxa"/>
            <w:noWrap/>
            <w:vAlign w:val="center"/>
          </w:tcPr>
          <w:p w14:paraId="5EEF7D9F">
            <w:pPr>
              <w:widowControl/>
              <w:spacing w:line="320" w:lineRule="exact"/>
              <w:rPr>
                <w:rFonts w:eastAsia="方正仿宋_GBK"/>
                <w:kern w:val="0"/>
                <w:sz w:val="18"/>
                <w:szCs w:val="18"/>
              </w:rPr>
            </w:pPr>
            <w:r>
              <w:rPr>
                <w:rFonts w:eastAsia="方正仿宋_GBK"/>
                <w:kern w:val="0"/>
                <w:sz w:val="24"/>
              </w:rPr>
              <w:t>结论</w:t>
            </w:r>
          </w:p>
        </w:tc>
      </w:tr>
      <w:tr w14:paraId="4A5C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5" w:hRule="atLeast"/>
        </w:trPr>
        <w:tc>
          <w:tcPr>
            <w:tcW w:w="400" w:type="dxa"/>
            <w:vMerge w:val="continue"/>
            <w:noWrap/>
            <w:vAlign w:val="center"/>
          </w:tcPr>
          <w:p w14:paraId="42962BF5">
            <w:pPr>
              <w:widowControl/>
              <w:spacing w:line="320" w:lineRule="exact"/>
              <w:rPr>
                <w:rFonts w:eastAsia="方正仿宋_GBK"/>
                <w:kern w:val="0"/>
                <w:sz w:val="18"/>
                <w:szCs w:val="18"/>
              </w:rPr>
            </w:pPr>
          </w:p>
        </w:tc>
        <w:tc>
          <w:tcPr>
            <w:tcW w:w="1321" w:type="dxa"/>
            <w:shd w:val="clear" w:color="auto" w:fill="auto"/>
            <w:noWrap/>
            <w:vAlign w:val="center"/>
          </w:tcPr>
          <w:p w14:paraId="66C59A6A">
            <w:pPr>
              <w:widowControl/>
              <w:spacing w:line="320" w:lineRule="exact"/>
              <w:jc w:val="center"/>
              <w:rPr>
                <w:rFonts w:eastAsia="方正仿宋_GBK"/>
                <w:kern w:val="0"/>
                <w:sz w:val="24"/>
              </w:rPr>
            </w:pPr>
            <w:r>
              <w:rPr>
                <w:rFonts w:hint="eastAsia" w:eastAsia="方正仿宋_GBK"/>
                <w:sz w:val="24"/>
              </w:rPr>
              <w:t>（1）</w:t>
            </w:r>
            <w:r>
              <w:rPr>
                <w:rFonts w:eastAsia="方正仿宋_GBK"/>
                <w:sz w:val="24"/>
              </w:rPr>
              <w:t>企业三证合一的法人营业执照或含二维码的营业执照；</w:t>
            </w:r>
          </w:p>
        </w:tc>
        <w:tc>
          <w:tcPr>
            <w:tcW w:w="1158" w:type="dxa"/>
            <w:shd w:val="clear" w:color="auto" w:fill="auto"/>
            <w:noWrap/>
            <w:vAlign w:val="center"/>
          </w:tcPr>
          <w:p w14:paraId="69BC97AD">
            <w:pPr>
              <w:widowControl/>
              <w:spacing w:line="320" w:lineRule="exact"/>
              <w:jc w:val="center"/>
              <w:rPr>
                <w:rFonts w:eastAsia="方正仿宋_GBK"/>
                <w:kern w:val="0"/>
                <w:sz w:val="24"/>
              </w:rPr>
            </w:pPr>
            <w:r>
              <w:rPr>
                <w:rFonts w:eastAsia="方正仿宋_GBK"/>
                <w:sz w:val="24"/>
              </w:rPr>
              <w:t xml:space="preserve">（2）法定代表人授权书及被授权人身份证，法人本人参与投标提供法人身份证及法人资格证明； </w:t>
            </w:r>
          </w:p>
        </w:tc>
        <w:tc>
          <w:tcPr>
            <w:tcW w:w="1846" w:type="dxa"/>
            <w:shd w:val="clear" w:color="auto" w:fill="auto"/>
            <w:noWrap/>
            <w:vAlign w:val="center"/>
          </w:tcPr>
          <w:p w14:paraId="5F9543F7">
            <w:pPr>
              <w:snapToGrid w:val="0"/>
              <w:spacing w:line="380" w:lineRule="exact"/>
              <w:textAlignment w:val="baseline"/>
              <w:rPr>
                <w:rFonts w:eastAsia="方正仿宋_GBK"/>
                <w:kern w:val="0"/>
                <w:sz w:val="24"/>
              </w:rPr>
            </w:pPr>
            <w:r>
              <w:rPr>
                <w:rFonts w:eastAsia="方正仿宋_GBK"/>
                <w:sz w:val="24"/>
              </w:rPr>
              <w:t>（3）被授权委托人在本单位缴纳近六个月内任意一个月的社保证明（单位社保缴费凭证和个人明细表）、法定代表人提供本单位社保缴费凭证；（新成立公司从成立之日起缴纳的相关社保证明材料）；</w:t>
            </w:r>
          </w:p>
        </w:tc>
        <w:tc>
          <w:tcPr>
            <w:tcW w:w="1408" w:type="dxa"/>
            <w:shd w:val="clear" w:color="auto" w:fill="auto"/>
            <w:noWrap/>
            <w:vAlign w:val="center"/>
          </w:tcPr>
          <w:p w14:paraId="24297C67">
            <w:pPr>
              <w:snapToGrid w:val="0"/>
              <w:spacing w:line="380" w:lineRule="exact"/>
              <w:jc w:val="left"/>
              <w:textAlignment w:val="baseline"/>
              <w:rPr>
                <w:rFonts w:eastAsia="方正仿宋_GBK"/>
                <w:sz w:val="24"/>
              </w:rPr>
            </w:pPr>
            <w:r>
              <w:rPr>
                <w:rFonts w:eastAsia="方正仿宋_GBK"/>
                <w:sz w:val="24"/>
              </w:rPr>
              <w:t>（4）具有健全的财务会计制度（2023年的财务审计报告与健全的财务会计制度，新成立公司不足一年的提供近三个月内有效的银行资信证明）；</w:t>
            </w:r>
          </w:p>
          <w:p w14:paraId="2857ACAC">
            <w:pPr>
              <w:snapToGrid w:val="0"/>
              <w:spacing w:line="380" w:lineRule="exact"/>
              <w:textAlignment w:val="baseline"/>
              <w:rPr>
                <w:rFonts w:eastAsia="方正仿宋_GBK"/>
                <w:kern w:val="0"/>
                <w:sz w:val="24"/>
              </w:rPr>
            </w:pPr>
          </w:p>
        </w:tc>
        <w:tc>
          <w:tcPr>
            <w:tcW w:w="1119" w:type="dxa"/>
            <w:shd w:val="clear" w:color="auto" w:fill="auto"/>
            <w:noWrap/>
            <w:vAlign w:val="center"/>
          </w:tcPr>
          <w:p w14:paraId="0D311B1C">
            <w:pPr>
              <w:snapToGrid w:val="0"/>
              <w:spacing w:line="380" w:lineRule="exact"/>
              <w:textAlignment w:val="baseline"/>
              <w:rPr>
                <w:rFonts w:eastAsia="方正仿宋_GBK"/>
                <w:kern w:val="0"/>
                <w:sz w:val="24"/>
              </w:rPr>
            </w:pPr>
            <w:r>
              <w:rPr>
                <w:rFonts w:eastAsia="方正仿宋_GBK"/>
                <w:sz w:val="22"/>
                <w:szCs w:val="22"/>
              </w:rPr>
              <w:t>（5）在税务局依法缴纳近半年任意一个月税收证明的良好记录及投标截止日内无拖欠税收证明（零申报的企业需提供税务局的相关证明）；</w:t>
            </w:r>
          </w:p>
        </w:tc>
        <w:tc>
          <w:tcPr>
            <w:tcW w:w="4085" w:type="dxa"/>
            <w:shd w:val="clear" w:color="auto" w:fill="auto"/>
            <w:noWrap/>
            <w:vAlign w:val="center"/>
          </w:tcPr>
          <w:p w14:paraId="6DB15C0B">
            <w:pPr>
              <w:widowControl/>
              <w:spacing w:line="320" w:lineRule="exact"/>
              <w:jc w:val="center"/>
              <w:rPr>
                <w:rFonts w:eastAsia="方正仿宋_GBK"/>
                <w:kern w:val="0"/>
                <w:sz w:val="16"/>
                <w:szCs w:val="16"/>
              </w:rPr>
            </w:pPr>
            <w:r>
              <w:rPr>
                <w:rFonts w:eastAsia="方正仿宋_GBK"/>
                <w:sz w:val="24"/>
              </w:rPr>
              <w:t>（6）根据《财政部关于在政府采购活动中查询及使用信用记录有关问题的通知》（财库﹝2016﹞125号）的要求，凡拟参加本次招标项目的供应商，如在“信用中国”网站（www.creditchina.gov.cn）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w:t>
            </w:r>
            <w:r>
              <w:rPr>
                <w:rFonts w:eastAsia="方正仿宋_GBK"/>
                <w:sz w:val="20"/>
                <w:szCs w:val="20"/>
              </w:rPr>
              <w:t>投标企业自行下载放入投标文件中，下载日期需在投标截</w:t>
            </w:r>
            <w:r>
              <w:rPr>
                <w:rFonts w:eastAsia="方正仿宋_GBK"/>
                <w:sz w:val="24"/>
              </w:rPr>
              <w:t>止日内）；</w:t>
            </w:r>
          </w:p>
        </w:tc>
        <w:tc>
          <w:tcPr>
            <w:tcW w:w="784" w:type="dxa"/>
            <w:shd w:val="clear" w:color="auto" w:fill="auto"/>
            <w:noWrap/>
            <w:vAlign w:val="center"/>
          </w:tcPr>
          <w:p w14:paraId="2FA86337">
            <w:pPr>
              <w:snapToGrid w:val="0"/>
              <w:spacing w:line="380" w:lineRule="exact"/>
              <w:textAlignment w:val="baseline"/>
              <w:rPr>
                <w:rFonts w:eastAsia="方正仿宋_GBK"/>
                <w:kern w:val="0"/>
                <w:sz w:val="24"/>
              </w:rPr>
            </w:pPr>
            <w:r>
              <w:rPr>
                <w:rFonts w:eastAsia="方正仿宋_GBK"/>
                <w:sz w:val="24"/>
              </w:rPr>
              <w:t>（7）在参加政府采购活动中前三年内无重大违法记录的承诺书；</w:t>
            </w:r>
          </w:p>
        </w:tc>
        <w:tc>
          <w:tcPr>
            <w:tcW w:w="1027" w:type="dxa"/>
            <w:shd w:val="clear" w:color="auto" w:fill="auto"/>
            <w:noWrap/>
            <w:vAlign w:val="center"/>
          </w:tcPr>
          <w:p w14:paraId="53D5904C">
            <w:pPr>
              <w:snapToGrid w:val="0"/>
              <w:spacing w:line="380" w:lineRule="exact"/>
              <w:textAlignment w:val="baseline"/>
              <w:rPr>
                <w:rFonts w:eastAsia="方正仿宋_GBK"/>
                <w:kern w:val="0"/>
                <w:sz w:val="24"/>
              </w:rPr>
            </w:pPr>
            <w:r>
              <w:rPr>
                <w:rFonts w:eastAsia="方正仿宋_GBK"/>
                <w:sz w:val="24"/>
              </w:rPr>
              <w:t>（8）提供针对本次项目《反商业贿赂承诺书》书面声明；</w:t>
            </w:r>
          </w:p>
        </w:tc>
        <w:tc>
          <w:tcPr>
            <w:tcW w:w="782" w:type="dxa"/>
            <w:shd w:val="clear" w:color="auto" w:fill="auto"/>
            <w:noWrap/>
            <w:vAlign w:val="center"/>
          </w:tcPr>
          <w:p w14:paraId="6D18B29E">
            <w:pPr>
              <w:snapToGrid w:val="0"/>
              <w:spacing w:line="380" w:lineRule="exact"/>
              <w:textAlignment w:val="baseline"/>
              <w:rPr>
                <w:rFonts w:eastAsia="方正仿宋_GBK"/>
                <w:kern w:val="0"/>
                <w:sz w:val="24"/>
              </w:rPr>
            </w:pPr>
            <w:r>
              <w:rPr>
                <w:rFonts w:eastAsia="方正仿宋_GBK"/>
                <w:sz w:val="24"/>
              </w:rPr>
              <w:t>（9）必须具有履行合同所必需的设备和专业技术能力；</w:t>
            </w:r>
          </w:p>
        </w:tc>
        <w:tc>
          <w:tcPr>
            <w:tcW w:w="585" w:type="dxa"/>
            <w:shd w:val="clear" w:color="auto" w:fill="auto"/>
            <w:noWrap/>
            <w:vAlign w:val="center"/>
          </w:tcPr>
          <w:p w14:paraId="36C92B89">
            <w:pPr>
              <w:widowControl/>
              <w:spacing w:line="320" w:lineRule="exact"/>
              <w:rPr>
                <w:rFonts w:eastAsia="方正仿宋_GBK"/>
                <w:sz w:val="24"/>
              </w:rPr>
            </w:pPr>
            <w:r>
              <w:rPr>
                <w:rFonts w:hint="eastAsia" w:eastAsia="方正仿宋_GBK"/>
                <w:sz w:val="24"/>
              </w:rPr>
              <w:t>（10）</w:t>
            </w:r>
            <w:r>
              <w:rPr>
                <w:rFonts w:eastAsia="方正仿宋_GBK"/>
                <w:sz w:val="24"/>
              </w:rPr>
              <w:t>本项目不接受联合体投标。</w:t>
            </w:r>
          </w:p>
        </w:tc>
        <w:tc>
          <w:tcPr>
            <w:tcW w:w="585" w:type="dxa"/>
            <w:shd w:val="clear" w:color="auto" w:fill="auto"/>
            <w:noWrap/>
            <w:vAlign w:val="center"/>
          </w:tcPr>
          <w:p w14:paraId="7796EF42">
            <w:pPr>
              <w:widowControl/>
              <w:spacing w:line="320" w:lineRule="exact"/>
              <w:rPr>
                <w:rFonts w:eastAsia="方正仿宋_GBK"/>
                <w:kern w:val="0"/>
                <w:sz w:val="24"/>
              </w:rPr>
            </w:pPr>
            <w:r>
              <w:rPr>
                <w:rFonts w:eastAsia="方正仿宋_GBK"/>
                <w:sz w:val="24"/>
              </w:rPr>
              <w:t>是否合 格</w:t>
            </w:r>
          </w:p>
        </w:tc>
      </w:tr>
    </w:tbl>
    <w:p w14:paraId="448E236E">
      <w:pPr>
        <w:sectPr>
          <w:headerReference r:id="rId10" w:type="first"/>
          <w:footerReference r:id="rId13" w:type="first"/>
          <w:headerReference r:id="rId8" w:type="default"/>
          <w:footerReference r:id="rId11" w:type="default"/>
          <w:headerReference r:id="rId9" w:type="even"/>
          <w:footerReference r:id="rId12" w:type="even"/>
          <w:pgSz w:w="16838" w:h="11905" w:orient="landscape"/>
          <w:pgMar w:top="1984" w:right="1531" w:bottom="1701" w:left="1531" w:header="851" w:footer="992" w:gutter="0"/>
          <w:cols w:space="0" w:num="1"/>
          <w:docGrid w:linePitch="462" w:charSpace="0"/>
        </w:sectPr>
      </w:pPr>
    </w:p>
    <w:p w14:paraId="4CF21CB6">
      <w:pPr>
        <w:pStyle w:val="3"/>
        <w:tabs>
          <w:tab w:val="left" w:pos="0"/>
        </w:tabs>
        <w:snapToGrid w:val="0"/>
        <w:spacing w:beforeLines="100" w:after="240" w:afterLines="100" w:line="240" w:lineRule="auto"/>
        <w:textAlignment w:val="baseline"/>
        <w:rPr>
          <w:rFonts w:ascii="Times New Roman" w:hAnsi="Times New Roman" w:eastAsia="方正小标宋简体" w:cs="Times New Roman"/>
          <w:szCs w:val="32"/>
        </w:rPr>
      </w:pPr>
      <w:bookmarkStart w:id="821" w:name="_Toc4225"/>
      <w:r>
        <w:rPr>
          <w:rFonts w:ascii="Times New Roman" w:hAnsi="Times New Roman" w:eastAsia="方正小标宋简体" w:cs="Times New Roman"/>
          <w:szCs w:val="32"/>
        </w:rPr>
        <w:t>第5章 项目服务和采购需求</w:t>
      </w:r>
      <w:bookmarkEnd w:id="821"/>
    </w:p>
    <w:p w14:paraId="1393A6A6">
      <w:pPr>
        <w:ind w:firstLine="486" w:firstLineChars="200"/>
        <w:jc w:val="left"/>
        <w:rPr>
          <w:rFonts w:ascii="仿宋" w:hAnsi="仿宋" w:eastAsia="仿宋" w:cs="仿宋"/>
          <w:spacing w:val="3"/>
          <w:w w:val="99"/>
          <w:kern w:val="0"/>
          <w:sz w:val="24"/>
          <w:lang w:val="zh-TW" w:eastAsia="zh-TW" w:bidi="zh-CN"/>
        </w:rPr>
      </w:pPr>
      <w:r>
        <w:rPr>
          <w:rFonts w:hint="eastAsia" w:ascii="仿宋" w:hAnsi="仿宋" w:eastAsia="仿宋" w:cs="仿宋"/>
          <w:spacing w:val="3"/>
          <w:w w:val="99"/>
          <w:kern w:val="0"/>
          <w:sz w:val="24"/>
          <w:lang w:val="zh-TW" w:eastAsia="zh-TW" w:bidi="zh-CN"/>
        </w:rPr>
        <w:t>医院绩效管理系统、配套方案及相关服务具体如下：</w:t>
      </w:r>
    </w:p>
    <w:tbl>
      <w:tblPr>
        <w:tblStyle w:val="39"/>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443"/>
        <w:gridCol w:w="4807"/>
        <w:gridCol w:w="898"/>
      </w:tblGrid>
      <w:tr w14:paraId="23B0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10" w:type="dxa"/>
            <w:vAlign w:val="center"/>
          </w:tcPr>
          <w:p w14:paraId="50A13D91">
            <w:pPr>
              <w:jc w:val="center"/>
              <w:rPr>
                <w:rFonts w:ascii="仿宋" w:hAnsi="仿宋" w:eastAsia="仿宋" w:cs="仿宋"/>
                <w:b/>
                <w:color w:val="000000"/>
                <w:kern w:val="0"/>
                <w:sz w:val="24"/>
                <w:lang w:val="zh-TW" w:eastAsia="zh-TW" w:bidi="zh-TW"/>
              </w:rPr>
            </w:pPr>
            <w:r>
              <w:rPr>
                <w:rFonts w:hint="eastAsia" w:ascii="仿宋" w:hAnsi="仿宋" w:eastAsia="仿宋" w:cs="仿宋"/>
                <w:b/>
                <w:color w:val="000000"/>
                <w:kern w:val="0"/>
                <w:sz w:val="24"/>
                <w:lang w:val="zh-TW" w:bidi="zh-TW"/>
              </w:rPr>
              <w:t>序号</w:t>
            </w:r>
          </w:p>
        </w:tc>
        <w:tc>
          <w:tcPr>
            <w:tcW w:w="1443" w:type="dxa"/>
            <w:vAlign w:val="center"/>
          </w:tcPr>
          <w:p w14:paraId="43D449E6">
            <w:pPr>
              <w:jc w:val="center"/>
              <w:rPr>
                <w:rFonts w:ascii="仿宋" w:hAnsi="仿宋" w:eastAsia="仿宋" w:cs="仿宋"/>
                <w:b/>
                <w:color w:val="000000"/>
                <w:kern w:val="0"/>
                <w:sz w:val="24"/>
                <w:lang w:val="zh-TW" w:eastAsia="zh-TW" w:bidi="zh-TW"/>
              </w:rPr>
            </w:pPr>
            <w:r>
              <w:rPr>
                <w:rFonts w:hint="eastAsia" w:ascii="仿宋" w:hAnsi="仿宋" w:eastAsia="仿宋" w:cs="仿宋"/>
                <w:b/>
                <w:color w:val="000000"/>
                <w:kern w:val="0"/>
                <w:sz w:val="24"/>
                <w:lang w:val="zh-TW" w:bidi="zh-TW"/>
              </w:rPr>
              <w:t>类别</w:t>
            </w:r>
          </w:p>
        </w:tc>
        <w:tc>
          <w:tcPr>
            <w:tcW w:w="4807" w:type="dxa"/>
            <w:vAlign w:val="center"/>
          </w:tcPr>
          <w:p w14:paraId="214073D5">
            <w:pPr>
              <w:jc w:val="center"/>
              <w:rPr>
                <w:rFonts w:ascii="仿宋" w:hAnsi="仿宋" w:eastAsia="仿宋" w:cs="仿宋"/>
                <w:b/>
                <w:color w:val="000000"/>
                <w:kern w:val="0"/>
                <w:sz w:val="24"/>
                <w:lang w:val="zh-TW" w:eastAsia="zh-TW" w:bidi="zh-TW"/>
              </w:rPr>
            </w:pPr>
            <w:r>
              <w:rPr>
                <w:rFonts w:hint="eastAsia" w:ascii="仿宋" w:hAnsi="仿宋" w:eastAsia="仿宋" w:cs="仿宋"/>
                <w:b/>
                <w:color w:val="000000"/>
                <w:kern w:val="0"/>
                <w:sz w:val="24"/>
                <w:lang w:val="zh-TW" w:bidi="zh-TW"/>
              </w:rPr>
              <w:t>内容</w:t>
            </w:r>
          </w:p>
        </w:tc>
        <w:tc>
          <w:tcPr>
            <w:tcW w:w="898" w:type="dxa"/>
            <w:vAlign w:val="center"/>
          </w:tcPr>
          <w:p w14:paraId="5C677BD5">
            <w:pPr>
              <w:jc w:val="center"/>
              <w:rPr>
                <w:rFonts w:ascii="仿宋" w:hAnsi="仿宋" w:eastAsia="仿宋" w:cs="仿宋"/>
                <w:b/>
                <w:color w:val="000000"/>
                <w:kern w:val="0"/>
                <w:sz w:val="24"/>
                <w:lang w:val="zh-TW" w:eastAsia="zh-TW" w:bidi="zh-TW"/>
              </w:rPr>
            </w:pPr>
            <w:r>
              <w:rPr>
                <w:rFonts w:hint="eastAsia" w:ascii="仿宋" w:hAnsi="仿宋" w:eastAsia="仿宋" w:cs="仿宋"/>
                <w:b/>
                <w:color w:val="000000"/>
                <w:kern w:val="0"/>
                <w:sz w:val="24"/>
                <w:lang w:val="zh-TW" w:bidi="zh-TW"/>
              </w:rPr>
              <w:t>数量</w:t>
            </w:r>
          </w:p>
        </w:tc>
      </w:tr>
      <w:tr w14:paraId="0A38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10" w:type="dxa"/>
            <w:vAlign w:val="center"/>
          </w:tcPr>
          <w:p w14:paraId="6BBFEAAE">
            <w:pPr>
              <w:jc w:val="center"/>
              <w:rPr>
                <w:rFonts w:ascii="仿宋" w:hAnsi="仿宋" w:eastAsia="仿宋" w:cs="仿宋"/>
                <w:color w:val="000000"/>
                <w:kern w:val="0"/>
                <w:sz w:val="24"/>
                <w:lang w:val="zh-TW" w:bidi="zh-TW"/>
              </w:rPr>
            </w:pPr>
            <w:r>
              <w:rPr>
                <w:rFonts w:hint="eastAsia" w:ascii="仿宋" w:hAnsi="仿宋" w:eastAsia="仿宋" w:cs="仿宋"/>
                <w:color w:val="000000"/>
                <w:kern w:val="0"/>
                <w:sz w:val="24"/>
                <w:lang w:val="zh-TW" w:bidi="zh-TW"/>
              </w:rPr>
              <w:t>1</w:t>
            </w:r>
          </w:p>
        </w:tc>
        <w:tc>
          <w:tcPr>
            <w:tcW w:w="1443" w:type="dxa"/>
            <w:vMerge w:val="restart"/>
            <w:vAlign w:val="center"/>
          </w:tcPr>
          <w:p w14:paraId="608F2E20">
            <w:pPr>
              <w:jc w:val="center"/>
              <w:rPr>
                <w:rFonts w:ascii="仿宋" w:hAnsi="仿宋" w:eastAsia="仿宋" w:cs="仿宋"/>
                <w:color w:val="000000"/>
                <w:kern w:val="0"/>
                <w:sz w:val="24"/>
                <w:lang w:val="zh-TW" w:eastAsia="zh-TW" w:bidi="zh-TW"/>
              </w:rPr>
            </w:pPr>
            <w:r>
              <w:rPr>
                <w:rFonts w:hint="eastAsia" w:ascii="仿宋" w:hAnsi="仿宋" w:eastAsia="仿宋" w:cs="仿宋"/>
                <w:color w:val="000000"/>
                <w:kern w:val="0"/>
                <w:sz w:val="24"/>
                <w:lang w:val="zh-TW" w:bidi="zh-TW"/>
              </w:rPr>
              <w:t>配套方案</w:t>
            </w:r>
          </w:p>
        </w:tc>
        <w:tc>
          <w:tcPr>
            <w:tcW w:w="4807" w:type="dxa"/>
            <w:vAlign w:val="center"/>
          </w:tcPr>
          <w:p w14:paraId="1EA706D2">
            <w:pPr>
              <w:pStyle w:val="108"/>
              <w:spacing w:line="240" w:lineRule="auto"/>
              <w:ind w:firstLine="0"/>
              <w:jc w:val="center"/>
              <w:rPr>
                <w:rFonts w:ascii="仿宋" w:hAnsi="仿宋" w:eastAsia="仿宋" w:cs="仿宋"/>
                <w:sz w:val="24"/>
              </w:rPr>
            </w:pPr>
            <w:r>
              <w:rPr>
                <w:rFonts w:hint="eastAsia" w:ascii="仿宋" w:hAnsi="仿宋" w:eastAsia="仿宋" w:cs="仿宋"/>
                <w:sz w:val="24"/>
              </w:rPr>
              <w:t>临床医</w:t>
            </w:r>
            <w:r>
              <w:rPr>
                <w:rFonts w:hint="eastAsia" w:ascii="仿宋" w:hAnsi="仿宋" w:eastAsia="仿宋" w:cs="仿宋"/>
                <w:sz w:val="24"/>
                <w:lang w:val="en-US" w:eastAsia="zh-CN"/>
              </w:rPr>
              <w:t>生工作量</w:t>
            </w:r>
            <w:r>
              <w:rPr>
                <w:rFonts w:hint="eastAsia" w:ascii="仿宋" w:hAnsi="仿宋" w:eastAsia="仿宋" w:cs="仿宋"/>
                <w:sz w:val="24"/>
              </w:rPr>
              <w:t>绩效管理与方案设计</w:t>
            </w:r>
          </w:p>
        </w:tc>
        <w:tc>
          <w:tcPr>
            <w:tcW w:w="898" w:type="dxa"/>
            <w:vAlign w:val="center"/>
          </w:tcPr>
          <w:p w14:paraId="5BFCA150">
            <w:pPr>
              <w:jc w:val="center"/>
              <w:rPr>
                <w:rFonts w:ascii="仿宋" w:hAnsi="仿宋" w:eastAsia="仿宋" w:cs="仿宋"/>
                <w:color w:val="000000"/>
                <w:kern w:val="0"/>
                <w:sz w:val="24"/>
                <w:lang w:val="zh-TW" w:bidi="zh-TW"/>
              </w:rPr>
            </w:pPr>
            <w:r>
              <w:rPr>
                <w:rFonts w:hint="eastAsia" w:ascii="仿宋" w:hAnsi="仿宋" w:eastAsia="仿宋" w:cs="仿宋"/>
                <w:color w:val="000000"/>
                <w:kern w:val="0"/>
                <w:sz w:val="24"/>
                <w:lang w:val="zh-TW" w:bidi="zh-TW"/>
              </w:rPr>
              <w:t>1</w:t>
            </w:r>
          </w:p>
        </w:tc>
      </w:tr>
      <w:tr w14:paraId="3218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10" w:type="dxa"/>
            <w:vAlign w:val="center"/>
          </w:tcPr>
          <w:p w14:paraId="7690C038">
            <w:pPr>
              <w:jc w:val="center"/>
              <w:rPr>
                <w:rFonts w:ascii="仿宋" w:hAnsi="仿宋" w:eastAsia="仿宋" w:cs="仿宋"/>
                <w:color w:val="000000"/>
                <w:kern w:val="0"/>
                <w:sz w:val="24"/>
                <w:lang w:val="zh-TW" w:bidi="zh-TW"/>
              </w:rPr>
            </w:pPr>
            <w:r>
              <w:rPr>
                <w:rFonts w:hint="eastAsia" w:ascii="仿宋" w:hAnsi="仿宋" w:eastAsia="仿宋" w:cs="仿宋"/>
                <w:color w:val="000000"/>
                <w:kern w:val="0"/>
                <w:sz w:val="24"/>
                <w:lang w:val="zh-TW" w:bidi="zh-TW"/>
              </w:rPr>
              <w:t>2</w:t>
            </w:r>
          </w:p>
        </w:tc>
        <w:tc>
          <w:tcPr>
            <w:tcW w:w="1443" w:type="dxa"/>
            <w:vMerge w:val="continue"/>
            <w:vAlign w:val="center"/>
          </w:tcPr>
          <w:p w14:paraId="184E7930">
            <w:pPr>
              <w:jc w:val="center"/>
              <w:rPr>
                <w:rFonts w:ascii="仿宋" w:hAnsi="仿宋" w:eastAsia="仿宋" w:cs="仿宋"/>
                <w:color w:val="000000"/>
                <w:kern w:val="0"/>
                <w:sz w:val="24"/>
                <w:lang w:val="zh-TW" w:eastAsia="zh-TW" w:bidi="zh-TW"/>
              </w:rPr>
            </w:pPr>
          </w:p>
        </w:tc>
        <w:tc>
          <w:tcPr>
            <w:tcW w:w="4807" w:type="dxa"/>
            <w:vAlign w:val="center"/>
          </w:tcPr>
          <w:p w14:paraId="4BC35B0A">
            <w:pPr>
              <w:pStyle w:val="108"/>
              <w:spacing w:line="240" w:lineRule="auto"/>
              <w:ind w:firstLine="0"/>
              <w:jc w:val="center"/>
              <w:rPr>
                <w:rFonts w:ascii="仿宋" w:hAnsi="仿宋" w:eastAsia="仿宋" w:cs="仿宋"/>
                <w:sz w:val="24"/>
              </w:rPr>
            </w:pPr>
            <w:r>
              <w:rPr>
                <w:rFonts w:hint="eastAsia" w:ascii="仿宋" w:hAnsi="仿宋" w:eastAsia="仿宋" w:cs="仿宋"/>
                <w:sz w:val="24"/>
              </w:rPr>
              <w:t>临床护士</w:t>
            </w:r>
            <w:r>
              <w:rPr>
                <w:rFonts w:hint="eastAsia" w:ascii="仿宋" w:hAnsi="仿宋" w:eastAsia="仿宋" w:cs="仿宋"/>
                <w:sz w:val="24"/>
                <w:lang w:val="en-US" w:eastAsia="zh-CN"/>
              </w:rPr>
              <w:t>工作量</w:t>
            </w:r>
            <w:r>
              <w:rPr>
                <w:rFonts w:hint="eastAsia" w:ascii="仿宋" w:hAnsi="仿宋" w:eastAsia="仿宋" w:cs="仿宋"/>
                <w:sz w:val="24"/>
              </w:rPr>
              <w:t>绩效管理与方案设计</w:t>
            </w:r>
          </w:p>
        </w:tc>
        <w:tc>
          <w:tcPr>
            <w:tcW w:w="898" w:type="dxa"/>
            <w:vAlign w:val="center"/>
          </w:tcPr>
          <w:p w14:paraId="1559358D">
            <w:pPr>
              <w:jc w:val="center"/>
              <w:rPr>
                <w:rFonts w:ascii="仿宋" w:hAnsi="仿宋" w:eastAsia="仿宋" w:cs="仿宋"/>
                <w:color w:val="000000"/>
                <w:kern w:val="0"/>
                <w:sz w:val="24"/>
                <w:lang w:val="zh-TW" w:eastAsia="zh-TW" w:bidi="zh-TW"/>
              </w:rPr>
            </w:pPr>
            <w:r>
              <w:rPr>
                <w:rFonts w:hint="eastAsia" w:ascii="仿宋" w:hAnsi="仿宋" w:eastAsia="仿宋" w:cs="仿宋"/>
                <w:color w:val="000000"/>
                <w:kern w:val="0"/>
                <w:sz w:val="24"/>
                <w:lang w:val="zh-TW" w:eastAsia="zh-TW" w:bidi="zh-TW"/>
              </w:rPr>
              <w:t>1</w:t>
            </w:r>
          </w:p>
        </w:tc>
      </w:tr>
      <w:tr w14:paraId="72FA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10" w:type="dxa"/>
            <w:vAlign w:val="center"/>
          </w:tcPr>
          <w:p w14:paraId="1BB41BC5">
            <w:pPr>
              <w:jc w:val="center"/>
              <w:rPr>
                <w:rFonts w:ascii="仿宋" w:hAnsi="仿宋" w:eastAsia="仿宋" w:cs="仿宋"/>
                <w:color w:val="000000"/>
                <w:kern w:val="0"/>
                <w:sz w:val="24"/>
                <w:lang w:val="zh-TW" w:bidi="zh-TW"/>
              </w:rPr>
            </w:pPr>
            <w:r>
              <w:rPr>
                <w:rFonts w:hint="eastAsia" w:ascii="仿宋" w:hAnsi="仿宋" w:eastAsia="仿宋" w:cs="仿宋"/>
                <w:color w:val="000000"/>
                <w:kern w:val="0"/>
                <w:sz w:val="24"/>
                <w:lang w:val="zh-TW" w:bidi="zh-TW"/>
              </w:rPr>
              <w:t>3</w:t>
            </w:r>
          </w:p>
        </w:tc>
        <w:tc>
          <w:tcPr>
            <w:tcW w:w="1443" w:type="dxa"/>
            <w:vMerge w:val="continue"/>
            <w:vAlign w:val="center"/>
          </w:tcPr>
          <w:p w14:paraId="25220F77">
            <w:pPr>
              <w:jc w:val="center"/>
              <w:rPr>
                <w:rFonts w:ascii="仿宋" w:hAnsi="仿宋" w:eastAsia="仿宋" w:cs="仿宋"/>
                <w:color w:val="000000"/>
                <w:kern w:val="0"/>
                <w:sz w:val="24"/>
                <w:lang w:val="zh-TW" w:eastAsia="zh-TW" w:bidi="zh-TW"/>
              </w:rPr>
            </w:pPr>
          </w:p>
        </w:tc>
        <w:tc>
          <w:tcPr>
            <w:tcW w:w="4807" w:type="dxa"/>
            <w:vAlign w:val="center"/>
          </w:tcPr>
          <w:p w14:paraId="3A5D0818">
            <w:pPr>
              <w:jc w:val="center"/>
              <w:rPr>
                <w:rFonts w:ascii="仿宋" w:hAnsi="仿宋" w:eastAsia="仿宋" w:cs="仿宋"/>
                <w:color w:val="000000"/>
                <w:kern w:val="0"/>
                <w:sz w:val="24"/>
                <w:lang w:val="zh-TW" w:eastAsia="zh-TW" w:bidi="zh-TW"/>
              </w:rPr>
            </w:pPr>
            <w:r>
              <w:rPr>
                <w:rFonts w:hint="eastAsia" w:ascii="仿宋" w:hAnsi="仿宋" w:eastAsia="仿宋" w:cs="仿宋"/>
                <w:color w:val="000000"/>
                <w:kern w:val="0"/>
                <w:sz w:val="24"/>
                <w:lang w:val="zh-TW" w:eastAsia="zh-TW" w:bidi="zh-TW"/>
              </w:rPr>
              <w:t>医技科室</w:t>
            </w:r>
            <w:r>
              <w:rPr>
                <w:rFonts w:hint="eastAsia" w:ascii="仿宋" w:hAnsi="仿宋" w:eastAsia="仿宋" w:cs="仿宋"/>
                <w:color w:val="000000"/>
                <w:kern w:val="0"/>
                <w:sz w:val="24"/>
                <w:lang w:bidi="zh-TW"/>
              </w:rPr>
              <w:t>工作量</w:t>
            </w:r>
            <w:r>
              <w:rPr>
                <w:rFonts w:hint="eastAsia" w:ascii="仿宋" w:hAnsi="仿宋" w:eastAsia="仿宋" w:cs="仿宋"/>
                <w:color w:val="000000"/>
                <w:kern w:val="0"/>
                <w:sz w:val="24"/>
                <w:lang w:val="zh-TW" w:eastAsia="zh-TW" w:bidi="zh-TW"/>
              </w:rPr>
              <w:t>绩效管理与方案设计</w:t>
            </w:r>
          </w:p>
        </w:tc>
        <w:tc>
          <w:tcPr>
            <w:tcW w:w="898" w:type="dxa"/>
            <w:vAlign w:val="center"/>
          </w:tcPr>
          <w:p w14:paraId="4F449B55">
            <w:pPr>
              <w:jc w:val="center"/>
              <w:rPr>
                <w:rFonts w:ascii="仿宋" w:hAnsi="仿宋" w:eastAsia="仿宋" w:cs="仿宋"/>
                <w:color w:val="000000"/>
                <w:kern w:val="0"/>
                <w:sz w:val="24"/>
                <w:lang w:val="zh-TW" w:bidi="zh-TW"/>
              </w:rPr>
            </w:pPr>
            <w:r>
              <w:rPr>
                <w:rFonts w:hint="eastAsia" w:ascii="仿宋" w:hAnsi="仿宋" w:eastAsia="仿宋" w:cs="仿宋"/>
                <w:color w:val="000000"/>
                <w:kern w:val="0"/>
                <w:sz w:val="24"/>
                <w:lang w:val="zh-TW" w:bidi="zh-TW"/>
              </w:rPr>
              <w:t>1</w:t>
            </w:r>
          </w:p>
        </w:tc>
      </w:tr>
      <w:tr w14:paraId="7A52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10" w:type="dxa"/>
            <w:vAlign w:val="center"/>
          </w:tcPr>
          <w:p w14:paraId="5C6D765C">
            <w:pPr>
              <w:jc w:val="center"/>
              <w:rPr>
                <w:rFonts w:ascii="仿宋" w:hAnsi="仿宋" w:eastAsia="仿宋" w:cs="仿宋"/>
                <w:color w:val="000000"/>
                <w:kern w:val="0"/>
                <w:sz w:val="24"/>
                <w:lang w:val="zh-TW" w:bidi="zh-TW"/>
              </w:rPr>
            </w:pPr>
            <w:r>
              <w:rPr>
                <w:rFonts w:hint="eastAsia" w:ascii="仿宋" w:hAnsi="仿宋" w:eastAsia="仿宋" w:cs="仿宋"/>
                <w:color w:val="000000"/>
                <w:kern w:val="0"/>
                <w:sz w:val="24"/>
                <w:lang w:val="zh-TW" w:bidi="zh-TW"/>
              </w:rPr>
              <w:t>4</w:t>
            </w:r>
          </w:p>
        </w:tc>
        <w:tc>
          <w:tcPr>
            <w:tcW w:w="1443" w:type="dxa"/>
            <w:vMerge w:val="continue"/>
            <w:vAlign w:val="center"/>
          </w:tcPr>
          <w:p w14:paraId="0A7D3D57">
            <w:pPr>
              <w:jc w:val="center"/>
              <w:rPr>
                <w:rFonts w:ascii="仿宋" w:hAnsi="仿宋" w:eastAsia="仿宋" w:cs="仿宋"/>
                <w:color w:val="000000"/>
                <w:kern w:val="0"/>
                <w:sz w:val="24"/>
                <w:lang w:val="zh-TW" w:eastAsia="zh-TW" w:bidi="zh-TW"/>
              </w:rPr>
            </w:pPr>
          </w:p>
        </w:tc>
        <w:tc>
          <w:tcPr>
            <w:tcW w:w="4807" w:type="dxa"/>
            <w:vAlign w:val="center"/>
          </w:tcPr>
          <w:p w14:paraId="2DF0F67C">
            <w:pPr>
              <w:jc w:val="center"/>
              <w:rPr>
                <w:rFonts w:ascii="仿宋" w:hAnsi="仿宋" w:eastAsia="仿宋" w:cs="仿宋"/>
                <w:color w:val="000000"/>
                <w:kern w:val="0"/>
                <w:sz w:val="24"/>
                <w:lang w:val="zh-TW" w:eastAsia="zh-TW" w:bidi="zh-TW"/>
              </w:rPr>
            </w:pPr>
            <w:r>
              <w:rPr>
                <w:rFonts w:hint="eastAsia" w:ascii="仿宋" w:hAnsi="仿宋" w:eastAsia="仿宋" w:cs="仿宋"/>
                <w:color w:val="000000"/>
                <w:kern w:val="0"/>
                <w:sz w:val="24"/>
                <w:lang w:val="zh-TW" w:eastAsia="zh-TW" w:bidi="zh-TW"/>
              </w:rPr>
              <w:t>行政</w:t>
            </w:r>
            <w:r>
              <w:rPr>
                <w:rFonts w:hint="eastAsia" w:ascii="仿宋" w:hAnsi="仿宋" w:eastAsia="仿宋" w:cs="仿宋"/>
                <w:color w:val="000000"/>
                <w:kern w:val="0"/>
                <w:sz w:val="24"/>
                <w:lang w:bidi="zh-TW"/>
              </w:rPr>
              <w:t>职能部门工作量</w:t>
            </w:r>
            <w:r>
              <w:rPr>
                <w:rFonts w:hint="eastAsia" w:ascii="仿宋" w:hAnsi="仿宋" w:eastAsia="仿宋" w:cs="仿宋"/>
                <w:color w:val="000000"/>
                <w:kern w:val="0"/>
                <w:sz w:val="24"/>
                <w:lang w:val="zh-TW" w:eastAsia="zh-TW" w:bidi="zh-TW"/>
              </w:rPr>
              <w:t>绩效管理与方案设计</w:t>
            </w:r>
          </w:p>
        </w:tc>
        <w:tc>
          <w:tcPr>
            <w:tcW w:w="898" w:type="dxa"/>
            <w:vAlign w:val="center"/>
          </w:tcPr>
          <w:p w14:paraId="5D960BA0">
            <w:pPr>
              <w:jc w:val="center"/>
              <w:rPr>
                <w:rFonts w:ascii="仿宋" w:hAnsi="仿宋" w:eastAsia="仿宋" w:cs="仿宋"/>
                <w:color w:val="000000"/>
                <w:kern w:val="0"/>
                <w:sz w:val="24"/>
                <w:lang w:val="zh-TW" w:bidi="zh-TW"/>
              </w:rPr>
            </w:pPr>
            <w:r>
              <w:rPr>
                <w:rFonts w:hint="eastAsia" w:ascii="仿宋" w:hAnsi="仿宋" w:eastAsia="仿宋" w:cs="仿宋"/>
                <w:color w:val="000000"/>
                <w:kern w:val="0"/>
                <w:sz w:val="24"/>
                <w:lang w:val="zh-TW" w:bidi="zh-TW"/>
              </w:rPr>
              <w:t>1</w:t>
            </w:r>
          </w:p>
        </w:tc>
      </w:tr>
      <w:tr w14:paraId="3638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10" w:type="dxa"/>
            <w:vAlign w:val="center"/>
          </w:tcPr>
          <w:p w14:paraId="755B1E43">
            <w:pPr>
              <w:jc w:val="center"/>
              <w:rPr>
                <w:rFonts w:ascii="仿宋" w:hAnsi="仿宋" w:eastAsia="仿宋" w:cs="仿宋"/>
                <w:color w:val="000000"/>
                <w:kern w:val="0"/>
                <w:sz w:val="24"/>
                <w:lang w:val="zh-TW" w:bidi="zh-TW"/>
              </w:rPr>
            </w:pPr>
            <w:r>
              <w:rPr>
                <w:rFonts w:hint="eastAsia" w:ascii="仿宋" w:hAnsi="仿宋" w:eastAsia="仿宋" w:cs="仿宋"/>
                <w:color w:val="000000"/>
                <w:kern w:val="0"/>
                <w:sz w:val="24"/>
                <w:lang w:val="zh-TW" w:bidi="zh-TW"/>
              </w:rPr>
              <w:t>5</w:t>
            </w:r>
          </w:p>
        </w:tc>
        <w:tc>
          <w:tcPr>
            <w:tcW w:w="1443" w:type="dxa"/>
            <w:vMerge w:val="continue"/>
            <w:vAlign w:val="center"/>
          </w:tcPr>
          <w:p w14:paraId="73F9A4E2">
            <w:pPr>
              <w:jc w:val="center"/>
              <w:rPr>
                <w:rFonts w:ascii="仿宋" w:hAnsi="仿宋" w:eastAsia="仿宋" w:cs="仿宋"/>
                <w:color w:val="000000"/>
                <w:kern w:val="0"/>
                <w:sz w:val="24"/>
                <w:lang w:val="zh-TW" w:eastAsia="zh-TW" w:bidi="zh-TW"/>
              </w:rPr>
            </w:pPr>
          </w:p>
        </w:tc>
        <w:tc>
          <w:tcPr>
            <w:tcW w:w="4807" w:type="dxa"/>
            <w:vAlign w:val="center"/>
          </w:tcPr>
          <w:p w14:paraId="47217546">
            <w:pPr>
              <w:pStyle w:val="108"/>
              <w:spacing w:line="240" w:lineRule="auto"/>
              <w:ind w:firstLine="0"/>
              <w:jc w:val="center"/>
              <w:rPr>
                <w:rFonts w:ascii="仿宋" w:hAnsi="仿宋" w:eastAsia="仿宋" w:cs="仿宋"/>
                <w:sz w:val="24"/>
              </w:rPr>
            </w:pPr>
            <w:r>
              <w:rPr>
                <w:rFonts w:hint="eastAsia" w:ascii="仿宋" w:hAnsi="仿宋" w:eastAsia="仿宋" w:cs="仿宋"/>
                <w:sz w:val="24"/>
              </w:rPr>
              <w:t>特殊科室</w:t>
            </w:r>
            <w:r>
              <w:rPr>
                <w:rFonts w:hint="eastAsia" w:ascii="仿宋" w:hAnsi="仿宋" w:eastAsia="仿宋" w:cs="仿宋"/>
                <w:sz w:val="24"/>
                <w:lang w:val="en-US" w:eastAsia="zh-CN"/>
              </w:rPr>
              <w:t>工作量</w:t>
            </w:r>
            <w:r>
              <w:rPr>
                <w:rFonts w:hint="eastAsia" w:ascii="仿宋" w:hAnsi="仿宋" w:eastAsia="仿宋" w:cs="仿宋"/>
                <w:sz w:val="24"/>
              </w:rPr>
              <w:t>绩效</w:t>
            </w:r>
            <w:r>
              <w:rPr>
                <w:rFonts w:hint="eastAsia" w:ascii="仿宋" w:hAnsi="仿宋" w:eastAsia="仿宋" w:cs="仿宋"/>
                <w:sz w:val="24"/>
                <w:lang w:val="en-US" w:eastAsia="zh-CN"/>
              </w:rPr>
              <w:t>管理与</w:t>
            </w:r>
            <w:r>
              <w:rPr>
                <w:rFonts w:hint="eastAsia" w:ascii="仿宋" w:hAnsi="仿宋" w:eastAsia="仿宋" w:cs="仿宋"/>
                <w:sz w:val="24"/>
              </w:rPr>
              <w:t>方案设计（</w:t>
            </w:r>
            <w:r>
              <w:rPr>
                <w:rFonts w:hint="eastAsia" w:ascii="仿宋" w:hAnsi="仿宋" w:eastAsia="仿宋" w:cs="仿宋"/>
                <w:sz w:val="24"/>
                <w:lang w:val="en-US" w:eastAsia="zh-CN"/>
              </w:rPr>
              <w:t>重症医学科、麻醉科、</w:t>
            </w:r>
            <w:r>
              <w:rPr>
                <w:rFonts w:hint="eastAsia" w:ascii="仿宋" w:hAnsi="仿宋" w:eastAsia="仿宋" w:cs="仿宋"/>
                <w:sz w:val="24"/>
              </w:rPr>
              <w:t>体检中心等）</w:t>
            </w:r>
          </w:p>
        </w:tc>
        <w:tc>
          <w:tcPr>
            <w:tcW w:w="898" w:type="dxa"/>
            <w:vAlign w:val="center"/>
          </w:tcPr>
          <w:p w14:paraId="163769F1">
            <w:pPr>
              <w:jc w:val="center"/>
              <w:rPr>
                <w:rFonts w:ascii="仿宋" w:hAnsi="仿宋" w:eastAsia="仿宋" w:cs="仿宋"/>
                <w:color w:val="000000"/>
                <w:kern w:val="0"/>
                <w:sz w:val="24"/>
                <w:lang w:val="zh-TW" w:bidi="zh-TW"/>
              </w:rPr>
            </w:pPr>
            <w:r>
              <w:rPr>
                <w:rFonts w:hint="eastAsia" w:ascii="仿宋" w:hAnsi="仿宋" w:eastAsia="仿宋" w:cs="仿宋"/>
                <w:color w:val="000000"/>
                <w:kern w:val="0"/>
                <w:sz w:val="24"/>
                <w:lang w:val="zh-TW" w:bidi="zh-TW"/>
              </w:rPr>
              <w:t>1</w:t>
            </w:r>
          </w:p>
        </w:tc>
      </w:tr>
      <w:tr w14:paraId="3462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10" w:type="dxa"/>
            <w:vAlign w:val="center"/>
          </w:tcPr>
          <w:p w14:paraId="1E386153">
            <w:pPr>
              <w:jc w:val="center"/>
              <w:rPr>
                <w:rFonts w:ascii="仿宋" w:hAnsi="仿宋" w:eastAsia="仿宋" w:cs="仿宋"/>
                <w:color w:val="000000"/>
                <w:kern w:val="0"/>
                <w:sz w:val="24"/>
                <w:lang w:val="zh-TW" w:bidi="zh-TW"/>
              </w:rPr>
            </w:pPr>
            <w:r>
              <w:rPr>
                <w:rFonts w:hint="eastAsia" w:ascii="仿宋" w:hAnsi="仿宋" w:eastAsia="仿宋" w:cs="仿宋"/>
                <w:color w:val="000000"/>
                <w:kern w:val="0"/>
                <w:sz w:val="24"/>
                <w:lang w:val="zh-TW" w:bidi="zh-TW"/>
              </w:rPr>
              <w:t>6</w:t>
            </w:r>
          </w:p>
        </w:tc>
        <w:tc>
          <w:tcPr>
            <w:tcW w:w="1443" w:type="dxa"/>
            <w:vMerge w:val="continue"/>
            <w:vAlign w:val="center"/>
          </w:tcPr>
          <w:p w14:paraId="7E01CAC5">
            <w:pPr>
              <w:jc w:val="center"/>
              <w:rPr>
                <w:rFonts w:ascii="仿宋" w:hAnsi="仿宋" w:eastAsia="仿宋" w:cs="仿宋"/>
                <w:color w:val="000000"/>
                <w:kern w:val="0"/>
                <w:sz w:val="24"/>
                <w:lang w:val="zh-TW" w:eastAsia="zh-TW" w:bidi="zh-TW"/>
              </w:rPr>
            </w:pPr>
          </w:p>
        </w:tc>
        <w:tc>
          <w:tcPr>
            <w:tcW w:w="4807" w:type="dxa"/>
            <w:vAlign w:val="center"/>
          </w:tcPr>
          <w:p w14:paraId="14835682">
            <w:pPr>
              <w:jc w:val="center"/>
              <w:rPr>
                <w:rFonts w:ascii="仿宋" w:hAnsi="仿宋" w:eastAsia="仿宋" w:cs="仿宋"/>
                <w:color w:val="000000"/>
                <w:kern w:val="0"/>
                <w:sz w:val="24"/>
                <w:lang w:val="zh-TW" w:eastAsia="zh-TW" w:bidi="zh-TW"/>
              </w:rPr>
            </w:pPr>
            <w:r>
              <w:rPr>
                <w:rFonts w:hint="eastAsia" w:ascii="仿宋" w:hAnsi="仿宋" w:eastAsia="仿宋" w:cs="仿宋"/>
                <w:color w:val="000000"/>
                <w:kern w:val="0"/>
                <w:sz w:val="24"/>
                <w:lang w:val="zh-TW" w:eastAsia="zh-TW" w:bidi="zh-TW"/>
              </w:rPr>
              <w:t>二次分配方案设计</w:t>
            </w:r>
          </w:p>
        </w:tc>
        <w:tc>
          <w:tcPr>
            <w:tcW w:w="898" w:type="dxa"/>
            <w:vAlign w:val="center"/>
          </w:tcPr>
          <w:p w14:paraId="5F4F06CA">
            <w:pPr>
              <w:jc w:val="center"/>
              <w:rPr>
                <w:rFonts w:ascii="仿宋" w:hAnsi="仿宋" w:eastAsia="仿宋" w:cs="仿宋"/>
                <w:color w:val="000000"/>
                <w:kern w:val="0"/>
                <w:sz w:val="24"/>
                <w:lang w:val="zh-TW" w:bidi="zh-TW"/>
              </w:rPr>
            </w:pPr>
            <w:r>
              <w:rPr>
                <w:rFonts w:hint="eastAsia" w:ascii="仿宋" w:hAnsi="仿宋" w:eastAsia="仿宋" w:cs="仿宋"/>
                <w:color w:val="000000"/>
                <w:kern w:val="0"/>
                <w:sz w:val="24"/>
                <w:lang w:val="zh-TW" w:bidi="zh-TW"/>
              </w:rPr>
              <w:t>1</w:t>
            </w:r>
          </w:p>
        </w:tc>
      </w:tr>
      <w:tr w14:paraId="4C2C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0" w:type="dxa"/>
            <w:vAlign w:val="center"/>
          </w:tcPr>
          <w:p w14:paraId="3DC0219B">
            <w:pPr>
              <w:jc w:val="center"/>
              <w:rPr>
                <w:rFonts w:ascii="仿宋" w:hAnsi="仿宋" w:eastAsia="仿宋" w:cs="仿宋"/>
                <w:color w:val="000000"/>
                <w:kern w:val="0"/>
                <w:sz w:val="24"/>
                <w:lang w:val="zh-TW" w:bidi="zh-TW"/>
              </w:rPr>
            </w:pPr>
            <w:r>
              <w:rPr>
                <w:rFonts w:hint="eastAsia" w:ascii="仿宋" w:hAnsi="仿宋" w:eastAsia="仿宋" w:cs="仿宋"/>
                <w:color w:val="000000"/>
                <w:kern w:val="0"/>
                <w:sz w:val="24"/>
                <w:lang w:val="zh-TW" w:bidi="zh-TW"/>
              </w:rPr>
              <w:t>7</w:t>
            </w:r>
          </w:p>
        </w:tc>
        <w:tc>
          <w:tcPr>
            <w:tcW w:w="1443" w:type="dxa"/>
            <w:vMerge w:val="continue"/>
            <w:vAlign w:val="center"/>
          </w:tcPr>
          <w:p w14:paraId="0AF4641A">
            <w:pPr>
              <w:jc w:val="center"/>
              <w:rPr>
                <w:rFonts w:ascii="仿宋" w:hAnsi="仿宋" w:eastAsia="仿宋" w:cs="仿宋"/>
                <w:color w:val="000000"/>
                <w:kern w:val="0"/>
                <w:sz w:val="24"/>
                <w:lang w:val="zh-TW" w:eastAsia="zh-TW" w:bidi="zh-TW"/>
              </w:rPr>
            </w:pPr>
          </w:p>
        </w:tc>
        <w:tc>
          <w:tcPr>
            <w:tcW w:w="4807" w:type="dxa"/>
            <w:vAlign w:val="center"/>
          </w:tcPr>
          <w:p w14:paraId="4EB36881">
            <w:pPr>
              <w:jc w:val="center"/>
              <w:rPr>
                <w:rFonts w:ascii="仿宋" w:hAnsi="仿宋" w:eastAsia="仿宋" w:cs="仿宋"/>
                <w:sz w:val="24"/>
              </w:rPr>
            </w:pPr>
            <w:r>
              <w:rPr>
                <w:rFonts w:hint="eastAsia" w:ascii="仿宋" w:hAnsi="仿宋" w:eastAsia="仿宋" w:cs="仿宋"/>
                <w:color w:val="000000"/>
                <w:kern w:val="0"/>
                <w:sz w:val="24"/>
                <w:lang w:val="zh-TW" w:eastAsia="zh-TW" w:bidi="zh-TW"/>
              </w:rPr>
              <w:t>质量</w:t>
            </w:r>
            <w:r>
              <w:rPr>
                <w:rFonts w:hint="eastAsia" w:ascii="仿宋" w:hAnsi="仿宋" w:eastAsia="仿宋" w:cs="仿宋"/>
                <w:color w:val="000000"/>
                <w:kern w:val="0"/>
                <w:sz w:val="24"/>
                <w:lang w:bidi="zh-TW"/>
              </w:rPr>
              <w:t>考核</w:t>
            </w:r>
            <w:r>
              <w:rPr>
                <w:rFonts w:hint="eastAsia" w:ascii="仿宋" w:hAnsi="仿宋" w:eastAsia="仿宋" w:cs="仿宋"/>
                <w:color w:val="000000"/>
                <w:kern w:val="0"/>
                <w:sz w:val="24"/>
                <w:lang w:val="zh-TW" w:eastAsia="zh-TW" w:bidi="zh-TW"/>
              </w:rPr>
              <w:t>方案设计</w:t>
            </w:r>
          </w:p>
        </w:tc>
        <w:tc>
          <w:tcPr>
            <w:tcW w:w="898" w:type="dxa"/>
            <w:vAlign w:val="center"/>
          </w:tcPr>
          <w:p w14:paraId="31E0EE9B">
            <w:pPr>
              <w:jc w:val="center"/>
              <w:rPr>
                <w:rFonts w:ascii="仿宋" w:hAnsi="仿宋" w:eastAsia="仿宋" w:cs="仿宋"/>
                <w:color w:val="000000"/>
                <w:kern w:val="0"/>
                <w:sz w:val="24"/>
                <w:lang w:val="zh-TW" w:bidi="zh-TW"/>
              </w:rPr>
            </w:pPr>
            <w:r>
              <w:rPr>
                <w:rFonts w:hint="eastAsia" w:ascii="仿宋" w:hAnsi="仿宋" w:eastAsia="仿宋" w:cs="仿宋"/>
                <w:color w:val="000000"/>
                <w:kern w:val="0"/>
                <w:sz w:val="24"/>
                <w:lang w:val="zh-TW" w:bidi="zh-TW"/>
              </w:rPr>
              <w:t>1</w:t>
            </w:r>
          </w:p>
        </w:tc>
      </w:tr>
      <w:tr w14:paraId="5D3E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10" w:type="dxa"/>
            <w:vAlign w:val="center"/>
          </w:tcPr>
          <w:p w14:paraId="5F81690C">
            <w:pPr>
              <w:jc w:val="center"/>
              <w:rPr>
                <w:rFonts w:ascii="仿宋" w:hAnsi="仿宋" w:eastAsia="仿宋" w:cs="仿宋"/>
                <w:color w:val="000000"/>
                <w:kern w:val="0"/>
                <w:sz w:val="24"/>
                <w:lang w:bidi="zh-TW"/>
              </w:rPr>
            </w:pPr>
            <w:r>
              <w:rPr>
                <w:rFonts w:hint="eastAsia" w:ascii="仿宋" w:hAnsi="仿宋" w:eastAsia="仿宋" w:cs="仿宋"/>
                <w:color w:val="000000"/>
                <w:kern w:val="0"/>
                <w:sz w:val="24"/>
                <w:lang w:bidi="zh-TW"/>
              </w:rPr>
              <w:t>8</w:t>
            </w:r>
          </w:p>
        </w:tc>
        <w:tc>
          <w:tcPr>
            <w:tcW w:w="1443" w:type="dxa"/>
            <w:vMerge w:val="continue"/>
            <w:vAlign w:val="center"/>
          </w:tcPr>
          <w:p w14:paraId="673155A9">
            <w:pPr>
              <w:jc w:val="center"/>
              <w:rPr>
                <w:rFonts w:ascii="仿宋" w:hAnsi="仿宋" w:eastAsia="仿宋" w:cs="仿宋"/>
                <w:color w:val="000000"/>
                <w:kern w:val="0"/>
                <w:sz w:val="24"/>
                <w:lang w:val="zh-TW" w:eastAsia="zh-TW" w:bidi="zh-TW"/>
              </w:rPr>
            </w:pPr>
          </w:p>
        </w:tc>
        <w:tc>
          <w:tcPr>
            <w:tcW w:w="4807" w:type="dxa"/>
            <w:vAlign w:val="center"/>
          </w:tcPr>
          <w:p w14:paraId="56599689">
            <w:pPr>
              <w:pStyle w:val="109"/>
              <w:jc w:val="center"/>
              <w:rPr>
                <w:rFonts w:ascii="仿宋" w:hAnsi="仿宋" w:eastAsia="仿宋" w:cs="仿宋"/>
                <w:color w:val="000000"/>
                <w:kern w:val="0"/>
                <w:szCs w:val="24"/>
                <w:lang w:bidi="zh-TW"/>
              </w:rPr>
            </w:pPr>
            <w:r>
              <w:rPr>
                <w:rFonts w:hint="eastAsia" w:ascii="仿宋" w:hAnsi="仿宋" w:eastAsia="仿宋" w:cs="仿宋"/>
                <w:color w:val="000000"/>
                <w:kern w:val="0"/>
                <w:szCs w:val="24"/>
                <w:lang w:bidi="zh-TW"/>
              </w:rPr>
              <w:t>核算单元嵌入关键考核指标方案设计</w:t>
            </w:r>
          </w:p>
        </w:tc>
        <w:tc>
          <w:tcPr>
            <w:tcW w:w="898" w:type="dxa"/>
            <w:vAlign w:val="center"/>
          </w:tcPr>
          <w:p w14:paraId="403C0FE2">
            <w:pPr>
              <w:jc w:val="center"/>
              <w:rPr>
                <w:rFonts w:ascii="仿宋" w:hAnsi="仿宋" w:eastAsia="仿宋" w:cs="仿宋"/>
                <w:color w:val="000000"/>
                <w:kern w:val="0"/>
                <w:sz w:val="24"/>
                <w:lang w:bidi="zh-TW"/>
              </w:rPr>
            </w:pPr>
            <w:r>
              <w:rPr>
                <w:rFonts w:hint="eastAsia" w:ascii="仿宋" w:hAnsi="仿宋" w:eastAsia="仿宋" w:cs="仿宋"/>
                <w:color w:val="000000"/>
                <w:kern w:val="0"/>
                <w:sz w:val="24"/>
                <w:lang w:bidi="zh-TW"/>
              </w:rPr>
              <w:t>1</w:t>
            </w:r>
          </w:p>
        </w:tc>
      </w:tr>
      <w:tr w14:paraId="3F41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10" w:type="dxa"/>
            <w:vAlign w:val="center"/>
          </w:tcPr>
          <w:p w14:paraId="73F6E17B">
            <w:pPr>
              <w:jc w:val="center"/>
              <w:rPr>
                <w:rFonts w:ascii="仿宋" w:hAnsi="仿宋" w:eastAsia="仿宋" w:cs="仿宋"/>
                <w:color w:val="000000"/>
                <w:kern w:val="0"/>
                <w:sz w:val="24"/>
                <w:lang w:bidi="zh-TW"/>
              </w:rPr>
            </w:pPr>
            <w:r>
              <w:rPr>
                <w:rFonts w:hint="eastAsia" w:ascii="仿宋" w:hAnsi="仿宋" w:eastAsia="仿宋" w:cs="仿宋"/>
                <w:color w:val="000000"/>
                <w:kern w:val="0"/>
                <w:sz w:val="24"/>
                <w:lang w:bidi="zh-TW"/>
              </w:rPr>
              <w:t>9</w:t>
            </w:r>
          </w:p>
        </w:tc>
        <w:tc>
          <w:tcPr>
            <w:tcW w:w="1443" w:type="dxa"/>
            <w:vMerge w:val="continue"/>
            <w:vAlign w:val="center"/>
          </w:tcPr>
          <w:p w14:paraId="542D0637">
            <w:pPr>
              <w:jc w:val="center"/>
              <w:rPr>
                <w:rFonts w:ascii="仿宋" w:hAnsi="仿宋" w:eastAsia="仿宋" w:cs="仿宋"/>
                <w:color w:val="000000"/>
                <w:kern w:val="0"/>
                <w:sz w:val="24"/>
                <w:lang w:val="zh-TW" w:eastAsia="zh-TW" w:bidi="zh-TW"/>
              </w:rPr>
            </w:pPr>
          </w:p>
        </w:tc>
        <w:tc>
          <w:tcPr>
            <w:tcW w:w="4807" w:type="dxa"/>
            <w:vAlign w:val="center"/>
          </w:tcPr>
          <w:p w14:paraId="092EE8B9">
            <w:pPr>
              <w:jc w:val="center"/>
              <w:rPr>
                <w:rFonts w:ascii="仿宋" w:hAnsi="仿宋" w:eastAsia="仿宋" w:cs="仿宋"/>
                <w:color w:val="000000"/>
                <w:kern w:val="0"/>
                <w:sz w:val="24"/>
                <w:lang w:bidi="zh-TW"/>
              </w:rPr>
            </w:pPr>
            <w:r>
              <w:rPr>
                <w:rFonts w:hint="eastAsia" w:ascii="仿宋" w:hAnsi="仿宋" w:eastAsia="仿宋" w:cs="仿宋"/>
                <w:color w:val="000000"/>
                <w:kern w:val="0"/>
                <w:sz w:val="24"/>
                <w:lang w:bidi="zh-TW"/>
              </w:rPr>
              <w:t>全院岗位设置及考核评价方案设计</w:t>
            </w:r>
          </w:p>
        </w:tc>
        <w:tc>
          <w:tcPr>
            <w:tcW w:w="898" w:type="dxa"/>
            <w:vAlign w:val="center"/>
          </w:tcPr>
          <w:p w14:paraId="7416E8A2">
            <w:pPr>
              <w:jc w:val="center"/>
              <w:rPr>
                <w:rFonts w:ascii="仿宋" w:hAnsi="仿宋" w:eastAsia="仿宋" w:cs="仿宋"/>
                <w:color w:val="000000"/>
                <w:kern w:val="0"/>
                <w:sz w:val="24"/>
                <w:lang w:bidi="zh-TW"/>
              </w:rPr>
            </w:pPr>
            <w:r>
              <w:rPr>
                <w:rFonts w:hint="eastAsia" w:ascii="仿宋" w:hAnsi="仿宋" w:eastAsia="仿宋" w:cs="仿宋"/>
                <w:color w:val="000000"/>
                <w:kern w:val="0"/>
                <w:sz w:val="24"/>
                <w:lang w:bidi="zh-TW"/>
              </w:rPr>
              <w:t>1</w:t>
            </w:r>
          </w:p>
        </w:tc>
      </w:tr>
      <w:tr w14:paraId="36D1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10" w:type="dxa"/>
            <w:vAlign w:val="center"/>
          </w:tcPr>
          <w:p w14:paraId="2C37DE61">
            <w:pPr>
              <w:jc w:val="center"/>
              <w:rPr>
                <w:rFonts w:ascii="仿宋" w:hAnsi="仿宋" w:eastAsia="仿宋" w:cs="仿宋"/>
                <w:color w:val="000000"/>
                <w:kern w:val="0"/>
                <w:sz w:val="24"/>
                <w:lang w:bidi="zh-TW"/>
              </w:rPr>
            </w:pPr>
            <w:r>
              <w:rPr>
                <w:rFonts w:hint="eastAsia" w:ascii="仿宋" w:hAnsi="仿宋" w:eastAsia="仿宋" w:cs="仿宋"/>
                <w:color w:val="000000"/>
                <w:kern w:val="0"/>
                <w:sz w:val="24"/>
                <w:lang w:bidi="zh-TW"/>
              </w:rPr>
              <w:t>10</w:t>
            </w:r>
          </w:p>
        </w:tc>
        <w:tc>
          <w:tcPr>
            <w:tcW w:w="1443" w:type="dxa"/>
            <w:vAlign w:val="center"/>
          </w:tcPr>
          <w:p w14:paraId="78804D9F">
            <w:pPr>
              <w:jc w:val="center"/>
              <w:rPr>
                <w:rFonts w:ascii="仿宋" w:hAnsi="仿宋" w:eastAsia="仿宋" w:cs="仿宋"/>
                <w:color w:val="000000"/>
                <w:kern w:val="0"/>
                <w:sz w:val="24"/>
                <w:lang w:val="zh-TW" w:eastAsia="zh-TW" w:bidi="zh-TW"/>
              </w:rPr>
            </w:pPr>
            <w:r>
              <w:rPr>
                <w:rFonts w:hint="eastAsia" w:ascii="仿宋" w:hAnsi="仿宋" w:eastAsia="仿宋" w:cs="仿宋"/>
                <w:color w:val="000000"/>
                <w:kern w:val="0"/>
                <w:sz w:val="24"/>
                <w:lang w:val="zh-TW" w:bidi="zh-TW"/>
              </w:rPr>
              <w:t>系统</w:t>
            </w:r>
          </w:p>
        </w:tc>
        <w:tc>
          <w:tcPr>
            <w:tcW w:w="4807" w:type="dxa"/>
            <w:vAlign w:val="center"/>
          </w:tcPr>
          <w:p w14:paraId="648BF643">
            <w:pPr>
              <w:jc w:val="center"/>
              <w:rPr>
                <w:rFonts w:ascii="仿宋" w:hAnsi="仿宋" w:eastAsia="仿宋" w:cs="仿宋"/>
                <w:sz w:val="24"/>
              </w:rPr>
            </w:pPr>
            <w:r>
              <w:rPr>
                <w:rFonts w:hint="eastAsia" w:ascii="仿宋" w:hAnsi="仿宋" w:eastAsia="仿宋" w:cs="仿宋"/>
                <w:sz w:val="24"/>
              </w:rPr>
              <w:t>基于RBRVS的医院绩效评价管理系统</w:t>
            </w:r>
          </w:p>
        </w:tc>
        <w:tc>
          <w:tcPr>
            <w:tcW w:w="898" w:type="dxa"/>
            <w:vAlign w:val="center"/>
          </w:tcPr>
          <w:p w14:paraId="09D70A7F">
            <w:pPr>
              <w:jc w:val="center"/>
              <w:rPr>
                <w:rFonts w:ascii="仿宋" w:hAnsi="仿宋" w:eastAsia="仿宋" w:cs="仿宋"/>
                <w:color w:val="000000"/>
                <w:kern w:val="0"/>
                <w:sz w:val="24"/>
                <w:lang w:val="zh-TW" w:bidi="zh-TW"/>
              </w:rPr>
            </w:pPr>
            <w:r>
              <w:rPr>
                <w:rFonts w:hint="eastAsia" w:ascii="仿宋" w:hAnsi="仿宋" w:eastAsia="仿宋" w:cs="仿宋"/>
                <w:color w:val="000000"/>
                <w:kern w:val="0"/>
                <w:sz w:val="24"/>
                <w:lang w:val="zh-TW" w:bidi="zh-TW"/>
              </w:rPr>
              <w:t>1</w:t>
            </w:r>
          </w:p>
        </w:tc>
      </w:tr>
      <w:tr w14:paraId="0FD4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0" w:type="dxa"/>
            <w:vAlign w:val="center"/>
          </w:tcPr>
          <w:p w14:paraId="1BC01C16">
            <w:pPr>
              <w:jc w:val="center"/>
              <w:rPr>
                <w:rFonts w:ascii="仿宋" w:hAnsi="仿宋" w:eastAsia="仿宋" w:cs="仿宋"/>
                <w:color w:val="000000"/>
                <w:kern w:val="0"/>
                <w:sz w:val="24"/>
                <w:lang w:bidi="zh-TW"/>
              </w:rPr>
            </w:pPr>
            <w:r>
              <w:rPr>
                <w:rFonts w:hint="eastAsia" w:ascii="仿宋" w:hAnsi="仿宋" w:eastAsia="仿宋" w:cs="仿宋"/>
                <w:color w:val="000000"/>
                <w:kern w:val="0"/>
                <w:sz w:val="24"/>
                <w:lang w:bidi="zh-TW"/>
              </w:rPr>
              <w:t>11</w:t>
            </w:r>
          </w:p>
        </w:tc>
        <w:tc>
          <w:tcPr>
            <w:tcW w:w="1443" w:type="dxa"/>
            <w:vAlign w:val="center"/>
          </w:tcPr>
          <w:p w14:paraId="6C9750D1">
            <w:pPr>
              <w:jc w:val="center"/>
              <w:rPr>
                <w:rFonts w:ascii="仿宋" w:hAnsi="仿宋" w:eastAsia="仿宋" w:cs="仿宋"/>
                <w:color w:val="000000"/>
                <w:kern w:val="0"/>
                <w:sz w:val="24"/>
                <w:lang w:val="zh-TW" w:eastAsia="zh-TW" w:bidi="zh-TW"/>
              </w:rPr>
            </w:pPr>
            <w:r>
              <w:rPr>
                <w:rFonts w:hint="eastAsia" w:ascii="仿宋" w:hAnsi="仿宋" w:eastAsia="仿宋" w:cs="仿宋"/>
                <w:color w:val="000000"/>
                <w:kern w:val="0"/>
                <w:sz w:val="24"/>
                <w:lang w:val="zh-TW" w:bidi="zh-TW"/>
              </w:rPr>
              <w:t>定制开发</w:t>
            </w:r>
          </w:p>
        </w:tc>
        <w:tc>
          <w:tcPr>
            <w:tcW w:w="4807" w:type="dxa"/>
            <w:vAlign w:val="center"/>
          </w:tcPr>
          <w:p w14:paraId="09CA0F9A">
            <w:pPr>
              <w:jc w:val="center"/>
              <w:rPr>
                <w:rFonts w:ascii="仿宋" w:hAnsi="仿宋" w:eastAsia="仿宋" w:cs="仿宋"/>
                <w:sz w:val="24"/>
              </w:rPr>
            </w:pPr>
            <w:r>
              <w:rPr>
                <w:rFonts w:hint="eastAsia" w:ascii="仿宋" w:hAnsi="仿宋" w:eastAsia="仿宋" w:cs="仿宋"/>
                <w:sz w:val="24"/>
              </w:rPr>
              <w:t>对医院实际需求的定制的开发</w:t>
            </w:r>
          </w:p>
        </w:tc>
        <w:tc>
          <w:tcPr>
            <w:tcW w:w="898" w:type="dxa"/>
            <w:vAlign w:val="center"/>
          </w:tcPr>
          <w:p w14:paraId="7CB57CCC">
            <w:pPr>
              <w:jc w:val="center"/>
              <w:rPr>
                <w:rFonts w:ascii="仿宋" w:hAnsi="仿宋" w:eastAsia="仿宋" w:cs="仿宋"/>
                <w:color w:val="000000"/>
                <w:kern w:val="0"/>
                <w:sz w:val="24"/>
                <w:lang w:val="zh-TW" w:bidi="zh-TW"/>
              </w:rPr>
            </w:pPr>
            <w:r>
              <w:rPr>
                <w:rFonts w:hint="eastAsia" w:ascii="仿宋" w:hAnsi="仿宋" w:eastAsia="仿宋" w:cs="仿宋"/>
                <w:color w:val="000000"/>
                <w:kern w:val="0"/>
                <w:sz w:val="24"/>
                <w:lang w:val="zh-TW" w:bidi="zh-TW"/>
              </w:rPr>
              <w:t>1</w:t>
            </w:r>
          </w:p>
        </w:tc>
      </w:tr>
    </w:tbl>
    <w:p w14:paraId="79C1136F">
      <w:pPr>
        <w:pStyle w:val="110"/>
        <w:keepNext/>
        <w:keepLines/>
        <w:spacing w:after="40" w:line="240" w:lineRule="auto"/>
        <w:rPr>
          <w:rFonts w:ascii="仿宋" w:hAnsi="仿宋" w:eastAsia="仿宋" w:cs="仿宋"/>
          <w:b w:val="0"/>
          <w:bCs w:val="0"/>
          <w:color w:val="auto"/>
          <w:spacing w:val="12"/>
          <w:sz w:val="24"/>
          <w:lang w:val="en-US" w:eastAsia="zh-CN" w:bidi="zh-CN"/>
        </w:rPr>
      </w:pPr>
    </w:p>
    <w:p w14:paraId="5E69C107">
      <w:pPr>
        <w:pStyle w:val="110"/>
        <w:keepNext/>
        <w:keepLines/>
        <w:spacing w:after="40" w:line="360" w:lineRule="auto"/>
        <w:rPr>
          <w:rFonts w:ascii="仿宋" w:hAnsi="仿宋" w:eastAsia="仿宋" w:cs="仿宋"/>
          <w:b w:val="0"/>
          <w:bCs w:val="0"/>
          <w:color w:val="auto"/>
          <w:spacing w:val="12"/>
          <w:sz w:val="24"/>
          <w:lang w:val="zh-CN" w:eastAsia="zh-CN" w:bidi="zh-CN"/>
        </w:rPr>
      </w:pPr>
      <w:r>
        <w:rPr>
          <w:rFonts w:hint="eastAsia" w:ascii="仿宋" w:hAnsi="仿宋" w:eastAsia="仿宋" w:cs="仿宋"/>
          <w:b w:val="0"/>
          <w:bCs w:val="0"/>
          <w:color w:val="auto"/>
          <w:spacing w:val="12"/>
          <w:sz w:val="24"/>
          <w:lang w:val="en-US" w:eastAsia="zh-CN" w:bidi="zh-CN"/>
        </w:rPr>
        <w:t>一、</w:t>
      </w:r>
      <w:r>
        <w:rPr>
          <w:rFonts w:hint="eastAsia" w:ascii="仿宋" w:hAnsi="仿宋" w:eastAsia="仿宋" w:cs="仿宋"/>
          <w:b w:val="0"/>
          <w:bCs w:val="0"/>
          <w:color w:val="auto"/>
          <w:spacing w:val="12"/>
          <w:sz w:val="24"/>
          <w:lang w:val="zh-CN" w:eastAsia="zh-CN" w:bidi="zh-CN"/>
        </w:rPr>
        <w:t>项目概况</w:t>
      </w:r>
    </w:p>
    <w:p w14:paraId="7E5ACA7C">
      <w:pPr>
        <w:pStyle w:val="110"/>
        <w:keepNext/>
        <w:keepLines/>
        <w:spacing w:after="40" w:line="360" w:lineRule="auto"/>
        <w:rPr>
          <w:rFonts w:ascii="仿宋" w:hAnsi="仿宋" w:eastAsia="仿宋" w:cs="仿宋"/>
          <w:b w:val="0"/>
          <w:bCs w:val="0"/>
          <w:color w:val="auto"/>
          <w:spacing w:val="12"/>
          <w:sz w:val="24"/>
          <w:lang w:val="en-US" w:eastAsia="zh-CN" w:bidi="zh-CN"/>
        </w:rPr>
      </w:pPr>
      <w:r>
        <w:rPr>
          <w:rFonts w:hint="eastAsia" w:ascii="仿宋" w:hAnsi="仿宋" w:eastAsia="仿宋" w:cs="仿宋"/>
          <w:b w:val="0"/>
          <w:bCs w:val="0"/>
          <w:color w:val="auto"/>
          <w:spacing w:val="12"/>
          <w:sz w:val="24"/>
          <w:lang w:bidi="zh-CN"/>
        </w:rPr>
        <w:t>拟采购</w:t>
      </w:r>
      <w:r>
        <w:rPr>
          <w:rFonts w:hint="eastAsia" w:ascii="仿宋" w:hAnsi="仿宋" w:eastAsia="仿宋" w:cs="仿宋"/>
          <w:b w:val="0"/>
          <w:bCs w:val="0"/>
          <w:color w:val="auto"/>
          <w:spacing w:val="12"/>
          <w:sz w:val="24"/>
          <w:lang w:val="en-US" w:bidi="zh-CN"/>
        </w:rPr>
        <w:t>基于RBRVS的</w:t>
      </w:r>
      <w:r>
        <w:rPr>
          <w:rFonts w:hint="eastAsia" w:ascii="仿宋" w:hAnsi="仿宋" w:eastAsia="仿宋" w:cs="仿宋"/>
          <w:b w:val="0"/>
          <w:bCs w:val="0"/>
          <w:color w:val="auto"/>
          <w:spacing w:val="12"/>
          <w:sz w:val="24"/>
          <w:lang w:bidi="zh-CN"/>
        </w:rPr>
        <w:t>绩效管理咨询服务</w:t>
      </w:r>
      <w:r>
        <w:rPr>
          <w:rFonts w:hint="eastAsia" w:ascii="仿宋" w:hAnsi="仿宋" w:eastAsia="仿宋" w:cs="仿宋"/>
          <w:b w:val="0"/>
          <w:bCs w:val="0"/>
          <w:color w:val="auto"/>
          <w:spacing w:val="12"/>
          <w:sz w:val="24"/>
          <w:lang w:val="en-US" w:bidi="zh-CN"/>
        </w:rPr>
        <w:t>及配套软件系统</w:t>
      </w:r>
      <w:r>
        <w:rPr>
          <w:rFonts w:hint="eastAsia" w:ascii="仿宋" w:hAnsi="仿宋" w:eastAsia="仿宋" w:cs="仿宋"/>
          <w:b w:val="0"/>
          <w:bCs w:val="0"/>
          <w:color w:val="auto"/>
          <w:spacing w:val="12"/>
          <w:sz w:val="24"/>
          <w:lang w:bidi="zh-CN"/>
        </w:rPr>
        <w:t>一项</w:t>
      </w:r>
      <w:r>
        <w:rPr>
          <w:rFonts w:hint="eastAsia" w:ascii="仿宋" w:hAnsi="仿宋" w:eastAsia="仿宋" w:cs="仿宋"/>
          <w:b w:val="0"/>
          <w:bCs w:val="0"/>
          <w:color w:val="auto"/>
          <w:spacing w:val="12"/>
          <w:sz w:val="24"/>
          <w:lang w:eastAsia="zh-CN" w:bidi="zh-CN"/>
        </w:rPr>
        <w:t>。</w:t>
      </w:r>
    </w:p>
    <w:p w14:paraId="3501643A">
      <w:pPr>
        <w:pStyle w:val="110"/>
        <w:keepNext/>
        <w:keepLines/>
        <w:spacing w:after="40" w:line="360" w:lineRule="auto"/>
        <w:rPr>
          <w:rFonts w:ascii="仿宋" w:hAnsi="仿宋" w:eastAsia="仿宋" w:cs="仿宋"/>
          <w:b w:val="0"/>
          <w:bCs w:val="0"/>
          <w:color w:val="auto"/>
          <w:spacing w:val="12"/>
          <w:sz w:val="24"/>
          <w:lang w:val="en-US" w:eastAsia="zh-CN" w:bidi="zh-CN"/>
        </w:rPr>
      </w:pPr>
      <w:r>
        <w:rPr>
          <w:rFonts w:hint="eastAsia" w:ascii="仿宋" w:hAnsi="仿宋" w:eastAsia="仿宋" w:cs="仿宋"/>
          <w:b w:val="0"/>
          <w:bCs w:val="0"/>
          <w:color w:val="auto"/>
          <w:spacing w:val="12"/>
          <w:sz w:val="24"/>
          <w:lang w:val="en-US" w:eastAsia="zh-CN" w:bidi="zh-CN"/>
        </w:rPr>
        <w:t>二 、项目背景及相关服务要求</w:t>
      </w:r>
    </w:p>
    <w:p w14:paraId="3A92C2F2">
      <w:pPr>
        <w:pStyle w:val="110"/>
        <w:keepNext/>
        <w:keepLines/>
        <w:spacing w:after="200" w:line="240" w:lineRule="auto"/>
        <w:rPr>
          <w:rFonts w:ascii="仿宋" w:hAnsi="仿宋" w:eastAsia="仿宋" w:cs="仿宋"/>
          <w:sz w:val="24"/>
        </w:rPr>
      </w:pPr>
      <w:bookmarkStart w:id="822" w:name="bookmark22"/>
      <w:r>
        <w:rPr>
          <w:rFonts w:hint="eastAsia" w:ascii="仿宋" w:hAnsi="仿宋" w:eastAsia="仿宋" w:cs="仿宋"/>
          <w:sz w:val="24"/>
          <w:lang w:eastAsia="zh-CN"/>
        </w:rPr>
        <w:t>（</w:t>
      </w:r>
      <w:r>
        <w:rPr>
          <w:rFonts w:hint="eastAsia" w:ascii="仿宋" w:hAnsi="仿宋" w:eastAsia="仿宋" w:cs="仿宋"/>
          <w:sz w:val="24"/>
          <w:lang w:val="en-US" w:eastAsia="zh-CN"/>
        </w:rPr>
        <w:t>一</w:t>
      </w:r>
      <w:r>
        <w:rPr>
          <w:rFonts w:hint="eastAsia" w:ascii="仿宋" w:hAnsi="仿宋" w:eastAsia="仿宋" w:cs="仿宋"/>
          <w:sz w:val="24"/>
          <w:lang w:eastAsia="zh-CN"/>
        </w:rPr>
        <w:t>）</w:t>
      </w:r>
      <w:r>
        <w:rPr>
          <w:rFonts w:hint="eastAsia" w:ascii="仿宋" w:hAnsi="仿宋" w:eastAsia="仿宋" w:cs="仿宋"/>
          <w:sz w:val="24"/>
        </w:rPr>
        <w:t>项目背景</w:t>
      </w:r>
      <w:bookmarkEnd w:id="822"/>
    </w:p>
    <w:p w14:paraId="22479CE0">
      <w:pPr>
        <w:ind w:firstLine="486" w:firstLineChars="200"/>
        <w:rPr>
          <w:rFonts w:ascii="仿宋" w:hAnsi="仿宋" w:eastAsia="仿宋" w:cs="仿宋"/>
          <w:spacing w:val="3"/>
          <w:w w:val="99"/>
          <w:kern w:val="0"/>
          <w:sz w:val="24"/>
          <w:lang w:val="zh-TW" w:eastAsia="zh-TW" w:bidi="zh-CN"/>
        </w:rPr>
      </w:pPr>
      <w:r>
        <w:rPr>
          <w:rFonts w:hint="eastAsia" w:ascii="仿宋" w:hAnsi="仿宋" w:eastAsia="仿宋" w:cs="仿宋"/>
          <w:spacing w:val="3"/>
          <w:w w:val="99"/>
          <w:kern w:val="0"/>
          <w:sz w:val="24"/>
          <w:lang w:val="zh-TW" w:eastAsia="zh-TW" w:bidi="zh-CN"/>
        </w:rPr>
        <w:t>符合国家卫生健康委“九项准则”、公立医院薪酬制度改革、三级公立医院绩效考核、公立医院高质量发展等相关文件规定，以劳动价值为核心、统筹效率与公平。拟建立以医院战略发展目标为导向，以医务人员劳动价值、工作量为评价基础，统筹质量、效率、成本，建立基于DRG支付模式下的精细化绩效管理和绩效工资分配体系、绩效考核体系。</w:t>
      </w:r>
    </w:p>
    <w:p w14:paraId="0353BF84">
      <w:pPr>
        <w:pStyle w:val="110"/>
        <w:keepNext/>
        <w:keepLines/>
        <w:spacing w:after="200" w:line="240" w:lineRule="auto"/>
        <w:rPr>
          <w:rFonts w:ascii="仿宋" w:hAnsi="仿宋" w:eastAsia="仿宋" w:cs="仿宋"/>
          <w:spacing w:val="3"/>
          <w:w w:val="99"/>
          <w:sz w:val="24"/>
          <w:lang w:val="en-US" w:eastAsia="zh-CN" w:bidi="zh-CN"/>
        </w:rPr>
      </w:pPr>
      <w:r>
        <w:rPr>
          <w:rFonts w:hint="eastAsia" w:ascii="仿宋" w:hAnsi="仿宋" w:eastAsia="仿宋" w:cs="仿宋"/>
          <w:sz w:val="24"/>
          <w:lang w:eastAsia="zh-CN"/>
        </w:rPr>
        <w:t>（</w:t>
      </w:r>
      <w:r>
        <w:rPr>
          <w:rFonts w:hint="eastAsia" w:ascii="仿宋" w:hAnsi="仿宋" w:eastAsia="仿宋" w:cs="仿宋"/>
          <w:sz w:val="24"/>
          <w:lang w:val="en-US" w:eastAsia="zh-CN"/>
        </w:rPr>
        <w:t>二</w:t>
      </w:r>
      <w:r>
        <w:rPr>
          <w:rFonts w:hint="eastAsia" w:ascii="仿宋" w:hAnsi="仿宋" w:eastAsia="仿宋" w:cs="仿宋"/>
          <w:sz w:val="24"/>
          <w:lang w:eastAsia="zh-CN"/>
        </w:rPr>
        <w:t>）</w:t>
      </w:r>
      <w:r>
        <w:rPr>
          <w:rFonts w:hint="eastAsia" w:ascii="仿宋" w:hAnsi="仿宋" w:eastAsia="仿宋" w:cs="仿宋"/>
          <w:sz w:val="24"/>
        </w:rPr>
        <w:t>项目</w:t>
      </w:r>
      <w:r>
        <w:rPr>
          <w:rFonts w:hint="eastAsia" w:ascii="仿宋" w:hAnsi="仿宋" w:eastAsia="仿宋" w:cs="仿宋"/>
          <w:sz w:val="24"/>
          <w:lang w:val="en-US" w:eastAsia="zh-CN"/>
        </w:rPr>
        <w:t>总体要求</w:t>
      </w:r>
    </w:p>
    <w:p w14:paraId="5613446E">
      <w:pPr>
        <w:ind w:firstLine="486" w:firstLineChars="200"/>
        <w:rPr>
          <w:rFonts w:ascii="仿宋" w:hAnsi="仿宋" w:eastAsia="仿宋" w:cs="仿宋"/>
          <w:spacing w:val="3"/>
          <w:w w:val="99"/>
          <w:kern w:val="0"/>
          <w:sz w:val="24"/>
          <w:lang w:val="zh-TW" w:eastAsia="zh-TW" w:bidi="zh-CN"/>
        </w:rPr>
      </w:pPr>
      <w:r>
        <w:rPr>
          <w:rFonts w:hint="eastAsia" w:ascii="仿宋" w:hAnsi="仿宋" w:eastAsia="仿宋" w:cs="仿宋"/>
          <w:color w:val="FF0000"/>
          <w:spacing w:val="3"/>
          <w:w w:val="99"/>
          <w:kern w:val="0"/>
          <w:sz w:val="24"/>
          <w:lang w:val="zh-TW" w:eastAsia="zh-TW" w:bidi="zh-CN"/>
        </w:rPr>
        <w:t>系统应保证与现行系统实现有效衔接</w:t>
      </w:r>
      <w:r>
        <w:rPr>
          <w:rFonts w:hint="eastAsia" w:ascii="仿宋" w:hAnsi="仿宋" w:eastAsia="仿宋" w:cs="仿宋"/>
          <w:spacing w:val="3"/>
          <w:w w:val="99"/>
          <w:kern w:val="0"/>
          <w:sz w:val="24"/>
          <w:lang w:val="zh-TW" w:eastAsia="zh-TW" w:bidi="zh-CN"/>
        </w:rPr>
        <w:t>，要求提供标准的、采用成熟技术和易集成的数据接口与医院的管理系统（HIS）、医院财务管理系统、医院资源管理系统（HRP）、检查系统（PACS）、检验系统（LIS）、手麻系统和体检系统等进行数据交换，满足绩效数据收集的需要，实现信息的共享和集成。</w:t>
      </w:r>
      <w:r>
        <w:rPr>
          <w:rFonts w:hint="eastAsia" w:ascii="仿宋" w:hAnsi="仿宋" w:eastAsia="仿宋" w:cs="仿宋"/>
          <w:color w:val="FF0000"/>
          <w:spacing w:val="3"/>
          <w:w w:val="99"/>
          <w:kern w:val="0"/>
          <w:sz w:val="24"/>
          <w:lang w:val="zh-TW" w:eastAsia="zh-TW" w:bidi="zh-CN"/>
        </w:rPr>
        <w:t>支持跨平台和开放数据接口。</w:t>
      </w:r>
      <w:r>
        <w:rPr>
          <w:rFonts w:hint="eastAsia" w:ascii="仿宋" w:hAnsi="仿宋" w:eastAsia="仿宋" w:cs="仿宋"/>
          <w:spacing w:val="3"/>
          <w:w w:val="99"/>
          <w:kern w:val="0"/>
          <w:sz w:val="24"/>
          <w:lang w:val="zh-TW" w:eastAsia="zh-TW" w:bidi="zh-CN"/>
        </w:rPr>
        <w:t>系统应保持好的扩展性，有利于逐步升级。</w:t>
      </w:r>
    </w:p>
    <w:p w14:paraId="2D312AB3">
      <w:pPr>
        <w:pStyle w:val="110"/>
        <w:keepNext/>
        <w:keepLines/>
        <w:spacing w:after="200" w:line="240" w:lineRule="auto"/>
        <w:rPr>
          <w:rFonts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三</w:t>
      </w:r>
      <w:r>
        <w:rPr>
          <w:rFonts w:hint="eastAsia" w:ascii="仿宋" w:hAnsi="仿宋" w:eastAsia="仿宋" w:cs="仿宋"/>
          <w:sz w:val="24"/>
          <w:lang w:eastAsia="zh-CN"/>
        </w:rPr>
        <w:t>）建设要求</w:t>
      </w:r>
    </w:p>
    <w:p w14:paraId="489F4858">
      <w:pPr>
        <w:pStyle w:val="87"/>
        <w:ind w:left="480" w:firstLine="0" w:firstLineChars="0"/>
        <w:rPr>
          <w:rFonts w:ascii="仿宋" w:hAnsi="仿宋" w:eastAsia="仿宋" w:cs="仿宋"/>
          <w:b/>
          <w:bCs/>
          <w:color w:val="000000"/>
          <w:kern w:val="0"/>
          <w:sz w:val="24"/>
          <w:szCs w:val="24"/>
          <w:lang w:val="zh-TW" w:eastAsia="zh-TW" w:bidi="zh-TW"/>
        </w:rPr>
      </w:pPr>
      <w:r>
        <w:rPr>
          <w:rFonts w:hint="eastAsia" w:ascii="仿宋" w:hAnsi="仿宋" w:eastAsia="仿宋" w:cs="仿宋"/>
          <w:b/>
          <w:bCs/>
          <w:color w:val="000000"/>
          <w:kern w:val="0"/>
          <w:sz w:val="24"/>
          <w:szCs w:val="24"/>
          <w:lang w:bidi="zh-TW"/>
        </w:rPr>
        <w:t>1.</w:t>
      </w:r>
      <w:r>
        <w:rPr>
          <w:rFonts w:hint="eastAsia" w:ascii="仿宋" w:hAnsi="仿宋" w:eastAsia="仿宋" w:cs="仿宋"/>
          <w:b/>
          <w:bCs/>
          <w:color w:val="FF0000"/>
          <w:kern w:val="0"/>
          <w:sz w:val="24"/>
          <w:szCs w:val="24"/>
          <w:lang w:val="zh-TW" w:eastAsia="zh-TW" w:bidi="zh-TW"/>
        </w:rPr>
        <w:t>咨询方案符合政策规范性原则</w:t>
      </w:r>
    </w:p>
    <w:p w14:paraId="30FF0D89">
      <w:pPr>
        <w:ind w:firstLine="486" w:firstLineChars="200"/>
        <w:rPr>
          <w:rFonts w:ascii="仿宋" w:hAnsi="仿宋" w:eastAsia="仿宋" w:cs="仿宋"/>
          <w:spacing w:val="3"/>
          <w:w w:val="99"/>
          <w:kern w:val="0"/>
          <w:sz w:val="24"/>
          <w:lang w:val="zh-TW" w:eastAsia="zh-TW" w:bidi="zh-CN"/>
        </w:rPr>
      </w:pPr>
      <w:r>
        <w:rPr>
          <w:rFonts w:hint="eastAsia" w:ascii="仿宋" w:hAnsi="仿宋" w:eastAsia="仿宋" w:cs="仿宋"/>
          <w:spacing w:val="3"/>
          <w:w w:val="99"/>
          <w:kern w:val="0"/>
          <w:sz w:val="24"/>
          <w:lang w:val="zh-TW" w:eastAsia="zh-TW" w:bidi="zh-CN"/>
        </w:rPr>
        <w:t>绩效方案应当符合国家卫生健康委“九项准则”，公立医院薪酬制度改革、 三级公立医院绩效考核、公立医院高质量发展等相关文件规定，医务人员的绩效工资不能与收入挂钩，符合医保支付政策要求。建立以医院战略目标（扩大服务 量、提高效率、优化病种结构和收入结构）为导向，以工作量评价为基础，基于DRG支付模式下统筹效率、质量、成本、科研教学的绩效评价和分配体系。兼顾关键业绩指标和直接成本管控 体系，实现绩效分配的公平性，体现多劳多得、优绩优酬，保证医院的公益性要求。</w:t>
      </w:r>
    </w:p>
    <w:p w14:paraId="4615AB89">
      <w:pPr>
        <w:pStyle w:val="87"/>
        <w:ind w:left="480" w:firstLine="0" w:firstLineChars="0"/>
        <w:rPr>
          <w:rFonts w:ascii="仿宋" w:hAnsi="仿宋" w:eastAsia="仿宋" w:cs="仿宋"/>
          <w:b/>
          <w:bCs/>
          <w:color w:val="000000"/>
          <w:kern w:val="0"/>
          <w:sz w:val="24"/>
          <w:szCs w:val="24"/>
          <w:lang w:val="zh-TW" w:eastAsia="zh-TW" w:bidi="zh-TW"/>
        </w:rPr>
      </w:pPr>
      <w:r>
        <w:rPr>
          <w:rFonts w:hint="eastAsia" w:ascii="仿宋" w:hAnsi="仿宋" w:eastAsia="仿宋" w:cs="仿宋"/>
          <w:b/>
          <w:bCs/>
          <w:color w:val="000000"/>
          <w:kern w:val="0"/>
          <w:sz w:val="24"/>
          <w:szCs w:val="24"/>
          <w:lang w:bidi="zh-TW"/>
        </w:rPr>
        <w:t>2.</w:t>
      </w:r>
      <w:r>
        <w:rPr>
          <w:rFonts w:hint="eastAsia" w:ascii="仿宋" w:hAnsi="仿宋" w:eastAsia="仿宋" w:cs="仿宋"/>
          <w:b/>
          <w:bCs/>
          <w:color w:val="FF0000"/>
          <w:kern w:val="0"/>
          <w:sz w:val="24"/>
          <w:szCs w:val="24"/>
          <w:lang w:val="zh-TW" w:eastAsia="zh-TW" w:bidi="zh-TW"/>
        </w:rPr>
        <w:t>技术方法本地化原则</w:t>
      </w:r>
    </w:p>
    <w:p w14:paraId="6EBE09DD">
      <w:pPr>
        <w:ind w:firstLine="486" w:firstLineChars="200"/>
        <w:rPr>
          <w:rFonts w:ascii="仿宋" w:hAnsi="仿宋" w:eastAsia="仿宋" w:cs="仿宋"/>
          <w:spacing w:val="3"/>
          <w:w w:val="99"/>
          <w:kern w:val="0"/>
          <w:sz w:val="24"/>
          <w:lang w:val="zh-TW" w:eastAsia="zh-TW" w:bidi="zh-CN"/>
        </w:rPr>
      </w:pPr>
      <w:r>
        <w:rPr>
          <w:rFonts w:hint="eastAsia" w:ascii="仿宋" w:hAnsi="仿宋" w:eastAsia="仿宋" w:cs="仿宋"/>
          <w:spacing w:val="3"/>
          <w:w w:val="99"/>
          <w:kern w:val="0"/>
          <w:sz w:val="24"/>
          <w:lang w:val="zh-TW" w:eastAsia="zh-TW" w:bidi="zh-CN"/>
        </w:rPr>
        <w:t>由于绩效管理高度个性化，</w:t>
      </w:r>
      <w:r>
        <w:rPr>
          <w:rFonts w:hint="eastAsia" w:ascii="仿宋" w:hAnsi="仿宋" w:eastAsia="仿宋" w:cs="仿宋"/>
          <w:color w:val="FF0000"/>
          <w:spacing w:val="3"/>
          <w:w w:val="99"/>
          <w:kern w:val="0"/>
          <w:sz w:val="24"/>
          <w:lang w:val="zh-TW" w:eastAsia="zh-TW" w:bidi="zh-CN"/>
        </w:rPr>
        <w:t>投标方应当提供绩效管理及人事管理咨询</w:t>
      </w:r>
      <w:r>
        <w:rPr>
          <w:rFonts w:hint="eastAsia" w:ascii="仿宋" w:hAnsi="仿宋" w:eastAsia="仿宋" w:cs="仿宋"/>
          <w:spacing w:val="3"/>
          <w:w w:val="99"/>
          <w:kern w:val="0"/>
          <w:sz w:val="24"/>
          <w:lang w:val="zh-TW" w:eastAsia="zh-TW" w:bidi="zh-CN"/>
        </w:rPr>
        <w:t>，将国际先进的医务人员劳动价值评价方法在本院进行本地化研究，使之适合本院的发 展阶段。并能为未来发展建立基础绩效管理架构。需要咨询团队将基于资源消耗 为基础的价值尺度本土化，并依据我院的业务特点及实际情况进行本地化。</w:t>
      </w:r>
    </w:p>
    <w:p w14:paraId="7C0642E9">
      <w:pPr>
        <w:pStyle w:val="87"/>
        <w:ind w:left="480" w:firstLine="0" w:firstLineChars="0"/>
        <w:rPr>
          <w:rFonts w:ascii="仿宋" w:hAnsi="仿宋" w:eastAsia="仿宋" w:cs="仿宋"/>
          <w:b/>
          <w:bCs/>
          <w:color w:val="000000"/>
          <w:kern w:val="0"/>
          <w:sz w:val="24"/>
          <w:szCs w:val="24"/>
          <w:lang w:val="zh-TW" w:eastAsia="zh-TW" w:bidi="zh-TW"/>
        </w:rPr>
      </w:pPr>
      <w:r>
        <w:rPr>
          <w:rFonts w:hint="eastAsia" w:ascii="仿宋" w:hAnsi="仿宋" w:eastAsia="仿宋" w:cs="仿宋"/>
          <w:b/>
          <w:bCs/>
          <w:color w:val="000000"/>
          <w:kern w:val="0"/>
          <w:sz w:val="24"/>
          <w:szCs w:val="24"/>
          <w:lang w:bidi="zh-TW"/>
        </w:rPr>
        <w:t>3.</w:t>
      </w:r>
      <w:r>
        <w:rPr>
          <w:rFonts w:hint="eastAsia" w:ascii="仿宋" w:hAnsi="仿宋" w:eastAsia="仿宋" w:cs="仿宋"/>
          <w:b/>
          <w:bCs/>
          <w:color w:val="FF0000"/>
          <w:kern w:val="0"/>
          <w:sz w:val="24"/>
          <w:szCs w:val="24"/>
          <w:lang w:val="zh-TW" w:eastAsia="zh-TW" w:bidi="zh-TW"/>
        </w:rPr>
        <w:t>先进性原则</w:t>
      </w:r>
    </w:p>
    <w:p w14:paraId="5A3D9197">
      <w:pPr>
        <w:ind w:firstLine="486" w:firstLineChars="200"/>
        <w:rPr>
          <w:rFonts w:ascii="仿宋" w:hAnsi="仿宋" w:eastAsia="仿宋" w:cs="仿宋"/>
          <w:spacing w:val="3"/>
          <w:w w:val="99"/>
          <w:kern w:val="0"/>
          <w:sz w:val="24"/>
          <w:lang w:val="zh-TW" w:eastAsia="zh-TW" w:bidi="zh-CN"/>
        </w:rPr>
      </w:pPr>
      <w:r>
        <w:rPr>
          <w:rFonts w:hint="eastAsia" w:ascii="仿宋" w:hAnsi="仿宋" w:eastAsia="仿宋" w:cs="仿宋"/>
          <w:spacing w:val="3"/>
          <w:w w:val="99"/>
          <w:kern w:val="0"/>
          <w:sz w:val="24"/>
          <w:lang w:val="zh-TW" w:eastAsia="zh-TW" w:bidi="zh-CN"/>
        </w:rPr>
        <w:t>绩效管理方案应采用国际通行的平衡计分卡、360度评价、DRGS等医务人员贡献价值评价方法。配套软件应具有先进的技术水平，有较高的性能，符合当今技术发展的方向，尽可能的延长系统的有效生命周期，发挥最大效益。</w:t>
      </w:r>
    </w:p>
    <w:p w14:paraId="4CFFEC5B">
      <w:pPr>
        <w:pStyle w:val="87"/>
        <w:ind w:left="480" w:firstLine="0" w:firstLineChars="0"/>
        <w:rPr>
          <w:rFonts w:ascii="仿宋" w:hAnsi="仿宋" w:eastAsia="仿宋" w:cs="仿宋"/>
          <w:b/>
          <w:bCs/>
          <w:color w:val="FF0000"/>
          <w:kern w:val="0"/>
          <w:sz w:val="24"/>
          <w:szCs w:val="24"/>
          <w:lang w:val="zh-TW" w:eastAsia="zh-TW" w:bidi="zh-TW"/>
        </w:rPr>
      </w:pPr>
      <w:r>
        <w:rPr>
          <w:rFonts w:hint="eastAsia" w:ascii="仿宋" w:hAnsi="仿宋" w:eastAsia="仿宋" w:cs="仿宋"/>
          <w:b/>
          <w:bCs/>
          <w:color w:val="000000"/>
          <w:kern w:val="0"/>
          <w:sz w:val="24"/>
          <w:szCs w:val="24"/>
          <w:lang w:bidi="zh-TW"/>
        </w:rPr>
        <w:t>4.</w:t>
      </w:r>
      <w:r>
        <w:rPr>
          <w:rFonts w:hint="eastAsia" w:ascii="仿宋" w:hAnsi="仿宋" w:eastAsia="仿宋" w:cs="仿宋"/>
          <w:b/>
          <w:bCs/>
          <w:color w:val="FF0000"/>
          <w:kern w:val="0"/>
          <w:sz w:val="24"/>
          <w:szCs w:val="24"/>
          <w:lang w:val="zh-TW" w:eastAsia="zh-TW" w:bidi="zh-TW"/>
        </w:rPr>
        <w:t>绩效方案实用性原则</w:t>
      </w:r>
    </w:p>
    <w:p w14:paraId="3F66063A">
      <w:pPr>
        <w:ind w:firstLine="486" w:firstLineChars="200"/>
        <w:rPr>
          <w:rFonts w:ascii="仿宋" w:hAnsi="仿宋" w:eastAsia="仿宋" w:cs="仿宋"/>
          <w:spacing w:val="3"/>
          <w:w w:val="99"/>
          <w:kern w:val="0"/>
          <w:sz w:val="24"/>
          <w:lang w:val="zh-TW" w:eastAsia="zh-TW" w:bidi="zh-CN"/>
        </w:rPr>
      </w:pPr>
      <w:r>
        <w:rPr>
          <w:rFonts w:hint="eastAsia" w:ascii="仿宋" w:hAnsi="仿宋" w:eastAsia="仿宋" w:cs="仿宋"/>
          <w:spacing w:val="3"/>
          <w:w w:val="99"/>
          <w:kern w:val="0"/>
          <w:sz w:val="24"/>
          <w:lang w:val="zh-TW" w:eastAsia="zh-TW" w:bidi="zh-CN"/>
        </w:rPr>
        <w:t xml:space="preserve">绩效整体方案应当与医院不同发展阶段、专业特点、科室分工相匹配，依据方案产生的绩效分配结果应当与医院实际情况相符合。 </w:t>
      </w:r>
    </w:p>
    <w:p w14:paraId="7B782E4F">
      <w:pPr>
        <w:pStyle w:val="87"/>
        <w:ind w:left="480" w:firstLine="0" w:firstLineChars="0"/>
        <w:rPr>
          <w:rFonts w:ascii="仿宋" w:hAnsi="仿宋" w:eastAsia="仿宋" w:cs="仿宋"/>
          <w:b/>
          <w:bCs/>
          <w:color w:val="000000"/>
          <w:kern w:val="0"/>
          <w:sz w:val="24"/>
          <w:szCs w:val="24"/>
          <w:lang w:val="zh-TW" w:eastAsia="zh-TW" w:bidi="zh-TW"/>
        </w:rPr>
      </w:pPr>
      <w:r>
        <w:rPr>
          <w:rFonts w:hint="eastAsia" w:ascii="仿宋" w:hAnsi="仿宋" w:eastAsia="仿宋" w:cs="仿宋"/>
          <w:b/>
          <w:bCs/>
          <w:color w:val="000000"/>
          <w:kern w:val="0"/>
          <w:sz w:val="24"/>
          <w:szCs w:val="24"/>
          <w:lang w:bidi="zh-TW"/>
        </w:rPr>
        <w:t>5.</w:t>
      </w:r>
      <w:r>
        <w:rPr>
          <w:rFonts w:hint="eastAsia" w:ascii="仿宋" w:hAnsi="仿宋" w:eastAsia="仿宋" w:cs="仿宋"/>
          <w:b/>
          <w:bCs/>
          <w:color w:val="FF0000"/>
          <w:kern w:val="0"/>
          <w:sz w:val="24"/>
          <w:szCs w:val="24"/>
          <w:lang w:val="zh-TW" w:eastAsia="zh-TW" w:bidi="zh-TW"/>
        </w:rPr>
        <w:t>软件平台开放性原则</w:t>
      </w:r>
    </w:p>
    <w:p w14:paraId="248222C8">
      <w:pPr>
        <w:ind w:firstLine="486" w:firstLineChars="200"/>
        <w:rPr>
          <w:rFonts w:ascii="仿宋" w:hAnsi="仿宋" w:eastAsia="仿宋" w:cs="仿宋"/>
          <w:spacing w:val="3"/>
          <w:w w:val="99"/>
          <w:kern w:val="0"/>
          <w:sz w:val="24"/>
          <w:lang w:val="zh-TW" w:eastAsia="zh-TW" w:bidi="zh-CN"/>
        </w:rPr>
      </w:pPr>
      <w:r>
        <w:rPr>
          <w:rFonts w:hint="eastAsia" w:ascii="仿宋" w:hAnsi="仿宋" w:eastAsia="仿宋" w:cs="仿宋"/>
          <w:spacing w:val="3"/>
          <w:w w:val="99"/>
          <w:kern w:val="0"/>
          <w:sz w:val="24"/>
          <w:lang w:val="zh-TW" w:eastAsia="zh-TW" w:bidi="zh-CN"/>
        </w:rPr>
        <w:t>软件开发平台应釆用先进的网络体系设计结构，兼容不同的软件、硬件平台系统，可以利用现有的设备资源。</w:t>
      </w:r>
    </w:p>
    <w:p w14:paraId="0EA96EB2">
      <w:pPr>
        <w:pStyle w:val="87"/>
        <w:ind w:left="480" w:firstLine="0" w:firstLineChars="0"/>
        <w:rPr>
          <w:rFonts w:ascii="仿宋" w:hAnsi="仿宋" w:eastAsia="仿宋" w:cs="仿宋"/>
          <w:b/>
          <w:bCs/>
          <w:color w:val="000000"/>
          <w:kern w:val="0"/>
          <w:sz w:val="24"/>
          <w:szCs w:val="24"/>
          <w:lang w:val="zh-TW" w:eastAsia="zh-TW" w:bidi="zh-TW"/>
        </w:rPr>
      </w:pPr>
      <w:r>
        <w:rPr>
          <w:rFonts w:hint="eastAsia" w:ascii="仿宋" w:hAnsi="仿宋" w:eastAsia="仿宋" w:cs="仿宋"/>
          <w:b/>
          <w:bCs/>
          <w:color w:val="000000"/>
          <w:kern w:val="0"/>
          <w:sz w:val="24"/>
          <w:szCs w:val="24"/>
          <w:lang w:bidi="zh-TW"/>
        </w:rPr>
        <w:t>6.</w:t>
      </w:r>
      <w:r>
        <w:rPr>
          <w:rFonts w:hint="eastAsia" w:ascii="仿宋" w:hAnsi="仿宋" w:eastAsia="仿宋" w:cs="仿宋"/>
          <w:b/>
          <w:bCs/>
          <w:color w:val="FF0000"/>
          <w:kern w:val="0"/>
          <w:sz w:val="24"/>
          <w:szCs w:val="24"/>
          <w:lang w:val="zh-TW" w:eastAsia="zh-TW" w:bidi="zh-TW"/>
        </w:rPr>
        <w:t>扩展性原则</w:t>
      </w:r>
    </w:p>
    <w:p w14:paraId="0B7C9010">
      <w:pPr>
        <w:ind w:firstLine="486" w:firstLineChars="200"/>
        <w:rPr>
          <w:rFonts w:ascii="仿宋" w:hAnsi="仿宋" w:eastAsia="仿宋" w:cs="仿宋"/>
          <w:spacing w:val="3"/>
          <w:w w:val="99"/>
          <w:kern w:val="0"/>
          <w:sz w:val="24"/>
          <w:lang w:val="zh-TW" w:eastAsia="zh-TW" w:bidi="zh-CN"/>
        </w:rPr>
      </w:pPr>
      <w:r>
        <w:rPr>
          <w:rFonts w:hint="eastAsia" w:ascii="仿宋" w:hAnsi="仿宋" w:eastAsia="仿宋" w:cs="仿宋"/>
          <w:spacing w:val="3"/>
          <w:w w:val="99"/>
          <w:kern w:val="0"/>
          <w:sz w:val="24"/>
          <w:lang w:val="zh-TW" w:eastAsia="zh-TW" w:bidi="zh-CN"/>
        </w:rPr>
        <w:t>系统在建设过程中应该遵循扩展性原则，系统需提供标准的开发接口与用户现有或将来扩展的业务系统集成，特别要加强系统设计的前瞻性、预留系统扩充和扩展能力。</w:t>
      </w:r>
    </w:p>
    <w:p w14:paraId="65B4CC56">
      <w:pPr>
        <w:pStyle w:val="87"/>
        <w:ind w:left="480" w:firstLine="0" w:firstLineChars="0"/>
        <w:rPr>
          <w:rFonts w:ascii="仿宋" w:hAnsi="仿宋" w:eastAsia="仿宋" w:cs="仿宋"/>
          <w:b/>
          <w:bCs/>
          <w:color w:val="000000"/>
          <w:kern w:val="0"/>
          <w:sz w:val="24"/>
          <w:szCs w:val="24"/>
          <w:lang w:val="zh-TW" w:eastAsia="zh-TW" w:bidi="zh-TW"/>
        </w:rPr>
      </w:pPr>
      <w:r>
        <w:rPr>
          <w:rFonts w:hint="eastAsia" w:ascii="仿宋" w:hAnsi="仿宋" w:eastAsia="仿宋" w:cs="仿宋"/>
          <w:b/>
          <w:bCs/>
          <w:color w:val="000000"/>
          <w:kern w:val="0"/>
          <w:sz w:val="24"/>
          <w:szCs w:val="24"/>
          <w:lang w:bidi="zh-TW"/>
        </w:rPr>
        <w:t>7.</w:t>
      </w:r>
      <w:r>
        <w:rPr>
          <w:rFonts w:hint="eastAsia" w:ascii="仿宋" w:hAnsi="仿宋" w:eastAsia="仿宋" w:cs="仿宋"/>
          <w:b/>
          <w:bCs/>
          <w:color w:val="FF0000"/>
          <w:kern w:val="0"/>
          <w:sz w:val="24"/>
          <w:szCs w:val="24"/>
          <w:lang w:val="zh-TW" w:eastAsia="zh-TW" w:bidi="zh-TW"/>
        </w:rPr>
        <w:t>安全性原则</w:t>
      </w:r>
    </w:p>
    <w:p w14:paraId="71935D3B">
      <w:pPr>
        <w:ind w:firstLine="486" w:firstLineChars="200"/>
        <w:rPr>
          <w:rFonts w:ascii="仿宋" w:hAnsi="仿宋" w:eastAsia="仿宋" w:cs="仿宋"/>
          <w:spacing w:val="3"/>
          <w:w w:val="99"/>
          <w:kern w:val="0"/>
          <w:sz w:val="24"/>
          <w:lang w:val="zh-TW" w:eastAsia="zh-TW" w:bidi="zh-CN"/>
        </w:rPr>
      </w:pPr>
      <w:r>
        <w:rPr>
          <w:rFonts w:hint="eastAsia" w:ascii="仿宋" w:hAnsi="仿宋" w:eastAsia="仿宋" w:cs="仿宋"/>
          <w:spacing w:val="3"/>
          <w:w w:val="99"/>
          <w:kern w:val="0"/>
          <w:sz w:val="24"/>
          <w:lang w:val="zh-TW" w:eastAsia="zh-TW" w:bidi="zh-CN"/>
        </w:rPr>
        <w:t>系统建设时应遵循安全性原则，系统需提供基于利用严密的身份验证、访问控制、多层次的保密手段等措施，确保系统和数据的安全性和完整性。因此，系统需能够提供有效的安全保密措施，确保整个系统的安全运行。</w:t>
      </w:r>
    </w:p>
    <w:p w14:paraId="0F4E590D">
      <w:pPr>
        <w:pStyle w:val="110"/>
        <w:keepNext/>
        <w:keepLines/>
        <w:spacing w:after="200" w:line="240" w:lineRule="auto"/>
        <w:rPr>
          <w:rFonts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四</w:t>
      </w:r>
      <w:r>
        <w:rPr>
          <w:rFonts w:hint="eastAsia" w:ascii="仿宋" w:hAnsi="仿宋" w:eastAsia="仿宋" w:cs="仿宋"/>
          <w:sz w:val="24"/>
          <w:lang w:eastAsia="zh-CN"/>
        </w:rPr>
        <w:t>）技术要求</w:t>
      </w:r>
    </w:p>
    <w:p w14:paraId="7965A9BE">
      <w:pPr>
        <w:pStyle w:val="87"/>
        <w:ind w:left="480" w:firstLine="0" w:firstLineChars="0"/>
        <w:rPr>
          <w:rFonts w:ascii="仿宋" w:hAnsi="仿宋" w:eastAsia="仿宋" w:cs="仿宋"/>
          <w:b/>
          <w:bCs/>
          <w:color w:val="000000"/>
          <w:kern w:val="0"/>
          <w:sz w:val="24"/>
          <w:szCs w:val="24"/>
          <w:lang w:val="zh-TW" w:eastAsia="zh-TW" w:bidi="zh-TW"/>
        </w:rPr>
      </w:pPr>
      <w:bookmarkStart w:id="823" w:name="bookmark52"/>
      <w:r>
        <w:rPr>
          <w:rFonts w:hint="eastAsia" w:ascii="仿宋" w:hAnsi="仿宋" w:eastAsia="仿宋" w:cs="仿宋"/>
          <w:b/>
          <w:bCs/>
          <w:color w:val="000000"/>
          <w:kern w:val="0"/>
          <w:sz w:val="24"/>
          <w:szCs w:val="24"/>
          <w:lang w:bidi="zh-TW"/>
        </w:rPr>
        <w:t>1.</w:t>
      </w:r>
      <w:r>
        <w:rPr>
          <w:rFonts w:hint="eastAsia" w:ascii="仿宋" w:hAnsi="仿宋" w:eastAsia="仿宋" w:cs="仿宋"/>
          <w:b/>
          <w:bCs/>
          <w:color w:val="FF0000"/>
          <w:kern w:val="0"/>
          <w:sz w:val="24"/>
          <w:szCs w:val="24"/>
          <w:lang w:bidi="zh-TW"/>
        </w:rPr>
        <w:t>医院绩效方案要求</w:t>
      </w:r>
      <w:bookmarkEnd w:id="823"/>
    </w:p>
    <w:p w14:paraId="384608E9">
      <w:pPr>
        <w:ind w:firstLine="486" w:firstLineChars="200"/>
        <w:rPr>
          <w:rFonts w:ascii="仿宋" w:hAnsi="仿宋" w:eastAsia="仿宋" w:cs="仿宋"/>
          <w:spacing w:val="3"/>
          <w:w w:val="99"/>
          <w:kern w:val="0"/>
          <w:sz w:val="24"/>
          <w:lang w:val="zh-TW" w:eastAsia="zh-TW" w:bidi="zh-CN"/>
        </w:rPr>
      </w:pPr>
      <w:r>
        <w:rPr>
          <w:rFonts w:hint="eastAsia" w:ascii="仿宋" w:hAnsi="仿宋" w:eastAsia="仿宋" w:cs="仿宋"/>
          <w:spacing w:val="3"/>
          <w:w w:val="99"/>
          <w:kern w:val="0"/>
          <w:sz w:val="24"/>
          <w:lang w:bidi="zh-CN"/>
        </w:rPr>
        <w:t>（1）</w:t>
      </w:r>
      <w:r>
        <w:rPr>
          <w:rFonts w:hint="eastAsia" w:ascii="仿宋" w:hAnsi="仿宋" w:eastAsia="仿宋" w:cs="仿宋"/>
          <w:spacing w:val="3"/>
          <w:w w:val="99"/>
          <w:kern w:val="0"/>
          <w:sz w:val="24"/>
          <w:lang w:val="zh-TW" w:eastAsia="zh-TW" w:bidi="zh-CN"/>
        </w:rPr>
        <w:t>绩效方案的设计，咨询服务基于医院现有信息化系统的基础上，在DRG医保付费下，可以升级调整绩效方案，利用DRG测算结果结合工作量进行绩效核算。可将DRG病历组合指数CMI值纳入工作量绩效核算</w:t>
      </w:r>
      <w:r>
        <w:rPr>
          <w:rFonts w:hint="eastAsia" w:ascii="仿宋" w:hAnsi="仿宋" w:eastAsia="仿宋" w:cs="仿宋"/>
          <w:spacing w:val="3"/>
          <w:w w:val="99"/>
          <w:kern w:val="0"/>
          <w:sz w:val="24"/>
          <w:lang w:val="zh-TW" w:bidi="zh-CN"/>
        </w:rPr>
        <w:t>。</w:t>
      </w:r>
      <w:r>
        <w:rPr>
          <w:rFonts w:hint="eastAsia" w:ascii="仿宋" w:hAnsi="仿宋" w:eastAsia="仿宋" w:cs="仿宋"/>
          <w:spacing w:val="3"/>
          <w:w w:val="99"/>
          <w:kern w:val="0"/>
          <w:sz w:val="24"/>
          <w:lang w:val="zh-TW" w:eastAsia="zh-TW" w:bidi="zh-CN"/>
        </w:rPr>
        <w:t>投标时可以提供基础方案，在实施时需要提供分类细化方案，并满足医保物价部门新收费代码与工作量对照关系。绩效设计方案需要纳入科室成本考核，将直接成本贡献、成本贡献率等成本考核结果与科室绩效工资关联，提高成本效益。方法具有可操作性和公平性。</w:t>
      </w:r>
    </w:p>
    <w:p w14:paraId="6B3D8C0E">
      <w:pPr>
        <w:ind w:firstLine="486" w:firstLineChars="200"/>
        <w:rPr>
          <w:rFonts w:ascii="仿宋" w:hAnsi="仿宋" w:eastAsia="仿宋" w:cs="仿宋"/>
          <w:spacing w:val="3"/>
          <w:w w:val="99"/>
          <w:kern w:val="0"/>
          <w:sz w:val="24"/>
          <w:lang w:val="zh-TW" w:bidi="zh-CN"/>
        </w:rPr>
      </w:pPr>
      <w:r>
        <w:rPr>
          <w:rFonts w:hint="eastAsia" w:ascii="仿宋" w:hAnsi="仿宋" w:eastAsia="仿宋" w:cs="仿宋"/>
          <w:spacing w:val="3"/>
          <w:w w:val="99"/>
          <w:kern w:val="0"/>
          <w:sz w:val="24"/>
          <w:lang w:val="zh-TW" w:eastAsia="zh-TW" w:bidi="zh-CN"/>
        </w:rPr>
        <w:t>（</w:t>
      </w:r>
      <w:r>
        <w:rPr>
          <w:rFonts w:hint="eastAsia" w:ascii="仿宋" w:hAnsi="仿宋" w:eastAsia="仿宋" w:cs="仿宋"/>
          <w:spacing w:val="3"/>
          <w:w w:val="99"/>
          <w:kern w:val="0"/>
          <w:sz w:val="24"/>
          <w:lang w:eastAsia="zh-TW" w:bidi="zh-CN"/>
        </w:rPr>
        <w:t>2</w:t>
      </w:r>
      <w:r>
        <w:rPr>
          <w:rFonts w:hint="eastAsia" w:ascii="仿宋" w:hAnsi="仿宋" w:eastAsia="仿宋" w:cs="仿宋"/>
          <w:spacing w:val="3"/>
          <w:w w:val="99"/>
          <w:kern w:val="0"/>
          <w:sz w:val="24"/>
          <w:lang w:val="zh-TW" w:eastAsia="zh-TW" w:bidi="zh-CN"/>
        </w:rPr>
        <w:t>）绩效工作量应充分综合考虑医疗服务项目的难易程度、风险系数、手术等级、手术人数、时长等多因素，同时，应配合医院对其合理性进行解释</w:t>
      </w:r>
      <w:r>
        <w:rPr>
          <w:rFonts w:hint="eastAsia" w:ascii="仿宋" w:hAnsi="仿宋" w:eastAsia="仿宋" w:cs="仿宋"/>
          <w:spacing w:val="3"/>
          <w:w w:val="99"/>
          <w:kern w:val="0"/>
          <w:sz w:val="24"/>
          <w:lang w:val="zh-TW" w:bidi="zh-CN"/>
        </w:rPr>
        <w:t>。</w:t>
      </w:r>
    </w:p>
    <w:p w14:paraId="3F99B675">
      <w:pPr>
        <w:ind w:firstLine="486" w:firstLineChars="200"/>
        <w:rPr>
          <w:rFonts w:ascii="仿宋" w:hAnsi="仿宋" w:eastAsia="仿宋" w:cs="仿宋"/>
          <w:spacing w:val="3"/>
          <w:w w:val="99"/>
          <w:kern w:val="0"/>
          <w:sz w:val="24"/>
          <w:lang w:val="zh-TW" w:eastAsia="zh-TW" w:bidi="zh-CN"/>
        </w:rPr>
      </w:pPr>
      <w:r>
        <w:rPr>
          <w:rFonts w:hint="eastAsia" w:ascii="仿宋" w:hAnsi="仿宋" w:eastAsia="仿宋" w:cs="仿宋"/>
          <w:spacing w:val="3"/>
          <w:w w:val="99"/>
          <w:kern w:val="0"/>
          <w:sz w:val="24"/>
          <w:lang w:val="zh-TW" w:eastAsia="zh-TW" w:bidi="zh-CN"/>
        </w:rPr>
        <w:t>（</w:t>
      </w:r>
      <w:r>
        <w:rPr>
          <w:rFonts w:hint="eastAsia" w:ascii="仿宋" w:hAnsi="仿宋" w:eastAsia="仿宋" w:cs="仿宋"/>
          <w:spacing w:val="3"/>
          <w:w w:val="99"/>
          <w:kern w:val="0"/>
          <w:sz w:val="24"/>
          <w:lang w:eastAsia="zh-TW" w:bidi="zh-CN"/>
        </w:rPr>
        <w:t>3</w:t>
      </w:r>
      <w:r>
        <w:rPr>
          <w:rFonts w:hint="eastAsia" w:ascii="仿宋" w:hAnsi="仿宋" w:eastAsia="仿宋" w:cs="仿宋"/>
          <w:spacing w:val="3"/>
          <w:w w:val="99"/>
          <w:kern w:val="0"/>
          <w:sz w:val="24"/>
          <w:lang w:val="zh-TW" w:eastAsia="zh-TW" w:bidi="zh-CN"/>
        </w:rPr>
        <w:t>）可利用时间和费用消耗指数、低风险组死亡率、权重RW、入组病例数、CMI值等指标对医疗服务效率、均衡发展、医疗服务能力和质量安全等方面评价并与考核挂钩。</w:t>
      </w:r>
    </w:p>
    <w:p w14:paraId="148520B5">
      <w:pPr>
        <w:ind w:firstLine="486" w:firstLineChars="200"/>
        <w:rPr>
          <w:rFonts w:ascii="仿宋" w:hAnsi="仿宋" w:eastAsia="仿宋" w:cs="仿宋"/>
          <w:spacing w:val="3"/>
          <w:w w:val="99"/>
          <w:kern w:val="0"/>
          <w:sz w:val="24"/>
          <w:lang w:val="zh-TW" w:eastAsia="zh-TW" w:bidi="zh-CN"/>
        </w:rPr>
      </w:pPr>
      <w:r>
        <w:rPr>
          <w:rFonts w:hint="eastAsia" w:ascii="仿宋" w:hAnsi="仿宋" w:eastAsia="仿宋" w:cs="仿宋"/>
          <w:spacing w:val="3"/>
          <w:w w:val="99"/>
          <w:kern w:val="0"/>
          <w:sz w:val="24"/>
          <w:lang w:val="zh-TW" w:eastAsia="zh-TW" w:bidi="zh-CN"/>
        </w:rPr>
        <w:t>（</w:t>
      </w:r>
      <w:r>
        <w:rPr>
          <w:rFonts w:hint="eastAsia" w:ascii="仿宋" w:hAnsi="仿宋" w:eastAsia="仿宋" w:cs="仿宋"/>
          <w:spacing w:val="3"/>
          <w:w w:val="99"/>
          <w:kern w:val="0"/>
          <w:sz w:val="24"/>
          <w:lang w:eastAsia="zh-TW" w:bidi="zh-CN"/>
        </w:rPr>
        <w:t>4</w:t>
      </w:r>
      <w:r>
        <w:rPr>
          <w:rFonts w:hint="eastAsia" w:ascii="仿宋" w:hAnsi="仿宋" w:eastAsia="仿宋" w:cs="仿宋"/>
          <w:spacing w:val="3"/>
          <w:w w:val="99"/>
          <w:kern w:val="0"/>
          <w:sz w:val="24"/>
          <w:lang w:val="zh-TW" w:eastAsia="zh-TW" w:bidi="zh-CN"/>
        </w:rPr>
        <w:t>）支持院-科-</w:t>
      </w:r>
      <w:r>
        <w:rPr>
          <w:rFonts w:hint="eastAsia" w:ascii="仿宋" w:hAnsi="仿宋" w:eastAsia="仿宋" w:cs="仿宋"/>
          <w:spacing w:val="3"/>
          <w:w w:val="99"/>
          <w:kern w:val="0"/>
          <w:sz w:val="24"/>
          <w:lang w:bidi="zh-CN"/>
        </w:rPr>
        <w:t>医疗组/个人</w:t>
      </w:r>
      <w:r>
        <w:rPr>
          <w:rFonts w:hint="eastAsia" w:ascii="仿宋" w:hAnsi="仿宋" w:eastAsia="仿宋" w:cs="仿宋"/>
          <w:spacing w:val="3"/>
          <w:w w:val="99"/>
          <w:kern w:val="0"/>
          <w:sz w:val="24"/>
          <w:lang w:val="zh-TW" w:eastAsia="zh-TW" w:bidi="zh-CN"/>
        </w:rPr>
        <w:t>三级核算分配模式，以医疗组为核算单元，在薪酬分配方案框架基础上，结合医院各科室的学科发展和专业属性，制定各系列和特殊科室的分配方案，进行数据测算、分析和调整，实现一次分配到科室或者医疗组。科室或者医疗组依据绩效二次分配方案实现个人绩效分配，经上报医院</w:t>
      </w:r>
      <w:r>
        <w:rPr>
          <w:rFonts w:hint="eastAsia" w:ascii="仿宋" w:hAnsi="仿宋" w:eastAsia="仿宋" w:cs="仿宋"/>
          <w:spacing w:val="3"/>
          <w:w w:val="99"/>
          <w:kern w:val="0"/>
          <w:sz w:val="24"/>
          <w:lang w:bidi="zh-CN"/>
        </w:rPr>
        <w:t>运营管理科</w:t>
      </w:r>
      <w:r>
        <w:rPr>
          <w:rFonts w:hint="eastAsia" w:ascii="仿宋" w:hAnsi="仿宋" w:eastAsia="仿宋" w:cs="仿宋"/>
          <w:spacing w:val="3"/>
          <w:w w:val="99"/>
          <w:kern w:val="0"/>
          <w:sz w:val="24"/>
          <w:lang w:val="zh-TW" w:eastAsia="zh-TW" w:bidi="zh-CN"/>
        </w:rPr>
        <w:t>审核后，由</w:t>
      </w:r>
      <w:r>
        <w:rPr>
          <w:rFonts w:hint="eastAsia" w:ascii="仿宋" w:hAnsi="仿宋" w:eastAsia="仿宋" w:cs="仿宋"/>
          <w:spacing w:val="3"/>
          <w:w w:val="99"/>
          <w:kern w:val="0"/>
          <w:sz w:val="24"/>
          <w:lang w:bidi="zh-CN"/>
        </w:rPr>
        <w:t>财务</w:t>
      </w:r>
      <w:r>
        <w:rPr>
          <w:rFonts w:hint="eastAsia" w:ascii="仿宋" w:hAnsi="仿宋" w:eastAsia="仿宋" w:cs="仿宋"/>
          <w:spacing w:val="3"/>
          <w:w w:val="99"/>
          <w:kern w:val="0"/>
          <w:sz w:val="24"/>
          <w:lang w:val="zh-TW" w:eastAsia="zh-TW" w:bidi="zh-CN"/>
        </w:rPr>
        <w:t>科进行发放。</w:t>
      </w:r>
    </w:p>
    <w:p w14:paraId="1CE61720">
      <w:pPr>
        <w:ind w:firstLine="486" w:firstLineChars="200"/>
        <w:rPr>
          <w:rFonts w:ascii="仿宋" w:hAnsi="仿宋" w:eastAsia="仿宋" w:cs="仿宋"/>
          <w:spacing w:val="3"/>
          <w:w w:val="99"/>
          <w:kern w:val="0"/>
          <w:sz w:val="24"/>
          <w:lang w:val="zh-TW" w:eastAsia="zh-TW" w:bidi="zh-CN"/>
        </w:rPr>
      </w:pPr>
      <w:r>
        <w:rPr>
          <w:rFonts w:hint="eastAsia" w:ascii="仿宋" w:hAnsi="仿宋" w:eastAsia="仿宋" w:cs="仿宋"/>
          <w:spacing w:val="3"/>
          <w:w w:val="99"/>
          <w:kern w:val="0"/>
          <w:sz w:val="24"/>
          <w:lang w:val="zh-TW" w:eastAsia="zh-TW" w:bidi="zh-CN"/>
        </w:rPr>
        <w:t>（</w:t>
      </w:r>
      <w:r>
        <w:rPr>
          <w:rFonts w:hint="eastAsia" w:ascii="仿宋" w:hAnsi="仿宋" w:eastAsia="仿宋" w:cs="仿宋"/>
          <w:spacing w:val="3"/>
          <w:w w:val="99"/>
          <w:kern w:val="0"/>
          <w:sz w:val="24"/>
          <w:lang w:eastAsia="zh-TW" w:bidi="zh-CN"/>
        </w:rPr>
        <w:t>5</w:t>
      </w:r>
      <w:r>
        <w:rPr>
          <w:rFonts w:hint="eastAsia" w:ascii="仿宋" w:hAnsi="仿宋" w:eastAsia="仿宋" w:cs="仿宋"/>
          <w:spacing w:val="3"/>
          <w:w w:val="99"/>
          <w:kern w:val="0"/>
          <w:sz w:val="24"/>
          <w:lang w:val="zh-TW" w:eastAsia="zh-TW" w:bidi="zh-CN"/>
        </w:rPr>
        <w:t>）手术专项绩效评价方案设计，根据医院实际情况，另外构建手术专项绩效考核分配方案，利用历史数据和医院预期，针对不同科室类型，手术难度及风险程度不同，服务人次数量等情况，进行基数测定，对手术难度和台次等多维度进行增量评价和激励。对整体方案进行有效补充和重点加强。</w:t>
      </w:r>
    </w:p>
    <w:p w14:paraId="5F5A9A4A">
      <w:pPr>
        <w:pStyle w:val="87"/>
        <w:ind w:firstLine="484"/>
        <w:rPr>
          <w:rFonts w:ascii="仿宋" w:hAnsi="仿宋" w:eastAsia="仿宋" w:cs="仿宋"/>
          <w:spacing w:val="3"/>
          <w:w w:val="99"/>
          <w:kern w:val="0"/>
          <w:sz w:val="24"/>
          <w:szCs w:val="24"/>
          <w:lang w:val="zh-TW" w:eastAsia="zh-TW" w:bidi="zh-CN"/>
        </w:rPr>
      </w:pPr>
      <w:r>
        <w:rPr>
          <w:rFonts w:hint="eastAsia" w:ascii="仿宋" w:hAnsi="仿宋" w:eastAsia="仿宋" w:cs="仿宋"/>
          <w:spacing w:val="3"/>
          <w:w w:val="99"/>
          <w:kern w:val="0"/>
          <w:sz w:val="24"/>
          <w:szCs w:val="24"/>
          <w:lang w:val="zh-TW" w:eastAsia="zh-TW" w:bidi="zh-CN"/>
        </w:rPr>
        <w:t>（</w:t>
      </w:r>
      <w:r>
        <w:rPr>
          <w:rFonts w:hint="eastAsia" w:ascii="仿宋" w:hAnsi="仿宋" w:eastAsia="仿宋" w:cs="仿宋"/>
          <w:spacing w:val="3"/>
          <w:w w:val="99"/>
          <w:kern w:val="0"/>
          <w:sz w:val="24"/>
          <w:szCs w:val="24"/>
          <w:lang w:eastAsia="zh-TW" w:bidi="zh-CN"/>
        </w:rPr>
        <w:t>6</w:t>
      </w:r>
      <w:r>
        <w:rPr>
          <w:rFonts w:hint="eastAsia" w:ascii="仿宋" w:hAnsi="仿宋" w:eastAsia="仿宋" w:cs="仿宋"/>
          <w:spacing w:val="3"/>
          <w:w w:val="99"/>
          <w:kern w:val="0"/>
          <w:sz w:val="24"/>
          <w:szCs w:val="24"/>
          <w:lang w:val="zh-TW" w:eastAsia="zh-TW" w:bidi="zh-CN"/>
        </w:rPr>
        <w:t>）提供二次分配方案并在系统中定制实现，需指导各绩效核算单元在基于本方案指导意见的基础上，综合考虑工作量、工作质量、贡献程度、岗位、风险、职称等因素制定符合本核算单元实际情况的二次分配方案，避免平均分配，报经医院绩效小组批准后实施，同时对科室提供相应的测算指导、培训和定制化开发服务。</w:t>
      </w:r>
    </w:p>
    <w:p w14:paraId="218E1709">
      <w:pPr>
        <w:pStyle w:val="87"/>
        <w:ind w:firstLine="484"/>
        <w:rPr>
          <w:rFonts w:ascii="仿宋" w:hAnsi="仿宋" w:eastAsia="仿宋" w:cs="仿宋"/>
          <w:spacing w:val="3"/>
          <w:w w:val="99"/>
          <w:kern w:val="0"/>
          <w:sz w:val="24"/>
          <w:szCs w:val="24"/>
          <w:lang w:val="zh-TW" w:eastAsia="zh-TW" w:bidi="zh-CN"/>
        </w:rPr>
      </w:pPr>
      <w:r>
        <w:rPr>
          <w:rFonts w:hint="eastAsia" w:ascii="仿宋" w:hAnsi="仿宋" w:eastAsia="仿宋" w:cs="仿宋"/>
          <w:spacing w:val="3"/>
          <w:w w:val="99"/>
          <w:kern w:val="0"/>
          <w:sz w:val="24"/>
          <w:szCs w:val="24"/>
          <w:lang w:val="zh-TW" w:eastAsia="zh-TW" w:bidi="zh-CN"/>
        </w:rPr>
        <w:t>（</w:t>
      </w:r>
      <w:r>
        <w:rPr>
          <w:rFonts w:hint="eastAsia" w:ascii="仿宋" w:hAnsi="仿宋" w:eastAsia="仿宋" w:cs="仿宋"/>
          <w:spacing w:val="3"/>
          <w:w w:val="99"/>
          <w:kern w:val="0"/>
          <w:sz w:val="24"/>
          <w:szCs w:val="24"/>
          <w:lang w:eastAsia="zh-TW" w:bidi="zh-CN"/>
        </w:rPr>
        <w:t>7</w:t>
      </w:r>
      <w:r>
        <w:rPr>
          <w:rFonts w:hint="eastAsia" w:ascii="仿宋" w:hAnsi="仿宋" w:eastAsia="仿宋" w:cs="仿宋"/>
          <w:spacing w:val="3"/>
          <w:w w:val="99"/>
          <w:kern w:val="0"/>
          <w:sz w:val="24"/>
          <w:szCs w:val="24"/>
          <w:lang w:val="zh-TW" w:eastAsia="zh-TW" w:bidi="zh-CN"/>
        </w:rPr>
        <w:t>）科主任管理绩效设计，提供业务科室主任综合目标管理绩效体系、业务指标分析、绩效工资分析。</w:t>
      </w:r>
    </w:p>
    <w:p w14:paraId="31AD4AD0">
      <w:pPr>
        <w:pStyle w:val="87"/>
        <w:ind w:firstLine="484"/>
        <w:rPr>
          <w:rFonts w:ascii="仿宋" w:hAnsi="仿宋" w:eastAsia="仿宋" w:cs="仿宋"/>
          <w:spacing w:val="3"/>
          <w:w w:val="99"/>
          <w:kern w:val="0"/>
          <w:sz w:val="24"/>
          <w:szCs w:val="24"/>
          <w:lang w:val="zh-TW" w:eastAsia="zh-TW" w:bidi="zh-CN"/>
        </w:rPr>
      </w:pPr>
      <w:r>
        <w:rPr>
          <w:rFonts w:hint="eastAsia" w:ascii="仿宋" w:hAnsi="仿宋" w:eastAsia="仿宋" w:cs="仿宋"/>
          <w:spacing w:val="3"/>
          <w:w w:val="99"/>
          <w:kern w:val="0"/>
          <w:sz w:val="24"/>
          <w:szCs w:val="24"/>
          <w:lang w:val="zh-TW" w:eastAsia="zh-TW" w:bidi="zh-CN"/>
        </w:rPr>
        <w:t>（</w:t>
      </w:r>
      <w:r>
        <w:rPr>
          <w:rFonts w:hint="eastAsia" w:ascii="仿宋" w:hAnsi="仿宋" w:eastAsia="仿宋" w:cs="仿宋"/>
          <w:spacing w:val="3"/>
          <w:w w:val="99"/>
          <w:kern w:val="0"/>
          <w:sz w:val="24"/>
          <w:szCs w:val="24"/>
          <w:lang w:eastAsia="zh-TW" w:bidi="zh-CN"/>
        </w:rPr>
        <w:t>8</w:t>
      </w:r>
      <w:r>
        <w:rPr>
          <w:rFonts w:hint="eastAsia" w:ascii="仿宋" w:hAnsi="仿宋" w:eastAsia="仿宋" w:cs="仿宋"/>
          <w:spacing w:val="3"/>
          <w:w w:val="99"/>
          <w:kern w:val="0"/>
          <w:sz w:val="24"/>
          <w:szCs w:val="24"/>
          <w:lang w:val="zh-TW" w:eastAsia="zh-TW" w:bidi="zh-CN"/>
        </w:rPr>
        <w:t>）根据医院总的发展战略目标和公立医院绩效考核绘制战略地图，将医院发展目标向绩效单元层层分解，与员工个人行为相结合，制定各单元的关键绩效指标(KPI)，完成各单元关键绩效指标后，建立绩效反馈机制（含绩效责任书、绩效面谈表、 绩效回馈表等内容的产出），确保绩效单元行为与医院目标相链接，最终形成KPI绩效评价体系。</w:t>
      </w:r>
    </w:p>
    <w:p w14:paraId="69FA2A99">
      <w:pPr>
        <w:pStyle w:val="87"/>
        <w:ind w:firstLine="484"/>
        <w:rPr>
          <w:rFonts w:ascii="仿宋" w:hAnsi="仿宋" w:eastAsia="仿宋" w:cs="仿宋"/>
          <w:spacing w:val="3"/>
          <w:w w:val="99"/>
          <w:kern w:val="0"/>
          <w:sz w:val="24"/>
          <w:szCs w:val="24"/>
          <w:lang w:eastAsia="zh-TW" w:bidi="zh-CN"/>
        </w:rPr>
      </w:pPr>
      <w:r>
        <w:rPr>
          <w:rFonts w:hint="eastAsia" w:ascii="仿宋" w:hAnsi="仿宋" w:eastAsia="仿宋" w:cs="仿宋"/>
          <w:spacing w:val="3"/>
          <w:w w:val="99"/>
          <w:kern w:val="0"/>
          <w:sz w:val="24"/>
          <w:szCs w:val="24"/>
          <w:lang w:eastAsia="zh-TW" w:bidi="zh-CN"/>
        </w:rPr>
        <w:t>（9）基于医院现有人力资源确定其岗位并设计相应的考核指标，对考核结果应有相应的应用、评价及反馈。</w:t>
      </w:r>
    </w:p>
    <w:p w14:paraId="67A7EE29">
      <w:pPr>
        <w:pStyle w:val="87"/>
        <w:ind w:firstLine="484"/>
        <w:rPr>
          <w:rFonts w:ascii="仿宋" w:hAnsi="仿宋" w:eastAsia="仿宋" w:cs="仿宋"/>
          <w:spacing w:val="3"/>
          <w:w w:val="99"/>
          <w:kern w:val="0"/>
          <w:sz w:val="24"/>
          <w:szCs w:val="24"/>
          <w:lang w:val="zh-TW" w:eastAsia="zh-TW" w:bidi="zh-CN"/>
        </w:rPr>
      </w:pPr>
      <w:r>
        <w:rPr>
          <w:rFonts w:hint="eastAsia" w:ascii="仿宋" w:hAnsi="仿宋" w:eastAsia="仿宋" w:cs="仿宋"/>
          <w:spacing w:val="3"/>
          <w:w w:val="99"/>
          <w:kern w:val="0"/>
          <w:sz w:val="24"/>
          <w:szCs w:val="24"/>
          <w:lang w:val="zh-TW" w:eastAsia="zh-TW" w:bidi="zh-CN"/>
        </w:rPr>
        <w:t>（</w:t>
      </w:r>
      <w:r>
        <w:rPr>
          <w:rFonts w:hint="eastAsia" w:ascii="仿宋" w:hAnsi="仿宋" w:eastAsia="仿宋" w:cs="仿宋"/>
          <w:spacing w:val="3"/>
          <w:w w:val="99"/>
          <w:kern w:val="0"/>
          <w:sz w:val="24"/>
          <w:szCs w:val="24"/>
          <w:lang w:eastAsia="zh-TW" w:bidi="zh-CN"/>
        </w:rPr>
        <w:t>10</w:t>
      </w:r>
      <w:r>
        <w:rPr>
          <w:rFonts w:hint="eastAsia" w:ascii="仿宋" w:hAnsi="仿宋" w:eastAsia="仿宋" w:cs="仿宋"/>
          <w:spacing w:val="3"/>
          <w:w w:val="99"/>
          <w:kern w:val="0"/>
          <w:sz w:val="24"/>
          <w:szCs w:val="24"/>
          <w:lang w:val="zh-TW" w:eastAsia="zh-TW" w:bidi="zh-CN"/>
        </w:rPr>
        <w:t>）进行绩效核算数据、绩效考核数据的分析。为管理者提供更合适的数据视图，帮助医院决策层、管理者更清晰的了解医院当前的运营、管理、目标达成情况，帮助医院更好的识别风险，实现提早控制和辅助决策。</w:t>
      </w:r>
    </w:p>
    <w:p w14:paraId="66C29287">
      <w:pPr>
        <w:pStyle w:val="87"/>
        <w:ind w:left="480" w:firstLine="0" w:firstLineChars="0"/>
        <w:rPr>
          <w:rFonts w:ascii="仿宋" w:hAnsi="仿宋" w:eastAsia="仿宋" w:cs="仿宋"/>
          <w:b/>
          <w:bCs/>
          <w:color w:val="000000"/>
          <w:kern w:val="0"/>
          <w:sz w:val="24"/>
          <w:szCs w:val="24"/>
          <w:lang w:val="zh-TW" w:eastAsia="zh-TW" w:bidi="zh-TW"/>
        </w:rPr>
      </w:pPr>
      <w:r>
        <w:rPr>
          <w:rFonts w:hint="eastAsia" w:ascii="仿宋" w:hAnsi="仿宋" w:eastAsia="仿宋" w:cs="仿宋"/>
          <w:b/>
          <w:bCs/>
          <w:color w:val="000000"/>
          <w:kern w:val="0"/>
          <w:sz w:val="24"/>
          <w:szCs w:val="24"/>
          <w:lang w:bidi="zh-TW"/>
        </w:rPr>
        <w:t>2.系统软件要求</w:t>
      </w:r>
    </w:p>
    <w:tbl>
      <w:tblPr>
        <w:tblStyle w:val="3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6"/>
        <w:gridCol w:w="1985"/>
        <w:gridCol w:w="3827"/>
        <w:gridCol w:w="1134"/>
      </w:tblGrid>
      <w:tr w14:paraId="570BA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shd w:val="clear" w:color="auto" w:fill="F1F1F1" w:themeFill="background1" w:themeFillShade="F2"/>
            <w:vAlign w:val="center"/>
          </w:tcPr>
          <w:p w14:paraId="1DB12556">
            <w:pPr>
              <w:jc w:val="center"/>
              <w:rPr>
                <w:rFonts w:ascii="仿宋" w:hAnsi="仿宋" w:eastAsia="仿宋" w:cs="仿宋"/>
                <w:b/>
                <w:bCs/>
                <w:sz w:val="24"/>
              </w:rPr>
            </w:pPr>
            <w:r>
              <w:rPr>
                <w:rFonts w:hint="eastAsia" w:ascii="仿宋" w:hAnsi="仿宋" w:eastAsia="仿宋" w:cs="仿宋"/>
                <w:b/>
                <w:bCs/>
                <w:sz w:val="24"/>
              </w:rPr>
              <w:t>模块</w:t>
            </w:r>
          </w:p>
        </w:tc>
        <w:tc>
          <w:tcPr>
            <w:tcW w:w="1985" w:type="dxa"/>
            <w:shd w:val="clear" w:color="auto" w:fill="F1F1F1" w:themeFill="background1" w:themeFillShade="F2"/>
            <w:vAlign w:val="center"/>
          </w:tcPr>
          <w:p w14:paraId="0CD9CCD3">
            <w:pPr>
              <w:jc w:val="center"/>
              <w:rPr>
                <w:rFonts w:ascii="仿宋" w:hAnsi="仿宋" w:eastAsia="仿宋" w:cs="仿宋"/>
                <w:b/>
                <w:bCs/>
                <w:sz w:val="24"/>
              </w:rPr>
            </w:pPr>
            <w:r>
              <w:rPr>
                <w:rFonts w:hint="eastAsia" w:ascii="仿宋" w:hAnsi="仿宋" w:eastAsia="仿宋" w:cs="仿宋"/>
                <w:b/>
                <w:bCs/>
                <w:sz w:val="24"/>
              </w:rPr>
              <w:t>功能</w:t>
            </w:r>
          </w:p>
        </w:tc>
        <w:tc>
          <w:tcPr>
            <w:tcW w:w="3827" w:type="dxa"/>
            <w:shd w:val="clear" w:color="auto" w:fill="F1F1F1" w:themeFill="background1" w:themeFillShade="F2"/>
            <w:vAlign w:val="center"/>
          </w:tcPr>
          <w:p w14:paraId="7454C2D8">
            <w:pPr>
              <w:jc w:val="center"/>
              <w:rPr>
                <w:rFonts w:ascii="仿宋" w:hAnsi="仿宋" w:eastAsia="仿宋" w:cs="仿宋"/>
                <w:b/>
                <w:bCs/>
                <w:sz w:val="24"/>
              </w:rPr>
            </w:pPr>
            <w:r>
              <w:rPr>
                <w:rFonts w:hint="eastAsia" w:ascii="仿宋" w:hAnsi="仿宋" w:eastAsia="仿宋" w:cs="仿宋"/>
                <w:b/>
                <w:bCs/>
                <w:sz w:val="24"/>
              </w:rPr>
              <w:t>具体技术及功能要求</w:t>
            </w:r>
          </w:p>
        </w:tc>
        <w:tc>
          <w:tcPr>
            <w:tcW w:w="1134" w:type="dxa"/>
            <w:shd w:val="clear" w:color="auto" w:fill="F1F1F1" w:themeFill="background1" w:themeFillShade="F2"/>
            <w:vAlign w:val="center"/>
          </w:tcPr>
          <w:p w14:paraId="275C52B5">
            <w:pPr>
              <w:jc w:val="center"/>
              <w:rPr>
                <w:rFonts w:ascii="仿宋" w:hAnsi="仿宋" w:eastAsia="仿宋" w:cs="仿宋"/>
                <w:b/>
                <w:bCs/>
                <w:sz w:val="24"/>
              </w:rPr>
            </w:pPr>
            <w:r>
              <w:rPr>
                <w:rFonts w:hint="eastAsia" w:ascii="仿宋" w:hAnsi="仿宋" w:eastAsia="仿宋" w:cs="仿宋"/>
                <w:b/>
                <w:bCs/>
                <w:sz w:val="24"/>
              </w:rPr>
              <w:t>说明</w:t>
            </w:r>
          </w:p>
        </w:tc>
      </w:tr>
      <w:tr w14:paraId="7B5F1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restart"/>
            <w:vAlign w:val="center"/>
          </w:tcPr>
          <w:p w14:paraId="50740FB0">
            <w:pPr>
              <w:jc w:val="center"/>
              <w:rPr>
                <w:rFonts w:ascii="仿宋" w:hAnsi="仿宋" w:eastAsia="仿宋" w:cs="仿宋"/>
                <w:sz w:val="24"/>
              </w:rPr>
            </w:pPr>
            <w:r>
              <w:rPr>
                <w:rFonts w:hint="eastAsia" w:ascii="仿宋" w:hAnsi="仿宋" w:eastAsia="仿宋" w:cs="仿宋"/>
                <w:sz w:val="24"/>
              </w:rPr>
              <w:t>1、系统设置</w:t>
            </w:r>
          </w:p>
        </w:tc>
        <w:tc>
          <w:tcPr>
            <w:tcW w:w="1985" w:type="dxa"/>
            <w:vAlign w:val="center"/>
          </w:tcPr>
          <w:p w14:paraId="04591012">
            <w:pPr>
              <w:jc w:val="center"/>
              <w:rPr>
                <w:rFonts w:ascii="仿宋" w:hAnsi="仿宋" w:eastAsia="仿宋" w:cs="仿宋"/>
                <w:sz w:val="24"/>
              </w:rPr>
            </w:pPr>
            <w:r>
              <w:rPr>
                <w:rFonts w:hint="eastAsia" w:ascii="仿宋" w:hAnsi="仿宋" w:eastAsia="仿宋" w:cs="仿宋"/>
                <w:sz w:val="24"/>
              </w:rPr>
              <w:t>1.1部门组织架构设置</w:t>
            </w:r>
          </w:p>
        </w:tc>
        <w:tc>
          <w:tcPr>
            <w:tcW w:w="3827" w:type="dxa"/>
            <w:vAlign w:val="center"/>
          </w:tcPr>
          <w:p w14:paraId="530119AC">
            <w:pPr>
              <w:jc w:val="left"/>
              <w:rPr>
                <w:rFonts w:ascii="仿宋" w:hAnsi="仿宋" w:eastAsia="仿宋" w:cs="仿宋"/>
                <w:sz w:val="24"/>
              </w:rPr>
            </w:pPr>
            <w:r>
              <w:rPr>
                <w:rFonts w:hint="eastAsia" w:ascii="仿宋" w:hAnsi="仿宋" w:eastAsia="仿宋" w:cs="仿宋"/>
                <w:sz w:val="24"/>
              </w:rPr>
              <w:t>1.1.1根据医院实际情况设置相应部门，并根据医院需求设置符合医院特色的绩效考核单元。</w:t>
            </w:r>
          </w:p>
          <w:p w14:paraId="1788497B">
            <w:pPr>
              <w:jc w:val="left"/>
              <w:rPr>
                <w:rFonts w:ascii="仿宋" w:hAnsi="仿宋" w:eastAsia="仿宋" w:cs="仿宋"/>
                <w:sz w:val="24"/>
              </w:rPr>
            </w:pPr>
            <w:r>
              <w:rPr>
                <w:rFonts w:hint="eastAsia" w:ascii="仿宋" w:hAnsi="仿宋" w:eastAsia="仿宋" w:cs="仿宋"/>
                <w:sz w:val="24"/>
              </w:rPr>
              <w:t>1.1.2可以自定义绩效。</w:t>
            </w:r>
          </w:p>
          <w:p w14:paraId="3506CD11">
            <w:pPr>
              <w:jc w:val="left"/>
              <w:rPr>
                <w:rFonts w:ascii="仿宋" w:hAnsi="仿宋" w:eastAsia="仿宋" w:cs="仿宋"/>
                <w:sz w:val="24"/>
              </w:rPr>
            </w:pPr>
            <w:r>
              <w:rPr>
                <w:rFonts w:hint="eastAsia" w:ascii="仿宋" w:hAnsi="仿宋" w:eastAsia="仿宋" w:cs="仿宋"/>
                <w:sz w:val="24"/>
              </w:rPr>
              <w:t>1.1.3绩效考核单元与相应的病区、科室关联，一个考核单元支持包含多个病区或科室。</w:t>
            </w:r>
          </w:p>
          <w:p w14:paraId="6455994D">
            <w:pPr>
              <w:jc w:val="left"/>
              <w:rPr>
                <w:rFonts w:ascii="仿宋" w:hAnsi="仿宋" w:eastAsia="仿宋" w:cs="仿宋"/>
                <w:sz w:val="24"/>
              </w:rPr>
            </w:pPr>
            <w:r>
              <w:rPr>
                <w:rFonts w:hint="eastAsia" w:ascii="仿宋" w:hAnsi="仿宋" w:eastAsia="仿宋" w:cs="仿宋"/>
                <w:sz w:val="24"/>
              </w:rPr>
              <w:t>1.1.4组织架构支持与医院现有系统同步。</w:t>
            </w:r>
          </w:p>
        </w:tc>
        <w:tc>
          <w:tcPr>
            <w:tcW w:w="1134" w:type="dxa"/>
            <w:vAlign w:val="center"/>
          </w:tcPr>
          <w:p w14:paraId="728F0E82">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50CCB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04D802EC">
            <w:pPr>
              <w:jc w:val="center"/>
              <w:rPr>
                <w:rFonts w:ascii="仿宋" w:hAnsi="仿宋" w:eastAsia="仿宋" w:cs="仿宋"/>
                <w:sz w:val="24"/>
              </w:rPr>
            </w:pPr>
          </w:p>
        </w:tc>
        <w:tc>
          <w:tcPr>
            <w:tcW w:w="1985" w:type="dxa"/>
            <w:vAlign w:val="center"/>
          </w:tcPr>
          <w:p w14:paraId="5FA06C92">
            <w:pPr>
              <w:jc w:val="center"/>
              <w:rPr>
                <w:rFonts w:ascii="仿宋" w:hAnsi="仿宋" w:eastAsia="仿宋" w:cs="仿宋"/>
                <w:sz w:val="24"/>
              </w:rPr>
            </w:pPr>
            <w:r>
              <w:rPr>
                <w:rFonts w:hint="eastAsia" w:ascii="仿宋" w:hAnsi="仿宋" w:eastAsia="仿宋" w:cs="仿宋"/>
                <w:sz w:val="24"/>
              </w:rPr>
              <w:t>1.2权限设置</w:t>
            </w:r>
          </w:p>
        </w:tc>
        <w:tc>
          <w:tcPr>
            <w:tcW w:w="3827" w:type="dxa"/>
            <w:vAlign w:val="center"/>
          </w:tcPr>
          <w:p w14:paraId="1746B907">
            <w:pPr>
              <w:jc w:val="left"/>
              <w:rPr>
                <w:rFonts w:ascii="仿宋" w:hAnsi="仿宋" w:eastAsia="仿宋" w:cs="仿宋"/>
                <w:sz w:val="24"/>
              </w:rPr>
            </w:pPr>
            <w:r>
              <w:rPr>
                <w:rFonts w:hint="eastAsia" w:ascii="仿宋" w:hAnsi="仿宋" w:eastAsia="仿宋" w:cs="仿宋"/>
                <w:sz w:val="24"/>
              </w:rPr>
              <w:t>1.2.1支持为每名员工单独设置各个模块每项页面和功能的查询、提交、修改等权限。</w:t>
            </w:r>
          </w:p>
          <w:p w14:paraId="188EF552">
            <w:pPr>
              <w:jc w:val="left"/>
              <w:rPr>
                <w:rFonts w:ascii="仿宋" w:hAnsi="仿宋" w:eastAsia="仿宋" w:cs="仿宋"/>
                <w:sz w:val="24"/>
              </w:rPr>
            </w:pPr>
            <w:r>
              <w:rPr>
                <w:rFonts w:hint="eastAsia" w:ascii="仿宋" w:hAnsi="仿宋" w:eastAsia="仿宋" w:cs="仿宋"/>
                <w:sz w:val="24"/>
              </w:rPr>
              <w:t>1.2.2支持自定义权限角色，批量为员工设置相应角色。</w:t>
            </w:r>
          </w:p>
        </w:tc>
        <w:tc>
          <w:tcPr>
            <w:tcW w:w="1134" w:type="dxa"/>
            <w:vAlign w:val="center"/>
          </w:tcPr>
          <w:p w14:paraId="0B71EF6A">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63AEE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73C5E905">
            <w:pPr>
              <w:jc w:val="center"/>
              <w:rPr>
                <w:rFonts w:ascii="仿宋" w:hAnsi="仿宋" w:eastAsia="仿宋" w:cs="仿宋"/>
                <w:sz w:val="24"/>
              </w:rPr>
            </w:pPr>
          </w:p>
        </w:tc>
        <w:tc>
          <w:tcPr>
            <w:tcW w:w="1985" w:type="dxa"/>
            <w:vAlign w:val="center"/>
          </w:tcPr>
          <w:p w14:paraId="43B986AF">
            <w:pPr>
              <w:jc w:val="center"/>
              <w:rPr>
                <w:rFonts w:ascii="仿宋" w:hAnsi="仿宋" w:eastAsia="仿宋" w:cs="仿宋"/>
                <w:sz w:val="24"/>
              </w:rPr>
            </w:pPr>
            <w:r>
              <w:rPr>
                <w:rFonts w:hint="eastAsia" w:ascii="仿宋" w:hAnsi="仿宋" w:eastAsia="仿宋" w:cs="仿宋"/>
                <w:sz w:val="24"/>
              </w:rPr>
              <w:t>1.3用户组织架构管理</w:t>
            </w:r>
          </w:p>
        </w:tc>
        <w:tc>
          <w:tcPr>
            <w:tcW w:w="3827" w:type="dxa"/>
            <w:vAlign w:val="center"/>
          </w:tcPr>
          <w:p w14:paraId="410C7568">
            <w:pPr>
              <w:jc w:val="left"/>
              <w:rPr>
                <w:rFonts w:ascii="仿宋" w:hAnsi="仿宋" w:eastAsia="仿宋" w:cs="仿宋"/>
                <w:sz w:val="24"/>
              </w:rPr>
            </w:pPr>
            <w:r>
              <w:rPr>
                <w:rFonts w:hint="eastAsia" w:ascii="仿宋" w:hAnsi="仿宋" w:eastAsia="仿宋" w:cs="仿宋"/>
                <w:sz w:val="24"/>
              </w:rPr>
              <w:t>1.3.1支持自动获取人员与其对应的组织架构 。</w:t>
            </w:r>
          </w:p>
          <w:p w14:paraId="609A428E">
            <w:pPr>
              <w:jc w:val="left"/>
              <w:rPr>
                <w:rFonts w:ascii="仿宋" w:hAnsi="仿宋" w:eastAsia="仿宋" w:cs="仿宋"/>
                <w:sz w:val="24"/>
              </w:rPr>
            </w:pPr>
            <w:r>
              <w:rPr>
                <w:rFonts w:hint="eastAsia" w:ascii="仿宋" w:hAnsi="仿宋" w:eastAsia="仿宋" w:cs="仿宋"/>
                <w:sz w:val="24"/>
              </w:rPr>
              <w:t>1.3.2支持对每名员工设置主部门与副部门。</w:t>
            </w:r>
          </w:p>
          <w:p w14:paraId="2501F24A">
            <w:pPr>
              <w:jc w:val="left"/>
              <w:rPr>
                <w:rFonts w:ascii="仿宋" w:hAnsi="仿宋" w:eastAsia="仿宋" w:cs="仿宋"/>
                <w:sz w:val="24"/>
              </w:rPr>
            </w:pPr>
            <w:r>
              <w:rPr>
                <w:rFonts w:hint="eastAsia" w:ascii="仿宋" w:hAnsi="仿宋" w:eastAsia="仿宋" w:cs="仿宋"/>
                <w:sz w:val="24"/>
              </w:rPr>
              <w:t>1.3.3支持自主协调的人员调转功能。</w:t>
            </w:r>
          </w:p>
          <w:p w14:paraId="4DDBCBF9">
            <w:pPr>
              <w:jc w:val="left"/>
              <w:rPr>
                <w:rFonts w:ascii="仿宋" w:hAnsi="仿宋" w:eastAsia="仿宋" w:cs="仿宋"/>
                <w:sz w:val="24"/>
              </w:rPr>
            </w:pPr>
            <w:r>
              <w:rPr>
                <w:rFonts w:hint="eastAsia" w:ascii="仿宋" w:hAnsi="仿宋" w:eastAsia="仿宋" w:cs="仿宋"/>
                <w:sz w:val="24"/>
              </w:rPr>
              <w:t>1.3.4支持查看每个部门中的所有员工，包括副部门为本部门的员工。</w:t>
            </w:r>
          </w:p>
        </w:tc>
        <w:tc>
          <w:tcPr>
            <w:tcW w:w="1134" w:type="dxa"/>
            <w:vAlign w:val="center"/>
          </w:tcPr>
          <w:p w14:paraId="0490C10A">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45D82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restart"/>
            <w:vAlign w:val="center"/>
          </w:tcPr>
          <w:p w14:paraId="207C27E3">
            <w:pPr>
              <w:jc w:val="center"/>
              <w:rPr>
                <w:rFonts w:ascii="仿宋" w:hAnsi="仿宋" w:eastAsia="仿宋" w:cs="仿宋"/>
                <w:sz w:val="24"/>
              </w:rPr>
            </w:pPr>
            <w:r>
              <w:rPr>
                <w:rFonts w:hint="eastAsia" w:ascii="仿宋" w:hAnsi="仿宋" w:eastAsia="仿宋" w:cs="仿宋"/>
                <w:sz w:val="24"/>
              </w:rPr>
              <w:t>2、数据接口</w:t>
            </w:r>
          </w:p>
        </w:tc>
        <w:tc>
          <w:tcPr>
            <w:tcW w:w="1985" w:type="dxa"/>
            <w:vAlign w:val="center"/>
          </w:tcPr>
          <w:p w14:paraId="602F9442">
            <w:pPr>
              <w:jc w:val="center"/>
              <w:rPr>
                <w:rFonts w:ascii="仿宋" w:hAnsi="仿宋" w:eastAsia="仿宋" w:cs="仿宋"/>
                <w:sz w:val="24"/>
              </w:rPr>
            </w:pPr>
            <w:r>
              <w:rPr>
                <w:rFonts w:hint="eastAsia" w:ascii="仿宋" w:hAnsi="仿宋" w:eastAsia="仿宋" w:cs="仿宋"/>
                <w:sz w:val="24"/>
              </w:rPr>
              <w:t>2.1数据对接</w:t>
            </w:r>
          </w:p>
        </w:tc>
        <w:tc>
          <w:tcPr>
            <w:tcW w:w="3827" w:type="dxa"/>
            <w:vAlign w:val="center"/>
          </w:tcPr>
          <w:p w14:paraId="68021B8B">
            <w:pPr>
              <w:jc w:val="left"/>
              <w:rPr>
                <w:rFonts w:ascii="仿宋" w:hAnsi="仿宋" w:eastAsia="仿宋" w:cs="仿宋"/>
                <w:sz w:val="24"/>
              </w:rPr>
            </w:pPr>
            <w:r>
              <w:rPr>
                <w:rFonts w:hint="eastAsia" w:ascii="仿宋" w:hAnsi="仿宋" w:eastAsia="仿宋" w:cs="仿宋"/>
                <w:sz w:val="24"/>
              </w:rPr>
              <w:t>2.1.1使用可视化接口对接工具，支持单个接口单独调试和多个接口联合调试。</w:t>
            </w:r>
          </w:p>
          <w:p w14:paraId="1290C0B4">
            <w:pPr>
              <w:jc w:val="left"/>
              <w:rPr>
                <w:rFonts w:ascii="仿宋" w:hAnsi="仿宋" w:eastAsia="仿宋" w:cs="仿宋"/>
                <w:sz w:val="24"/>
              </w:rPr>
            </w:pPr>
            <w:r>
              <w:rPr>
                <w:rFonts w:hint="eastAsia" w:ascii="仿宋" w:hAnsi="仿宋" w:eastAsia="仿宋" w:cs="仿宋"/>
                <w:sz w:val="24"/>
              </w:rPr>
              <w:t>2.1.2支持在项目上线后也可以灵活调整接口，无需修改程序。</w:t>
            </w:r>
          </w:p>
          <w:p w14:paraId="2CB4A787">
            <w:pPr>
              <w:jc w:val="left"/>
              <w:rPr>
                <w:rFonts w:ascii="仿宋" w:hAnsi="仿宋" w:eastAsia="仿宋" w:cs="仿宋"/>
                <w:sz w:val="24"/>
              </w:rPr>
            </w:pPr>
            <w:r>
              <w:rPr>
                <w:rFonts w:hint="eastAsia" w:ascii="仿宋" w:hAnsi="仿宋" w:eastAsia="仿宋" w:cs="仿宋"/>
                <w:sz w:val="24"/>
              </w:rPr>
              <w:t>2.1.3支持数据库视图、平台等多种方式的数据接入。</w:t>
            </w:r>
          </w:p>
          <w:p w14:paraId="246215CE">
            <w:pPr>
              <w:jc w:val="left"/>
              <w:rPr>
                <w:rFonts w:ascii="仿宋" w:hAnsi="仿宋" w:eastAsia="仿宋" w:cs="仿宋"/>
                <w:sz w:val="24"/>
              </w:rPr>
            </w:pPr>
            <w:r>
              <w:rPr>
                <w:rFonts w:hint="eastAsia" w:ascii="仿宋" w:hAnsi="仿宋" w:eastAsia="仿宋" w:cs="仿宋"/>
                <w:sz w:val="24"/>
              </w:rPr>
              <w:t>2.1.4支持每日更新数据，并自动查补往期数据。</w:t>
            </w:r>
          </w:p>
          <w:p w14:paraId="33F71E24">
            <w:pPr>
              <w:jc w:val="left"/>
              <w:rPr>
                <w:rFonts w:ascii="仿宋" w:hAnsi="仿宋" w:eastAsia="仿宋" w:cs="仿宋"/>
                <w:sz w:val="24"/>
              </w:rPr>
            </w:pPr>
            <w:r>
              <w:rPr>
                <w:rFonts w:hint="eastAsia" w:ascii="仿宋" w:hAnsi="仿宋" w:eastAsia="仿宋" w:cs="仿宋"/>
                <w:sz w:val="24"/>
              </w:rPr>
              <w:t>2.1.5支持手工录入与excel导入功能。</w:t>
            </w:r>
          </w:p>
        </w:tc>
        <w:tc>
          <w:tcPr>
            <w:tcW w:w="1134" w:type="dxa"/>
            <w:vAlign w:val="center"/>
          </w:tcPr>
          <w:p w14:paraId="06D6BFC9">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5AA57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562D4B25">
            <w:pPr>
              <w:jc w:val="center"/>
              <w:rPr>
                <w:rFonts w:ascii="仿宋" w:hAnsi="仿宋" w:eastAsia="仿宋" w:cs="仿宋"/>
                <w:sz w:val="24"/>
              </w:rPr>
            </w:pPr>
          </w:p>
        </w:tc>
        <w:tc>
          <w:tcPr>
            <w:tcW w:w="1985" w:type="dxa"/>
            <w:vAlign w:val="center"/>
          </w:tcPr>
          <w:p w14:paraId="3F94AE32">
            <w:pPr>
              <w:jc w:val="center"/>
              <w:rPr>
                <w:rFonts w:ascii="仿宋" w:hAnsi="仿宋" w:eastAsia="仿宋" w:cs="仿宋"/>
                <w:sz w:val="24"/>
              </w:rPr>
            </w:pPr>
            <w:r>
              <w:rPr>
                <w:rFonts w:hint="eastAsia" w:ascii="仿宋" w:hAnsi="仿宋" w:eastAsia="仿宋" w:cs="仿宋"/>
                <w:sz w:val="24"/>
              </w:rPr>
              <w:t>2.2数据清洗</w:t>
            </w:r>
          </w:p>
        </w:tc>
        <w:tc>
          <w:tcPr>
            <w:tcW w:w="3827" w:type="dxa"/>
            <w:vAlign w:val="center"/>
          </w:tcPr>
          <w:p w14:paraId="1A8F08F1">
            <w:pPr>
              <w:jc w:val="left"/>
              <w:rPr>
                <w:rFonts w:ascii="仿宋" w:hAnsi="仿宋" w:eastAsia="仿宋" w:cs="仿宋"/>
                <w:sz w:val="24"/>
              </w:rPr>
            </w:pPr>
            <w:r>
              <w:rPr>
                <w:rFonts w:hint="eastAsia" w:ascii="仿宋" w:hAnsi="仿宋" w:eastAsia="仿宋" w:cs="仿宋"/>
                <w:sz w:val="24"/>
              </w:rPr>
              <w:t>2.2.1支持可视化接口程序核对数据的准确性。</w:t>
            </w:r>
          </w:p>
          <w:p w14:paraId="0AB7F9D8">
            <w:pPr>
              <w:jc w:val="left"/>
              <w:rPr>
                <w:rFonts w:ascii="仿宋" w:hAnsi="仿宋" w:eastAsia="仿宋" w:cs="仿宋"/>
                <w:sz w:val="24"/>
              </w:rPr>
            </w:pPr>
            <w:r>
              <w:rPr>
                <w:rFonts w:hint="eastAsia" w:ascii="仿宋" w:hAnsi="仿宋" w:eastAsia="仿宋" w:cs="仿宋"/>
                <w:sz w:val="24"/>
              </w:rPr>
              <w:t>2.2.2支持通过后台公式，将原始数据计算成相对应指标需要的数据。2.2.3支持跨数据库管理视图，可以将不同数据库的数据清洗汇总。2.2.4支持跨科室数据调用，可以将不同科室的数据组合成对应指标需要的数据。</w:t>
            </w:r>
          </w:p>
          <w:p w14:paraId="1CCC7C35">
            <w:pPr>
              <w:jc w:val="left"/>
              <w:rPr>
                <w:rFonts w:ascii="仿宋" w:hAnsi="仿宋" w:eastAsia="仿宋" w:cs="仿宋"/>
                <w:sz w:val="24"/>
              </w:rPr>
            </w:pPr>
            <w:r>
              <w:rPr>
                <w:rFonts w:hint="eastAsia" w:ascii="仿宋" w:hAnsi="仿宋" w:eastAsia="仿宋" w:cs="仿宋"/>
                <w:sz w:val="24"/>
              </w:rPr>
              <w:t>2.2.5支持跨时间数据调用，可以将其他月份数据取入本月，以便计算增减量与同比环比。</w:t>
            </w:r>
          </w:p>
        </w:tc>
        <w:tc>
          <w:tcPr>
            <w:tcW w:w="1134" w:type="dxa"/>
            <w:vAlign w:val="center"/>
          </w:tcPr>
          <w:p w14:paraId="7B387596">
            <w:pPr>
              <w:pStyle w:val="47"/>
              <w:rPr>
                <w:rFonts w:ascii="仿宋" w:hAnsi="仿宋" w:eastAsia="仿宋" w:cs="仿宋"/>
                <w:color w:val="auto"/>
              </w:rPr>
            </w:pPr>
            <w:r>
              <w:rPr>
                <w:rFonts w:hint="eastAsia" w:ascii="仿宋" w:hAnsi="仿宋" w:eastAsia="仿宋" w:cs="仿宋"/>
                <w:b/>
                <w:bCs/>
                <w:color w:val="auto"/>
                <w:kern w:val="2"/>
                <w:sz w:val="22"/>
                <w:szCs w:val="22"/>
              </w:rPr>
              <w:t>提供</w:t>
            </w:r>
            <w:r>
              <w:rPr>
                <w:rFonts w:hint="eastAsia" w:ascii="仿宋" w:hAnsi="仿宋" w:eastAsia="仿宋" w:cs="仿宋"/>
                <w:b/>
                <w:bCs/>
                <w:color w:val="auto"/>
                <w:kern w:val="2"/>
                <w:sz w:val="22"/>
                <w:szCs w:val="22"/>
                <w:lang w:val="en-US" w:eastAsia="zh-CN"/>
              </w:rPr>
              <w:t>前后具有关联连续性的</w:t>
            </w:r>
            <w:r>
              <w:rPr>
                <w:rFonts w:hint="eastAsia" w:ascii="仿宋" w:hAnsi="仿宋" w:eastAsia="仿宋" w:cs="仿宋"/>
                <w:b/>
                <w:bCs/>
                <w:color w:val="auto"/>
                <w:kern w:val="2"/>
                <w:sz w:val="22"/>
                <w:szCs w:val="22"/>
              </w:rPr>
              <w:t>程序截图并加盖公章</w:t>
            </w:r>
          </w:p>
        </w:tc>
      </w:tr>
      <w:tr w14:paraId="1E289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7914B4E1">
            <w:pPr>
              <w:jc w:val="center"/>
              <w:rPr>
                <w:rFonts w:ascii="仿宋" w:hAnsi="仿宋" w:eastAsia="仿宋" w:cs="仿宋"/>
                <w:sz w:val="24"/>
              </w:rPr>
            </w:pPr>
          </w:p>
        </w:tc>
        <w:tc>
          <w:tcPr>
            <w:tcW w:w="1985" w:type="dxa"/>
            <w:vAlign w:val="center"/>
          </w:tcPr>
          <w:p w14:paraId="103B35D2">
            <w:pPr>
              <w:jc w:val="center"/>
              <w:rPr>
                <w:rFonts w:ascii="仿宋" w:hAnsi="仿宋" w:eastAsia="仿宋" w:cs="仿宋"/>
                <w:sz w:val="24"/>
              </w:rPr>
            </w:pPr>
            <w:r>
              <w:rPr>
                <w:rFonts w:hint="eastAsia" w:ascii="仿宋" w:hAnsi="仿宋" w:eastAsia="仿宋" w:cs="仿宋"/>
                <w:sz w:val="24"/>
              </w:rPr>
              <w:t>2.3数据要求</w:t>
            </w:r>
          </w:p>
        </w:tc>
        <w:tc>
          <w:tcPr>
            <w:tcW w:w="3827" w:type="dxa"/>
            <w:vAlign w:val="center"/>
          </w:tcPr>
          <w:p w14:paraId="43893D1F">
            <w:pPr>
              <w:jc w:val="left"/>
              <w:rPr>
                <w:rFonts w:ascii="仿宋" w:hAnsi="仿宋" w:eastAsia="仿宋" w:cs="仿宋"/>
                <w:sz w:val="24"/>
              </w:rPr>
            </w:pPr>
            <w:r>
              <w:rPr>
                <w:rFonts w:hint="eastAsia" w:ascii="仿宋" w:hAnsi="仿宋" w:eastAsia="仿宋" w:cs="仿宋"/>
                <w:sz w:val="24"/>
              </w:rPr>
              <w:t>2.3.1数据需要满足科室、诊疗组、个人的全面与准确，以保证一次分配和二次分配大部分数据可以自动获取。</w:t>
            </w:r>
          </w:p>
        </w:tc>
        <w:tc>
          <w:tcPr>
            <w:tcW w:w="1134" w:type="dxa"/>
            <w:vAlign w:val="center"/>
          </w:tcPr>
          <w:p w14:paraId="394A7100">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1090F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restart"/>
            <w:vAlign w:val="center"/>
          </w:tcPr>
          <w:p w14:paraId="5C9A6B66">
            <w:pPr>
              <w:jc w:val="center"/>
              <w:rPr>
                <w:rFonts w:ascii="仿宋" w:hAnsi="仿宋" w:eastAsia="仿宋" w:cs="仿宋"/>
                <w:sz w:val="24"/>
              </w:rPr>
            </w:pPr>
            <w:r>
              <w:rPr>
                <w:rFonts w:hint="eastAsia" w:ascii="仿宋" w:hAnsi="仿宋" w:eastAsia="仿宋" w:cs="仿宋"/>
                <w:sz w:val="24"/>
              </w:rPr>
              <w:t>3、一次分配</w:t>
            </w:r>
          </w:p>
        </w:tc>
        <w:tc>
          <w:tcPr>
            <w:tcW w:w="1985" w:type="dxa"/>
            <w:vAlign w:val="center"/>
          </w:tcPr>
          <w:p w14:paraId="0C9D5AA9">
            <w:pPr>
              <w:jc w:val="center"/>
              <w:rPr>
                <w:rFonts w:ascii="仿宋" w:hAnsi="仿宋" w:eastAsia="仿宋" w:cs="仿宋"/>
                <w:sz w:val="24"/>
              </w:rPr>
            </w:pPr>
            <w:r>
              <w:rPr>
                <w:rFonts w:hint="eastAsia" w:ascii="仿宋" w:hAnsi="仿宋" w:eastAsia="仿宋" w:cs="仿宋"/>
                <w:sz w:val="24"/>
              </w:rPr>
              <w:t>3.1绩效模式</w:t>
            </w:r>
          </w:p>
        </w:tc>
        <w:tc>
          <w:tcPr>
            <w:tcW w:w="3827" w:type="dxa"/>
            <w:vAlign w:val="center"/>
          </w:tcPr>
          <w:p w14:paraId="5FA1838A">
            <w:pPr>
              <w:jc w:val="left"/>
              <w:rPr>
                <w:rFonts w:ascii="仿宋" w:hAnsi="仿宋" w:eastAsia="仿宋" w:cs="仿宋"/>
                <w:sz w:val="24"/>
              </w:rPr>
            </w:pPr>
            <w:r>
              <w:rPr>
                <w:rFonts w:hint="eastAsia" w:ascii="仿宋" w:hAnsi="仿宋" w:eastAsia="仿宋" w:cs="仿宋"/>
                <w:sz w:val="24"/>
              </w:rPr>
              <w:t>3.1.1支持设置总盘与不设总盘。3.1.2支持临床医生、护理、医技、行政后勤等使用不同的绩效模式。3.1.3支持设置不同的主任、护士长绩效模式。</w:t>
            </w:r>
          </w:p>
        </w:tc>
        <w:tc>
          <w:tcPr>
            <w:tcW w:w="1134" w:type="dxa"/>
            <w:vAlign w:val="center"/>
          </w:tcPr>
          <w:p w14:paraId="44D1FF4A">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0C777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702560F2">
            <w:pPr>
              <w:jc w:val="center"/>
              <w:rPr>
                <w:rFonts w:ascii="仿宋" w:hAnsi="仿宋" w:eastAsia="仿宋" w:cs="仿宋"/>
                <w:sz w:val="24"/>
              </w:rPr>
            </w:pPr>
          </w:p>
        </w:tc>
        <w:tc>
          <w:tcPr>
            <w:tcW w:w="1985" w:type="dxa"/>
            <w:vAlign w:val="center"/>
          </w:tcPr>
          <w:p w14:paraId="2FEB3E70">
            <w:pPr>
              <w:jc w:val="center"/>
              <w:rPr>
                <w:rFonts w:ascii="仿宋" w:hAnsi="仿宋" w:eastAsia="仿宋" w:cs="仿宋"/>
                <w:sz w:val="24"/>
              </w:rPr>
            </w:pPr>
            <w:r>
              <w:rPr>
                <w:rFonts w:hint="eastAsia" w:ascii="仿宋" w:hAnsi="仿宋" w:eastAsia="仿宋" w:cs="仿宋"/>
                <w:sz w:val="24"/>
              </w:rPr>
              <w:t>3.2基础配置</w:t>
            </w:r>
          </w:p>
        </w:tc>
        <w:tc>
          <w:tcPr>
            <w:tcW w:w="3827" w:type="dxa"/>
            <w:vAlign w:val="center"/>
          </w:tcPr>
          <w:p w14:paraId="291B30AD">
            <w:pPr>
              <w:jc w:val="left"/>
              <w:rPr>
                <w:rFonts w:ascii="仿宋" w:hAnsi="仿宋" w:eastAsia="仿宋" w:cs="仿宋"/>
                <w:sz w:val="24"/>
              </w:rPr>
            </w:pPr>
            <w:r>
              <w:rPr>
                <w:rFonts w:hint="eastAsia" w:ascii="仿宋" w:hAnsi="仿宋" w:eastAsia="仿宋" w:cs="仿宋"/>
                <w:sz w:val="24"/>
              </w:rPr>
              <w:t>3.2.1支持设置每个科室/诊疗组的主任、副主任、护士长、组长等具体管理者与其对应的绩效方式。3.2.2支持设置每个科室/诊疗组的核定人数等基础设置。</w:t>
            </w:r>
          </w:p>
        </w:tc>
        <w:tc>
          <w:tcPr>
            <w:tcW w:w="1134" w:type="dxa"/>
            <w:vAlign w:val="center"/>
          </w:tcPr>
          <w:p w14:paraId="7A288F93">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4229A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60CE6806">
            <w:pPr>
              <w:jc w:val="center"/>
              <w:rPr>
                <w:rFonts w:ascii="仿宋" w:hAnsi="仿宋" w:eastAsia="仿宋" w:cs="仿宋"/>
                <w:sz w:val="24"/>
              </w:rPr>
            </w:pPr>
          </w:p>
        </w:tc>
        <w:tc>
          <w:tcPr>
            <w:tcW w:w="1985" w:type="dxa"/>
            <w:vAlign w:val="center"/>
          </w:tcPr>
          <w:p w14:paraId="6C5BC1F7">
            <w:pPr>
              <w:jc w:val="center"/>
              <w:rPr>
                <w:rFonts w:ascii="仿宋" w:hAnsi="仿宋" w:eastAsia="仿宋" w:cs="仿宋"/>
                <w:sz w:val="24"/>
              </w:rPr>
            </w:pPr>
            <w:r>
              <w:rPr>
                <w:rFonts w:hint="eastAsia" w:ascii="仿宋" w:hAnsi="仿宋" w:eastAsia="仿宋" w:cs="仿宋"/>
                <w:sz w:val="24"/>
              </w:rPr>
              <w:t>3.3公式设置</w:t>
            </w:r>
          </w:p>
        </w:tc>
        <w:tc>
          <w:tcPr>
            <w:tcW w:w="3827" w:type="dxa"/>
            <w:vAlign w:val="center"/>
          </w:tcPr>
          <w:p w14:paraId="002BC059">
            <w:pPr>
              <w:jc w:val="left"/>
              <w:rPr>
                <w:rFonts w:ascii="仿宋" w:hAnsi="仿宋" w:eastAsia="仿宋" w:cs="仿宋"/>
                <w:sz w:val="24"/>
              </w:rPr>
            </w:pPr>
            <w:r>
              <w:rPr>
                <w:rFonts w:hint="eastAsia" w:ascii="仿宋" w:hAnsi="仿宋" w:eastAsia="仿宋" w:cs="仿宋"/>
                <w:sz w:val="24"/>
              </w:rPr>
              <w:t>3.3.1每个考核项都可以为不同单位设置不同的核定值。</w:t>
            </w:r>
          </w:p>
          <w:p w14:paraId="4963B8C6">
            <w:pPr>
              <w:jc w:val="left"/>
              <w:rPr>
                <w:rFonts w:ascii="仿宋" w:hAnsi="仿宋" w:eastAsia="仿宋" w:cs="仿宋"/>
                <w:sz w:val="24"/>
              </w:rPr>
            </w:pPr>
            <w:r>
              <w:rPr>
                <w:rFonts w:hint="eastAsia" w:ascii="仿宋" w:hAnsi="仿宋" w:eastAsia="仿宋" w:cs="仿宋"/>
                <w:sz w:val="24"/>
              </w:rPr>
              <w:t>3.3.2每个考核项及其子项都支持设置调用核定值、其他指标等参数的复杂公式，公式包括区间以及细则运算，用户可以直接在界面上调整公式，无需修改程序。</w:t>
            </w:r>
          </w:p>
          <w:p w14:paraId="106D855A">
            <w:pPr>
              <w:jc w:val="left"/>
              <w:rPr>
                <w:rFonts w:ascii="仿宋" w:hAnsi="仿宋" w:eastAsia="仿宋" w:cs="仿宋"/>
                <w:sz w:val="24"/>
              </w:rPr>
            </w:pPr>
            <w:r>
              <w:rPr>
                <w:rFonts w:hint="eastAsia" w:ascii="仿宋" w:hAnsi="仿宋" w:eastAsia="仿宋" w:cs="仿宋"/>
                <w:sz w:val="24"/>
              </w:rPr>
              <w:t>3.3.3支持设置公式的文字性描述</w:t>
            </w:r>
          </w:p>
        </w:tc>
        <w:tc>
          <w:tcPr>
            <w:tcW w:w="1134" w:type="dxa"/>
            <w:vAlign w:val="center"/>
          </w:tcPr>
          <w:p w14:paraId="674E12B6">
            <w:pPr>
              <w:pStyle w:val="47"/>
              <w:rPr>
                <w:rFonts w:ascii="仿宋" w:hAnsi="仿宋" w:eastAsia="仿宋" w:cs="仿宋"/>
                <w:color w:val="auto"/>
              </w:rPr>
            </w:pPr>
            <w:r>
              <w:rPr>
                <w:rFonts w:hint="eastAsia" w:ascii="仿宋" w:hAnsi="仿宋" w:eastAsia="仿宋" w:cs="仿宋"/>
                <w:b/>
                <w:bCs/>
                <w:color w:val="auto"/>
                <w:kern w:val="2"/>
                <w:sz w:val="24"/>
                <w:szCs w:val="24"/>
              </w:rPr>
              <w:t>提供</w:t>
            </w:r>
            <w:r>
              <w:rPr>
                <w:rFonts w:hint="eastAsia" w:ascii="仿宋" w:hAnsi="仿宋" w:eastAsia="仿宋" w:cs="仿宋"/>
                <w:b/>
                <w:bCs/>
                <w:color w:val="auto"/>
                <w:kern w:val="2"/>
                <w:sz w:val="24"/>
                <w:szCs w:val="24"/>
                <w:lang w:val="en-US" w:eastAsia="zh-CN"/>
              </w:rPr>
              <w:t>前后具有关联连续性的</w:t>
            </w:r>
            <w:r>
              <w:rPr>
                <w:rFonts w:hint="eastAsia" w:ascii="仿宋" w:hAnsi="仿宋" w:eastAsia="仿宋" w:cs="仿宋"/>
                <w:b/>
                <w:bCs/>
                <w:color w:val="auto"/>
                <w:kern w:val="2"/>
                <w:sz w:val="24"/>
                <w:szCs w:val="24"/>
              </w:rPr>
              <w:t>程序截图并加盖公章</w:t>
            </w:r>
          </w:p>
        </w:tc>
      </w:tr>
      <w:tr w14:paraId="48140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327DBA4E">
            <w:pPr>
              <w:jc w:val="center"/>
              <w:rPr>
                <w:rFonts w:ascii="仿宋" w:hAnsi="仿宋" w:eastAsia="仿宋" w:cs="仿宋"/>
                <w:sz w:val="24"/>
              </w:rPr>
            </w:pPr>
          </w:p>
        </w:tc>
        <w:tc>
          <w:tcPr>
            <w:tcW w:w="1985" w:type="dxa"/>
            <w:vAlign w:val="center"/>
          </w:tcPr>
          <w:p w14:paraId="277D7B98">
            <w:pPr>
              <w:jc w:val="center"/>
              <w:rPr>
                <w:rFonts w:ascii="仿宋" w:hAnsi="仿宋" w:eastAsia="仿宋" w:cs="仿宋"/>
                <w:sz w:val="24"/>
              </w:rPr>
            </w:pPr>
            <w:r>
              <w:rPr>
                <w:rFonts w:hint="eastAsia" w:ascii="仿宋" w:hAnsi="仿宋" w:eastAsia="仿宋" w:cs="仿宋"/>
                <w:sz w:val="24"/>
              </w:rPr>
              <w:t>3.4子项设置</w:t>
            </w:r>
          </w:p>
        </w:tc>
        <w:tc>
          <w:tcPr>
            <w:tcW w:w="3827" w:type="dxa"/>
            <w:vAlign w:val="center"/>
          </w:tcPr>
          <w:p w14:paraId="4DDBF46C">
            <w:pPr>
              <w:jc w:val="left"/>
              <w:rPr>
                <w:rFonts w:ascii="仿宋" w:hAnsi="仿宋" w:eastAsia="仿宋" w:cs="仿宋"/>
                <w:sz w:val="24"/>
              </w:rPr>
            </w:pPr>
            <w:r>
              <w:rPr>
                <w:rFonts w:hint="eastAsia" w:ascii="仿宋" w:hAnsi="仿宋" w:eastAsia="仿宋" w:cs="仿宋"/>
                <w:sz w:val="24"/>
              </w:rPr>
              <w:t>3.4.1每个考核项都支持设置子项目，用户可以直接在界面上调整子项目，及其与接口对应的编码，无需修改程序。</w:t>
            </w:r>
          </w:p>
        </w:tc>
        <w:tc>
          <w:tcPr>
            <w:tcW w:w="1134" w:type="dxa"/>
            <w:vAlign w:val="center"/>
          </w:tcPr>
          <w:p w14:paraId="4ADB66D6">
            <w:pPr>
              <w:pStyle w:val="47"/>
              <w:rPr>
                <w:rFonts w:ascii="仿宋" w:hAnsi="仿宋" w:eastAsia="仿宋" w:cs="仿宋"/>
                <w:color w:val="auto"/>
              </w:rPr>
            </w:pPr>
            <w:r>
              <w:rPr>
                <w:rFonts w:hint="eastAsia" w:ascii="仿宋" w:hAnsi="仿宋" w:eastAsia="仿宋" w:cs="仿宋"/>
                <w:b/>
                <w:bCs/>
                <w:color w:val="auto"/>
                <w:kern w:val="2"/>
                <w:sz w:val="24"/>
                <w:szCs w:val="24"/>
              </w:rPr>
              <w:t>提供</w:t>
            </w:r>
            <w:r>
              <w:rPr>
                <w:rFonts w:hint="eastAsia" w:ascii="仿宋" w:hAnsi="仿宋" w:eastAsia="仿宋" w:cs="仿宋"/>
                <w:b/>
                <w:bCs/>
                <w:color w:val="auto"/>
                <w:kern w:val="2"/>
                <w:sz w:val="24"/>
                <w:szCs w:val="24"/>
                <w:lang w:val="en-US" w:eastAsia="zh-CN"/>
              </w:rPr>
              <w:t>前后具有关联连续性的</w:t>
            </w:r>
            <w:r>
              <w:rPr>
                <w:rFonts w:hint="eastAsia" w:ascii="仿宋" w:hAnsi="仿宋" w:eastAsia="仿宋" w:cs="仿宋"/>
                <w:b/>
                <w:bCs/>
                <w:color w:val="auto"/>
                <w:kern w:val="2"/>
                <w:sz w:val="24"/>
                <w:szCs w:val="24"/>
              </w:rPr>
              <w:t>程序截图并加盖公章</w:t>
            </w:r>
          </w:p>
        </w:tc>
      </w:tr>
      <w:tr w14:paraId="0427A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3" w:hRule="atLeast"/>
          <w:jc w:val="center"/>
        </w:trPr>
        <w:tc>
          <w:tcPr>
            <w:tcW w:w="1276" w:type="dxa"/>
            <w:vMerge w:val="continue"/>
            <w:vAlign w:val="center"/>
          </w:tcPr>
          <w:p w14:paraId="54BD31B5">
            <w:pPr>
              <w:jc w:val="center"/>
              <w:rPr>
                <w:rFonts w:ascii="仿宋" w:hAnsi="仿宋" w:eastAsia="仿宋" w:cs="仿宋"/>
                <w:sz w:val="24"/>
              </w:rPr>
            </w:pPr>
          </w:p>
        </w:tc>
        <w:tc>
          <w:tcPr>
            <w:tcW w:w="1985" w:type="dxa"/>
            <w:vAlign w:val="center"/>
          </w:tcPr>
          <w:p w14:paraId="3D795A4D">
            <w:pPr>
              <w:jc w:val="center"/>
              <w:rPr>
                <w:rFonts w:ascii="仿宋" w:hAnsi="仿宋" w:eastAsia="仿宋" w:cs="仿宋"/>
                <w:sz w:val="24"/>
              </w:rPr>
            </w:pPr>
            <w:r>
              <w:rPr>
                <w:rFonts w:hint="eastAsia" w:ascii="仿宋" w:hAnsi="仿宋" w:eastAsia="仿宋" w:cs="仿宋"/>
                <w:sz w:val="24"/>
              </w:rPr>
              <w:t>3.5专项设置</w:t>
            </w:r>
          </w:p>
        </w:tc>
        <w:tc>
          <w:tcPr>
            <w:tcW w:w="3827" w:type="dxa"/>
            <w:vAlign w:val="center"/>
          </w:tcPr>
          <w:p w14:paraId="51431434">
            <w:pPr>
              <w:jc w:val="left"/>
              <w:rPr>
                <w:rFonts w:ascii="仿宋" w:hAnsi="仿宋" w:eastAsia="仿宋" w:cs="仿宋"/>
                <w:sz w:val="24"/>
              </w:rPr>
            </w:pPr>
            <w:r>
              <w:rPr>
                <w:rFonts w:hint="eastAsia" w:ascii="仿宋" w:hAnsi="仿宋" w:eastAsia="仿宋" w:cs="仿宋"/>
                <w:sz w:val="24"/>
              </w:rPr>
              <w:t>3.5.1支持为不同科室/医疗组与个人设置不同的专项指标。</w:t>
            </w:r>
          </w:p>
        </w:tc>
        <w:tc>
          <w:tcPr>
            <w:tcW w:w="1134" w:type="dxa"/>
            <w:vAlign w:val="center"/>
          </w:tcPr>
          <w:p w14:paraId="41D2A6D2">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04201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46EFC257">
            <w:pPr>
              <w:jc w:val="center"/>
              <w:rPr>
                <w:rFonts w:ascii="仿宋" w:hAnsi="仿宋" w:eastAsia="仿宋" w:cs="仿宋"/>
                <w:sz w:val="24"/>
              </w:rPr>
            </w:pPr>
          </w:p>
        </w:tc>
        <w:tc>
          <w:tcPr>
            <w:tcW w:w="1985" w:type="dxa"/>
            <w:vAlign w:val="center"/>
          </w:tcPr>
          <w:p w14:paraId="2A2EBBB7">
            <w:pPr>
              <w:jc w:val="center"/>
              <w:rPr>
                <w:rFonts w:ascii="仿宋" w:hAnsi="仿宋" w:eastAsia="仿宋" w:cs="仿宋"/>
                <w:sz w:val="24"/>
              </w:rPr>
            </w:pPr>
            <w:r>
              <w:rPr>
                <w:rFonts w:hint="eastAsia" w:ascii="仿宋" w:hAnsi="仿宋" w:eastAsia="仿宋" w:cs="仿宋"/>
                <w:sz w:val="24"/>
              </w:rPr>
              <w:t>3.6数据更新</w:t>
            </w:r>
          </w:p>
        </w:tc>
        <w:tc>
          <w:tcPr>
            <w:tcW w:w="3827" w:type="dxa"/>
            <w:vAlign w:val="center"/>
          </w:tcPr>
          <w:p w14:paraId="6D40B6BE">
            <w:pPr>
              <w:jc w:val="left"/>
              <w:rPr>
                <w:rFonts w:ascii="仿宋" w:hAnsi="仿宋" w:eastAsia="仿宋" w:cs="仿宋"/>
                <w:sz w:val="24"/>
              </w:rPr>
            </w:pPr>
            <w:r>
              <w:rPr>
                <w:rFonts w:hint="eastAsia" w:ascii="仿宋" w:hAnsi="仿宋" w:eastAsia="仿宋" w:cs="仿宋"/>
                <w:sz w:val="24"/>
              </w:rPr>
              <w:t>3.6.1数据每日自动更新并自动查漏补缺。</w:t>
            </w:r>
          </w:p>
          <w:p w14:paraId="40E5BA6B">
            <w:pPr>
              <w:jc w:val="left"/>
              <w:rPr>
                <w:rFonts w:ascii="仿宋" w:hAnsi="仿宋" w:eastAsia="仿宋" w:cs="仿宋"/>
                <w:sz w:val="24"/>
              </w:rPr>
            </w:pPr>
            <w:r>
              <w:rPr>
                <w:rFonts w:hint="eastAsia" w:ascii="仿宋" w:hAnsi="仿宋" w:eastAsia="仿宋" w:cs="仿宋"/>
                <w:sz w:val="24"/>
              </w:rPr>
              <w:t>3.6.2支持手动录入无法获取的数据、支持excel导入。</w:t>
            </w:r>
          </w:p>
          <w:p w14:paraId="5454B547">
            <w:pPr>
              <w:jc w:val="left"/>
              <w:rPr>
                <w:rFonts w:ascii="仿宋" w:hAnsi="仿宋" w:eastAsia="仿宋" w:cs="仿宋"/>
                <w:sz w:val="24"/>
              </w:rPr>
            </w:pPr>
            <w:r>
              <w:rPr>
                <w:rFonts w:hint="eastAsia" w:ascii="仿宋" w:hAnsi="仿宋" w:eastAsia="仿宋" w:cs="仿宋"/>
                <w:sz w:val="24"/>
              </w:rPr>
              <w:t>3.6.3支持手动触发重新自动更新数据以应对相关接口数据出错等情况</w:t>
            </w:r>
          </w:p>
        </w:tc>
        <w:tc>
          <w:tcPr>
            <w:tcW w:w="1134" w:type="dxa"/>
            <w:vAlign w:val="center"/>
          </w:tcPr>
          <w:p w14:paraId="0C8C5D20">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54DB9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566089C5">
            <w:pPr>
              <w:jc w:val="center"/>
              <w:rPr>
                <w:rFonts w:ascii="仿宋" w:hAnsi="仿宋" w:eastAsia="仿宋" w:cs="仿宋"/>
                <w:sz w:val="24"/>
              </w:rPr>
            </w:pPr>
          </w:p>
        </w:tc>
        <w:tc>
          <w:tcPr>
            <w:tcW w:w="1985" w:type="dxa"/>
            <w:vAlign w:val="center"/>
          </w:tcPr>
          <w:p w14:paraId="12721141">
            <w:pPr>
              <w:jc w:val="center"/>
              <w:rPr>
                <w:rFonts w:ascii="仿宋" w:hAnsi="仿宋" w:eastAsia="仿宋" w:cs="仿宋"/>
                <w:sz w:val="24"/>
              </w:rPr>
            </w:pPr>
            <w:r>
              <w:rPr>
                <w:rFonts w:hint="eastAsia" w:ascii="仿宋" w:hAnsi="仿宋" w:eastAsia="仿宋" w:cs="仿宋"/>
                <w:sz w:val="24"/>
              </w:rPr>
              <w:t>3.7总览查看</w:t>
            </w:r>
          </w:p>
        </w:tc>
        <w:tc>
          <w:tcPr>
            <w:tcW w:w="3827" w:type="dxa"/>
            <w:vAlign w:val="center"/>
          </w:tcPr>
          <w:p w14:paraId="0285826F">
            <w:pPr>
              <w:jc w:val="left"/>
              <w:rPr>
                <w:rFonts w:ascii="仿宋" w:hAnsi="仿宋" w:eastAsia="仿宋" w:cs="仿宋"/>
                <w:sz w:val="24"/>
              </w:rPr>
            </w:pPr>
            <w:r>
              <w:rPr>
                <w:rFonts w:hint="eastAsia" w:ascii="仿宋" w:hAnsi="仿宋" w:eastAsia="仿宋" w:cs="仿宋"/>
                <w:sz w:val="24"/>
              </w:rPr>
              <w:t>3.7.1支持考核项汇总查询，支持子项目详情查询，支持公式查询。</w:t>
            </w:r>
          </w:p>
          <w:p w14:paraId="3AC72598">
            <w:pPr>
              <w:jc w:val="left"/>
              <w:rPr>
                <w:rFonts w:ascii="仿宋" w:hAnsi="仿宋" w:eastAsia="仿宋" w:cs="仿宋"/>
                <w:sz w:val="24"/>
              </w:rPr>
            </w:pPr>
            <w:r>
              <w:rPr>
                <w:rFonts w:hint="eastAsia" w:ascii="仿宋" w:hAnsi="仿宋" w:eastAsia="仿宋" w:cs="仿宋"/>
                <w:sz w:val="24"/>
              </w:rPr>
              <w:t>3.7.2支持各考核项原始数据和换算奖金的查询。</w:t>
            </w:r>
          </w:p>
          <w:p w14:paraId="63C29CD2">
            <w:pPr>
              <w:jc w:val="left"/>
              <w:rPr>
                <w:rFonts w:ascii="仿宋" w:hAnsi="仿宋" w:eastAsia="仿宋" w:cs="仿宋"/>
                <w:sz w:val="24"/>
              </w:rPr>
            </w:pPr>
            <w:r>
              <w:rPr>
                <w:rFonts w:hint="eastAsia" w:ascii="仿宋" w:hAnsi="仿宋" w:eastAsia="仿宋" w:cs="仿宋"/>
                <w:sz w:val="24"/>
              </w:rPr>
              <w:t>3.7.3支持历史数据查询</w:t>
            </w:r>
          </w:p>
        </w:tc>
        <w:tc>
          <w:tcPr>
            <w:tcW w:w="1134" w:type="dxa"/>
            <w:vAlign w:val="center"/>
          </w:tcPr>
          <w:p w14:paraId="3EC66126">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1B0A6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483709A7">
            <w:pPr>
              <w:jc w:val="center"/>
              <w:rPr>
                <w:rFonts w:ascii="仿宋" w:hAnsi="仿宋" w:eastAsia="仿宋" w:cs="仿宋"/>
                <w:sz w:val="24"/>
              </w:rPr>
            </w:pPr>
          </w:p>
        </w:tc>
        <w:tc>
          <w:tcPr>
            <w:tcW w:w="1985" w:type="dxa"/>
            <w:vAlign w:val="center"/>
          </w:tcPr>
          <w:p w14:paraId="1263AD00">
            <w:pPr>
              <w:jc w:val="center"/>
              <w:rPr>
                <w:rFonts w:ascii="仿宋" w:hAnsi="仿宋" w:eastAsia="仿宋" w:cs="仿宋"/>
                <w:sz w:val="24"/>
              </w:rPr>
            </w:pPr>
            <w:r>
              <w:rPr>
                <w:rFonts w:hint="eastAsia" w:ascii="仿宋" w:hAnsi="仿宋" w:eastAsia="仿宋" w:cs="仿宋"/>
                <w:sz w:val="24"/>
              </w:rPr>
              <w:t>3.8科室详情</w:t>
            </w:r>
          </w:p>
        </w:tc>
        <w:tc>
          <w:tcPr>
            <w:tcW w:w="3827" w:type="dxa"/>
            <w:vAlign w:val="center"/>
          </w:tcPr>
          <w:p w14:paraId="66C95985">
            <w:pPr>
              <w:jc w:val="left"/>
              <w:rPr>
                <w:rFonts w:ascii="仿宋" w:hAnsi="仿宋" w:eastAsia="仿宋" w:cs="仿宋"/>
                <w:sz w:val="24"/>
              </w:rPr>
            </w:pPr>
            <w:r>
              <w:rPr>
                <w:rFonts w:hint="eastAsia" w:ascii="仿宋" w:hAnsi="仿宋" w:eastAsia="仿宋" w:cs="仿宋"/>
                <w:sz w:val="24"/>
              </w:rPr>
              <w:t>3.8.1支持单科室/诊疗组包括总览查看可查看的所有内容。</w:t>
            </w:r>
          </w:p>
          <w:p w14:paraId="32CA49E5">
            <w:pPr>
              <w:jc w:val="left"/>
              <w:rPr>
                <w:rFonts w:ascii="仿宋" w:hAnsi="仿宋" w:eastAsia="仿宋" w:cs="仿宋"/>
                <w:sz w:val="24"/>
              </w:rPr>
            </w:pPr>
            <w:r>
              <w:rPr>
                <w:rFonts w:hint="eastAsia" w:ascii="仿宋" w:hAnsi="仿宋" w:eastAsia="仿宋" w:cs="仿宋"/>
                <w:sz w:val="24"/>
              </w:rPr>
              <w:t>3.8.2支持各考核项、环比、同比、内外科环同比等分析数据的查看。</w:t>
            </w:r>
          </w:p>
        </w:tc>
        <w:tc>
          <w:tcPr>
            <w:tcW w:w="1134" w:type="dxa"/>
            <w:vAlign w:val="center"/>
          </w:tcPr>
          <w:p w14:paraId="1E221356">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49A18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713BF05A">
            <w:pPr>
              <w:jc w:val="center"/>
              <w:rPr>
                <w:rFonts w:ascii="仿宋" w:hAnsi="仿宋" w:eastAsia="仿宋" w:cs="仿宋"/>
                <w:sz w:val="24"/>
              </w:rPr>
            </w:pPr>
          </w:p>
        </w:tc>
        <w:tc>
          <w:tcPr>
            <w:tcW w:w="1985" w:type="dxa"/>
            <w:vAlign w:val="center"/>
          </w:tcPr>
          <w:p w14:paraId="7B7D687B">
            <w:pPr>
              <w:jc w:val="center"/>
              <w:rPr>
                <w:rFonts w:ascii="仿宋" w:hAnsi="仿宋" w:eastAsia="仿宋" w:cs="仿宋"/>
                <w:sz w:val="24"/>
              </w:rPr>
            </w:pPr>
            <w:r>
              <w:rPr>
                <w:rFonts w:hint="eastAsia" w:ascii="仿宋" w:hAnsi="仿宋" w:eastAsia="仿宋" w:cs="仿宋"/>
                <w:sz w:val="24"/>
              </w:rPr>
              <w:t xml:space="preserve">3.9绩效计算                                                                                                     </w:t>
            </w:r>
          </w:p>
        </w:tc>
        <w:tc>
          <w:tcPr>
            <w:tcW w:w="3827" w:type="dxa"/>
            <w:vAlign w:val="center"/>
          </w:tcPr>
          <w:p w14:paraId="0713210E">
            <w:pPr>
              <w:jc w:val="left"/>
              <w:rPr>
                <w:rFonts w:ascii="仿宋" w:hAnsi="仿宋" w:eastAsia="仿宋" w:cs="仿宋"/>
                <w:sz w:val="24"/>
              </w:rPr>
            </w:pPr>
            <w:r>
              <w:rPr>
                <w:rFonts w:hint="eastAsia" w:ascii="仿宋" w:hAnsi="仿宋" w:eastAsia="仿宋" w:cs="仿宋"/>
                <w:sz w:val="24"/>
              </w:rPr>
              <w:t>3.9.1支持绩效的自动计算和手动计算</w:t>
            </w:r>
          </w:p>
        </w:tc>
        <w:tc>
          <w:tcPr>
            <w:tcW w:w="1134" w:type="dxa"/>
            <w:vAlign w:val="center"/>
          </w:tcPr>
          <w:p w14:paraId="042E9C85">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4AC12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4EF3D2EA">
            <w:pPr>
              <w:jc w:val="center"/>
              <w:rPr>
                <w:rFonts w:ascii="仿宋" w:hAnsi="仿宋" w:eastAsia="仿宋" w:cs="仿宋"/>
                <w:sz w:val="24"/>
              </w:rPr>
            </w:pPr>
          </w:p>
        </w:tc>
        <w:tc>
          <w:tcPr>
            <w:tcW w:w="1985" w:type="dxa"/>
            <w:vAlign w:val="center"/>
          </w:tcPr>
          <w:p w14:paraId="1D82B0C4">
            <w:pPr>
              <w:jc w:val="center"/>
              <w:rPr>
                <w:rFonts w:ascii="仿宋" w:hAnsi="仿宋" w:eastAsia="仿宋" w:cs="仿宋"/>
                <w:sz w:val="24"/>
              </w:rPr>
            </w:pPr>
            <w:r>
              <w:rPr>
                <w:rFonts w:hint="eastAsia" w:ascii="仿宋" w:hAnsi="仿宋" w:eastAsia="仿宋" w:cs="仿宋"/>
                <w:sz w:val="24"/>
              </w:rPr>
              <w:t>3.10绩效发放</w:t>
            </w:r>
          </w:p>
        </w:tc>
        <w:tc>
          <w:tcPr>
            <w:tcW w:w="3827" w:type="dxa"/>
            <w:vAlign w:val="center"/>
          </w:tcPr>
          <w:p w14:paraId="7122D1A8">
            <w:pPr>
              <w:jc w:val="left"/>
              <w:rPr>
                <w:rFonts w:ascii="仿宋" w:hAnsi="仿宋" w:eastAsia="仿宋" w:cs="仿宋"/>
                <w:sz w:val="24"/>
              </w:rPr>
            </w:pPr>
            <w:r>
              <w:rPr>
                <w:rFonts w:hint="eastAsia" w:ascii="仿宋" w:hAnsi="仿宋" w:eastAsia="仿宋" w:cs="仿宋"/>
                <w:sz w:val="24"/>
              </w:rPr>
              <w:t>3.10.1支持全科室/诊疗组和单科室/诊疗组的绩效暂存、发放与撤回。</w:t>
            </w:r>
          </w:p>
        </w:tc>
        <w:tc>
          <w:tcPr>
            <w:tcW w:w="1134" w:type="dxa"/>
            <w:vAlign w:val="center"/>
          </w:tcPr>
          <w:p w14:paraId="05324C90">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1B286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7D1FA692">
            <w:pPr>
              <w:jc w:val="center"/>
              <w:rPr>
                <w:rFonts w:ascii="仿宋" w:hAnsi="仿宋" w:eastAsia="仿宋" w:cs="仿宋"/>
                <w:sz w:val="24"/>
              </w:rPr>
            </w:pPr>
          </w:p>
        </w:tc>
        <w:tc>
          <w:tcPr>
            <w:tcW w:w="1985" w:type="dxa"/>
            <w:vAlign w:val="center"/>
          </w:tcPr>
          <w:p w14:paraId="62CE0E5A">
            <w:pPr>
              <w:jc w:val="center"/>
              <w:rPr>
                <w:rFonts w:ascii="仿宋" w:hAnsi="仿宋" w:eastAsia="仿宋" w:cs="仿宋"/>
                <w:sz w:val="24"/>
              </w:rPr>
            </w:pPr>
            <w:r>
              <w:rPr>
                <w:rFonts w:hint="eastAsia" w:ascii="仿宋" w:hAnsi="仿宋" w:eastAsia="仿宋" w:cs="仿宋"/>
                <w:sz w:val="24"/>
              </w:rPr>
              <w:t>3.11报表分析</w:t>
            </w:r>
          </w:p>
        </w:tc>
        <w:tc>
          <w:tcPr>
            <w:tcW w:w="3827" w:type="dxa"/>
            <w:vAlign w:val="center"/>
          </w:tcPr>
          <w:p w14:paraId="0C8DF5D0">
            <w:pPr>
              <w:jc w:val="left"/>
              <w:rPr>
                <w:rFonts w:ascii="仿宋" w:hAnsi="仿宋" w:eastAsia="仿宋" w:cs="仿宋"/>
                <w:sz w:val="24"/>
              </w:rPr>
            </w:pPr>
            <w:r>
              <w:rPr>
                <w:rFonts w:hint="eastAsia" w:ascii="仿宋" w:hAnsi="仿宋" w:eastAsia="仿宋" w:cs="仿宋"/>
                <w:sz w:val="24"/>
              </w:rPr>
              <w:t>3.11.1支持所有科室/诊疗组的横向对比、纵向对比、指标完成情况等的图表界面以供分析。</w:t>
            </w:r>
          </w:p>
        </w:tc>
        <w:tc>
          <w:tcPr>
            <w:tcW w:w="1134" w:type="dxa"/>
            <w:vAlign w:val="center"/>
          </w:tcPr>
          <w:p w14:paraId="1DE1ABDD">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14BB4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405E2AD2">
            <w:pPr>
              <w:jc w:val="center"/>
              <w:rPr>
                <w:rFonts w:ascii="仿宋" w:hAnsi="仿宋" w:eastAsia="仿宋" w:cs="仿宋"/>
                <w:sz w:val="24"/>
              </w:rPr>
            </w:pPr>
          </w:p>
        </w:tc>
        <w:tc>
          <w:tcPr>
            <w:tcW w:w="1985" w:type="dxa"/>
            <w:vAlign w:val="center"/>
          </w:tcPr>
          <w:p w14:paraId="523EFC47">
            <w:pPr>
              <w:jc w:val="center"/>
              <w:rPr>
                <w:rFonts w:ascii="仿宋" w:hAnsi="仿宋" w:eastAsia="仿宋" w:cs="仿宋"/>
                <w:sz w:val="24"/>
              </w:rPr>
            </w:pPr>
            <w:r>
              <w:rPr>
                <w:rFonts w:hint="eastAsia" w:ascii="仿宋" w:hAnsi="仿宋" w:eastAsia="仿宋" w:cs="仿宋"/>
                <w:sz w:val="24"/>
              </w:rPr>
              <w:t>3.12导出打印</w:t>
            </w:r>
          </w:p>
        </w:tc>
        <w:tc>
          <w:tcPr>
            <w:tcW w:w="3827" w:type="dxa"/>
            <w:vAlign w:val="center"/>
          </w:tcPr>
          <w:p w14:paraId="15906BBC">
            <w:pPr>
              <w:jc w:val="left"/>
              <w:rPr>
                <w:rFonts w:ascii="仿宋" w:hAnsi="仿宋" w:eastAsia="仿宋" w:cs="仿宋"/>
                <w:sz w:val="24"/>
              </w:rPr>
            </w:pPr>
            <w:r>
              <w:rPr>
                <w:rFonts w:hint="eastAsia" w:ascii="仿宋" w:hAnsi="仿宋" w:eastAsia="仿宋" w:cs="仿宋"/>
                <w:sz w:val="24"/>
              </w:rPr>
              <w:t>3.12.1支持对于所有的数据与分析结果进行导出Excel和打印。</w:t>
            </w:r>
          </w:p>
        </w:tc>
        <w:tc>
          <w:tcPr>
            <w:tcW w:w="1134" w:type="dxa"/>
            <w:vAlign w:val="center"/>
          </w:tcPr>
          <w:p w14:paraId="0A34D718">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752F0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restart"/>
            <w:vAlign w:val="center"/>
          </w:tcPr>
          <w:p w14:paraId="4BE363B4">
            <w:pPr>
              <w:jc w:val="center"/>
              <w:rPr>
                <w:rFonts w:ascii="仿宋" w:hAnsi="仿宋" w:eastAsia="仿宋" w:cs="仿宋"/>
                <w:sz w:val="24"/>
              </w:rPr>
            </w:pPr>
            <w:r>
              <w:rPr>
                <w:rFonts w:hint="eastAsia" w:ascii="仿宋" w:hAnsi="仿宋" w:eastAsia="仿宋" w:cs="仿宋"/>
                <w:sz w:val="24"/>
              </w:rPr>
              <w:t>4、二次分配</w:t>
            </w:r>
          </w:p>
        </w:tc>
        <w:tc>
          <w:tcPr>
            <w:tcW w:w="1985" w:type="dxa"/>
            <w:vAlign w:val="center"/>
          </w:tcPr>
          <w:p w14:paraId="65C3C4A2">
            <w:pPr>
              <w:jc w:val="center"/>
              <w:rPr>
                <w:rFonts w:ascii="仿宋" w:hAnsi="仿宋" w:eastAsia="仿宋" w:cs="仿宋"/>
                <w:sz w:val="24"/>
              </w:rPr>
            </w:pPr>
            <w:r>
              <w:rPr>
                <w:rFonts w:hint="eastAsia" w:ascii="仿宋" w:hAnsi="仿宋" w:eastAsia="仿宋" w:cs="仿宋"/>
                <w:sz w:val="24"/>
              </w:rPr>
              <w:t>4.1公式设置</w:t>
            </w:r>
          </w:p>
        </w:tc>
        <w:tc>
          <w:tcPr>
            <w:tcW w:w="3827" w:type="dxa"/>
            <w:vAlign w:val="center"/>
          </w:tcPr>
          <w:p w14:paraId="5C800924">
            <w:pPr>
              <w:jc w:val="left"/>
              <w:rPr>
                <w:rFonts w:ascii="仿宋" w:hAnsi="仿宋" w:eastAsia="仿宋" w:cs="仿宋"/>
                <w:sz w:val="24"/>
              </w:rPr>
            </w:pPr>
            <w:r>
              <w:rPr>
                <w:rFonts w:hint="eastAsia" w:ascii="仿宋" w:hAnsi="仿宋" w:eastAsia="仿宋" w:cs="仿宋"/>
                <w:sz w:val="24"/>
              </w:rPr>
              <w:t>4.1.1支持为每个科室/诊疗组独立设置多维度考核项。</w:t>
            </w:r>
          </w:p>
          <w:p w14:paraId="1F50CFAB">
            <w:pPr>
              <w:jc w:val="left"/>
              <w:rPr>
                <w:rFonts w:ascii="仿宋" w:hAnsi="仿宋" w:eastAsia="仿宋" w:cs="仿宋"/>
                <w:sz w:val="24"/>
              </w:rPr>
            </w:pPr>
            <w:r>
              <w:rPr>
                <w:rFonts w:hint="eastAsia" w:ascii="仿宋" w:hAnsi="仿宋" w:eastAsia="仿宋" w:cs="仿宋"/>
                <w:sz w:val="24"/>
              </w:rPr>
              <w:t>4.1.2每个考核项都支持设置调用核定值、其他指标等参数的复杂公式，公式包括区间以及细则运算，用户可以直接在界面上调整公式，无需修改程序。</w:t>
            </w:r>
          </w:p>
        </w:tc>
        <w:tc>
          <w:tcPr>
            <w:tcW w:w="1134" w:type="dxa"/>
            <w:vAlign w:val="center"/>
          </w:tcPr>
          <w:p w14:paraId="183A4487">
            <w:pPr>
              <w:pStyle w:val="47"/>
              <w:rPr>
                <w:rFonts w:ascii="仿宋" w:hAnsi="仿宋" w:eastAsia="仿宋" w:cs="仿宋"/>
                <w:color w:val="auto"/>
              </w:rPr>
            </w:pPr>
            <w:r>
              <w:rPr>
                <w:rFonts w:hint="eastAsia" w:ascii="仿宋" w:hAnsi="仿宋" w:eastAsia="仿宋" w:cs="仿宋"/>
                <w:b/>
                <w:bCs/>
                <w:color w:val="auto"/>
                <w:kern w:val="2"/>
                <w:sz w:val="24"/>
                <w:szCs w:val="24"/>
              </w:rPr>
              <w:t>提供</w:t>
            </w:r>
            <w:r>
              <w:rPr>
                <w:rFonts w:hint="eastAsia" w:ascii="仿宋" w:hAnsi="仿宋" w:eastAsia="仿宋" w:cs="仿宋"/>
                <w:b/>
                <w:bCs/>
                <w:color w:val="auto"/>
                <w:kern w:val="2"/>
                <w:sz w:val="24"/>
                <w:szCs w:val="24"/>
                <w:lang w:val="en-US" w:eastAsia="zh-CN"/>
              </w:rPr>
              <w:t>前后具有关联连续性的</w:t>
            </w:r>
            <w:r>
              <w:rPr>
                <w:rFonts w:hint="eastAsia" w:ascii="仿宋" w:hAnsi="仿宋" w:eastAsia="仿宋" w:cs="仿宋"/>
                <w:b/>
                <w:bCs/>
                <w:color w:val="auto"/>
                <w:kern w:val="2"/>
                <w:sz w:val="24"/>
                <w:szCs w:val="24"/>
              </w:rPr>
              <w:t>程序截图并加盖公章</w:t>
            </w:r>
          </w:p>
        </w:tc>
      </w:tr>
      <w:tr w14:paraId="44671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6265BE09">
            <w:pPr>
              <w:jc w:val="center"/>
              <w:rPr>
                <w:rFonts w:ascii="仿宋" w:hAnsi="仿宋" w:eastAsia="仿宋" w:cs="仿宋"/>
                <w:sz w:val="24"/>
              </w:rPr>
            </w:pPr>
          </w:p>
        </w:tc>
        <w:tc>
          <w:tcPr>
            <w:tcW w:w="1985" w:type="dxa"/>
            <w:vAlign w:val="center"/>
          </w:tcPr>
          <w:p w14:paraId="587FBF20">
            <w:pPr>
              <w:jc w:val="center"/>
              <w:rPr>
                <w:rFonts w:ascii="仿宋" w:hAnsi="仿宋" w:eastAsia="仿宋" w:cs="仿宋"/>
                <w:sz w:val="24"/>
              </w:rPr>
            </w:pPr>
            <w:r>
              <w:rPr>
                <w:rFonts w:hint="eastAsia" w:ascii="仿宋" w:hAnsi="仿宋" w:eastAsia="仿宋" w:cs="仿宋"/>
                <w:sz w:val="24"/>
              </w:rPr>
              <w:t>4.2考核设置</w:t>
            </w:r>
          </w:p>
        </w:tc>
        <w:tc>
          <w:tcPr>
            <w:tcW w:w="3827" w:type="dxa"/>
            <w:vAlign w:val="center"/>
          </w:tcPr>
          <w:p w14:paraId="2F13F109">
            <w:pPr>
              <w:jc w:val="left"/>
              <w:rPr>
                <w:rFonts w:ascii="仿宋" w:hAnsi="仿宋" w:eastAsia="仿宋" w:cs="仿宋"/>
                <w:sz w:val="24"/>
              </w:rPr>
            </w:pPr>
            <w:r>
              <w:rPr>
                <w:rFonts w:hint="eastAsia" w:ascii="仿宋" w:hAnsi="仿宋" w:eastAsia="仿宋" w:cs="仿宋"/>
                <w:sz w:val="24"/>
              </w:rPr>
              <w:t>4.2.1支持为每个科室/诊疗组配置独立配置考核设置.</w:t>
            </w:r>
          </w:p>
          <w:p w14:paraId="15E8433B">
            <w:pPr>
              <w:jc w:val="left"/>
              <w:rPr>
                <w:rFonts w:ascii="仿宋" w:hAnsi="仿宋" w:eastAsia="仿宋" w:cs="仿宋"/>
                <w:sz w:val="24"/>
              </w:rPr>
            </w:pPr>
            <w:r>
              <w:rPr>
                <w:rFonts w:hint="eastAsia" w:ascii="仿宋" w:hAnsi="仿宋" w:eastAsia="仿宋" w:cs="仿宋"/>
                <w:sz w:val="24"/>
              </w:rPr>
              <w:t>4.2.2支持根据实际情况设置医疗组，支持医疗组内的三次分配。</w:t>
            </w:r>
          </w:p>
          <w:p w14:paraId="3609D237">
            <w:pPr>
              <w:jc w:val="left"/>
              <w:rPr>
                <w:rFonts w:ascii="仿宋" w:hAnsi="仿宋" w:eastAsia="仿宋" w:cs="仿宋"/>
                <w:sz w:val="24"/>
              </w:rPr>
            </w:pPr>
            <w:r>
              <w:rPr>
                <w:rFonts w:hint="eastAsia" w:ascii="仿宋" w:hAnsi="仿宋" w:eastAsia="仿宋" w:cs="仿宋"/>
                <w:sz w:val="24"/>
              </w:rPr>
              <w:t>4.2.3支持为每名员工设置岗位、职称及其对应的系数。</w:t>
            </w:r>
          </w:p>
          <w:p w14:paraId="5EC31235">
            <w:pPr>
              <w:jc w:val="left"/>
              <w:rPr>
                <w:rFonts w:ascii="仿宋" w:hAnsi="仿宋" w:eastAsia="仿宋" w:cs="仿宋"/>
                <w:sz w:val="24"/>
              </w:rPr>
            </w:pPr>
            <w:r>
              <w:rPr>
                <w:rFonts w:hint="eastAsia" w:ascii="仿宋" w:hAnsi="仿宋" w:eastAsia="仿宋" w:cs="仿宋"/>
                <w:sz w:val="24"/>
              </w:rPr>
              <w:t>4.2.4支持设置每名员工的绩效保底。</w:t>
            </w:r>
          </w:p>
          <w:p w14:paraId="43DE530C">
            <w:pPr>
              <w:jc w:val="left"/>
              <w:rPr>
                <w:rFonts w:ascii="仿宋" w:hAnsi="仿宋" w:eastAsia="仿宋" w:cs="仿宋"/>
                <w:sz w:val="24"/>
              </w:rPr>
            </w:pPr>
            <w:r>
              <w:rPr>
                <w:rFonts w:hint="eastAsia" w:ascii="仿宋" w:hAnsi="仿宋" w:eastAsia="仿宋" w:cs="仿宋"/>
                <w:sz w:val="24"/>
              </w:rPr>
              <w:t>4.2.5支持配置岗位绩效、职称绩效、工作绩效等所占的比例。</w:t>
            </w:r>
          </w:p>
        </w:tc>
        <w:tc>
          <w:tcPr>
            <w:tcW w:w="1134" w:type="dxa"/>
            <w:vAlign w:val="center"/>
          </w:tcPr>
          <w:p w14:paraId="5A546C6F">
            <w:pPr>
              <w:pStyle w:val="47"/>
              <w:rPr>
                <w:rFonts w:ascii="仿宋" w:hAnsi="仿宋" w:eastAsia="仿宋" w:cs="仿宋"/>
                <w:color w:val="auto"/>
              </w:rPr>
            </w:pPr>
            <w:r>
              <w:rPr>
                <w:rFonts w:hint="eastAsia" w:ascii="仿宋" w:hAnsi="仿宋" w:eastAsia="仿宋" w:cs="仿宋"/>
                <w:b/>
                <w:bCs/>
                <w:color w:val="auto"/>
                <w:kern w:val="2"/>
                <w:sz w:val="24"/>
                <w:szCs w:val="24"/>
              </w:rPr>
              <w:t>提供</w:t>
            </w:r>
            <w:r>
              <w:rPr>
                <w:rFonts w:hint="eastAsia" w:ascii="仿宋" w:hAnsi="仿宋" w:eastAsia="仿宋" w:cs="仿宋"/>
                <w:b/>
                <w:bCs/>
                <w:color w:val="auto"/>
                <w:kern w:val="2"/>
                <w:sz w:val="24"/>
                <w:szCs w:val="24"/>
                <w:lang w:val="en-US" w:eastAsia="zh-CN"/>
              </w:rPr>
              <w:t>前后具有关联连续性的</w:t>
            </w:r>
            <w:r>
              <w:rPr>
                <w:rFonts w:hint="eastAsia" w:ascii="仿宋" w:hAnsi="仿宋" w:eastAsia="仿宋" w:cs="仿宋"/>
                <w:b/>
                <w:bCs/>
                <w:color w:val="auto"/>
                <w:kern w:val="2"/>
                <w:sz w:val="24"/>
                <w:szCs w:val="24"/>
              </w:rPr>
              <w:t>程序截图并加盖公章</w:t>
            </w:r>
          </w:p>
        </w:tc>
      </w:tr>
      <w:tr w14:paraId="203D8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7537800E">
            <w:pPr>
              <w:jc w:val="center"/>
              <w:rPr>
                <w:rFonts w:ascii="仿宋" w:hAnsi="仿宋" w:eastAsia="仿宋" w:cs="仿宋"/>
                <w:sz w:val="24"/>
              </w:rPr>
            </w:pPr>
          </w:p>
        </w:tc>
        <w:tc>
          <w:tcPr>
            <w:tcW w:w="1985" w:type="dxa"/>
            <w:vAlign w:val="center"/>
          </w:tcPr>
          <w:p w14:paraId="58BE05AA">
            <w:pPr>
              <w:jc w:val="center"/>
              <w:rPr>
                <w:rFonts w:ascii="仿宋" w:hAnsi="仿宋" w:eastAsia="仿宋" w:cs="仿宋"/>
                <w:sz w:val="24"/>
              </w:rPr>
            </w:pPr>
            <w:r>
              <w:rPr>
                <w:rFonts w:hint="eastAsia" w:ascii="仿宋" w:hAnsi="仿宋" w:eastAsia="仿宋" w:cs="仿宋"/>
                <w:sz w:val="24"/>
              </w:rPr>
              <w:t>4.3数据更新</w:t>
            </w:r>
          </w:p>
        </w:tc>
        <w:tc>
          <w:tcPr>
            <w:tcW w:w="3827" w:type="dxa"/>
            <w:vAlign w:val="center"/>
          </w:tcPr>
          <w:p w14:paraId="6B17700B">
            <w:pPr>
              <w:jc w:val="left"/>
              <w:rPr>
                <w:rFonts w:ascii="仿宋" w:hAnsi="仿宋" w:eastAsia="仿宋" w:cs="仿宋"/>
                <w:sz w:val="24"/>
              </w:rPr>
            </w:pPr>
            <w:r>
              <w:rPr>
                <w:rFonts w:hint="eastAsia" w:ascii="仿宋" w:hAnsi="仿宋" w:eastAsia="仿宋" w:cs="仿宋"/>
                <w:sz w:val="24"/>
              </w:rPr>
              <w:t>4.3.1数据每日自动更新并自动查漏补缺。</w:t>
            </w:r>
          </w:p>
          <w:p w14:paraId="3326A3A1">
            <w:pPr>
              <w:jc w:val="left"/>
              <w:rPr>
                <w:rFonts w:ascii="仿宋" w:hAnsi="仿宋" w:eastAsia="仿宋" w:cs="仿宋"/>
                <w:sz w:val="24"/>
              </w:rPr>
            </w:pPr>
            <w:r>
              <w:rPr>
                <w:rFonts w:hint="eastAsia" w:ascii="仿宋" w:hAnsi="仿宋" w:eastAsia="仿宋" w:cs="仿宋"/>
                <w:sz w:val="24"/>
              </w:rPr>
              <w:t>4.3.2支持手动录入无法获取的数据、支持excel导入。</w:t>
            </w:r>
          </w:p>
          <w:p w14:paraId="416C0A6A">
            <w:pPr>
              <w:jc w:val="left"/>
              <w:rPr>
                <w:rFonts w:ascii="仿宋" w:hAnsi="仿宋" w:eastAsia="仿宋" w:cs="仿宋"/>
                <w:sz w:val="24"/>
              </w:rPr>
            </w:pPr>
            <w:r>
              <w:rPr>
                <w:rFonts w:hint="eastAsia" w:ascii="仿宋" w:hAnsi="仿宋" w:eastAsia="仿宋" w:cs="仿宋"/>
                <w:sz w:val="24"/>
              </w:rPr>
              <w:t>4.3.3支持手动触发重新自动更新数据以应对HIS等系统出错等情况。</w:t>
            </w:r>
          </w:p>
        </w:tc>
        <w:tc>
          <w:tcPr>
            <w:tcW w:w="1134" w:type="dxa"/>
            <w:vAlign w:val="center"/>
          </w:tcPr>
          <w:p w14:paraId="0BE3E7D9">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73364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40C114D1">
            <w:pPr>
              <w:jc w:val="center"/>
              <w:rPr>
                <w:rFonts w:ascii="仿宋" w:hAnsi="仿宋" w:eastAsia="仿宋" w:cs="仿宋"/>
                <w:sz w:val="24"/>
              </w:rPr>
            </w:pPr>
          </w:p>
        </w:tc>
        <w:tc>
          <w:tcPr>
            <w:tcW w:w="1985" w:type="dxa"/>
            <w:vAlign w:val="center"/>
          </w:tcPr>
          <w:p w14:paraId="1EA4DEC7">
            <w:pPr>
              <w:jc w:val="center"/>
              <w:rPr>
                <w:rFonts w:ascii="仿宋" w:hAnsi="仿宋" w:eastAsia="仿宋" w:cs="仿宋"/>
                <w:sz w:val="24"/>
              </w:rPr>
            </w:pPr>
            <w:r>
              <w:rPr>
                <w:rFonts w:hint="eastAsia" w:ascii="仿宋" w:hAnsi="仿宋" w:eastAsia="仿宋" w:cs="仿宋"/>
                <w:sz w:val="24"/>
              </w:rPr>
              <w:t>4.4绩效发放</w:t>
            </w:r>
          </w:p>
        </w:tc>
        <w:tc>
          <w:tcPr>
            <w:tcW w:w="3827" w:type="dxa"/>
            <w:vAlign w:val="center"/>
          </w:tcPr>
          <w:p w14:paraId="2B182988">
            <w:pPr>
              <w:jc w:val="left"/>
              <w:rPr>
                <w:rFonts w:ascii="仿宋" w:hAnsi="仿宋" w:eastAsia="仿宋" w:cs="仿宋"/>
                <w:sz w:val="24"/>
              </w:rPr>
            </w:pPr>
            <w:r>
              <w:rPr>
                <w:rFonts w:hint="eastAsia" w:ascii="仿宋" w:hAnsi="仿宋" w:eastAsia="仿宋" w:cs="仿宋"/>
                <w:sz w:val="24"/>
              </w:rPr>
              <w:t>4.4.1支持根据一次分配得到的总量一键计算每名员工的二次分配绩效。</w:t>
            </w:r>
          </w:p>
          <w:p w14:paraId="22597DFC">
            <w:pPr>
              <w:jc w:val="left"/>
              <w:rPr>
                <w:rFonts w:ascii="仿宋" w:hAnsi="仿宋" w:eastAsia="仿宋" w:cs="仿宋"/>
                <w:sz w:val="24"/>
              </w:rPr>
            </w:pPr>
            <w:r>
              <w:rPr>
                <w:rFonts w:hint="eastAsia" w:ascii="仿宋" w:hAnsi="仿宋" w:eastAsia="仿宋" w:cs="仿宋"/>
                <w:sz w:val="24"/>
              </w:rPr>
              <w:t>4.4.2支持二次分配绩效提交并汇总到财务形成闭环。</w:t>
            </w:r>
          </w:p>
          <w:p w14:paraId="40427FAB">
            <w:pPr>
              <w:jc w:val="left"/>
              <w:rPr>
                <w:rFonts w:ascii="仿宋" w:hAnsi="仿宋" w:eastAsia="仿宋" w:cs="仿宋"/>
                <w:sz w:val="24"/>
              </w:rPr>
            </w:pPr>
            <w:r>
              <w:rPr>
                <w:rFonts w:hint="eastAsia" w:ascii="仿宋" w:hAnsi="仿宋" w:eastAsia="仿宋" w:cs="仿宋"/>
                <w:sz w:val="24"/>
              </w:rPr>
              <w:t>4.4.3支持审核、驳回提交的二次分配绩效。</w:t>
            </w:r>
          </w:p>
        </w:tc>
        <w:tc>
          <w:tcPr>
            <w:tcW w:w="1134" w:type="dxa"/>
            <w:vAlign w:val="center"/>
          </w:tcPr>
          <w:p w14:paraId="28A6CA1E">
            <w:pPr>
              <w:pStyle w:val="47"/>
              <w:rPr>
                <w:rFonts w:ascii="仿宋" w:hAnsi="仿宋" w:eastAsia="仿宋" w:cs="仿宋"/>
                <w:color w:val="auto"/>
              </w:rPr>
            </w:pPr>
            <w:r>
              <w:rPr>
                <w:rFonts w:hint="eastAsia" w:ascii="仿宋" w:hAnsi="仿宋" w:eastAsia="仿宋" w:cs="仿宋"/>
                <w:b/>
                <w:bCs/>
                <w:color w:val="auto"/>
                <w:kern w:val="2"/>
                <w:sz w:val="24"/>
                <w:szCs w:val="24"/>
              </w:rPr>
              <w:t>提供</w:t>
            </w:r>
            <w:r>
              <w:rPr>
                <w:rFonts w:hint="eastAsia" w:ascii="仿宋" w:hAnsi="仿宋" w:eastAsia="仿宋" w:cs="仿宋"/>
                <w:b/>
                <w:bCs/>
                <w:color w:val="auto"/>
                <w:kern w:val="2"/>
                <w:sz w:val="24"/>
                <w:szCs w:val="24"/>
                <w:lang w:val="en-US" w:eastAsia="zh-CN"/>
              </w:rPr>
              <w:t>前后具有关联连续性的</w:t>
            </w:r>
            <w:r>
              <w:rPr>
                <w:rFonts w:hint="eastAsia" w:ascii="仿宋" w:hAnsi="仿宋" w:eastAsia="仿宋" w:cs="仿宋"/>
                <w:b/>
                <w:bCs/>
                <w:color w:val="auto"/>
                <w:kern w:val="2"/>
                <w:sz w:val="24"/>
                <w:szCs w:val="24"/>
              </w:rPr>
              <w:t>程序截图并加盖公章</w:t>
            </w:r>
          </w:p>
        </w:tc>
      </w:tr>
      <w:tr w14:paraId="6DE03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51CD292D">
            <w:pPr>
              <w:jc w:val="center"/>
              <w:rPr>
                <w:rFonts w:ascii="仿宋" w:hAnsi="仿宋" w:eastAsia="仿宋" w:cs="仿宋"/>
                <w:sz w:val="24"/>
              </w:rPr>
            </w:pPr>
          </w:p>
        </w:tc>
        <w:tc>
          <w:tcPr>
            <w:tcW w:w="1985" w:type="dxa"/>
            <w:vAlign w:val="center"/>
          </w:tcPr>
          <w:p w14:paraId="47837C9A">
            <w:pPr>
              <w:jc w:val="center"/>
              <w:rPr>
                <w:rFonts w:ascii="仿宋" w:hAnsi="仿宋" w:eastAsia="仿宋" w:cs="仿宋"/>
                <w:sz w:val="24"/>
              </w:rPr>
            </w:pPr>
            <w:r>
              <w:rPr>
                <w:rFonts w:hint="eastAsia" w:ascii="仿宋" w:hAnsi="仿宋" w:eastAsia="仿宋" w:cs="仿宋"/>
                <w:sz w:val="24"/>
              </w:rPr>
              <w:t>4.5绩效查询</w:t>
            </w:r>
          </w:p>
        </w:tc>
        <w:tc>
          <w:tcPr>
            <w:tcW w:w="3827" w:type="dxa"/>
            <w:vAlign w:val="center"/>
          </w:tcPr>
          <w:p w14:paraId="29DA22FE">
            <w:pPr>
              <w:jc w:val="left"/>
              <w:rPr>
                <w:rFonts w:ascii="仿宋" w:hAnsi="仿宋" w:eastAsia="仿宋" w:cs="仿宋"/>
                <w:sz w:val="24"/>
              </w:rPr>
            </w:pPr>
            <w:r>
              <w:rPr>
                <w:rFonts w:hint="eastAsia" w:ascii="仿宋" w:hAnsi="仿宋" w:eastAsia="仿宋" w:cs="仿宋"/>
                <w:sz w:val="24"/>
              </w:rPr>
              <w:t>4.5.1支持查询一次分配每个考核项的数据以及对应的绩效。</w:t>
            </w:r>
          </w:p>
          <w:p w14:paraId="7996A36F">
            <w:pPr>
              <w:jc w:val="left"/>
              <w:rPr>
                <w:rFonts w:ascii="仿宋" w:hAnsi="仿宋" w:eastAsia="仿宋" w:cs="仿宋"/>
                <w:sz w:val="24"/>
              </w:rPr>
            </w:pPr>
            <w:r>
              <w:rPr>
                <w:rFonts w:hint="eastAsia" w:ascii="仿宋" w:hAnsi="仿宋" w:eastAsia="仿宋" w:cs="仿宋"/>
                <w:sz w:val="24"/>
              </w:rPr>
              <w:t>4.5.2支持查询每名员工的各个维度的二次分配得分与总分。</w:t>
            </w:r>
          </w:p>
          <w:p w14:paraId="39F903C4">
            <w:pPr>
              <w:jc w:val="left"/>
              <w:rPr>
                <w:rFonts w:ascii="仿宋" w:hAnsi="仿宋" w:eastAsia="仿宋" w:cs="仿宋"/>
                <w:sz w:val="24"/>
              </w:rPr>
            </w:pPr>
            <w:r>
              <w:rPr>
                <w:rFonts w:hint="eastAsia" w:ascii="仿宋" w:hAnsi="仿宋" w:eastAsia="仿宋" w:cs="仿宋"/>
                <w:sz w:val="24"/>
              </w:rPr>
              <w:t>4.5.3支持查询每名员工每一个考核项对应的每一条具体行为，如手术的时间、项目、术者角色、手术级别等。</w:t>
            </w:r>
          </w:p>
        </w:tc>
        <w:tc>
          <w:tcPr>
            <w:tcW w:w="1134" w:type="dxa"/>
            <w:vAlign w:val="center"/>
          </w:tcPr>
          <w:p w14:paraId="57895C8B">
            <w:pPr>
              <w:pStyle w:val="47"/>
              <w:rPr>
                <w:rFonts w:ascii="仿宋" w:hAnsi="仿宋" w:eastAsia="仿宋" w:cs="仿宋"/>
                <w:color w:val="auto"/>
              </w:rPr>
            </w:pPr>
            <w:r>
              <w:rPr>
                <w:rFonts w:hint="eastAsia" w:ascii="仿宋" w:hAnsi="仿宋" w:eastAsia="仿宋" w:cs="仿宋"/>
                <w:b/>
                <w:bCs/>
                <w:color w:val="auto"/>
                <w:kern w:val="2"/>
                <w:sz w:val="24"/>
                <w:szCs w:val="24"/>
              </w:rPr>
              <w:t>提供</w:t>
            </w:r>
            <w:r>
              <w:rPr>
                <w:rFonts w:hint="eastAsia" w:ascii="仿宋" w:hAnsi="仿宋" w:eastAsia="仿宋" w:cs="仿宋"/>
                <w:b/>
                <w:bCs/>
                <w:color w:val="auto"/>
                <w:kern w:val="2"/>
                <w:sz w:val="24"/>
                <w:szCs w:val="24"/>
                <w:lang w:val="en-US" w:eastAsia="zh-CN"/>
              </w:rPr>
              <w:t>前后具有关联连续性的</w:t>
            </w:r>
            <w:r>
              <w:rPr>
                <w:rFonts w:hint="eastAsia" w:ascii="仿宋" w:hAnsi="仿宋" w:eastAsia="仿宋" w:cs="仿宋"/>
                <w:b/>
                <w:bCs/>
                <w:color w:val="auto"/>
                <w:kern w:val="2"/>
                <w:sz w:val="24"/>
                <w:szCs w:val="24"/>
              </w:rPr>
              <w:t>程序截图并加盖公章</w:t>
            </w:r>
          </w:p>
        </w:tc>
      </w:tr>
      <w:tr w14:paraId="33C84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537C75CF">
            <w:pPr>
              <w:jc w:val="center"/>
              <w:rPr>
                <w:rFonts w:ascii="仿宋" w:hAnsi="仿宋" w:eastAsia="仿宋" w:cs="仿宋"/>
                <w:sz w:val="24"/>
              </w:rPr>
            </w:pPr>
          </w:p>
        </w:tc>
        <w:tc>
          <w:tcPr>
            <w:tcW w:w="1985" w:type="dxa"/>
            <w:vAlign w:val="center"/>
          </w:tcPr>
          <w:p w14:paraId="7B6081CE">
            <w:pPr>
              <w:jc w:val="center"/>
              <w:rPr>
                <w:rFonts w:ascii="仿宋" w:hAnsi="仿宋" w:eastAsia="仿宋" w:cs="仿宋"/>
                <w:sz w:val="24"/>
              </w:rPr>
            </w:pPr>
            <w:r>
              <w:rPr>
                <w:rFonts w:hint="eastAsia" w:ascii="仿宋" w:hAnsi="仿宋" w:eastAsia="仿宋" w:cs="仿宋"/>
                <w:sz w:val="24"/>
              </w:rPr>
              <w:t>4.6绩效分析</w:t>
            </w:r>
          </w:p>
        </w:tc>
        <w:tc>
          <w:tcPr>
            <w:tcW w:w="3827" w:type="dxa"/>
            <w:vAlign w:val="center"/>
          </w:tcPr>
          <w:p w14:paraId="387334DB">
            <w:pPr>
              <w:jc w:val="left"/>
              <w:rPr>
                <w:rFonts w:ascii="仿宋" w:hAnsi="仿宋" w:eastAsia="仿宋" w:cs="仿宋"/>
                <w:sz w:val="24"/>
              </w:rPr>
            </w:pPr>
            <w:r>
              <w:rPr>
                <w:rFonts w:hint="eastAsia" w:ascii="仿宋" w:hAnsi="仿宋" w:eastAsia="仿宋" w:cs="仿宋"/>
                <w:sz w:val="24"/>
              </w:rPr>
              <w:t>4.6.1支持图表化显示每名员工各个维度的得分以及纵向比较。</w:t>
            </w:r>
          </w:p>
          <w:p w14:paraId="44CB8D8B">
            <w:pPr>
              <w:jc w:val="left"/>
              <w:rPr>
                <w:rFonts w:ascii="仿宋" w:hAnsi="仿宋" w:eastAsia="仿宋" w:cs="仿宋"/>
                <w:sz w:val="24"/>
              </w:rPr>
            </w:pPr>
            <w:r>
              <w:rPr>
                <w:rFonts w:hint="eastAsia" w:ascii="仿宋" w:hAnsi="仿宋" w:eastAsia="仿宋" w:cs="仿宋"/>
                <w:sz w:val="24"/>
              </w:rPr>
              <w:t>4.6.2支持对每名员工各个维度以及每个考核项进行日评价。</w:t>
            </w:r>
          </w:p>
          <w:p w14:paraId="08807961">
            <w:pPr>
              <w:jc w:val="left"/>
              <w:rPr>
                <w:rFonts w:ascii="仿宋" w:hAnsi="仿宋" w:eastAsia="仿宋" w:cs="仿宋"/>
                <w:sz w:val="24"/>
              </w:rPr>
            </w:pPr>
            <w:r>
              <w:rPr>
                <w:rFonts w:hint="eastAsia" w:ascii="仿宋" w:hAnsi="仿宋" w:eastAsia="仿宋" w:cs="仿宋"/>
                <w:sz w:val="24"/>
              </w:rPr>
              <w:t>4.6.3支持对考核单元内的所有员工进行纵向横向等全方位的图表分析。</w:t>
            </w:r>
          </w:p>
        </w:tc>
        <w:tc>
          <w:tcPr>
            <w:tcW w:w="1134" w:type="dxa"/>
            <w:vAlign w:val="center"/>
          </w:tcPr>
          <w:p w14:paraId="2D87F757">
            <w:pPr>
              <w:pStyle w:val="47"/>
              <w:rPr>
                <w:rFonts w:ascii="仿宋" w:hAnsi="仿宋" w:eastAsia="仿宋" w:cs="仿宋"/>
                <w:color w:val="auto"/>
              </w:rPr>
            </w:pPr>
            <w:r>
              <w:rPr>
                <w:rFonts w:hint="eastAsia" w:ascii="仿宋" w:hAnsi="仿宋" w:eastAsia="仿宋" w:cs="仿宋"/>
                <w:b/>
                <w:bCs/>
                <w:color w:val="auto"/>
                <w:kern w:val="2"/>
                <w:sz w:val="24"/>
                <w:szCs w:val="24"/>
              </w:rPr>
              <w:t>提供</w:t>
            </w:r>
            <w:r>
              <w:rPr>
                <w:rFonts w:hint="eastAsia" w:ascii="仿宋" w:hAnsi="仿宋" w:eastAsia="仿宋" w:cs="仿宋"/>
                <w:b/>
                <w:bCs/>
                <w:color w:val="auto"/>
                <w:kern w:val="2"/>
                <w:sz w:val="24"/>
                <w:szCs w:val="24"/>
                <w:lang w:val="en-US" w:eastAsia="zh-CN"/>
              </w:rPr>
              <w:t>前后具有关联连续性的</w:t>
            </w:r>
            <w:r>
              <w:rPr>
                <w:rFonts w:hint="eastAsia" w:ascii="仿宋" w:hAnsi="仿宋" w:eastAsia="仿宋" w:cs="仿宋"/>
                <w:b/>
                <w:bCs/>
                <w:color w:val="auto"/>
                <w:kern w:val="2"/>
                <w:sz w:val="24"/>
                <w:szCs w:val="24"/>
              </w:rPr>
              <w:t>程序截图并加盖公章</w:t>
            </w:r>
          </w:p>
        </w:tc>
      </w:tr>
      <w:tr w14:paraId="66064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299EFE6C">
            <w:pPr>
              <w:jc w:val="center"/>
              <w:rPr>
                <w:rFonts w:ascii="仿宋" w:hAnsi="仿宋" w:eastAsia="仿宋" w:cs="仿宋"/>
                <w:sz w:val="24"/>
              </w:rPr>
            </w:pPr>
          </w:p>
        </w:tc>
        <w:tc>
          <w:tcPr>
            <w:tcW w:w="1985" w:type="dxa"/>
            <w:vAlign w:val="center"/>
          </w:tcPr>
          <w:p w14:paraId="2E1D9853">
            <w:pPr>
              <w:jc w:val="center"/>
              <w:rPr>
                <w:rFonts w:ascii="仿宋" w:hAnsi="仿宋" w:eastAsia="仿宋" w:cs="仿宋"/>
                <w:sz w:val="24"/>
              </w:rPr>
            </w:pPr>
            <w:r>
              <w:rPr>
                <w:rFonts w:hint="eastAsia" w:ascii="仿宋" w:hAnsi="仿宋" w:eastAsia="仿宋" w:cs="仿宋"/>
                <w:sz w:val="24"/>
              </w:rPr>
              <w:t>4.7二次分配</w:t>
            </w:r>
          </w:p>
          <w:p w14:paraId="2DA6CCE9">
            <w:pPr>
              <w:jc w:val="center"/>
              <w:rPr>
                <w:rFonts w:ascii="仿宋" w:hAnsi="仿宋" w:eastAsia="仿宋" w:cs="仿宋"/>
                <w:sz w:val="24"/>
              </w:rPr>
            </w:pPr>
            <w:r>
              <w:rPr>
                <w:rFonts w:hint="eastAsia" w:ascii="仿宋" w:hAnsi="仿宋" w:eastAsia="仿宋" w:cs="仿宋"/>
                <w:sz w:val="24"/>
              </w:rPr>
              <w:t>监控</w:t>
            </w:r>
          </w:p>
        </w:tc>
        <w:tc>
          <w:tcPr>
            <w:tcW w:w="3827" w:type="dxa"/>
            <w:vAlign w:val="center"/>
          </w:tcPr>
          <w:p w14:paraId="07AA2E7A">
            <w:pPr>
              <w:jc w:val="left"/>
              <w:rPr>
                <w:rFonts w:ascii="仿宋" w:hAnsi="仿宋" w:eastAsia="仿宋" w:cs="仿宋"/>
                <w:sz w:val="24"/>
              </w:rPr>
            </w:pPr>
            <w:r>
              <w:rPr>
                <w:rFonts w:hint="eastAsia" w:ascii="仿宋" w:hAnsi="仿宋" w:eastAsia="仿宋" w:cs="仿宋"/>
                <w:sz w:val="24"/>
              </w:rPr>
              <w:t>4.7.1支持管理员实时查看各考核单元二次分配的完成情况。</w:t>
            </w:r>
          </w:p>
        </w:tc>
        <w:tc>
          <w:tcPr>
            <w:tcW w:w="1134" w:type="dxa"/>
            <w:vAlign w:val="center"/>
          </w:tcPr>
          <w:p w14:paraId="07B5FB8E">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5AE95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09396D52">
            <w:pPr>
              <w:jc w:val="center"/>
              <w:rPr>
                <w:rFonts w:ascii="仿宋" w:hAnsi="仿宋" w:eastAsia="仿宋" w:cs="仿宋"/>
                <w:sz w:val="24"/>
              </w:rPr>
            </w:pPr>
          </w:p>
        </w:tc>
        <w:tc>
          <w:tcPr>
            <w:tcW w:w="1985" w:type="dxa"/>
            <w:vAlign w:val="center"/>
          </w:tcPr>
          <w:p w14:paraId="07C969B2">
            <w:pPr>
              <w:jc w:val="center"/>
              <w:rPr>
                <w:rFonts w:ascii="仿宋" w:hAnsi="仿宋" w:eastAsia="仿宋" w:cs="仿宋"/>
                <w:sz w:val="24"/>
              </w:rPr>
            </w:pPr>
            <w:r>
              <w:rPr>
                <w:rFonts w:hint="eastAsia" w:ascii="仿宋" w:hAnsi="仿宋" w:eastAsia="仿宋" w:cs="仿宋"/>
                <w:sz w:val="24"/>
              </w:rPr>
              <w:t>4.8导出打印</w:t>
            </w:r>
          </w:p>
        </w:tc>
        <w:tc>
          <w:tcPr>
            <w:tcW w:w="3827" w:type="dxa"/>
            <w:vAlign w:val="center"/>
          </w:tcPr>
          <w:p w14:paraId="4CC479A0">
            <w:pPr>
              <w:jc w:val="left"/>
              <w:rPr>
                <w:rFonts w:ascii="仿宋" w:hAnsi="仿宋" w:eastAsia="仿宋" w:cs="仿宋"/>
                <w:sz w:val="24"/>
              </w:rPr>
            </w:pPr>
            <w:r>
              <w:rPr>
                <w:rFonts w:hint="eastAsia" w:ascii="仿宋" w:hAnsi="仿宋" w:eastAsia="仿宋" w:cs="仿宋"/>
                <w:sz w:val="24"/>
              </w:rPr>
              <w:t>4.8.1支持对于所有的数据与分析结果进行导出Excel和打印。</w:t>
            </w:r>
          </w:p>
        </w:tc>
        <w:tc>
          <w:tcPr>
            <w:tcW w:w="1134" w:type="dxa"/>
            <w:vAlign w:val="center"/>
          </w:tcPr>
          <w:p w14:paraId="741739AF">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792C5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7D87FBC6">
            <w:pPr>
              <w:jc w:val="center"/>
              <w:rPr>
                <w:rFonts w:ascii="仿宋" w:hAnsi="仿宋" w:eastAsia="仿宋" w:cs="仿宋"/>
                <w:sz w:val="24"/>
              </w:rPr>
            </w:pPr>
          </w:p>
        </w:tc>
        <w:tc>
          <w:tcPr>
            <w:tcW w:w="1985" w:type="dxa"/>
            <w:vAlign w:val="center"/>
          </w:tcPr>
          <w:p w14:paraId="74F4F229">
            <w:pPr>
              <w:jc w:val="center"/>
              <w:rPr>
                <w:rFonts w:ascii="仿宋" w:hAnsi="仿宋" w:eastAsia="仿宋" w:cs="仿宋"/>
                <w:sz w:val="24"/>
              </w:rPr>
            </w:pPr>
            <w:r>
              <w:rPr>
                <w:rFonts w:hint="eastAsia" w:ascii="仿宋" w:hAnsi="仿宋" w:eastAsia="仿宋" w:cs="仿宋"/>
                <w:sz w:val="24"/>
              </w:rPr>
              <w:t>4.9员工查询</w:t>
            </w:r>
          </w:p>
        </w:tc>
        <w:tc>
          <w:tcPr>
            <w:tcW w:w="3827" w:type="dxa"/>
            <w:vAlign w:val="center"/>
          </w:tcPr>
          <w:p w14:paraId="4DE4E8DD">
            <w:pPr>
              <w:jc w:val="left"/>
              <w:rPr>
                <w:rFonts w:ascii="仿宋" w:hAnsi="仿宋" w:eastAsia="仿宋" w:cs="仿宋"/>
                <w:sz w:val="24"/>
              </w:rPr>
            </w:pPr>
            <w:r>
              <w:rPr>
                <w:rFonts w:hint="eastAsia" w:ascii="仿宋" w:hAnsi="仿宋" w:eastAsia="仿宋" w:cs="仿宋"/>
                <w:sz w:val="24"/>
              </w:rPr>
              <w:t>4.9.1员工可登录系统，查询自己的绩效以及相关报表。</w:t>
            </w:r>
          </w:p>
        </w:tc>
        <w:tc>
          <w:tcPr>
            <w:tcW w:w="1134" w:type="dxa"/>
            <w:vAlign w:val="center"/>
          </w:tcPr>
          <w:p w14:paraId="5672D2A0">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55A17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restart"/>
            <w:vAlign w:val="center"/>
          </w:tcPr>
          <w:p w14:paraId="6CBBD7B3">
            <w:pPr>
              <w:jc w:val="center"/>
              <w:rPr>
                <w:rFonts w:ascii="仿宋" w:hAnsi="仿宋" w:eastAsia="仿宋" w:cs="仿宋"/>
                <w:sz w:val="24"/>
              </w:rPr>
            </w:pPr>
            <w:r>
              <w:rPr>
                <w:rFonts w:hint="eastAsia" w:ascii="仿宋" w:hAnsi="仿宋" w:eastAsia="仿宋" w:cs="仿宋"/>
                <w:sz w:val="24"/>
              </w:rPr>
              <w:t>5、质量模块</w:t>
            </w:r>
          </w:p>
        </w:tc>
        <w:tc>
          <w:tcPr>
            <w:tcW w:w="1985" w:type="dxa"/>
            <w:vAlign w:val="center"/>
          </w:tcPr>
          <w:p w14:paraId="39515EE7">
            <w:pPr>
              <w:jc w:val="center"/>
              <w:rPr>
                <w:rFonts w:ascii="仿宋" w:hAnsi="仿宋" w:eastAsia="仿宋" w:cs="仿宋"/>
                <w:sz w:val="24"/>
              </w:rPr>
            </w:pPr>
            <w:r>
              <w:rPr>
                <w:rFonts w:hint="eastAsia" w:ascii="仿宋" w:hAnsi="仿宋" w:eastAsia="仿宋" w:cs="仿宋"/>
                <w:sz w:val="24"/>
              </w:rPr>
              <w:t>5.1考核字典</w:t>
            </w:r>
          </w:p>
        </w:tc>
        <w:tc>
          <w:tcPr>
            <w:tcW w:w="3827" w:type="dxa"/>
            <w:vAlign w:val="center"/>
          </w:tcPr>
          <w:p w14:paraId="739C83FF">
            <w:pPr>
              <w:jc w:val="left"/>
              <w:rPr>
                <w:rFonts w:ascii="仿宋" w:hAnsi="仿宋" w:eastAsia="仿宋" w:cs="仿宋"/>
                <w:sz w:val="24"/>
              </w:rPr>
            </w:pPr>
            <w:r>
              <w:rPr>
                <w:rFonts w:hint="eastAsia" w:ascii="仿宋" w:hAnsi="仿宋" w:eastAsia="仿宋" w:cs="仿宋"/>
                <w:sz w:val="24"/>
              </w:rPr>
              <w:t>5.1.1内置所有需要用到的质量考核内容，支持增删改查。</w:t>
            </w:r>
          </w:p>
          <w:p w14:paraId="6BC34A1B">
            <w:pPr>
              <w:jc w:val="left"/>
              <w:rPr>
                <w:rFonts w:ascii="仿宋" w:hAnsi="仿宋" w:eastAsia="仿宋" w:cs="仿宋"/>
                <w:sz w:val="24"/>
              </w:rPr>
            </w:pPr>
            <w:r>
              <w:rPr>
                <w:rFonts w:hint="eastAsia" w:ascii="仿宋" w:hAnsi="仿宋" w:eastAsia="仿宋" w:cs="仿宋"/>
                <w:sz w:val="24"/>
              </w:rPr>
              <w:t>5.1.2可以设置月度、季度、年度考核。</w:t>
            </w:r>
          </w:p>
        </w:tc>
        <w:tc>
          <w:tcPr>
            <w:tcW w:w="1134" w:type="dxa"/>
            <w:vAlign w:val="center"/>
          </w:tcPr>
          <w:p w14:paraId="68EEC292">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07CD5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6EBE3D85">
            <w:pPr>
              <w:jc w:val="center"/>
              <w:rPr>
                <w:rFonts w:ascii="仿宋" w:hAnsi="仿宋" w:eastAsia="仿宋" w:cs="仿宋"/>
                <w:sz w:val="24"/>
              </w:rPr>
            </w:pPr>
          </w:p>
        </w:tc>
        <w:tc>
          <w:tcPr>
            <w:tcW w:w="1985" w:type="dxa"/>
            <w:vAlign w:val="center"/>
          </w:tcPr>
          <w:p w14:paraId="3FD69F01">
            <w:pPr>
              <w:jc w:val="center"/>
              <w:rPr>
                <w:rFonts w:ascii="仿宋" w:hAnsi="仿宋" w:eastAsia="仿宋" w:cs="仿宋"/>
                <w:sz w:val="24"/>
              </w:rPr>
            </w:pPr>
            <w:r>
              <w:rPr>
                <w:rFonts w:hint="eastAsia" w:ascii="仿宋" w:hAnsi="仿宋" w:eastAsia="仿宋" w:cs="仿宋"/>
                <w:sz w:val="24"/>
              </w:rPr>
              <w:t>5.2计划设置</w:t>
            </w:r>
          </w:p>
        </w:tc>
        <w:tc>
          <w:tcPr>
            <w:tcW w:w="3827" w:type="dxa"/>
            <w:vAlign w:val="center"/>
          </w:tcPr>
          <w:p w14:paraId="6D52C430">
            <w:pPr>
              <w:jc w:val="left"/>
              <w:rPr>
                <w:rFonts w:ascii="仿宋" w:hAnsi="仿宋" w:eastAsia="仿宋" w:cs="仿宋"/>
                <w:sz w:val="24"/>
              </w:rPr>
            </w:pPr>
            <w:r>
              <w:rPr>
                <w:rFonts w:hint="eastAsia" w:ascii="仿宋" w:hAnsi="仿宋" w:eastAsia="仿宋" w:cs="仿宋"/>
                <w:sz w:val="24"/>
              </w:rPr>
              <w:t>5.2.1各职能部门可设置选择每月对业务部门以及其他部门的考核内容。</w:t>
            </w:r>
          </w:p>
        </w:tc>
        <w:tc>
          <w:tcPr>
            <w:tcW w:w="1134" w:type="dxa"/>
            <w:vAlign w:val="center"/>
          </w:tcPr>
          <w:p w14:paraId="0E0BF5E6">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34791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1781ED6F">
            <w:pPr>
              <w:jc w:val="center"/>
              <w:rPr>
                <w:rFonts w:ascii="仿宋" w:hAnsi="仿宋" w:eastAsia="仿宋" w:cs="仿宋"/>
                <w:sz w:val="24"/>
              </w:rPr>
            </w:pPr>
          </w:p>
        </w:tc>
        <w:tc>
          <w:tcPr>
            <w:tcW w:w="1985" w:type="dxa"/>
            <w:vAlign w:val="center"/>
          </w:tcPr>
          <w:p w14:paraId="379DCB1C">
            <w:pPr>
              <w:jc w:val="center"/>
              <w:rPr>
                <w:rFonts w:ascii="仿宋" w:hAnsi="仿宋" w:eastAsia="仿宋" w:cs="仿宋"/>
                <w:sz w:val="24"/>
              </w:rPr>
            </w:pPr>
            <w:r>
              <w:rPr>
                <w:rFonts w:hint="eastAsia" w:ascii="仿宋" w:hAnsi="仿宋" w:eastAsia="仿宋" w:cs="仿宋"/>
                <w:sz w:val="24"/>
              </w:rPr>
              <w:t>5.3质量考核</w:t>
            </w:r>
          </w:p>
        </w:tc>
        <w:tc>
          <w:tcPr>
            <w:tcW w:w="3827" w:type="dxa"/>
            <w:vAlign w:val="center"/>
          </w:tcPr>
          <w:p w14:paraId="564AEA0F">
            <w:pPr>
              <w:jc w:val="left"/>
              <w:rPr>
                <w:rFonts w:ascii="仿宋" w:hAnsi="仿宋" w:eastAsia="仿宋" w:cs="仿宋"/>
                <w:sz w:val="24"/>
              </w:rPr>
            </w:pPr>
            <w:r>
              <w:rPr>
                <w:rFonts w:hint="eastAsia" w:ascii="仿宋" w:hAnsi="仿宋" w:eastAsia="仿宋" w:cs="仿宋"/>
                <w:sz w:val="24"/>
              </w:rPr>
              <w:t>5.3.1职能部门对各目标进行自动与手动的考核。</w:t>
            </w:r>
          </w:p>
          <w:p w14:paraId="462C7CDF">
            <w:pPr>
              <w:jc w:val="left"/>
              <w:rPr>
                <w:rFonts w:ascii="仿宋" w:hAnsi="仿宋" w:eastAsia="仿宋" w:cs="仿宋"/>
                <w:sz w:val="24"/>
              </w:rPr>
            </w:pPr>
            <w:r>
              <w:rPr>
                <w:rFonts w:hint="eastAsia" w:ascii="仿宋" w:hAnsi="仿宋" w:eastAsia="仿宋" w:cs="仿宋"/>
                <w:sz w:val="24"/>
              </w:rPr>
              <w:t>5.3.2支持质管办或管理员对提交的考核进行通过与驳回的审核。5.3.3支持实时查看考核进度。</w:t>
            </w:r>
          </w:p>
        </w:tc>
        <w:tc>
          <w:tcPr>
            <w:tcW w:w="1134" w:type="dxa"/>
            <w:vAlign w:val="center"/>
          </w:tcPr>
          <w:p w14:paraId="069CB628">
            <w:pPr>
              <w:pStyle w:val="47"/>
              <w:rPr>
                <w:rFonts w:ascii="仿宋" w:hAnsi="仿宋" w:eastAsia="仿宋" w:cs="仿宋"/>
                <w:color w:val="auto"/>
              </w:rPr>
            </w:pPr>
            <w:r>
              <w:rPr>
                <w:rFonts w:hint="eastAsia" w:ascii="仿宋" w:hAnsi="仿宋" w:eastAsia="仿宋" w:cs="仿宋"/>
                <w:b/>
                <w:bCs/>
                <w:color w:val="auto"/>
                <w:kern w:val="2"/>
                <w:sz w:val="24"/>
                <w:szCs w:val="24"/>
              </w:rPr>
              <w:t>提供</w:t>
            </w:r>
            <w:r>
              <w:rPr>
                <w:rFonts w:hint="eastAsia" w:ascii="仿宋" w:hAnsi="仿宋" w:eastAsia="仿宋" w:cs="仿宋"/>
                <w:b/>
                <w:bCs/>
                <w:color w:val="auto"/>
                <w:kern w:val="2"/>
                <w:sz w:val="24"/>
                <w:szCs w:val="24"/>
                <w:lang w:val="en-US" w:eastAsia="zh-CN"/>
              </w:rPr>
              <w:t>前后具有关联连续性的</w:t>
            </w:r>
            <w:r>
              <w:rPr>
                <w:rFonts w:hint="eastAsia" w:ascii="仿宋" w:hAnsi="仿宋" w:eastAsia="仿宋" w:cs="仿宋"/>
                <w:b/>
                <w:bCs/>
                <w:color w:val="auto"/>
                <w:kern w:val="2"/>
                <w:sz w:val="24"/>
                <w:szCs w:val="24"/>
              </w:rPr>
              <w:t>程序截图并加盖公章</w:t>
            </w:r>
          </w:p>
        </w:tc>
      </w:tr>
      <w:tr w14:paraId="74E77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4ACDE460">
            <w:pPr>
              <w:jc w:val="center"/>
              <w:rPr>
                <w:rFonts w:ascii="仿宋" w:hAnsi="仿宋" w:eastAsia="仿宋" w:cs="仿宋"/>
                <w:sz w:val="24"/>
              </w:rPr>
            </w:pPr>
          </w:p>
        </w:tc>
        <w:tc>
          <w:tcPr>
            <w:tcW w:w="1985" w:type="dxa"/>
            <w:vAlign w:val="center"/>
          </w:tcPr>
          <w:p w14:paraId="693C37E8">
            <w:pPr>
              <w:jc w:val="center"/>
              <w:rPr>
                <w:rFonts w:ascii="仿宋" w:hAnsi="仿宋" w:eastAsia="仿宋" w:cs="仿宋"/>
                <w:sz w:val="24"/>
              </w:rPr>
            </w:pPr>
            <w:r>
              <w:rPr>
                <w:rFonts w:hint="eastAsia" w:ascii="仿宋" w:hAnsi="仿宋" w:eastAsia="仿宋" w:cs="仿宋"/>
                <w:sz w:val="24"/>
              </w:rPr>
              <w:t>5.4考核结果</w:t>
            </w:r>
          </w:p>
        </w:tc>
        <w:tc>
          <w:tcPr>
            <w:tcW w:w="3827" w:type="dxa"/>
            <w:vAlign w:val="center"/>
          </w:tcPr>
          <w:p w14:paraId="220DB897">
            <w:pPr>
              <w:jc w:val="left"/>
              <w:rPr>
                <w:rFonts w:ascii="仿宋" w:hAnsi="仿宋" w:eastAsia="仿宋" w:cs="仿宋"/>
                <w:sz w:val="24"/>
              </w:rPr>
            </w:pPr>
            <w:r>
              <w:rPr>
                <w:rFonts w:hint="eastAsia" w:ascii="仿宋" w:hAnsi="仿宋" w:eastAsia="仿宋" w:cs="仿宋"/>
                <w:sz w:val="24"/>
              </w:rPr>
              <w:t>5.4.1质量考核结果查看界面。</w:t>
            </w:r>
          </w:p>
          <w:p w14:paraId="6AE0735E">
            <w:pPr>
              <w:jc w:val="left"/>
              <w:rPr>
                <w:rFonts w:ascii="仿宋" w:hAnsi="仿宋" w:eastAsia="仿宋" w:cs="仿宋"/>
                <w:sz w:val="24"/>
              </w:rPr>
            </w:pPr>
            <w:r>
              <w:rPr>
                <w:rFonts w:hint="eastAsia" w:ascii="仿宋" w:hAnsi="仿宋" w:eastAsia="仿宋" w:cs="仿宋"/>
                <w:sz w:val="24"/>
              </w:rPr>
              <w:t>5.4.2支持质量考核结果提交给绩效模块。</w:t>
            </w:r>
          </w:p>
        </w:tc>
        <w:tc>
          <w:tcPr>
            <w:tcW w:w="1134" w:type="dxa"/>
            <w:vAlign w:val="center"/>
          </w:tcPr>
          <w:p w14:paraId="0F17A962">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58D7A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Merge w:val="continue"/>
            <w:vAlign w:val="center"/>
          </w:tcPr>
          <w:p w14:paraId="4412F8BD">
            <w:pPr>
              <w:jc w:val="center"/>
              <w:rPr>
                <w:rFonts w:ascii="仿宋" w:hAnsi="仿宋" w:eastAsia="仿宋" w:cs="仿宋"/>
                <w:sz w:val="24"/>
              </w:rPr>
            </w:pPr>
          </w:p>
        </w:tc>
        <w:tc>
          <w:tcPr>
            <w:tcW w:w="1985" w:type="dxa"/>
            <w:vAlign w:val="center"/>
          </w:tcPr>
          <w:p w14:paraId="6CAA6668">
            <w:pPr>
              <w:jc w:val="center"/>
              <w:rPr>
                <w:rFonts w:ascii="仿宋" w:hAnsi="仿宋" w:eastAsia="仿宋" w:cs="仿宋"/>
                <w:sz w:val="24"/>
              </w:rPr>
            </w:pPr>
            <w:r>
              <w:rPr>
                <w:rFonts w:hint="eastAsia" w:ascii="仿宋" w:hAnsi="仿宋" w:eastAsia="仿宋" w:cs="仿宋"/>
                <w:sz w:val="24"/>
              </w:rPr>
              <w:t>5.5考核监控</w:t>
            </w:r>
          </w:p>
        </w:tc>
        <w:tc>
          <w:tcPr>
            <w:tcW w:w="3827" w:type="dxa"/>
            <w:vAlign w:val="center"/>
          </w:tcPr>
          <w:p w14:paraId="639D7C02">
            <w:pPr>
              <w:jc w:val="left"/>
              <w:rPr>
                <w:rFonts w:ascii="仿宋" w:hAnsi="仿宋" w:eastAsia="仿宋" w:cs="仿宋"/>
                <w:sz w:val="24"/>
              </w:rPr>
            </w:pPr>
            <w:r>
              <w:rPr>
                <w:rFonts w:hint="eastAsia" w:ascii="仿宋" w:hAnsi="仿宋" w:eastAsia="仿宋" w:cs="仿宋"/>
                <w:sz w:val="24"/>
              </w:rPr>
              <w:t>5.5.1支持管理员实时查看各职能科室质量考核的完成情况</w:t>
            </w:r>
          </w:p>
        </w:tc>
        <w:tc>
          <w:tcPr>
            <w:tcW w:w="1134" w:type="dxa"/>
            <w:vAlign w:val="center"/>
          </w:tcPr>
          <w:p w14:paraId="031EE22E">
            <w:pPr>
              <w:pStyle w:val="47"/>
              <w:rPr>
                <w:rFonts w:ascii="仿宋" w:hAnsi="仿宋" w:eastAsia="仿宋" w:cs="仿宋"/>
                <w:color w:val="auto"/>
              </w:rPr>
            </w:pPr>
            <w:r>
              <w:rPr>
                <w:rFonts w:hint="eastAsia" w:ascii="仿宋" w:hAnsi="仿宋" w:eastAsia="仿宋" w:cs="仿宋"/>
                <w:color w:val="auto"/>
              </w:rPr>
              <w:t>提供程序截图并加盖公章</w:t>
            </w:r>
          </w:p>
        </w:tc>
      </w:tr>
      <w:tr w14:paraId="28247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76" w:type="dxa"/>
            <w:vAlign w:val="center"/>
          </w:tcPr>
          <w:p w14:paraId="6CEBD57E">
            <w:pPr>
              <w:jc w:val="center"/>
              <w:rPr>
                <w:rFonts w:ascii="仿宋" w:hAnsi="仿宋" w:eastAsia="仿宋" w:cs="仿宋"/>
                <w:sz w:val="24"/>
              </w:rPr>
            </w:pPr>
            <w:r>
              <w:rPr>
                <w:rFonts w:hint="eastAsia" w:ascii="仿宋" w:hAnsi="仿宋" w:eastAsia="仿宋" w:cs="仿宋"/>
                <w:sz w:val="24"/>
              </w:rPr>
              <w:t>6、二次开发</w:t>
            </w:r>
          </w:p>
        </w:tc>
        <w:tc>
          <w:tcPr>
            <w:tcW w:w="1985" w:type="dxa"/>
            <w:vAlign w:val="center"/>
          </w:tcPr>
          <w:p w14:paraId="081F817D">
            <w:pPr>
              <w:jc w:val="center"/>
              <w:rPr>
                <w:rFonts w:ascii="仿宋" w:hAnsi="仿宋" w:eastAsia="仿宋" w:cs="仿宋"/>
                <w:sz w:val="24"/>
              </w:rPr>
            </w:pPr>
            <w:r>
              <w:rPr>
                <w:rFonts w:hint="eastAsia" w:ascii="仿宋" w:hAnsi="仿宋" w:eastAsia="仿宋" w:cs="仿宋"/>
                <w:sz w:val="24"/>
              </w:rPr>
              <w:t>6.1二次开发</w:t>
            </w:r>
          </w:p>
        </w:tc>
        <w:tc>
          <w:tcPr>
            <w:tcW w:w="3827" w:type="dxa"/>
            <w:vAlign w:val="center"/>
          </w:tcPr>
          <w:p w14:paraId="31E2B878">
            <w:pPr>
              <w:jc w:val="left"/>
              <w:rPr>
                <w:rFonts w:ascii="仿宋" w:hAnsi="仿宋" w:eastAsia="仿宋" w:cs="仿宋"/>
                <w:sz w:val="24"/>
              </w:rPr>
            </w:pPr>
            <w:r>
              <w:rPr>
                <w:rFonts w:hint="eastAsia" w:ascii="仿宋" w:hAnsi="仿宋" w:eastAsia="仿宋" w:cs="仿宋"/>
                <w:sz w:val="24"/>
              </w:rPr>
              <w:t>6.1.1可根据医院需求定制相应的与绩效相关的功能。</w:t>
            </w:r>
          </w:p>
        </w:tc>
        <w:tc>
          <w:tcPr>
            <w:tcW w:w="1134" w:type="dxa"/>
            <w:vAlign w:val="center"/>
          </w:tcPr>
          <w:p w14:paraId="38865DE4">
            <w:pPr>
              <w:pStyle w:val="47"/>
              <w:rPr>
                <w:rFonts w:ascii="仿宋" w:hAnsi="仿宋" w:eastAsia="仿宋" w:cs="仿宋"/>
                <w:color w:val="auto"/>
              </w:rPr>
            </w:pPr>
            <w:r>
              <w:rPr>
                <w:rFonts w:hint="eastAsia" w:ascii="仿宋" w:hAnsi="仿宋" w:eastAsia="仿宋" w:cs="仿宋"/>
                <w:color w:val="auto"/>
              </w:rPr>
              <w:t>承诺函</w:t>
            </w:r>
          </w:p>
        </w:tc>
      </w:tr>
    </w:tbl>
    <w:p w14:paraId="5EF3CB11">
      <w:pPr>
        <w:ind w:firstLine="482" w:firstLineChars="200"/>
        <w:rPr>
          <w:rFonts w:ascii="仿宋" w:hAnsi="仿宋" w:eastAsia="仿宋" w:cs="仿宋"/>
          <w:spacing w:val="12"/>
          <w:kern w:val="0"/>
          <w:sz w:val="24"/>
          <w:lang w:bidi="zh-CN"/>
        </w:rPr>
      </w:pPr>
      <w:r>
        <w:rPr>
          <w:rFonts w:hint="eastAsia"/>
          <w:b/>
          <w:bCs/>
          <w:color w:val="FF0000"/>
          <w:sz w:val="24"/>
          <w:szCs w:val="32"/>
        </w:rPr>
        <w:t>注：上述所列参数均为实质性响应条款，如未响应，视为投标无效。</w:t>
      </w:r>
    </w:p>
    <w:p w14:paraId="056425E6">
      <w:pPr>
        <w:pStyle w:val="110"/>
        <w:keepNext/>
        <w:keepLines/>
        <w:spacing w:after="40" w:line="240" w:lineRule="auto"/>
        <w:rPr>
          <w:rFonts w:ascii="仿宋" w:hAnsi="仿宋" w:eastAsia="仿宋" w:cs="仿宋"/>
          <w:b w:val="0"/>
          <w:bCs w:val="0"/>
          <w:color w:val="auto"/>
          <w:spacing w:val="12"/>
          <w:sz w:val="24"/>
          <w:lang w:val="en-US" w:eastAsia="zh-CN" w:bidi="zh-CN"/>
        </w:rPr>
      </w:pPr>
      <w:r>
        <w:rPr>
          <w:rFonts w:hint="eastAsia" w:ascii="仿宋" w:hAnsi="仿宋" w:eastAsia="仿宋" w:cs="仿宋"/>
          <w:b w:val="0"/>
          <w:bCs w:val="0"/>
          <w:color w:val="auto"/>
          <w:spacing w:val="12"/>
          <w:sz w:val="24"/>
          <w:lang w:val="en-US" w:eastAsia="zh-CN" w:bidi="zh-CN"/>
        </w:rPr>
        <w:t>三、售后服务要求</w:t>
      </w:r>
    </w:p>
    <w:p w14:paraId="053BD7F3">
      <w:pPr>
        <w:pStyle w:val="110"/>
        <w:keepNext/>
        <w:keepLines/>
        <w:spacing w:after="200" w:line="24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rPr>
        <w:t>一</w:t>
      </w:r>
      <w:r>
        <w:rPr>
          <w:rFonts w:hint="eastAsia" w:ascii="仿宋" w:hAnsi="仿宋" w:eastAsia="仿宋" w:cs="仿宋"/>
          <w:sz w:val="24"/>
        </w:rPr>
        <w:t>）系统管理员培训</w:t>
      </w:r>
    </w:p>
    <w:p w14:paraId="7CA5DE91">
      <w:pPr>
        <w:pStyle w:val="87"/>
        <w:spacing w:line="360" w:lineRule="auto"/>
        <w:ind w:firstLine="484"/>
        <w:rPr>
          <w:rFonts w:ascii="仿宋" w:hAnsi="仿宋" w:eastAsia="仿宋" w:cs="仿宋"/>
          <w:spacing w:val="3"/>
          <w:w w:val="99"/>
          <w:kern w:val="0"/>
          <w:sz w:val="24"/>
          <w:szCs w:val="24"/>
          <w:lang w:val="zh-TW" w:eastAsia="zh-TW" w:bidi="zh-CN"/>
        </w:rPr>
      </w:pPr>
      <w:r>
        <w:rPr>
          <w:rFonts w:hint="eastAsia" w:ascii="仿宋" w:hAnsi="仿宋" w:eastAsia="仿宋" w:cs="仿宋"/>
          <w:spacing w:val="3"/>
          <w:w w:val="99"/>
          <w:kern w:val="0"/>
          <w:sz w:val="24"/>
          <w:szCs w:val="24"/>
          <w:lang w:val="zh-TW" w:eastAsia="zh-TW" w:bidi="zh-CN"/>
        </w:rPr>
        <w:t>系统试运行期间，中标人负责为院方</w:t>
      </w:r>
      <w:r>
        <w:rPr>
          <w:rFonts w:hint="eastAsia" w:ascii="仿宋" w:hAnsi="仿宋" w:eastAsia="仿宋" w:cs="仿宋"/>
          <w:color w:val="FF0000"/>
          <w:spacing w:val="3"/>
          <w:w w:val="99"/>
          <w:kern w:val="0"/>
          <w:sz w:val="24"/>
          <w:szCs w:val="24"/>
          <w:lang w:val="zh-TW" w:eastAsia="zh-TW" w:bidi="zh-CN"/>
        </w:rPr>
        <w:t>免费培训1-2名系统维护人员</w:t>
      </w:r>
      <w:r>
        <w:rPr>
          <w:rFonts w:hint="eastAsia" w:ascii="仿宋" w:hAnsi="仿宋" w:eastAsia="仿宋" w:cs="仿宋"/>
          <w:spacing w:val="3"/>
          <w:w w:val="99"/>
          <w:kern w:val="0"/>
          <w:sz w:val="24"/>
          <w:szCs w:val="24"/>
          <w:lang w:val="zh-TW" w:eastAsia="zh-TW" w:bidi="zh-CN"/>
        </w:rPr>
        <w:t>，通过培训，使维护人员能熟练规范的进行操作，对一般故障能进行处理和日常维护。</w:t>
      </w:r>
      <w:r>
        <w:rPr>
          <w:rFonts w:hint="eastAsia" w:ascii="仿宋" w:hAnsi="仿宋" w:eastAsia="仿宋" w:cs="仿宋"/>
          <w:b/>
          <w:bCs/>
          <w:color w:val="FF0000"/>
          <w:spacing w:val="3"/>
          <w:w w:val="99"/>
          <w:kern w:val="0"/>
          <w:sz w:val="24"/>
          <w:szCs w:val="24"/>
          <w:lang w:val="zh-TW" w:eastAsia="zh-TW" w:bidi="zh-CN"/>
        </w:rPr>
        <w:t>（</w:t>
      </w:r>
      <w:r>
        <w:rPr>
          <w:rFonts w:hint="eastAsia" w:ascii="仿宋" w:hAnsi="仿宋" w:eastAsia="仿宋" w:cs="仿宋"/>
          <w:b/>
          <w:bCs/>
          <w:color w:val="FF0000"/>
          <w:sz w:val="24"/>
          <w:szCs w:val="24"/>
        </w:rPr>
        <w:t>若投标文件未响应，视为无效投标</w:t>
      </w:r>
      <w:r>
        <w:rPr>
          <w:rFonts w:hint="eastAsia" w:ascii="仿宋" w:hAnsi="仿宋" w:eastAsia="仿宋" w:cs="仿宋"/>
          <w:b/>
          <w:bCs/>
          <w:color w:val="FF0000"/>
          <w:spacing w:val="3"/>
          <w:w w:val="99"/>
          <w:kern w:val="0"/>
          <w:sz w:val="24"/>
          <w:szCs w:val="24"/>
          <w:lang w:val="zh-TW" w:eastAsia="zh-TW" w:bidi="zh-CN"/>
        </w:rPr>
        <w:t>）</w:t>
      </w:r>
    </w:p>
    <w:p w14:paraId="7530D812">
      <w:pPr>
        <w:pStyle w:val="110"/>
        <w:keepNext/>
        <w:keepLines/>
        <w:spacing w:after="200" w:line="24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rPr>
        <w:t>二</w:t>
      </w:r>
      <w:r>
        <w:rPr>
          <w:rFonts w:hint="eastAsia" w:ascii="仿宋" w:hAnsi="仿宋" w:eastAsia="仿宋" w:cs="仿宋"/>
          <w:sz w:val="24"/>
        </w:rPr>
        <w:t>）远程电话咨询支持</w:t>
      </w:r>
    </w:p>
    <w:p w14:paraId="62E4214D">
      <w:pPr>
        <w:pStyle w:val="87"/>
        <w:spacing w:line="360" w:lineRule="auto"/>
        <w:ind w:firstLine="484"/>
        <w:rPr>
          <w:rFonts w:ascii="仿宋" w:hAnsi="仿宋" w:eastAsia="仿宋" w:cs="仿宋"/>
          <w:b/>
          <w:bCs/>
          <w:color w:val="FF0000"/>
          <w:spacing w:val="3"/>
          <w:w w:val="99"/>
          <w:kern w:val="0"/>
          <w:sz w:val="24"/>
          <w:szCs w:val="24"/>
          <w:lang w:val="zh-TW" w:eastAsia="zh-TW" w:bidi="zh-CN"/>
        </w:rPr>
      </w:pPr>
      <w:r>
        <w:rPr>
          <w:rFonts w:hint="eastAsia" w:ascii="仿宋" w:hAnsi="仿宋" w:eastAsia="仿宋" w:cs="仿宋"/>
          <w:color w:val="FF0000"/>
          <w:spacing w:val="3"/>
          <w:w w:val="99"/>
          <w:kern w:val="0"/>
          <w:sz w:val="24"/>
          <w:szCs w:val="24"/>
          <w:lang w:val="zh-TW" w:eastAsia="zh-TW" w:bidi="zh-CN"/>
        </w:rPr>
        <w:t>免费提供全天24小时的电话支持服务</w:t>
      </w:r>
      <w:r>
        <w:rPr>
          <w:rFonts w:hint="eastAsia" w:ascii="仿宋" w:hAnsi="仿宋" w:eastAsia="仿宋" w:cs="仿宋"/>
          <w:spacing w:val="3"/>
          <w:w w:val="99"/>
          <w:kern w:val="0"/>
          <w:sz w:val="24"/>
          <w:szCs w:val="24"/>
          <w:lang w:val="zh-TW" w:eastAsia="zh-TW" w:bidi="zh-CN"/>
        </w:rPr>
        <w:t>，解答院方在系统使用、维护过程中遇到的问题，及时提出解决问题的建议和操作方法。</w:t>
      </w:r>
      <w:r>
        <w:rPr>
          <w:rFonts w:hint="eastAsia" w:ascii="仿宋" w:hAnsi="仿宋" w:eastAsia="仿宋" w:cs="仿宋"/>
          <w:b/>
          <w:bCs/>
          <w:color w:val="FF0000"/>
          <w:spacing w:val="3"/>
          <w:w w:val="99"/>
          <w:kern w:val="0"/>
          <w:sz w:val="24"/>
          <w:szCs w:val="24"/>
          <w:lang w:val="zh-TW" w:eastAsia="zh-TW" w:bidi="zh-CN"/>
        </w:rPr>
        <w:t>（</w:t>
      </w:r>
      <w:r>
        <w:rPr>
          <w:rFonts w:hint="eastAsia" w:ascii="仿宋" w:hAnsi="仿宋" w:eastAsia="仿宋" w:cs="仿宋"/>
          <w:b/>
          <w:bCs/>
          <w:color w:val="FF0000"/>
          <w:sz w:val="24"/>
          <w:szCs w:val="24"/>
        </w:rPr>
        <w:t>若投标文件未响应，视为无效投标</w:t>
      </w:r>
      <w:r>
        <w:rPr>
          <w:rFonts w:hint="eastAsia" w:ascii="仿宋" w:hAnsi="仿宋" w:eastAsia="仿宋" w:cs="仿宋"/>
          <w:b/>
          <w:bCs/>
          <w:color w:val="FF0000"/>
          <w:spacing w:val="3"/>
          <w:w w:val="99"/>
          <w:kern w:val="0"/>
          <w:sz w:val="24"/>
          <w:szCs w:val="24"/>
          <w:lang w:val="zh-TW" w:eastAsia="zh-TW" w:bidi="zh-CN"/>
        </w:rPr>
        <w:t>）</w:t>
      </w:r>
      <w:bookmarkStart w:id="1065" w:name="_GoBack"/>
      <w:bookmarkEnd w:id="1065"/>
    </w:p>
    <w:p w14:paraId="09D68D95">
      <w:pPr>
        <w:pStyle w:val="110"/>
        <w:keepNext/>
        <w:keepLines/>
        <w:spacing w:after="200" w:line="24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rPr>
        <w:t>三</w:t>
      </w:r>
      <w:r>
        <w:rPr>
          <w:rFonts w:hint="eastAsia" w:ascii="仿宋" w:hAnsi="仿宋" w:eastAsia="仿宋" w:cs="仿宋"/>
          <w:sz w:val="24"/>
        </w:rPr>
        <w:t>）远程在线诊断和故障排除</w:t>
      </w:r>
    </w:p>
    <w:p w14:paraId="45EB39C7">
      <w:pPr>
        <w:pStyle w:val="87"/>
        <w:spacing w:line="360" w:lineRule="auto"/>
        <w:ind w:firstLine="484"/>
        <w:rPr>
          <w:rFonts w:ascii="仿宋" w:hAnsi="仿宋" w:eastAsia="仿宋" w:cs="仿宋"/>
          <w:b/>
          <w:bCs/>
          <w:spacing w:val="3"/>
          <w:w w:val="99"/>
          <w:kern w:val="0"/>
          <w:sz w:val="24"/>
          <w:szCs w:val="24"/>
          <w:lang w:val="zh-TW" w:eastAsia="zh-TW" w:bidi="zh-CN"/>
        </w:rPr>
      </w:pPr>
      <w:r>
        <w:rPr>
          <w:rFonts w:hint="eastAsia" w:ascii="仿宋" w:hAnsi="仿宋" w:eastAsia="仿宋" w:cs="仿宋"/>
          <w:spacing w:val="3"/>
          <w:w w:val="99"/>
          <w:kern w:val="0"/>
          <w:sz w:val="24"/>
          <w:szCs w:val="24"/>
          <w:lang w:val="zh-TW" w:eastAsia="zh-TW" w:bidi="zh-CN"/>
        </w:rPr>
        <w:t>投标人能为采购方提供</w:t>
      </w:r>
      <w:r>
        <w:rPr>
          <w:rFonts w:hint="eastAsia" w:ascii="仿宋" w:hAnsi="仿宋" w:eastAsia="仿宋" w:cs="仿宋"/>
          <w:color w:val="FF0000"/>
          <w:spacing w:val="3"/>
          <w:w w:val="99"/>
          <w:kern w:val="0"/>
          <w:sz w:val="24"/>
          <w:szCs w:val="24"/>
          <w:lang w:val="zh-TW" w:eastAsia="zh-TW" w:bidi="zh-CN"/>
        </w:rPr>
        <w:t>远程维护</w:t>
      </w:r>
      <w:r>
        <w:rPr>
          <w:rFonts w:hint="eastAsia" w:ascii="仿宋" w:hAnsi="仿宋" w:eastAsia="仿宋" w:cs="仿宋"/>
          <w:spacing w:val="3"/>
          <w:w w:val="99"/>
          <w:kern w:val="0"/>
          <w:sz w:val="24"/>
          <w:szCs w:val="24"/>
          <w:lang w:val="zh-TW" w:eastAsia="zh-TW" w:bidi="zh-CN"/>
        </w:rPr>
        <w:t>，对于电话咨询无法解决的问题，工程师经采购方授权通过电话线、宽带网等方式远程登录到院方网络系统进行在线接入处理。</w:t>
      </w:r>
      <w:r>
        <w:rPr>
          <w:rFonts w:hint="eastAsia" w:ascii="仿宋" w:hAnsi="仿宋" w:eastAsia="仿宋" w:cs="仿宋"/>
          <w:b/>
          <w:bCs/>
          <w:color w:val="FF0000"/>
          <w:spacing w:val="3"/>
          <w:w w:val="99"/>
          <w:kern w:val="0"/>
          <w:sz w:val="24"/>
          <w:szCs w:val="24"/>
          <w:lang w:val="zh-TW" w:eastAsia="zh-TW" w:bidi="zh-CN"/>
        </w:rPr>
        <w:t>（</w:t>
      </w:r>
      <w:r>
        <w:rPr>
          <w:rFonts w:hint="eastAsia" w:ascii="仿宋" w:hAnsi="仿宋" w:eastAsia="仿宋" w:cs="仿宋"/>
          <w:b/>
          <w:bCs/>
          <w:color w:val="FF0000"/>
          <w:sz w:val="24"/>
          <w:szCs w:val="24"/>
        </w:rPr>
        <w:t>若投标文件未响应，视为无效投标</w:t>
      </w:r>
      <w:r>
        <w:rPr>
          <w:rFonts w:hint="eastAsia" w:ascii="仿宋" w:hAnsi="仿宋" w:eastAsia="仿宋" w:cs="仿宋"/>
          <w:b/>
          <w:bCs/>
          <w:color w:val="FF0000"/>
          <w:spacing w:val="3"/>
          <w:w w:val="99"/>
          <w:kern w:val="0"/>
          <w:sz w:val="24"/>
          <w:szCs w:val="24"/>
          <w:lang w:val="zh-TW" w:eastAsia="zh-TW" w:bidi="zh-CN"/>
        </w:rPr>
        <w:t>）</w:t>
      </w:r>
    </w:p>
    <w:p w14:paraId="3ECB7096">
      <w:pPr>
        <w:pStyle w:val="110"/>
        <w:keepNext/>
        <w:keepLines/>
        <w:spacing w:after="200" w:line="24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rPr>
        <w:t>四</w:t>
      </w:r>
      <w:r>
        <w:rPr>
          <w:rFonts w:hint="eastAsia" w:ascii="仿宋" w:hAnsi="仿宋" w:eastAsia="仿宋" w:cs="仿宋"/>
          <w:sz w:val="24"/>
        </w:rPr>
        <w:t>）应急响应机制</w:t>
      </w:r>
    </w:p>
    <w:p w14:paraId="256D4091">
      <w:pPr>
        <w:pStyle w:val="87"/>
        <w:spacing w:line="360" w:lineRule="auto"/>
        <w:ind w:firstLine="484"/>
        <w:rPr>
          <w:rFonts w:ascii="仿宋" w:hAnsi="仿宋" w:eastAsia="仿宋" w:cs="仿宋"/>
          <w:color w:val="FF0000"/>
          <w:spacing w:val="3"/>
          <w:w w:val="99"/>
          <w:kern w:val="0"/>
          <w:sz w:val="24"/>
          <w:szCs w:val="24"/>
          <w:lang w:val="zh-TW" w:eastAsia="zh-TW" w:bidi="zh-CN"/>
        </w:rPr>
      </w:pPr>
      <w:r>
        <w:rPr>
          <w:rFonts w:hint="eastAsia" w:ascii="仿宋" w:hAnsi="仿宋" w:eastAsia="仿宋" w:cs="仿宋"/>
          <w:spacing w:val="3"/>
          <w:w w:val="99"/>
          <w:kern w:val="0"/>
          <w:sz w:val="24"/>
          <w:szCs w:val="24"/>
          <w:lang w:val="zh-TW" w:bidi="zh-CN"/>
        </w:rPr>
        <w:t>质保期1年，</w:t>
      </w:r>
      <w:r>
        <w:rPr>
          <w:rFonts w:hint="eastAsia" w:ascii="仿宋" w:hAnsi="仿宋" w:eastAsia="仿宋" w:cs="仿宋"/>
          <w:spacing w:val="3"/>
          <w:w w:val="99"/>
          <w:kern w:val="0"/>
          <w:sz w:val="24"/>
          <w:szCs w:val="24"/>
          <w:lang w:val="zh-TW" w:eastAsia="zh-TW" w:bidi="zh-CN"/>
        </w:rPr>
        <w:t>免费质保期内，如遇</w:t>
      </w:r>
      <w:r>
        <w:rPr>
          <w:rFonts w:hint="eastAsia" w:ascii="仿宋" w:hAnsi="仿宋" w:eastAsia="仿宋" w:cs="仿宋"/>
          <w:color w:val="FF0000"/>
          <w:spacing w:val="3"/>
          <w:w w:val="99"/>
          <w:kern w:val="0"/>
          <w:sz w:val="24"/>
          <w:szCs w:val="24"/>
          <w:lang w:val="zh-TW" w:eastAsia="zh-TW" w:bidi="zh-CN"/>
        </w:rPr>
        <w:t>紧急故障工作人员在得到通知后2小时内提供在线支持</w:t>
      </w:r>
      <w:r>
        <w:rPr>
          <w:rFonts w:hint="eastAsia" w:ascii="仿宋" w:hAnsi="仿宋" w:eastAsia="仿宋" w:cs="仿宋"/>
          <w:spacing w:val="3"/>
          <w:w w:val="99"/>
          <w:kern w:val="0"/>
          <w:sz w:val="24"/>
          <w:szCs w:val="24"/>
          <w:lang w:val="zh-TW" w:eastAsia="zh-TW" w:bidi="zh-CN"/>
        </w:rPr>
        <w:t>，如不能远程解决，投标人工作人员</w:t>
      </w:r>
      <w:r>
        <w:rPr>
          <w:rFonts w:hint="eastAsia" w:ascii="仿宋" w:hAnsi="仿宋" w:eastAsia="仿宋" w:cs="仿宋"/>
          <w:color w:val="FF0000"/>
          <w:spacing w:val="3"/>
          <w:w w:val="99"/>
          <w:kern w:val="0"/>
          <w:sz w:val="24"/>
          <w:szCs w:val="24"/>
          <w:lang w:val="zh-TW" w:eastAsia="zh-TW" w:bidi="zh-CN"/>
        </w:rPr>
        <w:t>48小时内必须到达医院并设法排除故障</w:t>
      </w:r>
      <w:r>
        <w:rPr>
          <w:rFonts w:hint="eastAsia" w:ascii="仿宋" w:hAnsi="仿宋" w:eastAsia="仿宋" w:cs="仿宋"/>
          <w:spacing w:val="3"/>
          <w:w w:val="99"/>
          <w:kern w:val="0"/>
          <w:sz w:val="24"/>
          <w:szCs w:val="24"/>
          <w:lang w:val="zh-TW" w:eastAsia="zh-TW" w:bidi="zh-CN"/>
        </w:rPr>
        <w:t>。</w:t>
      </w:r>
      <w:r>
        <w:rPr>
          <w:rFonts w:hint="eastAsia" w:ascii="仿宋" w:hAnsi="仿宋" w:eastAsia="仿宋" w:cs="仿宋"/>
          <w:b/>
          <w:bCs/>
          <w:color w:val="FF0000"/>
          <w:spacing w:val="3"/>
          <w:w w:val="99"/>
          <w:kern w:val="0"/>
          <w:sz w:val="24"/>
          <w:szCs w:val="24"/>
          <w:lang w:val="zh-TW" w:eastAsia="zh-TW" w:bidi="zh-CN"/>
        </w:rPr>
        <w:t>（</w:t>
      </w:r>
      <w:r>
        <w:rPr>
          <w:rFonts w:hint="eastAsia" w:ascii="仿宋" w:hAnsi="仿宋" w:eastAsia="仿宋" w:cs="仿宋"/>
          <w:b/>
          <w:bCs/>
          <w:color w:val="FF0000"/>
          <w:sz w:val="24"/>
          <w:szCs w:val="24"/>
        </w:rPr>
        <w:t>若投标文件未响应，视为无效投标</w:t>
      </w:r>
      <w:r>
        <w:rPr>
          <w:rFonts w:hint="eastAsia" w:ascii="仿宋" w:hAnsi="仿宋" w:eastAsia="仿宋" w:cs="仿宋"/>
          <w:b/>
          <w:bCs/>
          <w:color w:val="FF0000"/>
          <w:spacing w:val="3"/>
          <w:w w:val="99"/>
          <w:kern w:val="0"/>
          <w:sz w:val="24"/>
          <w:szCs w:val="24"/>
          <w:lang w:val="zh-TW" w:eastAsia="zh-TW" w:bidi="zh-CN"/>
        </w:rPr>
        <w:t>）</w:t>
      </w:r>
    </w:p>
    <w:p w14:paraId="676F81DB">
      <w:pPr>
        <w:pStyle w:val="110"/>
        <w:keepNext/>
        <w:keepLines/>
        <w:spacing w:after="40" w:line="360" w:lineRule="auto"/>
        <w:rPr>
          <w:rFonts w:ascii="仿宋" w:hAnsi="仿宋" w:eastAsia="仿宋" w:cs="仿宋"/>
          <w:b w:val="0"/>
          <w:bCs w:val="0"/>
          <w:color w:val="auto"/>
          <w:spacing w:val="12"/>
          <w:sz w:val="24"/>
          <w:lang w:val="en-US" w:eastAsia="zh-CN" w:bidi="zh-CN"/>
        </w:rPr>
      </w:pPr>
      <w:r>
        <w:rPr>
          <w:rFonts w:hint="eastAsia" w:ascii="仿宋" w:hAnsi="仿宋" w:eastAsia="仿宋" w:cs="仿宋"/>
          <w:b w:val="0"/>
          <w:bCs w:val="0"/>
          <w:color w:val="auto"/>
          <w:spacing w:val="12"/>
          <w:sz w:val="24"/>
          <w:lang w:val="en-US" w:eastAsia="zh-CN" w:bidi="zh-CN"/>
        </w:rPr>
        <w:t>四、项目实施要求</w:t>
      </w:r>
    </w:p>
    <w:p w14:paraId="4F05D1CB">
      <w:pPr>
        <w:pStyle w:val="87"/>
        <w:spacing w:line="360" w:lineRule="auto"/>
        <w:ind w:firstLine="504"/>
        <w:rPr>
          <w:rFonts w:ascii="仿宋" w:hAnsi="仿宋" w:eastAsia="仿宋" w:cs="仿宋"/>
          <w:spacing w:val="3"/>
          <w:w w:val="99"/>
          <w:kern w:val="0"/>
          <w:sz w:val="24"/>
          <w:szCs w:val="24"/>
          <w:lang w:val="zh-TW" w:eastAsia="zh-TW" w:bidi="zh-CN"/>
        </w:rPr>
      </w:pPr>
      <w:r>
        <w:rPr>
          <w:rFonts w:hint="eastAsia" w:ascii="仿宋" w:hAnsi="仿宋" w:eastAsia="仿宋" w:cs="仿宋"/>
          <w:spacing w:val="8"/>
          <w:w w:val="99"/>
          <w:sz w:val="24"/>
          <w:szCs w:val="24"/>
        </w:rPr>
        <w:t>1</w:t>
      </w:r>
      <w:r>
        <w:rPr>
          <w:rFonts w:hint="eastAsia" w:ascii="仿宋" w:hAnsi="仿宋" w:eastAsia="仿宋" w:cs="仿宋"/>
          <w:spacing w:val="-12"/>
          <w:w w:val="99"/>
          <w:sz w:val="24"/>
          <w:szCs w:val="24"/>
        </w:rPr>
        <w:t>.驻场</w:t>
      </w:r>
      <w:r>
        <w:rPr>
          <w:rFonts w:hint="eastAsia" w:ascii="仿宋" w:hAnsi="仿宋" w:eastAsia="仿宋" w:cs="仿宋"/>
          <w:spacing w:val="3"/>
          <w:w w:val="99"/>
          <w:kern w:val="0"/>
          <w:sz w:val="24"/>
          <w:szCs w:val="24"/>
          <w:lang w:val="zh-TW" w:eastAsia="zh-TW" w:bidi="zh-CN"/>
        </w:rPr>
        <w:t>服务期限为：</w:t>
      </w:r>
      <w:r>
        <w:rPr>
          <w:rFonts w:hint="eastAsia" w:ascii="仿宋" w:hAnsi="仿宋" w:eastAsia="仿宋" w:cs="仿宋"/>
          <w:color w:val="FF0000"/>
          <w:spacing w:val="3"/>
          <w:w w:val="99"/>
          <w:kern w:val="0"/>
          <w:sz w:val="24"/>
          <w:szCs w:val="24"/>
          <w:lang w:bidi="zh-CN"/>
        </w:rPr>
        <w:t>5-8</w:t>
      </w:r>
      <w:r>
        <w:rPr>
          <w:rFonts w:hint="eastAsia" w:ascii="仿宋" w:hAnsi="仿宋" w:eastAsia="仿宋" w:cs="仿宋"/>
          <w:color w:val="FF0000"/>
          <w:spacing w:val="3"/>
          <w:w w:val="99"/>
          <w:kern w:val="0"/>
          <w:sz w:val="24"/>
          <w:szCs w:val="24"/>
          <w:lang w:val="zh-TW" w:eastAsia="zh-TW" w:bidi="zh-CN"/>
        </w:rPr>
        <w:t>个月</w:t>
      </w:r>
      <w:r>
        <w:rPr>
          <w:rFonts w:hint="eastAsia" w:ascii="仿宋" w:hAnsi="仿宋" w:eastAsia="仿宋" w:cs="仿宋"/>
          <w:spacing w:val="3"/>
          <w:w w:val="99"/>
          <w:kern w:val="0"/>
          <w:sz w:val="24"/>
          <w:szCs w:val="24"/>
          <w:lang w:val="zh-TW" w:eastAsia="zh-TW" w:bidi="zh-CN"/>
        </w:rPr>
        <w:t>（具体以签订合同为准）。</w:t>
      </w:r>
    </w:p>
    <w:p w14:paraId="2B1C3CFC">
      <w:pPr>
        <w:pStyle w:val="87"/>
        <w:spacing w:line="360" w:lineRule="auto"/>
        <w:ind w:firstLine="504"/>
        <w:rPr>
          <w:rFonts w:ascii="仿宋" w:hAnsi="仿宋" w:eastAsia="仿宋" w:cs="仿宋"/>
          <w:spacing w:val="3"/>
          <w:w w:val="99"/>
          <w:kern w:val="0"/>
          <w:sz w:val="24"/>
          <w:szCs w:val="24"/>
          <w:lang w:val="zh-TW" w:bidi="zh-CN"/>
        </w:rPr>
      </w:pPr>
      <w:r>
        <w:rPr>
          <w:rFonts w:hint="eastAsia" w:ascii="仿宋" w:hAnsi="仿宋" w:eastAsia="仿宋" w:cs="仿宋"/>
          <w:spacing w:val="8"/>
          <w:w w:val="99"/>
          <w:sz w:val="24"/>
          <w:szCs w:val="24"/>
        </w:rPr>
        <w:t>2.</w:t>
      </w:r>
      <w:r>
        <w:rPr>
          <w:rFonts w:hint="eastAsia" w:ascii="仿宋" w:hAnsi="仿宋" w:eastAsia="仿宋" w:cs="仿宋"/>
          <w:spacing w:val="3"/>
          <w:w w:val="99"/>
          <w:kern w:val="0"/>
          <w:sz w:val="24"/>
          <w:szCs w:val="24"/>
          <w:lang w:val="zh-TW" w:eastAsia="zh-TW" w:bidi="zh-CN"/>
        </w:rPr>
        <w:t>供应商应提供</w:t>
      </w:r>
      <w:r>
        <w:rPr>
          <w:rFonts w:hint="eastAsia" w:ascii="仿宋" w:hAnsi="仿宋" w:eastAsia="仿宋" w:cs="仿宋"/>
          <w:color w:val="FF0000"/>
          <w:spacing w:val="3"/>
          <w:w w:val="99"/>
          <w:kern w:val="0"/>
          <w:sz w:val="24"/>
          <w:szCs w:val="24"/>
          <w:lang w:val="zh-TW" w:eastAsia="zh-TW" w:bidi="zh-CN"/>
        </w:rPr>
        <w:t>绩效咨询服务和软件系统的实施方案</w:t>
      </w:r>
      <w:r>
        <w:rPr>
          <w:rFonts w:hint="eastAsia" w:ascii="仿宋" w:hAnsi="仿宋" w:eastAsia="仿宋" w:cs="仿宋"/>
          <w:spacing w:val="3"/>
          <w:w w:val="99"/>
          <w:kern w:val="0"/>
          <w:sz w:val="24"/>
          <w:szCs w:val="24"/>
          <w:lang w:val="zh-TW" w:eastAsia="zh-TW" w:bidi="zh-CN"/>
        </w:rPr>
        <w:t>，以及</w:t>
      </w:r>
      <w:r>
        <w:rPr>
          <w:rFonts w:hint="eastAsia" w:ascii="仿宋" w:hAnsi="仿宋" w:eastAsia="仿宋" w:cs="仿宋"/>
          <w:color w:val="FF0000"/>
          <w:spacing w:val="3"/>
          <w:w w:val="99"/>
          <w:kern w:val="0"/>
          <w:sz w:val="24"/>
          <w:szCs w:val="24"/>
          <w:lang w:val="zh-TW" w:eastAsia="zh-TW" w:bidi="zh-CN"/>
        </w:rPr>
        <w:t>实施组织、管理办法和应急方案</w:t>
      </w:r>
      <w:r>
        <w:rPr>
          <w:rFonts w:hint="eastAsia" w:ascii="仿宋" w:hAnsi="仿宋" w:eastAsia="仿宋" w:cs="仿宋"/>
          <w:spacing w:val="3"/>
          <w:w w:val="99"/>
          <w:kern w:val="0"/>
          <w:sz w:val="24"/>
          <w:szCs w:val="24"/>
          <w:lang w:val="zh-TW" w:eastAsia="zh-TW" w:bidi="zh-CN"/>
        </w:rPr>
        <w:t>等</w:t>
      </w:r>
      <w:r>
        <w:rPr>
          <w:rFonts w:hint="eastAsia" w:ascii="仿宋" w:hAnsi="仿宋" w:eastAsia="仿宋" w:cs="仿宋"/>
          <w:spacing w:val="3"/>
          <w:w w:val="99"/>
          <w:kern w:val="0"/>
          <w:sz w:val="24"/>
          <w:szCs w:val="24"/>
          <w:lang w:val="zh-TW" w:bidi="zh-CN"/>
        </w:rPr>
        <w:t>。</w:t>
      </w:r>
      <w:r>
        <w:rPr>
          <w:rFonts w:hint="eastAsia" w:ascii="仿宋" w:hAnsi="仿宋" w:eastAsia="仿宋" w:cs="仿宋"/>
          <w:b/>
          <w:bCs/>
          <w:color w:val="FF0000"/>
          <w:spacing w:val="3"/>
          <w:w w:val="99"/>
          <w:kern w:val="0"/>
          <w:sz w:val="24"/>
          <w:szCs w:val="24"/>
          <w:lang w:val="zh-TW" w:eastAsia="zh-TW" w:bidi="zh-CN"/>
        </w:rPr>
        <w:t>（</w:t>
      </w:r>
      <w:r>
        <w:rPr>
          <w:rFonts w:hint="eastAsia" w:ascii="仿宋" w:hAnsi="仿宋" w:eastAsia="仿宋" w:cs="仿宋"/>
          <w:b/>
          <w:bCs/>
          <w:color w:val="FF0000"/>
          <w:sz w:val="24"/>
          <w:szCs w:val="24"/>
        </w:rPr>
        <w:t>若投标文件未响应，视为无效投标</w:t>
      </w:r>
      <w:r>
        <w:rPr>
          <w:rFonts w:hint="eastAsia" w:ascii="仿宋" w:hAnsi="仿宋" w:eastAsia="仿宋" w:cs="仿宋"/>
          <w:b/>
          <w:bCs/>
          <w:color w:val="FF0000"/>
          <w:spacing w:val="3"/>
          <w:w w:val="99"/>
          <w:kern w:val="0"/>
          <w:sz w:val="24"/>
          <w:szCs w:val="24"/>
          <w:lang w:val="zh-TW" w:eastAsia="zh-TW" w:bidi="zh-CN"/>
        </w:rPr>
        <w:t>）</w:t>
      </w:r>
    </w:p>
    <w:p w14:paraId="24AA9E08">
      <w:pPr>
        <w:pStyle w:val="87"/>
        <w:spacing w:line="360" w:lineRule="auto"/>
        <w:ind w:firstLine="504"/>
        <w:rPr>
          <w:rFonts w:ascii="仿宋" w:hAnsi="仿宋" w:eastAsia="仿宋" w:cs="仿宋"/>
          <w:color w:val="FF0000"/>
          <w:spacing w:val="3"/>
          <w:w w:val="99"/>
          <w:kern w:val="0"/>
          <w:sz w:val="24"/>
          <w:szCs w:val="24"/>
          <w:lang w:val="zh-TW" w:eastAsia="zh-TW" w:bidi="zh-CN"/>
        </w:rPr>
      </w:pPr>
      <w:r>
        <w:rPr>
          <w:rFonts w:hint="eastAsia" w:ascii="仿宋" w:hAnsi="仿宋" w:eastAsia="仿宋" w:cs="仿宋"/>
          <w:spacing w:val="8"/>
          <w:w w:val="99"/>
          <w:sz w:val="24"/>
          <w:szCs w:val="24"/>
        </w:rPr>
        <w:t>3.</w:t>
      </w:r>
      <w:r>
        <w:rPr>
          <w:rFonts w:hint="eastAsia" w:ascii="仿宋" w:hAnsi="仿宋" w:eastAsia="仿宋" w:cs="仿宋"/>
          <w:spacing w:val="3"/>
          <w:w w:val="99"/>
          <w:kern w:val="0"/>
          <w:sz w:val="24"/>
          <w:szCs w:val="24"/>
          <w:lang w:val="zh-TW" w:eastAsia="zh-TW" w:bidi="zh-CN"/>
        </w:rPr>
        <w:t>成交供应商实施人员须签订</w:t>
      </w:r>
      <w:r>
        <w:rPr>
          <w:rFonts w:hint="eastAsia" w:ascii="仿宋" w:hAnsi="仿宋" w:eastAsia="仿宋" w:cs="仿宋"/>
          <w:color w:val="FF0000"/>
          <w:spacing w:val="3"/>
          <w:w w:val="99"/>
          <w:kern w:val="0"/>
          <w:sz w:val="24"/>
          <w:szCs w:val="24"/>
          <w:lang w:val="zh-TW" w:eastAsia="zh-TW" w:bidi="zh-CN"/>
        </w:rPr>
        <w:t>保密协议</w:t>
      </w:r>
      <w:r>
        <w:rPr>
          <w:rFonts w:hint="eastAsia" w:ascii="仿宋" w:hAnsi="仿宋" w:eastAsia="仿宋" w:cs="仿宋"/>
          <w:spacing w:val="3"/>
          <w:w w:val="99"/>
          <w:kern w:val="0"/>
          <w:sz w:val="24"/>
          <w:szCs w:val="24"/>
          <w:lang w:val="zh-TW" w:eastAsia="zh-TW" w:bidi="zh-CN"/>
        </w:rPr>
        <w:t>，有责任对第三方保密。（提供承诺函）</w:t>
      </w:r>
      <w:r>
        <w:rPr>
          <w:rFonts w:hint="eastAsia" w:ascii="仿宋" w:hAnsi="仿宋" w:eastAsia="仿宋" w:cs="仿宋"/>
          <w:b/>
          <w:bCs/>
          <w:color w:val="FF0000"/>
          <w:spacing w:val="3"/>
          <w:w w:val="99"/>
          <w:kern w:val="0"/>
          <w:sz w:val="24"/>
          <w:szCs w:val="24"/>
          <w:lang w:val="zh-TW" w:eastAsia="zh-TW" w:bidi="zh-CN"/>
        </w:rPr>
        <w:t>（</w:t>
      </w:r>
      <w:r>
        <w:rPr>
          <w:rFonts w:hint="eastAsia" w:ascii="仿宋" w:hAnsi="仿宋" w:eastAsia="仿宋" w:cs="仿宋"/>
          <w:b/>
          <w:bCs/>
          <w:color w:val="FF0000"/>
          <w:sz w:val="24"/>
          <w:szCs w:val="24"/>
        </w:rPr>
        <w:t>若投标文件未响应，视为无效投标</w:t>
      </w:r>
      <w:r>
        <w:rPr>
          <w:rFonts w:hint="eastAsia" w:ascii="仿宋" w:hAnsi="仿宋" w:eastAsia="仿宋" w:cs="仿宋"/>
          <w:b/>
          <w:bCs/>
          <w:color w:val="FF0000"/>
          <w:spacing w:val="3"/>
          <w:w w:val="99"/>
          <w:kern w:val="0"/>
          <w:sz w:val="24"/>
          <w:szCs w:val="24"/>
          <w:lang w:val="zh-TW" w:eastAsia="zh-TW" w:bidi="zh-CN"/>
        </w:rPr>
        <w:t>）</w:t>
      </w:r>
    </w:p>
    <w:p w14:paraId="5EFFB211">
      <w:pPr>
        <w:pStyle w:val="87"/>
        <w:spacing w:line="360" w:lineRule="auto"/>
        <w:ind w:firstLine="504"/>
        <w:rPr>
          <w:rFonts w:ascii="仿宋" w:hAnsi="仿宋" w:eastAsia="仿宋" w:cs="仿宋"/>
          <w:spacing w:val="3"/>
          <w:w w:val="99"/>
          <w:kern w:val="0"/>
          <w:sz w:val="24"/>
          <w:szCs w:val="24"/>
          <w:highlight w:val="none"/>
          <w:lang w:val="zh-TW" w:eastAsia="zh-TW" w:bidi="zh-CN"/>
        </w:rPr>
      </w:pPr>
      <w:r>
        <w:rPr>
          <w:rFonts w:hint="eastAsia" w:ascii="仿宋" w:hAnsi="仿宋" w:eastAsia="仿宋" w:cs="仿宋"/>
          <w:spacing w:val="8"/>
          <w:w w:val="99"/>
          <w:sz w:val="24"/>
          <w:szCs w:val="24"/>
          <w:highlight w:val="none"/>
        </w:rPr>
        <w:t>4.</w:t>
      </w:r>
      <w:r>
        <w:rPr>
          <w:rFonts w:hint="eastAsia" w:ascii="仿宋" w:hAnsi="仿宋" w:eastAsia="仿宋" w:cs="仿宋"/>
          <w:spacing w:val="3"/>
          <w:w w:val="99"/>
          <w:kern w:val="0"/>
          <w:sz w:val="24"/>
          <w:szCs w:val="24"/>
          <w:highlight w:val="none"/>
          <w:lang w:val="zh-TW" w:eastAsia="zh-TW" w:bidi="zh-CN"/>
        </w:rPr>
        <w:t>成交供应商应提供本项目在实施阶段的管理方案（包含但不限于进度计划</w:t>
      </w:r>
      <w:r>
        <w:rPr>
          <w:rFonts w:hint="eastAsia" w:ascii="仿宋" w:hAnsi="仿宋" w:eastAsia="仿宋" w:cs="仿宋"/>
          <w:spacing w:val="3"/>
          <w:w w:val="99"/>
          <w:kern w:val="0"/>
          <w:sz w:val="24"/>
          <w:szCs w:val="24"/>
          <w:highlight w:val="none"/>
          <w:lang w:bidi="zh-CN"/>
        </w:rPr>
        <w:t>等</w:t>
      </w:r>
      <w:r>
        <w:rPr>
          <w:rFonts w:hint="eastAsia" w:ascii="仿宋" w:hAnsi="仿宋" w:eastAsia="仿宋" w:cs="仿宋"/>
          <w:spacing w:val="3"/>
          <w:w w:val="99"/>
          <w:kern w:val="0"/>
          <w:sz w:val="24"/>
          <w:szCs w:val="24"/>
          <w:highlight w:val="none"/>
          <w:lang w:val="zh-TW" w:eastAsia="zh-TW" w:bidi="zh-CN"/>
        </w:rPr>
        <w:t>）。</w:t>
      </w:r>
      <w:r>
        <w:rPr>
          <w:rFonts w:hint="eastAsia" w:ascii="仿宋" w:hAnsi="仿宋" w:eastAsia="仿宋" w:cs="仿宋"/>
          <w:b/>
          <w:bCs/>
          <w:color w:val="FF0000"/>
          <w:spacing w:val="3"/>
          <w:w w:val="99"/>
          <w:kern w:val="0"/>
          <w:sz w:val="24"/>
          <w:szCs w:val="24"/>
          <w:highlight w:val="none"/>
          <w:lang w:val="zh-TW" w:eastAsia="zh-TW" w:bidi="zh-CN"/>
        </w:rPr>
        <w:t>（</w:t>
      </w:r>
      <w:r>
        <w:rPr>
          <w:rFonts w:hint="eastAsia" w:ascii="仿宋" w:hAnsi="仿宋" w:eastAsia="仿宋" w:cs="仿宋"/>
          <w:b/>
          <w:bCs/>
          <w:color w:val="FF0000"/>
          <w:sz w:val="24"/>
          <w:szCs w:val="24"/>
          <w:highlight w:val="none"/>
        </w:rPr>
        <w:t>若投标文件未响应，视为无效投标</w:t>
      </w:r>
      <w:r>
        <w:rPr>
          <w:rFonts w:hint="eastAsia" w:ascii="仿宋" w:hAnsi="仿宋" w:eastAsia="仿宋" w:cs="仿宋"/>
          <w:b/>
          <w:bCs/>
          <w:color w:val="FF0000"/>
          <w:spacing w:val="3"/>
          <w:w w:val="99"/>
          <w:kern w:val="0"/>
          <w:sz w:val="24"/>
          <w:szCs w:val="24"/>
          <w:highlight w:val="none"/>
          <w:lang w:val="zh-TW" w:eastAsia="zh-TW" w:bidi="zh-CN"/>
        </w:rPr>
        <w:t>）</w:t>
      </w:r>
    </w:p>
    <w:p w14:paraId="30503FC9">
      <w:pPr>
        <w:pStyle w:val="87"/>
        <w:spacing w:line="360" w:lineRule="auto"/>
        <w:ind w:firstLine="504"/>
        <w:rPr>
          <w:rFonts w:ascii="仿宋" w:hAnsi="仿宋" w:eastAsia="仿宋" w:cs="仿宋"/>
          <w:color w:val="FF0000"/>
          <w:spacing w:val="3"/>
          <w:w w:val="99"/>
          <w:kern w:val="0"/>
          <w:sz w:val="24"/>
          <w:szCs w:val="24"/>
          <w:lang w:val="zh-TW" w:eastAsia="zh-TW" w:bidi="zh-CN"/>
        </w:rPr>
      </w:pPr>
      <w:r>
        <w:rPr>
          <w:rFonts w:hint="eastAsia" w:ascii="仿宋" w:hAnsi="仿宋" w:eastAsia="仿宋" w:cs="仿宋"/>
          <w:spacing w:val="8"/>
          <w:w w:val="99"/>
          <w:sz w:val="24"/>
          <w:szCs w:val="24"/>
        </w:rPr>
        <w:t>5.</w:t>
      </w:r>
      <w:r>
        <w:rPr>
          <w:rFonts w:hint="eastAsia" w:ascii="仿宋" w:hAnsi="仿宋" w:eastAsia="仿宋" w:cs="仿宋"/>
          <w:spacing w:val="3"/>
          <w:w w:val="99"/>
          <w:kern w:val="0"/>
          <w:sz w:val="24"/>
          <w:szCs w:val="24"/>
          <w:lang w:val="zh-TW" w:eastAsia="zh-TW" w:bidi="zh-CN"/>
        </w:rPr>
        <w:t>售后服务方案：供应商针对本项目提供</w:t>
      </w:r>
      <w:r>
        <w:rPr>
          <w:rFonts w:hint="eastAsia" w:ascii="仿宋" w:hAnsi="仿宋" w:eastAsia="仿宋" w:cs="仿宋"/>
          <w:color w:val="FF0000"/>
          <w:spacing w:val="3"/>
          <w:w w:val="99"/>
          <w:kern w:val="0"/>
          <w:sz w:val="24"/>
          <w:szCs w:val="24"/>
          <w:lang w:val="zh-TW" w:eastAsia="zh-TW" w:bidi="zh-CN"/>
        </w:rPr>
        <w:t>售后服务方案</w:t>
      </w:r>
      <w:r>
        <w:rPr>
          <w:rFonts w:hint="eastAsia" w:ascii="仿宋" w:hAnsi="仿宋" w:eastAsia="仿宋" w:cs="仿宋"/>
          <w:spacing w:val="3"/>
          <w:w w:val="99"/>
          <w:kern w:val="0"/>
          <w:sz w:val="24"/>
          <w:szCs w:val="24"/>
          <w:lang w:val="zh-TW" w:bidi="zh-CN"/>
        </w:rPr>
        <w:t>。</w:t>
      </w:r>
      <w:r>
        <w:rPr>
          <w:rFonts w:hint="eastAsia" w:ascii="仿宋" w:hAnsi="仿宋" w:eastAsia="仿宋" w:cs="仿宋"/>
          <w:b/>
          <w:bCs/>
          <w:color w:val="FF0000"/>
          <w:spacing w:val="3"/>
          <w:w w:val="99"/>
          <w:kern w:val="0"/>
          <w:sz w:val="24"/>
          <w:szCs w:val="24"/>
          <w:lang w:val="zh-TW" w:eastAsia="zh-TW" w:bidi="zh-CN"/>
        </w:rPr>
        <w:t>（</w:t>
      </w:r>
      <w:r>
        <w:rPr>
          <w:rFonts w:hint="eastAsia" w:ascii="仿宋" w:hAnsi="仿宋" w:eastAsia="仿宋" w:cs="仿宋"/>
          <w:b/>
          <w:bCs/>
          <w:color w:val="FF0000"/>
          <w:sz w:val="24"/>
          <w:szCs w:val="24"/>
        </w:rPr>
        <w:t>若投标文件未响应，视为无效投标</w:t>
      </w:r>
      <w:r>
        <w:rPr>
          <w:rFonts w:hint="eastAsia" w:ascii="仿宋" w:hAnsi="仿宋" w:eastAsia="仿宋" w:cs="仿宋"/>
          <w:b/>
          <w:bCs/>
          <w:color w:val="FF0000"/>
          <w:spacing w:val="3"/>
          <w:w w:val="99"/>
          <w:kern w:val="0"/>
          <w:sz w:val="24"/>
          <w:szCs w:val="24"/>
          <w:lang w:val="zh-TW" w:eastAsia="zh-TW" w:bidi="zh-CN"/>
        </w:rPr>
        <w:t>）</w:t>
      </w:r>
    </w:p>
    <w:p w14:paraId="14B0A1B8">
      <w:pPr>
        <w:spacing w:line="360" w:lineRule="auto"/>
        <w:ind w:firstLine="506" w:firstLineChars="200"/>
        <w:rPr>
          <w:rFonts w:ascii="仿宋" w:hAnsi="仿宋" w:eastAsia="仿宋" w:cs="仿宋"/>
          <w:b/>
          <w:bCs/>
          <w:color w:val="FF0000"/>
          <w:spacing w:val="3"/>
          <w:w w:val="99"/>
          <w:kern w:val="0"/>
          <w:sz w:val="24"/>
          <w:lang w:val="zh-TW" w:eastAsia="zh-TW" w:bidi="zh-CN"/>
        </w:rPr>
      </w:pPr>
      <w:r>
        <w:rPr>
          <w:rFonts w:hint="eastAsia" w:ascii="仿宋" w:hAnsi="仿宋" w:eastAsia="仿宋" w:cs="仿宋"/>
          <w:spacing w:val="8"/>
          <w:w w:val="99"/>
          <w:sz w:val="24"/>
        </w:rPr>
        <w:t>6.</w:t>
      </w:r>
      <w:r>
        <w:rPr>
          <w:rFonts w:hint="eastAsia" w:ascii="仿宋" w:hAnsi="仿宋" w:eastAsia="仿宋" w:cs="仿宋"/>
          <w:spacing w:val="3"/>
          <w:w w:val="99"/>
          <w:kern w:val="0"/>
          <w:sz w:val="24"/>
          <w:lang w:val="zh-TW" w:bidi="zh-CN"/>
        </w:rPr>
        <w:t>本产品在验收后需提供</w:t>
      </w:r>
      <w:r>
        <w:rPr>
          <w:rFonts w:hint="eastAsia" w:ascii="仿宋" w:hAnsi="仿宋" w:eastAsia="仿宋" w:cs="仿宋"/>
          <w:color w:val="FF0000"/>
          <w:spacing w:val="3"/>
          <w:w w:val="99"/>
          <w:kern w:val="0"/>
          <w:sz w:val="24"/>
          <w:lang w:val="zh-TW" w:bidi="zh-CN"/>
        </w:rPr>
        <w:t>一年的免费维保期</w:t>
      </w:r>
      <w:r>
        <w:rPr>
          <w:rFonts w:hint="eastAsia" w:ascii="仿宋" w:hAnsi="仿宋" w:eastAsia="仿宋" w:cs="仿宋"/>
          <w:spacing w:val="3"/>
          <w:w w:val="99"/>
          <w:kern w:val="0"/>
          <w:sz w:val="24"/>
          <w:lang w:val="zh-TW" w:bidi="zh-CN"/>
        </w:rPr>
        <w:t>。在维保期内，对涉及到的由于政策变动和方案修改产生的二次开发和相关定制开发内容，不得收取费用。</w:t>
      </w:r>
      <w:r>
        <w:rPr>
          <w:rFonts w:hint="eastAsia" w:ascii="仿宋" w:hAnsi="仿宋" w:eastAsia="仿宋" w:cs="仿宋"/>
          <w:b/>
          <w:bCs/>
          <w:color w:val="FF0000"/>
          <w:spacing w:val="3"/>
          <w:w w:val="99"/>
          <w:kern w:val="0"/>
          <w:sz w:val="24"/>
          <w:lang w:val="zh-TW" w:eastAsia="zh-TW" w:bidi="zh-CN"/>
        </w:rPr>
        <w:t>（</w:t>
      </w:r>
      <w:r>
        <w:rPr>
          <w:rFonts w:hint="eastAsia" w:ascii="仿宋" w:hAnsi="仿宋" w:eastAsia="仿宋" w:cs="仿宋"/>
          <w:b/>
          <w:bCs/>
          <w:color w:val="FF0000"/>
          <w:sz w:val="24"/>
        </w:rPr>
        <w:t>若投标文件未响应，视为无效投标</w:t>
      </w:r>
      <w:r>
        <w:rPr>
          <w:rFonts w:hint="eastAsia" w:ascii="仿宋" w:hAnsi="仿宋" w:eastAsia="仿宋" w:cs="仿宋"/>
          <w:b/>
          <w:bCs/>
          <w:color w:val="FF0000"/>
          <w:spacing w:val="3"/>
          <w:w w:val="99"/>
          <w:kern w:val="0"/>
          <w:sz w:val="24"/>
          <w:lang w:val="zh-TW" w:eastAsia="zh-TW" w:bidi="zh-CN"/>
        </w:rPr>
        <w:t>）</w:t>
      </w:r>
    </w:p>
    <w:p w14:paraId="344FC40B">
      <w:pPr>
        <w:pStyle w:val="13"/>
        <w:ind w:firstLine="486" w:firstLineChars="200"/>
        <w:rPr>
          <w:rFonts w:ascii="仿宋" w:hAnsi="仿宋" w:eastAsia="仿宋" w:cs="仿宋"/>
          <w:spacing w:val="3"/>
          <w:w w:val="99"/>
          <w:kern w:val="0"/>
          <w:lang w:eastAsia="zh-TW" w:bidi="zh-CN"/>
        </w:rPr>
      </w:pPr>
      <w:r>
        <w:rPr>
          <w:rFonts w:hint="eastAsia" w:ascii="仿宋" w:hAnsi="仿宋" w:eastAsia="仿宋" w:cs="仿宋"/>
          <w:spacing w:val="3"/>
          <w:w w:val="99"/>
          <w:kern w:val="0"/>
          <w:lang w:eastAsia="zh-TW" w:bidi="zh-CN"/>
        </w:rPr>
        <w:t>7.付款方式：</w:t>
      </w:r>
    </w:p>
    <w:p w14:paraId="7A4F137F">
      <w:pPr>
        <w:pStyle w:val="13"/>
        <w:ind w:firstLine="486" w:firstLineChars="200"/>
      </w:pPr>
      <w:r>
        <w:rPr>
          <w:rFonts w:hint="eastAsia" w:ascii="仿宋" w:hAnsi="仿宋" w:eastAsia="仿宋" w:cs="仿宋"/>
          <w:spacing w:val="3"/>
          <w:w w:val="99"/>
          <w:kern w:val="0"/>
          <w:lang w:eastAsia="zh-TW" w:bidi="zh-CN"/>
        </w:rPr>
        <w:t>（1）进度和方式：合同签订生效后，采购人向中标人支付中标价的30%，系统上线运行支付中标价的30%，项目正式验收，系统稳定运行365个日历日，支付合同总金额的40%。</w:t>
      </w:r>
      <w:r>
        <w:rPr>
          <w:rFonts w:hint="eastAsia" w:ascii="仿宋" w:hAnsi="仿宋" w:eastAsia="仿宋" w:cs="仿宋"/>
          <w:b/>
          <w:bCs/>
          <w:color w:val="FF0000"/>
          <w:spacing w:val="3"/>
          <w:w w:val="99"/>
          <w:kern w:val="0"/>
          <w:lang w:eastAsia="zh-TW" w:bidi="zh-CN"/>
        </w:rPr>
        <w:t>(具体付款方式以合同签订为准)</w:t>
      </w:r>
    </w:p>
    <w:p w14:paraId="717A2939">
      <w:pPr>
        <w:pStyle w:val="61"/>
        <w:spacing w:line="600" w:lineRule="exact"/>
        <w:ind w:firstLine="480" w:firstLineChars="200"/>
        <w:jc w:val="both"/>
        <w:rPr>
          <w:rFonts w:ascii="Times New Roman" w:eastAsia="方正仿宋_GBK"/>
          <w:color w:val="000000"/>
          <w:szCs w:val="24"/>
          <w:lang w:bidi="ar"/>
        </w:rPr>
      </w:pPr>
    </w:p>
    <w:p w14:paraId="7E7801D5"/>
    <w:p w14:paraId="02A2E96B">
      <w:pPr>
        <w:pStyle w:val="2"/>
        <w:rPr>
          <w:rFonts w:ascii="Times New Roman" w:eastAsia="方正仿宋_GBK"/>
          <w:szCs w:val="24"/>
        </w:rPr>
      </w:pPr>
    </w:p>
    <w:p w14:paraId="574D24B7">
      <w:pPr>
        <w:pStyle w:val="2"/>
        <w:rPr>
          <w:rFonts w:ascii="Times New Roman" w:eastAsia="方正仿宋_GBK"/>
          <w:szCs w:val="24"/>
          <w:lang w:bidi="ar"/>
        </w:rPr>
      </w:pPr>
    </w:p>
    <w:p w14:paraId="0A8BDDF3">
      <w:pPr>
        <w:pStyle w:val="2"/>
        <w:rPr>
          <w:rFonts w:ascii="Times New Roman" w:eastAsia="方正仿宋_GBK"/>
          <w:szCs w:val="24"/>
        </w:rPr>
      </w:pPr>
    </w:p>
    <w:p w14:paraId="2390ED32">
      <w:pPr>
        <w:pStyle w:val="2"/>
      </w:pPr>
    </w:p>
    <w:p w14:paraId="213631FC">
      <w:pPr>
        <w:pStyle w:val="51"/>
        <w:snapToGrid w:val="0"/>
        <w:spacing w:line="560" w:lineRule="exact"/>
        <w:ind w:firstLine="480"/>
        <w:jc w:val="both"/>
        <w:textAlignment w:val="baseline"/>
        <w:outlineLvl w:val="1"/>
      </w:pPr>
    </w:p>
    <w:p w14:paraId="1FE95589">
      <w:pPr>
        <w:pStyle w:val="2"/>
      </w:pPr>
    </w:p>
    <w:p w14:paraId="7AF96BF2">
      <w:pPr>
        <w:sectPr>
          <w:footerReference r:id="rId14" w:type="default"/>
          <w:pgSz w:w="11909" w:h="16836"/>
          <w:pgMar w:top="2098" w:right="1587" w:bottom="1984" w:left="1587" w:header="0" w:footer="1409" w:gutter="0"/>
          <w:cols w:space="720" w:num="1"/>
        </w:sectPr>
      </w:pPr>
    </w:p>
    <w:p w14:paraId="7FDE8051">
      <w:pPr>
        <w:rPr>
          <w:rFonts w:ascii="微软雅黑" w:hAnsi="微软雅黑" w:eastAsia="微软雅黑" w:cs="微软雅黑"/>
          <w:sz w:val="24"/>
        </w:rPr>
      </w:pPr>
    </w:p>
    <w:p w14:paraId="5C7560C9">
      <w:pPr>
        <w:pStyle w:val="3"/>
        <w:tabs>
          <w:tab w:val="left" w:pos="0"/>
        </w:tabs>
        <w:snapToGrid w:val="0"/>
        <w:spacing w:before="0" w:after="0" w:line="240" w:lineRule="auto"/>
        <w:textAlignment w:val="baseline"/>
        <w:rPr>
          <w:rFonts w:ascii="Times New Roman" w:hAnsi="Times New Roman" w:eastAsia="方正小标宋简体" w:cs="Times New Roman"/>
          <w:szCs w:val="32"/>
        </w:rPr>
      </w:pPr>
      <w:bookmarkStart w:id="824" w:name="_Toc22177"/>
      <w:r>
        <w:rPr>
          <w:rFonts w:ascii="Times New Roman" w:hAnsi="Times New Roman" w:eastAsia="方正小标宋简体" w:cs="Times New Roman"/>
          <w:szCs w:val="32"/>
        </w:rPr>
        <w:t xml:space="preserve">第6章 </w:t>
      </w:r>
      <w:bookmarkStart w:id="825" w:name="_Toc7971"/>
      <w:bookmarkStart w:id="826" w:name="_Toc515647832"/>
      <w:bookmarkStart w:id="827" w:name="_Toc32647"/>
      <w:bookmarkStart w:id="828" w:name="_Toc507399907"/>
      <w:r>
        <w:rPr>
          <w:rFonts w:ascii="Times New Roman" w:hAnsi="Times New Roman" w:eastAsia="方正小标宋简体" w:cs="Times New Roman"/>
          <w:szCs w:val="32"/>
        </w:rPr>
        <w:t>评审方法和标准</w:t>
      </w:r>
      <w:bookmarkEnd w:id="818"/>
      <w:bookmarkEnd w:id="819"/>
      <w:bookmarkEnd w:id="820"/>
      <w:bookmarkEnd w:id="824"/>
      <w:bookmarkEnd w:id="825"/>
      <w:bookmarkEnd w:id="826"/>
      <w:bookmarkEnd w:id="827"/>
      <w:bookmarkEnd w:id="828"/>
    </w:p>
    <w:p w14:paraId="3FF04008">
      <w:pPr>
        <w:pStyle w:val="12"/>
        <w:snapToGrid w:val="0"/>
        <w:spacing w:before="0" w:line="400" w:lineRule="exact"/>
        <w:ind w:firstLine="540" w:firstLineChars="225"/>
        <w:textAlignment w:val="baseline"/>
        <w:rPr>
          <w:rFonts w:ascii="Times New Roman" w:hAnsi="Times New Roman" w:eastAsia="方正仿宋_GBK"/>
        </w:rPr>
      </w:pPr>
      <w:bookmarkStart w:id="829" w:name="_Toc5480"/>
      <w:bookmarkStart w:id="830" w:name="_Toc4729"/>
      <w:bookmarkStart w:id="831" w:name="_Toc25450"/>
      <w:bookmarkStart w:id="832" w:name="_Toc11629"/>
      <w:bookmarkStart w:id="833" w:name="_Toc18284"/>
      <w:bookmarkStart w:id="834" w:name="_Toc19292"/>
      <w:bookmarkStart w:id="835" w:name="_Toc5997"/>
      <w:bookmarkStart w:id="836" w:name="_Toc15607"/>
      <w:bookmarkStart w:id="837" w:name="_Toc9048"/>
      <w:bookmarkStart w:id="838" w:name="_Toc3722"/>
      <w:r>
        <w:rPr>
          <w:rFonts w:ascii="Times New Roman" w:hAnsi="Times New Roman" w:eastAsia="方正仿宋_GBK"/>
        </w:rPr>
        <w:t>本项目将按照磋商文件第一章供应商须知中“五 磋商开启及评审”、“六 确定成交”及本章的规定评标。</w:t>
      </w:r>
    </w:p>
    <w:p w14:paraId="5B951366">
      <w:pPr>
        <w:pStyle w:val="103"/>
        <w:widowControl/>
        <w:tabs>
          <w:tab w:val="left" w:pos="420"/>
        </w:tabs>
        <w:kinsoku w:val="0"/>
        <w:topLinePunct/>
        <w:autoSpaceDE w:val="0"/>
        <w:autoSpaceDN w:val="0"/>
        <w:snapToGrid w:val="0"/>
        <w:spacing w:line="400" w:lineRule="exact"/>
        <w:ind w:left="0" w:firstLine="0"/>
        <w:textAlignment w:val="baseline"/>
        <w:outlineLvl w:val="1"/>
        <w:rPr>
          <w:rFonts w:eastAsia="方正仿宋_GBK"/>
        </w:rPr>
      </w:pPr>
      <w:bookmarkStart w:id="839" w:name="_Toc1214"/>
      <w:bookmarkStart w:id="840" w:name="_Toc17414"/>
      <w:bookmarkStart w:id="841" w:name="_Toc6597"/>
      <w:bookmarkStart w:id="842" w:name="_Toc852"/>
      <w:r>
        <w:rPr>
          <w:rFonts w:eastAsia="方正仿宋_GBK"/>
        </w:rPr>
        <w:t>1.   总则</w:t>
      </w:r>
      <w:bookmarkEnd w:id="839"/>
      <w:bookmarkEnd w:id="840"/>
      <w:bookmarkEnd w:id="841"/>
      <w:bookmarkEnd w:id="842"/>
    </w:p>
    <w:p w14:paraId="79B387CE">
      <w:pPr>
        <w:pStyle w:val="87"/>
        <w:widowControl/>
        <w:kinsoku w:val="0"/>
        <w:topLinePunct/>
        <w:autoSpaceDE w:val="0"/>
        <w:autoSpaceDN w:val="0"/>
        <w:snapToGrid w:val="0"/>
        <w:spacing w:line="400" w:lineRule="exact"/>
        <w:ind w:left="720" w:hanging="720" w:hangingChars="300"/>
        <w:textAlignment w:val="baseline"/>
        <w:rPr>
          <w:rFonts w:ascii="Times New Roman" w:hAnsi="Times New Roman" w:eastAsia="方正仿宋_GBK"/>
          <w:sz w:val="24"/>
          <w:szCs w:val="24"/>
        </w:rPr>
      </w:pPr>
      <w:r>
        <w:rPr>
          <w:rFonts w:ascii="Times New Roman" w:hAnsi="Times New Roman" w:eastAsia="方正仿宋_GBK"/>
          <w:sz w:val="24"/>
          <w:szCs w:val="24"/>
        </w:rPr>
        <w:t>1.1  根据《政府采购竞争性磋商采购方式管理暂行办法》等法律规章，结合采购项目特点制定本评标办法。</w:t>
      </w:r>
    </w:p>
    <w:p w14:paraId="31EBBFEC">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1.2  评标工作由采购代理机构负责组织，具体评标事务由采购代理机构依法组建的竞争性磋商小组负责。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C1DE482">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采用竞争性磋商方式的政府采购项目，评审专家应当从政府采购评审专家库内相关专业的专家名单中随机抽取。技术复杂、专业性强的采购项目，评审专家中应当包含1名法律专家。</w:t>
      </w:r>
    </w:p>
    <w:p w14:paraId="2B6EE459">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1.3 评标工作应遵循公平、公正、科学及择优的原则，并以相同的评标程序和标准对待所有的投标供应商。</w:t>
      </w:r>
    </w:p>
    <w:p w14:paraId="2D1F11B6">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1.4 评审专家应当遵守评审工作纪律，不得泄露评审情况和评审中获悉的商业秘密。</w:t>
      </w:r>
    </w:p>
    <w:p w14:paraId="59A2C085">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磋商小组在评审过程中发现供应商有行贿、提供虚假材料或者串通等违法行为的，应当及时向财政部门报告。</w:t>
      </w:r>
    </w:p>
    <w:p w14:paraId="16247A3D">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评审专家在评审过程中受到非法干涉的，应当及时向财政、监察等部门举报。</w:t>
      </w:r>
    </w:p>
    <w:p w14:paraId="2A42F3E7">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1.5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06DAC47">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磋商文件内容违反国家有关强制性规定的，磋商小组应当停止评审并向采购人或者采购代理机构说明情况。</w:t>
      </w:r>
    </w:p>
    <w:p w14:paraId="5012D8C0">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1.6  采购人、采购代理机构不得向磋商小组中的评审专家作倾向性、误导性的解释或者说明。</w:t>
      </w:r>
    </w:p>
    <w:p w14:paraId="2F3920AB">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 xml:space="preserve">1.7 </w:t>
      </w:r>
      <w:r>
        <w:rPr>
          <w:rFonts w:hint="eastAsia" w:ascii="Times New Roman" w:hAnsi="Times New Roman" w:eastAsia="方正仿宋_GBK"/>
          <w:sz w:val="24"/>
          <w:szCs w:val="24"/>
        </w:rPr>
        <w:t xml:space="preserve"> </w:t>
      </w:r>
      <w:r>
        <w:rPr>
          <w:rFonts w:ascii="Times New Roman" w:hAnsi="Times New Roman" w:eastAsia="方正仿宋_GBK"/>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433E71">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C6C133D">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1.8  磋商小组所有成员应当集中与单一供应商分别进行磋商，并给予所有参加磋商的供应商平等的磋商机会。</w:t>
      </w:r>
    </w:p>
    <w:p w14:paraId="1266E03A">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 xml:space="preserve">1.9 </w:t>
      </w:r>
      <w:r>
        <w:rPr>
          <w:rFonts w:hint="eastAsia" w:ascii="Times New Roman" w:hAnsi="Times New Roman" w:eastAsia="方正仿宋_GBK"/>
          <w:sz w:val="24"/>
          <w:szCs w:val="24"/>
        </w:rPr>
        <w:t xml:space="preserve"> </w:t>
      </w:r>
      <w:r>
        <w:rPr>
          <w:rFonts w:ascii="Times New Roman" w:hAnsi="Times New Roman" w:eastAsia="方正仿宋_GBK"/>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5CF03010">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对磋商文件作出的实质性变动是磋商文件的有效组成部分，磋商小组应当及时以书面形式同时通知所有参加磋商的供应商。</w:t>
      </w:r>
    </w:p>
    <w:p w14:paraId="081721E1">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6E51ADB">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1.10</w:t>
      </w:r>
      <w:r>
        <w:rPr>
          <w:rFonts w:hint="eastAsia" w:ascii="Times New Roman" w:hAnsi="Times New Roman" w:eastAsia="方正仿宋_GBK"/>
          <w:sz w:val="24"/>
          <w:szCs w:val="24"/>
        </w:rPr>
        <w:t xml:space="preserve"> </w:t>
      </w:r>
      <w:r>
        <w:rPr>
          <w:rFonts w:ascii="Times New Roman" w:hAnsi="Times New Roman" w:eastAsia="方正仿宋_GBK"/>
          <w:sz w:val="24"/>
          <w:szCs w:val="24"/>
        </w:rPr>
        <w:t>磋商文件能够详细列明采购标的的技术、服务要求的，磋商结束后，磋商小组应当要求所有实质性响应的供应商在规定时间内提交最后报价，提交最后报价的供应商不得少于3家。</w:t>
      </w:r>
    </w:p>
    <w:p w14:paraId="6E4FD168">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E097ADD">
      <w:pPr>
        <w:pStyle w:val="87"/>
        <w:widowControl/>
        <w:kinsoku w:val="0"/>
        <w:topLinePunct/>
        <w:autoSpaceDE w:val="0"/>
        <w:autoSpaceDN w:val="0"/>
        <w:snapToGrid w:val="0"/>
        <w:spacing w:line="400" w:lineRule="exact"/>
        <w:ind w:firstLine="480"/>
        <w:textAlignment w:val="baseline"/>
        <w:rPr>
          <w:rFonts w:ascii="Times New Roman" w:hAnsi="Times New Roman" w:eastAsia="方正仿宋_GBK"/>
          <w:sz w:val="24"/>
          <w:szCs w:val="24"/>
        </w:rPr>
      </w:pPr>
      <w:r>
        <w:rPr>
          <w:rFonts w:ascii="Times New Roman" w:hAnsi="Times New Roman" w:eastAsia="方正仿宋_GBK"/>
          <w:sz w:val="24"/>
          <w:szCs w:val="24"/>
        </w:rPr>
        <w:t>最后报价是供应商响应文件的有效组成部分。</w:t>
      </w:r>
    </w:p>
    <w:p w14:paraId="449645C3">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1.11</w:t>
      </w:r>
      <w:r>
        <w:rPr>
          <w:rFonts w:hint="eastAsia" w:ascii="Times New Roman" w:hAnsi="Times New Roman" w:eastAsia="方正仿宋_GBK"/>
          <w:sz w:val="24"/>
          <w:szCs w:val="24"/>
        </w:rPr>
        <w:t xml:space="preserve"> </w:t>
      </w:r>
      <w:r>
        <w:rPr>
          <w:rFonts w:ascii="Times New Roman" w:hAnsi="Times New Roman" w:eastAsia="方正仿宋_GBK"/>
          <w:sz w:val="24"/>
          <w:szCs w:val="24"/>
        </w:rPr>
        <w:t>已提交响应文件的供应商，在提交最后报价之前，可以根据磋商情况退出磋商。采购人、采购代理机构应当退还退出磋商的供应商的磋商保证金。</w:t>
      </w:r>
    </w:p>
    <w:p w14:paraId="7E0B6F98">
      <w:pPr>
        <w:pStyle w:val="103"/>
        <w:widowControl/>
        <w:tabs>
          <w:tab w:val="left" w:pos="420"/>
        </w:tabs>
        <w:kinsoku w:val="0"/>
        <w:topLinePunct/>
        <w:autoSpaceDE w:val="0"/>
        <w:autoSpaceDN w:val="0"/>
        <w:snapToGrid w:val="0"/>
        <w:spacing w:line="400" w:lineRule="exact"/>
        <w:ind w:left="0" w:firstLine="0"/>
        <w:textAlignment w:val="baseline"/>
        <w:outlineLvl w:val="1"/>
        <w:rPr>
          <w:rFonts w:eastAsia="方正仿宋_GBK"/>
        </w:rPr>
      </w:pPr>
      <w:bookmarkStart w:id="843" w:name="_Toc12948"/>
      <w:bookmarkStart w:id="844" w:name="_Toc16069"/>
      <w:bookmarkStart w:id="845" w:name="_Toc20796"/>
      <w:r>
        <w:rPr>
          <w:rFonts w:eastAsia="方正仿宋_GBK"/>
        </w:rPr>
        <w:t xml:space="preserve">2.  </w:t>
      </w:r>
      <w:bookmarkStart w:id="846" w:name="_Toc16934"/>
      <w:r>
        <w:rPr>
          <w:rFonts w:eastAsia="方正仿宋_GBK"/>
        </w:rPr>
        <w:t xml:space="preserve"> 开标程序</w:t>
      </w:r>
      <w:bookmarkEnd w:id="843"/>
      <w:bookmarkEnd w:id="844"/>
      <w:bookmarkEnd w:id="845"/>
      <w:bookmarkEnd w:id="846"/>
    </w:p>
    <w:p w14:paraId="0310B273">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2.1  采购人和采购代理机构将按</w:t>
      </w:r>
      <w:r>
        <w:rPr>
          <w:rFonts w:ascii="Times New Roman" w:hAnsi="Times New Roman" w:eastAsia="方正仿宋_GBK"/>
          <w:b/>
          <w:bCs/>
          <w:sz w:val="24"/>
          <w:szCs w:val="24"/>
          <w:u w:val="single"/>
        </w:rPr>
        <w:t>投标人须知资料表</w:t>
      </w:r>
      <w:r>
        <w:rPr>
          <w:rFonts w:ascii="Times New Roman" w:hAnsi="Times New Roman" w:eastAsia="方正仿宋_GBK"/>
          <w:sz w:val="24"/>
          <w:szCs w:val="24"/>
        </w:rPr>
        <w:t>中规定的开标时间和地点组织竞争性磋商。</w:t>
      </w:r>
    </w:p>
    <w:p w14:paraId="17C6F42A">
      <w:pPr>
        <w:pStyle w:val="87"/>
        <w:widowControl/>
        <w:kinsoku w:val="0"/>
        <w:topLinePunct/>
        <w:autoSpaceDE w:val="0"/>
        <w:autoSpaceDN w:val="0"/>
        <w:snapToGrid w:val="0"/>
        <w:spacing w:line="400" w:lineRule="exact"/>
        <w:ind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2.2  有效投标供应商不足3家的，不得开标。</w:t>
      </w:r>
    </w:p>
    <w:p w14:paraId="114798BA">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2.3  采购代理机构点击开始解密后，投标供应商解密投标文件，解密时长为30分钟，供应商应使用与加密时使用的同一把CA锁进行解密操作。</w:t>
      </w:r>
    </w:p>
    <w:p w14:paraId="7190D69E">
      <w:pPr>
        <w:pStyle w:val="87"/>
        <w:widowControl/>
        <w:kinsoku w:val="0"/>
        <w:topLinePunct/>
        <w:autoSpaceDE w:val="0"/>
        <w:autoSpaceDN w:val="0"/>
        <w:snapToGrid w:val="0"/>
        <w:spacing w:line="400" w:lineRule="exact"/>
        <w:ind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2.4  竞争性磋商小组推荐选定组长，由组长负责本项目评审工作的统筹协调。</w:t>
      </w:r>
    </w:p>
    <w:p w14:paraId="12AD5D8E">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2.5  由采购代理机构工作人员开启报价文件并由供应商代表在线CA签字确认，报价确认时段限制为10分钟，由磋商小组进行报价评审及政策价格认定。</w:t>
      </w:r>
    </w:p>
    <w:p w14:paraId="0728D24D">
      <w:pPr>
        <w:pStyle w:val="87"/>
        <w:widowControl/>
        <w:kinsoku w:val="0"/>
        <w:topLinePunct/>
        <w:autoSpaceDE w:val="0"/>
        <w:autoSpaceDN w:val="0"/>
        <w:snapToGrid w:val="0"/>
        <w:spacing w:line="400" w:lineRule="exact"/>
        <w:ind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2.6  采购代理机构将对开标过程进行全称录音录像，并存档备查。</w:t>
      </w:r>
    </w:p>
    <w:p w14:paraId="40F8098D">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2.7  供应商代表对开标过程和开标记录有疑义，以及认为采购人、采购代理机构相关工作人员有需要回避的情形的，应当场提出询问或者回避申请。</w:t>
      </w:r>
    </w:p>
    <w:p w14:paraId="41ECB39C">
      <w:pPr>
        <w:pStyle w:val="103"/>
        <w:widowControl/>
        <w:tabs>
          <w:tab w:val="left" w:pos="420"/>
        </w:tabs>
        <w:kinsoku w:val="0"/>
        <w:topLinePunct/>
        <w:autoSpaceDE w:val="0"/>
        <w:autoSpaceDN w:val="0"/>
        <w:snapToGrid w:val="0"/>
        <w:spacing w:line="400" w:lineRule="exact"/>
        <w:ind w:left="0" w:firstLine="0"/>
        <w:textAlignment w:val="baseline"/>
        <w:outlineLvl w:val="1"/>
        <w:rPr>
          <w:rFonts w:eastAsia="方正仿宋_GBK"/>
        </w:rPr>
      </w:pPr>
      <w:bookmarkStart w:id="847" w:name="_Toc14856"/>
      <w:bookmarkStart w:id="848" w:name="_Toc25146"/>
      <w:bookmarkStart w:id="849" w:name="_Toc11172"/>
      <w:r>
        <w:rPr>
          <w:rFonts w:eastAsia="方正仿宋_GBK"/>
        </w:rPr>
        <w:t xml:space="preserve">3.  </w:t>
      </w:r>
      <w:bookmarkStart w:id="850" w:name="_Toc111"/>
      <w:r>
        <w:rPr>
          <w:rFonts w:eastAsia="方正仿宋_GBK"/>
        </w:rPr>
        <w:t xml:space="preserve"> 评标程序</w:t>
      </w:r>
      <w:bookmarkEnd w:id="847"/>
      <w:bookmarkEnd w:id="848"/>
      <w:bookmarkEnd w:id="849"/>
      <w:bookmarkEnd w:id="850"/>
    </w:p>
    <w:p w14:paraId="624CCAAD">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3.1 采用竞争性磋商采购的政府采购项目，评审专家应当从政府采购评审专家库内相关专业的专家名单中随机抽取。</w:t>
      </w:r>
    </w:p>
    <w:p w14:paraId="7FB0D6C5">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3.2  评标过程中，采购人和采购代理机构将对评审专家在政府采购活动中职责履行情况予以记录，并及时将有关违法违规行为向财政部门报告。</w:t>
      </w:r>
    </w:p>
    <w:p w14:paraId="30A1D0EF">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3.3  采购人和采购代理机构，磋商小组成员要严格遵守政府采购相关法律制度，依法履行各自职责，公正、客观、审慎地组织和参与评审工作。</w:t>
      </w:r>
    </w:p>
    <w:p w14:paraId="2972360D">
      <w:pPr>
        <w:pStyle w:val="87"/>
        <w:widowControl/>
        <w:kinsoku w:val="0"/>
        <w:topLinePunct/>
        <w:autoSpaceDE w:val="0"/>
        <w:autoSpaceDN w:val="0"/>
        <w:snapToGrid w:val="0"/>
        <w:spacing w:line="400" w:lineRule="exact"/>
        <w:ind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3.4  磋商小组成员要依法独立评审，并对评审意见承担个人责任。</w:t>
      </w:r>
    </w:p>
    <w:p w14:paraId="1072B06E">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3.5  采购人、采购代理机构要确保评审活动在严格保密的情况下进行。磋商小组会成员、采购人和采购代理机构工作人员、相关监督人员等与评审有关的人员，对评审情况以及在评审过程中获悉的国家秘密、商业秘密负有保密责任。</w:t>
      </w:r>
    </w:p>
    <w:p w14:paraId="72115EFA">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3.6  采购人、采购代理机构和评审委员会在评审工作中，要依法相互监督和制约，并自觉接受本级财政部门的监督。</w:t>
      </w:r>
    </w:p>
    <w:p w14:paraId="3A753F13">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3.7  评磋商小组要根据政府采购法律法规和采购文件所载明的评审方法、标准依法依规进行评审。</w:t>
      </w:r>
    </w:p>
    <w:p w14:paraId="057AC629">
      <w:pPr>
        <w:pStyle w:val="87"/>
        <w:widowControl/>
        <w:kinsoku w:val="0"/>
        <w:topLinePunct/>
        <w:autoSpaceDE w:val="0"/>
        <w:autoSpaceDN w:val="0"/>
        <w:snapToGrid w:val="0"/>
        <w:spacing w:line="400" w:lineRule="exact"/>
        <w:ind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3.8  评审专家在政府采购活动中应当遵守以下工作纪律：</w:t>
      </w:r>
    </w:p>
    <w:p w14:paraId="57A11E61">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（一）应邀按时参加评审和咨询活动。遇特殊情况不能出席或途中遇阻不能按时参加评审或咨询的，应及时告知采购人或者采购代理机构，不得私自转托他人；</w:t>
      </w:r>
    </w:p>
    <w:p w14:paraId="72BFD8B7">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二）不得参加与自己有利害关系的政府采购项目的评审活动。对与自己有利害关系的评审项目，如受到邀请，应主动提出回避。行政监管部门、采购人或采购代理机构也可要求该评审专家回避；有利害关系主要是指三年内曾在参加该采购项目供应商中任职(包括一般工作) 或担任顾问，配偶或直系亲属在参加该采购项目的供应商中任职或担任顾问，与参加该采购项目供应商发生过法律纠纷，以及其他可能影响公正评审的情况；</w:t>
      </w:r>
    </w:p>
    <w:p w14:paraId="5A91048C">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 xml:space="preserve">   （三）评审或咨询过程中关闭通讯设备，不得与外界联系。因发生不可预见情况，确实需要与外界联系的，应当有在场工作人员陪同；</w:t>
      </w:r>
    </w:p>
    <w:p w14:paraId="4CB2756E">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四）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磋商文件没有规定的方法和标准作为评审的依据；不得违反规定的评审格式评分和撰写评审意见；不得拒绝对自己的评审意见签字确认；</w:t>
      </w:r>
    </w:p>
    <w:p w14:paraId="06DF8AED">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（五）在咨询工作中，严格执行国家产业政策和产品标准，认真听取咨询方的合理要求， 提出科学合理的、无倾向性和歧视性的咨询方案，并对所提出的意见和建议承担个人责任；</w:t>
      </w:r>
    </w:p>
    <w:p w14:paraId="36C990F7">
      <w:pPr>
        <w:pStyle w:val="87"/>
        <w:widowControl/>
        <w:kinsoku w:val="0"/>
        <w:topLinePunct/>
        <w:autoSpaceDE w:val="0"/>
        <w:autoSpaceDN w:val="0"/>
        <w:snapToGrid w:val="0"/>
        <w:spacing w:line="400" w:lineRule="exact"/>
        <w:ind w:firstLine="480"/>
        <w:textAlignment w:val="baseline"/>
        <w:rPr>
          <w:rFonts w:ascii="Times New Roman" w:hAnsi="Times New Roman" w:eastAsia="方正仿宋_GBK"/>
          <w:sz w:val="24"/>
          <w:szCs w:val="24"/>
        </w:rPr>
      </w:pPr>
      <w:r>
        <w:rPr>
          <w:rFonts w:ascii="Times New Roman" w:hAnsi="Times New Roman" w:eastAsia="方正仿宋_GBK"/>
          <w:sz w:val="24"/>
          <w:szCs w:val="24"/>
        </w:rPr>
        <w:t>（六）法律、法规和规章规定的其他评审工作纪律。</w:t>
      </w:r>
    </w:p>
    <w:p w14:paraId="11EB1210">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3.9  经磋商确定最终采购需求和提交最后报价的供应商后，由磋商小组采用</w:t>
      </w:r>
      <w:r>
        <w:rPr>
          <w:rFonts w:ascii="Times New Roman" w:hAnsi="Times New Roman" w:eastAsia="方正仿宋_GBK"/>
          <w:b/>
          <w:bCs/>
          <w:sz w:val="24"/>
          <w:szCs w:val="24"/>
          <w:u w:val="single"/>
        </w:rPr>
        <w:t>综合评分法</w:t>
      </w:r>
      <w:r>
        <w:rPr>
          <w:rFonts w:ascii="Times New Roman" w:hAnsi="Times New Roman" w:eastAsia="方正仿宋_GBK"/>
          <w:sz w:val="24"/>
          <w:szCs w:val="24"/>
        </w:rPr>
        <w:t>对提交最后报价的供应商的响应文件和最后报价进行综合评分。</w:t>
      </w:r>
    </w:p>
    <w:p w14:paraId="017395D4">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综合评分法，是指响应文件满足磋商文件全部实质性要求且按评审因素的量化指标评审得分最高的供应商为成交候选供应商的评审方法。</w:t>
      </w:r>
    </w:p>
    <w:p w14:paraId="6C8D0B3F">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3.10</w:t>
      </w:r>
      <w:bookmarkStart w:id="851" w:name="_Toc32042"/>
      <w:bookmarkStart w:id="852" w:name="_Toc21624"/>
      <w:r>
        <w:rPr>
          <w:rFonts w:ascii="Times New Roman" w:hAnsi="Times New Roman" w:eastAsia="方正仿宋_GBK"/>
          <w:sz w:val="24"/>
          <w:szCs w:val="24"/>
        </w:rPr>
        <w:t xml:space="preserve"> 综合评分法评审标准中的分值设置应当与评审因素的量化指标相对应。磋商文件中没有规定的评审标准不得作为评审依据。</w:t>
      </w:r>
    </w:p>
    <w:p w14:paraId="17413927">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评审时，磋商小组各成员应当独立对每个有效响应的文件进行评价、打分，然后汇总每个供应商每项评分因素的得分。</w:t>
      </w:r>
    </w:p>
    <w:p w14:paraId="3039DD5A">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综合评分法货物项目的价格分值占总分值的比重(即权值)为30％至60％，服务项目的价格分值占总分值的比重(即权值)为10％至30％。采购项目中含不同采购对象的，以占项目资金比例最高的采购对象确定其项目属性。符合《政府采购竞争性磋商采购方式管理暂行办法》第三条第三项的规定和执行统一价格标准的项目，其价格不列为评分因素。有特殊情况需要在上述规定范围外设定价格分权重的，应当经本级人民政府财政部门审核同意。</w:t>
      </w:r>
    </w:p>
    <w:p w14:paraId="0C8E1642">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综合评分法中的价格分统一采用低价优先法计算，即满足磋商文件要求且最后报价最低的供应商的价格为磋商基准价，其价格分为满分。其他供应商的价格分统一按照下列公式计算：</w:t>
      </w:r>
    </w:p>
    <w:p w14:paraId="4DAAB57E">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磋商报价得分=（磋商基准价/最后磋商报价）×价格权值×100</w:t>
      </w:r>
    </w:p>
    <w:p w14:paraId="32918B10">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项目评审过程中，不得去掉最后报价中的最高报价和最低报价。</w:t>
      </w:r>
    </w:p>
    <w:p w14:paraId="3EC4B64B">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05088943">
      <w:pPr>
        <w:pStyle w:val="87"/>
        <w:widowControl/>
        <w:kinsoku w:val="0"/>
        <w:topLinePunct/>
        <w:autoSpaceDE w:val="0"/>
        <w:autoSpaceDN w:val="0"/>
        <w:snapToGrid w:val="0"/>
        <w:spacing w:line="400" w:lineRule="exact"/>
        <w:ind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3.11评审报告应当包括以下主要内容：</w:t>
      </w:r>
    </w:p>
    <w:p w14:paraId="3955C6CF">
      <w:pPr>
        <w:pStyle w:val="87"/>
        <w:widowControl/>
        <w:kinsoku w:val="0"/>
        <w:topLinePunct/>
        <w:autoSpaceDE w:val="0"/>
        <w:autoSpaceDN w:val="0"/>
        <w:snapToGrid w:val="0"/>
        <w:spacing w:line="400" w:lineRule="exact"/>
        <w:ind w:firstLine="480"/>
        <w:textAlignment w:val="baseline"/>
        <w:rPr>
          <w:rFonts w:ascii="Times New Roman" w:hAnsi="Times New Roman" w:eastAsia="方正仿宋_GBK"/>
          <w:sz w:val="24"/>
          <w:szCs w:val="24"/>
        </w:rPr>
      </w:pPr>
      <w:r>
        <w:rPr>
          <w:rFonts w:ascii="Times New Roman" w:hAnsi="Times New Roman" w:eastAsia="方正仿宋_GBK"/>
          <w:sz w:val="24"/>
          <w:szCs w:val="24"/>
        </w:rPr>
        <w:t>（一）邀请供应商参加采购活动的具体方式和相关情况；</w:t>
      </w:r>
    </w:p>
    <w:p w14:paraId="57E576AB">
      <w:pPr>
        <w:pStyle w:val="87"/>
        <w:widowControl/>
        <w:kinsoku w:val="0"/>
        <w:topLinePunct/>
        <w:autoSpaceDE w:val="0"/>
        <w:autoSpaceDN w:val="0"/>
        <w:snapToGrid w:val="0"/>
        <w:spacing w:line="400" w:lineRule="exact"/>
        <w:ind w:firstLine="480"/>
        <w:textAlignment w:val="baseline"/>
        <w:rPr>
          <w:rFonts w:ascii="Times New Roman" w:hAnsi="Times New Roman" w:eastAsia="方正仿宋_GBK"/>
          <w:sz w:val="24"/>
          <w:szCs w:val="24"/>
        </w:rPr>
      </w:pPr>
      <w:r>
        <w:rPr>
          <w:rFonts w:ascii="Times New Roman" w:hAnsi="Times New Roman" w:eastAsia="方正仿宋_GBK"/>
          <w:sz w:val="24"/>
          <w:szCs w:val="24"/>
        </w:rPr>
        <w:t>（二）响应文件开启日期和地点；</w:t>
      </w:r>
    </w:p>
    <w:p w14:paraId="38CB8FF8">
      <w:pPr>
        <w:pStyle w:val="87"/>
        <w:widowControl/>
        <w:kinsoku w:val="0"/>
        <w:topLinePunct/>
        <w:autoSpaceDE w:val="0"/>
        <w:autoSpaceDN w:val="0"/>
        <w:snapToGrid w:val="0"/>
        <w:spacing w:line="400" w:lineRule="exact"/>
        <w:ind w:firstLine="480"/>
        <w:textAlignment w:val="baseline"/>
        <w:rPr>
          <w:rFonts w:ascii="Times New Roman" w:hAnsi="Times New Roman" w:eastAsia="方正仿宋_GBK"/>
          <w:sz w:val="24"/>
          <w:szCs w:val="24"/>
        </w:rPr>
      </w:pPr>
      <w:r>
        <w:rPr>
          <w:rFonts w:ascii="Times New Roman" w:hAnsi="Times New Roman" w:eastAsia="方正仿宋_GBK"/>
          <w:sz w:val="24"/>
          <w:szCs w:val="24"/>
        </w:rPr>
        <w:t>（三）获取磋商文件的供应商名单和磋商小组成员名单；</w:t>
      </w:r>
    </w:p>
    <w:p w14:paraId="1A50076B">
      <w:pPr>
        <w:pStyle w:val="87"/>
        <w:widowControl/>
        <w:kinsoku w:val="0"/>
        <w:topLinePunct/>
        <w:autoSpaceDE w:val="0"/>
        <w:autoSpaceDN w:val="0"/>
        <w:snapToGrid w:val="0"/>
        <w:spacing w:line="400" w:lineRule="exact"/>
        <w:ind w:left="478" w:leftChars="228" w:firstLine="0" w:firstLineChars="0"/>
        <w:textAlignment w:val="baseline"/>
        <w:rPr>
          <w:rFonts w:ascii="Times New Roman" w:hAnsi="Times New Roman" w:eastAsia="方正仿宋_GBK"/>
          <w:sz w:val="24"/>
          <w:szCs w:val="24"/>
        </w:rPr>
      </w:pPr>
      <w:r>
        <w:rPr>
          <w:rFonts w:ascii="Times New Roman" w:hAnsi="Times New Roman" w:eastAsia="方正仿宋_GBK"/>
          <w:sz w:val="24"/>
          <w:szCs w:val="24"/>
        </w:rPr>
        <w:t>（四）评审情况记录和说明，包括对供应商的资格审查情况、供应商响应文件评审情况、磋商情况、报价情况等；</w:t>
      </w:r>
    </w:p>
    <w:p w14:paraId="5154A74B">
      <w:pPr>
        <w:pStyle w:val="87"/>
        <w:widowControl/>
        <w:kinsoku w:val="0"/>
        <w:topLinePunct/>
        <w:autoSpaceDE w:val="0"/>
        <w:autoSpaceDN w:val="0"/>
        <w:snapToGrid w:val="0"/>
        <w:spacing w:line="400" w:lineRule="exact"/>
        <w:ind w:firstLine="480"/>
        <w:textAlignment w:val="baseline"/>
        <w:rPr>
          <w:rFonts w:ascii="Times New Roman" w:hAnsi="Times New Roman" w:eastAsia="方正仿宋_GBK"/>
          <w:sz w:val="24"/>
          <w:szCs w:val="24"/>
        </w:rPr>
      </w:pPr>
      <w:r>
        <w:rPr>
          <w:rFonts w:ascii="Times New Roman" w:hAnsi="Times New Roman" w:eastAsia="方正仿宋_GBK"/>
          <w:sz w:val="24"/>
          <w:szCs w:val="24"/>
        </w:rPr>
        <w:t>（五）提出的成交候选供应商的排序名单及理由。</w:t>
      </w:r>
    </w:p>
    <w:p w14:paraId="56B9A893">
      <w:pPr>
        <w:pStyle w:val="87"/>
        <w:widowControl/>
        <w:kinsoku w:val="0"/>
        <w:topLinePunct/>
        <w:autoSpaceDE w:val="0"/>
        <w:autoSpaceDN w:val="0"/>
        <w:snapToGrid w:val="0"/>
        <w:spacing w:line="400" w:lineRule="exact"/>
        <w:ind w:left="480" w:hanging="480" w:hangingChars="200"/>
        <w:textAlignment w:val="baseline"/>
        <w:rPr>
          <w:rFonts w:ascii="Times New Roman" w:hAnsi="Times New Roman" w:eastAsia="方正仿宋_GBK"/>
          <w:sz w:val="24"/>
          <w:szCs w:val="24"/>
        </w:rPr>
      </w:pPr>
      <w:r>
        <w:rPr>
          <w:rFonts w:ascii="Times New Roman" w:hAnsi="Times New Roman" w:eastAsia="方正仿宋_GBK"/>
          <w:sz w:val="24"/>
          <w:szCs w:val="24"/>
        </w:rPr>
        <w:t>3.12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A4B189A">
      <w:pPr>
        <w:pStyle w:val="87"/>
        <w:widowControl/>
        <w:kinsoku w:val="0"/>
        <w:topLinePunct/>
        <w:autoSpaceDE w:val="0"/>
        <w:autoSpaceDN w:val="0"/>
        <w:snapToGrid w:val="0"/>
        <w:spacing w:line="400" w:lineRule="exact"/>
        <w:ind w:firstLine="0" w:firstLineChars="0"/>
        <w:textAlignment w:val="baseline"/>
        <w:rPr>
          <w:rFonts w:ascii="Times New Roman" w:hAnsi="Times New Roman" w:eastAsia="方正仿宋_GBK"/>
          <w:b/>
          <w:bCs/>
          <w:sz w:val="24"/>
          <w:szCs w:val="24"/>
        </w:rPr>
      </w:pPr>
      <w:r>
        <w:rPr>
          <w:rFonts w:ascii="Times New Roman" w:hAnsi="Times New Roman" w:eastAsia="方正仿宋_GBK"/>
          <w:b/>
          <w:bCs/>
          <w:sz w:val="24"/>
          <w:szCs w:val="24"/>
        </w:rPr>
        <w:t xml:space="preserve">4.  </w:t>
      </w:r>
      <w:bookmarkStart w:id="853" w:name="_Toc15303"/>
      <w:r>
        <w:rPr>
          <w:rFonts w:ascii="Times New Roman" w:hAnsi="Times New Roman" w:eastAsia="方正仿宋_GBK"/>
          <w:b/>
          <w:bCs/>
          <w:sz w:val="24"/>
          <w:szCs w:val="24"/>
        </w:rPr>
        <w:t>定标程序</w:t>
      </w:r>
      <w:bookmarkEnd w:id="851"/>
      <w:bookmarkEnd w:id="852"/>
      <w:bookmarkEnd w:id="853"/>
    </w:p>
    <w:p w14:paraId="02F63273">
      <w:pPr>
        <w:pStyle w:val="87"/>
        <w:widowControl/>
        <w:tabs>
          <w:tab w:val="left" w:pos="1654"/>
        </w:tabs>
        <w:kinsoku w:val="0"/>
        <w:topLinePunct/>
        <w:autoSpaceDE w:val="0"/>
        <w:autoSpaceDN w:val="0"/>
        <w:snapToGrid w:val="0"/>
        <w:spacing w:line="400" w:lineRule="exact"/>
        <w:ind w:firstLine="480"/>
        <w:textAlignment w:val="baseline"/>
        <w:rPr>
          <w:rFonts w:ascii="Times New Roman" w:hAnsi="Times New Roman" w:eastAsia="方正仿宋_GBK"/>
          <w:sz w:val="24"/>
          <w:szCs w:val="24"/>
        </w:rPr>
      </w:pPr>
      <w:r>
        <w:rPr>
          <w:rFonts w:ascii="Times New Roman" w:hAnsi="Times New Roman" w:eastAsia="方正仿宋_GBK"/>
          <w:sz w:val="24"/>
          <w:szCs w:val="24"/>
        </w:rPr>
        <w:t>（一）采购代理机构应当在评审结束后2个工作日内将评审报告送采购人确认。</w:t>
      </w:r>
    </w:p>
    <w:p w14:paraId="671B61CE">
      <w:pPr>
        <w:widowControl/>
        <w:kinsoku w:val="0"/>
        <w:topLinePunct/>
        <w:autoSpaceDE w:val="0"/>
        <w:autoSpaceDN w:val="0"/>
        <w:snapToGrid w:val="0"/>
        <w:spacing w:line="400" w:lineRule="exact"/>
        <w:ind w:left="478" w:leftChars="228"/>
        <w:textAlignment w:val="baseline"/>
        <w:rPr>
          <w:rFonts w:eastAsia="方正仿宋_GBK"/>
          <w:sz w:val="24"/>
        </w:rPr>
      </w:pPr>
      <w:r>
        <w:rPr>
          <w:rFonts w:eastAsia="方正仿宋_GBK"/>
          <w:sz w:val="24"/>
        </w:rPr>
        <w:t>（二）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tbl>
      <w:tblPr>
        <w:tblStyle w:val="38"/>
        <w:tblpPr w:leftFromText="180" w:rightFromText="180" w:vertAnchor="text" w:tblpX="12139" w:tblpY="-10476"/>
        <w:tblOverlap w:val="never"/>
        <w:tblW w:w="1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tblGrid>
      <w:tr w14:paraId="24CA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83" w:type="dxa"/>
          </w:tcPr>
          <w:p w14:paraId="1E5A3DC2">
            <w:pPr>
              <w:pStyle w:val="2"/>
              <w:widowControl/>
              <w:kinsoku w:val="0"/>
              <w:topLinePunct/>
              <w:adjustRightInd/>
              <w:snapToGrid w:val="0"/>
              <w:spacing w:line="400" w:lineRule="exact"/>
              <w:ind w:firstLine="0"/>
              <w:jc w:val="both"/>
              <w:textAlignment w:val="baseline"/>
              <w:rPr>
                <w:rFonts w:ascii="Times New Roman" w:eastAsia="方正仿宋_GBK"/>
                <w:szCs w:val="24"/>
              </w:rPr>
            </w:pPr>
          </w:p>
        </w:tc>
      </w:tr>
    </w:tbl>
    <w:p w14:paraId="0152D227">
      <w:pPr>
        <w:widowControl/>
        <w:kinsoku w:val="0"/>
        <w:topLinePunct/>
        <w:autoSpaceDE w:val="0"/>
        <w:autoSpaceDN w:val="0"/>
        <w:snapToGrid w:val="0"/>
        <w:spacing w:line="400" w:lineRule="exact"/>
        <w:textAlignment w:val="baseline"/>
        <w:outlineLvl w:val="1"/>
        <w:rPr>
          <w:rFonts w:eastAsia="方正仿宋_GBK"/>
          <w:b/>
          <w:bCs/>
          <w:sz w:val="24"/>
        </w:rPr>
      </w:pPr>
      <w:bookmarkStart w:id="854" w:name="_Toc30523"/>
      <w:bookmarkStart w:id="855" w:name="_Toc17093"/>
      <w:bookmarkStart w:id="856" w:name="_Toc19199"/>
      <w:r>
        <w:rPr>
          <w:rFonts w:eastAsia="方正仿宋_GBK"/>
          <w:b/>
          <w:bCs/>
          <w:sz w:val="24"/>
        </w:rPr>
        <w:t>5.  其他政府采购政策要求：</w:t>
      </w:r>
      <w:bookmarkEnd w:id="854"/>
      <w:bookmarkEnd w:id="855"/>
      <w:bookmarkEnd w:id="856"/>
    </w:p>
    <w:p w14:paraId="79D29C76">
      <w:pPr>
        <w:widowControl/>
        <w:kinsoku w:val="0"/>
        <w:topLinePunct/>
        <w:autoSpaceDE w:val="0"/>
        <w:autoSpaceDN w:val="0"/>
        <w:snapToGrid w:val="0"/>
        <w:spacing w:line="400" w:lineRule="exact"/>
        <w:ind w:left="478" w:leftChars="228"/>
        <w:textAlignment w:val="baseline"/>
        <w:rPr>
          <w:rFonts w:eastAsia="方正仿宋_GBK"/>
          <w:sz w:val="24"/>
        </w:rPr>
      </w:pPr>
      <w:r>
        <w:rPr>
          <w:rFonts w:eastAsia="方正仿宋_GBK"/>
          <w:sz w:val="24"/>
        </w:rPr>
        <w:t>（一）《政府采购促进中小企业发展管理办法》（财库[2020]46号）、《关于进一步加大政府采购支持中小企业力度的通知》（财库[2022]19号）、《财政部发展改革委 生态环境部 市场监管总局 关于调整优化节能产品、环境标志产品政府采购执行机制的通知》</w:t>
      </w:r>
      <w:bookmarkStart w:id="857" w:name="OLE_LINK1"/>
      <w:r>
        <w:rPr>
          <w:rFonts w:eastAsia="方正仿宋_GBK"/>
          <w:sz w:val="24"/>
        </w:rPr>
        <w:t>（财库〔2019〕9号</w:t>
      </w:r>
      <w:bookmarkEnd w:id="857"/>
      <w:r>
        <w:rPr>
          <w:rFonts w:eastAsia="方正仿宋_GBK"/>
          <w:sz w:val="24"/>
        </w:rPr>
        <w:t>）</w:t>
      </w:r>
      <w:r>
        <w:rPr>
          <w:rFonts w:hint="eastAsia" w:eastAsia="方正仿宋_GBK"/>
          <w:sz w:val="24"/>
        </w:rPr>
        <w:t>、</w:t>
      </w:r>
      <w:r>
        <w:rPr>
          <w:rFonts w:eastAsia="方正仿宋_GBK"/>
          <w:sz w:val="24"/>
        </w:rPr>
        <w:t>《财政部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对于未预留份额专门面向中小企业的采购项目，以及预留份额项目中的非预留部分采购包，采购人、采购代理机构应当对符合规定的小微企业报价给予</w:t>
      </w:r>
      <w:r>
        <w:rPr>
          <w:rFonts w:eastAsia="方正仿宋_GBK"/>
          <w:sz w:val="24"/>
          <w:u w:val="single"/>
        </w:rPr>
        <w:t>10%~20%</w:t>
      </w:r>
      <w:r>
        <w:rPr>
          <w:rFonts w:eastAsia="方正仿宋_GBK"/>
          <w:sz w:val="24"/>
        </w:rPr>
        <w:t>的扣除，用扣除后的价格参加评审。对于同时属于小微企业、监狱企业或残疾人福利性单位的，不重复进行投标报价扣除。</w:t>
      </w:r>
    </w:p>
    <w:p w14:paraId="0148E7BE">
      <w:pPr>
        <w:widowControl/>
        <w:kinsoku w:val="0"/>
        <w:topLinePunct/>
        <w:autoSpaceDE w:val="0"/>
        <w:autoSpaceDN w:val="0"/>
        <w:snapToGrid w:val="0"/>
        <w:spacing w:line="400" w:lineRule="exact"/>
        <w:ind w:left="478" w:leftChars="228"/>
        <w:textAlignment w:val="baseline"/>
        <w:rPr>
          <w:rFonts w:eastAsia="方正仿宋_GBK"/>
          <w:sz w:val="24"/>
        </w:rPr>
      </w:pPr>
      <w:r>
        <w:rPr>
          <w:rFonts w:eastAsia="方正仿宋_GBK"/>
          <w:sz w:val="24"/>
        </w:rPr>
        <w:t>（二）</w:t>
      </w:r>
      <w:r>
        <w:rPr>
          <w:rFonts w:eastAsia="方正仿宋_GBK"/>
          <w:b/>
          <w:bCs/>
          <w:sz w:val="24"/>
        </w:rPr>
        <w:t>（本项目不接受联合体投标）</w:t>
      </w:r>
      <w:r>
        <w:rPr>
          <w:rFonts w:eastAsia="方正仿宋_GBK"/>
          <w:sz w:val="24"/>
        </w:rPr>
        <w:t>联合协议中约定，小型、微型企业和监狱企业的协议合同金额占到联合体协议合同总金额30%以上的，可给予联合体</w:t>
      </w:r>
      <w:r>
        <w:rPr>
          <w:rFonts w:eastAsia="方正仿宋_GBK"/>
          <w:sz w:val="24"/>
          <w:u w:val="single"/>
        </w:rPr>
        <w:t xml:space="preserve">  /   </w:t>
      </w:r>
      <w:r>
        <w:rPr>
          <w:rFonts w:eastAsia="方正仿宋_GBK"/>
          <w:sz w:val="24"/>
        </w:rPr>
        <w:t>%的价格扣除。联合体各方均为小型、微型企业和监狱企业的，联合体视同为小型、微型企业和监狱企业。</w:t>
      </w:r>
    </w:p>
    <w:p w14:paraId="49C54B82">
      <w:pPr>
        <w:pStyle w:val="12"/>
        <w:widowControl/>
        <w:kinsoku w:val="0"/>
        <w:topLinePunct/>
        <w:autoSpaceDE w:val="0"/>
        <w:autoSpaceDN w:val="0"/>
        <w:snapToGrid w:val="0"/>
        <w:spacing w:before="0" w:line="400" w:lineRule="exact"/>
        <w:ind w:left="478" w:leftChars="228"/>
        <w:textAlignment w:val="baseline"/>
        <w:rPr>
          <w:rFonts w:ascii="Times New Roman" w:hAnsi="Times New Roman" w:eastAsia="方正仿宋_GBK"/>
          <w:u w:val="single"/>
        </w:rPr>
      </w:pPr>
      <w:r>
        <w:rPr>
          <w:rFonts w:ascii="Times New Roman" w:hAnsi="Times New Roman" w:eastAsia="方正仿宋_GBK"/>
        </w:rPr>
        <w:t>（三）投标人所投产品如被列入财政部与国家主管部门颁发的节能产品目录或环境标志产品目录或无线局域网产品目录，应提供相关证明，在评标时予以优先采购，具体优惠措施为</w:t>
      </w:r>
      <w:r>
        <w:rPr>
          <w:rFonts w:ascii="Times New Roman" w:hAnsi="Times New Roman" w:eastAsia="方正仿宋_GBK"/>
          <w:u w:val="single"/>
        </w:rPr>
        <w:t>：《财政部、发展改革委、生态环境部、市场监管总局关于优化节能产品、环境标志产品政府采购执行机制的通知》（财库〔2019〕9 号）。</w:t>
      </w:r>
    </w:p>
    <w:p w14:paraId="26B4B929">
      <w:pPr>
        <w:pStyle w:val="12"/>
        <w:widowControl/>
        <w:kinsoku w:val="0"/>
        <w:topLinePunct/>
        <w:autoSpaceDE w:val="0"/>
        <w:autoSpaceDN w:val="0"/>
        <w:snapToGrid w:val="0"/>
        <w:spacing w:before="0" w:line="400" w:lineRule="exact"/>
        <w:ind w:left="478" w:leftChars="228"/>
        <w:textAlignment w:val="baseline"/>
        <w:rPr>
          <w:rFonts w:ascii="Times New Roman" w:hAnsi="Times New Roman" w:eastAsia="方正仿宋_GBK"/>
        </w:rPr>
      </w:pPr>
      <w:r>
        <w:rPr>
          <w:rFonts w:ascii="Times New Roman" w:hAnsi="Times New Roman" w:eastAsia="方正仿宋_GBK"/>
        </w:rPr>
        <w:t>（四）如采购人所采购产品为政府强制采购的节能产品，投标人所投产品的品牌及型号必须为清单中有效期内产品并提供证明文件，否则其投标将被认定为</w:t>
      </w:r>
      <w:r>
        <w:rPr>
          <w:rFonts w:ascii="Times New Roman" w:hAnsi="Times New Roman" w:eastAsia="方正仿宋_GBK"/>
          <w:b/>
          <w:bCs/>
        </w:rPr>
        <w:t>投标无效</w:t>
      </w:r>
      <w:r>
        <w:rPr>
          <w:rFonts w:ascii="Times New Roman" w:hAnsi="Times New Roman" w:eastAsia="方正仿宋_GBK"/>
        </w:rPr>
        <w:t>。</w:t>
      </w:r>
    </w:p>
    <w:p w14:paraId="41C0432F">
      <w:pPr>
        <w:pStyle w:val="12"/>
        <w:widowControl/>
        <w:kinsoku w:val="0"/>
        <w:topLinePunct/>
        <w:autoSpaceDE w:val="0"/>
        <w:autoSpaceDN w:val="0"/>
        <w:snapToGrid w:val="0"/>
        <w:spacing w:before="0" w:line="400" w:lineRule="exact"/>
        <w:ind w:firstLine="480" w:firstLineChars="200"/>
        <w:textAlignment w:val="baseline"/>
        <w:rPr>
          <w:rFonts w:ascii="Times New Roman" w:hAnsi="Times New Roman" w:eastAsia="方正仿宋_GBK"/>
        </w:rPr>
      </w:pPr>
      <w:r>
        <w:rPr>
          <w:rFonts w:ascii="Times New Roman" w:hAnsi="Times New Roman" w:eastAsia="方正仿宋_GBK"/>
        </w:rPr>
        <w:t>（五）对创新产品或创新性企业的优惠措施为</w:t>
      </w:r>
      <w:r>
        <w:rPr>
          <w:rFonts w:ascii="Times New Roman" w:hAnsi="Times New Roman" w:eastAsia="方正仿宋_GBK"/>
          <w:u w:val="single"/>
        </w:rPr>
        <w:t xml:space="preserve">： 无      </w:t>
      </w:r>
    </w:p>
    <w:p w14:paraId="459259F7">
      <w:pPr>
        <w:pStyle w:val="28"/>
        <w:rPr>
          <w:rFonts w:eastAsia="方正仿宋_GBK"/>
          <w:sz w:val="24"/>
        </w:rPr>
      </w:pPr>
    </w:p>
    <w:p w14:paraId="72459EA6">
      <w:pPr>
        <w:pStyle w:val="28"/>
        <w:rPr>
          <w:rFonts w:ascii="微软雅黑" w:hAnsi="微软雅黑" w:eastAsia="微软雅黑" w:cs="微软雅黑"/>
        </w:rPr>
      </w:pPr>
    </w:p>
    <w:p w14:paraId="0EA35E46">
      <w:pPr>
        <w:pStyle w:val="28"/>
        <w:rPr>
          <w:rFonts w:ascii="微软雅黑" w:hAnsi="微软雅黑" w:eastAsia="微软雅黑" w:cs="微软雅黑"/>
        </w:rPr>
      </w:pPr>
    </w:p>
    <w:p w14:paraId="3D768B5A">
      <w:pPr>
        <w:snapToGrid w:val="0"/>
        <w:spacing w:line="360" w:lineRule="exact"/>
        <w:textAlignment w:val="baseline"/>
        <w:outlineLvl w:val="1"/>
        <w:rPr>
          <w:rFonts w:ascii="微软雅黑" w:hAnsi="微软雅黑" w:eastAsia="微软雅黑" w:cs="微软雅黑"/>
          <w:b/>
          <w:bCs/>
          <w:sz w:val="24"/>
        </w:rPr>
      </w:pPr>
      <w:bookmarkStart w:id="858" w:name="_Toc2507"/>
      <w:bookmarkStart w:id="859" w:name="_Toc1826"/>
      <w:bookmarkStart w:id="860" w:name="_Toc10077"/>
    </w:p>
    <w:p w14:paraId="2473823A">
      <w:pPr>
        <w:pStyle w:val="2"/>
        <w:rPr>
          <w:rFonts w:ascii="微软雅黑" w:hAnsi="微软雅黑" w:eastAsia="微软雅黑" w:cs="微软雅黑"/>
          <w:b/>
          <w:bCs/>
        </w:rPr>
      </w:pPr>
    </w:p>
    <w:p w14:paraId="223AB2E6">
      <w:pPr>
        <w:rPr>
          <w:rFonts w:ascii="微软雅黑" w:hAnsi="微软雅黑" w:eastAsia="微软雅黑" w:cs="微软雅黑"/>
          <w:b/>
          <w:bCs/>
          <w:sz w:val="24"/>
        </w:rPr>
      </w:pPr>
    </w:p>
    <w:p w14:paraId="3E68BA9D">
      <w:pPr>
        <w:pStyle w:val="2"/>
        <w:rPr>
          <w:rFonts w:ascii="微软雅黑" w:hAnsi="微软雅黑" w:eastAsia="微软雅黑" w:cs="微软雅黑"/>
          <w:b/>
          <w:bCs/>
        </w:rPr>
      </w:pPr>
    </w:p>
    <w:p w14:paraId="2574046C">
      <w:pPr>
        <w:rPr>
          <w:rFonts w:ascii="微软雅黑" w:hAnsi="微软雅黑" w:eastAsia="微软雅黑" w:cs="微软雅黑"/>
          <w:b/>
          <w:bCs/>
          <w:sz w:val="24"/>
        </w:rPr>
      </w:pPr>
    </w:p>
    <w:p w14:paraId="235D9054">
      <w:pPr>
        <w:pStyle w:val="2"/>
        <w:rPr>
          <w:rFonts w:ascii="微软雅黑" w:hAnsi="微软雅黑" w:eastAsia="微软雅黑" w:cs="微软雅黑"/>
          <w:b/>
          <w:bCs/>
        </w:rPr>
      </w:pPr>
    </w:p>
    <w:p w14:paraId="3553ACAC">
      <w:pPr>
        <w:rPr>
          <w:rFonts w:ascii="微软雅黑" w:hAnsi="微软雅黑" w:eastAsia="微软雅黑" w:cs="微软雅黑"/>
          <w:b/>
          <w:bCs/>
          <w:sz w:val="24"/>
        </w:rPr>
      </w:pPr>
    </w:p>
    <w:p w14:paraId="14A06C51">
      <w:pPr>
        <w:pStyle w:val="2"/>
        <w:rPr>
          <w:rFonts w:ascii="微软雅黑" w:hAnsi="微软雅黑" w:eastAsia="微软雅黑" w:cs="微软雅黑"/>
          <w:b/>
          <w:bCs/>
        </w:rPr>
      </w:pPr>
    </w:p>
    <w:p w14:paraId="7760A776">
      <w:pPr>
        <w:rPr>
          <w:rFonts w:ascii="微软雅黑" w:hAnsi="微软雅黑" w:eastAsia="微软雅黑" w:cs="微软雅黑"/>
          <w:b/>
          <w:bCs/>
          <w:sz w:val="24"/>
        </w:rPr>
      </w:pPr>
    </w:p>
    <w:p w14:paraId="12487460">
      <w:pPr>
        <w:pStyle w:val="2"/>
        <w:rPr>
          <w:rFonts w:ascii="微软雅黑" w:hAnsi="微软雅黑" w:eastAsia="微软雅黑" w:cs="微软雅黑"/>
          <w:b/>
          <w:bCs/>
        </w:rPr>
      </w:pPr>
    </w:p>
    <w:p w14:paraId="05559BCD">
      <w:pPr>
        <w:rPr>
          <w:rFonts w:ascii="微软雅黑" w:hAnsi="微软雅黑" w:eastAsia="微软雅黑" w:cs="微软雅黑"/>
          <w:b/>
          <w:bCs/>
          <w:sz w:val="24"/>
        </w:rPr>
      </w:pPr>
    </w:p>
    <w:p w14:paraId="1A893F8E">
      <w:pPr>
        <w:pStyle w:val="2"/>
        <w:rPr>
          <w:rFonts w:ascii="微软雅黑" w:hAnsi="微软雅黑" w:eastAsia="微软雅黑" w:cs="微软雅黑"/>
          <w:b/>
          <w:bCs/>
        </w:rPr>
      </w:pPr>
    </w:p>
    <w:p w14:paraId="356894A8"/>
    <w:p w14:paraId="11D0C64D">
      <w:pPr>
        <w:pStyle w:val="2"/>
      </w:pPr>
    </w:p>
    <w:p w14:paraId="77DC4056">
      <w:pPr>
        <w:snapToGrid w:val="0"/>
        <w:spacing w:line="360" w:lineRule="exact"/>
        <w:jc w:val="center"/>
        <w:textAlignment w:val="baseline"/>
        <w:outlineLvl w:val="1"/>
        <w:rPr>
          <w:rFonts w:ascii="方正仿宋_GBK" w:hAnsi="方正仿宋_GBK" w:eastAsia="方正仿宋_GBK" w:cs="方正仿宋_GBK"/>
          <w:b/>
          <w:bCs/>
          <w:sz w:val="28"/>
          <w:szCs w:val="28"/>
        </w:rPr>
      </w:pPr>
      <w:bookmarkStart w:id="861" w:name="_Toc32032"/>
      <w:bookmarkStart w:id="862" w:name="_Toc7069"/>
      <w:r>
        <w:rPr>
          <w:rFonts w:hint="eastAsia" w:ascii="方正仿宋_GBK" w:hAnsi="方正仿宋_GBK" w:eastAsia="方正仿宋_GBK" w:cs="方正仿宋_GBK"/>
          <w:b/>
          <w:bCs/>
          <w:sz w:val="28"/>
          <w:szCs w:val="28"/>
        </w:rPr>
        <w:t>初步评审—资格性审查表</w:t>
      </w:r>
      <w:bookmarkEnd w:id="829"/>
      <w:bookmarkEnd w:id="830"/>
      <w:bookmarkEnd w:id="831"/>
      <w:bookmarkEnd w:id="832"/>
      <w:bookmarkEnd w:id="833"/>
      <w:bookmarkEnd w:id="834"/>
      <w:bookmarkEnd w:id="835"/>
      <w:bookmarkEnd w:id="836"/>
      <w:bookmarkEnd w:id="837"/>
      <w:bookmarkEnd w:id="838"/>
      <w:bookmarkEnd w:id="858"/>
      <w:bookmarkEnd w:id="859"/>
      <w:bookmarkEnd w:id="860"/>
      <w:bookmarkEnd w:id="861"/>
      <w:bookmarkEnd w:id="862"/>
    </w:p>
    <w:tbl>
      <w:tblPr>
        <w:tblStyle w:val="38"/>
        <w:tblpPr w:leftFromText="180" w:rightFromText="180" w:vertAnchor="text" w:horzAnchor="page" w:tblpXSpec="center" w:tblpY="116"/>
        <w:tblOverlap w:val="never"/>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708"/>
        <w:gridCol w:w="1450"/>
      </w:tblGrid>
      <w:tr w14:paraId="2752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3" w:type="dxa"/>
            <w:vAlign w:val="center"/>
          </w:tcPr>
          <w:p w14:paraId="72E46586">
            <w:pPr>
              <w:snapToGrid w:val="0"/>
              <w:spacing w:line="360" w:lineRule="exact"/>
              <w:jc w:val="center"/>
              <w:textAlignment w:val="baseline"/>
              <w:rPr>
                <w:rFonts w:ascii="方正仿宋_GBK" w:hAnsi="方正仿宋_GBK" w:eastAsia="方正仿宋_GBK" w:cs="方正仿宋_GBK"/>
                <w:b/>
                <w:sz w:val="24"/>
              </w:rPr>
            </w:pPr>
            <w:r>
              <w:rPr>
                <w:rFonts w:hint="eastAsia" w:ascii="方正仿宋_GBK" w:hAnsi="方正仿宋_GBK" w:eastAsia="方正仿宋_GBK" w:cs="方正仿宋_GBK"/>
                <w:b/>
                <w:sz w:val="24"/>
              </w:rPr>
              <w:t>序号</w:t>
            </w:r>
          </w:p>
        </w:tc>
        <w:tc>
          <w:tcPr>
            <w:tcW w:w="7708" w:type="dxa"/>
            <w:vAlign w:val="center"/>
          </w:tcPr>
          <w:p w14:paraId="36CE1041">
            <w:pPr>
              <w:snapToGrid w:val="0"/>
              <w:spacing w:line="360" w:lineRule="exact"/>
              <w:jc w:val="center"/>
              <w:textAlignment w:val="baseline"/>
              <w:rPr>
                <w:rFonts w:ascii="方正仿宋_GBK" w:hAnsi="方正仿宋_GBK" w:eastAsia="方正仿宋_GBK" w:cs="方正仿宋_GBK"/>
                <w:b/>
                <w:sz w:val="24"/>
              </w:rPr>
            </w:pPr>
            <w:r>
              <w:rPr>
                <w:rFonts w:hint="eastAsia" w:ascii="方正仿宋_GBK" w:hAnsi="方正仿宋_GBK" w:eastAsia="方正仿宋_GBK" w:cs="方正仿宋_GBK"/>
                <w:b/>
                <w:sz w:val="24"/>
              </w:rPr>
              <w:t>评审内容</w:t>
            </w:r>
          </w:p>
        </w:tc>
        <w:tc>
          <w:tcPr>
            <w:tcW w:w="1450" w:type="dxa"/>
            <w:vAlign w:val="center"/>
          </w:tcPr>
          <w:p w14:paraId="667416A3">
            <w:pPr>
              <w:snapToGrid w:val="0"/>
              <w:spacing w:line="360" w:lineRule="exact"/>
              <w:textAlignment w:val="baseline"/>
              <w:rPr>
                <w:rFonts w:ascii="方正仿宋_GBK" w:hAnsi="方正仿宋_GBK" w:eastAsia="方正仿宋_GBK" w:cs="方正仿宋_GBK"/>
                <w:b/>
                <w:sz w:val="24"/>
              </w:rPr>
            </w:pPr>
            <w:r>
              <w:rPr>
                <w:rFonts w:hint="eastAsia" w:ascii="方正仿宋_GBK" w:hAnsi="方正仿宋_GBK" w:eastAsia="方正仿宋_GBK" w:cs="方正仿宋_GBK"/>
                <w:b/>
                <w:sz w:val="24"/>
              </w:rPr>
              <w:t>评审意见</w:t>
            </w:r>
          </w:p>
          <w:p w14:paraId="3563C5F1">
            <w:pPr>
              <w:snapToGrid w:val="0"/>
              <w:spacing w:line="360" w:lineRule="exact"/>
              <w:textAlignment w:val="baseline"/>
              <w:rPr>
                <w:rFonts w:ascii="方正仿宋_GBK" w:hAnsi="方正仿宋_GBK" w:eastAsia="方正仿宋_GBK" w:cs="方正仿宋_GBK"/>
                <w:b/>
                <w:sz w:val="24"/>
              </w:rPr>
            </w:pPr>
            <w:r>
              <w:rPr>
                <w:rFonts w:hint="eastAsia" w:ascii="方正仿宋_GBK" w:hAnsi="方正仿宋_GBK" w:eastAsia="方正仿宋_GBK" w:cs="方正仿宋_GBK"/>
                <w:b/>
                <w:sz w:val="24"/>
              </w:rPr>
              <w:t>供应商是否合格</w:t>
            </w:r>
          </w:p>
        </w:tc>
      </w:tr>
      <w:tr w14:paraId="3AA8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3" w:type="dxa"/>
            <w:vAlign w:val="center"/>
          </w:tcPr>
          <w:p w14:paraId="5CBDDA75">
            <w:pPr>
              <w:snapToGrid w:val="0"/>
              <w:spacing w:line="360" w:lineRule="exact"/>
              <w:jc w:val="center"/>
              <w:textAlignment w:val="baseline"/>
              <w:rPr>
                <w:rFonts w:eastAsia="微软雅黑"/>
                <w:bCs/>
                <w:sz w:val="24"/>
              </w:rPr>
            </w:pPr>
            <w:r>
              <w:rPr>
                <w:rFonts w:eastAsia="微软雅黑"/>
                <w:bCs/>
                <w:sz w:val="24"/>
              </w:rPr>
              <w:t>1</w:t>
            </w:r>
          </w:p>
        </w:tc>
        <w:tc>
          <w:tcPr>
            <w:tcW w:w="7708" w:type="dxa"/>
            <w:vAlign w:val="center"/>
          </w:tcPr>
          <w:p w14:paraId="399F848D">
            <w:pPr>
              <w:snapToGrid w:val="0"/>
              <w:spacing w:line="380" w:lineRule="exact"/>
              <w:textAlignment w:val="baseline"/>
              <w:rPr>
                <w:rFonts w:eastAsia="微软雅黑"/>
                <w:sz w:val="24"/>
              </w:rPr>
            </w:pPr>
            <w:r>
              <w:rPr>
                <w:rFonts w:eastAsia="微软雅黑"/>
                <w:sz w:val="24"/>
              </w:rPr>
              <w:t>企业三证合一的法人营业执照或含二维码的营业执照；</w:t>
            </w:r>
          </w:p>
        </w:tc>
        <w:tc>
          <w:tcPr>
            <w:tcW w:w="1450" w:type="dxa"/>
          </w:tcPr>
          <w:p w14:paraId="117EE16C">
            <w:pPr>
              <w:snapToGrid w:val="0"/>
              <w:spacing w:line="360" w:lineRule="exact"/>
              <w:textAlignment w:val="baseline"/>
              <w:rPr>
                <w:rFonts w:ascii="微软雅黑" w:hAnsi="微软雅黑" w:eastAsia="微软雅黑" w:cs="微软雅黑"/>
                <w:sz w:val="24"/>
              </w:rPr>
            </w:pPr>
          </w:p>
        </w:tc>
      </w:tr>
      <w:tr w14:paraId="1771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53" w:type="dxa"/>
            <w:vAlign w:val="center"/>
          </w:tcPr>
          <w:p w14:paraId="2D88A8F7">
            <w:pPr>
              <w:snapToGrid w:val="0"/>
              <w:spacing w:line="360" w:lineRule="exact"/>
              <w:jc w:val="center"/>
              <w:textAlignment w:val="baseline"/>
              <w:rPr>
                <w:rFonts w:eastAsia="微软雅黑"/>
                <w:bCs/>
                <w:sz w:val="24"/>
              </w:rPr>
            </w:pPr>
            <w:r>
              <w:rPr>
                <w:rFonts w:eastAsia="微软雅黑"/>
                <w:bCs/>
                <w:sz w:val="24"/>
              </w:rPr>
              <w:t>2</w:t>
            </w:r>
          </w:p>
        </w:tc>
        <w:tc>
          <w:tcPr>
            <w:tcW w:w="7708" w:type="dxa"/>
            <w:vAlign w:val="center"/>
          </w:tcPr>
          <w:p w14:paraId="7D0BFB08">
            <w:pPr>
              <w:snapToGrid w:val="0"/>
              <w:spacing w:line="380" w:lineRule="exact"/>
              <w:textAlignment w:val="baseline"/>
              <w:rPr>
                <w:rFonts w:eastAsia="微软雅黑"/>
                <w:kern w:val="0"/>
                <w:sz w:val="24"/>
              </w:rPr>
            </w:pPr>
            <w:r>
              <w:rPr>
                <w:rFonts w:eastAsia="微软雅黑"/>
                <w:kern w:val="0"/>
                <w:sz w:val="24"/>
              </w:rPr>
              <w:t>定代表人授权书及被授权人身份证，法人本人参与投标提供法人身份证及法人资格证明；</w:t>
            </w:r>
          </w:p>
        </w:tc>
        <w:tc>
          <w:tcPr>
            <w:tcW w:w="1450" w:type="dxa"/>
          </w:tcPr>
          <w:p w14:paraId="7C63E6AE">
            <w:pPr>
              <w:snapToGrid w:val="0"/>
              <w:spacing w:line="360" w:lineRule="exact"/>
              <w:textAlignment w:val="baseline"/>
              <w:rPr>
                <w:rFonts w:ascii="微软雅黑" w:hAnsi="微软雅黑" w:eastAsia="微软雅黑" w:cs="微软雅黑"/>
                <w:sz w:val="24"/>
              </w:rPr>
            </w:pPr>
          </w:p>
        </w:tc>
      </w:tr>
      <w:tr w14:paraId="72D2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53" w:type="dxa"/>
            <w:vAlign w:val="center"/>
          </w:tcPr>
          <w:p w14:paraId="0921410D">
            <w:pPr>
              <w:snapToGrid w:val="0"/>
              <w:spacing w:line="360" w:lineRule="exact"/>
              <w:jc w:val="center"/>
              <w:textAlignment w:val="baseline"/>
              <w:rPr>
                <w:rFonts w:eastAsia="微软雅黑"/>
                <w:bCs/>
                <w:sz w:val="24"/>
              </w:rPr>
            </w:pPr>
            <w:r>
              <w:rPr>
                <w:rFonts w:eastAsia="微软雅黑"/>
                <w:bCs/>
                <w:sz w:val="24"/>
              </w:rPr>
              <w:t>3</w:t>
            </w:r>
          </w:p>
        </w:tc>
        <w:tc>
          <w:tcPr>
            <w:tcW w:w="7708" w:type="dxa"/>
            <w:vAlign w:val="center"/>
          </w:tcPr>
          <w:p w14:paraId="646B0CAF">
            <w:pPr>
              <w:snapToGrid w:val="0"/>
              <w:spacing w:line="380" w:lineRule="exact"/>
              <w:textAlignment w:val="baseline"/>
              <w:rPr>
                <w:rFonts w:eastAsia="微软雅黑"/>
                <w:sz w:val="24"/>
              </w:rPr>
            </w:pPr>
            <w:r>
              <w:rPr>
                <w:rFonts w:eastAsia="微软雅黑"/>
                <w:sz w:val="24"/>
              </w:rPr>
              <w:t>被授权委托人在本单位缴纳近六个月内任意一个月的社保证明（单位社保缴费凭证和个人明细表）、法定代表人提供本单位社保缴费凭证；（新成立公司从成立之日起缴纳的相关社保证明材料）；</w:t>
            </w:r>
          </w:p>
        </w:tc>
        <w:tc>
          <w:tcPr>
            <w:tcW w:w="1450" w:type="dxa"/>
          </w:tcPr>
          <w:p w14:paraId="72591FBB">
            <w:pPr>
              <w:snapToGrid w:val="0"/>
              <w:spacing w:line="360" w:lineRule="exact"/>
              <w:textAlignment w:val="baseline"/>
              <w:rPr>
                <w:rFonts w:ascii="微软雅黑" w:hAnsi="微软雅黑" w:eastAsia="微软雅黑" w:cs="微软雅黑"/>
                <w:sz w:val="24"/>
              </w:rPr>
            </w:pPr>
          </w:p>
        </w:tc>
      </w:tr>
      <w:tr w14:paraId="4973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53" w:type="dxa"/>
            <w:vAlign w:val="center"/>
          </w:tcPr>
          <w:p w14:paraId="1499811C">
            <w:pPr>
              <w:snapToGrid w:val="0"/>
              <w:spacing w:line="360" w:lineRule="exact"/>
              <w:jc w:val="center"/>
              <w:textAlignment w:val="baseline"/>
              <w:rPr>
                <w:rFonts w:eastAsia="微软雅黑"/>
                <w:bCs/>
                <w:sz w:val="24"/>
              </w:rPr>
            </w:pPr>
            <w:r>
              <w:rPr>
                <w:rFonts w:eastAsia="微软雅黑"/>
                <w:kern w:val="0"/>
                <w:sz w:val="24"/>
              </w:rPr>
              <w:t>4</w:t>
            </w:r>
          </w:p>
        </w:tc>
        <w:tc>
          <w:tcPr>
            <w:tcW w:w="7708" w:type="dxa"/>
            <w:vAlign w:val="center"/>
          </w:tcPr>
          <w:p w14:paraId="7693EC08">
            <w:pPr>
              <w:snapToGrid w:val="0"/>
              <w:spacing w:line="380" w:lineRule="exact"/>
              <w:jc w:val="left"/>
              <w:textAlignment w:val="baseline"/>
              <w:rPr>
                <w:rFonts w:eastAsia="微软雅黑"/>
                <w:sz w:val="24"/>
              </w:rPr>
            </w:pPr>
            <w:r>
              <w:rPr>
                <w:rFonts w:eastAsia="微软雅黑"/>
                <w:sz w:val="24"/>
              </w:rPr>
              <w:t>具有健全的财务会计制度（2023年的财务审计报告与健全的财务会计制度，新成立公司不足一年的提供近三个月内有效的银行资信证明）；</w:t>
            </w:r>
          </w:p>
        </w:tc>
        <w:tc>
          <w:tcPr>
            <w:tcW w:w="1450" w:type="dxa"/>
          </w:tcPr>
          <w:p w14:paraId="3BBDA1C0">
            <w:pPr>
              <w:snapToGrid w:val="0"/>
              <w:spacing w:line="360" w:lineRule="exact"/>
              <w:textAlignment w:val="baseline"/>
              <w:rPr>
                <w:rFonts w:ascii="微软雅黑" w:hAnsi="微软雅黑" w:eastAsia="微软雅黑" w:cs="微软雅黑"/>
                <w:sz w:val="24"/>
              </w:rPr>
            </w:pPr>
          </w:p>
        </w:tc>
      </w:tr>
      <w:tr w14:paraId="1040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53" w:type="dxa"/>
            <w:vAlign w:val="center"/>
          </w:tcPr>
          <w:p w14:paraId="4792C7F3">
            <w:pPr>
              <w:snapToGrid w:val="0"/>
              <w:spacing w:line="360" w:lineRule="exact"/>
              <w:jc w:val="center"/>
              <w:textAlignment w:val="baseline"/>
              <w:rPr>
                <w:rFonts w:eastAsia="微软雅黑"/>
                <w:kern w:val="0"/>
                <w:sz w:val="24"/>
              </w:rPr>
            </w:pPr>
            <w:r>
              <w:rPr>
                <w:rFonts w:eastAsia="微软雅黑"/>
                <w:kern w:val="0"/>
                <w:sz w:val="24"/>
              </w:rPr>
              <w:t>5</w:t>
            </w:r>
          </w:p>
        </w:tc>
        <w:tc>
          <w:tcPr>
            <w:tcW w:w="7708" w:type="dxa"/>
            <w:vAlign w:val="center"/>
          </w:tcPr>
          <w:p w14:paraId="7F5009D1">
            <w:pPr>
              <w:pStyle w:val="34"/>
              <w:widowControl/>
              <w:spacing w:line="360" w:lineRule="exact"/>
              <w:rPr>
                <w:rFonts w:eastAsia="微软雅黑"/>
              </w:rPr>
            </w:pPr>
            <w:r>
              <w:rPr>
                <w:rFonts w:eastAsia="微软雅黑"/>
              </w:rPr>
              <w:t>在税务局依法缴纳近半年任意一个月税收证明的良好记录及投标截止日内无拖欠税收证明（零申报的企业需提供税务局的相关证明）；</w:t>
            </w:r>
          </w:p>
        </w:tc>
        <w:tc>
          <w:tcPr>
            <w:tcW w:w="1450" w:type="dxa"/>
          </w:tcPr>
          <w:p w14:paraId="74FB4914">
            <w:pPr>
              <w:snapToGrid w:val="0"/>
              <w:spacing w:line="360" w:lineRule="exact"/>
              <w:textAlignment w:val="baseline"/>
              <w:rPr>
                <w:rFonts w:ascii="微软雅黑" w:hAnsi="微软雅黑" w:eastAsia="微软雅黑" w:cs="微软雅黑"/>
                <w:sz w:val="24"/>
              </w:rPr>
            </w:pPr>
          </w:p>
        </w:tc>
      </w:tr>
      <w:tr w14:paraId="6100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1103FB38">
            <w:pPr>
              <w:snapToGrid w:val="0"/>
              <w:spacing w:line="360" w:lineRule="exact"/>
              <w:jc w:val="center"/>
              <w:textAlignment w:val="baseline"/>
              <w:rPr>
                <w:rFonts w:eastAsia="微软雅黑"/>
                <w:kern w:val="0"/>
                <w:sz w:val="24"/>
              </w:rPr>
            </w:pPr>
            <w:r>
              <w:rPr>
                <w:rFonts w:eastAsia="微软雅黑"/>
                <w:kern w:val="0"/>
                <w:sz w:val="24"/>
              </w:rPr>
              <w:t>6</w:t>
            </w:r>
          </w:p>
        </w:tc>
        <w:tc>
          <w:tcPr>
            <w:tcW w:w="7708" w:type="dxa"/>
            <w:vAlign w:val="center"/>
          </w:tcPr>
          <w:p w14:paraId="5C648E0C">
            <w:pPr>
              <w:snapToGrid w:val="0"/>
              <w:spacing w:line="380" w:lineRule="exact"/>
              <w:textAlignment w:val="baseline"/>
              <w:rPr>
                <w:rFonts w:eastAsia="微软雅黑"/>
                <w:kern w:val="0"/>
                <w:sz w:val="24"/>
              </w:rPr>
            </w:pPr>
            <w:r>
              <w:rPr>
                <w:rFonts w:eastAsia="微软雅黑"/>
                <w:kern w:val="0"/>
                <w:sz w:val="24"/>
              </w:rPr>
              <w:t>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tc>
        <w:tc>
          <w:tcPr>
            <w:tcW w:w="1450" w:type="dxa"/>
          </w:tcPr>
          <w:p w14:paraId="147CFCEB">
            <w:pPr>
              <w:snapToGrid w:val="0"/>
              <w:spacing w:line="360" w:lineRule="exact"/>
              <w:textAlignment w:val="baseline"/>
              <w:rPr>
                <w:rFonts w:ascii="微软雅黑" w:hAnsi="微软雅黑" w:eastAsia="微软雅黑" w:cs="微软雅黑"/>
                <w:sz w:val="24"/>
              </w:rPr>
            </w:pPr>
          </w:p>
        </w:tc>
      </w:tr>
      <w:tr w14:paraId="671F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3BDA268F">
            <w:pPr>
              <w:snapToGrid w:val="0"/>
              <w:spacing w:line="360" w:lineRule="exact"/>
              <w:jc w:val="center"/>
              <w:textAlignment w:val="baseline"/>
              <w:rPr>
                <w:rFonts w:eastAsia="微软雅黑"/>
                <w:kern w:val="0"/>
                <w:sz w:val="24"/>
              </w:rPr>
            </w:pPr>
            <w:r>
              <w:rPr>
                <w:rFonts w:eastAsia="微软雅黑"/>
                <w:kern w:val="0"/>
                <w:sz w:val="24"/>
              </w:rPr>
              <w:t>7</w:t>
            </w:r>
          </w:p>
        </w:tc>
        <w:tc>
          <w:tcPr>
            <w:tcW w:w="7708" w:type="dxa"/>
            <w:vAlign w:val="center"/>
          </w:tcPr>
          <w:p w14:paraId="02D52852">
            <w:pPr>
              <w:snapToGrid w:val="0"/>
              <w:spacing w:line="380" w:lineRule="exact"/>
              <w:textAlignment w:val="baseline"/>
              <w:rPr>
                <w:rFonts w:eastAsia="微软雅黑"/>
                <w:kern w:val="0"/>
                <w:sz w:val="24"/>
              </w:rPr>
            </w:pPr>
            <w:r>
              <w:rPr>
                <w:rFonts w:eastAsia="方正仿宋_GBK"/>
                <w:sz w:val="24"/>
              </w:rPr>
              <w:t>在参加政府采购活动中前三年内无重大违法记录的承诺书；</w:t>
            </w:r>
          </w:p>
        </w:tc>
        <w:tc>
          <w:tcPr>
            <w:tcW w:w="1450" w:type="dxa"/>
          </w:tcPr>
          <w:p w14:paraId="313C0BE8">
            <w:pPr>
              <w:snapToGrid w:val="0"/>
              <w:spacing w:line="360" w:lineRule="exact"/>
              <w:textAlignment w:val="baseline"/>
              <w:rPr>
                <w:rFonts w:ascii="微软雅黑" w:hAnsi="微软雅黑" w:eastAsia="微软雅黑" w:cs="微软雅黑"/>
                <w:sz w:val="24"/>
              </w:rPr>
            </w:pPr>
          </w:p>
        </w:tc>
      </w:tr>
      <w:tr w14:paraId="2C6B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53" w:type="dxa"/>
            <w:vAlign w:val="center"/>
          </w:tcPr>
          <w:p w14:paraId="12DA6C4F">
            <w:pPr>
              <w:snapToGrid w:val="0"/>
              <w:spacing w:line="360" w:lineRule="exact"/>
              <w:jc w:val="center"/>
              <w:textAlignment w:val="baseline"/>
              <w:rPr>
                <w:rFonts w:eastAsia="微软雅黑"/>
                <w:kern w:val="0"/>
                <w:sz w:val="24"/>
              </w:rPr>
            </w:pPr>
            <w:r>
              <w:rPr>
                <w:rFonts w:eastAsia="微软雅黑"/>
                <w:kern w:val="0"/>
                <w:sz w:val="24"/>
              </w:rPr>
              <w:t>8</w:t>
            </w:r>
          </w:p>
        </w:tc>
        <w:tc>
          <w:tcPr>
            <w:tcW w:w="7708" w:type="dxa"/>
            <w:vAlign w:val="center"/>
          </w:tcPr>
          <w:p w14:paraId="7F59AC6C">
            <w:pPr>
              <w:snapToGrid w:val="0"/>
              <w:spacing w:line="380" w:lineRule="exact"/>
              <w:jc w:val="left"/>
              <w:textAlignment w:val="baseline"/>
              <w:rPr>
                <w:rFonts w:eastAsia="微软雅黑"/>
                <w:kern w:val="0"/>
                <w:sz w:val="24"/>
              </w:rPr>
            </w:pPr>
            <w:r>
              <w:rPr>
                <w:rFonts w:eastAsia="方正仿宋_GBK"/>
                <w:sz w:val="24"/>
              </w:rPr>
              <w:t>针对本次采购项目《反商业贿赂承诺书》的书面声明；</w:t>
            </w:r>
          </w:p>
        </w:tc>
        <w:tc>
          <w:tcPr>
            <w:tcW w:w="1450" w:type="dxa"/>
          </w:tcPr>
          <w:p w14:paraId="5AB4F6B2">
            <w:pPr>
              <w:snapToGrid w:val="0"/>
              <w:spacing w:line="360" w:lineRule="exact"/>
              <w:textAlignment w:val="baseline"/>
              <w:rPr>
                <w:rFonts w:ascii="微软雅黑" w:hAnsi="微软雅黑" w:eastAsia="微软雅黑" w:cs="微软雅黑"/>
                <w:sz w:val="24"/>
              </w:rPr>
            </w:pPr>
          </w:p>
        </w:tc>
      </w:tr>
      <w:tr w14:paraId="4A59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1F3BA2EF">
            <w:pPr>
              <w:snapToGrid w:val="0"/>
              <w:spacing w:line="360" w:lineRule="exact"/>
              <w:jc w:val="center"/>
              <w:textAlignment w:val="baseline"/>
              <w:rPr>
                <w:rFonts w:eastAsia="微软雅黑"/>
                <w:sz w:val="24"/>
              </w:rPr>
            </w:pPr>
            <w:r>
              <w:rPr>
                <w:rFonts w:eastAsia="微软雅黑"/>
                <w:sz w:val="24"/>
              </w:rPr>
              <w:t>9</w:t>
            </w:r>
          </w:p>
        </w:tc>
        <w:tc>
          <w:tcPr>
            <w:tcW w:w="7708" w:type="dxa"/>
            <w:vAlign w:val="center"/>
          </w:tcPr>
          <w:p w14:paraId="171F277B">
            <w:pPr>
              <w:snapToGrid w:val="0"/>
              <w:spacing w:line="380" w:lineRule="exact"/>
              <w:textAlignment w:val="baseline"/>
              <w:rPr>
                <w:rFonts w:eastAsia="微软雅黑"/>
                <w:sz w:val="24"/>
              </w:rPr>
            </w:pPr>
            <w:r>
              <w:rPr>
                <w:rFonts w:eastAsia="微软雅黑"/>
                <w:sz w:val="24"/>
              </w:rPr>
              <w:t>必须具有履行合同所必需的设备和专业技术能力；</w:t>
            </w:r>
          </w:p>
        </w:tc>
        <w:tc>
          <w:tcPr>
            <w:tcW w:w="1450" w:type="dxa"/>
          </w:tcPr>
          <w:p w14:paraId="71B1D08E">
            <w:pPr>
              <w:snapToGrid w:val="0"/>
              <w:spacing w:line="360" w:lineRule="exact"/>
              <w:textAlignment w:val="baseline"/>
              <w:rPr>
                <w:rFonts w:ascii="微软雅黑" w:hAnsi="微软雅黑" w:eastAsia="微软雅黑" w:cs="微软雅黑"/>
                <w:sz w:val="24"/>
              </w:rPr>
            </w:pPr>
          </w:p>
        </w:tc>
      </w:tr>
      <w:tr w14:paraId="1D0F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265E1651">
            <w:pPr>
              <w:snapToGrid w:val="0"/>
              <w:spacing w:line="360" w:lineRule="exact"/>
              <w:jc w:val="center"/>
              <w:textAlignment w:val="baseline"/>
              <w:rPr>
                <w:rFonts w:eastAsia="微软雅黑"/>
                <w:sz w:val="24"/>
              </w:rPr>
            </w:pPr>
            <w:r>
              <w:rPr>
                <w:rFonts w:hint="eastAsia" w:eastAsia="微软雅黑"/>
                <w:sz w:val="24"/>
              </w:rPr>
              <w:t>10</w:t>
            </w:r>
          </w:p>
        </w:tc>
        <w:tc>
          <w:tcPr>
            <w:tcW w:w="7708" w:type="dxa"/>
            <w:vAlign w:val="center"/>
          </w:tcPr>
          <w:p w14:paraId="7C3607B8">
            <w:pPr>
              <w:snapToGrid w:val="0"/>
              <w:spacing w:line="380" w:lineRule="exact"/>
              <w:textAlignment w:val="baseline"/>
              <w:rPr>
                <w:rFonts w:eastAsia="方正仿宋_GBK"/>
                <w:sz w:val="24"/>
              </w:rPr>
            </w:pPr>
            <w:r>
              <w:rPr>
                <w:rFonts w:eastAsia="方正仿宋_GBK"/>
                <w:sz w:val="24"/>
              </w:rPr>
              <w:t>本项目不接受联合体投标；</w:t>
            </w:r>
          </w:p>
        </w:tc>
        <w:tc>
          <w:tcPr>
            <w:tcW w:w="1450" w:type="dxa"/>
          </w:tcPr>
          <w:p w14:paraId="33E5FB8F">
            <w:pPr>
              <w:snapToGrid w:val="0"/>
              <w:spacing w:line="360" w:lineRule="exact"/>
              <w:textAlignment w:val="baseline"/>
              <w:rPr>
                <w:rFonts w:ascii="微软雅黑" w:hAnsi="微软雅黑" w:eastAsia="微软雅黑" w:cs="微软雅黑"/>
                <w:sz w:val="24"/>
              </w:rPr>
            </w:pPr>
          </w:p>
        </w:tc>
      </w:tr>
      <w:tr w14:paraId="576C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2726924F">
            <w:pPr>
              <w:snapToGrid w:val="0"/>
              <w:spacing w:line="360" w:lineRule="exact"/>
              <w:jc w:val="center"/>
              <w:textAlignment w:val="baseline"/>
              <w:rPr>
                <w:rFonts w:eastAsia="微软雅黑"/>
                <w:sz w:val="24"/>
              </w:rPr>
            </w:pPr>
          </w:p>
        </w:tc>
        <w:tc>
          <w:tcPr>
            <w:tcW w:w="7708" w:type="dxa"/>
            <w:vAlign w:val="center"/>
          </w:tcPr>
          <w:p w14:paraId="0CB924E7">
            <w:pPr>
              <w:snapToGrid w:val="0"/>
              <w:spacing w:line="380" w:lineRule="exact"/>
              <w:textAlignment w:val="baseline"/>
              <w:rPr>
                <w:rFonts w:eastAsia="微软雅黑"/>
                <w:sz w:val="24"/>
              </w:rPr>
            </w:pPr>
            <w:r>
              <w:rPr>
                <w:rFonts w:eastAsia="方正仿宋_GBK"/>
                <w:sz w:val="24"/>
              </w:rPr>
              <w:t xml:space="preserve">结论  </w:t>
            </w:r>
          </w:p>
        </w:tc>
        <w:tc>
          <w:tcPr>
            <w:tcW w:w="1450" w:type="dxa"/>
          </w:tcPr>
          <w:p w14:paraId="30718E40">
            <w:pPr>
              <w:snapToGrid w:val="0"/>
              <w:spacing w:line="360" w:lineRule="exact"/>
              <w:textAlignment w:val="baseline"/>
              <w:rPr>
                <w:rFonts w:ascii="微软雅黑" w:hAnsi="微软雅黑" w:eastAsia="微软雅黑" w:cs="微软雅黑"/>
                <w:sz w:val="24"/>
              </w:rPr>
            </w:pPr>
          </w:p>
        </w:tc>
      </w:tr>
    </w:tbl>
    <w:p w14:paraId="39860ABE">
      <w:pPr>
        <w:snapToGrid w:val="0"/>
        <w:spacing w:line="280" w:lineRule="exact"/>
        <w:textAlignment w:val="baseline"/>
        <w:rPr>
          <w:rFonts w:eastAsia="方正仿宋_GBK"/>
          <w:sz w:val="22"/>
          <w:szCs w:val="22"/>
        </w:rPr>
      </w:pPr>
      <w:r>
        <w:rPr>
          <w:rFonts w:eastAsia="方正仿宋_GBK"/>
          <w:b/>
          <w:bCs/>
          <w:sz w:val="22"/>
          <w:szCs w:val="22"/>
        </w:rPr>
        <w:t>说明：</w:t>
      </w:r>
      <w:r>
        <w:rPr>
          <w:rFonts w:eastAsia="方正仿宋_GBK"/>
          <w:sz w:val="22"/>
          <w:szCs w:val="22"/>
        </w:rPr>
        <w:t>（1）上述各项中用“ 合格 ”表示通过，“ 不合格”表示不通过；</w:t>
      </w:r>
    </w:p>
    <w:p w14:paraId="34C2F2FB">
      <w:pPr>
        <w:snapToGrid w:val="0"/>
        <w:spacing w:line="280" w:lineRule="exact"/>
        <w:ind w:firstLine="660" w:firstLineChars="300"/>
        <w:textAlignment w:val="baseline"/>
        <w:rPr>
          <w:rFonts w:eastAsia="方正仿宋_GBK"/>
          <w:sz w:val="22"/>
          <w:szCs w:val="22"/>
        </w:rPr>
      </w:pPr>
      <w:r>
        <w:rPr>
          <w:rFonts w:eastAsia="方正仿宋_GBK"/>
          <w:sz w:val="22"/>
          <w:szCs w:val="22"/>
        </w:rPr>
        <w:t>（2）上述各项中如有一项为“ 不合格 ”，则结论为“ 不合格 ”，表示该投标文件中存在重大偏差， 不能通过初步评审；磋商小组评审专家对某一分项评审认为不合格时，必须要写明原因。</w:t>
      </w:r>
    </w:p>
    <w:p w14:paraId="6D83072D">
      <w:pPr>
        <w:snapToGrid w:val="0"/>
        <w:spacing w:line="280" w:lineRule="exact"/>
        <w:ind w:firstLine="660" w:firstLineChars="300"/>
        <w:textAlignment w:val="baseline"/>
        <w:rPr>
          <w:rFonts w:eastAsia="方正仿宋_GBK"/>
          <w:sz w:val="22"/>
          <w:szCs w:val="22"/>
        </w:rPr>
      </w:pPr>
      <w:r>
        <w:rPr>
          <w:rFonts w:eastAsia="方正仿宋_GBK"/>
          <w:sz w:val="22"/>
          <w:szCs w:val="22"/>
        </w:rPr>
        <w:t>（3）投标文件最终合格与否， 磋商小组按照少数服从多数的原则定论。</w:t>
      </w:r>
    </w:p>
    <w:p w14:paraId="53CFF342">
      <w:pPr>
        <w:snapToGrid w:val="0"/>
        <w:spacing w:line="280" w:lineRule="exact"/>
        <w:textAlignment w:val="baseline"/>
        <w:rPr>
          <w:rFonts w:eastAsia="方正仿宋_GBK"/>
          <w:sz w:val="22"/>
          <w:szCs w:val="22"/>
        </w:rPr>
      </w:pPr>
      <w:r>
        <w:rPr>
          <w:rFonts w:eastAsia="方正仿宋_GBK"/>
          <w:b/>
          <w:bCs/>
          <w:sz w:val="22"/>
          <w:szCs w:val="22"/>
        </w:rPr>
        <w:t>备注：通过上述资格性检查，可初步判定投标人的响应文件符合磋商文件的要求；如果有一项未通过上述审查标准，磋商小组将认定整个响应文件未响应磋商文件而予以废标处理。</w:t>
      </w:r>
      <w:bookmarkStart w:id="863" w:name="_Toc11623"/>
      <w:bookmarkStart w:id="864" w:name="_Toc19552"/>
      <w:bookmarkStart w:id="865" w:name="_Toc17473"/>
      <w:bookmarkStart w:id="866" w:name="_Toc17652"/>
      <w:bookmarkStart w:id="867" w:name="_Toc29597"/>
      <w:bookmarkStart w:id="868" w:name="_Toc22949"/>
      <w:bookmarkStart w:id="869" w:name="_Toc25729"/>
      <w:bookmarkStart w:id="870" w:name="_Toc13208"/>
      <w:bookmarkStart w:id="871" w:name="_Toc10503"/>
      <w:bookmarkStart w:id="872" w:name="_Toc347"/>
      <w:bookmarkStart w:id="873" w:name="_Toc23517"/>
      <w:bookmarkStart w:id="874" w:name="_Toc22896"/>
    </w:p>
    <w:p w14:paraId="535234B1">
      <w:pPr>
        <w:snapToGrid w:val="0"/>
        <w:spacing w:line="360" w:lineRule="exact"/>
        <w:jc w:val="center"/>
        <w:textAlignment w:val="baseline"/>
        <w:outlineLvl w:val="1"/>
        <w:rPr>
          <w:rFonts w:ascii="微软雅黑" w:hAnsi="微软雅黑" w:eastAsia="微软雅黑" w:cs="微软雅黑"/>
          <w:b/>
          <w:sz w:val="28"/>
          <w:szCs w:val="28"/>
        </w:rPr>
      </w:pPr>
      <w:bookmarkStart w:id="875" w:name="_Toc32163"/>
      <w:bookmarkStart w:id="876" w:name="_Toc1756"/>
    </w:p>
    <w:p w14:paraId="3838EE27">
      <w:pPr>
        <w:snapToGrid w:val="0"/>
        <w:spacing w:line="360" w:lineRule="exact"/>
        <w:jc w:val="center"/>
        <w:textAlignment w:val="baseline"/>
        <w:outlineLvl w:val="1"/>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初步评审—符合性审查表</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tbl>
      <w:tblPr>
        <w:tblStyle w:val="38"/>
        <w:tblpPr w:leftFromText="180" w:rightFromText="180" w:vertAnchor="text" w:horzAnchor="page" w:tblpXSpec="center" w:tblpY="262"/>
        <w:tblOverlap w:val="never"/>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887"/>
        <w:gridCol w:w="1920"/>
      </w:tblGrid>
      <w:tr w14:paraId="4B57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vAlign w:val="center"/>
          </w:tcPr>
          <w:p w14:paraId="1A349E02">
            <w:pPr>
              <w:spacing w:line="400" w:lineRule="exact"/>
              <w:jc w:val="center"/>
              <w:rPr>
                <w:rFonts w:eastAsia="方正仿宋_GBK"/>
                <w:b/>
                <w:bCs/>
                <w:sz w:val="24"/>
              </w:rPr>
            </w:pPr>
            <w:r>
              <w:rPr>
                <w:rFonts w:eastAsia="方正仿宋_GBK"/>
                <w:b/>
                <w:bCs/>
                <w:sz w:val="24"/>
              </w:rPr>
              <w:t>序号</w:t>
            </w:r>
          </w:p>
        </w:tc>
        <w:tc>
          <w:tcPr>
            <w:tcW w:w="6887" w:type="dxa"/>
            <w:vAlign w:val="center"/>
          </w:tcPr>
          <w:p w14:paraId="4FDC5BE1">
            <w:pPr>
              <w:spacing w:line="400" w:lineRule="exact"/>
              <w:jc w:val="center"/>
              <w:rPr>
                <w:rFonts w:eastAsia="方正仿宋_GBK"/>
                <w:b/>
                <w:bCs/>
                <w:spacing w:val="-2"/>
                <w:sz w:val="24"/>
              </w:rPr>
            </w:pPr>
            <w:r>
              <w:rPr>
                <w:rFonts w:eastAsia="方正仿宋_GBK"/>
                <w:b/>
                <w:bCs/>
                <w:spacing w:val="-2"/>
                <w:sz w:val="24"/>
              </w:rPr>
              <w:t>评审内容</w:t>
            </w:r>
          </w:p>
        </w:tc>
        <w:tc>
          <w:tcPr>
            <w:tcW w:w="1920" w:type="dxa"/>
            <w:vAlign w:val="center"/>
          </w:tcPr>
          <w:p w14:paraId="76C74189">
            <w:pPr>
              <w:spacing w:line="400" w:lineRule="exact"/>
              <w:jc w:val="center"/>
              <w:rPr>
                <w:rFonts w:eastAsia="方正仿宋_GBK"/>
                <w:b/>
                <w:bCs/>
                <w:sz w:val="24"/>
              </w:rPr>
            </w:pPr>
            <w:r>
              <w:rPr>
                <w:rFonts w:eastAsia="方正仿宋_GBK"/>
                <w:b/>
                <w:bCs/>
                <w:sz w:val="24"/>
              </w:rPr>
              <w:t>评审意见</w:t>
            </w:r>
          </w:p>
          <w:p w14:paraId="6FB9B41E">
            <w:pPr>
              <w:spacing w:line="400" w:lineRule="exact"/>
              <w:jc w:val="center"/>
              <w:rPr>
                <w:rFonts w:eastAsia="方正仿宋_GBK"/>
                <w:b/>
                <w:bCs/>
                <w:spacing w:val="-2"/>
                <w:sz w:val="24"/>
              </w:rPr>
            </w:pPr>
            <w:r>
              <w:rPr>
                <w:rFonts w:eastAsia="方正仿宋_GBK"/>
                <w:b/>
                <w:bCs/>
                <w:spacing w:val="-2"/>
                <w:sz w:val="24"/>
              </w:rPr>
              <w:t>供应商是否合格</w:t>
            </w:r>
          </w:p>
        </w:tc>
      </w:tr>
      <w:tr w14:paraId="1D1E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296E96A5">
            <w:pPr>
              <w:spacing w:line="400" w:lineRule="exact"/>
              <w:jc w:val="center"/>
              <w:rPr>
                <w:rFonts w:eastAsia="方正仿宋_GBK"/>
                <w:sz w:val="24"/>
              </w:rPr>
            </w:pPr>
            <w:r>
              <w:rPr>
                <w:rFonts w:eastAsia="方正仿宋_GBK"/>
                <w:sz w:val="24"/>
              </w:rPr>
              <w:t>1</w:t>
            </w:r>
          </w:p>
        </w:tc>
        <w:tc>
          <w:tcPr>
            <w:tcW w:w="6887" w:type="dxa"/>
            <w:vAlign w:val="center"/>
          </w:tcPr>
          <w:p w14:paraId="307F923A">
            <w:pPr>
              <w:spacing w:line="240" w:lineRule="atLeast"/>
              <w:rPr>
                <w:rFonts w:eastAsia="方正仿宋_GBK"/>
                <w:spacing w:val="-2"/>
                <w:sz w:val="24"/>
              </w:rPr>
            </w:pPr>
            <w:r>
              <w:rPr>
                <w:rFonts w:eastAsia="方正仿宋_GBK"/>
                <w:sz w:val="24"/>
              </w:rPr>
              <w:t>投标报价未高于预算金额;</w:t>
            </w:r>
          </w:p>
        </w:tc>
        <w:tc>
          <w:tcPr>
            <w:tcW w:w="1920" w:type="dxa"/>
            <w:vAlign w:val="center"/>
          </w:tcPr>
          <w:p w14:paraId="5D8D4FA4">
            <w:pPr>
              <w:spacing w:line="400" w:lineRule="exact"/>
              <w:rPr>
                <w:rFonts w:eastAsia="方正仿宋_GBK"/>
                <w:spacing w:val="-2"/>
                <w:sz w:val="24"/>
              </w:rPr>
            </w:pPr>
          </w:p>
        </w:tc>
      </w:tr>
      <w:tr w14:paraId="7BC3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4" w:type="dxa"/>
            <w:vAlign w:val="center"/>
          </w:tcPr>
          <w:p w14:paraId="7F6C2B5D">
            <w:pPr>
              <w:spacing w:line="400" w:lineRule="exact"/>
              <w:jc w:val="center"/>
              <w:rPr>
                <w:rFonts w:eastAsia="方正仿宋_GBK"/>
                <w:sz w:val="24"/>
              </w:rPr>
            </w:pPr>
            <w:r>
              <w:rPr>
                <w:rFonts w:eastAsia="方正仿宋_GBK"/>
                <w:sz w:val="24"/>
              </w:rPr>
              <w:t>2</w:t>
            </w:r>
          </w:p>
        </w:tc>
        <w:tc>
          <w:tcPr>
            <w:tcW w:w="6887" w:type="dxa"/>
            <w:vAlign w:val="center"/>
          </w:tcPr>
          <w:p w14:paraId="2AEA833E">
            <w:pPr>
              <w:jc w:val="left"/>
              <w:rPr>
                <w:rFonts w:eastAsia="方正仿宋_GBK"/>
                <w:spacing w:val="-2"/>
                <w:sz w:val="24"/>
              </w:rPr>
            </w:pPr>
            <w:r>
              <w:rPr>
                <w:rFonts w:eastAsia="方正仿宋_GBK"/>
                <w:spacing w:val="-2"/>
                <w:sz w:val="24"/>
              </w:rPr>
              <w:t>磋商小组认为供应商的报价无明显低于其他通过符合性审查供应商的报价的，供应商的报价不存在异常一致并成规律性的，其报价合理；</w:t>
            </w:r>
          </w:p>
        </w:tc>
        <w:tc>
          <w:tcPr>
            <w:tcW w:w="1920" w:type="dxa"/>
            <w:vAlign w:val="center"/>
          </w:tcPr>
          <w:p w14:paraId="13F568D0">
            <w:pPr>
              <w:spacing w:line="400" w:lineRule="exact"/>
              <w:rPr>
                <w:rFonts w:eastAsia="方正仿宋_GBK"/>
                <w:spacing w:val="-2"/>
                <w:sz w:val="24"/>
              </w:rPr>
            </w:pPr>
          </w:p>
        </w:tc>
      </w:tr>
      <w:tr w14:paraId="7505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14:paraId="23A7DD94">
            <w:pPr>
              <w:spacing w:line="400" w:lineRule="exact"/>
              <w:jc w:val="center"/>
              <w:rPr>
                <w:rFonts w:eastAsia="方正仿宋_GBK"/>
                <w:sz w:val="24"/>
              </w:rPr>
            </w:pPr>
            <w:r>
              <w:rPr>
                <w:rFonts w:eastAsia="方正仿宋_GBK"/>
                <w:sz w:val="24"/>
              </w:rPr>
              <w:t>3</w:t>
            </w:r>
          </w:p>
        </w:tc>
        <w:tc>
          <w:tcPr>
            <w:tcW w:w="6887" w:type="dxa"/>
            <w:vAlign w:val="center"/>
          </w:tcPr>
          <w:p w14:paraId="6CD48ACF">
            <w:pPr>
              <w:jc w:val="left"/>
              <w:rPr>
                <w:rFonts w:eastAsia="方正仿宋_GBK"/>
                <w:spacing w:val="-2"/>
                <w:sz w:val="24"/>
              </w:rPr>
            </w:pPr>
            <w:r>
              <w:rPr>
                <w:rFonts w:eastAsia="方正仿宋_GBK"/>
                <w:spacing w:val="-2"/>
                <w:sz w:val="24"/>
              </w:rPr>
              <w:t>响应文件按照磋商文件的规定编制、标记及签署盖章，法定代表人或其授权代表签字（章）和加盖供应商公章（所上传响应文件的印章和签字不能为复印件）；</w:t>
            </w:r>
          </w:p>
        </w:tc>
        <w:tc>
          <w:tcPr>
            <w:tcW w:w="1920" w:type="dxa"/>
            <w:vAlign w:val="center"/>
          </w:tcPr>
          <w:p w14:paraId="04BD148C">
            <w:pPr>
              <w:spacing w:line="400" w:lineRule="exact"/>
              <w:rPr>
                <w:rFonts w:eastAsia="方正仿宋_GBK"/>
                <w:spacing w:val="-2"/>
                <w:sz w:val="24"/>
              </w:rPr>
            </w:pPr>
          </w:p>
        </w:tc>
      </w:tr>
      <w:tr w14:paraId="36D7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38F7C138">
            <w:pPr>
              <w:spacing w:line="400" w:lineRule="exact"/>
              <w:jc w:val="center"/>
              <w:rPr>
                <w:rFonts w:eastAsia="方正仿宋_GBK"/>
                <w:sz w:val="24"/>
              </w:rPr>
            </w:pPr>
            <w:r>
              <w:rPr>
                <w:rFonts w:eastAsia="方正仿宋_GBK"/>
                <w:sz w:val="24"/>
              </w:rPr>
              <w:t>4</w:t>
            </w:r>
          </w:p>
        </w:tc>
        <w:tc>
          <w:tcPr>
            <w:tcW w:w="6887" w:type="dxa"/>
            <w:vAlign w:val="center"/>
          </w:tcPr>
          <w:p w14:paraId="3962605E">
            <w:pPr>
              <w:jc w:val="left"/>
              <w:rPr>
                <w:rFonts w:eastAsia="方正仿宋_GBK"/>
                <w:sz w:val="24"/>
              </w:rPr>
            </w:pPr>
            <w:r>
              <w:rPr>
                <w:rFonts w:eastAsia="方正仿宋_GBK"/>
                <w:sz w:val="24"/>
              </w:rPr>
              <w:t>所投的服务及数量满足磋商文件要求的（可参考报价明细表）；</w:t>
            </w:r>
          </w:p>
        </w:tc>
        <w:tc>
          <w:tcPr>
            <w:tcW w:w="1920" w:type="dxa"/>
            <w:vAlign w:val="center"/>
          </w:tcPr>
          <w:p w14:paraId="14207107">
            <w:pPr>
              <w:spacing w:line="400" w:lineRule="exact"/>
              <w:rPr>
                <w:rFonts w:eastAsia="方正仿宋_GBK"/>
                <w:spacing w:val="-2"/>
                <w:sz w:val="24"/>
              </w:rPr>
            </w:pPr>
          </w:p>
        </w:tc>
      </w:tr>
      <w:tr w14:paraId="0E9C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6ACE6351">
            <w:pPr>
              <w:spacing w:line="400" w:lineRule="exact"/>
              <w:jc w:val="center"/>
              <w:rPr>
                <w:rFonts w:eastAsia="方正仿宋_GBK"/>
                <w:sz w:val="24"/>
              </w:rPr>
            </w:pPr>
            <w:r>
              <w:rPr>
                <w:rFonts w:eastAsia="方正仿宋_GBK"/>
                <w:sz w:val="24"/>
              </w:rPr>
              <w:t>5</w:t>
            </w:r>
          </w:p>
        </w:tc>
        <w:tc>
          <w:tcPr>
            <w:tcW w:w="6887" w:type="dxa"/>
            <w:vAlign w:val="center"/>
          </w:tcPr>
          <w:p w14:paraId="066595A1">
            <w:pPr>
              <w:jc w:val="left"/>
              <w:rPr>
                <w:rFonts w:eastAsia="方正仿宋_GBK"/>
                <w:sz w:val="24"/>
              </w:rPr>
            </w:pPr>
            <w:r>
              <w:rPr>
                <w:rFonts w:eastAsia="方正仿宋_GBK"/>
                <w:spacing w:val="-2"/>
                <w:sz w:val="24"/>
              </w:rPr>
              <w:t>服务期满足磋商文件规定；</w:t>
            </w:r>
          </w:p>
        </w:tc>
        <w:tc>
          <w:tcPr>
            <w:tcW w:w="1920" w:type="dxa"/>
            <w:vAlign w:val="center"/>
          </w:tcPr>
          <w:p w14:paraId="68CBF089">
            <w:pPr>
              <w:spacing w:line="400" w:lineRule="exact"/>
              <w:rPr>
                <w:rFonts w:eastAsia="方正仿宋_GBK"/>
                <w:spacing w:val="-2"/>
                <w:sz w:val="24"/>
              </w:rPr>
            </w:pPr>
          </w:p>
        </w:tc>
      </w:tr>
      <w:tr w14:paraId="3423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076E7069">
            <w:pPr>
              <w:spacing w:line="400" w:lineRule="exact"/>
              <w:jc w:val="center"/>
              <w:rPr>
                <w:rFonts w:eastAsia="方正仿宋_GBK"/>
                <w:sz w:val="24"/>
              </w:rPr>
            </w:pPr>
            <w:r>
              <w:rPr>
                <w:rFonts w:eastAsia="方正仿宋_GBK"/>
                <w:sz w:val="24"/>
              </w:rPr>
              <w:t>6</w:t>
            </w:r>
          </w:p>
        </w:tc>
        <w:tc>
          <w:tcPr>
            <w:tcW w:w="6887" w:type="dxa"/>
            <w:vAlign w:val="center"/>
          </w:tcPr>
          <w:p w14:paraId="0FF94F4F">
            <w:pPr>
              <w:jc w:val="left"/>
              <w:rPr>
                <w:rFonts w:eastAsia="方正仿宋_GBK"/>
                <w:spacing w:val="-2"/>
                <w:sz w:val="24"/>
              </w:rPr>
            </w:pPr>
            <w:r>
              <w:rPr>
                <w:rFonts w:eastAsia="方正仿宋_GBK"/>
                <w:sz w:val="24"/>
              </w:rPr>
              <w:t>按磋商文件规定的格式填写，内容全、关键字迹清晰；</w:t>
            </w:r>
          </w:p>
        </w:tc>
        <w:tc>
          <w:tcPr>
            <w:tcW w:w="1920" w:type="dxa"/>
            <w:vAlign w:val="center"/>
          </w:tcPr>
          <w:p w14:paraId="32CF467E">
            <w:pPr>
              <w:spacing w:line="400" w:lineRule="exact"/>
              <w:rPr>
                <w:rFonts w:eastAsia="方正仿宋_GBK"/>
                <w:spacing w:val="-2"/>
                <w:sz w:val="24"/>
              </w:rPr>
            </w:pPr>
          </w:p>
        </w:tc>
      </w:tr>
      <w:tr w14:paraId="14AF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5F32800A">
            <w:pPr>
              <w:spacing w:line="400" w:lineRule="exact"/>
              <w:jc w:val="center"/>
              <w:rPr>
                <w:rFonts w:eastAsia="方正仿宋_GBK"/>
                <w:sz w:val="24"/>
              </w:rPr>
            </w:pPr>
            <w:r>
              <w:rPr>
                <w:rFonts w:eastAsia="方正仿宋_GBK"/>
                <w:sz w:val="24"/>
              </w:rPr>
              <w:t>7</w:t>
            </w:r>
          </w:p>
        </w:tc>
        <w:tc>
          <w:tcPr>
            <w:tcW w:w="6887" w:type="dxa"/>
            <w:vAlign w:val="center"/>
          </w:tcPr>
          <w:p w14:paraId="477AA4CE">
            <w:pPr>
              <w:jc w:val="left"/>
              <w:rPr>
                <w:rFonts w:eastAsia="方正仿宋_GBK"/>
                <w:spacing w:val="-2"/>
                <w:sz w:val="24"/>
              </w:rPr>
            </w:pPr>
            <w:r>
              <w:rPr>
                <w:rFonts w:eastAsia="方正仿宋_GBK"/>
                <w:sz w:val="24"/>
              </w:rPr>
              <w:t>没有采购人不能接受的附加条件；</w:t>
            </w:r>
          </w:p>
        </w:tc>
        <w:tc>
          <w:tcPr>
            <w:tcW w:w="1920" w:type="dxa"/>
            <w:vAlign w:val="center"/>
          </w:tcPr>
          <w:p w14:paraId="3AF5F1E6">
            <w:pPr>
              <w:spacing w:line="400" w:lineRule="exact"/>
              <w:rPr>
                <w:rFonts w:eastAsia="方正仿宋_GBK"/>
                <w:spacing w:val="-2"/>
                <w:sz w:val="24"/>
              </w:rPr>
            </w:pPr>
          </w:p>
        </w:tc>
      </w:tr>
      <w:tr w14:paraId="1679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0066C9B4">
            <w:pPr>
              <w:spacing w:line="400" w:lineRule="exact"/>
              <w:jc w:val="center"/>
              <w:rPr>
                <w:rFonts w:eastAsia="方正仿宋_GBK"/>
                <w:sz w:val="24"/>
              </w:rPr>
            </w:pPr>
            <w:r>
              <w:rPr>
                <w:rFonts w:eastAsia="方正仿宋_GBK"/>
                <w:sz w:val="24"/>
              </w:rPr>
              <w:t>8</w:t>
            </w:r>
          </w:p>
        </w:tc>
        <w:tc>
          <w:tcPr>
            <w:tcW w:w="6887" w:type="dxa"/>
            <w:vAlign w:val="center"/>
          </w:tcPr>
          <w:p w14:paraId="4B71C8A8">
            <w:pPr>
              <w:jc w:val="left"/>
              <w:rPr>
                <w:rFonts w:eastAsia="方正仿宋_GBK"/>
                <w:spacing w:val="-2"/>
                <w:sz w:val="24"/>
              </w:rPr>
            </w:pPr>
            <w:r>
              <w:rPr>
                <w:rFonts w:eastAsia="方正仿宋_GBK"/>
                <w:spacing w:val="-2"/>
                <w:sz w:val="24"/>
              </w:rPr>
              <w:t>符合磋商文件中规定的其他实质性要求；</w:t>
            </w:r>
          </w:p>
        </w:tc>
        <w:tc>
          <w:tcPr>
            <w:tcW w:w="1920" w:type="dxa"/>
            <w:vAlign w:val="center"/>
          </w:tcPr>
          <w:p w14:paraId="60549767">
            <w:pPr>
              <w:spacing w:line="400" w:lineRule="exact"/>
              <w:rPr>
                <w:rFonts w:eastAsia="方正仿宋_GBK"/>
                <w:spacing w:val="-2"/>
                <w:sz w:val="24"/>
              </w:rPr>
            </w:pPr>
          </w:p>
        </w:tc>
      </w:tr>
      <w:tr w14:paraId="1E3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19320855">
            <w:pPr>
              <w:spacing w:line="400" w:lineRule="exact"/>
              <w:jc w:val="center"/>
              <w:rPr>
                <w:rFonts w:eastAsia="方正仿宋_GBK"/>
                <w:sz w:val="24"/>
              </w:rPr>
            </w:pPr>
            <w:r>
              <w:rPr>
                <w:rFonts w:eastAsia="方正仿宋_GBK"/>
                <w:sz w:val="24"/>
              </w:rPr>
              <w:t>9</w:t>
            </w:r>
          </w:p>
        </w:tc>
        <w:tc>
          <w:tcPr>
            <w:tcW w:w="6887" w:type="dxa"/>
            <w:vAlign w:val="center"/>
          </w:tcPr>
          <w:p w14:paraId="6640C052">
            <w:pPr>
              <w:jc w:val="left"/>
              <w:rPr>
                <w:rFonts w:eastAsia="方正仿宋_GBK"/>
                <w:spacing w:val="-2"/>
                <w:sz w:val="24"/>
              </w:rPr>
            </w:pPr>
            <w:r>
              <w:rPr>
                <w:rFonts w:eastAsia="方正仿宋_GBK"/>
                <w:sz w:val="24"/>
              </w:rPr>
              <w:t>不同供应商的响应文件没有错漏一致的情况；</w:t>
            </w:r>
          </w:p>
        </w:tc>
        <w:tc>
          <w:tcPr>
            <w:tcW w:w="1920" w:type="dxa"/>
            <w:vAlign w:val="center"/>
          </w:tcPr>
          <w:p w14:paraId="413078D2">
            <w:pPr>
              <w:spacing w:line="400" w:lineRule="exact"/>
              <w:rPr>
                <w:rFonts w:eastAsia="方正仿宋_GBK"/>
                <w:spacing w:val="-2"/>
                <w:sz w:val="24"/>
              </w:rPr>
            </w:pPr>
          </w:p>
        </w:tc>
      </w:tr>
      <w:tr w14:paraId="2E35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57898564">
            <w:pPr>
              <w:spacing w:line="400" w:lineRule="exact"/>
              <w:jc w:val="center"/>
              <w:rPr>
                <w:rFonts w:eastAsia="方正仿宋_GBK"/>
                <w:sz w:val="24"/>
              </w:rPr>
            </w:pPr>
            <w:r>
              <w:rPr>
                <w:rFonts w:eastAsia="方正仿宋_GBK"/>
                <w:sz w:val="24"/>
              </w:rPr>
              <w:t>10</w:t>
            </w:r>
          </w:p>
        </w:tc>
        <w:tc>
          <w:tcPr>
            <w:tcW w:w="6887" w:type="dxa"/>
            <w:vAlign w:val="center"/>
          </w:tcPr>
          <w:p w14:paraId="0D6D64A6">
            <w:pPr>
              <w:jc w:val="left"/>
              <w:rPr>
                <w:rFonts w:eastAsia="方正仿宋_GBK"/>
                <w:sz w:val="24"/>
              </w:rPr>
            </w:pPr>
            <w:r>
              <w:rPr>
                <w:rFonts w:eastAsia="方正仿宋_GBK"/>
                <w:spacing w:val="-2"/>
                <w:sz w:val="24"/>
              </w:rPr>
              <w:t>供应商附有详细地址、联系人、联系电话等信息；</w:t>
            </w:r>
          </w:p>
        </w:tc>
        <w:tc>
          <w:tcPr>
            <w:tcW w:w="1920" w:type="dxa"/>
            <w:vAlign w:val="center"/>
          </w:tcPr>
          <w:p w14:paraId="21A3FE7A">
            <w:pPr>
              <w:spacing w:line="400" w:lineRule="exact"/>
              <w:rPr>
                <w:rFonts w:eastAsia="方正仿宋_GBK"/>
                <w:spacing w:val="-2"/>
                <w:sz w:val="24"/>
              </w:rPr>
            </w:pPr>
          </w:p>
        </w:tc>
      </w:tr>
      <w:tr w14:paraId="3124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751" w:type="dxa"/>
            <w:gridSpan w:val="2"/>
            <w:vAlign w:val="center"/>
          </w:tcPr>
          <w:p w14:paraId="585EDF18">
            <w:pPr>
              <w:spacing w:line="400" w:lineRule="exact"/>
              <w:ind w:firstLine="424" w:firstLineChars="180"/>
              <w:rPr>
                <w:rFonts w:eastAsia="方正仿宋_GBK"/>
                <w:spacing w:val="-2"/>
                <w:sz w:val="24"/>
              </w:rPr>
            </w:pPr>
            <w:r>
              <w:rPr>
                <w:rFonts w:eastAsia="方正仿宋_GBK"/>
                <w:spacing w:val="-2"/>
                <w:sz w:val="24"/>
              </w:rPr>
              <w:t>结论</w:t>
            </w:r>
          </w:p>
        </w:tc>
        <w:tc>
          <w:tcPr>
            <w:tcW w:w="1920" w:type="dxa"/>
            <w:vAlign w:val="center"/>
          </w:tcPr>
          <w:p w14:paraId="0D984029">
            <w:pPr>
              <w:spacing w:line="400" w:lineRule="exact"/>
              <w:ind w:firstLine="424" w:firstLineChars="180"/>
              <w:rPr>
                <w:rFonts w:eastAsia="方正仿宋_GBK"/>
                <w:spacing w:val="-2"/>
                <w:sz w:val="24"/>
              </w:rPr>
            </w:pPr>
          </w:p>
        </w:tc>
      </w:tr>
    </w:tbl>
    <w:p w14:paraId="6798DC93">
      <w:pPr>
        <w:snapToGrid w:val="0"/>
        <w:spacing w:line="360" w:lineRule="exact"/>
        <w:textAlignment w:val="baseline"/>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w:t>
      </w:r>
    </w:p>
    <w:p w14:paraId="76104717">
      <w:pPr>
        <w:snapToGrid w:val="0"/>
        <w:spacing w:line="360" w:lineRule="exact"/>
        <w:ind w:firstLine="480" w:firstLineChars="200"/>
        <w:textAlignment w:val="baseline"/>
        <w:rPr>
          <w:rFonts w:eastAsia="方正仿宋_GBK"/>
          <w:sz w:val="24"/>
        </w:rPr>
      </w:pPr>
      <w:r>
        <w:rPr>
          <w:rFonts w:eastAsia="方正仿宋_GBK"/>
          <w:sz w:val="24"/>
        </w:rPr>
        <w:t>（1）上述各项中“ 符合”表示通过，“ 不符合”表示未通过；</w:t>
      </w:r>
    </w:p>
    <w:p w14:paraId="5ABFE283">
      <w:pPr>
        <w:snapToGrid w:val="0"/>
        <w:spacing w:line="360" w:lineRule="exact"/>
        <w:ind w:firstLine="480" w:firstLineChars="200"/>
        <w:textAlignment w:val="baseline"/>
        <w:rPr>
          <w:rFonts w:eastAsia="方正仿宋_GBK"/>
          <w:sz w:val="24"/>
        </w:rPr>
      </w:pPr>
      <w:r>
        <w:rPr>
          <w:rFonts w:eastAsia="方正仿宋_GBK"/>
          <w:sz w:val="24"/>
        </w:rPr>
        <w:t>（2）上述各项中如有一项为“ 不符合”，则结论为“ 不符合”，表示该投标文件中存在重大偏差， 不能通过初步评审；评委对某一分项评审认为不符合时，必须要写明原因。</w:t>
      </w:r>
    </w:p>
    <w:p w14:paraId="0F09138A">
      <w:pPr>
        <w:snapToGrid w:val="0"/>
        <w:spacing w:line="360" w:lineRule="exact"/>
        <w:ind w:firstLine="480" w:firstLineChars="200"/>
        <w:textAlignment w:val="baseline"/>
        <w:rPr>
          <w:rFonts w:eastAsia="方正仿宋_GBK"/>
          <w:sz w:val="24"/>
        </w:rPr>
      </w:pPr>
      <w:r>
        <w:rPr>
          <w:rFonts w:eastAsia="方正仿宋_GBK"/>
          <w:sz w:val="24"/>
        </w:rPr>
        <w:t>（3）磋商文件最终合格与否，磋商小组按照少数服从多数的原则定论。</w:t>
      </w:r>
    </w:p>
    <w:p w14:paraId="0608E6BF">
      <w:pPr>
        <w:snapToGrid w:val="0"/>
        <w:spacing w:line="240" w:lineRule="atLeast"/>
        <w:jc w:val="left"/>
        <w:textAlignment w:val="baseline"/>
        <w:rPr>
          <w:rFonts w:eastAsia="方正仿宋_GBK"/>
          <w:sz w:val="24"/>
        </w:rPr>
      </w:pPr>
      <w:r>
        <w:rPr>
          <w:rFonts w:eastAsia="方正仿宋_GBK"/>
          <w:b/>
          <w:bCs/>
          <w:sz w:val="24"/>
        </w:rPr>
        <w:t>备注：如果供应商有一项未通过上述审查标准，磋商小组将认定整个响应文件未响应磋商文件而予以废标处理。</w:t>
      </w:r>
      <w:bookmarkStart w:id="877" w:name="_Toc25310"/>
      <w:bookmarkStart w:id="878" w:name="_Toc20930"/>
      <w:bookmarkStart w:id="879" w:name="_Toc507399904"/>
    </w:p>
    <w:p w14:paraId="523356CA">
      <w:pPr>
        <w:spacing w:line="300" w:lineRule="auto"/>
        <w:jc w:val="center"/>
        <w:outlineLvl w:val="1"/>
        <w:rPr>
          <w:rFonts w:ascii="仿宋" w:hAnsi="仿宋" w:eastAsia="仿宋" w:cs="宋体"/>
          <w:b/>
          <w:bCs/>
          <w:kern w:val="0"/>
          <w:sz w:val="32"/>
          <w:szCs w:val="32"/>
        </w:rPr>
      </w:pPr>
      <w:bookmarkStart w:id="880" w:name="_Toc29747"/>
    </w:p>
    <w:p w14:paraId="17E03B28">
      <w:pPr>
        <w:spacing w:line="300" w:lineRule="auto"/>
        <w:jc w:val="center"/>
        <w:outlineLvl w:val="1"/>
        <w:rPr>
          <w:rFonts w:ascii="仿宋" w:hAnsi="仿宋" w:eastAsia="仿宋" w:cs="宋体"/>
          <w:b/>
          <w:bCs/>
          <w:kern w:val="0"/>
          <w:sz w:val="32"/>
          <w:szCs w:val="32"/>
        </w:rPr>
      </w:pPr>
      <w:r>
        <w:rPr>
          <w:rFonts w:hint="eastAsia" w:ascii="仿宋" w:hAnsi="仿宋" w:eastAsia="仿宋" w:cs="宋体"/>
          <w:b/>
          <w:bCs/>
          <w:kern w:val="0"/>
          <w:sz w:val="32"/>
          <w:szCs w:val="32"/>
        </w:rPr>
        <w:t>商务标评审表</w:t>
      </w:r>
    </w:p>
    <w:tbl>
      <w:tblPr>
        <w:tblStyle w:val="38"/>
        <w:tblW w:w="8961" w:type="dxa"/>
        <w:tblInd w:w="-153" w:type="dxa"/>
        <w:tblLayout w:type="fixed"/>
        <w:tblCellMar>
          <w:top w:w="0" w:type="dxa"/>
          <w:left w:w="108" w:type="dxa"/>
          <w:bottom w:w="0" w:type="dxa"/>
          <w:right w:w="108" w:type="dxa"/>
        </w:tblCellMar>
      </w:tblPr>
      <w:tblGrid>
        <w:gridCol w:w="2413"/>
        <w:gridCol w:w="3502"/>
        <w:gridCol w:w="914"/>
        <w:gridCol w:w="1066"/>
        <w:gridCol w:w="1066"/>
      </w:tblGrid>
      <w:tr w14:paraId="070339CA">
        <w:tblPrEx>
          <w:tblCellMar>
            <w:top w:w="0" w:type="dxa"/>
            <w:left w:w="108" w:type="dxa"/>
            <w:bottom w:w="0" w:type="dxa"/>
            <w:right w:w="108" w:type="dxa"/>
          </w:tblCellMar>
        </w:tblPrEx>
        <w:trPr>
          <w:trHeight w:val="546" w:hRule="atLeast"/>
        </w:trPr>
        <w:tc>
          <w:tcPr>
            <w:tcW w:w="5915" w:type="dxa"/>
            <w:gridSpan w:val="2"/>
            <w:tcBorders>
              <w:top w:val="single" w:color="auto" w:sz="4" w:space="0"/>
              <w:left w:val="single" w:color="auto" w:sz="4" w:space="0"/>
              <w:bottom w:val="single" w:color="auto" w:sz="4" w:space="0"/>
              <w:right w:val="single" w:color="auto" w:sz="4" w:space="0"/>
            </w:tcBorders>
            <w:vAlign w:val="center"/>
          </w:tcPr>
          <w:p w14:paraId="7FC96E60">
            <w:pPr>
              <w:widowControl/>
              <w:jc w:val="center"/>
              <w:rPr>
                <w:rFonts w:ascii="仿宋" w:hAnsi="仿宋" w:eastAsia="仿宋" w:cs="仿宋"/>
                <w:b/>
                <w:kern w:val="0"/>
                <w:sz w:val="24"/>
              </w:rPr>
            </w:pPr>
            <w:r>
              <w:rPr>
                <w:rFonts w:hint="eastAsia" w:ascii="仿宋" w:hAnsi="仿宋" w:eastAsia="仿宋" w:cs="仿宋"/>
                <w:b/>
                <w:kern w:val="0"/>
                <w:sz w:val="24"/>
              </w:rPr>
              <w:t>审查事项</w:t>
            </w:r>
          </w:p>
        </w:tc>
        <w:tc>
          <w:tcPr>
            <w:tcW w:w="3046" w:type="dxa"/>
            <w:gridSpan w:val="3"/>
            <w:tcBorders>
              <w:top w:val="single" w:color="auto" w:sz="4" w:space="0"/>
              <w:left w:val="single" w:color="auto" w:sz="4" w:space="0"/>
              <w:bottom w:val="single" w:color="auto" w:sz="4" w:space="0"/>
              <w:right w:val="single" w:color="auto" w:sz="4" w:space="0"/>
            </w:tcBorders>
            <w:vAlign w:val="center"/>
          </w:tcPr>
          <w:p w14:paraId="25323CAA">
            <w:pPr>
              <w:widowControl/>
              <w:jc w:val="center"/>
              <w:rPr>
                <w:rFonts w:ascii="仿宋" w:hAnsi="仿宋" w:eastAsia="仿宋" w:cs="仿宋"/>
                <w:b/>
                <w:kern w:val="0"/>
                <w:sz w:val="24"/>
              </w:rPr>
            </w:pPr>
            <w:r>
              <w:rPr>
                <w:rFonts w:hint="eastAsia" w:ascii="仿宋" w:hAnsi="仿宋" w:eastAsia="仿宋" w:cs="仿宋"/>
                <w:b/>
                <w:kern w:val="0"/>
                <w:sz w:val="24"/>
              </w:rPr>
              <w:t>投标人名称及审查情况</w:t>
            </w:r>
          </w:p>
        </w:tc>
      </w:tr>
      <w:tr w14:paraId="094DD4C7">
        <w:tblPrEx>
          <w:tblCellMar>
            <w:top w:w="0" w:type="dxa"/>
            <w:left w:w="108" w:type="dxa"/>
            <w:bottom w:w="0" w:type="dxa"/>
            <w:right w:w="108" w:type="dxa"/>
          </w:tblCellMar>
        </w:tblPrEx>
        <w:trPr>
          <w:trHeight w:val="570" w:hRule="atLeast"/>
        </w:trPr>
        <w:tc>
          <w:tcPr>
            <w:tcW w:w="2413" w:type="dxa"/>
            <w:tcBorders>
              <w:top w:val="single" w:color="auto" w:sz="4" w:space="0"/>
              <w:left w:val="single" w:color="auto" w:sz="4" w:space="0"/>
              <w:bottom w:val="single" w:color="auto" w:sz="4" w:space="0"/>
              <w:right w:val="single" w:color="auto" w:sz="4" w:space="0"/>
            </w:tcBorders>
            <w:vAlign w:val="center"/>
          </w:tcPr>
          <w:p w14:paraId="049AD129">
            <w:pPr>
              <w:widowControl/>
              <w:jc w:val="left"/>
              <w:rPr>
                <w:rFonts w:ascii="仿宋" w:hAnsi="仿宋" w:eastAsia="仿宋" w:cs="仿宋"/>
                <w:b/>
                <w:kern w:val="0"/>
                <w:sz w:val="24"/>
              </w:rPr>
            </w:pPr>
            <w:r>
              <w:rPr>
                <w:rFonts w:hint="eastAsia" w:ascii="仿宋" w:hAnsi="仿宋" w:eastAsia="仿宋" w:cs="仿宋"/>
                <w:b/>
                <w:kern w:val="0"/>
                <w:sz w:val="24"/>
              </w:rPr>
              <w:t>招标文件条款（投标人须知、投标人须知资料表条款号）</w:t>
            </w:r>
          </w:p>
        </w:tc>
        <w:tc>
          <w:tcPr>
            <w:tcW w:w="3502" w:type="dxa"/>
            <w:tcBorders>
              <w:top w:val="single" w:color="auto" w:sz="4" w:space="0"/>
              <w:left w:val="single" w:color="auto" w:sz="4" w:space="0"/>
              <w:bottom w:val="single" w:color="auto" w:sz="4" w:space="0"/>
              <w:right w:val="single" w:color="auto" w:sz="4" w:space="0"/>
            </w:tcBorders>
            <w:vAlign w:val="center"/>
          </w:tcPr>
          <w:p w14:paraId="34191DA5">
            <w:pPr>
              <w:widowControl/>
              <w:jc w:val="center"/>
              <w:rPr>
                <w:rFonts w:ascii="仿宋" w:hAnsi="仿宋" w:eastAsia="仿宋" w:cs="仿宋"/>
                <w:b/>
                <w:kern w:val="0"/>
                <w:sz w:val="24"/>
              </w:rPr>
            </w:pPr>
            <w:r>
              <w:rPr>
                <w:rFonts w:hint="eastAsia" w:ascii="仿宋" w:hAnsi="仿宋" w:eastAsia="仿宋" w:cs="仿宋"/>
                <w:b/>
                <w:kern w:val="0"/>
                <w:sz w:val="24"/>
              </w:rPr>
              <w:t>本项目要求</w:t>
            </w:r>
          </w:p>
        </w:tc>
        <w:tc>
          <w:tcPr>
            <w:tcW w:w="914" w:type="dxa"/>
            <w:tcBorders>
              <w:top w:val="single" w:color="auto" w:sz="4" w:space="0"/>
              <w:left w:val="single" w:color="auto" w:sz="4" w:space="0"/>
              <w:bottom w:val="single" w:color="auto" w:sz="4" w:space="0"/>
              <w:right w:val="single" w:color="auto" w:sz="4" w:space="0"/>
            </w:tcBorders>
            <w:vAlign w:val="center"/>
          </w:tcPr>
          <w:p w14:paraId="7FB8346A">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541E3E2F">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77DDE238">
            <w:pPr>
              <w:widowControl/>
              <w:jc w:val="left"/>
              <w:rPr>
                <w:rFonts w:ascii="仿宋" w:hAnsi="仿宋" w:eastAsia="仿宋" w:cs="仿宋"/>
                <w:kern w:val="0"/>
                <w:sz w:val="24"/>
              </w:rPr>
            </w:pPr>
            <w:r>
              <w:rPr>
                <w:rFonts w:hint="eastAsia" w:ascii="仿宋" w:hAnsi="仿宋" w:eastAsia="仿宋" w:cs="仿宋"/>
                <w:kern w:val="0"/>
                <w:sz w:val="24"/>
              </w:rPr>
              <w:t>　</w:t>
            </w:r>
          </w:p>
        </w:tc>
      </w:tr>
      <w:tr w14:paraId="6BA7667B">
        <w:tblPrEx>
          <w:tblCellMar>
            <w:top w:w="0" w:type="dxa"/>
            <w:left w:w="108" w:type="dxa"/>
            <w:bottom w:w="0" w:type="dxa"/>
            <w:right w:w="108" w:type="dxa"/>
          </w:tblCellMar>
        </w:tblPrEx>
        <w:trPr>
          <w:trHeight w:val="408" w:hRule="atLeast"/>
        </w:trPr>
        <w:tc>
          <w:tcPr>
            <w:tcW w:w="2413" w:type="dxa"/>
            <w:tcBorders>
              <w:top w:val="single" w:color="auto" w:sz="4" w:space="0"/>
              <w:left w:val="single" w:color="auto" w:sz="4" w:space="0"/>
              <w:bottom w:val="single" w:color="auto" w:sz="4" w:space="0"/>
              <w:right w:val="single" w:color="auto" w:sz="4" w:space="0"/>
            </w:tcBorders>
            <w:vAlign w:val="center"/>
          </w:tcPr>
          <w:p w14:paraId="07BB2C2E">
            <w:pPr>
              <w:widowControl/>
              <w:jc w:val="center"/>
              <w:rPr>
                <w:rFonts w:ascii="仿宋" w:hAnsi="仿宋" w:eastAsia="仿宋" w:cs="仿宋"/>
                <w:kern w:val="0"/>
                <w:sz w:val="24"/>
              </w:rPr>
            </w:pPr>
            <w:bookmarkStart w:id="881" w:name="OLE_LINK2" w:colFirst="0" w:colLast="0"/>
            <w:r>
              <w:rPr>
                <w:rFonts w:hint="eastAsia" w:ascii="仿宋" w:hAnsi="仿宋" w:eastAsia="仿宋" w:cs="仿宋"/>
                <w:kern w:val="0"/>
                <w:sz w:val="24"/>
              </w:rPr>
              <w:t>中小企业投标要求</w:t>
            </w:r>
          </w:p>
        </w:tc>
        <w:tc>
          <w:tcPr>
            <w:tcW w:w="3502" w:type="dxa"/>
            <w:tcBorders>
              <w:top w:val="single" w:color="auto" w:sz="4" w:space="0"/>
              <w:left w:val="nil"/>
              <w:bottom w:val="single" w:color="auto" w:sz="4" w:space="0"/>
              <w:right w:val="single" w:color="auto" w:sz="4" w:space="0"/>
            </w:tcBorders>
            <w:vAlign w:val="center"/>
          </w:tcPr>
          <w:p w14:paraId="64D764ED">
            <w:pPr>
              <w:widowControl/>
              <w:jc w:val="center"/>
              <w:rPr>
                <w:rFonts w:ascii="仿宋" w:hAnsi="仿宋" w:eastAsia="仿宋" w:cs="仿宋"/>
                <w:kern w:val="0"/>
                <w:sz w:val="24"/>
              </w:rPr>
            </w:pPr>
            <w:r>
              <w:rPr>
                <w:rFonts w:hint="eastAsia" w:ascii="仿宋" w:hAnsi="仿宋" w:eastAsia="仿宋" w:cs="仿宋"/>
                <w:kern w:val="0"/>
                <w:sz w:val="24"/>
              </w:rPr>
              <w:t>本项目</w:t>
            </w:r>
            <w:r>
              <w:rPr>
                <w:rFonts w:hint="eastAsia" w:ascii="仿宋" w:hAnsi="仿宋" w:eastAsia="仿宋" w:cs="仿宋"/>
                <w:kern w:val="0"/>
                <w:sz w:val="24"/>
                <w:u w:val="single"/>
              </w:rPr>
              <w:t>适用</w:t>
            </w:r>
          </w:p>
        </w:tc>
        <w:tc>
          <w:tcPr>
            <w:tcW w:w="914" w:type="dxa"/>
            <w:tcBorders>
              <w:top w:val="single" w:color="auto" w:sz="4" w:space="0"/>
              <w:left w:val="nil"/>
              <w:bottom w:val="single" w:color="auto" w:sz="4" w:space="0"/>
              <w:right w:val="single" w:color="auto" w:sz="4" w:space="0"/>
            </w:tcBorders>
            <w:vAlign w:val="center"/>
          </w:tcPr>
          <w:p w14:paraId="2A3F521E">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61E6665E">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502D1100">
            <w:pPr>
              <w:widowControl/>
              <w:jc w:val="left"/>
              <w:rPr>
                <w:rFonts w:ascii="仿宋" w:hAnsi="仿宋" w:eastAsia="仿宋" w:cs="仿宋"/>
                <w:kern w:val="0"/>
                <w:sz w:val="24"/>
              </w:rPr>
            </w:pPr>
          </w:p>
        </w:tc>
      </w:tr>
      <w:tr w14:paraId="6CB34F67">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3740F3B8">
            <w:pPr>
              <w:widowControl/>
              <w:jc w:val="center"/>
              <w:rPr>
                <w:rFonts w:ascii="仿宋" w:hAnsi="仿宋" w:eastAsia="仿宋" w:cs="仿宋"/>
                <w:kern w:val="0"/>
                <w:sz w:val="24"/>
              </w:rPr>
            </w:pPr>
            <w:r>
              <w:rPr>
                <w:rFonts w:hint="eastAsia" w:ascii="仿宋" w:hAnsi="仿宋" w:eastAsia="仿宋" w:cs="仿宋"/>
                <w:kern w:val="0"/>
                <w:sz w:val="24"/>
              </w:rPr>
              <w:t>联合体投标规定</w:t>
            </w:r>
          </w:p>
        </w:tc>
        <w:tc>
          <w:tcPr>
            <w:tcW w:w="3502" w:type="dxa"/>
            <w:tcBorders>
              <w:top w:val="single" w:color="auto" w:sz="4" w:space="0"/>
              <w:left w:val="nil"/>
              <w:bottom w:val="single" w:color="auto" w:sz="4" w:space="0"/>
              <w:right w:val="single" w:color="auto" w:sz="4" w:space="0"/>
            </w:tcBorders>
            <w:vAlign w:val="center"/>
          </w:tcPr>
          <w:p w14:paraId="556D6724">
            <w:pPr>
              <w:widowControl/>
              <w:jc w:val="center"/>
              <w:rPr>
                <w:rFonts w:ascii="仿宋" w:hAnsi="仿宋" w:eastAsia="仿宋" w:cs="仿宋"/>
                <w:kern w:val="0"/>
                <w:sz w:val="24"/>
              </w:rPr>
            </w:pPr>
            <w:r>
              <w:rPr>
                <w:rFonts w:hint="eastAsia" w:ascii="仿宋" w:hAnsi="仿宋" w:eastAsia="仿宋" w:cs="仿宋"/>
                <w:kern w:val="0"/>
                <w:sz w:val="24"/>
              </w:rPr>
              <w:t>本项目</w:t>
            </w:r>
            <w:r>
              <w:rPr>
                <w:rFonts w:hint="eastAsia" w:ascii="仿宋" w:hAnsi="仿宋" w:eastAsia="仿宋" w:cs="仿宋"/>
                <w:kern w:val="0"/>
                <w:sz w:val="24"/>
                <w:u w:val="single"/>
              </w:rPr>
              <w:t>不接受</w:t>
            </w:r>
            <w:r>
              <w:rPr>
                <w:rFonts w:hint="eastAsia" w:ascii="仿宋" w:hAnsi="仿宋" w:eastAsia="仿宋" w:cs="仿宋"/>
                <w:kern w:val="0"/>
                <w:sz w:val="24"/>
              </w:rPr>
              <w:t>联合体投标</w:t>
            </w:r>
          </w:p>
        </w:tc>
        <w:tc>
          <w:tcPr>
            <w:tcW w:w="914" w:type="dxa"/>
            <w:tcBorders>
              <w:top w:val="single" w:color="auto" w:sz="4" w:space="0"/>
              <w:left w:val="nil"/>
              <w:bottom w:val="single" w:color="auto" w:sz="4" w:space="0"/>
              <w:right w:val="single" w:color="auto" w:sz="4" w:space="0"/>
            </w:tcBorders>
            <w:vAlign w:val="center"/>
          </w:tcPr>
          <w:p w14:paraId="6A712814">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366D1F63">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2EEF5AA9">
            <w:pPr>
              <w:widowControl/>
              <w:jc w:val="left"/>
              <w:rPr>
                <w:rFonts w:ascii="仿宋" w:hAnsi="仿宋" w:eastAsia="仿宋" w:cs="仿宋"/>
                <w:kern w:val="0"/>
                <w:sz w:val="24"/>
              </w:rPr>
            </w:pPr>
            <w:r>
              <w:rPr>
                <w:rFonts w:hint="eastAsia" w:ascii="仿宋" w:hAnsi="仿宋" w:eastAsia="仿宋" w:cs="仿宋"/>
                <w:kern w:val="0"/>
                <w:sz w:val="24"/>
              </w:rPr>
              <w:t>　</w:t>
            </w:r>
          </w:p>
        </w:tc>
      </w:tr>
      <w:bookmarkEnd w:id="881"/>
      <w:tr w14:paraId="58A6D91E">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416C2FE2">
            <w:pPr>
              <w:widowControl/>
              <w:jc w:val="center"/>
              <w:rPr>
                <w:rFonts w:ascii="仿宋" w:hAnsi="仿宋" w:eastAsia="仿宋" w:cs="仿宋"/>
                <w:kern w:val="0"/>
                <w:sz w:val="24"/>
              </w:rPr>
            </w:pPr>
            <w:r>
              <w:rPr>
                <w:rFonts w:hint="eastAsia" w:ascii="仿宋" w:hAnsi="仿宋" w:eastAsia="仿宋" w:cs="仿宋"/>
                <w:kern w:val="0"/>
                <w:sz w:val="24"/>
              </w:rPr>
              <w:t>投标人的关联性</w:t>
            </w:r>
          </w:p>
          <w:p w14:paraId="15E08F25">
            <w:pPr>
              <w:widowControl/>
              <w:jc w:val="center"/>
              <w:rPr>
                <w:rFonts w:ascii="仿宋" w:hAnsi="仿宋" w:eastAsia="仿宋" w:cs="仿宋"/>
                <w:kern w:val="0"/>
                <w:sz w:val="24"/>
              </w:rPr>
            </w:pPr>
          </w:p>
        </w:tc>
        <w:tc>
          <w:tcPr>
            <w:tcW w:w="3502" w:type="dxa"/>
            <w:tcBorders>
              <w:top w:val="single" w:color="auto" w:sz="4" w:space="0"/>
              <w:left w:val="nil"/>
              <w:bottom w:val="single" w:color="auto" w:sz="4" w:space="0"/>
              <w:right w:val="single" w:color="auto" w:sz="4" w:space="0"/>
            </w:tcBorders>
            <w:vAlign w:val="center"/>
          </w:tcPr>
          <w:p w14:paraId="25CE85AA">
            <w:pPr>
              <w:widowControl/>
              <w:jc w:val="center"/>
              <w:rPr>
                <w:rFonts w:ascii="仿宋" w:hAnsi="仿宋" w:eastAsia="仿宋" w:cs="仿宋"/>
                <w:kern w:val="0"/>
                <w:sz w:val="24"/>
              </w:rPr>
            </w:pPr>
            <w:r>
              <w:rPr>
                <w:rFonts w:hint="eastAsia" w:ascii="仿宋" w:hAnsi="仿宋" w:eastAsia="仿宋" w:cs="仿宋"/>
                <w:kern w:val="0"/>
                <w:sz w:val="24"/>
              </w:rPr>
              <w:t>在同一标包内，单位负责人为非同一人或者不存在直接控股、管理关系的不同供应商。</w:t>
            </w:r>
          </w:p>
        </w:tc>
        <w:tc>
          <w:tcPr>
            <w:tcW w:w="914" w:type="dxa"/>
            <w:tcBorders>
              <w:top w:val="single" w:color="auto" w:sz="4" w:space="0"/>
              <w:left w:val="nil"/>
              <w:bottom w:val="single" w:color="auto" w:sz="4" w:space="0"/>
              <w:right w:val="single" w:color="auto" w:sz="4" w:space="0"/>
            </w:tcBorders>
            <w:vAlign w:val="center"/>
          </w:tcPr>
          <w:p w14:paraId="6C6748EE">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21DD4656">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39D86277">
            <w:pPr>
              <w:widowControl/>
              <w:jc w:val="left"/>
              <w:rPr>
                <w:rFonts w:ascii="仿宋" w:hAnsi="仿宋" w:eastAsia="仿宋" w:cs="仿宋"/>
                <w:kern w:val="0"/>
                <w:sz w:val="24"/>
              </w:rPr>
            </w:pPr>
            <w:r>
              <w:rPr>
                <w:rFonts w:hint="eastAsia" w:ascii="仿宋" w:hAnsi="仿宋" w:eastAsia="仿宋" w:cs="仿宋"/>
                <w:kern w:val="0"/>
                <w:sz w:val="24"/>
              </w:rPr>
              <w:t>　</w:t>
            </w:r>
          </w:p>
        </w:tc>
      </w:tr>
      <w:tr w14:paraId="25418B36">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0822D247">
            <w:pPr>
              <w:widowControl/>
              <w:jc w:val="center"/>
              <w:rPr>
                <w:rFonts w:ascii="仿宋" w:hAnsi="仿宋" w:eastAsia="仿宋" w:cs="仿宋"/>
                <w:kern w:val="0"/>
                <w:sz w:val="24"/>
              </w:rPr>
            </w:pPr>
            <w:r>
              <w:rPr>
                <w:rFonts w:hint="eastAsia" w:ascii="仿宋" w:hAnsi="仿宋" w:eastAsia="仿宋" w:cs="仿宋"/>
                <w:kern w:val="0"/>
                <w:sz w:val="24"/>
              </w:rPr>
              <w:t>未发现影响采购人决策行为</w:t>
            </w:r>
          </w:p>
        </w:tc>
        <w:tc>
          <w:tcPr>
            <w:tcW w:w="3502" w:type="dxa"/>
            <w:tcBorders>
              <w:top w:val="single" w:color="auto" w:sz="4" w:space="0"/>
              <w:left w:val="nil"/>
              <w:bottom w:val="single" w:color="auto" w:sz="4" w:space="0"/>
              <w:right w:val="single" w:color="auto" w:sz="4" w:space="0"/>
            </w:tcBorders>
            <w:vAlign w:val="center"/>
          </w:tcPr>
          <w:p w14:paraId="629D317D">
            <w:pPr>
              <w:widowControl/>
              <w:jc w:val="center"/>
              <w:rPr>
                <w:rFonts w:ascii="仿宋" w:hAnsi="仿宋" w:eastAsia="仿宋" w:cs="仿宋"/>
                <w:kern w:val="0"/>
                <w:sz w:val="24"/>
              </w:rPr>
            </w:pPr>
            <w:r>
              <w:rPr>
                <w:rFonts w:hint="eastAsia" w:ascii="仿宋" w:hAnsi="仿宋" w:eastAsia="仿宋" w:cs="仿宋"/>
                <w:sz w:val="24"/>
              </w:rPr>
              <w:t>投标人在投标过程中未向采购人提供、给予任何有价值的物品，影响其正常决策行为。</w:t>
            </w:r>
          </w:p>
        </w:tc>
        <w:tc>
          <w:tcPr>
            <w:tcW w:w="914" w:type="dxa"/>
            <w:tcBorders>
              <w:top w:val="single" w:color="auto" w:sz="4" w:space="0"/>
              <w:left w:val="nil"/>
              <w:bottom w:val="single" w:color="auto" w:sz="4" w:space="0"/>
              <w:right w:val="single" w:color="auto" w:sz="4" w:space="0"/>
            </w:tcBorders>
            <w:vAlign w:val="center"/>
          </w:tcPr>
          <w:p w14:paraId="5DC120A8">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38AE952C">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55BD9ADA">
            <w:pPr>
              <w:widowControl/>
              <w:jc w:val="left"/>
              <w:rPr>
                <w:rFonts w:ascii="仿宋" w:hAnsi="仿宋" w:eastAsia="仿宋" w:cs="仿宋"/>
                <w:kern w:val="0"/>
                <w:sz w:val="24"/>
              </w:rPr>
            </w:pPr>
          </w:p>
        </w:tc>
      </w:tr>
      <w:tr w14:paraId="3FDCACCD">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5CAD29EB">
            <w:pPr>
              <w:widowControl/>
              <w:jc w:val="center"/>
              <w:rPr>
                <w:rFonts w:ascii="仿宋" w:hAnsi="仿宋" w:eastAsia="仿宋" w:cs="仿宋"/>
                <w:kern w:val="0"/>
                <w:sz w:val="24"/>
              </w:rPr>
            </w:pPr>
            <w:r>
              <w:rPr>
                <w:rFonts w:hint="eastAsia" w:ascii="仿宋" w:hAnsi="仿宋" w:eastAsia="仿宋" w:cs="仿宋"/>
                <w:kern w:val="0"/>
                <w:sz w:val="24"/>
              </w:rPr>
              <w:t>满足投标范围的完整性要求</w:t>
            </w:r>
          </w:p>
        </w:tc>
        <w:tc>
          <w:tcPr>
            <w:tcW w:w="3502" w:type="dxa"/>
            <w:tcBorders>
              <w:top w:val="single" w:color="auto" w:sz="4" w:space="0"/>
              <w:left w:val="nil"/>
              <w:bottom w:val="single" w:color="auto" w:sz="4" w:space="0"/>
              <w:right w:val="single" w:color="auto" w:sz="4" w:space="0"/>
            </w:tcBorders>
            <w:vAlign w:val="center"/>
          </w:tcPr>
          <w:p w14:paraId="6C54BE51">
            <w:pPr>
              <w:widowControl/>
              <w:jc w:val="center"/>
              <w:rPr>
                <w:rFonts w:ascii="仿宋" w:hAnsi="仿宋" w:eastAsia="仿宋" w:cs="仿宋"/>
                <w:kern w:val="0"/>
                <w:sz w:val="24"/>
              </w:rPr>
            </w:pPr>
            <w:r>
              <w:rPr>
                <w:rFonts w:hint="eastAsia" w:ascii="仿宋" w:hAnsi="仿宋" w:eastAsia="仿宋" w:cs="仿宋"/>
                <w:sz w:val="24"/>
              </w:rPr>
              <w:t>投标人对所投分包招标文件中所列的所有内容进行投标。</w:t>
            </w:r>
          </w:p>
        </w:tc>
        <w:tc>
          <w:tcPr>
            <w:tcW w:w="914" w:type="dxa"/>
            <w:tcBorders>
              <w:top w:val="single" w:color="auto" w:sz="4" w:space="0"/>
              <w:left w:val="nil"/>
              <w:bottom w:val="single" w:color="auto" w:sz="4" w:space="0"/>
              <w:right w:val="single" w:color="auto" w:sz="4" w:space="0"/>
            </w:tcBorders>
            <w:vAlign w:val="center"/>
          </w:tcPr>
          <w:p w14:paraId="36D60EF3">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3A89670A">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26024FC8">
            <w:pPr>
              <w:widowControl/>
              <w:jc w:val="left"/>
              <w:rPr>
                <w:rFonts w:ascii="仿宋" w:hAnsi="仿宋" w:eastAsia="仿宋" w:cs="仿宋"/>
                <w:kern w:val="0"/>
                <w:sz w:val="24"/>
              </w:rPr>
            </w:pPr>
          </w:p>
        </w:tc>
      </w:tr>
      <w:tr w14:paraId="4D4F9283">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3222990E">
            <w:pPr>
              <w:widowControl/>
              <w:jc w:val="center"/>
              <w:rPr>
                <w:rFonts w:ascii="仿宋" w:hAnsi="仿宋" w:eastAsia="仿宋" w:cs="仿宋"/>
                <w:kern w:val="0"/>
                <w:sz w:val="24"/>
              </w:rPr>
            </w:pPr>
            <w:r>
              <w:rPr>
                <w:rFonts w:hint="eastAsia" w:ascii="仿宋" w:hAnsi="仿宋" w:eastAsia="仿宋" w:cs="仿宋"/>
                <w:kern w:val="0"/>
                <w:sz w:val="24"/>
              </w:rPr>
              <w:t>未包含价格调整要求</w:t>
            </w:r>
          </w:p>
          <w:p w14:paraId="3C831273">
            <w:pPr>
              <w:widowControl/>
              <w:jc w:val="center"/>
              <w:rPr>
                <w:rFonts w:ascii="仿宋" w:hAnsi="仿宋" w:eastAsia="仿宋" w:cs="仿宋"/>
                <w:kern w:val="0"/>
                <w:sz w:val="24"/>
              </w:rPr>
            </w:pPr>
          </w:p>
        </w:tc>
        <w:tc>
          <w:tcPr>
            <w:tcW w:w="3502" w:type="dxa"/>
            <w:tcBorders>
              <w:top w:val="single" w:color="auto" w:sz="4" w:space="0"/>
              <w:left w:val="nil"/>
              <w:bottom w:val="single" w:color="auto" w:sz="4" w:space="0"/>
              <w:right w:val="single" w:color="auto" w:sz="4" w:space="0"/>
            </w:tcBorders>
            <w:vAlign w:val="center"/>
          </w:tcPr>
          <w:p w14:paraId="4833B832">
            <w:pPr>
              <w:widowControl/>
              <w:jc w:val="center"/>
              <w:rPr>
                <w:rFonts w:ascii="仿宋" w:hAnsi="仿宋" w:eastAsia="仿宋" w:cs="仿宋"/>
                <w:kern w:val="0"/>
                <w:sz w:val="24"/>
              </w:rPr>
            </w:pPr>
            <w:r>
              <w:rPr>
                <w:rFonts w:hint="eastAsia" w:ascii="仿宋" w:hAnsi="仿宋" w:eastAsia="仿宋" w:cs="仿宋"/>
                <w:sz w:val="24"/>
              </w:rPr>
              <w:t>投标人所报的各分项投标报价在合同履行过程中是固定不变的，不得以任何理由予以变更。</w:t>
            </w:r>
          </w:p>
        </w:tc>
        <w:tc>
          <w:tcPr>
            <w:tcW w:w="914" w:type="dxa"/>
            <w:tcBorders>
              <w:top w:val="single" w:color="auto" w:sz="4" w:space="0"/>
              <w:left w:val="nil"/>
              <w:bottom w:val="single" w:color="auto" w:sz="4" w:space="0"/>
              <w:right w:val="single" w:color="auto" w:sz="4" w:space="0"/>
            </w:tcBorders>
            <w:vAlign w:val="center"/>
          </w:tcPr>
          <w:p w14:paraId="29E54D9C">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108454A3">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3D5A4BE1">
            <w:pPr>
              <w:widowControl/>
              <w:jc w:val="left"/>
              <w:rPr>
                <w:rFonts w:ascii="仿宋" w:hAnsi="仿宋" w:eastAsia="仿宋" w:cs="仿宋"/>
                <w:kern w:val="0"/>
                <w:sz w:val="24"/>
              </w:rPr>
            </w:pPr>
            <w:r>
              <w:rPr>
                <w:rFonts w:hint="eastAsia" w:ascii="仿宋" w:hAnsi="仿宋" w:eastAsia="仿宋" w:cs="仿宋"/>
                <w:kern w:val="0"/>
                <w:sz w:val="24"/>
              </w:rPr>
              <w:t>　</w:t>
            </w:r>
          </w:p>
        </w:tc>
      </w:tr>
      <w:tr w14:paraId="5C09DD2F">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7C395AB1">
            <w:pPr>
              <w:widowControl/>
              <w:jc w:val="center"/>
              <w:rPr>
                <w:rFonts w:ascii="仿宋" w:hAnsi="仿宋" w:eastAsia="仿宋" w:cs="仿宋"/>
                <w:kern w:val="0"/>
                <w:sz w:val="24"/>
              </w:rPr>
            </w:pPr>
            <w:r>
              <w:rPr>
                <w:rFonts w:hint="eastAsia" w:ascii="仿宋" w:hAnsi="仿宋" w:eastAsia="仿宋" w:cs="仿宋"/>
                <w:kern w:val="0"/>
                <w:sz w:val="24"/>
              </w:rPr>
              <w:t>投标保证金</w:t>
            </w:r>
          </w:p>
        </w:tc>
        <w:tc>
          <w:tcPr>
            <w:tcW w:w="3502" w:type="dxa"/>
            <w:tcBorders>
              <w:top w:val="single" w:color="auto" w:sz="4" w:space="0"/>
              <w:left w:val="nil"/>
              <w:bottom w:val="single" w:color="auto" w:sz="4" w:space="0"/>
              <w:right w:val="single" w:color="auto" w:sz="4" w:space="0"/>
            </w:tcBorders>
            <w:vAlign w:val="center"/>
          </w:tcPr>
          <w:p w14:paraId="7F8FB408">
            <w:pPr>
              <w:widowControl/>
              <w:jc w:val="center"/>
              <w:rPr>
                <w:rFonts w:ascii="仿宋" w:hAnsi="仿宋" w:eastAsia="仿宋" w:cs="仿宋"/>
                <w:sz w:val="24"/>
              </w:rPr>
            </w:pPr>
            <w:r>
              <w:rPr>
                <w:rFonts w:hint="eastAsia" w:ascii="仿宋" w:hAnsi="仿宋" w:eastAsia="仿宋" w:cs="仿宋"/>
                <w:sz w:val="24"/>
              </w:rPr>
              <w:t>符合招标文件要求</w:t>
            </w:r>
          </w:p>
        </w:tc>
        <w:tc>
          <w:tcPr>
            <w:tcW w:w="914" w:type="dxa"/>
            <w:tcBorders>
              <w:top w:val="single" w:color="auto" w:sz="4" w:space="0"/>
              <w:left w:val="nil"/>
              <w:bottom w:val="single" w:color="auto" w:sz="4" w:space="0"/>
              <w:right w:val="single" w:color="auto" w:sz="4" w:space="0"/>
            </w:tcBorders>
            <w:vAlign w:val="center"/>
          </w:tcPr>
          <w:p w14:paraId="7D514F2E">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2A355026">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159271A1">
            <w:pPr>
              <w:widowControl/>
              <w:jc w:val="left"/>
              <w:rPr>
                <w:rFonts w:ascii="仿宋" w:hAnsi="仿宋" w:eastAsia="仿宋" w:cs="仿宋"/>
                <w:kern w:val="0"/>
                <w:sz w:val="24"/>
              </w:rPr>
            </w:pPr>
          </w:p>
        </w:tc>
      </w:tr>
      <w:tr w14:paraId="083851E1">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34398F09">
            <w:pPr>
              <w:widowControl/>
              <w:jc w:val="center"/>
              <w:rPr>
                <w:rFonts w:ascii="仿宋" w:hAnsi="仿宋" w:eastAsia="仿宋" w:cs="仿宋"/>
                <w:kern w:val="0"/>
                <w:sz w:val="24"/>
              </w:rPr>
            </w:pPr>
            <w:r>
              <w:rPr>
                <w:rFonts w:hint="eastAsia" w:ascii="仿宋" w:hAnsi="仿宋" w:eastAsia="仿宋" w:cs="仿宋"/>
                <w:kern w:val="0"/>
                <w:sz w:val="24"/>
              </w:rPr>
              <w:t>投标有效期满足要求</w:t>
            </w:r>
          </w:p>
          <w:p w14:paraId="5EF7F7CE">
            <w:pPr>
              <w:widowControl/>
              <w:jc w:val="center"/>
              <w:rPr>
                <w:rFonts w:ascii="仿宋" w:hAnsi="仿宋" w:eastAsia="仿宋" w:cs="仿宋"/>
                <w:kern w:val="0"/>
                <w:sz w:val="24"/>
              </w:rPr>
            </w:pPr>
          </w:p>
        </w:tc>
        <w:tc>
          <w:tcPr>
            <w:tcW w:w="3502" w:type="dxa"/>
            <w:tcBorders>
              <w:top w:val="single" w:color="auto" w:sz="4" w:space="0"/>
              <w:left w:val="nil"/>
              <w:bottom w:val="single" w:color="auto" w:sz="4" w:space="0"/>
              <w:right w:val="single" w:color="auto" w:sz="4" w:space="0"/>
            </w:tcBorders>
            <w:vAlign w:val="center"/>
          </w:tcPr>
          <w:p w14:paraId="5AD5BC19">
            <w:pPr>
              <w:widowControl/>
              <w:jc w:val="center"/>
              <w:rPr>
                <w:rFonts w:ascii="仿宋" w:hAnsi="仿宋" w:eastAsia="仿宋" w:cs="仿宋"/>
                <w:kern w:val="0"/>
                <w:sz w:val="24"/>
              </w:rPr>
            </w:pPr>
            <w:r>
              <w:rPr>
                <w:rFonts w:hint="eastAsia" w:ascii="仿宋" w:hAnsi="仿宋" w:eastAsia="仿宋" w:cs="仿宋"/>
                <w:sz w:val="24"/>
              </w:rPr>
              <w:t>自提交投标文件截止之日起</w:t>
            </w:r>
            <w:r>
              <w:rPr>
                <w:rFonts w:hint="eastAsia" w:ascii="仿宋" w:hAnsi="仿宋" w:eastAsia="仿宋" w:cs="仿宋"/>
                <w:color w:val="FF0000"/>
                <w:sz w:val="24"/>
                <w:u w:val="single"/>
              </w:rPr>
              <w:t xml:space="preserve"> </w:t>
            </w:r>
            <w:r>
              <w:rPr>
                <w:rFonts w:hint="eastAsia" w:ascii="仿宋" w:hAnsi="仿宋" w:eastAsia="仿宋" w:cs="仿宋"/>
                <w:sz w:val="24"/>
                <w:u w:val="single"/>
              </w:rPr>
              <w:t>90 日</w:t>
            </w:r>
            <w:r>
              <w:rPr>
                <w:rFonts w:hint="eastAsia" w:ascii="仿宋" w:hAnsi="仿宋" w:eastAsia="仿宋" w:cs="仿宋"/>
                <w:sz w:val="24"/>
              </w:rPr>
              <w:t>历日内</w:t>
            </w:r>
          </w:p>
        </w:tc>
        <w:tc>
          <w:tcPr>
            <w:tcW w:w="914" w:type="dxa"/>
            <w:tcBorders>
              <w:top w:val="single" w:color="auto" w:sz="4" w:space="0"/>
              <w:left w:val="nil"/>
              <w:bottom w:val="single" w:color="auto" w:sz="4" w:space="0"/>
              <w:right w:val="single" w:color="auto" w:sz="4" w:space="0"/>
            </w:tcBorders>
            <w:vAlign w:val="center"/>
          </w:tcPr>
          <w:p w14:paraId="41EB1AA2">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65E34F0F">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6B890B31">
            <w:pPr>
              <w:widowControl/>
              <w:jc w:val="left"/>
              <w:rPr>
                <w:rFonts w:ascii="仿宋" w:hAnsi="仿宋" w:eastAsia="仿宋" w:cs="仿宋"/>
                <w:kern w:val="0"/>
                <w:sz w:val="24"/>
              </w:rPr>
            </w:pPr>
            <w:r>
              <w:rPr>
                <w:rFonts w:hint="eastAsia" w:ascii="仿宋" w:hAnsi="仿宋" w:eastAsia="仿宋" w:cs="仿宋"/>
                <w:kern w:val="0"/>
                <w:sz w:val="24"/>
              </w:rPr>
              <w:t>　</w:t>
            </w:r>
          </w:p>
        </w:tc>
      </w:tr>
      <w:tr w14:paraId="7DD3F234">
        <w:tblPrEx>
          <w:tblCellMar>
            <w:top w:w="0" w:type="dxa"/>
            <w:left w:w="108" w:type="dxa"/>
            <w:bottom w:w="0" w:type="dxa"/>
            <w:right w:w="108" w:type="dxa"/>
          </w:tblCellMar>
        </w:tblPrEx>
        <w:trPr>
          <w:trHeight w:val="570" w:hRule="atLeast"/>
        </w:trPr>
        <w:tc>
          <w:tcPr>
            <w:tcW w:w="2413" w:type="dxa"/>
            <w:tcBorders>
              <w:top w:val="single" w:color="auto" w:sz="4" w:space="0"/>
              <w:left w:val="single" w:color="auto" w:sz="4" w:space="0"/>
              <w:bottom w:val="single" w:color="auto" w:sz="4" w:space="0"/>
              <w:right w:val="single" w:color="auto" w:sz="4" w:space="0"/>
            </w:tcBorders>
            <w:vAlign w:val="center"/>
          </w:tcPr>
          <w:p w14:paraId="2F8C37A4">
            <w:pPr>
              <w:widowControl/>
              <w:jc w:val="center"/>
              <w:rPr>
                <w:rFonts w:ascii="仿宋" w:hAnsi="仿宋" w:eastAsia="仿宋" w:cs="仿宋"/>
                <w:kern w:val="0"/>
                <w:sz w:val="24"/>
              </w:rPr>
            </w:pPr>
            <w:r>
              <w:rPr>
                <w:rFonts w:hint="eastAsia" w:ascii="仿宋" w:hAnsi="仿宋" w:eastAsia="仿宋" w:cs="仿宋"/>
                <w:kern w:val="0"/>
                <w:sz w:val="24"/>
              </w:rPr>
              <w:t>投标文件的签署和盖章符合要求</w:t>
            </w:r>
          </w:p>
          <w:p w14:paraId="0D9F3160">
            <w:pPr>
              <w:widowControl/>
              <w:jc w:val="center"/>
              <w:rPr>
                <w:rFonts w:ascii="仿宋" w:hAnsi="仿宋" w:eastAsia="仿宋" w:cs="仿宋"/>
                <w:kern w:val="0"/>
                <w:sz w:val="24"/>
              </w:rPr>
            </w:pPr>
          </w:p>
        </w:tc>
        <w:tc>
          <w:tcPr>
            <w:tcW w:w="3502" w:type="dxa"/>
            <w:tcBorders>
              <w:top w:val="single" w:color="auto" w:sz="4" w:space="0"/>
              <w:left w:val="nil"/>
              <w:bottom w:val="single" w:color="auto" w:sz="4" w:space="0"/>
              <w:right w:val="single" w:color="auto" w:sz="4" w:space="0"/>
            </w:tcBorders>
            <w:vAlign w:val="center"/>
          </w:tcPr>
          <w:p w14:paraId="0202314D">
            <w:pPr>
              <w:widowControl/>
              <w:jc w:val="center"/>
              <w:rPr>
                <w:rFonts w:ascii="仿宋" w:hAnsi="仿宋" w:eastAsia="仿宋" w:cs="仿宋"/>
                <w:sz w:val="24"/>
              </w:rPr>
            </w:pPr>
            <w:r>
              <w:rPr>
                <w:rFonts w:hint="eastAsia" w:ascii="仿宋" w:hAnsi="仿宋" w:eastAsia="仿宋" w:cs="仿宋"/>
                <w:sz w:val="24"/>
              </w:rPr>
              <w:t>按照招标文件规定要求签署、盖章。</w:t>
            </w:r>
          </w:p>
        </w:tc>
        <w:tc>
          <w:tcPr>
            <w:tcW w:w="914" w:type="dxa"/>
            <w:tcBorders>
              <w:top w:val="single" w:color="auto" w:sz="4" w:space="0"/>
              <w:left w:val="nil"/>
              <w:bottom w:val="single" w:color="auto" w:sz="4" w:space="0"/>
              <w:right w:val="single" w:color="auto" w:sz="4" w:space="0"/>
            </w:tcBorders>
            <w:vAlign w:val="center"/>
          </w:tcPr>
          <w:p w14:paraId="2215E555">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6370C718">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059CD1A8">
            <w:pPr>
              <w:widowControl/>
              <w:jc w:val="left"/>
              <w:rPr>
                <w:rFonts w:ascii="仿宋" w:hAnsi="仿宋" w:eastAsia="仿宋" w:cs="仿宋"/>
                <w:kern w:val="0"/>
                <w:sz w:val="24"/>
              </w:rPr>
            </w:pPr>
          </w:p>
        </w:tc>
      </w:tr>
      <w:tr w14:paraId="63682538">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37F78BB4">
            <w:pPr>
              <w:widowControl/>
              <w:jc w:val="center"/>
              <w:rPr>
                <w:rFonts w:ascii="仿宋" w:hAnsi="仿宋" w:eastAsia="仿宋" w:cs="仿宋"/>
                <w:kern w:val="0"/>
                <w:sz w:val="24"/>
              </w:rPr>
            </w:pPr>
            <w:r>
              <w:rPr>
                <w:rFonts w:hint="eastAsia" w:ascii="仿宋" w:hAnsi="仿宋" w:eastAsia="仿宋" w:cs="仿宋"/>
                <w:kern w:val="0"/>
                <w:sz w:val="24"/>
              </w:rPr>
              <w:t>接受价格的算术修正</w:t>
            </w:r>
          </w:p>
          <w:p w14:paraId="57D0DCF9">
            <w:pPr>
              <w:widowControl/>
              <w:jc w:val="center"/>
              <w:rPr>
                <w:rFonts w:ascii="仿宋" w:hAnsi="仿宋" w:eastAsia="仿宋" w:cs="仿宋"/>
                <w:kern w:val="0"/>
                <w:sz w:val="24"/>
              </w:rPr>
            </w:pPr>
          </w:p>
        </w:tc>
        <w:tc>
          <w:tcPr>
            <w:tcW w:w="3502" w:type="dxa"/>
            <w:tcBorders>
              <w:top w:val="single" w:color="auto" w:sz="4" w:space="0"/>
              <w:left w:val="nil"/>
              <w:bottom w:val="single" w:color="auto" w:sz="4" w:space="0"/>
              <w:right w:val="single" w:color="auto" w:sz="4" w:space="0"/>
            </w:tcBorders>
            <w:vAlign w:val="center"/>
          </w:tcPr>
          <w:p w14:paraId="0A80917E">
            <w:pPr>
              <w:widowControl/>
              <w:rPr>
                <w:rFonts w:ascii="仿宋" w:hAnsi="仿宋" w:eastAsia="仿宋" w:cs="仿宋"/>
                <w:kern w:val="0"/>
                <w:sz w:val="24"/>
              </w:rPr>
            </w:pPr>
            <w:r>
              <w:rPr>
                <w:rFonts w:hint="eastAsia" w:ascii="仿宋" w:hAnsi="仿宋" w:eastAsia="仿宋" w:cs="仿宋"/>
                <w:sz w:val="24"/>
              </w:rPr>
              <w:t>投标文件报价出现前后不一致的，应按照招标文件规定的顺序修正。修正后的报价经投标人确认后产生约束力。</w:t>
            </w:r>
          </w:p>
        </w:tc>
        <w:tc>
          <w:tcPr>
            <w:tcW w:w="914" w:type="dxa"/>
            <w:tcBorders>
              <w:top w:val="single" w:color="auto" w:sz="4" w:space="0"/>
              <w:left w:val="nil"/>
              <w:bottom w:val="single" w:color="auto" w:sz="4" w:space="0"/>
              <w:right w:val="single" w:color="auto" w:sz="4" w:space="0"/>
            </w:tcBorders>
            <w:vAlign w:val="center"/>
          </w:tcPr>
          <w:p w14:paraId="3CF82114">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37A4852A">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5DA7DB19">
            <w:pPr>
              <w:widowControl/>
              <w:jc w:val="left"/>
              <w:rPr>
                <w:rFonts w:ascii="仿宋" w:hAnsi="仿宋" w:eastAsia="仿宋" w:cs="仿宋"/>
                <w:kern w:val="0"/>
                <w:sz w:val="24"/>
              </w:rPr>
            </w:pPr>
            <w:r>
              <w:rPr>
                <w:rFonts w:hint="eastAsia" w:ascii="仿宋" w:hAnsi="仿宋" w:eastAsia="仿宋" w:cs="仿宋"/>
                <w:kern w:val="0"/>
                <w:sz w:val="24"/>
              </w:rPr>
              <w:t>　</w:t>
            </w:r>
          </w:p>
        </w:tc>
      </w:tr>
      <w:tr w14:paraId="433DAFA3">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1C0735F0">
            <w:pPr>
              <w:widowControl/>
              <w:jc w:val="center"/>
              <w:rPr>
                <w:rFonts w:ascii="仿宋" w:hAnsi="仿宋" w:eastAsia="仿宋" w:cs="仿宋"/>
                <w:kern w:val="0"/>
                <w:sz w:val="24"/>
              </w:rPr>
            </w:pPr>
            <w:r>
              <w:rPr>
                <w:rFonts w:hint="eastAsia" w:ascii="仿宋" w:hAnsi="仿宋" w:eastAsia="仿宋" w:cs="仿宋"/>
                <w:kern w:val="0"/>
                <w:sz w:val="24"/>
              </w:rPr>
              <w:t>未发现串通投标</w:t>
            </w:r>
          </w:p>
        </w:tc>
        <w:tc>
          <w:tcPr>
            <w:tcW w:w="3502" w:type="dxa"/>
            <w:tcBorders>
              <w:top w:val="single" w:color="auto" w:sz="4" w:space="0"/>
              <w:left w:val="nil"/>
              <w:bottom w:val="single" w:color="auto" w:sz="4" w:space="0"/>
              <w:right w:val="single" w:color="auto" w:sz="4" w:space="0"/>
            </w:tcBorders>
            <w:vAlign w:val="center"/>
          </w:tcPr>
          <w:p w14:paraId="7F876037">
            <w:pPr>
              <w:widowControl/>
              <w:rPr>
                <w:rFonts w:ascii="仿宋" w:hAnsi="仿宋" w:eastAsia="仿宋" w:cs="仿宋"/>
                <w:kern w:val="0"/>
                <w:sz w:val="24"/>
              </w:rPr>
            </w:pPr>
            <w:r>
              <w:rPr>
                <w:rFonts w:hint="eastAsia" w:ascii="仿宋" w:hAnsi="仿宋" w:eastAsia="仿宋" w:cs="仿宋"/>
                <w:sz w:val="24"/>
              </w:rPr>
              <w:t>未与其他投标人串通投标，或者与招标人串通投标。</w:t>
            </w:r>
          </w:p>
        </w:tc>
        <w:tc>
          <w:tcPr>
            <w:tcW w:w="914" w:type="dxa"/>
            <w:tcBorders>
              <w:top w:val="single" w:color="auto" w:sz="4" w:space="0"/>
              <w:left w:val="nil"/>
              <w:bottom w:val="single" w:color="auto" w:sz="4" w:space="0"/>
              <w:right w:val="single" w:color="auto" w:sz="4" w:space="0"/>
            </w:tcBorders>
            <w:vAlign w:val="center"/>
          </w:tcPr>
          <w:p w14:paraId="62599D83">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474FC9F3">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07A23E2C">
            <w:pPr>
              <w:widowControl/>
              <w:jc w:val="left"/>
              <w:rPr>
                <w:rFonts w:ascii="仿宋" w:hAnsi="仿宋" w:eastAsia="仿宋" w:cs="仿宋"/>
                <w:kern w:val="0"/>
                <w:sz w:val="24"/>
              </w:rPr>
            </w:pPr>
            <w:r>
              <w:rPr>
                <w:rFonts w:hint="eastAsia" w:ascii="仿宋" w:hAnsi="仿宋" w:eastAsia="仿宋" w:cs="仿宋"/>
                <w:kern w:val="0"/>
                <w:sz w:val="24"/>
              </w:rPr>
              <w:t>　</w:t>
            </w:r>
          </w:p>
        </w:tc>
      </w:tr>
      <w:tr w14:paraId="7316171D">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45DF8AEF">
            <w:pPr>
              <w:widowControl/>
              <w:jc w:val="center"/>
              <w:rPr>
                <w:rFonts w:ascii="仿宋" w:hAnsi="仿宋" w:eastAsia="仿宋" w:cs="仿宋"/>
                <w:kern w:val="0"/>
                <w:sz w:val="24"/>
              </w:rPr>
            </w:pPr>
            <w:r>
              <w:rPr>
                <w:rFonts w:hint="eastAsia" w:ascii="仿宋" w:hAnsi="仿宋" w:eastAsia="仿宋" w:cs="仿宋"/>
                <w:kern w:val="0"/>
                <w:sz w:val="24"/>
              </w:rPr>
              <w:t>报价说明可以接受</w:t>
            </w:r>
          </w:p>
        </w:tc>
        <w:tc>
          <w:tcPr>
            <w:tcW w:w="3502" w:type="dxa"/>
            <w:tcBorders>
              <w:top w:val="single" w:color="auto" w:sz="4" w:space="0"/>
              <w:left w:val="nil"/>
              <w:bottom w:val="single" w:color="auto" w:sz="4" w:space="0"/>
              <w:right w:val="single" w:color="auto" w:sz="4" w:space="0"/>
            </w:tcBorders>
            <w:vAlign w:val="center"/>
          </w:tcPr>
          <w:p w14:paraId="04EFC9AB">
            <w:pPr>
              <w:widowControl/>
              <w:jc w:val="center"/>
              <w:rPr>
                <w:rFonts w:ascii="仿宋" w:hAnsi="仿宋" w:eastAsia="仿宋" w:cs="仿宋"/>
                <w:kern w:val="0"/>
                <w:sz w:val="24"/>
              </w:rPr>
            </w:pPr>
            <w:r>
              <w:rPr>
                <w:rFonts w:hint="eastAsia" w:ascii="仿宋" w:hAnsi="仿宋" w:eastAsia="仿宋" w:cs="仿宋"/>
                <w:sz w:val="24"/>
              </w:rPr>
              <w:t>投标人的报价明显低于其他通过符合性检查投标人的报价，有可能影响履约的，投标人能按照规定证明其报价合理性。</w:t>
            </w:r>
          </w:p>
        </w:tc>
        <w:tc>
          <w:tcPr>
            <w:tcW w:w="914" w:type="dxa"/>
            <w:tcBorders>
              <w:top w:val="single" w:color="auto" w:sz="4" w:space="0"/>
              <w:left w:val="nil"/>
              <w:bottom w:val="single" w:color="auto" w:sz="4" w:space="0"/>
              <w:right w:val="single" w:color="auto" w:sz="4" w:space="0"/>
            </w:tcBorders>
            <w:vAlign w:val="center"/>
          </w:tcPr>
          <w:p w14:paraId="48F2D36D">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59CCDC83">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359D253C">
            <w:pPr>
              <w:widowControl/>
              <w:jc w:val="left"/>
              <w:rPr>
                <w:rFonts w:ascii="仿宋" w:hAnsi="仿宋" w:eastAsia="仿宋" w:cs="仿宋"/>
                <w:kern w:val="0"/>
                <w:sz w:val="24"/>
              </w:rPr>
            </w:pPr>
            <w:r>
              <w:rPr>
                <w:rFonts w:hint="eastAsia" w:ascii="仿宋" w:hAnsi="仿宋" w:eastAsia="仿宋" w:cs="仿宋"/>
                <w:kern w:val="0"/>
                <w:sz w:val="24"/>
              </w:rPr>
              <w:t>　</w:t>
            </w:r>
          </w:p>
        </w:tc>
      </w:tr>
      <w:tr w14:paraId="616252F5">
        <w:tblPrEx>
          <w:tblCellMar>
            <w:top w:w="0" w:type="dxa"/>
            <w:left w:w="108" w:type="dxa"/>
            <w:bottom w:w="0" w:type="dxa"/>
            <w:right w:w="108" w:type="dxa"/>
          </w:tblCellMar>
        </w:tblPrEx>
        <w:trPr>
          <w:trHeight w:val="566" w:hRule="atLeast"/>
        </w:trPr>
        <w:tc>
          <w:tcPr>
            <w:tcW w:w="2413" w:type="dxa"/>
            <w:tcBorders>
              <w:top w:val="single" w:color="auto" w:sz="4" w:space="0"/>
              <w:left w:val="single" w:color="auto" w:sz="4" w:space="0"/>
              <w:bottom w:val="single" w:color="auto" w:sz="4" w:space="0"/>
              <w:right w:val="single" w:color="auto" w:sz="4" w:space="0"/>
            </w:tcBorders>
            <w:vAlign w:val="center"/>
          </w:tcPr>
          <w:p w14:paraId="0CAE8E58">
            <w:pPr>
              <w:widowControl/>
              <w:jc w:val="center"/>
              <w:rPr>
                <w:rFonts w:ascii="仿宋" w:hAnsi="仿宋" w:eastAsia="仿宋" w:cs="仿宋"/>
                <w:kern w:val="0"/>
                <w:sz w:val="24"/>
              </w:rPr>
            </w:pPr>
            <w:r>
              <w:rPr>
                <w:rFonts w:hint="eastAsia" w:ascii="仿宋" w:hAnsi="仿宋" w:eastAsia="仿宋" w:cs="仿宋"/>
                <w:sz w:val="24"/>
              </w:rPr>
              <w:t>无采购人不能接受的附加条件</w:t>
            </w:r>
          </w:p>
        </w:tc>
        <w:tc>
          <w:tcPr>
            <w:tcW w:w="3502" w:type="dxa"/>
            <w:tcBorders>
              <w:top w:val="single" w:color="auto" w:sz="4" w:space="0"/>
              <w:left w:val="nil"/>
              <w:bottom w:val="single" w:color="auto" w:sz="4" w:space="0"/>
              <w:right w:val="single" w:color="auto" w:sz="4" w:space="0"/>
            </w:tcBorders>
            <w:vAlign w:val="center"/>
          </w:tcPr>
          <w:p w14:paraId="0FB42562">
            <w:pPr>
              <w:widowControl/>
              <w:jc w:val="center"/>
              <w:rPr>
                <w:rFonts w:ascii="仿宋" w:hAnsi="仿宋" w:eastAsia="仿宋" w:cs="仿宋"/>
                <w:kern w:val="0"/>
                <w:sz w:val="24"/>
              </w:rPr>
            </w:pPr>
            <w:r>
              <w:rPr>
                <w:rFonts w:hint="eastAsia" w:ascii="仿宋" w:hAnsi="仿宋" w:eastAsia="仿宋" w:cs="仿宋"/>
                <w:sz w:val="24"/>
              </w:rPr>
              <w:t>投标文件未含有采购人不能接受的附加条件。</w:t>
            </w:r>
          </w:p>
        </w:tc>
        <w:tc>
          <w:tcPr>
            <w:tcW w:w="914" w:type="dxa"/>
            <w:tcBorders>
              <w:top w:val="single" w:color="auto" w:sz="4" w:space="0"/>
              <w:left w:val="nil"/>
              <w:bottom w:val="single" w:color="auto" w:sz="4" w:space="0"/>
              <w:right w:val="single" w:color="auto" w:sz="4" w:space="0"/>
            </w:tcBorders>
            <w:vAlign w:val="center"/>
          </w:tcPr>
          <w:p w14:paraId="413CFBFF">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33F01DC7">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6567E16F">
            <w:pPr>
              <w:widowControl/>
              <w:jc w:val="left"/>
              <w:rPr>
                <w:rFonts w:ascii="仿宋" w:hAnsi="仿宋" w:eastAsia="仿宋" w:cs="仿宋"/>
                <w:kern w:val="0"/>
                <w:sz w:val="24"/>
              </w:rPr>
            </w:pPr>
          </w:p>
        </w:tc>
      </w:tr>
      <w:tr w14:paraId="5361CF7B">
        <w:tblPrEx>
          <w:tblCellMar>
            <w:top w:w="0" w:type="dxa"/>
            <w:left w:w="108" w:type="dxa"/>
            <w:bottom w:w="0" w:type="dxa"/>
            <w:right w:w="108" w:type="dxa"/>
          </w:tblCellMar>
        </w:tblPrEx>
        <w:trPr>
          <w:trHeight w:val="774" w:hRule="atLeast"/>
        </w:trPr>
        <w:tc>
          <w:tcPr>
            <w:tcW w:w="5915" w:type="dxa"/>
            <w:gridSpan w:val="2"/>
            <w:tcBorders>
              <w:top w:val="single" w:color="auto" w:sz="4" w:space="0"/>
              <w:left w:val="single" w:color="auto" w:sz="4" w:space="0"/>
              <w:bottom w:val="single" w:color="auto" w:sz="4" w:space="0"/>
              <w:right w:val="single" w:color="auto" w:sz="4" w:space="0"/>
            </w:tcBorders>
            <w:vAlign w:val="center"/>
          </w:tcPr>
          <w:p w14:paraId="3E80EE41">
            <w:pPr>
              <w:widowControl/>
              <w:jc w:val="center"/>
              <w:rPr>
                <w:rFonts w:ascii="仿宋" w:hAnsi="仿宋" w:eastAsia="仿宋" w:cs="仿宋"/>
                <w:b/>
                <w:sz w:val="24"/>
              </w:rPr>
            </w:pPr>
            <w:r>
              <w:rPr>
                <w:rFonts w:hint="eastAsia" w:ascii="仿宋" w:hAnsi="仿宋" w:eastAsia="仿宋" w:cs="仿宋"/>
                <w:sz w:val="24"/>
              </w:rPr>
              <w:t>结论（</w:t>
            </w:r>
            <w:r>
              <w:rPr>
                <w:rFonts w:hint="eastAsia" w:ascii="仿宋" w:hAnsi="仿宋" w:eastAsia="仿宋" w:cs="仿宋"/>
                <w:spacing w:val="-2"/>
                <w:sz w:val="24"/>
              </w:rPr>
              <w:t>通过评审写“通过”，未通过评审写“不通过”）</w:t>
            </w:r>
          </w:p>
        </w:tc>
        <w:tc>
          <w:tcPr>
            <w:tcW w:w="914" w:type="dxa"/>
            <w:tcBorders>
              <w:top w:val="single" w:color="auto" w:sz="4" w:space="0"/>
              <w:left w:val="nil"/>
              <w:bottom w:val="single" w:color="auto" w:sz="4" w:space="0"/>
              <w:right w:val="single" w:color="auto" w:sz="4" w:space="0"/>
            </w:tcBorders>
            <w:vAlign w:val="center"/>
          </w:tcPr>
          <w:p w14:paraId="11235C4C">
            <w:pPr>
              <w:widowControl/>
              <w:jc w:val="center"/>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4D1F9D93">
            <w:pPr>
              <w:widowControl/>
              <w:jc w:val="center"/>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6B3E9AE3">
            <w:pPr>
              <w:widowControl/>
              <w:jc w:val="center"/>
              <w:rPr>
                <w:rFonts w:ascii="仿宋" w:hAnsi="仿宋" w:eastAsia="仿宋" w:cs="仿宋"/>
                <w:kern w:val="0"/>
                <w:sz w:val="24"/>
              </w:rPr>
            </w:pPr>
          </w:p>
        </w:tc>
      </w:tr>
    </w:tbl>
    <w:p w14:paraId="1D145903">
      <w:pPr>
        <w:spacing w:line="360" w:lineRule="exact"/>
        <w:rPr>
          <w:rFonts w:ascii="仿宋" w:hAnsi="仿宋" w:eastAsia="仿宋" w:cs="仿宋"/>
          <w:sz w:val="24"/>
        </w:rPr>
      </w:pPr>
      <w:r>
        <w:rPr>
          <w:rFonts w:hint="eastAsia" w:ascii="仿宋" w:hAnsi="仿宋" w:eastAsia="仿宋" w:cs="仿宋"/>
          <w:sz w:val="24"/>
        </w:rPr>
        <w:t>说明：</w:t>
      </w:r>
    </w:p>
    <w:p w14:paraId="1CEBABBA">
      <w:pPr>
        <w:spacing w:line="360" w:lineRule="exact"/>
        <w:rPr>
          <w:rFonts w:ascii="仿宋" w:hAnsi="仿宋" w:eastAsia="仿宋" w:cs="仿宋"/>
          <w:sz w:val="24"/>
        </w:rPr>
      </w:pPr>
      <w:r>
        <w:rPr>
          <w:rFonts w:hint="eastAsia" w:ascii="仿宋" w:hAnsi="仿宋" w:eastAsia="仿宋" w:cs="仿宋"/>
          <w:sz w:val="24"/>
        </w:rPr>
        <w:t>（1）上述各项中用“√”表示通过，“×”表示不通过；</w:t>
      </w:r>
    </w:p>
    <w:p w14:paraId="5F994700">
      <w:pPr>
        <w:spacing w:line="360" w:lineRule="exact"/>
        <w:rPr>
          <w:rFonts w:ascii="仿宋" w:hAnsi="仿宋" w:eastAsia="仿宋" w:cs="仿宋"/>
          <w:sz w:val="24"/>
        </w:rPr>
      </w:pPr>
      <w:r>
        <w:rPr>
          <w:rFonts w:hint="eastAsia" w:ascii="仿宋" w:hAnsi="仿宋" w:eastAsia="仿宋" w:cs="仿宋"/>
          <w:sz w:val="24"/>
        </w:rPr>
        <w:t>（2）上述各项中如有一项为“×”，则结论为“×”，表示该磋商文件中存在重大偏差，不能通过初步评审；评委对某一分项评审认为不合格时，必须要写明原因。</w:t>
      </w:r>
    </w:p>
    <w:p w14:paraId="517084F1">
      <w:pPr>
        <w:spacing w:line="360" w:lineRule="exact"/>
        <w:rPr>
          <w:rFonts w:ascii="仿宋" w:hAnsi="仿宋" w:eastAsia="仿宋" w:cs="仿宋"/>
          <w:sz w:val="24"/>
        </w:rPr>
      </w:pPr>
      <w:r>
        <w:rPr>
          <w:rFonts w:hint="eastAsia" w:ascii="仿宋" w:hAnsi="仿宋" w:eastAsia="仿宋" w:cs="仿宋"/>
          <w:sz w:val="24"/>
        </w:rPr>
        <w:t>（3）磋商文件最终合格与否，以所有评委的评审意见中少数服从多数为原则定论。</w:t>
      </w:r>
    </w:p>
    <w:p w14:paraId="437648D9">
      <w:pPr>
        <w:spacing w:line="240" w:lineRule="atLeast"/>
        <w:ind w:left="1079" w:leftChars="257" w:hanging="540"/>
        <w:jc w:val="left"/>
        <w:rPr>
          <w:rFonts w:ascii="仿宋" w:hAnsi="仿宋" w:eastAsia="仿宋" w:cs="仿宋"/>
          <w:b/>
          <w:sz w:val="28"/>
          <w:szCs w:val="28"/>
        </w:rPr>
      </w:pPr>
      <w:r>
        <w:rPr>
          <w:rFonts w:hint="eastAsia" w:ascii="仿宋" w:hAnsi="仿宋" w:eastAsia="仿宋" w:cs="仿宋"/>
          <w:b/>
          <w:bCs/>
          <w:sz w:val="24"/>
        </w:rPr>
        <w:t>备注：如果磋商文件中有一项未通过上述审查标准，评审委员会将认定整个磋商文件未响应磋商文件而予以废标处理。</w:t>
      </w:r>
      <w:bookmarkStart w:id="882" w:name="_Toc16953"/>
      <w:bookmarkStart w:id="883" w:name="_Toc10809"/>
      <w:bookmarkStart w:id="884" w:name="_Toc23522"/>
    </w:p>
    <w:p w14:paraId="3A7D20EE">
      <w:pPr>
        <w:pStyle w:val="37"/>
        <w:ind w:firstLine="562"/>
      </w:pPr>
      <w:r>
        <w:rPr>
          <w:rFonts w:hint="eastAsia" w:ascii="仿宋" w:hAnsi="仿宋" w:eastAsia="仿宋" w:cs="仿宋"/>
          <w:b/>
          <w:sz w:val="28"/>
          <w:szCs w:val="28"/>
        </w:rPr>
        <w:br w:type="page"/>
      </w:r>
    </w:p>
    <w:bookmarkEnd w:id="882"/>
    <w:bookmarkEnd w:id="883"/>
    <w:bookmarkEnd w:id="884"/>
    <w:p w14:paraId="77B50106">
      <w:pPr>
        <w:snapToGrid w:val="0"/>
        <w:spacing w:line="360" w:lineRule="exact"/>
        <w:jc w:val="center"/>
        <w:textAlignment w:val="baseline"/>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综合评分表</w:t>
      </w:r>
    </w:p>
    <w:p w14:paraId="24A539E5">
      <w:pPr>
        <w:snapToGrid w:val="0"/>
        <w:spacing w:line="360" w:lineRule="exact"/>
        <w:jc w:val="center"/>
        <w:textAlignment w:val="baseline"/>
        <w:outlineLvl w:val="1"/>
        <w:rPr>
          <w:rFonts w:ascii="微软雅黑" w:hAnsi="微软雅黑" w:eastAsia="微软雅黑" w:cs="微软雅黑"/>
          <w:b/>
          <w:sz w:val="28"/>
          <w:szCs w:val="28"/>
        </w:rPr>
      </w:pPr>
    </w:p>
    <w:bookmarkEnd w:id="880"/>
    <w:tbl>
      <w:tblPr>
        <w:tblStyle w:val="38"/>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279"/>
        <w:gridCol w:w="888"/>
        <w:gridCol w:w="5619"/>
      </w:tblGrid>
      <w:tr w14:paraId="2F49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14:paraId="480CFC24">
            <w:pPr>
              <w:pStyle w:val="54"/>
              <w:jc w:val="center"/>
              <w:rPr>
                <w:rFonts w:ascii="仿宋" w:hAnsi="仿宋" w:eastAsia="仿宋"/>
                <w:b/>
                <w:sz w:val="24"/>
              </w:rPr>
            </w:pPr>
            <w:r>
              <w:rPr>
                <w:rFonts w:hint="eastAsia" w:ascii="仿宋" w:hAnsi="仿宋" w:eastAsia="仿宋"/>
                <w:b/>
                <w:sz w:val="24"/>
              </w:rPr>
              <w:t>评标项目</w:t>
            </w:r>
          </w:p>
        </w:tc>
        <w:tc>
          <w:tcPr>
            <w:tcW w:w="1279" w:type="dxa"/>
            <w:vAlign w:val="center"/>
          </w:tcPr>
          <w:p w14:paraId="1DCC1A84">
            <w:pPr>
              <w:pStyle w:val="54"/>
              <w:spacing w:before="1"/>
              <w:ind w:left="189" w:right="178"/>
              <w:jc w:val="center"/>
              <w:rPr>
                <w:rFonts w:ascii="仿宋" w:hAnsi="仿宋" w:eastAsia="仿宋"/>
                <w:b/>
                <w:sz w:val="24"/>
              </w:rPr>
            </w:pPr>
            <w:r>
              <w:rPr>
                <w:rFonts w:hint="eastAsia" w:ascii="仿宋" w:hAnsi="仿宋" w:eastAsia="仿宋"/>
                <w:b/>
                <w:sz w:val="24"/>
              </w:rPr>
              <w:t>评审分项</w:t>
            </w:r>
          </w:p>
        </w:tc>
        <w:tc>
          <w:tcPr>
            <w:tcW w:w="888" w:type="dxa"/>
            <w:vAlign w:val="center"/>
          </w:tcPr>
          <w:p w14:paraId="0BDA87E9">
            <w:pPr>
              <w:pStyle w:val="54"/>
              <w:spacing w:before="1"/>
              <w:ind w:right="170"/>
              <w:jc w:val="center"/>
              <w:rPr>
                <w:rFonts w:ascii="仿宋" w:hAnsi="仿宋" w:eastAsia="仿宋"/>
                <w:b/>
                <w:sz w:val="24"/>
              </w:rPr>
            </w:pPr>
            <w:r>
              <w:rPr>
                <w:rFonts w:hint="eastAsia" w:ascii="仿宋" w:hAnsi="仿宋" w:eastAsia="仿宋"/>
                <w:b/>
                <w:sz w:val="24"/>
              </w:rPr>
              <w:t>分值</w:t>
            </w:r>
          </w:p>
        </w:tc>
        <w:tc>
          <w:tcPr>
            <w:tcW w:w="5619" w:type="dxa"/>
            <w:vAlign w:val="center"/>
          </w:tcPr>
          <w:p w14:paraId="7338EADB">
            <w:pPr>
              <w:pStyle w:val="54"/>
              <w:jc w:val="center"/>
              <w:rPr>
                <w:rFonts w:ascii="仿宋" w:hAnsi="仿宋" w:eastAsia="仿宋"/>
                <w:b/>
                <w:sz w:val="24"/>
              </w:rPr>
            </w:pPr>
            <w:r>
              <w:rPr>
                <w:rFonts w:hint="eastAsia" w:ascii="仿宋" w:hAnsi="仿宋" w:eastAsia="仿宋"/>
                <w:b/>
                <w:sz w:val="24"/>
              </w:rPr>
              <w:t>评审项目及分值</w:t>
            </w:r>
          </w:p>
        </w:tc>
      </w:tr>
      <w:tr w14:paraId="071B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324" w:type="dxa"/>
            <w:vAlign w:val="center"/>
          </w:tcPr>
          <w:p w14:paraId="2B66056B">
            <w:pPr>
              <w:pStyle w:val="54"/>
              <w:jc w:val="center"/>
              <w:rPr>
                <w:rFonts w:ascii="仿宋" w:hAnsi="仿宋" w:eastAsia="仿宋"/>
                <w:sz w:val="24"/>
              </w:rPr>
            </w:pPr>
            <w:r>
              <w:rPr>
                <w:rFonts w:hint="eastAsia" w:ascii="仿宋" w:hAnsi="仿宋" w:eastAsia="仿宋"/>
                <w:sz w:val="24"/>
              </w:rPr>
              <w:t>价格评审</w:t>
            </w:r>
          </w:p>
          <w:p w14:paraId="201DCAEC">
            <w:pPr>
              <w:pStyle w:val="107"/>
              <w:tabs>
                <w:tab w:val="left" w:pos="1653"/>
              </w:tabs>
              <w:ind w:left="0" w:firstLine="0"/>
              <w:jc w:val="center"/>
              <w:rPr>
                <w:rFonts w:ascii="仿宋" w:hAnsi="仿宋" w:eastAsia="仿宋" w:cs="仿宋"/>
                <w:b/>
                <w:sz w:val="24"/>
              </w:rPr>
            </w:pPr>
            <w:r>
              <w:rPr>
                <w:rFonts w:hint="eastAsia" w:ascii="仿宋" w:hAnsi="仿宋" w:eastAsia="仿宋"/>
                <w:sz w:val="24"/>
                <w:lang w:val="en-US" w:eastAsia="zh-CN"/>
              </w:rPr>
              <w:t>2</w:t>
            </w:r>
            <w:r>
              <w:rPr>
                <w:rFonts w:hint="eastAsia" w:ascii="仿宋" w:hAnsi="仿宋" w:eastAsia="仿宋"/>
                <w:sz w:val="24"/>
              </w:rPr>
              <w:t>0分</w:t>
            </w:r>
          </w:p>
        </w:tc>
        <w:tc>
          <w:tcPr>
            <w:tcW w:w="1279" w:type="dxa"/>
            <w:vAlign w:val="center"/>
          </w:tcPr>
          <w:p w14:paraId="6F52802A">
            <w:pPr>
              <w:pStyle w:val="54"/>
              <w:jc w:val="center"/>
              <w:rPr>
                <w:rFonts w:ascii="仿宋" w:hAnsi="仿宋" w:eastAsia="仿宋"/>
                <w:sz w:val="24"/>
              </w:rPr>
            </w:pPr>
            <w:r>
              <w:rPr>
                <w:rFonts w:hint="eastAsia" w:ascii="仿宋" w:hAnsi="仿宋" w:eastAsia="仿宋"/>
                <w:sz w:val="24"/>
              </w:rPr>
              <w:t>报价得分</w:t>
            </w:r>
          </w:p>
        </w:tc>
        <w:tc>
          <w:tcPr>
            <w:tcW w:w="888" w:type="dxa"/>
            <w:vAlign w:val="center"/>
          </w:tcPr>
          <w:p w14:paraId="573F6DCD">
            <w:pPr>
              <w:pStyle w:val="54"/>
              <w:jc w:val="center"/>
              <w:rPr>
                <w:rFonts w:ascii="仿宋" w:hAnsi="仿宋" w:eastAsia="仿宋"/>
                <w:sz w:val="24"/>
              </w:rPr>
            </w:pPr>
            <w:r>
              <w:rPr>
                <w:rFonts w:ascii="仿宋" w:hAnsi="仿宋" w:eastAsia="仿宋"/>
                <w:sz w:val="24"/>
                <w:lang w:val="en-US"/>
              </w:rPr>
              <w:t>20</w:t>
            </w:r>
            <w:r>
              <w:rPr>
                <w:rFonts w:hint="eastAsia" w:ascii="仿宋" w:hAnsi="仿宋" w:eastAsia="仿宋"/>
                <w:sz w:val="24"/>
              </w:rPr>
              <w:t>分</w:t>
            </w:r>
          </w:p>
        </w:tc>
        <w:tc>
          <w:tcPr>
            <w:tcW w:w="5619" w:type="dxa"/>
          </w:tcPr>
          <w:p w14:paraId="62F6AE32">
            <w:pPr>
              <w:pStyle w:val="54"/>
              <w:rPr>
                <w:rFonts w:ascii="仿宋" w:hAnsi="仿宋" w:eastAsia="仿宋"/>
                <w:sz w:val="24"/>
              </w:rPr>
            </w:pPr>
            <w:r>
              <w:rPr>
                <w:rFonts w:hint="eastAsia" w:ascii="仿宋" w:hAnsi="仿宋" w:eastAsia="仿宋"/>
                <w:spacing w:val="-1"/>
                <w:sz w:val="24"/>
              </w:rPr>
              <w:t>价格分采用低价优先法计算，即满足招标文件要求且投标价格最低的投标报价</w:t>
            </w:r>
            <w:r>
              <w:rPr>
                <w:rFonts w:hint="eastAsia" w:ascii="仿宋" w:hAnsi="仿宋" w:eastAsia="仿宋"/>
                <w:spacing w:val="-3"/>
                <w:sz w:val="24"/>
              </w:rPr>
              <w:t>为评标基准价，其价</w:t>
            </w:r>
            <w:r>
              <w:rPr>
                <w:rFonts w:hint="eastAsia" w:ascii="仿宋" w:hAnsi="仿宋" w:eastAsia="仿宋"/>
                <w:spacing w:val="-8"/>
                <w:sz w:val="24"/>
              </w:rPr>
              <w:t xml:space="preserve">格分为满分 </w:t>
            </w:r>
            <w:r>
              <w:rPr>
                <w:rFonts w:ascii="仿宋" w:hAnsi="仿宋" w:eastAsia="仿宋"/>
                <w:sz w:val="24"/>
                <w:lang w:val="en-US"/>
              </w:rPr>
              <w:t>2</w:t>
            </w:r>
            <w:r>
              <w:rPr>
                <w:rFonts w:hint="eastAsia" w:ascii="仿宋" w:hAnsi="仿宋" w:eastAsia="仿宋"/>
                <w:sz w:val="24"/>
                <w:lang w:val="en-US"/>
              </w:rPr>
              <w:t>0</w:t>
            </w:r>
            <w:r>
              <w:rPr>
                <w:rFonts w:hint="eastAsia" w:ascii="仿宋" w:hAnsi="仿宋" w:eastAsia="仿宋"/>
                <w:spacing w:val="-16"/>
                <w:sz w:val="24"/>
              </w:rPr>
              <w:t xml:space="preserve"> 分；</w:t>
            </w:r>
            <w:r>
              <w:rPr>
                <w:rFonts w:hint="eastAsia" w:ascii="仿宋" w:hAnsi="仿宋" w:eastAsia="仿宋"/>
                <w:spacing w:val="-1"/>
                <w:sz w:val="24"/>
              </w:rPr>
              <w:t>其他投标人的价格分统一按照以下公式计算： 投标报价得分 =（评标基准价/投标报价）×100×0.</w:t>
            </w:r>
            <w:r>
              <w:rPr>
                <w:rFonts w:ascii="仿宋" w:hAnsi="仿宋" w:eastAsia="仿宋"/>
                <w:spacing w:val="-1"/>
                <w:sz w:val="24"/>
                <w:lang w:val="en-US"/>
              </w:rPr>
              <w:t>2</w:t>
            </w:r>
            <w:r>
              <w:rPr>
                <w:rFonts w:hint="eastAsia" w:ascii="仿宋" w:hAnsi="仿宋" w:eastAsia="仿宋"/>
                <w:spacing w:val="-1"/>
                <w:sz w:val="24"/>
              </w:rPr>
              <w:t>0</w:t>
            </w:r>
            <w:r>
              <w:rPr>
                <w:rFonts w:hint="eastAsia" w:ascii="仿宋" w:hAnsi="仿宋" w:eastAsia="仿宋"/>
                <w:spacing w:val="-1"/>
                <w:sz w:val="24"/>
                <w:lang w:val="en-US"/>
              </w:rPr>
              <w:t>。</w:t>
            </w:r>
          </w:p>
        </w:tc>
      </w:tr>
      <w:tr w14:paraId="7F8D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324" w:type="dxa"/>
            <w:vAlign w:val="center"/>
          </w:tcPr>
          <w:p w14:paraId="11E8429F">
            <w:pPr>
              <w:pStyle w:val="54"/>
              <w:jc w:val="center"/>
              <w:rPr>
                <w:rFonts w:hint="eastAsia" w:ascii="仿宋" w:hAnsi="仿宋" w:eastAsia="仿宋"/>
                <w:sz w:val="24"/>
              </w:rPr>
            </w:pPr>
          </w:p>
        </w:tc>
        <w:tc>
          <w:tcPr>
            <w:tcW w:w="1279" w:type="dxa"/>
            <w:vAlign w:val="center"/>
          </w:tcPr>
          <w:p w14:paraId="63243F76">
            <w:pPr>
              <w:pStyle w:val="54"/>
              <w:jc w:val="both"/>
              <w:rPr>
                <w:rFonts w:ascii="仿宋" w:hAnsi="仿宋" w:eastAsia="仿宋"/>
                <w:spacing w:val="-1"/>
                <w:kern w:val="2"/>
                <w:sz w:val="24"/>
                <w:szCs w:val="24"/>
                <w:lang w:val="en-US" w:bidi="ar-SA"/>
              </w:rPr>
            </w:pPr>
            <w:r>
              <w:rPr>
                <w:rFonts w:hint="eastAsia" w:ascii="仿宋" w:hAnsi="仿宋" w:eastAsia="仿宋"/>
                <w:spacing w:val="-1"/>
                <w:kern w:val="2"/>
                <w:sz w:val="24"/>
                <w:szCs w:val="24"/>
                <w:lang w:val="en-US" w:bidi="ar-SA"/>
              </w:rPr>
              <w:t>技术响应</w:t>
            </w:r>
          </w:p>
        </w:tc>
        <w:tc>
          <w:tcPr>
            <w:tcW w:w="888" w:type="dxa"/>
            <w:vAlign w:val="center"/>
          </w:tcPr>
          <w:p w14:paraId="43E07229">
            <w:pPr>
              <w:pStyle w:val="54"/>
              <w:jc w:val="both"/>
              <w:rPr>
                <w:rFonts w:ascii="仿宋" w:hAnsi="仿宋" w:eastAsia="仿宋"/>
                <w:spacing w:val="-1"/>
                <w:kern w:val="2"/>
                <w:sz w:val="24"/>
                <w:szCs w:val="24"/>
                <w:lang w:val="en-US" w:bidi="ar-SA"/>
              </w:rPr>
            </w:pPr>
            <w:r>
              <w:rPr>
                <w:rFonts w:hint="eastAsia" w:ascii="仿宋" w:hAnsi="仿宋" w:eastAsia="仿宋"/>
                <w:spacing w:val="-1"/>
                <w:kern w:val="2"/>
                <w:sz w:val="24"/>
                <w:szCs w:val="24"/>
                <w:lang w:val="en-US" w:bidi="ar-SA"/>
              </w:rPr>
              <w:t>30分</w:t>
            </w:r>
          </w:p>
        </w:tc>
        <w:tc>
          <w:tcPr>
            <w:tcW w:w="5619" w:type="dxa"/>
            <w:vAlign w:val="center"/>
          </w:tcPr>
          <w:p w14:paraId="0420291F">
            <w:pPr>
              <w:pStyle w:val="54"/>
              <w:jc w:val="both"/>
              <w:rPr>
                <w:rFonts w:ascii="仿宋" w:hAnsi="仿宋" w:eastAsia="仿宋"/>
                <w:spacing w:val="-1"/>
                <w:kern w:val="2"/>
                <w:sz w:val="24"/>
                <w:szCs w:val="24"/>
                <w:lang w:val="en-US" w:bidi="ar-SA"/>
              </w:rPr>
            </w:pPr>
            <w:r>
              <w:rPr>
                <w:rFonts w:hint="eastAsia" w:ascii="仿宋" w:hAnsi="仿宋" w:eastAsia="仿宋"/>
                <w:spacing w:val="-1"/>
                <w:kern w:val="2"/>
                <w:sz w:val="24"/>
                <w:szCs w:val="24"/>
                <w:lang w:val="en-US" w:bidi="ar-SA"/>
              </w:rPr>
              <w:t>投标文件的技术要求完全响应招标文件关于该项目医院绩效方案要求和系统软件要求（招标文件6</w:t>
            </w:r>
            <w:r>
              <w:rPr>
                <w:rFonts w:ascii="仿宋" w:hAnsi="仿宋" w:eastAsia="仿宋"/>
                <w:spacing w:val="-1"/>
                <w:kern w:val="2"/>
                <w:sz w:val="24"/>
                <w:szCs w:val="24"/>
                <w:lang w:val="en-US" w:bidi="ar-SA"/>
              </w:rPr>
              <w:t>8-73</w:t>
            </w:r>
            <w:r>
              <w:rPr>
                <w:rFonts w:hint="eastAsia" w:ascii="仿宋" w:hAnsi="仿宋" w:eastAsia="仿宋"/>
                <w:spacing w:val="-1"/>
                <w:kern w:val="2"/>
                <w:sz w:val="24"/>
                <w:szCs w:val="24"/>
                <w:lang w:val="en-US" w:bidi="ar-SA"/>
              </w:rPr>
              <w:t>页）的，得分3</w:t>
            </w:r>
            <w:r>
              <w:rPr>
                <w:rFonts w:ascii="仿宋" w:hAnsi="仿宋" w:eastAsia="仿宋"/>
                <w:spacing w:val="-1"/>
                <w:kern w:val="2"/>
                <w:sz w:val="24"/>
                <w:szCs w:val="24"/>
                <w:lang w:val="en-US" w:bidi="ar-SA"/>
              </w:rPr>
              <w:t>0</w:t>
            </w:r>
            <w:r>
              <w:rPr>
                <w:rFonts w:hint="eastAsia" w:ascii="仿宋" w:hAnsi="仿宋" w:eastAsia="仿宋"/>
                <w:spacing w:val="-1"/>
                <w:kern w:val="2"/>
                <w:sz w:val="24"/>
                <w:szCs w:val="24"/>
                <w:lang w:val="en-US" w:bidi="ar-SA"/>
              </w:rPr>
              <w:t>分（需按照系统软件要求中要求提供程序截图并加盖公章及</w:t>
            </w:r>
            <w:r>
              <w:rPr>
                <w:rFonts w:hint="eastAsia" w:ascii="仿宋" w:hAnsi="仿宋" w:eastAsia="仿宋" w:cs="宋体"/>
                <w:spacing w:val="-1"/>
                <w:kern w:val="2"/>
                <w:sz w:val="24"/>
                <w:szCs w:val="24"/>
                <w:lang w:val="en-US" w:bidi="ar-SA"/>
              </w:rPr>
              <w:t>提供</w:t>
            </w:r>
            <w:r>
              <w:rPr>
                <w:rFonts w:hint="eastAsia" w:ascii="仿宋" w:hAnsi="仿宋" w:eastAsia="仿宋" w:cs="宋体"/>
                <w:spacing w:val="-1"/>
                <w:kern w:val="2"/>
                <w:sz w:val="24"/>
                <w:szCs w:val="24"/>
                <w:lang w:val="en-US" w:eastAsia="zh-CN" w:bidi="ar-SA"/>
              </w:rPr>
              <w:t>前后具有关联连续性的</w:t>
            </w:r>
            <w:r>
              <w:rPr>
                <w:rFonts w:hint="eastAsia" w:ascii="仿宋" w:hAnsi="仿宋" w:eastAsia="仿宋" w:cs="宋体"/>
                <w:spacing w:val="-1"/>
                <w:kern w:val="2"/>
                <w:sz w:val="24"/>
                <w:szCs w:val="24"/>
                <w:lang w:val="en-US" w:bidi="ar-SA"/>
              </w:rPr>
              <w:t>程序截图并加盖公章）</w:t>
            </w:r>
            <w:r>
              <w:rPr>
                <w:rFonts w:hint="eastAsia" w:ascii="仿宋" w:hAnsi="仿宋" w:eastAsia="仿宋"/>
                <w:spacing w:val="-1"/>
                <w:kern w:val="2"/>
                <w:sz w:val="24"/>
                <w:szCs w:val="24"/>
                <w:lang w:val="en-US" w:bidi="ar-SA"/>
              </w:rPr>
              <w:t>，如不提供不得分）；</w:t>
            </w:r>
          </w:p>
          <w:p w14:paraId="3BD60F42">
            <w:pPr>
              <w:pStyle w:val="54"/>
              <w:jc w:val="both"/>
              <w:rPr>
                <w:rFonts w:ascii="仿宋" w:hAnsi="仿宋" w:eastAsia="仿宋"/>
                <w:spacing w:val="-1"/>
                <w:kern w:val="2"/>
                <w:sz w:val="24"/>
                <w:szCs w:val="24"/>
                <w:lang w:val="en-US" w:bidi="ar-SA"/>
              </w:rPr>
            </w:pPr>
            <w:r>
              <w:rPr>
                <w:rFonts w:hint="eastAsia" w:ascii="仿宋" w:hAnsi="仿宋" w:eastAsia="仿宋"/>
                <w:spacing w:val="-1"/>
                <w:kern w:val="2"/>
                <w:sz w:val="24"/>
                <w:szCs w:val="24"/>
                <w:lang w:val="en-US" w:bidi="ar-SA"/>
              </w:rPr>
              <w:t>3、技术参数部分有一项负偏离的，扣2分，直至扣为0分止。</w:t>
            </w:r>
          </w:p>
          <w:p w14:paraId="5B840D6F">
            <w:pPr>
              <w:pStyle w:val="54"/>
              <w:rPr>
                <w:rFonts w:ascii="仿宋" w:hAnsi="仿宋" w:eastAsia="仿宋"/>
                <w:spacing w:val="-1"/>
                <w:kern w:val="2"/>
                <w:sz w:val="24"/>
                <w:szCs w:val="24"/>
                <w:lang w:val="en-US" w:bidi="ar-SA"/>
              </w:rPr>
            </w:pPr>
            <w:r>
              <w:rPr>
                <w:rFonts w:hint="eastAsia" w:ascii="仿宋" w:hAnsi="仿宋" w:eastAsia="仿宋"/>
                <w:spacing w:val="-1"/>
                <w:kern w:val="2"/>
                <w:sz w:val="24"/>
                <w:szCs w:val="24"/>
                <w:lang w:val="en-US" w:bidi="ar-SA"/>
              </w:rPr>
              <w:t>注：根据偏离情况如实填写“技术规格偏离表”，如对采购清单内的产品漏项，将视为对投标文件不实质性响应，应视为无效投标。</w:t>
            </w:r>
          </w:p>
        </w:tc>
      </w:tr>
      <w:tr w14:paraId="6409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24" w:type="dxa"/>
            <w:vAlign w:val="center"/>
          </w:tcPr>
          <w:p w14:paraId="7762E31F">
            <w:pPr>
              <w:pStyle w:val="54"/>
              <w:rPr>
                <w:rFonts w:hint="eastAsia" w:ascii="仿宋" w:hAnsi="仿宋" w:eastAsia="仿宋"/>
                <w:spacing w:val="-1"/>
                <w:sz w:val="24"/>
                <w:lang w:val="en-US" w:eastAsia="zh-CN"/>
              </w:rPr>
            </w:pPr>
          </w:p>
        </w:tc>
        <w:tc>
          <w:tcPr>
            <w:tcW w:w="1279" w:type="dxa"/>
            <w:vAlign w:val="center"/>
          </w:tcPr>
          <w:p w14:paraId="798F6820">
            <w:pPr>
              <w:jc w:val="center"/>
              <w:textAlignment w:val="center"/>
              <w:rPr>
                <w:rFonts w:ascii="仿宋" w:hAnsi="仿宋" w:eastAsia="仿宋" w:cs="宋体"/>
                <w:spacing w:val="-1"/>
                <w:sz w:val="24"/>
              </w:rPr>
            </w:pPr>
            <w:r>
              <w:rPr>
                <w:rFonts w:ascii="仿宋" w:hAnsi="仿宋" w:eastAsia="仿宋" w:cs="宋体"/>
                <w:spacing w:val="-1"/>
                <w:sz w:val="24"/>
              </w:rPr>
              <w:t>同类项目</w:t>
            </w:r>
            <w:r>
              <w:rPr>
                <w:rFonts w:hint="eastAsia" w:ascii="仿宋" w:hAnsi="仿宋" w:eastAsia="仿宋" w:cs="宋体"/>
                <w:spacing w:val="-1"/>
                <w:sz w:val="24"/>
              </w:rPr>
              <w:t>业绩</w:t>
            </w:r>
          </w:p>
        </w:tc>
        <w:tc>
          <w:tcPr>
            <w:tcW w:w="888" w:type="dxa"/>
            <w:vAlign w:val="center"/>
          </w:tcPr>
          <w:p w14:paraId="5100D8A2">
            <w:pPr>
              <w:jc w:val="center"/>
              <w:textAlignment w:val="center"/>
              <w:rPr>
                <w:rFonts w:ascii="仿宋" w:hAnsi="仿宋" w:eastAsia="仿宋" w:cs="宋体"/>
                <w:spacing w:val="-1"/>
                <w:sz w:val="24"/>
              </w:rPr>
            </w:pPr>
            <w:r>
              <w:rPr>
                <w:rFonts w:hint="eastAsia" w:ascii="仿宋" w:hAnsi="仿宋" w:eastAsia="仿宋" w:cs="宋体"/>
                <w:spacing w:val="-1"/>
                <w:sz w:val="24"/>
                <w:lang w:val="en-US" w:eastAsia="zh-CN"/>
              </w:rPr>
              <w:t>3</w:t>
            </w:r>
            <w:r>
              <w:rPr>
                <w:rFonts w:hint="eastAsia" w:ascii="仿宋" w:hAnsi="仿宋" w:eastAsia="仿宋" w:cs="宋体"/>
                <w:spacing w:val="-1"/>
                <w:sz w:val="24"/>
              </w:rPr>
              <w:t>分</w:t>
            </w:r>
          </w:p>
        </w:tc>
        <w:tc>
          <w:tcPr>
            <w:tcW w:w="5619" w:type="dxa"/>
            <w:vAlign w:val="center"/>
          </w:tcPr>
          <w:p w14:paraId="3E9770E5">
            <w:pPr>
              <w:pStyle w:val="37"/>
              <w:spacing w:line="240" w:lineRule="auto"/>
              <w:ind w:firstLine="0" w:firstLineChars="0"/>
              <w:rPr>
                <w:rFonts w:ascii="仿宋" w:hAnsi="仿宋" w:eastAsia="仿宋" w:cs="宋体"/>
                <w:spacing w:val="-1"/>
              </w:rPr>
            </w:pPr>
            <w:r>
              <w:rPr>
                <w:rFonts w:ascii="仿宋" w:hAnsi="仿宋" w:eastAsia="仿宋" w:cs="宋体"/>
                <w:spacing w:val="-1"/>
              </w:rPr>
              <w:t>提供2021年1月1日至今（以合同签订时间为准），同类项目</w:t>
            </w:r>
            <w:r>
              <w:rPr>
                <w:rFonts w:hint="eastAsia" w:ascii="仿宋" w:hAnsi="仿宋" w:eastAsia="仿宋" w:cs="宋体"/>
                <w:spacing w:val="-1"/>
              </w:rPr>
              <w:t>业绩，需提供中标通知书、合同以及官方网站的中标结果公示截图，一个业绩</w:t>
            </w:r>
            <w:r>
              <w:rPr>
                <w:rFonts w:hint="eastAsia" w:ascii="仿宋" w:hAnsi="仿宋" w:eastAsia="仿宋" w:cs="宋体"/>
                <w:spacing w:val="-1"/>
                <w:lang w:val="en-US" w:eastAsia="zh-CN"/>
              </w:rPr>
              <w:t>1</w:t>
            </w:r>
            <w:r>
              <w:rPr>
                <w:rFonts w:hint="eastAsia" w:ascii="仿宋" w:hAnsi="仿宋" w:eastAsia="仿宋" w:cs="宋体"/>
                <w:spacing w:val="-1"/>
              </w:rPr>
              <w:t>.</w:t>
            </w:r>
            <w:r>
              <w:rPr>
                <w:rFonts w:ascii="仿宋" w:hAnsi="仿宋" w:eastAsia="仿宋" w:cs="宋体"/>
                <w:spacing w:val="-1"/>
              </w:rPr>
              <w:t>5</w:t>
            </w:r>
            <w:r>
              <w:rPr>
                <w:rFonts w:hint="eastAsia" w:ascii="仿宋" w:hAnsi="仿宋" w:eastAsia="仿宋" w:cs="宋体"/>
                <w:spacing w:val="-1"/>
              </w:rPr>
              <w:t>分，满分</w:t>
            </w:r>
            <w:r>
              <w:rPr>
                <w:rFonts w:hint="eastAsia" w:ascii="仿宋" w:hAnsi="仿宋" w:eastAsia="仿宋" w:cs="宋体"/>
                <w:spacing w:val="-1"/>
                <w:lang w:val="en-US" w:eastAsia="zh-CN"/>
              </w:rPr>
              <w:t>3</w:t>
            </w:r>
            <w:r>
              <w:rPr>
                <w:rFonts w:hint="eastAsia" w:ascii="仿宋" w:hAnsi="仿宋" w:eastAsia="仿宋" w:cs="宋体"/>
                <w:spacing w:val="-1"/>
              </w:rPr>
              <w:t>分（备注：中标通知书、合同以及官方网站的中标结果公示截图三项资料需全部提供为一套，不全或者不提供不得分）</w:t>
            </w:r>
          </w:p>
        </w:tc>
      </w:tr>
      <w:tr w14:paraId="7415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24" w:type="dxa"/>
            <w:vAlign w:val="center"/>
          </w:tcPr>
          <w:p w14:paraId="6B63BB06">
            <w:pPr>
              <w:pStyle w:val="54"/>
              <w:rPr>
                <w:rFonts w:hint="eastAsia" w:ascii="仿宋" w:hAnsi="仿宋" w:eastAsia="仿宋"/>
                <w:spacing w:val="-1"/>
                <w:sz w:val="24"/>
                <w:lang w:eastAsia="zh-CN"/>
              </w:rPr>
            </w:pPr>
          </w:p>
        </w:tc>
        <w:tc>
          <w:tcPr>
            <w:tcW w:w="1279" w:type="dxa"/>
            <w:vAlign w:val="center"/>
          </w:tcPr>
          <w:p w14:paraId="029A1842">
            <w:pPr>
              <w:jc w:val="center"/>
              <w:textAlignment w:val="center"/>
              <w:rPr>
                <w:rFonts w:ascii="仿宋" w:hAnsi="仿宋" w:eastAsia="仿宋" w:cs="宋体"/>
                <w:spacing w:val="-1"/>
                <w:sz w:val="24"/>
              </w:rPr>
            </w:pPr>
            <w:r>
              <w:rPr>
                <w:rFonts w:hint="eastAsia" w:ascii="仿宋" w:hAnsi="仿宋" w:eastAsia="仿宋" w:cs="宋体"/>
                <w:spacing w:val="-1"/>
                <w:sz w:val="24"/>
              </w:rPr>
              <w:t>实施方案</w:t>
            </w:r>
          </w:p>
        </w:tc>
        <w:tc>
          <w:tcPr>
            <w:tcW w:w="888" w:type="dxa"/>
            <w:vAlign w:val="center"/>
          </w:tcPr>
          <w:p w14:paraId="2A398D3E">
            <w:pPr>
              <w:jc w:val="center"/>
              <w:textAlignment w:val="center"/>
              <w:rPr>
                <w:rFonts w:ascii="仿宋" w:hAnsi="仿宋" w:eastAsia="仿宋" w:cs="宋体"/>
                <w:spacing w:val="-1"/>
                <w:sz w:val="24"/>
              </w:rPr>
            </w:pPr>
            <w:r>
              <w:rPr>
                <w:rFonts w:hint="eastAsia" w:ascii="仿宋" w:hAnsi="仿宋" w:eastAsia="仿宋" w:cs="宋体"/>
                <w:spacing w:val="-1"/>
                <w:sz w:val="24"/>
              </w:rPr>
              <w:t>1</w:t>
            </w:r>
            <w:r>
              <w:rPr>
                <w:rFonts w:ascii="仿宋" w:hAnsi="仿宋" w:eastAsia="仿宋" w:cs="宋体"/>
                <w:spacing w:val="-1"/>
                <w:sz w:val="24"/>
              </w:rPr>
              <w:t>1</w:t>
            </w:r>
            <w:r>
              <w:rPr>
                <w:rFonts w:hint="eastAsia" w:ascii="仿宋" w:hAnsi="仿宋" w:eastAsia="仿宋" w:cs="宋体"/>
                <w:spacing w:val="-1"/>
                <w:sz w:val="24"/>
              </w:rPr>
              <w:t>分</w:t>
            </w:r>
          </w:p>
        </w:tc>
        <w:tc>
          <w:tcPr>
            <w:tcW w:w="5619" w:type="dxa"/>
            <w:vAlign w:val="center"/>
          </w:tcPr>
          <w:p w14:paraId="61D7C70E">
            <w:pPr>
              <w:pStyle w:val="54"/>
              <w:rPr>
                <w:rFonts w:ascii="仿宋" w:hAnsi="仿宋" w:eastAsia="仿宋"/>
                <w:spacing w:val="-1"/>
                <w:sz w:val="24"/>
                <w:lang w:val="en-US"/>
              </w:rPr>
            </w:pPr>
            <w:r>
              <w:rPr>
                <w:rFonts w:ascii="仿宋" w:hAnsi="仿宋" w:eastAsia="仿宋"/>
                <w:spacing w:val="-1"/>
                <w:sz w:val="24"/>
                <w:lang w:val="en-US"/>
              </w:rPr>
              <w:t>针对本项目提供</w:t>
            </w:r>
            <w:r>
              <w:rPr>
                <w:rFonts w:hint="eastAsia" w:ascii="仿宋" w:hAnsi="仿宋" w:eastAsia="仿宋"/>
                <w:spacing w:val="-1"/>
                <w:sz w:val="24"/>
                <w:lang w:val="en-US"/>
              </w:rPr>
              <w:t>详细的</w:t>
            </w:r>
            <w:r>
              <w:rPr>
                <w:rFonts w:ascii="仿宋" w:hAnsi="仿宋" w:eastAsia="仿宋"/>
                <w:spacing w:val="-1"/>
                <w:sz w:val="24"/>
                <w:lang w:val="en-US"/>
              </w:rPr>
              <w:t>整体系统设计方案，</w:t>
            </w:r>
            <w:r>
              <w:rPr>
                <w:rFonts w:hint="eastAsia" w:ascii="仿宋" w:hAnsi="仿宋" w:eastAsia="仿宋"/>
                <w:spacing w:val="-1"/>
                <w:sz w:val="24"/>
                <w:lang w:val="en-US"/>
              </w:rPr>
              <w:t>具体如下：</w:t>
            </w:r>
          </w:p>
          <w:p w14:paraId="1140859E">
            <w:pPr>
              <w:pStyle w:val="54"/>
              <w:rPr>
                <w:rFonts w:ascii="仿宋" w:hAnsi="仿宋" w:eastAsia="仿宋"/>
                <w:spacing w:val="-1"/>
                <w:sz w:val="24"/>
                <w:lang w:val="en-US"/>
              </w:rPr>
            </w:pPr>
            <w:r>
              <w:rPr>
                <w:rFonts w:ascii="仿宋" w:hAnsi="仿宋" w:eastAsia="仿宋"/>
                <w:spacing w:val="-1"/>
                <w:sz w:val="24"/>
                <w:lang w:val="en-US"/>
              </w:rPr>
              <w:t>1</w:t>
            </w:r>
            <w:r>
              <w:rPr>
                <w:rFonts w:hint="eastAsia" w:ascii="仿宋" w:hAnsi="仿宋" w:eastAsia="仿宋"/>
                <w:spacing w:val="-1"/>
                <w:sz w:val="24"/>
                <w:lang w:val="en-US"/>
              </w:rPr>
              <w:t>、</w:t>
            </w:r>
            <w:r>
              <w:rPr>
                <w:rFonts w:hint="eastAsia" w:ascii="仿宋" w:hAnsi="仿宋" w:eastAsia="仿宋" w:cs="仿宋"/>
                <w:sz w:val="24"/>
              </w:rPr>
              <w:t>是否包含临床医</w:t>
            </w:r>
            <w:r>
              <w:rPr>
                <w:rFonts w:hint="eastAsia" w:ascii="仿宋" w:hAnsi="仿宋" w:eastAsia="仿宋" w:cs="仿宋"/>
                <w:sz w:val="24"/>
                <w:lang w:val="en-US"/>
              </w:rPr>
              <w:t>生工作量</w:t>
            </w:r>
            <w:r>
              <w:rPr>
                <w:rFonts w:hint="eastAsia" w:ascii="仿宋" w:hAnsi="仿宋" w:eastAsia="仿宋" w:cs="仿宋"/>
                <w:sz w:val="24"/>
              </w:rPr>
              <w:t>绩效管理与方案设计</w:t>
            </w:r>
            <w:r>
              <w:rPr>
                <w:rFonts w:hint="eastAsia" w:ascii="仿宋" w:hAnsi="仿宋" w:eastAsia="仿宋"/>
                <w:spacing w:val="-1"/>
                <w:sz w:val="24"/>
                <w:lang w:val="en-US"/>
              </w:rPr>
              <w:t>（1分）；</w:t>
            </w:r>
          </w:p>
          <w:p w14:paraId="643A18DA">
            <w:pPr>
              <w:pStyle w:val="54"/>
              <w:rPr>
                <w:rFonts w:ascii="仿宋" w:hAnsi="仿宋" w:eastAsia="仿宋" w:cs="仿宋"/>
                <w:sz w:val="24"/>
              </w:rPr>
            </w:pPr>
            <w:r>
              <w:rPr>
                <w:rFonts w:hint="eastAsia" w:ascii="仿宋" w:hAnsi="仿宋" w:eastAsia="仿宋"/>
                <w:spacing w:val="-1"/>
                <w:sz w:val="24"/>
                <w:lang w:val="en-US"/>
              </w:rPr>
              <w:t>2、</w:t>
            </w:r>
            <w:r>
              <w:rPr>
                <w:rFonts w:hint="eastAsia" w:ascii="仿宋" w:hAnsi="仿宋" w:eastAsia="仿宋" w:cs="仿宋"/>
                <w:sz w:val="24"/>
              </w:rPr>
              <w:t>是否包含临床护士</w:t>
            </w:r>
            <w:r>
              <w:rPr>
                <w:rFonts w:hint="eastAsia" w:ascii="仿宋" w:hAnsi="仿宋" w:eastAsia="仿宋" w:cs="仿宋"/>
                <w:sz w:val="24"/>
                <w:lang w:val="en-US"/>
              </w:rPr>
              <w:t>工作量</w:t>
            </w:r>
            <w:r>
              <w:rPr>
                <w:rFonts w:hint="eastAsia" w:ascii="仿宋" w:hAnsi="仿宋" w:eastAsia="仿宋" w:cs="仿宋"/>
                <w:sz w:val="24"/>
              </w:rPr>
              <w:t>绩效管理与方案设计</w:t>
            </w:r>
            <w:r>
              <w:rPr>
                <w:rFonts w:hint="eastAsia" w:ascii="仿宋" w:hAnsi="仿宋" w:eastAsia="仿宋"/>
                <w:spacing w:val="-1"/>
                <w:sz w:val="24"/>
                <w:lang w:val="en-US"/>
              </w:rPr>
              <w:t>（1分）</w:t>
            </w:r>
            <w:r>
              <w:rPr>
                <w:rFonts w:hint="eastAsia" w:ascii="仿宋" w:hAnsi="仿宋" w:eastAsia="仿宋" w:cs="仿宋"/>
                <w:sz w:val="24"/>
              </w:rPr>
              <w:t>；</w:t>
            </w:r>
          </w:p>
          <w:p w14:paraId="03BB3238">
            <w:pPr>
              <w:pStyle w:val="54"/>
              <w:rPr>
                <w:rFonts w:ascii="仿宋" w:hAnsi="仿宋" w:eastAsia="仿宋" w:cs="仿宋"/>
                <w:color w:val="000000"/>
                <w:sz w:val="24"/>
                <w:lang w:val="zh-TW" w:bidi="zh-TW"/>
              </w:rPr>
            </w:pPr>
            <w:r>
              <w:rPr>
                <w:rFonts w:hint="eastAsia" w:ascii="仿宋" w:hAnsi="仿宋" w:eastAsia="仿宋" w:cs="仿宋"/>
                <w:sz w:val="24"/>
              </w:rPr>
              <w:t>3、是否包含</w:t>
            </w:r>
            <w:r>
              <w:rPr>
                <w:rFonts w:hint="eastAsia" w:ascii="仿宋" w:hAnsi="仿宋" w:eastAsia="仿宋" w:cs="仿宋"/>
                <w:color w:val="000000"/>
                <w:sz w:val="24"/>
                <w:lang w:val="zh-TW" w:eastAsia="zh-TW" w:bidi="zh-TW"/>
              </w:rPr>
              <w:t>医技科室</w:t>
            </w:r>
            <w:r>
              <w:rPr>
                <w:rFonts w:hint="eastAsia" w:ascii="仿宋" w:hAnsi="仿宋" w:eastAsia="仿宋" w:cs="仿宋"/>
                <w:color w:val="000000"/>
                <w:sz w:val="24"/>
                <w:lang w:bidi="zh-TW"/>
              </w:rPr>
              <w:t>工作量</w:t>
            </w:r>
            <w:r>
              <w:rPr>
                <w:rFonts w:hint="eastAsia" w:ascii="仿宋" w:hAnsi="仿宋" w:eastAsia="仿宋" w:cs="仿宋"/>
                <w:color w:val="000000"/>
                <w:sz w:val="24"/>
                <w:lang w:val="zh-TW" w:eastAsia="zh-TW" w:bidi="zh-TW"/>
              </w:rPr>
              <w:t>绩效管理与方案设计</w:t>
            </w:r>
            <w:r>
              <w:rPr>
                <w:rFonts w:hint="eastAsia" w:ascii="仿宋" w:hAnsi="仿宋" w:eastAsia="仿宋"/>
                <w:spacing w:val="-1"/>
                <w:sz w:val="24"/>
                <w:lang w:val="en-US"/>
              </w:rPr>
              <w:t>（1分）</w:t>
            </w:r>
            <w:r>
              <w:rPr>
                <w:rFonts w:hint="eastAsia" w:ascii="仿宋" w:hAnsi="仿宋" w:eastAsia="仿宋" w:cs="仿宋"/>
                <w:color w:val="000000"/>
                <w:sz w:val="24"/>
                <w:lang w:val="zh-TW" w:bidi="zh-TW"/>
              </w:rPr>
              <w:t>；</w:t>
            </w:r>
          </w:p>
          <w:p w14:paraId="4FE8C08D">
            <w:pPr>
              <w:pStyle w:val="54"/>
              <w:rPr>
                <w:rFonts w:ascii="仿宋" w:hAnsi="仿宋" w:eastAsia="仿宋" w:cs="仿宋"/>
                <w:color w:val="000000"/>
                <w:sz w:val="24"/>
                <w:lang w:val="zh-TW" w:bidi="zh-TW"/>
              </w:rPr>
            </w:pPr>
            <w:r>
              <w:rPr>
                <w:rFonts w:hint="eastAsia" w:ascii="仿宋" w:hAnsi="仿宋" w:eastAsia="仿宋" w:cs="仿宋"/>
                <w:color w:val="000000"/>
                <w:sz w:val="24"/>
                <w:lang w:val="zh-TW" w:bidi="zh-TW"/>
              </w:rPr>
              <w:t>4、</w:t>
            </w:r>
            <w:r>
              <w:rPr>
                <w:rFonts w:hint="eastAsia" w:ascii="仿宋" w:hAnsi="仿宋" w:eastAsia="仿宋" w:cs="仿宋"/>
                <w:sz w:val="24"/>
              </w:rPr>
              <w:t>是否包含</w:t>
            </w:r>
            <w:r>
              <w:rPr>
                <w:rFonts w:hint="eastAsia" w:ascii="仿宋" w:hAnsi="仿宋" w:eastAsia="仿宋" w:cs="仿宋"/>
                <w:color w:val="000000"/>
                <w:sz w:val="24"/>
                <w:lang w:val="zh-TW" w:eastAsia="zh-TW" w:bidi="zh-TW"/>
              </w:rPr>
              <w:t>行政</w:t>
            </w:r>
            <w:r>
              <w:rPr>
                <w:rFonts w:hint="eastAsia" w:ascii="仿宋" w:hAnsi="仿宋" w:eastAsia="仿宋" w:cs="仿宋"/>
                <w:color w:val="000000"/>
                <w:sz w:val="24"/>
                <w:lang w:bidi="zh-TW"/>
              </w:rPr>
              <w:t>职能部门工作量</w:t>
            </w:r>
            <w:r>
              <w:rPr>
                <w:rFonts w:hint="eastAsia" w:ascii="仿宋" w:hAnsi="仿宋" w:eastAsia="仿宋" w:cs="仿宋"/>
                <w:color w:val="000000"/>
                <w:sz w:val="24"/>
                <w:lang w:val="zh-TW" w:eastAsia="zh-TW" w:bidi="zh-TW"/>
              </w:rPr>
              <w:t>绩效管理与方案设计</w:t>
            </w:r>
            <w:r>
              <w:rPr>
                <w:rFonts w:hint="eastAsia" w:ascii="仿宋" w:hAnsi="仿宋" w:eastAsia="仿宋"/>
                <w:spacing w:val="-1"/>
                <w:sz w:val="24"/>
                <w:lang w:val="en-US"/>
              </w:rPr>
              <w:t>（1分）</w:t>
            </w:r>
            <w:r>
              <w:rPr>
                <w:rFonts w:hint="eastAsia" w:ascii="仿宋" w:hAnsi="仿宋" w:eastAsia="仿宋" w:cs="仿宋"/>
                <w:color w:val="000000"/>
                <w:sz w:val="24"/>
                <w:lang w:val="zh-TW" w:bidi="zh-TW"/>
              </w:rPr>
              <w:t>；</w:t>
            </w:r>
          </w:p>
          <w:p w14:paraId="51811E56">
            <w:pPr>
              <w:pStyle w:val="54"/>
              <w:rPr>
                <w:rFonts w:ascii="仿宋" w:hAnsi="仿宋" w:eastAsia="仿宋" w:cs="仿宋"/>
                <w:sz w:val="24"/>
              </w:rPr>
            </w:pPr>
            <w:r>
              <w:rPr>
                <w:rFonts w:hint="eastAsia" w:ascii="仿宋" w:hAnsi="仿宋" w:eastAsia="仿宋" w:cs="仿宋"/>
                <w:color w:val="000000"/>
                <w:sz w:val="24"/>
                <w:lang w:val="zh-TW" w:bidi="zh-TW"/>
              </w:rPr>
              <w:t>5、</w:t>
            </w:r>
            <w:r>
              <w:rPr>
                <w:rFonts w:hint="eastAsia" w:ascii="仿宋" w:hAnsi="仿宋" w:eastAsia="仿宋" w:cs="仿宋"/>
                <w:sz w:val="24"/>
              </w:rPr>
              <w:t>是否包含特殊科室</w:t>
            </w:r>
            <w:r>
              <w:rPr>
                <w:rFonts w:hint="eastAsia" w:ascii="仿宋" w:hAnsi="仿宋" w:eastAsia="仿宋" w:cs="仿宋"/>
                <w:sz w:val="24"/>
                <w:lang w:val="en-US"/>
              </w:rPr>
              <w:t>工作量</w:t>
            </w:r>
            <w:r>
              <w:rPr>
                <w:rFonts w:hint="eastAsia" w:ascii="仿宋" w:hAnsi="仿宋" w:eastAsia="仿宋" w:cs="仿宋"/>
                <w:sz w:val="24"/>
              </w:rPr>
              <w:t>绩效</w:t>
            </w:r>
            <w:r>
              <w:rPr>
                <w:rFonts w:hint="eastAsia" w:ascii="仿宋" w:hAnsi="仿宋" w:eastAsia="仿宋" w:cs="仿宋"/>
                <w:sz w:val="24"/>
                <w:lang w:val="en-US"/>
              </w:rPr>
              <w:t>管理与</w:t>
            </w:r>
            <w:r>
              <w:rPr>
                <w:rFonts w:hint="eastAsia" w:ascii="仿宋" w:hAnsi="仿宋" w:eastAsia="仿宋" w:cs="仿宋"/>
                <w:sz w:val="24"/>
              </w:rPr>
              <w:t>方案设计（</w:t>
            </w:r>
            <w:r>
              <w:rPr>
                <w:rFonts w:hint="eastAsia" w:ascii="仿宋" w:hAnsi="仿宋" w:eastAsia="仿宋" w:cs="仿宋"/>
                <w:sz w:val="24"/>
                <w:lang w:val="en-US"/>
              </w:rPr>
              <w:t>重症医学科、麻醉科、</w:t>
            </w:r>
            <w:r>
              <w:rPr>
                <w:rFonts w:hint="eastAsia" w:ascii="仿宋" w:hAnsi="仿宋" w:eastAsia="仿宋" w:cs="仿宋"/>
                <w:sz w:val="24"/>
              </w:rPr>
              <w:t>体检中心等）</w:t>
            </w:r>
            <w:r>
              <w:rPr>
                <w:rFonts w:hint="eastAsia" w:ascii="仿宋" w:hAnsi="仿宋" w:eastAsia="仿宋"/>
                <w:spacing w:val="-1"/>
                <w:sz w:val="24"/>
                <w:lang w:val="en-US"/>
              </w:rPr>
              <w:t>（1分）</w:t>
            </w:r>
            <w:r>
              <w:rPr>
                <w:rFonts w:hint="eastAsia" w:ascii="仿宋" w:hAnsi="仿宋" w:eastAsia="仿宋" w:cs="仿宋"/>
                <w:sz w:val="24"/>
              </w:rPr>
              <w:t>；</w:t>
            </w:r>
          </w:p>
          <w:p w14:paraId="15D06529">
            <w:pPr>
              <w:pStyle w:val="54"/>
              <w:rPr>
                <w:rFonts w:ascii="仿宋" w:hAnsi="仿宋" w:eastAsia="仿宋" w:cs="仿宋"/>
                <w:color w:val="000000"/>
                <w:sz w:val="24"/>
                <w:lang w:val="zh-TW" w:bidi="zh-TW"/>
              </w:rPr>
            </w:pPr>
            <w:r>
              <w:rPr>
                <w:rFonts w:hint="eastAsia" w:ascii="仿宋" w:hAnsi="仿宋" w:eastAsia="仿宋" w:cs="仿宋"/>
                <w:sz w:val="24"/>
              </w:rPr>
              <w:t>6、是否包含</w:t>
            </w:r>
            <w:r>
              <w:rPr>
                <w:rFonts w:hint="eastAsia" w:ascii="仿宋" w:hAnsi="仿宋" w:eastAsia="仿宋" w:cs="仿宋"/>
                <w:color w:val="000000"/>
                <w:sz w:val="24"/>
                <w:lang w:val="zh-TW" w:eastAsia="zh-TW" w:bidi="zh-TW"/>
              </w:rPr>
              <w:t>二次分配方案设计</w:t>
            </w:r>
            <w:r>
              <w:rPr>
                <w:rFonts w:hint="eastAsia" w:ascii="仿宋" w:hAnsi="仿宋" w:eastAsia="仿宋"/>
                <w:spacing w:val="-1"/>
                <w:sz w:val="24"/>
                <w:lang w:val="en-US"/>
              </w:rPr>
              <w:t>（1分）</w:t>
            </w:r>
            <w:r>
              <w:rPr>
                <w:rFonts w:hint="eastAsia" w:ascii="仿宋" w:hAnsi="仿宋" w:eastAsia="仿宋" w:cs="仿宋"/>
                <w:color w:val="000000"/>
                <w:sz w:val="24"/>
                <w:lang w:val="zh-TW" w:bidi="zh-TW"/>
              </w:rPr>
              <w:t>；</w:t>
            </w:r>
          </w:p>
          <w:p w14:paraId="75136D1F">
            <w:pPr>
              <w:pStyle w:val="54"/>
              <w:rPr>
                <w:rFonts w:ascii="仿宋" w:hAnsi="仿宋" w:eastAsia="仿宋" w:cs="仿宋"/>
                <w:color w:val="000000"/>
                <w:sz w:val="24"/>
                <w:lang w:val="zh-TW" w:bidi="zh-TW"/>
              </w:rPr>
            </w:pPr>
            <w:r>
              <w:rPr>
                <w:rFonts w:hint="eastAsia" w:ascii="仿宋" w:hAnsi="仿宋" w:eastAsia="仿宋" w:cs="仿宋"/>
                <w:color w:val="000000"/>
                <w:sz w:val="24"/>
                <w:lang w:val="zh-TW" w:bidi="zh-TW"/>
              </w:rPr>
              <w:t>7、</w:t>
            </w:r>
            <w:r>
              <w:rPr>
                <w:rFonts w:hint="eastAsia" w:ascii="仿宋" w:hAnsi="仿宋" w:eastAsia="仿宋" w:cs="仿宋"/>
                <w:sz w:val="24"/>
              </w:rPr>
              <w:t>是否包含</w:t>
            </w:r>
            <w:r>
              <w:rPr>
                <w:rFonts w:hint="eastAsia" w:ascii="仿宋" w:hAnsi="仿宋" w:eastAsia="仿宋" w:cs="仿宋"/>
                <w:color w:val="000000"/>
                <w:sz w:val="24"/>
                <w:lang w:val="zh-TW" w:eastAsia="zh-TW" w:bidi="zh-TW"/>
              </w:rPr>
              <w:t>质量</w:t>
            </w:r>
            <w:r>
              <w:rPr>
                <w:rFonts w:hint="eastAsia" w:ascii="仿宋" w:hAnsi="仿宋" w:eastAsia="仿宋" w:cs="仿宋"/>
                <w:color w:val="000000"/>
                <w:sz w:val="24"/>
                <w:lang w:bidi="zh-TW"/>
              </w:rPr>
              <w:t>考核</w:t>
            </w:r>
            <w:r>
              <w:rPr>
                <w:rFonts w:hint="eastAsia" w:ascii="仿宋" w:hAnsi="仿宋" w:eastAsia="仿宋" w:cs="仿宋"/>
                <w:color w:val="000000"/>
                <w:sz w:val="24"/>
                <w:lang w:val="zh-TW" w:eastAsia="zh-TW" w:bidi="zh-TW"/>
              </w:rPr>
              <w:t>方案设计</w:t>
            </w:r>
            <w:r>
              <w:rPr>
                <w:rFonts w:hint="eastAsia" w:ascii="仿宋" w:hAnsi="仿宋" w:eastAsia="仿宋"/>
                <w:spacing w:val="-1"/>
                <w:sz w:val="24"/>
                <w:lang w:val="en-US"/>
              </w:rPr>
              <w:t>（1分）</w:t>
            </w:r>
            <w:r>
              <w:rPr>
                <w:rFonts w:hint="eastAsia" w:ascii="仿宋" w:hAnsi="仿宋" w:eastAsia="仿宋" w:cs="仿宋"/>
                <w:color w:val="000000"/>
                <w:sz w:val="24"/>
                <w:lang w:val="zh-TW" w:bidi="zh-TW"/>
              </w:rPr>
              <w:t>；</w:t>
            </w:r>
          </w:p>
          <w:p w14:paraId="444EEE6D">
            <w:pPr>
              <w:pStyle w:val="54"/>
              <w:rPr>
                <w:rFonts w:hint="eastAsia" w:ascii="仿宋" w:hAnsi="仿宋" w:eastAsia="仿宋" w:cs="仿宋"/>
                <w:sz w:val="24"/>
              </w:rPr>
            </w:pPr>
            <w:r>
              <w:rPr>
                <w:rFonts w:hint="eastAsia" w:ascii="仿宋" w:hAnsi="仿宋" w:eastAsia="仿宋" w:cs="仿宋"/>
                <w:color w:val="000000"/>
                <w:sz w:val="24"/>
                <w:lang w:val="zh-TW" w:bidi="zh-TW"/>
              </w:rPr>
              <w:t>8、</w:t>
            </w:r>
            <w:r>
              <w:rPr>
                <w:rFonts w:hint="eastAsia" w:ascii="仿宋" w:hAnsi="仿宋" w:eastAsia="仿宋" w:cs="仿宋"/>
                <w:sz w:val="24"/>
              </w:rPr>
              <w:t>是否包含核算单元嵌入关键考核指标方案设计</w:t>
            </w:r>
            <w:r>
              <w:rPr>
                <w:rFonts w:hint="eastAsia" w:ascii="仿宋" w:hAnsi="仿宋" w:eastAsia="仿宋" w:cs="仿宋"/>
                <w:sz w:val="24"/>
                <w:lang w:val="en-US"/>
              </w:rPr>
              <w:t>（1分）</w:t>
            </w:r>
            <w:r>
              <w:rPr>
                <w:rFonts w:hint="eastAsia" w:ascii="仿宋" w:hAnsi="仿宋" w:eastAsia="仿宋" w:cs="仿宋"/>
                <w:sz w:val="24"/>
              </w:rPr>
              <w:t>；</w:t>
            </w:r>
          </w:p>
          <w:p w14:paraId="4C591D63">
            <w:pPr>
              <w:pStyle w:val="54"/>
              <w:rPr>
                <w:rFonts w:hint="eastAsia" w:ascii="仿宋" w:hAnsi="仿宋" w:eastAsia="仿宋" w:cs="仿宋"/>
                <w:sz w:val="24"/>
              </w:rPr>
            </w:pPr>
            <w:r>
              <w:rPr>
                <w:rFonts w:hint="eastAsia" w:ascii="仿宋" w:hAnsi="仿宋" w:eastAsia="仿宋" w:cs="仿宋"/>
                <w:sz w:val="24"/>
              </w:rPr>
              <w:t>9、是否包含全院岗位设置及考核评价方案设计</w:t>
            </w:r>
            <w:r>
              <w:rPr>
                <w:rFonts w:hint="eastAsia" w:ascii="仿宋" w:hAnsi="仿宋" w:eastAsia="仿宋" w:cs="仿宋"/>
                <w:sz w:val="24"/>
                <w:lang w:val="en-US"/>
              </w:rPr>
              <w:t>（1分）</w:t>
            </w:r>
            <w:r>
              <w:rPr>
                <w:rFonts w:hint="eastAsia" w:ascii="仿宋" w:hAnsi="仿宋" w:eastAsia="仿宋" w:cs="仿宋"/>
                <w:sz w:val="24"/>
              </w:rPr>
              <w:t>；</w:t>
            </w:r>
          </w:p>
          <w:p w14:paraId="24E60874">
            <w:pPr>
              <w:pStyle w:val="54"/>
              <w:rPr>
                <w:rFonts w:ascii="仿宋" w:hAnsi="仿宋" w:eastAsia="仿宋" w:cs="仿宋"/>
                <w:sz w:val="24"/>
              </w:rPr>
            </w:pPr>
            <w:r>
              <w:rPr>
                <w:rFonts w:hint="eastAsia" w:ascii="仿宋" w:hAnsi="仿宋" w:eastAsia="仿宋" w:cs="仿宋"/>
                <w:color w:val="000000"/>
                <w:sz w:val="24"/>
                <w:lang w:bidi="zh-TW"/>
              </w:rPr>
              <w:t>1</w:t>
            </w:r>
            <w:r>
              <w:rPr>
                <w:rFonts w:ascii="仿宋" w:hAnsi="仿宋" w:eastAsia="仿宋" w:cs="仿宋"/>
                <w:color w:val="000000"/>
                <w:sz w:val="24"/>
                <w:lang w:bidi="zh-TW"/>
              </w:rPr>
              <w:t>0</w:t>
            </w:r>
            <w:r>
              <w:rPr>
                <w:rFonts w:hint="eastAsia" w:ascii="仿宋" w:hAnsi="仿宋" w:eastAsia="仿宋" w:cs="仿宋"/>
                <w:color w:val="000000"/>
                <w:sz w:val="24"/>
                <w:lang w:bidi="zh-TW"/>
              </w:rPr>
              <w:t>、系统方面</w:t>
            </w:r>
            <w:r>
              <w:rPr>
                <w:rFonts w:hint="eastAsia" w:ascii="仿宋" w:hAnsi="仿宋" w:eastAsia="仿宋" w:cs="仿宋"/>
                <w:sz w:val="24"/>
              </w:rPr>
              <w:t>是否包含基于RBRVS的医院绩效评价管理系统</w:t>
            </w:r>
            <w:r>
              <w:rPr>
                <w:rFonts w:hint="eastAsia" w:ascii="仿宋" w:hAnsi="仿宋" w:eastAsia="仿宋"/>
                <w:spacing w:val="-1"/>
                <w:sz w:val="24"/>
                <w:lang w:val="en-US"/>
              </w:rPr>
              <w:t>（1分）</w:t>
            </w:r>
            <w:r>
              <w:rPr>
                <w:rFonts w:hint="eastAsia" w:ascii="仿宋" w:hAnsi="仿宋" w:eastAsia="仿宋" w:cs="仿宋"/>
                <w:sz w:val="24"/>
              </w:rPr>
              <w:t>；</w:t>
            </w:r>
          </w:p>
          <w:p w14:paraId="0439ACA3">
            <w:pPr>
              <w:pStyle w:val="54"/>
              <w:rPr>
                <w:rFonts w:ascii="仿宋" w:hAnsi="仿宋" w:eastAsia="仿宋"/>
                <w:sz w:val="24"/>
                <w:lang w:val="en-US"/>
              </w:rPr>
            </w:pPr>
            <w:r>
              <w:rPr>
                <w:rFonts w:hint="eastAsia" w:ascii="仿宋" w:hAnsi="仿宋" w:eastAsia="仿宋" w:cs="仿宋"/>
                <w:sz w:val="24"/>
              </w:rPr>
              <w:t>1</w:t>
            </w:r>
            <w:r>
              <w:rPr>
                <w:rFonts w:ascii="仿宋" w:hAnsi="仿宋" w:eastAsia="仿宋" w:cs="仿宋"/>
                <w:sz w:val="24"/>
              </w:rPr>
              <w:t>1</w:t>
            </w:r>
            <w:r>
              <w:rPr>
                <w:rFonts w:hint="eastAsia" w:ascii="仿宋" w:hAnsi="仿宋" w:eastAsia="仿宋" w:cs="仿宋"/>
                <w:sz w:val="24"/>
              </w:rPr>
              <w:t>、是否包含对医院实际需求的定制的开发</w:t>
            </w:r>
            <w:r>
              <w:rPr>
                <w:rFonts w:hint="eastAsia" w:ascii="仿宋" w:hAnsi="仿宋" w:eastAsia="仿宋"/>
                <w:spacing w:val="-1"/>
                <w:sz w:val="24"/>
                <w:lang w:val="en-US"/>
              </w:rPr>
              <w:t>（1分）</w:t>
            </w:r>
            <w:r>
              <w:rPr>
                <w:rFonts w:hint="eastAsia" w:ascii="仿宋" w:hAnsi="仿宋" w:eastAsia="仿宋" w:cs="仿宋"/>
                <w:sz w:val="24"/>
              </w:rPr>
              <w:t>；</w:t>
            </w:r>
          </w:p>
          <w:p w14:paraId="4BCCFBF6">
            <w:pPr>
              <w:pStyle w:val="37"/>
              <w:spacing w:line="240" w:lineRule="auto"/>
              <w:ind w:firstLine="0" w:firstLineChars="0"/>
              <w:rPr>
                <w:rFonts w:ascii="仿宋" w:hAnsi="仿宋" w:eastAsia="仿宋" w:cs="宋体"/>
                <w:spacing w:val="-1"/>
              </w:rPr>
            </w:pPr>
            <w:r>
              <w:rPr>
                <w:rFonts w:hint="eastAsia" w:ascii="仿宋" w:hAnsi="仿宋" w:eastAsia="仿宋"/>
              </w:rPr>
              <w:t>评审专家根据上述要求进行打分，投标文件中需提供上述内容的证明材料方可得分，共计1</w:t>
            </w:r>
            <w:r>
              <w:rPr>
                <w:rFonts w:ascii="仿宋" w:hAnsi="仿宋" w:eastAsia="仿宋"/>
              </w:rPr>
              <w:t>1</w:t>
            </w:r>
            <w:r>
              <w:rPr>
                <w:rFonts w:hint="eastAsia" w:ascii="仿宋" w:hAnsi="仿宋" w:eastAsia="仿宋"/>
              </w:rPr>
              <w:t>分。</w:t>
            </w:r>
          </w:p>
        </w:tc>
      </w:tr>
      <w:tr w14:paraId="2624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24" w:type="dxa"/>
            <w:vAlign w:val="center"/>
          </w:tcPr>
          <w:p w14:paraId="71AE96CB">
            <w:pPr>
              <w:pStyle w:val="54"/>
              <w:rPr>
                <w:rFonts w:hint="eastAsia" w:ascii="仿宋" w:hAnsi="仿宋" w:eastAsia="仿宋"/>
                <w:spacing w:val="-1"/>
                <w:sz w:val="24"/>
                <w:lang w:eastAsia="zh-CN"/>
              </w:rPr>
            </w:pPr>
          </w:p>
        </w:tc>
        <w:tc>
          <w:tcPr>
            <w:tcW w:w="1279" w:type="dxa"/>
            <w:vAlign w:val="center"/>
          </w:tcPr>
          <w:p w14:paraId="41C84B77">
            <w:pPr>
              <w:jc w:val="center"/>
              <w:textAlignment w:val="center"/>
              <w:rPr>
                <w:rFonts w:ascii="仿宋" w:hAnsi="仿宋" w:eastAsia="仿宋" w:cs="宋体"/>
                <w:spacing w:val="-1"/>
                <w:sz w:val="24"/>
              </w:rPr>
            </w:pPr>
            <w:r>
              <w:rPr>
                <w:rFonts w:hint="eastAsia" w:ascii="仿宋" w:hAnsi="仿宋" w:eastAsia="仿宋" w:cs="宋体"/>
                <w:spacing w:val="-1"/>
                <w:sz w:val="24"/>
              </w:rPr>
              <w:t>驻场服务期</w:t>
            </w:r>
          </w:p>
        </w:tc>
        <w:tc>
          <w:tcPr>
            <w:tcW w:w="888" w:type="dxa"/>
            <w:vAlign w:val="center"/>
          </w:tcPr>
          <w:p w14:paraId="66974A1A">
            <w:pPr>
              <w:jc w:val="center"/>
              <w:textAlignment w:val="center"/>
              <w:rPr>
                <w:rFonts w:ascii="仿宋" w:hAnsi="仿宋" w:eastAsia="仿宋" w:cs="宋体"/>
                <w:spacing w:val="-1"/>
                <w:sz w:val="24"/>
              </w:rPr>
            </w:pPr>
            <w:r>
              <w:rPr>
                <w:rFonts w:hint="eastAsia" w:ascii="仿宋" w:hAnsi="仿宋" w:eastAsia="仿宋" w:cs="宋体"/>
                <w:spacing w:val="-1"/>
                <w:sz w:val="24"/>
                <w:lang w:val="en-US" w:eastAsia="zh-CN"/>
              </w:rPr>
              <w:t>7</w:t>
            </w:r>
            <w:r>
              <w:rPr>
                <w:rFonts w:hint="eastAsia" w:ascii="仿宋" w:hAnsi="仿宋" w:eastAsia="仿宋" w:cs="宋体"/>
                <w:spacing w:val="-1"/>
                <w:sz w:val="24"/>
              </w:rPr>
              <w:t>分</w:t>
            </w:r>
          </w:p>
        </w:tc>
        <w:tc>
          <w:tcPr>
            <w:tcW w:w="5619" w:type="dxa"/>
            <w:vAlign w:val="center"/>
          </w:tcPr>
          <w:p w14:paraId="45F35184">
            <w:pPr>
              <w:pStyle w:val="87"/>
              <w:spacing w:line="360" w:lineRule="auto"/>
              <w:ind w:left="0" w:leftChars="0" w:firstLine="0" w:firstLineChars="0"/>
              <w:rPr>
                <w:rFonts w:hint="eastAsia" w:ascii="仿宋" w:hAnsi="仿宋" w:eastAsia="仿宋" w:cs="宋体"/>
                <w:spacing w:val="-1"/>
                <w:kern w:val="2"/>
                <w:sz w:val="24"/>
                <w:szCs w:val="24"/>
                <w:lang w:val="zh-TW" w:eastAsia="zh-CN" w:bidi="ar-SA"/>
              </w:rPr>
            </w:pPr>
            <w:r>
              <w:rPr>
                <w:rFonts w:hint="eastAsia" w:ascii="仿宋" w:hAnsi="仿宋" w:eastAsia="仿宋" w:cs="宋体"/>
                <w:spacing w:val="-1"/>
                <w:kern w:val="2"/>
                <w:sz w:val="24"/>
                <w:szCs w:val="24"/>
                <w:lang w:val="zh-TW" w:eastAsia="zh-TW" w:bidi="ar-SA"/>
              </w:rPr>
              <w:t>供应商应提供绩效咨询服务和软件系统的实施方案，以及实施组织、管理办法和应急方案等</w:t>
            </w:r>
            <w:r>
              <w:rPr>
                <w:rFonts w:hint="eastAsia" w:ascii="仿宋" w:hAnsi="仿宋" w:eastAsia="仿宋" w:cs="宋体"/>
                <w:spacing w:val="-1"/>
                <w:kern w:val="2"/>
                <w:sz w:val="24"/>
                <w:szCs w:val="24"/>
                <w:lang w:val="zh-CN" w:eastAsia="zh-CN" w:bidi="ar-SA"/>
              </w:rPr>
              <w:t>（2分）；</w:t>
            </w:r>
          </w:p>
          <w:p w14:paraId="252DDD23">
            <w:pPr>
              <w:pStyle w:val="87"/>
              <w:spacing w:line="360" w:lineRule="auto"/>
              <w:ind w:left="0" w:leftChars="0" w:firstLine="0" w:firstLineChars="0"/>
              <w:rPr>
                <w:rFonts w:hint="eastAsia" w:ascii="仿宋" w:hAnsi="仿宋" w:eastAsia="仿宋" w:cs="宋体"/>
                <w:spacing w:val="-1"/>
                <w:kern w:val="2"/>
                <w:sz w:val="24"/>
                <w:szCs w:val="24"/>
                <w:lang w:val="zh-TW" w:eastAsia="zh-TW" w:bidi="ar-SA"/>
              </w:rPr>
            </w:pPr>
            <w:r>
              <w:rPr>
                <w:rFonts w:hint="eastAsia" w:ascii="仿宋" w:hAnsi="仿宋" w:eastAsia="仿宋" w:cs="宋体"/>
                <w:spacing w:val="-1"/>
                <w:kern w:val="2"/>
                <w:sz w:val="24"/>
                <w:szCs w:val="24"/>
                <w:lang w:val="zh-TW" w:eastAsia="zh-TW" w:bidi="ar-SA"/>
              </w:rPr>
              <w:t>供应商应提供本项目在实施阶段的管理方案（包含但不限于进度计划</w:t>
            </w:r>
            <w:r>
              <w:rPr>
                <w:rFonts w:hint="eastAsia" w:ascii="仿宋" w:hAnsi="仿宋" w:eastAsia="仿宋" w:cs="宋体"/>
                <w:spacing w:val="-1"/>
                <w:kern w:val="2"/>
                <w:sz w:val="24"/>
                <w:szCs w:val="24"/>
                <w:lang w:val="zh-CN" w:eastAsia="zh-CN" w:bidi="ar-SA"/>
              </w:rPr>
              <w:t>等</w:t>
            </w:r>
            <w:r>
              <w:rPr>
                <w:rFonts w:hint="eastAsia" w:ascii="仿宋" w:hAnsi="仿宋" w:eastAsia="仿宋" w:cs="宋体"/>
                <w:spacing w:val="-1"/>
                <w:kern w:val="2"/>
                <w:sz w:val="24"/>
                <w:szCs w:val="24"/>
                <w:lang w:val="zh-TW" w:eastAsia="zh-TW" w:bidi="ar-SA"/>
              </w:rPr>
              <w:t>）</w:t>
            </w:r>
            <w:r>
              <w:rPr>
                <w:rFonts w:hint="eastAsia" w:ascii="仿宋" w:hAnsi="仿宋" w:eastAsia="仿宋" w:cs="宋体"/>
                <w:spacing w:val="-1"/>
                <w:kern w:val="2"/>
                <w:sz w:val="24"/>
                <w:szCs w:val="24"/>
                <w:lang w:val="zh-CN" w:eastAsia="zh-CN" w:bidi="ar-SA"/>
              </w:rPr>
              <w:t>（2分）；</w:t>
            </w:r>
          </w:p>
          <w:p w14:paraId="2E51DE56">
            <w:pPr>
              <w:pStyle w:val="37"/>
              <w:spacing w:line="240" w:lineRule="auto"/>
              <w:ind w:firstLine="0" w:firstLineChars="0"/>
              <w:rPr>
                <w:rFonts w:ascii="仿宋" w:hAnsi="仿宋" w:eastAsia="仿宋" w:cs="宋体"/>
                <w:spacing w:val="-1"/>
              </w:rPr>
            </w:pPr>
            <w:r>
              <w:rPr>
                <w:rFonts w:hint="eastAsia" w:ascii="仿宋" w:hAnsi="仿宋" w:eastAsia="仿宋" w:cs="宋体"/>
                <w:spacing w:val="-1"/>
                <w:kern w:val="2"/>
                <w:sz w:val="24"/>
                <w:szCs w:val="24"/>
                <w:lang w:val="zh-CN" w:eastAsia="zh-CN" w:bidi="ar-SA"/>
              </w:rPr>
              <w:t>满足招标文件驻场服务期得2分，增加1个月加</w:t>
            </w:r>
            <w:r>
              <w:rPr>
                <w:rFonts w:hint="eastAsia" w:ascii="仿宋" w:hAnsi="仿宋" w:eastAsia="仿宋" w:cs="宋体"/>
                <w:spacing w:val="-1"/>
                <w:kern w:val="2"/>
                <w:sz w:val="24"/>
                <w:szCs w:val="24"/>
                <w:lang w:val="en-US" w:eastAsia="zh-CN" w:bidi="ar-SA"/>
              </w:rPr>
              <w:t>0.5</w:t>
            </w:r>
            <w:r>
              <w:rPr>
                <w:rFonts w:hint="eastAsia" w:ascii="仿宋" w:hAnsi="仿宋" w:eastAsia="仿宋" w:cs="宋体"/>
                <w:spacing w:val="-1"/>
                <w:kern w:val="2"/>
                <w:sz w:val="24"/>
                <w:szCs w:val="24"/>
                <w:lang w:val="zh-CN" w:eastAsia="zh-CN" w:bidi="ar-SA"/>
              </w:rPr>
              <w:t>分，最多加</w:t>
            </w:r>
            <w:r>
              <w:rPr>
                <w:rFonts w:hint="eastAsia" w:ascii="仿宋" w:hAnsi="仿宋" w:eastAsia="仿宋" w:cs="宋体"/>
                <w:spacing w:val="-1"/>
                <w:kern w:val="2"/>
                <w:sz w:val="24"/>
                <w:szCs w:val="24"/>
                <w:lang w:val="en-US" w:eastAsia="zh-CN" w:bidi="ar-SA"/>
              </w:rPr>
              <w:t>1</w:t>
            </w:r>
            <w:r>
              <w:rPr>
                <w:rFonts w:hint="eastAsia" w:ascii="仿宋" w:hAnsi="仿宋" w:eastAsia="仿宋" w:cs="宋体"/>
                <w:spacing w:val="-1"/>
                <w:kern w:val="2"/>
                <w:sz w:val="24"/>
                <w:szCs w:val="24"/>
                <w:lang w:val="zh-CN" w:eastAsia="zh-CN" w:bidi="ar-SA"/>
              </w:rPr>
              <w:t>分。</w:t>
            </w:r>
          </w:p>
        </w:tc>
      </w:tr>
      <w:tr w14:paraId="245A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24" w:type="dxa"/>
            <w:vAlign w:val="center"/>
          </w:tcPr>
          <w:p w14:paraId="776B593B">
            <w:pPr>
              <w:pStyle w:val="54"/>
              <w:rPr>
                <w:rFonts w:hint="eastAsia" w:ascii="仿宋" w:hAnsi="仿宋" w:eastAsia="仿宋"/>
                <w:spacing w:val="-1"/>
                <w:sz w:val="24"/>
                <w:lang w:eastAsia="zh-CN"/>
              </w:rPr>
            </w:pPr>
          </w:p>
        </w:tc>
        <w:tc>
          <w:tcPr>
            <w:tcW w:w="1279" w:type="dxa"/>
            <w:vAlign w:val="center"/>
          </w:tcPr>
          <w:p w14:paraId="1D25C02C">
            <w:pPr>
              <w:jc w:val="center"/>
              <w:textAlignment w:val="center"/>
              <w:rPr>
                <w:rFonts w:ascii="仿宋" w:hAnsi="仿宋" w:eastAsia="仿宋" w:cs="宋体"/>
                <w:spacing w:val="-1"/>
                <w:sz w:val="24"/>
              </w:rPr>
            </w:pPr>
            <w:r>
              <w:rPr>
                <w:rFonts w:hint="eastAsia" w:ascii="仿宋" w:hAnsi="仿宋" w:eastAsia="仿宋" w:cs="宋体"/>
                <w:spacing w:val="-1"/>
                <w:sz w:val="24"/>
              </w:rPr>
              <w:t>驻场人员</w:t>
            </w:r>
          </w:p>
        </w:tc>
        <w:tc>
          <w:tcPr>
            <w:tcW w:w="888" w:type="dxa"/>
            <w:vAlign w:val="center"/>
          </w:tcPr>
          <w:p w14:paraId="4B569910">
            <w:pPr>
              <w:jc w:val="center"/>
              <w:textAlignment w:val="center"/>
              <w:rPr>
                <w:rFonts w:ascii="仿宋" w:hAnsi="仿宋" w:eastAsia="仿宋" w:cs="宋体"/>
                <w:spacing w:val="-1"/>
                <w:sz w:val="24"/>
              </w:rPr>
            </w:pPr>
            <w:r>
              <w:rPr>
                <w:rFonts w:ascii="仿宋" w:hAnsi="仿宋" w:eastAsia="仿宋" w:cs="宋体"/>
                <w:spacing w:val="-1"/>
                <w:sz w:val="24"/>
              </w:rPr>
              <w:t>5</w:t>
            </w:r>
            <w:r>
              <w:rPr>
                <w:rFonts w:hint="eastAsia" w:ascii="仿宋" w:hAnsi="仿宋" w:eastAsia="仿宋" w:cs="宋体"/>
                <w:spacing w:val="-1"/>
                <w:sz w:val="24"/>
              </w:rPr>
              <w:t>分</w:t>
            </w:r>
          </w:p>
        </w:tc>
        <w:tc>
          <w:tcPr>
            <w:tcW w:w="5619" w:type="dxa"/>
            <w:vAlign w:val="center"/>
          </w:tcPr>
          <w:p w14:paraId="77172E21">
            <w:pPr>
              <w:pStyle w:val="37"/>
              <w:spacing w:line="240" w:lineRule="auto"/>
              <w:ind w:firstLine="0" w:firstLineChars="0"/>
              <w:rPr>
                <w:rFonts w:hint="eastAsia" w:ascii="仿宋" w:hAnsi="仿宋" w:eastAsia="仿宋" w:cs="宋体"/>
                <w:spacing w:val="-1"/>
              </w:rPr>
            </w:pPr>
            <w:r>
              <w:rPr>
                <w:rFonts w:hint="eastAsia" w:ascii="仿宋" w:hAnsi="仿宋" w:eastAsia="仿宋" w:cs="宋体"/>
                <w:spacing w:val="-1"/>
              </w:rPr>
              <w:t>提供1名厂家的专业技术能力的驻场人员（</w:t>
            </w:r>
            <w:r>
              <w:rPr>
                <w:rFonts w:ascii="仿宋" w:hAnsi="仿宋" w:eastAsia="仿宋" w:cs="宋体"/>
                <w:spacing w:val="-1"/>
              </w:rPr>
              <w:t>2</w:t>
            </w:r>
            <w:r>
              <w:rPr>
                <w:rFonts w:hint="eastAsia" w:ascii="仿宋" w:hAnsi="仿宋" w:eastAsia="仿宋" w:cs="宋体"/>
                <w:spacing w:val="-1"/>
              </w:rPr>
              <w:t>分），增加1名加1分，最多加3分（需提供具备胜任该项目专业技术能力的证明材料例如专业技术职称、身份证明、合同、原厂缴纳社保等相关材料，不提供或资料提供不全不得分）</w:t>
            </w:r>
          </w:p>
        </w:tc>
      </w:tr>
      <w:tr w14:paraId="3295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24" w:type="dxa"/>
            <w:vAlign w:val="center"/>
          </w:tcPr>
          <w:p w14:paraId="79A1A797">
            <w:pPr>
              <w:pStyle w:val="54"/>
              <w:rPr>
                <w:rFonts w:hint="eastAsia" w:ascii="仿宋" w:hAnsi="仿宋" w:eastAsia="仿宋"/>
                <w:spacing w:val="-1"/>
                <w:sz w:val="24"/>
                <w:lang w:eastAsia="zh-CN"/>
              </w:rPr>
            </w:pPr>
          </w:p>
        </w:tc>
        <w:tc>
          <w:tcPr>
            <w:tcW w:w="1279" w:type="dxa"/>
            <w:vAlign w:val="center"/>
          </w:tcPr>
          <w:p w14:paraId="4E7EF68C">
            <w:pPr>
              <w:jc w:val="center"/>
              <w:textAlignment w:val="center"/>
              <w:rPr>
                <w:rFonts w:ascii="仿宋" w:hAnsi="仿宋" w:eastAsia="仿宋" w:cs="宋体"/>
                <w:spacing w:val="-1"/>
                <w:sz w:val="24"/>
              </w:rPr>
            </w:pPr>
            <w:r>
              <w:rPr>
                <w:rFonts w:hint="eastAsia" w:ascii="仿宋" w:hAnsi="仿宋" w:eastAsia="仿宋" w:cs="宋体"/>
                <w:spacing w:val="-1"/>
                <w:sz w:val="24"/>
              </w:rPr>
              <w:t>培训方案</w:t>
            </w:r>
          </w:p>
        </w:tc>
        <w:tc>
          <w:tcPr>
            <w:tcW w:w="888" w:type="dxa"/>
            <w:vAlign w:val="center"/>
          </w:tcPr>
          <w:p w14:paraId="36CF2FAA">
            <w:pPr>
              <w:jc w:val="center"/>
              <w:textAlignment w:val="center"/>
              <w:rPr>
                <w:rFonts w:ascii="仿宋" w:hAnsi="仿宋" w:eastAsia="仿宋" w:cs="宋体"/>
                <w:spacing w:val="-1"/>
                <w:sz w:val="24"/>
              </w:rPr>
            </w:pPr>
            <w:r>
              <w:rPr>
                <w:rFonts w:ascii="仿宋" w:hAnsi="仿宋" w:eastAsia="仿宋" w:cs="宋体"/>
                <w:spacing w:val="-1"/>
                <w:sz w:val="24"/>
              </w:rPr>
              <w:t>6</w:t>
            </w:r>
            <w:r>
              <w:rPr>
                <w:rFonts w:hint="eastAsia" w:ascii="仿宋" w:hAnsi="仿宋" w:eastAsia="仿宋" w:cs="宋体"/>
                <w:spacing w:val="-1"/>
                <w:sz w:val="24"/>
              </w:rPr>
              <w:t>分</w:t>
            </w:r>
          </w:p>
        </w:tc>
        <w:tc>
          <w:tcPr>
            <w:tcW w:w="5619" w:type="dxa"/>
            <w:vAlign w:val="center"/>
          </w:tcPr>
          <w:p w14:paraId="77CD5189">
            <w:pPr>
              <w:pStyle w:val="37"/>
              <w:spacing w:line="240" w:lineRule="auto"/>
              <w:ind w:firstLine="0" w:firstLineChars="0"/>
              <w:rPr>
                <w:rFonts w:ascii="仿宋" w:hAnsi="仿宋" w:eastAsia="仿宋" w:cs="宋体"/>
                <w:spacing w:val="-1"/>
              </w:rPr>
            </w:pPr>
            <w:r>
              <w:rPr>
                <w:rFonts w:hint="eastAsia" w:ascii="仿宋" w:hAnsi="仿宋" w:eastAsia="仿宋" w:cs="宋体"/>
                <w:spacing w:val="-1"/>
              </w:rPr>
              <w:t>提供详细的培训方案，方案中包括但不限于培训时间、培训地点、培训方式、培训时限、培训人员等相关内容，以及具体的培训计划等。方案是否符合该项目实际需求，由评标委员会进行评审，对于不符合项目实际需求的，不予给分。</w:t>
            </w:r>
          </w:p>
        </w:tc>
      </w:tr>
      <w:tr w14:paraId="27A4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24" w:type="dxa"/>
            <w:vAlign w:val="center"/>
          </w:tcPr>
          <w:p w14:paraId="7CE0BF01">
            <w:pPr>
              <w:pStyle w:val="54"/>
              <w:rPr>
                <w:rFonts w:hint="eastAsia" w:ascii="仿宋" w:hAnsi="仿宋" w:eastAsia="仿宋"/>
                <w:spacing w:val="-1"/>
                <w:sz w:val="24"/>
                <w:lang w:eastAsia="zh-CN"/>
              </w:rPr>
            </w:pPr>
          </w:p>
        </w:tc>
        <w:tc>
          <w:tcPr>
            <w:tcW w:w="1279" w:type="dxa"/>
            <w:vAlign w:val="center"/>
          </w:tcPr>
          <w:p w14:paraId="10F559E5">
            <w:pPr>
              <w:jc w:val="center"/>
              <w:textAlignment w:val="center"/>
              <w:rPr>
                <w:rFonts w:ascii="仿宋" w:hAnsi="仿宋" w:eastAsia="仿宋" w:cs="宋体"/>
                <w:spacing w:val="-1"/>
                <w:sz w:val="24"/>
              </w:rPr>
            </w:pPr>
            <w:r>
              <w:rPr>
                <w:rFonts w:hint="eastAsia" w:ascii="仿宋" w:hAnsi="仿宋" w:eastAsia="仿宋" w:cs="宋体"/>
                <w:spacing w:val="-1"/>
                <w:sz w:val="24"/>
              </w:rPr>
              <w:t>质保期</w:t>
            </w:r>
          </w:p>
        </w:tc>
        <w:tc>
          <w:tcPr>
            <w:tcW w:w="888" w:type="dxa"/>
            <w:vAlign w:val="center"/>
          </w:tcPr>
          <w:p w14:paraId="2752B4E6">
            <w:pPr>
              <w:jc w:val="center"/>
              <w:textAlignment w:val="center"/>
              <w:rPr>
                <w:rFonts w:ascii="仿宋" w:hAnsi="仿宋" w:eastAsia="仿宋" w:cs="宋体"/>
                <w:spacing w:val="-1"/>
                <w:sz w:val="24"/>
              </w:rPr>
            </w:pPr>
            <w:r>
              <w:rPr>
                <w:rFonts w:ascii="仿宋" w:hAnsi="仿宋" w:eastAsia="仿宋" w:cs="宋体"/>
                <w:spacing w:val="-1"/>
                <w:sz w:val="24"/>
              </w:rPr>
              <w:t>2</w:t>
            </w:r>
            <w:r>
              <w:rPr>
                <w:rFonts w:hint="eastAsia" w:ascii="仿宋" w:hAnsi="仿宋" w:eastAsia="仿宋" w:cs="宋体"/>
                <w:spacing w:val="-1"/>
                <w:sz w:val="24"/>
              </w:rPr>
              <w:t>分</w:t>
            </w:r>
          </w:p>
        </w:tc>
        <w:tc>
          <w:tcPr>
            <w:tcW w:w="5619" w:type="dxa"/>
            <w:vAlign w:val="center"/>
          </w:tcPr>
          <w:p w14:paraId="1B2BBAC2">
            <w:pPr>
              <w:pStyle w:val="37"/>
              <w:spacing w:line="240" w:lineRule="auto"/>
              <w:ind w:firstLine="0" w:firstLineChars="0"/>
              <w:rPr>
                <w:rFonts w:ascii="仿宋" w:hAnsi="仿宋" w:eastAsia="仿宋" w:cs="宋体"/>
                <w:spacing w:val="-1"/>
              </w:rPr>
            </w:pPr>
            <w:r>
              <w:rPr>
                <w:rFonts w:hint="eastAsia" w:ascii="仿宋" w:hAnsi="仿宋" w:eastAsia="仿宋" w:cs="宋体"/>
                <w:spacing w:val="-1"/>
              </w:rPr>
              <w:t>满足招标文件质保期</w:t>
            </w:r>
            <w:r>
              <w:rPr>
                <w:rFonts w:ascii="仿宋" w:hAnsi="仿宋" w:eastAsia="仿宋" w:cs="宋体"/>
                <w:spacing w:val="-1"/>
              </w:rPr>
              <w:t>1</w:t>
            </w:r>
            <w:r>
              <w:rPr>
                <w:rFonts w:hint="eastAsia" w:ascii="仿宋" w:hAnsi="仿宋" w:eastAsia="仿宋" w:cs="宋体"/>
                <w:spacing w:val="-1"/>
              </w:rPr>
              <w:t>分，增加1年加1分，最多加</w:t>
            </w:r>
            <w:r>
              <w:rPr>
                <w:rFonts w:ascii="仿宋" w:hAnsi="仿宋" w:eastAsia="仿宋" w:cs="宋体"/>
                <w:spacing w:val="-1"/>
              </w:rPr>
              <w:t>1</w:t>
            </w:r>
            <w:r>
              <w:rPr>
                <w:rFonts w:hint="eastAsia" w:ascii="仿宋" w:hAnsi="仿宋" w:eastAsia="仿宋" w:cs="宋体"/>
                <w:spacing w:val="-1"/>
              </w:rPr>
              <w:t>分；</w:t>
            </w:r>
          </w:p>
        </w:tc>
      </w:tr>
      <w:tr w14:paraId="20D4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24" w:type="dxa"/>
            <w:vAlign w:val="center"/>
          </w:tcPr>
          <w:p w14:paraId="2637E7E6">
            <w:pPr>
              <w:pStyle w:val="54"/>
              <w:rPr>
                <w:rFonts w:hint="eastAsia" w:ascii="仿宋" w:hAnsi="仿宋" w:eastAsia="仿宋"/>
                <w:spacing w:val="-1"/>
                <w:sz w:val="24"/>
                <w:lang w:eastAsia="zh-CN"/>
              </w:rPr>
            </w:pPr>
          </w:p>
        </w:tc>
        <w:tc>
          <w:tcPr>
            <w:tcW w:w="1279" w:type="dxa"/>
            <w:vAlign w:val="center"/>
          </w:tcPr>
          <w:p w14:paraId="45CDBBCB">
            <w:pPr>
              <w:jc w:val="center"/>
              <w:textAlignment w:val="center"/>
              <w:rPr>
                <w:rFonts w:ascii="仿宋" w:hAnsi="仿宋" w:eastAsia="仿宋" w:cs="宋体"/>
                <w:spacing w:val="-1"/>
                <w:sz w:val="24"/>
              </w:rPr>
            </w:pPr>
            <w:r>
              <w:rPr>
                <w:rFonts w:hint="eastAsia" w:ascii="仿宋" w:hAnsi="仿宋" w:eastAsia="仿宋" w:cs="宋体"/>
                <w:spacing w:val="-1"/>
                <w:sz w:val="24"/>
              </w:rPr>
              <w:t>售后服务</w:t>
            </w:r>
          </w:p>
        </w:tc>
        <w:tc>
          <w:tcPr>
            <w:tcW w:w="888" w:type="dxa"/>
            <w:vAlign w:val="center"/>
          </w:tcPr>
          <w:p w14:paraId="7ABC3C1F">
            <w:pPr>
              <w:jc w:val="center"/>
              <w:textAlignment w:val="center"/>
              <w:rPr>
                <w:rFonts w:ascii="仿宋" w:hAnsi="仿宋" w:eastAsia="仿宋" w:cs="宋体"/>
                <w:spacing w:val="-1"/>
                <w:sz w:val="24"/>
              </w:rPr>
            </w:pPr>
            <w:r>
              <w:rPr>
                <w:rFonts w:ascii="仿宋" w:hAnsi="仿宋" w:eastAsia="仿宋" w:cs="宋体"/>
                <w:spacing w:val="-1"/>
                <w:sz w:val="24"/>
              </w:rPr>
              <w:t>16</w:t>
            </w:r>
            <w:r>
              <w:rPr>
                <w:rFonts w:hint="eastAsia" w:ascii="仿宋" w:hAnsi="仿宋" w:eastAsia="仿宋" w:cs="宋体"/>
                <w:spacing w:val="-1"/>
                <w:sz w:val="24"/>
              </w:rPr>
              <w:t>分</w:t>
            </w:r>
          </w:p>
        </w:tc>
        <w:tc>
          <w:tcPr>
            <w:tcW w:w="5619" w:type="dxa"/>
            <w:vAlign w:val="center"/>
          </w:tcPr>
          <w:p w14:paraId="48E81DA2">
            <w:pPr>
              <w:pStyle w:val="37"/>
              <w:spacing w:line="240" w:lineRule="auto"/>
              <w:ind w:firstLine="0" w:firstLineChars="0"/>
              <w:rPr>
                <w:rFonts w:ascii="仿宋" w:hAnsi="仿宋" w:eastAsia="仿宋" w:cs="仿宋"/>
              </w:rPr>
            </w:pPr>
            <w:r>
              <w:rPr>
                <w:rFonts w:hint="eastAsia" w:ascii="仿宋" w:hAnsi="仿宋" w:eastAsia="仿宋" w:cs="仿宋"/>
              </w:rPr>
              <w:t>1、</w:t>
            </w:r>
            <w:r>
              <w:rPr>
                <w:rFonts w:hint="eastAsia" w:ascii="仿宋" w:hAnsi="仿宋" w:eastAsia="仿宋" w:cs="宋体"/>
                <w:spacing w:val="-1"/>
              </w:rPr>
              <w:t>免费为采购人培训1</w:t>
            </w:r>
            <w:r>
              <w:rPr>
                <w:rFonts w:ascii="仿宋" w:hAnsi="仿宋" w:eastAsia="仿宋" w:cs="宋体"/>
                <w:spacing w:val="-1"/>
              </w:rPr>
              <w:t>-2</w:t>
            </w:r>
            <w:r>
              <w:rPr>
                <w:rFonts w:hint="eastAsia" w:ascii="仿宋" w:hAnsi="仿宋" w:eastAsia="仿宋" w:cs="宋体"/>
                <w:spacing w:val="-1"/>
              </w:rPr>
              <w:t>名系统维护人员得</w:t>
            </w:r>
            <w:r>
              <w:rPr>
                <w:rFonts w:ascii="仿宋" w:hAnsi="仿宋" w:eastAsia="仿宋" w:cs="宋体"/>
                <w:spacing w:val="-1"/>
              </w:rPr>
              <w:t>2</w:t>
            </w:r>
            <w:r>
              <w:rPr>
                <w:rFonts w:hint="eastAsia" w:ascii="仿宋" w:hAnsi="仿宋" w:eastAsia="仿宋" w:cs="宋体"/>
                <w:spacing w:val="-1"/>
              </w:rPr>
              <w:t>分，增加1名加1分，最多加</w:t>
            </w:r>
            <w:r>
              <w:rPr>
                <w:rFonts w:ascii="仿宋" w:hAnsi="仿宋" w:eastAsia="仿宋" w:cs="宋体"/>
                <w:spacing w:val="-1"/>
              </w:rPr>
              <w:t>2</w:t>
            </w:r>
            <w:r>
              <w:rPr>
                <w:rFonts w:hint="eastAsia" w:ascii="仿宋" w:hAnsi="仿宋" w:eastAsia="仿宋" w:cs="宋体"/>
                <w:spacing w:val="-1"/>
              </w:rPr>
              <w:t>分（需提供承诺函，</w:t>
            </w:r>
            <w:r>
              <w:rPr>
                <w:rFonts w:hint="eastAsia" w:ascii="仿宋" w:hAnsi="仿宋" w:eastAsia="仿宋" w:cs="仿宋"/>
              </w:rPr>
              <w:t>不提供不得分</w:t>
            </w:r>
            <w:r>
              <w:rPr>
                <w:rFonts w:hint="eastAsia" w:ascii="仿宋" w:hAnsi="仿宋" w:eastAsia="仿宋" w:cs="宋体"/>
                <w:spacing w:val="-1"/>
              </w:rPr>
              <w:t>）；</w:t>
            </w:r>
          </w:p>
          <w:p w14:paraId="1FB1B2E6">
            <w:pPr>
              <w:pStyle w:val="37"/>
              <w:spacing w:line="240" w:lineRule="auto"/>
              <w:ind w:firstLine="0" w:firstLineChars="0"/>
              <w:rPr>
                <w:rFonts w:ascii="仿宋" w:hAnsi="仿宋" w:eastAsia="仿宋" w:cs="宋体"/>
                <w:spacing w:val="-1"/>
              </w:rPr>
            </w:pPr>
            <w:r>
              <w:rPr>
                <w:rFonts w:hint="eastAsia" w:ascii="仿宋" w:hAnsi="仿宋" w:eastAsia="仿宋" w:cs="仿宋"/>
              </w:rPr>
              <w:t>2、是否具备远程电话咨询支持，免费提供全天24小时的电话支持服务</w:t>
            </w:r>
            <w:r>
              <w:rPr>
                <w:rFonts w:hint="eastAsia" w:ascii="仿宋" w:hAnsi="仿宋" w:eastAsia="仿宋" w:cs="仿宋"/>
                <w:lang w:eastAsia="zh-CN"/>
              </w:rPr>
              <w:t>以及</w:t>
            </w:r>
            <w:r>
              <w:rPr>
                <w:rFonts w:hint="eastAsia" w:ascii="仿宋" w:hAnsi="仿宋" w:eastAsia="仿宋" w:cs="宋体"/>
                <w:spacing w:val="-1"/>
              </w:rPr>
              <w:t>具备</w:t>
            </w:r>
            <w:r>
              <w:rPr>
                <w:rFonts w:hint="eastAsia" w:ascii="仿宋" w:hAnsi="仿宋" w:eastAsia="仿宋" w:cs="仿宋"/>
              </w:rPr>
              <w:t>远程在线诊断和故障排服务（3分）</w:t>
            </w:r>
            <w:r>
              <w:rPr>
                <w:rFonts w:ascii="仿宋" w:hAnsi="仿宋" w:eastAsia="仿宋" w:cs="仿宋"/>
              </w:rPr>
              <w:t>(</w:t>
            </w:r>
            <w:r>
              <w:rPr>
                <w:rFonts w:hint="eastAsia" w:ascii="仿宋" w:hAnsi="仿宋" w:eastAsia="仿宋" w:cs="仿宋"/>
              </w:rPr>
              <w:t>需提供相应的证明材料，不提供不得分)；</w:t>
            </w:r>
          </w:p>
          <w:p w14:paraId="281DF50C">
            <w:pPr>
              <w:pStyle w:val="37"/>
              <w:spacing w:line="240" w:lineRule="auto"/>
              <w:ind w:firstLine="0" w:firstLineChars="0"/>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、遇紧急故障工作人员在得到通知后2小时内提供在线支持（1分），如不能远程解决，投标人工作人员在48小时内到达医院并设法排除故障（1分）；投标人工作人员在</w:t>
            </w:r>
            <w:r>
              <w:rPr>
                <w:rFonts w:ascii="仿宋" w:hAnsi="仿宋" w:eastAsia="仿宋" w:cs="仿宋"/>
              </w:rPr>
              <w:t>36</w:t>
            </w:r>
            <w:r>
              <w:rPr>
                <w:rFonts w:hint="eastAsia" w:ascii="仿宋" w:hAnsi="仿宋" w:eastAsia="仿宋" w:cs="仿宋"/>
              </w:rPr>
              <w:t>小时内到达医院并设法排除故障（</w:t>
            </w:r>
            <w:r>
              <w:rPr>
                <w:rFonts w:ascii="仿宋" w:hAnsi="仿宋" w:eastAsia="仿宋" w:cs="仿宋"/>
              </w:rPr>
              <w:t>2</w:t>
            </w:r>
            <w:r>
              <w:rPr>
                <w:rFonts w:hint="eastAsia" w:ascii="仿宋" w:hAnsi="仿宋" w:eastAsia="仿宋" w:cs="仿宋"/>
              </w:rPr>
              <w:t>分），投标人工作人员在</w:t>
            </w:r>
            <w:r>
              <w:rPr>
                <w:rFonts w:ascii="仿宋" w:hAnsi="仿宋" w:eastAsia="仿宋" w:cs="仿宋"/>
              </w:rPr>
              <w:t>24</w:t>
            </w:r>
            <w:r>
              <w:rPr>
                <w:rFonts w:hint="eastAsia" w:ascii="仿宋" w:hAnsi="仿宋" w:eastAsia="仿宋" w:cs="仿宋"/>
              </w:rPr>
              <w:t>小时内到达医院并设法排除故障（</w:t>
            </w:r>
            <w:r>
              <w:rPr>
                <w:rFonts w:ascii="仿宋" w:hAnsi="仿宋" w:eastAsia="仿宋" w:cs="仿宋"/>
              </w:rPr>
              <w:t>3</w:t>
            </w:r>
            <w:r>
              <w:rPr>
                <w:rFonts w:hint="eastAsia" w:ascii="仿宋" w:hAnsi="仿宋" w:eastAsia="仿宋" w:cs="仿宋"/>
              </w:rPr>
              <w:t>分）；</w:t>
            </w:r>
          </w:p>
          <w:p w14:paraId="29FFF5C5">
            <w:pPr>
              <w:pStyle w:val="37"/>
              <w:spacing w:line="240" w:lineRule="auto"/>
              <w:ind w:firstLine="0" w:firstLineChars="0"/>
              <w:rPr>
                <w:rFonts w:hint="eastAsia" w:ascii="仿宋" w:hAnsi="仿宋" w:eastAsia="PMingLiU" w:cs="宋体"/>
                <w:spacing w:val="-1"/>
                <w:lang w:eastAsia="zh-TW"/>
              </w:rPr>
            </w:pPr>
            <w:r>
              <w:rPr>
                <w:rFonts w:hint="eastAsia" w:ascii="仿宋" w:hAnsi="仿宋" w:eastAsia="仿宋" w:cs="仿宋"/>
                <w:lang w:val="en-US" w:eastAsia="zh-CN"/>
              </w:rPr>
              <w:t>4</w:t>
            </w:r>
            <w:r>
              <w:rPr>
                <w:rFonts w:hint="eastAsia" w:ascii="仿宋" w:hAnsi="仿宋" w:eastAsia="仿宋" w:cs="仿宋"/>
              </w:rPr>
              <w:t>、是否提供保密协议（2分）</w:t>
            </w:r>
            <w:r>
              <w:rPr>
                <w:rFonts w:ascii="仿宋" w:hAnsi="仿宋" w:eastAsia="仿宋" w:cs="仿宋"/>
              </w:rPr>
              <w:t>(</w:t>
            </w:r>
            <w:r>
              <w:rPr>
                <w:rFonts w:hint="eastAsia" w:ascii="仿宋" w:hAnsi="仿宋" w:eastAsia="仿宋" w:cs="仿宋"/>
              </w:rPr>
              <w:t>需提供相应的证明材料，不提供不得分)</w:t>
            </w:r>
          </w:p>
        </w:tc>
      </w:tr>
    </w:tbl>
    <w:p w14:paraId="7E223F91">
      <w:pPr>
        <w:spacing w:line="240" w:lineRule="atLeast"/>
        <w:jc w:val="center"/>
        <w:rPr>
          <w:rFonts w:eastAsia="方正小标宋简体"/>
          <w:sz w:val="28"/>
          <w:szCs w:val="28"/>
        </w:rPr>
      </w:pPr>
    </w:p>
    <w:p w14:paraId="3D48EBFA">
      <w:pPr>
        <w:pStyle w:val="2"/>
      </w:pPr>
    </w:p>
    <w:p w14:paraId="129F0649"/>
    <w:p w14:paraId="3012B5B6">
      <w:pPr>
        <w:pStyle w:val="2"/>
      </w:pPr>
    </w:p>
    <w:bookmarkEnd w:id="877"/>
    <w:bookmarkEnd w:id="878"/>
    <w:p w14:paraId="3D620867">
      <w:pPr>
        <w:rPr>
          <w:rFonts w:ascii="方正小标宋简体" w:hAnsi="方正小标宋简体" w:eastAsia="方正小标宋简体" w:cs="方正小标宋简体"/>
          <w:bCs/>
          <w:sz w:val="44"/>
          <w:szCs w:val="44"/>
        </w:rPr>
      </w:pPr>
    </w:p>
    <w:p w14:paraId="3CAAD684">
      <w:pPr>
        <w:pStyle w:val="13"/>
        <w:ind w:firstLine="440"/>
        <w:rPr>
          <w:rFonts w:ascii="方正小标宋简体" w:hAnsi="方正小标宋简体" w:eastAsia="方正小标宋简体" w:cs="方正小标宋简体"/>
          <w:bCs/>
          <w:sz w:val="44"/>
          <w:szCs w:val="44"/>
        </w:rPr>
      </w:pPr>
    </w:p>
    <w:p w14:paraId="49CFC952">
      <w:pPr>
        <w:rPr>
          <w:rFonts w:ascii="方正小标宋简体" w:hAnsi="方正小标宋简体" w:eastAsia="方正小标宋简体" w:cs="方正小标宋简体"/>
          <w:bCs/>
          <w:sz w:val="44"/>
          <w:szCs w:val="44"/>
        </w:rPr>
      </w:pPr>
    </w:p>
    <w:p w14:paraId="4D7D427B">
      <w:pPr>
        <w:pStyle w:val="13"/>
        <w:ind w:firstLine="240"/>
      </w:pPr>
    </w:p>
    <w:p w14:paraId="4B6504FC">
      <w:pPr>
        <w:jc w:val="center"/>
        <w:rPr>
          <w:rFonts w:hint="eastAsia" w:ascii="方正小标宋简体" w:hAnsi="方正小标宋简体" w:eastAsia="方正小标宋简体" w:cs="方正小标宋简体"/>
          <w:bCs/>
          <w:sz w:val="44"/>
          <w:szCs w:val="44"/>
        </w:rPr>
      </w:pPr>
    </w:p>
    <w:p w14:paraId="6B615CEA">
      <w:pPr>
        <w:jc w:val="center"/>
        <w:rPr>
          <w:rFonts w:hint="eastAsia" w:ascii="方正小标宋简体" w:hAnsi="方正小标宋简体" w:eastAsia="方正小标宋简体" w:cs="方正小标宋简体"/>
          <w:bCs/>
          <w:sz w:val="44"/>
          <w:szCs w:val="44"/>
        </w:rPr>
      </w:pPr>
    </w:p>
    <w:p w14:paraId="127CB0E1">
      <w:pPr>
        <w:jc w:val="center"/>
        <w:rPr>
          <w:rFonts w:hint="eastAsia" w:ascii="方正小标宋简体" w:hAnsi="方正小标宋简体" w:eastAsia="方正小标宋简体" w:cs="方正小标宋简体"/>
          <w:bCs/>
          <w:sz w:val="44"/>
          <w:szCs w:val="44"/>
        </w:rPr>
      </w:pPr>
    </w:p>
    <w:p w14:paraId="5A06CCDA">
      <w:pPr>
        <w:jc w:val="center"/>
        <w:rPr>
          <w:rFonts w:hint="eastAsia" w:ascii="方正小标宋简体" w:hAnsi="方正小标宋简体" w:eastAsia="方正小标宋简体" w:cs="方正小标宋简体"/>
          <w:bCs/>
          <w:sz w:val="44"/>
          <w:szCs w:val="44"/>
        </w:rPr>
      </w:pPr>
    </w:p>
    <w:p w14:paraId="30774FAB">
      <w:pPr>
        <w:jc w:val="center"/>
        <w:rPr>
          <w:rFonts w:hint="eastAsia" w:ascii="方正小标宋简体" w:hAnsi="方正小标宋简体" w:eastAsia="方正小标宋简体" w:cs="方正小标宋简体"/>
          <w:bCs/>
          <w:sz w:val="44"/>
          <w:szCs w:val="44"/>
        </w:rPr>
      </w:pPr>
    </w:p>
    <w:p w14:paraId="7CFE59A0">
      <w:pPr>
        <w:jc w:val="center"/>
        <w:rPr>
          <w:rFonts w:hint="eastAsia" w:ascii="方正小标宋简体" w:hAnsi="方正小标宋简体" w:eastAsia="方正小标宋简体" w:cs="方正小标宋简体"/>
          <w:bCs/>
          <w:sz w:val="44"/>
          <w:szCs w:val="44"/>
        </w:rPr>
      </w:pPr>
    </w:p>
    <w:p w14:paraId="4CF19BD0">
      <w:pPr>
        <w:jc w:val="center"/>
        <w:rPr>
          <w:rFonts w:hint="eastAsia" w:ascii="方正小标宋简体" w:hAnsi="方正小标宋简体" w:eastAsia="方正小标宋简体" w:cs="方正小标宋简体"/>
          <w:bCs/>
          <w:sz w:val="44"/>
          <w:szCs w:val="44"/>
        </w:rPr>
      </w:pPr>
    </w:p>
    <w:p w14:paraId="5BFC9BF7">
      <w:pPr>
        <w:ind w:firstLine="880" w:firstLineChars="200"/>
        <w:jc w:val="both"/>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莎车县人民医院信息化绩效核算平台</w:t>
      </w:r>
    </w:p>
    <w:p w14:paraId="796E68E5">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采购项目竞争性磋商文件</w:t>
      </w:r>
    </w:p>
    <w:p w14:paraId="194D20BD">
      <w:pPr>
        <w:pStyle w:val="2"/>
        <w:ind w:firstLine="0"/>
        <w:rPr>
          <w:rFonts w:ascii="微软雅黑" w:hAnsi="微软雅黑" w:eastAsia="微软雅黑" w:cs="微软雅黑"/>
          <w:bCs/>
          <w:sz w:val="48"/>
          <w:szCs w:val="48"/>
        </w:rPr>
      </w:pPr>
    </w:p>
    <w:p w14:paraId="32605305">
      <w:pPr>
        <w:rPr>
          <w:rFonts w:eastAsia="方正小标宋_GBK"/>
          <w:bCs/>
          <w:sz w:val="36"/>
          <w:szCs w:val="36"/>
        </w:rPr>
      </w:pPr>
    </w:p>
    <w:p w14:paraId="2E4F3229">
      <w:pPr>
        <w:spacing w:line="240" w:lineRule="atLeast"/>
        <w:ind w:left="1079" w:leftChars="257" w:hanging="540"/>
        <w:jc w:val="center"/>
        <w:rPr>
          <w:rFonts w:eastAsia="方正小标宋_GBK"/>
          <w:bCs/>
          <w:sz w:val="36"/>
          <w:szCs w:val="36"/>
        </w:rPr>
      </w:pPr>
      <w:r>
        <w:rPr>
          <w:rFonts w:eastAsia="方正小标宋_GBK"/>
          <w:bCs/>
          <w:sz w:val="36"/>
          <w:szCs w:val="36"/>
        </w:rPr>
        <w:t>项目编号：KSSCX（CS）2024-00</w:t>
      </w:r>
      <w:r>
        <w:rPr>
          <w:rFonts w:hint="eastAsia" w:eastAsia="方正小标宋_GBK"/>
          <w:bCs/>
          <w:sz w:val="36"/>
          <w:szCs w:val="36"/>
        </w:rPr>
        <w:t>4</w:t>
      </w:r>
      <w:r>
        <w:rPr>
          <w:rFonts w:eastAsia="方正小标宋_GBK"/>
          <w:bCs/>
          <w:sz w:val="36"/>
          <w:szCs w:val="36"/>
        </w:rPr>
        <w:t>号</w:t>
      </w:r>
    </w:p>
    <w:p w14:paraId="0BD3CCA2">
      <w:pPr>
        <w:spacing w:line="240" w:lineRule="atLeast"/>
        <w:ind w:left="1079" w:leftChars="257" w:hanging="540"/>
        <w:jc w:val="center"/>
        <w:rPr>
          <w:rFonts w:ascii="微软雅黑" w:hAnsi="微软雅黑" w:eastAsia="微软雅黑" w:cs="微软雅黑"/>
          <w:bCs/>
          <w:sz w:val="48"/>
          <w:szCs w:val="48"/>
        </w:rPr>
      </w:pPr>
    </w:p>
    <w:p w14:paraId="3EFD5B12">
      <w:pPr>
        <w:spacing w:line="240" w:lineRule="atLeast"/>
        <w:ind w:left="1079" w:leftChars="257" w:hanging="540"/>
        <w:jc w:val="center"/>
        <w:rPr>
          <w:rFonts w:ascii="微软雅黑" w:hAnsi="微软雅黑" w:eastAsia="微软雅黑" w:cs="微软雅黑"/>
          <w:bCs/>
          <w:sz w:val="48"/>
          <w:szCs w:val="48"/>
        </w:rPr>
      </w:pPr>
    </w:p>
    <w:p w14:paraId="5C3CD61E">
      <w:pPr>
        <w:pStyle w:val="10"/>
      </w:pPr>
    </w:p>
    <w:p w14:paraId="3F9BE189"/>
    <w:p w14:paraId="68680176">
      <w:pPr>
        <w:pStyle w:val="10"/>
      </w:pPr>
    </w:p>
    <w:p w14:paraId="7DDC3B8F">
      <w:pPr>
        <w:spacing w:line="240" w:lineRule="atLeast"/>
        <w:ind w:left="1079" w:leftChars="257" w:hanging="540"/>
        <w:jc w:val="center"/>
        <w:rPr>
          <w:rFonts w:ascii="微软雅黑" w:hAnsi="微软雅黑" w:eastAsia="微软雅黑" w:cs="微软雅黑"/>
          <w:color w:val="auto"/>
        </w:rPr>
        <w:sectPr>
          <w:headerReference r:id="rId15" w:type="default"/>
          <w:footerReference r:id="rId16" w:type="default"/>
          <w:pgSz w:w="11906" w:h="16838"/>
          <w:pgMar w:top="1984" w:right="1531" w:bottom="1701" w:left="1531" w:header="851" w:footer="992" w:gutter="0"/>
          <w:cols w:space="720" w:num="1"/>
          <w:docGrid w:type="linesAndChars" w:linePitch="312" w:charSpace="0"/>
        </w:sectPr>
      </w:pPr>
      <w:r>
        <w:rPr>
          <w:rFonts w:hint="eastAsia" w:ascii="方正小标宋_GBK" w:hAnsi="方正小标宋_GBK" w:eastAsia="方正小标宋_GBK" w:cs="方正小标宋_GBK"/>
          <w:bCs/>
          <w:sz w:val="44"/>
          <w:szCs w:val="44"/>
        </w:rPr>
        <w:t>第三册</w:t>
      </w:r>
    </w:p>
    <w:p w14:paraId="7F51ACA6">
      <w:pPr>
        <w:pStyle w:val="37"/>
        <w:ind w:firstLine="0" w:firstLineChars="0"/>
      </w:pPr>
      <w:r>
        <w:rPr>
          <w:rFonts w:hint="eastAsia" w:ascii="微软雅黑" w:hAnsi="微软雅黑" w:eastAsia="微软雅黑" w:cs="微软雅黑"/>
          <w:bCs/>
          <w:sz w:val="18"/>
          <w:szCs w:val="18"/>
        </w:rPr>
        <w:t>此合同模板仅供参考，具体以双方签订为准。</w:t>
      </w:r>
    </w:p>
    <w:bookmarkEnd w:id="879"/>
    <w:p w14:paraId="79608FE9">
      <w:pPr>
        <w:pStyle w:val="2"/>
        <w:rPr>
          <w:rFonts w:ascii="微软雅黑" w:hAnsi="微软雅黑" w:eastAsia="微软雅黑" w:cs="微软雅黑"/>
        </w:rPr>
      </w:pPr>
      <w:bookmarkStart w:id="885" w:name="_Toc5754"/>
      <w:bookmarkStart w:id="886" w:name="_Toc514"/>
    </w:p>
    <w:p w14:paraId="61A313DA">
      <w:pPr>
        <w:pStyle w:val="3"/>
        <w:tabs>
          <w:tab w:val="left" w:pos="0"/>
        </w:tabs>
        <w:spacing w:before="0" w:after="0" w:line="400" w:lineRule="exact"/>
        <w:rPr>
          <w:rFonts w:ascii="微软雅黑" w:hAnsi="微软雅黑" w:eastAsia="微软雅黑" w:cs="微软雅黑"/>
        </w:rPr>
      </w:pPr>
      <w:bookmarkStart w:id="887" w:name="_Toc11683"/>
    </w:p>
    <w:p w14:paraId="6B942427">
      <w:pPr>
        <w:pStyle w:val="3"/>
        <w:tabs>
          <w:tab w:val="left" w:pos="0"/>
        </w:tabs>
        <w:spacing w:before="0" w:after="0" w:line="400" w:lineRule="exact"/>
        <w:rPr>
          <w:rFonts w:ascii="微软雅黑" w:hAnsi="微软雅黑" w:eastAsia="微软雅黑" w:cs="微软雅黑"/>
        </w:rPr>
      </w:pPr>
    </w:p>
    <w:p w14:paraId="2169D034">
      <w:pPr>
        <w:pStyle w:val="3"/>
        <w:tabs>
          <w:tab w:val="left" w:pos="0"/>
        </w:tabs>
        <w:spacing w:before="0" w:after="0" w:line="400" w:lineRule="exact"/>
        <w:rPr>
          <w:rFonts w:ascii="微软雅黑" w:hAnsi="微软雅黑" w:eastAsia="微软雅黑" w:cs="微软雅黑"/>
        </w:rPr>
      </w:pPr>
      <w:r>
        <w:rPr>
          <w:rFonts w:hint="eastAsia" w:ascii="微软雅黑" w:hAnsi="微软雅黑" w:eastAsia="微软雅黑" w:cs="微软雅黑"/>
        </w:rPr>
        <w:t>第7章  政府采购合同</w:t>
      </w:r>
      <w:bookmarkEnd w:id="885"/>
      <w:bookmarkEnd w:id="886"/>
      <w:bookmarkEnd w:id="887"/>
    </w:p>
    <w:p w14:paraId="56C99147">
      <w:pPr>
        <w:rPr>
          <w:rFonts w:ascii="微软雅黑" w:hAnsi="微软雅黑" w:eastAsia="微软雅黑" w:cs="微软雅黑"/>
          <w:sz w:val="24"/>
        </w:rPr>
      </w:pPr>
      <w:r>
        <w:rPr>
          <w:rFonts w:hint="eastAsia" w:ascii="微软雅黑" w:hAnsi="微软雅黑" w:eastAsia="微软雅黑" w:cs="微软雅黑"/>
          <w:sz w:val="24"/>
        </w:rPr>
        <w:t xml:space="preserve">合同编号：           </w:t>
      </w:r>
    </w:p>
    <w:p w14:paraId="160FE763">
      <w:pPr>
        <w:rPr>
          <w:rFonts w:ascii="微软雅黑" w:hAnsi="微软雅黑" w:eastAsia="微软雅黑" w:cs="微软雅黑"/>
          <w:sz w:val="24"/>
        </w:rPr>
      </w:pPr>
    </w:p>
    <w:p w14:paraId="2BEADE3E">
      <w:pPr>
        <w:rPr>
          <w:rFonts w:ascii="微软雅黑" w:hAnsi="微软雅黑" w:eastAsia="微软雅黑" w:cs="微软雅黑"/>
          <w:sz w:val="24"/>
        </w:rPr>
      </w:pPr>
    </w:p>
    <w:p w14:paraId="27E834B3">
      <w:pPr>
        <w:rPr>
          <w:rFonts w:ascii="微软雅黑" w:hAnsi="微软雅黑" w:eastAsia="微软雅黑" w:cs="微软雅黑"/>
          <w:sz w:val="24"/>
        </w:rPr>
      </w:pPr>
    </w:p>
    <w:p w14:paraId="70742E3F">
      <w:pPr>
        <w:spacing w:line="34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政府采购合同参考范本</w:t>
      </w:r>
    </w:p>
    <w:p w14:paraId="2E571BB3">
      <w:pPr>
        <w:spacing w:line="3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（服务类）</w:t>
      </w:r>
    </w:p>
    <w:p w14:paraId="2F431EB9">
      <w:pPr>
        <w:pStyle w:val="61"/>
        <w:spacing w:line="340" w:lineRule="exact"/>
        <w:ind w:firstLine="0"/>
        <w:rPr>
          <w:rFonts w:ascii="仿宋_GB2312" w:hAnsi="仿宋_GB2312" w:eastAsia="仿宋_GB2312" w:cs="仿宋_GB2312"/>
          <w:szCs w:val="24"/>
        </w:rPr>
      </w:pPr>
    </w:p>
    <w:p w14:paraId="255AFDD5">
      <w:pPr>
        <w:pStyle w:val="61"/>
        <w:spacing w:line="340" w:lineRule="exact"/>
        <w:ind w:firstLine="0"/>
        <w:rPr>
          <w:rFonts w:ascii="仿宋_GB2312" w:hAnsi="仿宋_GB2312" w:eastAsia="仿宋_GB2312" w:cs="仿宋_GB2312"/>
          <w:szCs w:val="24"/>
        </w:rPr>
      </w:pPr>
    </w:p>
    <w:p w14:paraId="760B2551">
      <w:pPr>
        <w:pStyle w:val="61"/>
        <w:spacing w:line="340" w:lineRule="exact"/>
        <w:ind w:firstLine="0"/>
        <w:rPr>
          <w:rFonts w:ascii="仿宋_GB2312" w:hAnsi="仿宋_GB2312" w:eastAsia="仿宋_GB2312" w:cs="仿宋_GB2312"/>
          <w:szCs w:val="24"/>
        </w:rPr>
      </w:pPr>
    </w:p>
    <w:p w14:paraId="29E48CAA">
      <w:pPr>
        <w:pStyle w:val="61"/>
        <w:spacing w:line="340" w:lineRule="exact"/>
        <w:ind w:firstLine="0"/>
        <w:jc w:val="center"/>
        <w:rPr>
          <w:rFonts w:ascii="仿宋_GB2312" w:hAnsi="仿宋_GB2312" w:eastAsia="仿宋_GB2312" w:cs="仿宋_GB2312"/>
          <w:b/>
          <w:szCs w:val="24"/>
        </w:rPr>
      </w:pPr>
      <w:r>
        <w:rPr>
          <w:rFonts w:hint="eastAsia" w:ascii="仿宋_GB2312" w:hAnsi="仿宋_GB2312" w:eastAsia="仿宋_GB2312" w:cs="仿宋_GB2312"/>
          <w:b/>
          <w:szCs w:val="24"/>
        </w:rPr>
        <w:t>第一部分 合同书</w:t>
      </w:r>
    </w:p>
    <w:p w14:paraId="430BFF94">
      <w:pPr>
        <w:pStyle w:val="61"/>
        <w:spacing w:line="340" w:lineRule="exact"/>
        <w:ind w:firstLine="0"/>
        <w:rPr>
          <w:rFonts w:ascii="仿宋_GB2312" w:hAnsi="仿宋_GB2312" w:eastAsia="仿宋_GB2312" w:cs="仿宋_GB2312"/>
          <w:szCs w:val="24"/>
        </w:rPr>
      </w:pPr>
    </w:p>
    <w:p w14:paraId="33D0C257">
      <w:pPr>
        <w:pStyle w:val="61"/>
        <w:spacing w:line="340" w:lineRule="exact"/>
        <w:ind w:firstLine="0"/>
        <w:rPr>
          <w:rFonts w:ascii="仿宋_GB2312" w:hAnsi="仿宋_GB2312" w:eastAsia="仿宋_GB2312" w:cs="仿宋_GB2312"/>
          <w:szCs w:val="24"/>
        </w:rPr>
      </w:pPr>
    </w:p>
    <w:p w14:paraId="658B00F6">
      <w:pPr>
        <w:spacing w:before="120" w:line="340" w:lineRule="exact"/>
        <w:rPr>
          <w:rFonts w:ascii="仿宋_GB2312" w:hAnsi="仿宋_GB2312" w:eastAsia="仿宋_GB2312" w:cs="仿宋_GB2312"/>
          <w:sz w:val="24"/>
        </w:rPr>
      </w:pPr>
    </w:p>
    <w:p w14:paraId="70CBF26E">
      <w:pPr>
        <w:spacing w:before="120" w:line="340" w:lineRule="exact"/>
        <w:ind w:left="960"/>
        <w:rPr>
          <w:rFonts w:ascii="仿宋_GB2312" w:hAnsi="仿宋_GB2312" w:eastAsia="仿宋_GB2312" w:cs="仿宋_GB2312"/>
          <w:sz w:val="24"/>
        </w:rPr>
      </w:pPr>
      <w:r>
        <w:rPr>
          <w:rFonts w:hint="eastAsia" w:ascii="仿宋_GB2312" w:hAnsi="仿宋_GB2312" w:eastAsia="仿宋_GB2312" w:cs="仿宋_GB2312"/>
          <w:sz w:val="24"/>
        </w:rPr>
        <w:t>项目名称：</w:t>
      </w:r>
      <w:r>
        <w:rPr>
          <w:rFonts w:hint="eastAsia" w:ascii="仿宋_GB2312" w:hAnsi="仿宋_GB2312" w:eastAsia="仿宋_GB2312" w:cs="仿宋_GB2312"/>
          <w:sz w:val="24"/>
          <w:u w:val="single"/>
        </w:rPr>
        <w:t xml:space="preserve">                                   </w:t>
      </w:r>
    </w:p>
    <w:p w14:paraId="14E89D86">
      <w:pPr>
        <w:pStyle w:val="50"/>
        <w:spacing w:before="120" w:line="340" w:lineRule="exact"/>
        <w:rPr>
          <w:rFonts w:hAnsi="仿宋_GB2312" w:cs="仿宋_GB2312"/>
          <w:szCs w:val="24"/>
        </w:rPr>
      </w:pPr>
    </w:p>
    <w:p w14:paraId="4AADC09E">
      <w:pPr>
        <w:pStyle w:val="50"/>
        <w:spacing w:before="120" w:line="340" w:lineRule="exact"/>
        <w:rPr>
          <w:rFonts w:hAnsi="仿宋_GB2312" w:cs="仿宋_GB2312"/>
          <w:szCs w:val="24"/>
        </w:rPr>
      </w:pPr>
    </w:p>
    <w:p w14:paraId="25F19283">
      <w:pPr>
        <w:spacing w:line="340" w:lineRule="exact"/>
        <w:rPr>
          <w:rFonts w:ascii="仿宋_GB2312" w:hAnsi="仿宋_GB2312" w:eastAsia="仿宋_GB2312" w:cs="仿宋_GB2312"/>
          <w:sz w:val="24"/>
        </w:rPr>
      </w:pPr>
    </w:p>
    <w:p w14:paraId="7E84B801">
      <w:pPr>
        <w:spacing w:before="120" w:line="340" w:lineRule="exact"/>
        <w:ind w:left="960"/>
        <w:rPr>
          <w:rFonts w:ascii="仿宋_GB2312" w:hAnsi="仿宋_GB2312" w:eastAsia="仿宋_GB2312" w:cs="仿宋_GB2312"/>
          <w:sz w:val="24"/>
          <w:u w:val="single"/>
        </w:rPr>
      </w:pPr>
      <w:r>
        <w:rPr>
          <w:rFonts w:hint="eastAsia" w:ascii="仿宋_GB2312" w:hAnsi="仿宋_GB2312" w:eastAsia="仿宋_GB2312" w:cs="仿宋_GB2312"/>
          <w:sz w:val="24"/>
        </w:rPr>
        <w:t>甲方：</w:t>
      </w:r>
      <w:r>
        <w:rPr>
          <w:rFonts w:hint="eastAsia" w:ascii="仿宋_GB2312" w:hAnsi="仿宋_GB2312" w:eastAsia="仿宋_GB2312" w:cs="仿宋_GB2312"/>
          <w:sz w:val="24"/>
          <w:u w:val="single"/>
        </w:rPr>
        <w:t xml:space="preserve">                                       </w:t>
      </w:r>
    </w:p>
    <w:p w14:paraId="0E82FD2A">
      <w:pPr>
        <w:spacing w:before="120" w:line="340" w:lineRule="exact"/>
        <w:rPr>
          <w:rFonts w:ascii="仿宋_GB2312" w:hAnsi="仿宋_GB2312" w:eastAsia="仿宋_GB2312" w:cs="仿宋_GB2312"/>
          <w:sz w:val="24"/>
        </w:rPr>
      </w:pPr>
    </w:p>
    <w:p w14:paraId="393DC57E">
      <w:pPr>
        <w:spacing w:before="120" w:line="340" w:lineRule="exact"/>
        <w:ind w:left="960"/>
        <w:rPr>
          <w:rFonts w:ascii="仿宋_GB2312" w:hAnsi="仿宋_GB2312" w:eastAsia="仿宋_GB2312" w:cs="仿宋_GB2312"/>
          <w:sz w:val="24"/>
          <w:u w:val="single"/>
        </w:rPr>
      </w:pPr>
      <w:r>
        <w:rPr>
          <w:rFonts w:hint="eastAsia" w:ascii="仿宋_GB2312" w:hAnsi="仿宋_GB2312" w:eastAsia="仿宋_GB2312" w:cs="仿宋_GB2312"/>
          <w:sz w:val="24"/>
        </w:rPr>
        <w:t>乙方：</w:t>
      </w:r>
      <w:r>
        <w:rPr>
          <w:rFonts w:hint="eastAsia" w:ascii="仿宋_GB2312" w:hAnsi="仿宋_GB2312" w:eastAsia="仿宋_GB2312" w:cs="仿宋_GB2312"/>
          <w:sz w:val="24"/>
          <w:u w:val="single"/>
        </w:rPr>
        <w:t xml:space="preserve">                                       </w:t>
      </w:r>
    </w:p>
    <w:p w14:paraId="32F8FDF7">
      <w:pPr>
        <w:spacing w:before="120" w:line="340" w:lineRule="exact"/>
        <w:rPr>
          <w:rFonts w:ascii="仿宋_GB2312" w:hAnsi="仿宋_GB2312" w:eastAsia="仿宋_GB2312" w:cs="仿宋_GB2312"/>
          <w:sz w:val="24"/>
        </w:rPr>
      </w:pPr>
    </w:p>
    <w:p w14:paraId="026238B8">
      <w:pPr>
        <w:spacing w:before="120" w:line="340" w:lineRule="exact"/>
        <w:ind w:firstLine="960" w:firstLineChars="400"/>
        <w:rPr>
          <w:rFonts w:ascii="仿宋_GB2312" w:hAnsi="仿宋_GB2312" w:eastAsia="仿宋_GB2312" w:cs="仿宋_GB2312"/>
          <w:sz w:val="24"/>
          <w:u w:val="single"/>
        </w:rPr>
      </w:pPr>
      <w:r>
        <w:rPr>
          <w:rFonts w:hint="eastAsia" w:ascii="仿宋_GB2312" w:hAnsi="仿宋_GB2312" w:eastAsia="仿宋_GB2312" w:cs="仿宋_GB2312"/>
          <w:sz w:val="24"/>
        </w:rPr>
        <w:t>签订地：</w:t>
      </w:r>
      <w:r>
        <w:rPr>
          <w:rFonts w:hint="eastAsia" w:ascii="仿宋_GB2312" w:hAnsi="仿宋_GB2312" w:eastAsia="仿宋_GB2312" w:cs="仿宋_GB2312"/>
          <w:sz w:val="24"/>
          <w:u w:val="single"/>
        </w:rPr>
        <w:t xml:space="preserve">                                     </w:t>
      </w:r>
    </w:p>
    <w:p w14:paraId="0C8B2730">
      <w:pPr>
        <w:spacing w:before="120" w:line="340" w:lineRule="exact"/>
        <w:rPr>
          <w:rFonts w:ascii="仿宋_GB2312" w:hAnsi="仿宋_GB2312" w:eastAsia="仿宋_GB2312" w:cs="仿宋_GB2312"/>
          <w:sz w:val="24"/>
        </w:rPr>
      </w:pPr>
    </w:p>
    <w:p w14:paraId="27990BA2">
      <w:pPr>
        <w:spacing w:before="120" w:line="340" w:lineRule="exact"/>
        <w:ind w:firstLine="960" w:firstLineChars="400"/>
        <w:rPr>
          <w:rFonts w:ascii="仿宋_GB2312" w:hAnsi="仿宋_GB2312" w:eastAsia="仿宋_GB2312" w:cs="仿宋_GB2312"/>
          <w:sz w:val="24"/>
          <w:u w:val="single"/>
        </w:rPr>
      </w:pPr>
      <w:r>
        <w:rPr>
          <w:rFonts w:hint="eastAsia" w:ascii="仿宋_GB2312" w:hAnsi="仿宋_GB2312" w:eastAsia="仿宋_GB2312" w:cs="仿宋_GB2312"/>
          <w:sz w:val="24"/>
        </w:rPr>
        <w:t>签订日期：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1A3EEBAB">
      <w:pPr>
        <w:autoSpaceDE w:val="0"/>
        <w:autoSpaceDN w:val="0"/>
        <w:adjustRightInd w:val="0"/>
        <w:spacing w:line="340" w:lineRule="exact"/>
        <w:ind w:firstLine="640"/>
        <w:jc w:val="center"/>
        <w:rPr>
          <w:rFonts w:ascii="仿宋_GB2312" w:hAnsi="仿宋_GB2312" w:eastAsia="仿宋_GB2312" w:cs="仿宋_GB2312"/>
          <w:sz w:val="24"/>
        </w:rPr>
        <w:sectPr>
          <w:headerReference r:id="rId17" w:type="default"/>
          <w:footerReference r:id="rId18" w:type="default"/>
          <w:pgSz w:w="11907" w:h="16840"/>
          <w:pgMar w:top="1474" w:right="1361" w:bottom="1474" w:left="1361" w:header="851" w:footer="851" w:gutter="0"/>
          <w:cols w:space="720" w:num="1"/>
          <w:docGrid w:linePitch="462" w:charSpace="0"/>
        </w:sectPr>
      </w:pPr>
    </w:p>
    <w:p w14:paraId="537DAB52">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日</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（采购人名称）   </w:t>
      </w:r>
      <w:r>
        <w:rPr>
          <w:rFonts w:hint="eastAsia" w:ascii="仿宋_GB2312" w:hAnsi="仿宋_GB2312" w:eastAsia="仿宋_GB2312" w:cs="仿宋_GB2312"/>
          <w:sz w:val="24"/>
        </w:rPr>
        <w:t>以</w:t>
      </w:r>
      <w:r>
        <w:rPr>
          <w:rFonts w:hint="eastAsia" w:ascii="仿宋_GB2312" w:hAnsi="仿宋_GB2312" w:eastAsia="仿宋_GB2312" w:cs="仿宋_GB2312"/>
          <w:sz w:val="24"/>
          <w:u w:val="single"/>
        </w:rPr>
        <w:t xml:space="preserve">   （政府采购方式）  </w:t>
      </w:r>
      <w:r>
        <w:rPr>
          <w:rFonts w:hint="eastAsia" w:ascii="仿宋_GB2312" w:hAnsi="仿宋_GB2312" w:eastAsia="仿宋_GB2312" w:cs="仿宋_GB2312"/>
          <w:sz w:val="24"/>
        </w:rPr>
        <w:t>对</w:t>
      </w:r>
      <w:r>
        <w:rPr>
          <w:rFonts w:hint="eastAsia" w:ascii="仿宋_GB2312" w:hAnsi="仿宋_GB2312" w:eastAsia="仿宋_GB2312" w:cs="仿宋_GB2312"/>
          <w:sz w:val="24"/>
          <w:u w:val="single"/>
        </w:rPr>
        <w:t xml:space="preserve">   （同前页项目名称）   </w:t>
      </w:r>
      <w:r>
        <w:rPr>
          <w:rFonts w:hint="eastAsia" w:ascii="仿宋_GB2312" w:hAnsi="仿宋_GB2312" w:eastAsia="仿宋_GB2312" w:cs="仿宋_GB2312"/>
          <w:sz w:val="24"/>
        </w:rPr>
        <w:t>项目进行了采购。经</w:t>
      </w:r>
      <w:r>
        <w:rPr>
          <w:rFonts w:hint="eastAsia" w:ascii="仿宋_GB2312" w:hAnsi="仿宋_GB2312" w:eastAsia="仿宋_GB2312" w:cs="仿宋_GB2312"/>
          <w:sz w:val="24"/>
          <w:u w:val="single"/>
        </w:rPr>
        <w:t xml:space="preserve">   （相关评定主体名称）   </w:t>
      </w:r>
      <w:r>
        <w:rPr>
          <w:rFonts w:hint="eastAsia" w:ascii="仿宋_GB2312" w:hAnsi="仿宋_GB2312" w:eastAsia="仿宋_GB2312" w:cs="仿宋_GB2312"/>
          <w:sz w:val="24"/>
        </w:rPr>
        <w:t>评定，</w:t>
      </w:r>
      <w:r>
        <w:rPr>
          <w:rFonts w:hint="eastAsia" w:ascii="仿宋_GB2312" w:hAnsi="仿宋_GB2312" w:eastAsia="仿宋_GB2312" w:cs="仿宋_GB2312"/>
          <w:sz w:val="24"/>
          <w:u w:val="single"/>
        </w:rPr>
        <w:t xml:space="preserve">   （中标供应商名称） </w:t>
      </w:r>
      <w:r>
        <w:rPr>
          <w:rFonts w:hint="eastAsia" w:ascii="仿宋_GB2312" w:hAnsi="仿宋_GB2312" w:eastAsia="仿宋_GB2312" w:cs="仿宋_GB2312"/>
          <w:sz w:val="24"/>
        </w:rPr>
        <w:t>为该项目中标供应商。现于中标通知书发出之日起三十日内，按照采购文件确定的事项签订本合同。</w:t>
      </w:r>
    </w:p>
    <w:p w14:paraId="784F6D4B">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zh-CN"/>
        </w:rPr>
        <w:t>根据《中华人民共和国合同法》、《中华人民共和国政府采购法》等相关法律法规之规定，按照平等、自愿、公平和诚实信用的原则，经</w:t>
      </w:r>
      <w:r>
        <w:rPr>
          <w:rFonts w:hint="eastAsia" w:ascii="仿宋_GB2312" w:hAnsi="仿宋_GB2312" w:eastAsia="仿宋_GB2312" w:cs="仿宋_GB2312"/>
          <w:sz w:val="24"/>
          <w:u w:val="single"/>
        </w:rPr>
        <w:t xml:space="preserve">   （采购人名称）   </w:t>
      </w:r>
      <w:r>
        <w:rPr>
          <w:rFonts w:hint="eastAsia" w:ascii="仿宋_GB2312" w:hAnsi="仿宋_GB2312" w:eastAsia="仿宋_GB2312" w:cs="仿宋_GB2312"/>
          <w:sz w:val="24"/>
          <w:lang w:val="zh-CN"/>
        </w:rPr>
        <w:t>(以下简称：甲方)和</w:t>
      </w:r>
      <w:r>
        <w:rPr>
          <w:rFonts w:hint="eastAsia" w:ascii="仿宋_GB2312" w:hAnsi="仿宋_GB2312" w:eastAsia="仿宋_GB2312" w:cs="仿宋_GB2312"/>
          <w:sz w:val="24"/>
          <w:u w:val="single"/>
        </w:rPr>
        <w:t xml:space="preserve">   （中标供应商名称）   </w:t>
      </w:r>
      <w:r>
        <w:rPr>
          <w:rFonts w:hint="eastAsia" w:ascii="仿宋_GB2312" w:hAnsi="仿宋_GB2312" w:eastAsia="仿宋_GB2312" w:cs="仿宋_GB2312"/>
          <w:sz w:val="24"/>
          <w:lang w:val="zh-CN"/>
        </w:rPr>
        <w:t>(以下简称：乙方)协商一致，约定以下合同</w:t>
      </w:r>
      <w:r>
        <w:rPr>
          <w:rFonts w:hint="eastAsia" w:ascii="仿宋_GB2312" w:hAnsi="仿宋_GB2312" w:eastAsia="仿宋_GB2312" w:cs="仿宋_GB2312"/>
          <w:sz w:val="24"/>
        </w:rPr>
        <w:t>条款，以兹共同遵守、全面履行。</w:t>
      </w:r>
    </w:p>
    <w:p w14:paraId="537E28FB">
      <w:pPr>
        <w:spacing w:line="340" w:lineRule="exact"/>
        <w:ind w:firstLine="482" w:firstLineChars="200"/>
        <w:rPr>
          <w:rFonts w:ascii="仿宋_GB2312" w:hAnsi="仿宋_GB2312" w:eastAsia="仿宋_GB2312" w:cs="仿宋_GB2312"/>
          <w:sz w:val="24"/>
        </w:rPr>
      </w:pPr>
      <w:bookmarkStart w:id="888" w:name="_Toc20421"/>
      <w:bookmarkStart w:id="889" w:name="_Toc15367"/>
      <w:bookmarkStart w:id="890" w:name="_Toc28855"/>
      <w:bookmarkStart w:id="891" w:name="_Toc19273"/>
      <w:r>
        <w:rPr>
          <w:rFonts w:hint="eastAsia" w:ascii="仿宋_GB2312" w:hAnsi="仿宋_GB2312" w:eastAsia="仿宋_GB2312" w:cs="仿宋_GB2312"/>
          <w:b/>
          <w:sz w:val="24"/>
        </w:rPr>
        <w:t>1.1 合同组成部分</w:t>
      </w:r>
      <w:bookmarkEnd w:id="888"/>
      <w:bookmarkEnd w:id="889"/>
      <w:bookmarkEnd w:id="890"/>
      <w:bookmarkEnd w:id="891"/>
    </w:p>
    <w:p w14:paraId="70746A64">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67E4B05">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1.1.1 本合同及其补充合同、变更协议；</w:t>
      </w:r>
    </w:p>
    <w:p w14:paraId="0E9530C2">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 中标通知书；</w:t>
      </w:r>
    </w:p>
    <w:p w14:paraId="5872514A">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1.1.3 响应文件（含澄清或者说明文件）；</w:t>
      </w:r>
    </w:p>
    <w:p w14:paraId="6D8BA3F2">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1.1.4 磋商文件（含澄清或者修改文件）；</w:t>
      </w:r>
    </w:p>
    <w:p w14:paraId="1D701966">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1.1.5 其他相关采购文件。</w:t>
      </w:r>
    </w:p>
    <w:p w14:paraId="25DF553C">
      <w:pPr>
        <w:spacing w:line="340" w:lineRule="exact"/>
        <w:ind w:firstLine="482" w:firstLineChars="200"/>
        <w:rPr>
          <w:rFonts w:ascii="仿宋_GB2312" w:hAnsi="仿宋_GB2312" w:eastAsia="仿宋_GB2312" w:cs="仿宋_GB2312"/>
          <w:b/>
          <w:sz w:val="24"/>
        </w:rPr>
      </w:pPr>
      <w:bookmarkStart w:id="892" w:name="_Toc6773"/>
      <w:bookmarkStart w:id="893" w:name="_Toc22185"/>
      <w:bookmarkStart w:id="894" w:name="_Toc6311"/>
      <w:bookmarkStart w:id="895" w:name="_Toc2918"/>
      <w:bookmarkStart w:id="896" w:name="_Toc18585"/>
      <w:r>
        <w:rPr>
          <w:rFonts w:hint="eastAsia" w:ascii="仿宋_GB2312" w:hAnsi="仿宋_GB2312" w:eastAsia="仿宋_GB2312" w:cs="仿宋_GB2312"/>
          <w:b/>
          <w:sz w:val="24"/>
        </w:rPr>
        <w:t>1.2 标的</w:t>
      </w:r>
      <w:bookmarkEnd w:id="892"/>
      <w:bookmarkEnd w:id="893"/>
      <w:bookmarkEnd w:id="894"/>
      <w:bookmarkEnd w:id="895"/>
      <w:bookmarkEnd w:id="896"/>
    </w:p>
    <w:p w14:paraId="3926049B">
      <w:pPr>
        <w:spacing w:line="3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1.2.1 标的名称：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4240D83B">
      <w:pPr>
        <w:spacing w:line="3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1.2.2 标的数量：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5A64B5D7">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1.2.3 标的质量：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6DBBC41">
      <w:pPr>
        <w:spacing w:line="340" w:lineRule="exact"/>
        <w:ind w:firstLine="482" w:firstLineChars="200"/>
        <w:rPr>
          <w:rFonts w:ascii="仿宋_GB2312" w:hAnsi="仿宋_GB2312" w:eastAsia="仿宋_GB2312" w:cs="仿宋_GB2312"/>
          <w:b/>
          <w:sz w:val="24"/>
        </w:rPr>
      </w:pPr>
      <w:bookmarkStart w:id="897" w:name="_Toc13918"/>
      <w:bookmarkStart w:id="898" w:name="_Toc5635"/>
      <w:bookmarkStart w:id="899" w:name="_Toc4929"/>
      <w:bookmarkStart w:id="900" w:name="_Toc21124"/>
      <w:bookmarkStart w:id="901" w:name="_Toc1386"/>
      <w:r>
        <w:rPr>
          <w:rFonts w:hint="eastAsia" w:ascii="仿宋_GB2312" w:hAnsi="仿宋_GB2312" w:eastAsia="仿宋_GB2312" w:cs="仿宋_GB2312"/>
          <w:b/>
          <w:sz w:val="24"/>
        </w:rPr>
        <w:t>1.3 价款</w:t>
      </w:r>
      <w:bookmarkEnd w:id="897"/>
      <w:bookmarkEnd w:id="898"/>
      <w:bookmarkEnd w:id="899"/>
      <w:bookmarkEnd w:id="900"/>
      <w:bookmarkEnd w:id="901"/>
    </w:p>
    <w:p w14:paraId="406A059E">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本合同总价为：￥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w:t>
      </w:r>
    </w:p>
    <w:p w14:paraId="685871F3">
      <w:pPr>
        <w:spacing w:line="3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分项价格：</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05C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D06D8B">
            <w:pPr>
              <w:pStyle w:val="59"/>
              <w:spacing w:line="340" w:lineRule="exact"/>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序号</w:t>
            </w:r>
          </w:p>
        </w:tc>
        <w:tc>
          <w:tcPr>
            <w:tcW w:w="3402" w:type="dxa"/>
            <w:vAlign w:val="center"/>
          </w:tcPr>
          <w:p w14:paraId="0A5769AB">
            <w:pPr>
              <w:pStyle w:val="59"/>
              <w:spacing w:line="340" w:lineRule="exact"/>
              <w:ind w:firstLine="20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分项名称</w:t>
            </w:r>
          </w:p>
        </w:tc>
        <w:tc>
          <w:tcPr>
            <w:tcW w:w="2552" w:type="dxa"/>
            <w:vAlign w:val="center"/>
          </w:tcPr>
          <w:p w14:paraId="10B8CC26">
            <w:pPr>
              <w:pStyle w:val="59"/>
              <w:spacing w:line="340" w:lineRule="exact"/>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分项价格</w:t>
            </w:r>
          </w:p>
        </w:tc>
      </w:tr>
      <w:tr w14:paraId="0046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38600B">
            <w:pPr>
              <w:pStyle w:val="59"/>
              <w:spacing w:line="340" w:lineRule="exact"/>
              <w:ind w:firstLine="200"/>
              <w:jc w:val="center"/>
              <w:rPr>
                <w:rFonts w:ascii="仿宋_GB2312" w:hAnsi="仿宋_GB2312" w:eastAsia="仿宋_GB2312" w:cs="仿宋_GB2312"/>
                <w:kern w:val="2"/>
                <w:sz w:val="24"/>
                <w:szCs w:val="24"/>
              </w:rPr>
            </w:pPr>
          </w:p>
        </w:tc>
        <w:tc>
          <w:tcPr>
            <w:tcW w:w="3402" w:type="dxa"/>
            <w:vAlign w:val="center"/>
          </w:tcPr>
          <w:p w14:paraId="06B9E6FD">
            <w:pPr>
              <w:pStyle w:val="59"/>
              <w:spacing w:line="340" w:lineRule="exact"/>
              <w:ind w:firstLine="200"/>
              <w:jc w:val="center"/>
              <w:rPr>
                <w:rFonts w:ascii="仿宋_GB2312" w:hAnsi="仿宋_GB2312" w:eastAsia="仿宋_GB2312" w:cs="仿宋_GB2312"/>
                <w:kern w:val="2"/>
                <w:sz w:val="24"/>
                <w:szCs w:val="24"/>
              </w:rPr>
            </w:pPr>
          </w:p>
        </w:tc>
        <w:tc>
          <w:tcPr>
            <w:tcW w:w="2552" w:type="dxa"/>
            <w:vAlign w:val="center"/>
          </w:tcPr>
          <w:p w14:paraId="22A691BD">
            <w:pPr>
              <w:pStyle w:val="59"/>
              <w:spacing w:line="340" w:lineRule="exact"/>
              <w:ind w:firstLine="200"/>
              <w:jc w:val="center"/>
              <w:rPr>
                <w:rFonts w:ascii="仿宋_GB2312" w:hAnsi="仿宋_GB2312" w:eastAsia="仿宋_GB2312" w:cs="仿宋_GB2312"/>
                <w:kern w:val="2"/>
                <w:sz w:val="24"/>
                <w:szCs w:val="24"/>
              </w:rPr>
            </w:pPr>
          </w:p>
        </w:tc>
      </w:tr>
      <w:tr w14:paraId="7D17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5DCFAB">
            <w:pPr>
              <w:pStyle w:val="59"/>
              <w:spacing w:line="340" w:lineRule="exact"/>
              <w:ind w:firstLine="200"/>
              <w:jc w:val="center"/>
              <w:rPr>
                <w:rFonts w:ascii="仿宋_GB2312" w:hAnsi="仿宋_GB2312" w:eastAsia="仿宋_GB2312" w:cs="仿宋_GB2312"/>
                <w:kern w:val="2"/>
                <w:sz w:val="24"/>
                <w:szCs w:val="24"/>
              </w:rPr>
            </w:pPr>
          </w:p>
        </w:tc>
        <w:tc>
          <w:tcPr>
            <w:tcW w:w="3402" w:type="dxa"/>
            <w:vAlign w:val="center"/>
          </w:tcPr>
          <w:p w14:paraId="7E14B3B5">
            <w:pPr>
              <w:pStyle w:val="59"/>
              <w:spacing w:line="340" w:lineRule="exact"/>
              <w:ind w:firstLine="200"/>
              <w:jc w:val="center"/>
              <w:rPr>
                <w:rFonts w:ascii="仿宋_GB2312" w:hAnsi="仿宋_GB2312" w:eastAsia="仿宋_GB2312" w:cs="仿宋_GB2312"/>
                <w:kern w:val="2"/>
                <w:sz w:val="24"/>
                <w:szCs w:val="24"/>
              </w:rPr>
            </w:pPr>
          </w:p>
        </w:tc>
        <w:tc>
          <w:tcPr>
            <w:tcW w:w="2552" w:type="dxa"/>
            <w:vAlign w:val="center"/>
          </w:tcPr>
          <w:p w14:paraId="0E0B3D35">
            <w:pPr>
              <w:pStyle w:val="59"/>
              <w:spacing w:line="340" w:lineRule="exact"/>
              <w:ind w:firstLine="200"/>
              <w:jc w:val="center"/>
              <w:rPr>
                <w:rFonts w:ascii="仿宋_GB2312" w:hAnsi="仿宋_GB2312" w:eastAsia="仿宋_GB2312" w:cs="仿宋_GB2312"/>
                <w:kern w:val="2"/>
                <w:sz w:val="24"/>
                <w:szCs w:val="24"/>
              </w:rPr>
            </w:pPr>
          </w:p>
        </w:tc>
      </w:tr>
      <w:tr w14:paraId="3A5D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E2E239">
            <w:pPr>
              <w:pStyle w:val="59"/>
              <w:spacing w:line="340" w:lineRule="exact"/>
              <w:ind w:firstLine="200"/>
              <w:jc w:val="center"/>
              <w:rPr>
                <w:rFonts w:ascii="仿宋_GB2312" w:hAnsi="仿宋_GB2312" w:eastAsia="仿宋_GB2312" w:cs="仿宋_GB2312"/>
                <w:kern w:val="2"/>
                <w:sz w:val="24"/>
                <w:szCs w:val="24"/>
              </w:rPr>
            </w:pPr>
          </w:p>
        </w:tc>
        <w:tc>
          <w:tcPr>
            <w:tcW w:w="3402" w:type="dxa"/>
            <w:vAlign w:val="center"/>
          </w:tcPr>
          <w:p w14:paraId="5384DB95">
            <w:pPr>
              <w:pStyle w:val="59"/>
              <w:spacing w:line="340" w:lineRule="exact"/>
              <w:ind w:firstLine="200"/>
              <w:jc w:val="center"/>
              <w:rPr>
                <w:rFonts w:ascii="仿宋_GB2312" w:hAnsi="仿宋_GB2312" w:eastAsia="仿宋_GB2312" w:cs="仿宋_GB2312"/>
                <w:kern w:val="2"/>
                <w:sz w:val="24"/>
                <w:szCs w:val="24"/>
              </w:rPr>
            </w:pPr>
          </w:p>
        </w:tc>
        <w:tc>
          <w:tcPr>
            <w:tcW w:w="2552" w:type="dxa"/>
            <w:vAlign w:val="center"/>
          </w:tcPr>
          <w:p w14:paraId="07E844A0">
            <w:pPr>
              <w:pStyle w:val="59"/>
              <w:spacing w:line="340" w:lineRule="exact"/>
              <w:ind w:firstLine="200"/>
              <w:jc w:val="center"/>
              <w:rPr>
                <w:rFonts w:ascii="仿宋_GB2312" w:hAnsi="仿宋_GB2312" w:eastAsia="仿宋_GB2312" w:cs="仿宋_GB2312"/>
                <w:kern w:val="2"/>
                <w:sz w:val="24"/>
                <w:szCs w:val="24"/>
              </w:rPr>
            </w:pPr>
          </w:p>
        </w:tc>
      </w:tr>
      <w:tr w14:paraId="5C53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D06DA7">
            <w:pPr>
              <w:pStyle w:val="59"/>
              <w:spacing w:line="340" w:lineRule="exact"/>
              <w:ind w:firstLine="200"/>
              <w:jc w:val="center"/>
              <w:rPr>
                <w:rFonts w:ascii="仿宋_GB2312" w:hAnsi="仿宋_GB2312" w:eastAsia="仿宋_GB2312" w:cs="仿宋_GB2312"/>
                <w:kern w:val="2"/>
                <w:sz w:val="24"/>
                <w:szCs w:val="24"/>
              </w:rPr>
            </w:pPr>
          </w:p>
        </w:tc>
        <w:tc>
          <w:tcPr>
            <w:tcW w:w="3402" w:type="dxa"/>
            <w:vAlign w:val="center"/>
          </w:tcPr>
          <w:p w14:paraId="5B130B97">
            <w:pPr>
              <w:pStyle w:val="59"/>
              <w:spacing w:line="340" w:lineRule="exact"/>
              <w:ind w:firstLine="200"/>
              <w:jc w:val="center"/>
              <w:rPr>
                <w:rFonts w:ascii="仿宋_GB2312" w:hAnsi="仿宋_GB2312" w:eastAsia="仿宋_GB2312" w:cs="仿宋_GB2312"/>
                <w:kern w:val="2"/>
                <w:sz w:val="24"/>
                <w:szCs w:val="24"/>
              </w:rPr>
            </w:pPr>
          </w:p>
        </w:tc>
        <w:tc>
          <w:tcPr>
            <w:tcW w:w="2552" w:type="dxa"/>
            <w:vAlign w:val="center"/>
          </w:tcPr>
          <w:p w14:paraId="227EF893">
            <w:pPr>
              <w:pStyle w:val="59"/>
              <w:spacing w:line="340" w:lineRule="exact"/>
              <w:ind w:firstLine="200"/>
              <w:jc w:val="center"/>
              <w:rPr>
                <w:rFonts w:ascii="仿宋_GB2312" w:hAnsi="仿宋_GB2312" w:eastAsia="仿宋_GB2312" w:cs="仿宋_GB2312"/>
                <w:kern w:val="2"/>
                <w:sz w:val="24"/>
                <w:szCs w:val="24"/>
              </w:rPr>
            </w:pPr>
          </w:p>
        </w:tc>
      </w:tr>
      <w:tr w14:paraId="77F2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15B445">
            <w:pPr>
              <w:pStyle w:val="59"/>
              <w:spacing w:line="340" w:lineRule="exact"/>
              <w:ind w:firstLine="200"/>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总价</w:t>
            </w:r>
          </w:p>
        </w:tc>
        <w:tc>
          <w:tcPr>
            <w:tcW w:w="2552" w:type="dxa"/>
            <w:vAlign w:val="center"/>
          </w:tcPr>
          <w:p w14:paraId="5DD3D895">
            <w:pPr>
              <w:pStyle w:val="59"/>
              <w:spacing w:line="340" w:lineRule="exact"/>
              <w:ind w:firstLine="200"/>
              <w:jc w:val="center"/>
              <w:rPr>
                <w:rFonts w:ascii="仿宋_GB2312" w:hAnsi="仿宋_GB2312" w:eastAsia="仿宋_GB2312" w:cs="仿宋_GB2312"/>
                <w:kern w:val="2"/>
                <w:sz w:val="24"/>
                <w:szCs w:val="24"/>
              </w:rPr>
            </w:pPr>
          </w:p>
        </w:tc>
      </w:tr>
    </w:tbl>
    <w:p w14:paraId="53E49D59">
      <w:pPr>
        <w:spacing w:line="340" w:lineRule="exact"/>
        <w:ind w:firstLine="482" w:firstLineChars="200"/>
        <w:rPr>
          <w:rFonts w:ascii="仿宋_GB2312" w:hAnsi="仿宋_GB2312" w:eastAsia="仿宋_GB2312" w:cs="仿宋_GB2312"/>
          <w:b/>
          <w:sz w:val="24"/>
        </w:rPr>
      </w:pPr>
      <w:bookmarkStart w:id="902" w:name="_Toc30506"/>
      <w:bookmarkStart w:id="903" w:name="_Toc30158"/>
      <w:bookmarkStart w:id="904" w:name="_Toc14993"/>
      <w:bookmarkStart w:id="905" w:name="_Toc3654"/>
      <w:bookmarkStart w:id="906" w:name="_Toc26916"/>
      <w:r>
        <w:rPr>
          <w:rFonts w:hint="eastAsia" w:ascii="仿宋_GB2312" w:hAnsi="仿宋_GB2312" w:eastAsia="仿宋_GB2312" w:cs="仿宋_GB2312"/>
          <w:b/>
          <w:sz w:val="24"/>
        </w:rPr>
        <w:t>1.4 付款方式和发票开具方式</w:t>
      </w:r>
      <w:bookmarkEnd w:id="902"/>
      <w:bookmarkEnd w:id="903"/>
      <w:bookmarkEnd w:id="904"/>
      <w:bookmarkEnd w:id="905"/>
      <w:bookmarkEnd w:id="906"/>
    </w:p>
    <w:p w14:paraId="15C01ADA">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1.4.1付款方式：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63D79926">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1.4.2 发票开具方式：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1C3B7745">
      <w:pPr>
        <w:spacing w:line="340" w:lineRule="exact"/>
        <w:ind w:firstLine="482" w:firstLineChars="200"/>
        <w:rPr>
          <w:rFonts w:ascii="仿宋_GB2312" w:hAnsi="仿宋_GB2312" w:eastAsia="仿宋_GB2312" w:cs="仿宋_GB2312"/>
          <w:b/>
          <w:sz w:val="24"/>
        </w:rPr>
      </w:pPr>
      <w:bookmarkStart w:id="907" w:name="_Toc8772"/>
      <w:bookmarkStart w:id="908" w:name="_Toc11108"/>
      <w:bookmarkStart w:id="909" w:name="_Toc31421"/>
      <w:bookmarkStart w:id="910" w:name="_Toc4760"/>
      <w:bookmarkStart w:id="911" w:name="_Toc3625"/>
      <w:r>
        <w:rPr>
          <w:rFonts w:hint="eastAsia" w:ascii="仿宋_GB2312" w:hAnsi="仿宋_GB2312" w:eastAsia="仿宋_GB2312" w:cs="仿宋_GB2312"/>
          <w:b/>
          <w:sz w:val="24"/>
        </w:rPr>
        <w:t>1.5 履行期限、地点和方式</w:t>
      </w:r>
      <w:bookmarkEnd w:id="907"/>
      <w:bookmarkEnd w:id="908"/>
      <w:bookmarkEnd w:id="909"/>
      <w:bookmarkEnd w:id="910"/>
      <w:bookmarkEnd w:id="911"/>
    </w:p>
    <w:p w14:paraId="2A428C3F">
      <w:pPr>
        <w:spacing w:line="3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1.5.1 履行期限：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300A1573">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1.5.2 履行地点：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4351CC91">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1.5.3 履行方式：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8D7F9D1">
      <w:pPr>
        <w:spacing w:line="340" w:lineRule="exact"/>
        <w:ind w:firstLine="482" w:firstLineChars="200"/>
        <w:rPr>
          <w:rFonts w:ascii="仿宋_GB2312" w:hAnsi="仿宋_GB2312" w:eastAsia="仿宋_GB2312" w:cs="仿宋_GB2312"/>
          <w:sz w:val="24"/>
          <w:u w:val="single"/>
        </w:rPr>
      </w:pPr>
      <w:bookmarkStart w:id="912" w:name="_Toc3079"/>
      <w:bookmarkStart w:id="913" w:name="_Toc24662"/>
      <w:bookmarkStart w:id="914" w:name="_Toc8586"/>
      <w:bookmarkStart w:id="915" w:name="_Toc2375"/>
      <w:bookmarkStart w:id="916" w:name="_Toc5698"/>
      <w:r>
        <w:rPr>
          <w:rFonts w:hint="eastAsia" w:ascii="仿宋_GB2312" w:hAnsi="仿宋_GB2312" w:eastAsia="仿宋_GB2312" w:cs="仿宋_GB2312"/>
          <w:b/>
          <w:sz w:val="24"/>
        </w:rPr>
        <w:t>1.6 违约责任</w:t>
      </w:r>
      <w:bookmarkEnd w:id="912"/>
      <w:bookmarkEnd w:id="913"/>
      <w:bookmarkEnd w:id="914"/>
      <w:bookmarkEnd w:id="915"/>
      <w:bookmarkEnd w:id="916"/>
    </w:p>
    <w:p w14:paraId="26327B66">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1.6.1 除不可抗力外，如果乙方没有按照本合同约定的期限、地点和方式履行，那么甲方可要求乙方支付违约金，违约金按每迟延履行一日的应提供而未提供服务价格的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%计算，最高限额为本合同总价的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%；迟延履行的违约金计算数额达到前述最高限额之日起，甲方有权在要求乙方支付违约金的同时，书面通知乙方解除本合同；</w:t>
      </w:r>
    </w:p>
    <w:p w14:paraId="0E848116">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1.6.2 除不可抗力外，如果甲方没有按照本合同约定的付款方式付款，那么乙方可要求甲方支付违约金，违约金按每迟延付款一日的应付而未付款的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%计算，最高限额为本合同总价的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%；迟延付款的违约金计算数额达到前述最高限额之日起，乙方有权在要求甲方支付违约金的同时，书面通知甲方解除本合同；</w:t>
      </w:r>
    </w:p>
    <w:p w14:paraId="5C92B3D1">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F68F231">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6FB7CC1">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6CFBD1E">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14:paraId="27C43A4A">
      <w:pPr>
        <w:spacing w:line="340" w:lineRule="exact"/>
        <w:ind w:firstLine="482" w:firstLineChars="200"/>
        <w:rPr>
          <w:rFonts w:ascii="仿宋_GB2312" w:hAnsi="仿宋_GB2312" w:eastAsia="仿宋_GB2312" w:cs="仿宋_GB2312"/>
          <w:b/>
          <w:sz w:val="24"/>
        </w:rPr>
      </w:pPr>
      <w:bookmarkStart w:id="917" w:name="_Toc32454"/>
      <w:bookmarkStart w:id="918" w:name="_Toc18683"/>
      <w:bookmarkStart w:id="919" w:name="_Toc9497"/>
      <w:bookmarkStart w:id="920" w:name="_Toc26807"/>
      <w:bookmarkStart w:id="921" w:name="_Toc30329"/>
      <w:r>
        <w:rPr>
          <w:rFonts w:hint="eastAsia" w:ascii="仿宋_GB2312" w:hAnsi="仿宋_GB2312" w:eastAsia="仿宋_GB2312" w:cs="仿宋_GB2312"/>
          <w:b/>
          <w:sz w:val="24"/>
        </w:rPr>
        <w:t>1.7 合同争议的解决</w:t>
      </w:r>
      <w:bookmarkEnd w:id="917"/>
      <w:bookmarkEnd w:id="918"/>
      <w:bookmarkEnd w:id="919"/>
      <w:bookmarkEnd w:id="920"/>
      <w:bookmarkEnd w:id="921"/>
    </w:p>
    <w:p w14:paraId="1FC8439C">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本合同履行过程中发生的任何争议，双方当事人均可通过和解或者调解解决；不愿和解、调解或者和解、调解不成的，可以选择下列第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种方式解决：</w:t>
      </w:r>
    </w:p>
    <w:p w14:paraId="6035D538">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1.7.1 将争议提交</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仲裁委员会依申请仲裁时其现行有效的仲裁规则裁决；</w:t>
      </w:r>
    </w:p>
    <w:p w14:paraId="497B3D00">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1.7.2 向</w:t>
      </w:r>
      <w:r>
        <w:rPr>
          <w:rFonts w:hint="eastAsia" w:ascii="仿宋_GB2312" w:hAnsi="仿宋_GB2312" w:eastAsia="仿宋_GB2312" w:cs="仿宋_GB2312"/>
          <w:sz w:val="24"/>
          <w:u w:val="single"/>
        </w:rPr>
        <w:t xml:space="preserve">   （被告住所地、合同履行地、合同签订地、原告住所地、标的物所在地等与争议有实际联系的地点中选出的人民法院名称）    </w:t>
      </w:r>
      <w:r>
        <w:rPr>
          <w:rFonts w:hint="eastAsia" w:ascii="仿宋_GB2312" w:hAnsi="仿宋_GB2312" w:eastAsia="仿宋_GB2312" w:cs="仿宋_GB2312"/>
          <w:sz w:val="24"/>
        </w:rPr>
        <w:t>人民法院起诉。</w:t>
      </w:r>
    </w:p>
    <w:p w14:paraId="0F478AC2">
      <w:pPr>
        <w:spacing w:line="340" w:lineRule="exact"/>
        <w:ind w:firstLine="482" w:firstLineChars="200"/>
        <w:rPr>
          <w:rFonts w:ascii="仿宋_GB2312" w:hAnsi="仿宋_GB2312" w:eastAsia="仿宋_GB2312" w:cs="仿宋_GB2312"/>
          <w:b/>
          <w:sz w:val="24"/>
        </w:rPr>
      </w:pPr>
      <w:bookmarkStart w:id="922" w:name="_Toc23784"/>
      <w:bookmarkStart w:id="923" w:name="_Toc12273"/>
      <w:bookmarkStart w:id="924" w:name="_Toc26227"/>
      <w:bookmarkStart w:id="925" w:name="_Toc15827"/>
      <w:bookmarkStart w:id="926" w:name="_Toc16417"/>
      <w:r>
        <w:rPr>
          <w:rFonts w:hint="eastAsia" w:ascii="仿宋_GB2312" w:hAnsi="仿宋_GB2312" w:eastAsia="仿宋_GB2312" w:cs="仿宋_GB2312"/>
          <w:b/>
          <w:sz w:val="24"/>
        </w:rPr>
        <w:t>1.8 合同生效</w:t>
      </w:r>
      <w:bookmarkEnd w:id="922"/>
      <w:bookmarkEnd w:id="923"/>
      <w:bookmarkEnd w:id="924"/>
      <w:bookmarkEnd w:id="925"/>
      <w:bookmarkEnd w:id="926"/>
    </w:p>
    <w:p w14:paraId="5CD07425">
      <w:pPr>
        <w:spacing w:line="34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本合同自双方当事人盖章或者签字时生效。</w:t>
      </w:r>
    </w:p>
    <w:p w14:paraId="338241CD">
      <w:pPr>
        <w:autoSpaceDE w:val="0"/>
        <w:autoSpaceDN w:val="0"/>
        <w:adjustRightInd w:val="0"/>
        <w:spacing w:line="340" w:lineRule="exact"/>
        <w:rPr>
          <w:rFonts w:ascii="仿宋_GB2312" w:hAnsi="仿宋_GB2312" w:eastAsia="仿宋_GB2312" w:cs="仿宋_GB2312"/>
          <w:sz w:val="24"/>
          <w:lang w:val="zh-CN"/>
        </w:rPr>
      </w:pPr>
    </w:p>
    <w:p w14:paraId="16764DF1">
      <w:pPr>
        <w:autoSpaceDE w:val="0"/>
        <w:autoSpaceDN w:val="0"/>
        <w:adjustRightInd w:val="0"/>
        <w:spacing w:line="340" w:lineRule="exact"/>
        <w:rPr>
          <w:rFonts w:ascii="仿宋_GB2312" w:hAnsi="仿宋_GB2312" w:eastAsia="仿宋_GB2312" w:cs="仿宋_GB2312"/>
          <w:sz w:val="24"/>
          <w:lang w:val="zh-CN"/>
        </w:rPr>
      </w:pPr>
      <w:r>
        <w:rPr>
          <w:rFonts w:hint="eastAsia" w:ascii="仿宋_GB2312" w:hAnsi="仿宋_GB2312" w:eastAsia="仿宋_GB2312" w:cs="仿宋_GB2312"/>
          <w:b/>
          <w:sz w:val="24"/>
          <w:lang w:val="zh-CN"/>
        </w:rPr>
        <w:t>甲方</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b/>
          <w:sz w:val="24"/>
          <w:lang w:val="zh-CN"/>
        </w:rPr>
        <w:t xml:space="preserve">      乙方</w:t>
      </w:r>
      <w:r>
        <w:rPr>
          <w:rFonts w:hint="eastAsia" w:ascii="仿宋_GB2312" w:hAnsi="仿宋_GB2312" w:eastAsia="仿宋_GB2312" w:cs="仿宋_GB2312"/>
          <w:sz w:val="24"/>
          <w:lang w:val="zh-CN"/>
        </w:rPr>
        <w:t>：</w:t>
      </w:r>
    </w:p>
    <w:p w14:paraId="3824E0D7">
      <w:pPr>
        <w:autoSpaceDE w:val="0"/>
        <w:autoSpaceDN w:val="0"/>
        <w:adjustRightInd w:val="0"/>
        <w:spacing w:line="34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统一社会信用代码：                        统一社会信用代码或身份证号码：</w:t>
      </w:r>
    </w:p>
    <w:p w14:paraId="058C4F08">
      <w:pPr>
        <w:autoSpaceDE w:val="0"/>
        <w:autoSpaceDN w:val="0"/>
        <w:adjustRightInd w:val="0"/>
        <w:spacing w:line="340" w:lineRule="exact"/>
        <w:rPr>
          <w:rFonts w:ascii="仿宋_GB2312" w:hAnsi="仿宋_GB2312" w:eastAsia="仿宋_GB2312" w:cs="仿宋_GB2312"/>
          <w:sz w:val="24"/>
          <w:lang w:val="zh-CN"/>
        </w:rPr>
      </w:pPr>
    </w:p>
    <w:p w14:paraId="3946F957">
      <w:pPr>
        <w:autoSpaceDE w:val="0"/>
        <w:autoSpaceDN w:val="0"/>
        <w:adjustRightInd w:val="0"/>
        <w:spacing w:line="34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住所：                                   住所：</w:t>
      </w:r>
    </w:p>
    <w:p w14:paraId="087DF2C2">
      <w:pPr>
        <w:autoSpaceDE w:val="0"/>
        <w:autoSpaceDN w:val="0"/>
        <w:adjustRightInd w:val="0"/>
        <w:spacing w:line="34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法定代表人或                             法定代表人</w:t>
      </w:r>
    </w:p>
    <w:p w14:paraId="09F74525">
      <w:pPr>
        <w:autoSpaceDE w:val="0"/>
        <w:autoSpaceDN w:val="0"/>
        <w:adjustRightInd w:val="0"/>
        <w:spacing w:line="34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授权代表（签字）：                        或授权代表（签字）: </w:t>
      </w:r>
    </w:p>
    <w:p w14:paraId="6B82E00D">
      <w:pPr>
        <w:autoSpaceDE w:val="0"/>
        <w:autoSpaceDN w:val="0"/>
        <w:adjustRightInd w:val="0"/>
        <w:spacing w:line="34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联系人：                                 联系人：</w:t>
      </w:r>
    </w:p>
    <w:p w14:paraId="672881CF">
      <w:pPr>
        <w:autoSpaceDE w:val="0"/>
        <w:autoSpaceDN w:val="0"/>
        <w:adjustRightInd w:val="0"/>
        <w:spacing w:line="34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约定送达地址：                           约定送达地址：</w:t>
      </w:r>
    </w:p>
    <w:p w14:paraId="7BF5990F">
      <w:pPr>
        <w:autoSpaceDE w:val="0"/>
        <w:autoSpaceDN w:val="0"/>
        <w:adjustRightInd w:val="0"/>
        <w:spacing w:line="34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邮政编码：                               邮政编码：</w:t>
      </w:r>
    </w:p>
    <w:p w14:paraId="69392450">
      <w:pPr>
        <w:autoSpaceDE w:val="0"/>
        <w:autoSpaceDN w:val="0"/>
        <w:adjustRightInd w:val="0"/>
        <w:spacing w:line="34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电话:                                    电话: </w:t>
      </w:r>
    </w:p>
    <w:p w14:paraId="65D13A39">
      <w:pPr>
        <w:autoSpaceDE w:val="0"/>
        <w:autoSpaceDN w:val="0"/>
        <w:adjustRightInd w:val="0"/>
        <w:spacing w:line="34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传真:                                    传真:</w:t>
      </w:r>
    </w:p>
    <w:p w14:paraId="5A16F329">
      <w:pPr>
        <w:autoSpaceDE w:val="0"/>
        <w:autoSpaceDN w:val="0"/>
        <w:adjustRightInd w:val="0"/>
        <w:spacing w:line="340" w:lineRule="exact"/>
        <w:rPr>
          <w:rFonts w:ascii="仿宋_GB2312" w:hAnsi="仿宋_GB2312" w:eastAsia="仿宋_GB2312" w:cs="仿宋_GB2312"/>
          <w:sz w:val="24"/>
        </w:rPr>
      </w:pPr>
      <w:r>
        <w:rPr>
          <w:rFonts w:hint="eastAsia" w:ascii="仿宋_GB2312" w:hAnsi="仿宋_GB2312" w:eastAsia="仿宋_GB2312" w:cs="仿宋_GB2312"/>
          <w:sz w:val="24"/>
          <w:lang w:val="zh-CN"/>
        </w:rPr>
        <w:t>电子邮箱：                               电子邮箱：</w:t>
      </w:r>
    </w:p>
    <w:p w14:paraId="46A3675E">
      <w:pPr>
        <w:autoSpaceDE w:val="0"/>
        <w:autoSpaceDN w:val="0"/>
        <w:adjustRightInd w:val="0"/>
        <w:spacing w:line="340" w:lineRule="exact"/>
        <w:rPr>
          <w:rFonts w:ascii="仿宋_GB2312" w:hAnsi="仿宋_GB2312" w:eastAsia="仿宋_GB2312" w:cs="仿宋_GB2312"/>
          <w:sz w:val="24"/>
        </w:rPr>
      </w:pPr>
      <w:r>
        <w:rPr>
          <w:rFonts w:hint="eastAsia" w:ascii="仿宋_GB2312" w:hAnsi="仿宋_GB2312" w:eastAsia="仿宋_GB2312" w:cs="仿宋_GB2312"/>
          <w:sz w:val="24"/>
        </w:rPr>
        <w:t xml:space="preserve">开户银行：                               开户银行： </w:t>
      </w:r>
    </w:p>
    <w:p w14:paraId="32E4483C">
      <w:pPr>
        <w:autoSpaceDE w:val="0"/>
        <w:autoSpaceDN w:val="0"/>
        <w:adjustRightInd w:val="0"/>
        <w:spacing w:line="340" w:lineRule="exact"/>
        <w:rPr>
          <w:rFonts w:ascii="仿宋_GB2312" w:hAnsi="仿宋_GB2312" w:eastAsia="仿宋_GB2312" w:cs="仿宋_GB2312"/>
          <w:sz w:val="24"/>
        </w:rPr>
      </w:pPr>
      <w:r>
        <w:rPr>
          <w:rFonts w:hint="eastAsia" w:ascii="仿宋_GB2312" w:hAnsi="仿宋_GB2312" w:eastAsia="仿宋_GB2312" w:cs="仿宋_GB2312"/>
          <w:sz w:val="24"/>
        </w:rPr>
        <w:t xml:space="preserve">开户名称：                               开户名称： </w:t>
      </w:r>
    </w:p>
    <w:p w14:paraId="71D0ED49">
      <w:pPr>
        <w:autoSpaceDE w:val="0"/>
        <w:autoSpaceDN w:val="0"/>
        <w:adjustRightInd w:val="0"/>
        <w:spacing w:line="340" w:lineRule="exact"/>
        <w:rPr>
          <w:rFonts w:ascii="仿宋_GB2312" w:hAnsi="仿宋_GB2312" w:eastAsia="仿宋_GB2312" w:cs="仿宋_GB2312"/>
          <w:sz w:val="24"/>
        </w:rPr>
      </w:pPr>
      <w:r>
        <w:rPr>
          <w:rFonts w:hint="eastAsia" w:ascii="仿宋_GB2312" w:hAnsi="仿宋_GB2312" w:eastAsia="仿宋_GB2312" w:cs="仿宋_GB2312"/>
          <w:sz w:val="24"/>
        </w:rPr>
        <w:t>开户账号：</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开户账号：</w:t>
      </w:r>
    </w:p>
    <w:p w14:paraId="1C9DB952">
      <w:pPr>
        <w:widowControl/>
        <w:spacing w:line="340" w:lineRule="exact"/>
        <w:jc w:val="left"/>
        <w:rPr>
          <w:rFonts w:ascii="仿宋_GB2312" w:hAnsi="仿宋_GB2312" w:eastAsia="仿宋_GB2312" w:cs="仿宋_GB2312"/>
          <w:b/>
          <w:sz w:val="24"/>
        </w:rPr>
      </w:pPr>
      <w:bookmarkStart w:id="927" w:name="_Toc331685783"/>
    </w:p>
    <w:p w14:paraId="040FE01C">
      <w:pPr>
        <w:widowControl/>
        <w:spacing w:line="340" w:lineRule="exact"/>
        <w:jc w:val="left"/>
        <w:rPr>
          <w:rFonts w:ascii="仿宋_GB2312" w:hAnsi="仿宋_GB2312" w:eastAsia="仿宋_GB2312" w:cs="仿宋_GB2312"/>
          <w:b/>
          <w:sz w:val="24"/>
        </w:rPr>
      </w:pPr>
    </w:p>
    <w:p w14:paraId="2264EEF0">
      <w:pPr>
        <w:pStyle w:val="61"/>
        <w:spacing w:line="340" w:lineRule="exact"/>
        <w:ind w:firstLine="200"/>
        <w:jc w:val="center"/>
        <w:rPr>
          <w:rFonts w:ascii="仿宋_GB2312" w:hAnsi="仿宋_GB2312" w:eastAsia="仿宋_GB2312" w:cs="仿宋_GB2312"/>
          <w:b/>
          <w:szCs w:val="24"/>
        </w:rPr>
      </w:pPr>
      <w:r>
        <w:rPr>
          <w:rFonts w:hint="eastAsia" w:ascii="仿宋_GB2312" w:hAnsi="仿宋_GB2312" w:eastAsia="仿宋_GB2312" w:cs="仿宋_GB2312"/>
          <w:b/>
          <w:szCs w:val="24"/>
        </w:rPr>
        <w:t>第二部分 合同一般条款</w:t>
      </w:r>
      <w:bookmarkEnd w:id="927"/>
    </w:p>
    <w:p w14:paraId="381640CC">
      <w:pPr>
        <w:spacing w:line="340" w:lineRule="exact"/>
        <w:ind w:firstLine="482" w:firstLineChars="200"/>
        <w:rPr>
          <w:rFonts w:ascii="仿宋_GB2312" w:hAnsi="仿宋_GB2312" w:eastAsia="仿宋_GB2312" w:cs="仿宋_GB2312"/>
          <w:b/>
          <w:sz w:val="24"/>
        </w:rPr>
      </w:pPr>
      <w:bookmarkStart w:id="928" w:name="_Ref467379225"/>
      <w:bookmarkStart w:id="929" w:name="_Ref467379109"/>
      <w:bookmarkStart w:id="930" w:name="_Ref467379214"/>
      <w:bookmarkStart w:id="931" w:name="_Ref467379205"/>
      <w:bookmarkStart w:id="932" w:name="_Ref467379094"/>
      <w:bookmarkStart w:id="933" w:name="_Toc5228"/>
      <w:bookmarkStart w:id="934" w:name="_Toc487900349"/>
      <w:bookmarkStart w:id="935" w:name="_Ref467378463"/>
      <w:bookmarkStart w:id="936" w:name="_Toc25079"/>
      <w:bookmarkStart w:id="937" w:name="_Toc31297"/>
      <w:bookmarkStart w:id="938" w:name="_Toc14021"/>
      <w:bookmarkStart w:id="939" w:name="_Toc279701240"/>
      <w:bookmarkStart w:id="940" w:name="_Ref467378499"/>
      <w:bookmarkStart w:id="941" w:name="_Ref467379101"/>
      <w:bookmarkStart w:id="942" w:name="_Ref467379195"/>
      <w:bookmarkStart w:id="943" w:name="_Ref467378404"/>
      <w:bookmarkStart w:id="944" w:name="_Toc259093669"/>
      <w:bookmarkStart w:id="945" w:name="_Toc19680"/>
      <w:r>
        <w:rPr>
          <w:rFonts w:hint="eastAsia" w:ascii="仿宋_GB2312" w:hAnsi="仿宋_GB2312" w:eastAsia="仿宋_GB2312" w:cs="仿宋_GB2312"/>
          <w:b/>
          <w:sz w:val="24"/>
        </w:rPr>
        <w:t>2.1 定义</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1098CE43">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本合同中的下列词语应按以下内容进行解释：</w:t>
      </w:r>
    </w:p>
    <w:p w14:paraId="4FCE1B78">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2.1.1 “合同”系指采购人和中标供应商签订的载明双方当事人所达成的协议，并包括所有的附件、附录和构成合同的其他文件。</w:t>
      </w:r>
    </w:p>
    <w:p w14:paraId="2A2E1B6E">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2.1.2 “合同价”系指根据合同约定，中标供应商在完全履行合同义务后，采购人应支付给中标供应商的价格。</w:t>
      </w:r>
    </w:p>
    <w:p w14:paraId="301FCC56">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2.1.3 “服务”系指中标供应商根据合同约定应向采购人履行的除货物和工程以外的其他政府采购对象，包括采购人自身需要的服务和向社会公众提供的公共服务。</w:t>
      </w:r>
    </w:p>
    <w:p w14:paraId="5EB62313">
      <w:pPr>
        <w:spacing w:line="340" w:lineRule="exact"/>
        <w:ind w:firstLine="480" w:firstLineChars="200"/>
        <w:rPr>
          <w:rFonts w:ascii="仿宋_GB2312" w:hAnsi="仿宋_GB2312" w:eastAsia="仿宋_GB2312" w:cs="仿宋_GB2312"/>
          <w:sz w:val="24"/>
        </w:rPr>
      </w:pPr>
      <w:bookmarkStart w:id="946" w:name="_Ref467378840"/>
      <w:r>
        <w:rPr>
          <w:rFonts w:hint="eastAsia" w:ascii="仿宋_GB2312" w:hAnsi="仿宋_GB2312" w:eastAsia="仿宋_GB2312" w:cs="仿宋_GB2312"/>
          <w:sz w:val="24"/>
        </w:rPr>
        <w:t>2.1.4 “甲方”系指与中标供应商签署合同的采购人</w:t>
      </w:r>
      <w:bookmarkEnd w:id="946"/>
      <w:r>
        <w:rPr>
          <w:rFonts w:hint="eastAsia" w:ascii="仿宋_GB2312" w:hAnsi="仿宋_GB2312" w:eastAsia="仿宋_GB2312" w:cs="仿宋_GB2312"/>
          <w:sz w:val="24"/>
        </w:rPr>
        <w:t>；采购人委托采购代理机构代表其与乙方签订合同的，采购人的授权委托书作为合同附件。</w:t>
      </w:r>
    </w:p>
    <w:p w14:paraId="355033E8">
      <w:pPr>
        <w:spacing w:line="340" w:lineRule="exact"/>
        <w:ind w:firstLine="480" w:firstLineChars="200"/>
        <w:rPr>
          <w:rFonts w:ascii="仿宋_GB2312" w:hAnsi="仿宋_GB2312" w:eastAsia="仿宋_GB2312" w:cs="仿宋_GB2312"/>
          <w:sz w:val="24"/>
        </w:rPr>
      </w:pPr>
      <w:bookmarkStart w:id="947" w:name="_Ref467379400"/>
      <w:r>
        <w:rPr>
          <w:rFonts w:hint="eastAsia" w:ascii="仿宋_GB2312" w:hAnsi="仿宋_GB2312" w:eastAsia="仿宋_GB2312" w:cs="仿宋_GB2312"/>
          <w:sz w:val="24"/>
        </w:rPr>
        <w:t>2.1.5 “乙方”系指根据合同约定提供服务的中标供应商</w:t>
      </w:r>
      <w:bookmarkEnd w:id="947"/>
      <w:r>
        <w:rPr>
          <w:rFonts w:hint="eastAsia" w:ascii="仿宋_GB2312" w:hAnsi="仿宋_GB2312" w:eastAsia="仿宋_GB2312" w:cs="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EE36EE5">
      <w:pPr>
        <w:spacing w:line="340" w:lineRule="exact"/>
        <w:ind w:firstLine="480" w:firstLineChars="200"/>
        <w:rPr>
          <w:rFonts w:ascii="仿宋_GB2312" w:hAnsi="仿宋_GB2312" w:eastAsia="仿宋_GB2312" w:cs="仿宋_GB2312"/>
          <w:sz w:val="24"/>
        </w:rPr>
      </w:pPr>
      <w:bookmarkStart w:id="948" w:name="_Ref467379436"/>
      <w:r>
        <w:rPr>
          <w:rFonts w:hint="eastAsia" w:ascii="仿宋_GB2312" w:hAnsi="仿宋_GB2312" w:eastAsia="仿宋_GB2312" w:cs="仿宋_GB2312"/>
          <w:sz w:val="24"/>
        </w:rPr>
        <w:t>2.1.6 “现场”系指合同约定提供服务的地点。</w:t>
      </w:r>
      <w:bookmarkEnd w:id="948"/>
    </w:p>
    <w:p w14:paraId="0FF251E0">
      <w:pPr>
        <w:spacing w:line="340" w:lineRule="exact"/>
        <w:ind w:firstLine="482" w:firstLineChars="200"/>
        <w:rPr>
          <w:rFonts w:ascii="仿宋_GB2312" w:hAnsi="仿宋_GB2312" w:eastAsia="仿宋_GB2312" w:cs="仿宋_GB2312"/>
          <w:b/>
          <w:sz w:val="24"/>
        </w:rPr>
      </w:pPr>
      <w:bookmarkStart w:id="949" w:name="_Toc16752"/>
      <w:bookmarkStart w:id="950" w:name="_Toc279701241"/>
      <w:bookmarkStart w:id="951" w:name="_Toc19539"/>
      <w:bookmarkStart w:id="952" w:name="_Toc487900350"/>
      <w:bookmarkStart w:id="953" w:name="_Toc3769"/>
      <w:bookmarkStart w:id="954" w:name="_Toc259093670"/>
      <w:bookmarkStart w:id="955" w:name="_Toc31402"/>
      <w:bookmarkStart w:id="956" w:name="_Toc23289"/>
      <w:r>
        <w:rPr>
          <w:rFonts w:hint="eastAsia" w:ascii="仿宋_GB2312" w:hAnsi="仿宋_GB2312" w:eastAsia="仿宋_GB2312" w:cs="仿宋_GB2312"/>
          <w:b/>
          <w:sz w:val="24"/>
        </w:rPr>
        <w:t>2.2 技术规范</w:t>
      </w:r>
      <w:bookmarkEnd w:id="949"/>
      <w:bookmarkEnd w:id="950"/>
      <w:bookmarkEnd w:id="951"/>
      <w:bookmarkEnd w:id="952"/>
      <w:bookmarkEnd w:id="953"/>
      <w:bookmarkEnd w:id="954"/>
      <w:bookmarkEnd w:id="955"/>
      <w:bookmarkEnd w:id="956"/>
    </w:p>
    <w:p w14:paraId="18343956">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F80B513">
      <w:pPr>
        <w:spacing w:line="340" w:lineRule="exact"/>
        <w:ind w:firstLine="482" w:firstLineChars="200"/>
        <w:rPr>
          <w:rFonts w:ascii="仿宋_GB2312" w:hAnsi="仿宋_GB2312" w:eastAsia="仿宋_GB2312" w:cs="仿宋_GB2312"/>
          <w:b/>
          <w:sz w:val="24"/>
        </w:rPr>
      </w:pPr>
      <w:bookmarkStart w:id="957" w:name="_Toc259093671"/>
      <w:bookmarkStart w:id="958" w:name="_Toc9161"/>
      <w:bookmarkStart w:id="959" w:name="_Toc12412"/>
      <w:bookmarkStart w:id="960" w:name="_Toc27945"/>
      <w:bookmarkStart w:id="961" w:name="_Toc279701242"/>
      <w:bookmarkStart w:id="962" w:name="_Toc487900351"/>
      <w:bookmarkStart w:id="963" w:name="_Toc13673"/>
      <w:bookmarkStart w:id="964" w:name="_Toc4133"/>
      <w:r>
        <w:rPr>
          <w:rFonts w:hint="eastAsia" w:ascii="仿宋_GB2312" w:hAnsi="仿宋_GB2312" w:eastAsia="仿宋_GB2312" w:cs="仿宋_GB2312"/>
          <w:b/>
          <w:sz w:val="24"/>
        </w:rPr>
        <w:t>2.3 知识产权</w:t>
      </w:r>
      <w:bookmarkEnd w:id="957"/>
      <w:bookmarkEnd w:id="958"/>
      <w:bookmarkEnd w:id="959"/>
      <w:bookmarkEnd w:id="960"/>
      <w:bookmarkEnd w:id="961"/>
      <w:bookmarkEnd w:id="962"/>
      <w:bookmarkEnd w:id="963"/>
      <w:bookmarkEnd w:id="964"/>
    </w:p>
    <w:p w14:paraId="7BBDBB79">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B4B5CB2">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2.3.2 合同涉及技术成果的归属和收益的分成办法的，详见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039730E4">
      <w:pPr>
        <w:spacing w:line="3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2.4 履约检查和问题反馈</w:t>
      </w:r>
    </w:p>
    <w:p w14:paraId="6839AA26">
      <w:pPr>
        <w:spacing w:line="340" w:lineRule="exact"/>
        <w:ind w:firstLine="480" w:firstLineChars="200"/>
        <w:rPr>
          <w:rFonts w:ascii="仿宋_GB2312" w:hAnsi="仿宋_GB2312" w:eastAsia="仿宋_GB2312" w:cs="仿宋_GB2312"/>
          <w:sz w:val="24"/>
        </w:rPr>
      </w:pPr>
      <w:bookmarkStart w:id="965" w:name="_Ref467379657"/>
      <w:r>
        <w:rPr>
          <w:rFonts w:hint="eastAsia" w:ascii="仿宋_GB2312" w:hAnsi="仿宋_GB2312" w:eastAsia="仿宋_GB2312" w:cs="仿宋_GB2312"/>
          <w:sz w:val="24"/>
        </w:rPr>
        <w:t>2.4.1</w:t>
      </w:r>
      <w:bookmarkEnd w:id="965"/>
      <w:bookmarkStart w:id="966" w:name="_Toc186431854"/>
      <w:bookmarkStart w:id="967" w:name="_Ref467379793"/>
      <w:bookmarkStart w:id="968" w:name="_Toc487900357"/>
      <w:bookmarkStart w:id="969" w:name="_Toc259093676"/>
      <w:bookmarkStart w:id="970" w:name="_Toc279701247"/>
      <w:bookmarkStart w:id="971" w:name="_Ref467379807"/>
      <w:r>
        <w:rPr>
          <w:rFonts w:hint="eastAsia" w:ascii="仿宋_GB2312" w:hAnsi="仿宋_GB2312" w:eastAsia="仿宋_GB2312" w:cs="仿宋_GB2312"/>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615995F9">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2.4.2 合同履行期间，甲方有权将履行过程中出现的问题反馈给乙方，双方当事人应以书面形式约定需要完善和改进的内容</w:t>
      </w:r>
      <w:bookmarkEnd w:id="966"/>
      <w:bookmarkStart w:id="972" w:name="_Toc186431855"/>
      <w:r>
        <w:rPr>
          <w:rFonts w:hint="eastAsia" w:ascii="仿宋_GB2312" w:hAnsi="仿宋_GB2312" w:eastAsia="仿宋_GB2312" w:cs="仿宋_GB2312"/>
          <w:sz w:val="24"/>
        </w:rPr>
        <w:t>。</w:t>
      </w:r>
    </w:p>
    <w:bookmarkEnd w:id="972"/>
    <w:p w14:paraId="04160443">
      <w:pPr>
        <w:spacing w:line="340" w:lineRule="exact"/>
        <w:ind w:firstLine="482" w:firstLineChars="200"/>
        <w:rPr>
          <w:rFonts w:ascii="仿宋_GB2312" w:hAnsi="仿宋_GB2312" w:eastAsia="仿宋_GB2312" w:cs="仿宋_GB2312"/>
          <w:b/>
          <w:sz w:val="24"/>
        </w:rPr>
      </w:pPr>
      <w:bookmarkStart w:id="973" w:name="_Toc31233"/>
      <w:bookmarkStart w:id="974" w:name="_Toc22011"/>
      <w:bookmarkStart w:id="975" w:name="_Toc15447"/>
      <w:bookmarkStart w:id="976" w:name="_Toc32670"/>
      <w:bookmarkStart w:id="977" w:name="_Toc26555"/>
      <w:r>
        <w:rPr>
          <w:rFonts w:hint="eastAsia" w:ascii="仿宋_GB2312" w:hAnsi="仿宋_GB2312" w:eastAsia="仿宋_GB2312" w:cs="仿宋_GB2312"/>
          <w:b/>
          <w:sz w:val="24"/>
        </w:rPr>
        <w:t>2.5 结算方式和付款条件</w:t>
      </w:r>
      <w:bookmarkEnd w:id="967"/>
      <w:bookmarkEnd w:id="968"/>
      <w:bookmarkEnd w:id="969"/>
      <w:bookmarkEnd w:id="970"/>
      <w:bookmarkEnd w:id="971"/>
      <w:bookmarkEnd w:id="973"/>
      <w:bookmarkEnd w:id="974"/>
      <w:bookmarkEnd w:id="975"/>
      <w:bookmarkEnd w:id="976"/>
      <w:bookmarkEnd w:id="977"/>
    </w:p>
    <w:p w14:paraId="2A599E16">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39FBB34F">
      <w:pPr>
        <w:spacing w:line="340" w:lineRule="exact"/>
        <w:ind w:firstLine="482" w:firstLineChars="200"/>
        <w:rPr>
          <w:rFonts w:ascii="仿宋_GB2312" w:hAnsi="仿宋_GB2312" w:eastAsia="仿宋_GB2312" w:cs="仿宋_GB2312"/>
          <w:b/>
          <w:sz w:val="24"/>
        </w:rPr>
      </w:pPr>
      <w:bookmarkStart w:id="978" w:name="_Ref467379923"/>
      <w:bookmarkStart w:id="979" w:name="_Toc259093677"/>
      <w:bookmarkStart w:id="980" w:name="_Ref467379863"/>
      <w:bookmarkStart w:id="981" w:name="_Toc279701248"/>
      <w:bookmarkStart w:id="982" w:name="_Toc487900358"/>
      <w:bookmarkStart w:id="983" w:name="_Ref467379852"/>
      <w:bookmarkStart w:id="984" w:name="_Toc30507"/>
      <w:bookmarkStart w:id="985" w:name="_Toc18990"/>
      <w:bookmarkStart w:id="986" w:name="_Toc13154"/>
      <w:bookmarkStart w:id="987" w:name="_Toc16163"/>
      <w:r>
        <w:rPr>
          <w:rFonts w:hint="eastAsia" w:ascii="仿宋_GB2312" w:hAnsi="仿宋_GB2312" w:eastAsia="仿宋_GB2312" w:cs="仿宋_GB2312"/>
          <w:b/>
          <w:sz w:val="24"/>
        </w:rPr>
        <w:t>2.6 技术资料</w:t>
      </w:r>
      <w:bookmarkEnd w:id="978"/>
      <w:bookmarkEnd w:id="979"/>
      <w:bookmarkEnd w:id="980"/>
      <w:bookmarkEnd w:id="981"/>
      <w:bookmarkEnd w:id="982"/>
      <w:bookmarkEnd w:id="983"/>
      <w:r>
        <w:rPr>
          <w:rFonts w:hint="eastAsia" w:ascii="仿宋_GB2312" w:hAnsi="仿宋_GB2312" w:eastAsia="仿宋_GB2312" w:cs="仿宋_GB2312"/>
          <w:b/>
          <w:sz w:val="24"/>
        </w:rPr>
        <w:t>和保密义务</w:t>
      </w:r>
      <w:bookmarkEnd w:id="984"/>
      <w:bookmarkEnd w:id="985"/>
      <w:bookmarkEnd w:id="986"/>
      <w:bookmarkEnd w:id="987"/>
    </w:p>
    <w:p w14:paraId="428D67D0">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2.6.1 乙方有权依据合同约定和项目需要，向甲方了解有关情况，调阅有关资料等，甲方应予积极配合；</w:t>
      </w:r>
    </w:p>
    <w:p w14:paraId="677D320D">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2.6.2 乙方有义务妥善保管和保护由甲方提供的前款信息和资料等；</w:t>
      </w:r>
    </w:p>
    <w:p w14:paraId="2032F71E">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572CE61">
      <w:pPr>
        <w:spacing w:line="340" w:lineRule="exact"/>
        <w:ind w:firstLine="482" w:firstLineChars="200"/>
        <w:rPr>
          <w:rFonts w:ascii="仿宋_GB2312" w:hAnsi="仿宋_GB2312" w:eastAsia="仿宋_GB2312" w:cs="仿宋_GB2312"/>
          <w:b/>
          <w:sz w:val="24"/>
        </w:rPr>
      </w:pPr>
      <w:bookmarkStart w:id="988" w:name="_Toc19069"/>
      <w:bookmarkStart w:id="989" w:name="_Toc259093681"/>
      <w:bookmarkStart w:id="990" w:name="_Toc279701252"/>
      <w:bookmarkStart w:id="991" w:name="_Toc487900362"/>
      <w:r>
        <w:rPr>
          <w:rFonts w:hint="eastAsia" w:ascii="仿宋_GB2312" w:hAnsi="仿宋_GB2312" w:eastAsia="仿宋_GB2312" w:cs="仿宋_GB2312"/>
          <w:b/>
          <w:sz w:val="24"/>
        </w:rPr>
        <w:t>2.7 质量保证</w:t>
      </w:r>
      <w:bookmarkEnd w:id="988"/>
    </w:p>
    <w:p w14:paraId="52F84B1F">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2.7.1 乙方应建立和完善履行合同的内部质量保证体系，并提供相关内部规章制度给甲方，以便甲方进行监督检查；</w:t>
      </w:r>
    </w:p>
    <w:p w14:paraId="7854702A">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2.7.2 乙方应保证履行合同的人员数量和素质、软件和硬件设备的配置、场地、环境和设施等满足全面履行合同的要求，并应接受甲方的监督检查。</w:t>
      </w:r>
    </w:p>
    <w:p w14:paraId="5258A6FF">
      <w:pPr>
        <w:spacing w:line="340" w:lineRule="exact"/>
        <w:ind w:firstLine="482" w:firstLineChars="200"/>
        <w:rPr>
          <w:rFonts w:ascii="仿宋_GB2312" w:hAnsi="仿宋_GB2312" w:eastAsia="仿宋_GB2312" w:cs="仿宋_GB2312"/>
          <w:b/>
          <w:sz w:val="24"/>
        </w:rPr>
      </w:pPr>
      <w:bookmarkStart w:id="992" w:name="_Toc22267"/>
      <w:r>
        <w:rPr>
          <w:rFonts w:hint="eastAsia" w:ascii="仿宋_GB2312" w:hAnsi="仿宋_GB2312" w:eastAsia="仿宋_GB2312" w:cs="仿宋_GB2312"/>
          <w:b/>
          <w:sz w:val="24"/>
        </w:rPr>
        <w:t>2.8 延迟</w:t>
      </w:r>
      <w:bookmarkEnd w:id="989"/>
      <w:bookmarkEnd w:id="990"/>
      <w:bookmarkEnd w:id="991"/>
      <w:r>
        <w:rPr>
          <w:rFonts w:hint="eastAsia" w:ascii="仿宋_GB2312" w:hAnsi="仿宋_GB2312" w:eastAsia="仿宋_GB2312" w:cs="仿宋_GB2312"/>
          <w:b/>
          <w:sz w:val="24"/>
        </w:rPr>
        <w:t>履行</w:t>
      </w:r>
      <w:bookmarkEnd w:id="992"/>
    </w:p>
    <w:p w14:paraId="1438FC08">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C881AFF">
      <w:pPr>
        <w:spacing w:line="340" w:lineRule="exact"/>
        <w:ind w:firstLine="482" w:firstLineChars="200"/>
        <w:rPr>
          <w:rFonts w:ascii="仿宋_GB2312" w:hAnsi="仿宋_GB2312" w:eastAsia="仿宋_GB2312" w:cs="仿宋_GB2312"/>
          <w:b/>
          <w:sz w:val="24"/>
        </w:rPr>
      </w:pPr>
      <w:bookmarkStart w:id="993" w:name="_Toc10611"/>
      <w:bookmarkStart w:id="994" w:name="_Toc279701254"/>
      <w:bookmarkStart w:id="995" w:name="_Toc487900364"/>
      <w:bookmarkStart w:id="996" w:name="_Ref467378121"/>
      <w:bookmarkStart w:id="997" w:name="_Toc259093683"/>
      <w:r>
        <w:rPr>
          <w:rFonts w:hint="eastAsia" w:ascii="仿宋_GB2312" w:hAnsi="仿宋_GB2312" w:eastAsia="仿宋_GB2312" w:cs="仿宋_GB2312"/>
          <w:b/>
          <w:sz w:val="24"/>
        </w:rPr>
        <w:t>2.9 合同变更</w:t>
      </w:r>
      <w:bookmarkEnd w:id="993"/>
    </w:p>
    <w:p w14:paraId="345EFF3B">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3027CF9D">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2.9.2 合同继续履行将损害国家利益和社会公共利益的，双方当事人应当以书面形式变更合同。有过错的一方应当承担赔偿责任，双方当事人都有过错的，各自承担相应的责任。</w:t>
      </w:r>
      <w:bookmarkStart w:id="998" w:name="_Toc259093688"/>
      <w:bookmarkStart w:id="999" w:name="_Toc487900369"/>
      <w:bookmarkStart w:id="1000" w:name="_Toc279701259"/>
    </w:p>
    <w:p w14:paraId="3BA8512F">
      <w:pPr>
        <w:spacing w:line="340" w:lineRule="exact"/>
        <w:ind w:firstLine="482" w:firstLineChars="200"/>
        <w:rPr>
          <w:rFonts w:ascii="仿宋_GB2312" w:hAnsi="仿宋_GB2312" w:eastAsia="仿宋_GB2312" w:cs="仿宋_GB2312"/>
          <w:b/>
          <w:sz w:val="24"/>
        </w:rPr>
      </w:pPr>
      <w:bookmarkStart w:id="1001" w:name="_Toc26689"/>
      <w:bookmarkStart w:id="1002" w:name="_Toc10663"/>
      <w:bookmarkStart w:id="1003" w:name="_Toc23368"/>
      <w:bookmarkStart w:id="1004" w:name="_Toc42"/>
      <w:bookmarkStart w:id="1005" w:name="_Toc21830"/>
      <w:r>
        <w:rPr>
          <w:rFonts w:hint="eastAsia" w:ascii="仿宋_GB2312" w:hAnsi="仿宋_GB2312" w:eastAsia="仿宋_GB2312" w:cs="仿宋_GB2312"/>
          <w:b/>
          <w:sz w:val="24"/>
        </w:rPr>
        <w:t>2.10 合同转让</w:t>
      </w:r>
      <w:bookmarkEnd w:id="998"/>
      <w:bookmarkEnd w:id="999"/>
      <w:bookmarkEnd w:id="1000"/>
      <w:r>
        <w:rPr>
          <w:rFonts w:hint="eastAsia" w:ascii="仿宋_GB2312" w:hAnsi="仿宋_GB2312" w:eastAsia="仿宋_GB2312" w:cs="仿宋_GB2312"/>
          <w:b/>
          <w:sz w:val="24"/>
        </w:rPr>
        <w:t>和分包</w:t>
      </w:r>
      <w:bookmarkEnd w:id="1001"/>
      <w:bookmarkEnd w:id="1002"/>
      <w:bookmarkEnd w:id="1003"/>
      <w:bookmarkEnd w:id="1004"/>
      <w:bookmarkEnd w:id="1005"/>
    </w:p>
    <w:p w14:paraId="3C9DCBFC">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202DC45">
      <w:pPr>
        <w:spacing w:line="340" w:lineRule="exact"/>
        <w:ind w:firstLine="482" w:firstLineChars="200"/>
        <w:rPr>
          <w:rFonts w:ascii="仿宋_GB2312" w:hAnsi="仿宋_GB2312" w:eastAsia="仿宋_GB2312" w:cs="仿宋_GB2312"/>
          <w:b/>
          <w:sz w:val="24"/>
        </w:rPr>
      </w:pPr>
      <w:bookmarkStart w:id="1006" w:name="_Toc4720"/>
      <w:bookmarkStart w:id="1007" w:name="_Toc14371"/>
      <w:bookmarkStart w:id="1008" w:name="_Toc26633"/>
      <w:bookmarkStart w:id="1009" w:name="_Toc32494"/>
      <w:bookmarkStart w:id="1010" w:name="_Toc25571"/>
      <w:r>
        <w:rPr>
          <w:rFonts w:hint="eastAsia" w:ascii="仿宋_GB2312" w:hAnsi="仿宋_GB2312" w:eastAsia="仿宋_GB2312" w:cs="仿宋_GB2312"/>
          <w:b/>
          <w:sz w:val="24"/>
        </w:rPr>
        <w:t>2.11 不可抗力</w:t>
      </w:r>
      <w:bookmarkEnd w:id="1006"/>
      <w:bookmarkEnd w:id="1007"/>
      <w:bookmarkEnd w:id="1008"/>
      <w:bookmarkEnd w:id="1009"/>
      <w:bookmarkEnd w:id="1010"/>
    </w:p>
    <w:p w14:paraId="140CF7D8">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2.11.1如果任何一方遭遇法律规定的不可抗力，致使合同履行受阻时，履行合同的期限应予延长，延长的期限应相当于不可抗力所影响的时间；</w:t>
      </w:r>
    </w:p>
    <w:p w14:paraId="31F0B619">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2.11.2 因不可抗力致使不能实现合同目的的，当事人可以解除合同；</w:t>
      </w:r>
    </w:p>
    <w:p w14:paraId="6BAD7FDF">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2.11.3 因不可抗力致使合同有变更必要的，双方当事人应在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约定时间内以书面形式变更合同；</w:t>
      </w:r>
    </w:p>
    <w:p w14:paraId="7636F4EF">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2.11.4受不可抗力影响的一方在不可抗力发生后，应在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约定时间内以书面形式通知对方当事人，并在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约定时间内，将有关部门出具的证明文件送达对方当事人。</w:t>
      </w:r>
    </w:p>
    <w:p w14:paraId="20759CC1">
      <w:pPr>
        <w:spacing w:line="340" w:lineRule="exact"/>
        <w:ind w:firstLine="482" w:firstLineChars="200"/>
        <w:rPr>
          <w:rFonts w:ascii="仿宋_GB2312" w:hAnsi="仿宋_GB2312" w:eastAsia="仿宋_GB2312" w:cs="仿宋_GB2312"/>
          <w:b/>
          <w:sz w:val="24"/>
        </w:rPr>
      </w:pPr>
      <w:bookmarkStart w:id="1011" w:name="_Toc25783"/>
      <w:bookmarkStart w:id="1012" w:name="_Toc23854"/>
      <w:bookmarkStart w:id="1013" w:name="_Toc3638"/>
      <w:bookmarkStart w:id="1014" w:name="_Toc279701255"/>
      <w:bookmarkStart w:id="1015" w:name="_Toc487900365"/>
      <w:bookmarkStart w:id="1016" w:name="_Toc14115"/>
      <w:bookmarkStart w:id="1017" w:name="_Toc259093684"/>
      <w:bookmarkStart w:id="1018" w:name="_Toc24465"/>
      <w:r>
        <w:rPr>
          <w:rFonts w:hint="eastAsia" w:ascii="仿宋_GB2312" w:hAnsi="仿宋_GB2312" w:eastAsia="仿宋_GB2312" w:cs="仿宋_GB2312"/>
          <w:b/>
          <w:sz w:val="24"/>
        </w:rPr>
        <w:t>2.12 税费</w:t>
      </w:r>
      <w:bookmarkEnd w:id="1011"/>
      <w:bookmarkEnd w:id="1012"/>
      <w:bookmarkEnd w:id="1013"/>
      <w:bookmarkEnd w:id="1014"/>
      <w:bookmarkEnd w:id="1015"/>
      <w:bookmarkEnd w:id="1016"/>
      <w:bookmarkEnd w:id="1017"/>
      <w:bookmarkEnd w:id="1018"/>
    </w:p>
    <w:p w14:paraId="15BDE6ED">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与合同有关的一切税费，均按照中华人民共和国法律的相关规定缴纳。</w:t>
      </w:r>
    </w:p>
    <w:p w14:paraId="1C55CEA1">
      <w:pPr>
        <w:spacing w:line="340" w:lineRule="exact"/>
        <w:ind w:firstLine="482" w:firstLineChars="200"/>
        <w:rPr>
          <w:rFonts w:ascii="仿宋_GB2312" w:hAnsi="仿宋_GB2312" w:eastAsia="仿宋_GB2312" w:cs="仿宋_GB2312"/>
          <w:b/>
          <w:sz w:val="24"/>
        </w:rPr>
      </w:pPr>
      <w:bookmarkStart w:id="1019" w:name="_Toc25525"/>
      <w:bookmarkStart w:id="1020" w:name="_Toc279701258"/>
      <w:bookmarkStart w:id="1021" w:name="_Toc487900368"/>
      <w:bookmarkStart w:id="1022" w:name="_Toc30105"/>
      <w:bookmarkStart w:id="1023" w:name="_Toc259093687"/>
      <w:bookmarkStart w:id="1024" w:name="_Toc7315"/>
      <w:bookmarkStart w:id="1025" w:name="_Toc26883"/>
      <w:bookmarkStart w:id="1026" w:name="_Toc14814"/>
      <w:r>
        <w:rPr>
          <w:rFonts w:hint="eastAsia" w:ascii="仿宋_GB2312" w:hAnsi="仿宋_GB2312" w:eastAsia="仿宋_GB2312" w:cs="仿宋_GB2312"/>
          <w:b/>
          <w:sz w:val="24"/>
        </w:rPr>
        <w:t>2.13 乙方破产</w:t>
      </w:r>
      <w:bookmarkEnd w:id="1019"/>
      <w:bookmarkEnd w:id="1020"/>
      <w:bookmarkEnd w:id="1021"/>
      <w:bookmarkEnd w:id="1022"/>
      <w:bookmarkEnd w:id="1023"/>
      <w:bookmarkEnd w:id="1024"/>
      <w:bookmarkEnd w:id="1025"/>
      <w:bookmarkEnd w:id="1026"/>
    </w:p>
    <w:p w14:paraId="1B71E91A">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9CD4201">
      <w:pPr>
        <w:spacing w:line="340" w:lineRule="exact"/>
        <w:ind w:firstLine="482" w:firstLineChars="200"/>
        <w:rPr>
          <w:rFonts w:ascii="仿宋_GB2312" w:hAnsi="仿宋_GB2312" w:eastAsia="仿宋_GB2312" w:cs="仿宋_GB2312"/>
          <w:b/>
          <w:sz w:val="24"/>
        </w:rPr>
      </w:pPr>
      <w:bookmarkStart w:id="1027" w:name="_Toc23323"/>
      <w:bookmarkStart w:id="1028" w:name="_Toc1123"/>
      <w:bookmarkStart w:id="1029" w:name="_Toc2016"/>
      <w:r>
        <w:rPr>
          <w:rFonts w:hint="eastAsia" w:ascii="仿宋_GB2312" w:hAnsi="仿宋_GB2312" w:eastAsia="仿宋_GB2312" w:cs="仿宋_GB2312"/>
          <w:b/>
          <w:sz w:val="24"/>
        </w:rPr>
        <w:t>2.14 合同中止、终止</w:t>
      </w:r>
      <w:bookmarkEnd w:id="1027"/>
      <w:bookmarkEnd w:id="1028"/>
      <w:bookmarkEnd w:id="1029"/>
    </w:p>
    <w:p w14:paraId="0A9D59FA">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2.14.1 双方当事人不得擅自中止或者终止合同；</w:t>
      </w:r>
    </w:p>
    <w:p w14:paraId="6B39C095">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2.14.2合同继续履行将损害国家利益和社会公共利益的，双方当事人应当中止或者终止合同。有过错的一方应当承担赔偿责任，双方当事人都有过错的，各自承担相应的责任。</w:t>
      </w:r>
    </w:p>
    <w:p w14:paraId="56A6C971">
      <w:pPr>
        <w:spacing w:line="340" w:lineRule="exact"/>
        <w:ind w:firstLine="482" w:firstLineChars="200"/>
        <w:rPr>
          <w:rFonts w:ascii="仿宋_GB2312" w:hAnsi="仿宋_GB2312" w:eastAsia="仿宋_GB2312" w:cs="仿宋_GB2312"/>
          <w:b/>
          <w:sz w:val="24"/>
        </w:rPr>
      </w:pPr>
      <w:bookmarkStart w:id="1030" w:name="_Toc14525"/>
      <w:bookmarkStart w:id="1031" w:name="_Toc17363"/>
      <w:bookmarkStart w:id="1032" w:name="_Toc1969"/>
      <w:r>
        <w:rPr>
          <w:rFonts w:hint="eastAsia" w:ascii="仿宋_GB2312" w:hAnsi="仿宋_GB2312" w:eastAsia="仿宋_GB2312" w:cs="仿宋_GB2312"/>
          <w:b/>
          <w:sz w:val="24"/>
        </w:rPr>
        <w:t>2.15 检验和验收</w:t>
      </w:r>
      <w:bookmarkEnd w:id="1030"/>
      <w:bookmarkEnd w:id="1031"/>
      <w:bookmarkEnd w:id="1032"/>
    </w:p>
    <w:p w14:paraId="661C87D5">
      <w:pPr>
        <w:tabs>
          <w:tab w:val="left" w:pos="360"/>
          <w:tab w:val="left" w:pos="540"/>
          <w:tab w:val="left" w:pos="1080"/>
        </w:tabs>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2.15.1 乙方按照</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的约定，定期提交服务报告，甲方按照</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的约定进行定期验收；</w:t>
      </w:r>
    </w:p>
    <w:p w14:paraId="41DF1B37">
      <w:pPr>
        <w:tabs>
          <w:tab w:val="left" w:pos="360"/>
          <w:tab w:val="left" w:pos="540"/>
          <w:tab w:val="left" w:pos="1080"/>
        </w:tabs>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1595010">
      <w:pPr>
        <w:tabs>
          <w:tab w:val="left" w:pos="360"/>
          <w:tab w:val="left" w:pos="540"/>
          <w:tab w:val="left" w:pos="1080"/>
        </w:tabs>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2.15.3 检验和验收标准、程序等具体内容以及前述验收书的效力详见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i/>
          <w:sz w:val="24"/>
        </w:rPr>
        <w:t>。</w:t>
      </w:r>
    </w:p>
    <w:bookmarkEnd w:id="994"/>
    <w:bookmarkEnd w:id="995"/>
    <w:bookmarkEnd w:id="996"/>
    <w:bookmarkEnd w:id="997"/>
    <w:p w14:paraId="26862235">
      <w:pPr>
        <w:spacing w:line="340" w:lineRule="exact"/>
        <w:ind w:firstLine="482" w:firstLineChars="200"/>
        <w:rPr>
          <w:rFonts w:ascii="仿宋_GB2312" w:hAnsi="仿宋_GB2312" w:eastAsia="仿宋_GB2312" w:cs="仿宋_GB2312"/>
          <w:b/>
          <w:sz w:val="24"/>
        </w:rPr>
      </w:pPr>
      <w:bookmarkStart w:id="1033" w:name="_Toc279701261"/>
      <w:bookmarkStart w:id="1034" w:name="_Toc487900371"/>
      <w:bookmarkStart w:id="1035" w:name="_Toc259093690"/>
      <w:bookmarkStart w:id="1036" w:name="_Toc2308"/>
      <w:bookmarkStart w:id="1037" w:name="_Toc9808"/>
      <w:bookmarkStart w:id="1038" w:name="_Toc12666"/>
      <w:bookmarkStart w:id="1039" w:name="_Toc31892"/>
      <w:bookmarkStart w:id="1040" w:name="_Toc25198"/>
      <w:r>
        <w:rPr>
          <w:rFonts w:hint="eastAsia" w:ascii="仿宋_GB2312" w:hAnsi="仿宋_GB2312" w:eastAsia="仿宋_GB2312" w:cs="仿宋_GB2312"/>
          <w:b/>
          <w:sz w:val="24"/>
        </w:rPr>
        <w:t>2.16 通知</w:t>
      </w:r>
      <w:bookmarkEnd w:id="1033"/>
      <w:bookmarkEnd w:id="1034"/>
      <w:bookmarkEnd w:id="1035"/>
      <w:r>
        <w:rPr>
          <w:rFonts w:hint="eastAsia" w:ascii="仿宋_GB2312" w:hAnsi="仿宋_GB2312" w:eastAsia="仿宋_GB2312" w:cs="仿宋_GB2312"/>
          <w:b/>
          <w:sz w:val="24"/>
        </w:rPr>
        <w:t>和送达</w:t>
      </w:r>
      <w:bookmarkEnd w:id="1036"/>
      <w:bookmarkEnd w:id="1037"/>
      <w:bookmarkEnd w:id="1038"/>
      <w:bookmarkEnd w:id="1039"/>
      <w:bookmarkEnd w:id="1040"/>
    </w:p>
    <w:p w14:paraId="4EFBDA54">
      <w:pPr>
        <w:spacing w:line="340" w:lineRule="exact"/>
        <w:ind w:firstLine="480" w:firstLineChars="200"/>
        <w:rPr>
          <w:rFonts w:ascii="仿宋_GB2312" w:hAnsi="仿宋_GB2312" w:eastAsia="仿宋_GB2312" w:cs="仿宋_GB2312"/>
          <w:sz w:val="24"/>
        </w:rPr>
      </w:pPr>
      <w:bookmarkStart w:id="1041" w:name="_Toc7073"/>
      <w:bookmarkStart w:id="1042" w:name="_Toc29220"/>
      <w:bookmarkStart w:id="1043" w:name="_Toc279701262"/>
      <w:bookmarkStart w:id="1044" w:name="_Toc259093691"/>
      <w:bookmarkStart w:id="1045" w:name="_Toc487900372"/>
      <w:r>
        <w:rPr>
          <w:rFonts w:hint="eastAsia" w:ascii="仿宋_GB2312" w:hAnsi="仿宋_GB2312" w:eastAsia="仿宋_GB2312" w:cs="仿宋_GB2312"/>
          <w:sz w:val="24"/>
        </w:rPr>
        <w:t>2.16.1 任何一方因履行合同而以合同第一部分尾部所列明的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发出的所有通知、文件、材料，均视为已向对方当事人送达；任何一方变更上述送达方式或者地址的，应于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个工作日内书面通知对方当事人，在对方当事人收到有关变更通知之前，变更前的约定送达方式或者地址仍视为有效。</w:t>
      </w:r>
      <w:bookmarkEnd w:id="1041"/>
      <w:bookmarkEnd w:id="1042"/>
    </w:p>
    <w:p w14:paraId="01B34E51">
      <w:pPr>
        <w:spacing w:line="340" w:lineRule="exact"/>
        <w:ind w:firstLine="480" w:firstLineChars="200"/>
        <w:rPr>
          <w:rFonts w:ascii="仿宋_GB2312" w:hAnsi="仿宋_GB2312" w:eastAsia="仿宋_GB2312" w:cs="仿宋_GB2312"/>
          <w:sz w:val="24"/>
        </w:rPr>
      </w:pPr>
      <w:bookmarkStart w:id="1046" w:name="_Toc27674"/>
      <w:bookmarkStart w:id="1047" w:name="_Toc18401"/>
      <w:r>
        <w:rPr>
          <w:rFonts w:hint="eastAsia" w:ascii="仿宋_GB2312" w:hAnsi="仿宋_GB2312" w:eastAsia="仿宋_GB2312" w:cs="仿宋_GB2312"/>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046"/>
      <w:bookmarkEnd w:id="1047"/>
    </w:p>
    <w:bookmarkEnd w:id="1043"/>
    <w:bookmarkEnd w:id="1044"/>
    <w:bookmarkEnd w:id="1045"/>
    <w:p w14:paraId="7DB06B8C">
      <w:pPr>
        <w:spacing w:line="340" w:lineRule="exact"/>
        <w:ind w:firstLine="482" w:firstLineChars="200"/>
        <w:rPr>
          <w:rFonts w:ascii="仿宋_GB2312" w:hAnsi="仿宋_GB2312" w:eastAsia="仿宋_GB2312" w:cs="仿宋_GB2312"/>
          <w:b/>
          <w:sz w:val="24"/>
        </w:rPr>
      </w:pPr>
      <w:bookmarkStart w:id="1048" w:name="_Toc259093692"/>
      <w:bookmarkStart w:id="1049" w:name="_Toc279701263"/>
      <w:bookmarkStart w:id="1050" w:name="_Toc12254"/>
      <w:bookmarkStart w:id="1051" w:name="_Toc20808"/>
      <w:bookmarkStart w:id="1052" w:name="_Toc487900373"/>
      <w:bookmarkStart w:id="1053" w:name="_Toc28906"/>
      <w:bookmarkStart w:id="1054" w:name="_Toc5063"/>
      <w:bookmarkStart w:id="1055" w:name="_Toc27644"/>
      <w:r>
        <w:rPr>
          <w:rFonts w:hint="eastAsia" w:ascii="仿宋_GB2312" w:hAnsi="仿宋_GB2312" w:eastAsia="仿宋_GB2312" w:cs="仿宋_GB2312"/>
          <w:b/>
          <w:sz w:val="24"/>
        </w:rPr>
        <w:t>2.17 合同使用的文字和适用的法律</w:t>
      </w:r>
      <w:bookmarkEnd w:id="1048"/>
      <w:bookmarkEnd w:id="1049"/>
      <w:bookmarkEnd w:id="1050"/>
      <w:bookmarkEnd w:id="1051"/>
      <w:bookmarkEnd w:id="1052"/>
      <w:bookmarkEnd w:id="1053"/>
      <w:bookmarkEnd w:id="1054"/>
      <w:bookmarkEnd w:id="1055"/>
    </w:p>
    <w:p w14:paraId="1631CF94">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2.17.1 合同使用汉语书就、变更和解释；</w:t>
      </w:r>
    </w:p>
    <w:p w14:paraId="4C8FBD47">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2.17.2 合同适用中华人民共和国法律。</w:t>
      </w:r>
    </w:p>
    <w:p w14:paraId="6624A4BE">
      <w:pPr>
        <w:spacing w:line="340" w:lineRule="exact"/>
        <w:ind w:firstLine="482" w:firstLineChars="200"/>
        <w:rPr>
          <w:rFonts w:ascii="仿宋_GB2312" w:hAnsi="仿宋_GB2312" w:eastAsia="仿宋_GB2312" w:cs="仿宋_GB2312"/>
          <w:b/>
          <w:sz w:val="24"/>
        </w:rPr>
      </w:pPr>
      <w:bookmarkStart w:id="1056" w:name="_Toc22266"/>
      <w:bookmarkStart w:id="1057" w:name="_Toc27403"/>
      <w:bookmarkStart w:id="1058" w:name="_Toc27127"/>
      <w:bookmarkStart w:id="1059" w:name="_Toc30096"/>
      <w:bookmarkStart w:id="1060" w:name="_Toc279701264"/>
      <w:bookmarkStart w:id="1061" w:name="_Toc1492"/>
      <w:bookmarkStart w:id="1062" w:name="_Toc259093693"/>
      <w:bookmarkStart w:id="1063" w:name="_Toc487900374"/>
      <w:r>
        <w:rPr>
          <w:rFonts w:hint="eastAsia" w:ascii="仿宋_GB2312" w:hAnsi="仿宋_GB2312" w:eastAsia="仿宋_GB2312" w:cs="仿宋_GB2312"/>
          <w:b/>
          <w:sz w:val="24"/>
        </w:rPr>
        <w:t>2.18 履约保证金</w:t>
      </w:r>
      <w:bookmarkEnd w:id="1056"/>
      <w:bookmarkEnd w:id="1057"/>
      <w:bookmarkEnd w:id="1058"/>
      <w:bookmarkEnd w:id="1059"/>
      <w:bookmarkEnd w:id="1060"/>
      <w:bookmarkEnd w:id="1061"/>
      <w:bookmarkEnd w:id="1062"/>
    </w:p>
    <w:p w14:paraId="34F8E4EA">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2.18.1 采购文件要求乙方提交履约保证金的，乙方应按</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约定的方式，以支票、汇票、本票或者金融机构、担保机构出具的保函等非现金形式，提交不超过合同价10%的履约保证金；</w:t>
      </w:r>
    </w:p>
    <w:p w14:paraId="50B3AC60">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2.18.2 履约保证金在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约定期间内不予退还或者应完全有效，前述约定期间届满之日起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个工作日内，甲方应将履约保证金退还乙方；</w:t>
      </w:r>
    </w:p>
    <w:p w14:paraId="4A866E5F">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063"/>
    <w:p w14:paraId="77A70FFE">
      <w:pPr>
        <w:spacing w:line="3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2.19 合同份数</w:t>
      </w:r>
    </w:p>
    <w:p w14:paraId="29B660A6">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合同份数按</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规定，每份均具有同等法律效力。</w:t>
      </w:r>
    </w:p>
    <w:p w14:paraId="58BFF0EC">
      <w:pPr>
        <w:pStyle w:val="61"/>
        <w:spacing w:line="340" w:lineRule="exact"/>
        <w:ind w:firstLine="0"/>
        <w:jc w:val="both"/>
        <w:rPr>
          <w:rFonts w:ascii="仿宋_GB2312" w:hAnsi="仿宋_GB2312" w:eastAsia="仿宋_GB2312" w:cs="仿宋_GB2312"/>
          <w:b/>
          <w:szCs w:val="24"/>
        </w:rPr>
      </w:pPr>
      <w:bookmarkStart w:id="1064" w:name="_Toc331685784"/>
      <w:r>
        <w:rPr>
          <w:rFonts w:hint="eastAsia" w:ascii="仿宋_GB2312" w:hAnsi="仿宋_GB2312" w:eastAsia="仿宋_GB2312" w:cs="仿宋_GB2312"/>
          <w:b/>
          <w:szCs w:val="24"/>
        </w:rPr>
        <w:t>第三部分  合同专用条款</w:t>
      </w:r>
      <w:bookmarkEnd w:id="1064"/>
    </w:p>
    <w:p w14:paraId="33EF17DF">
      <w:pPr>
        <w:spacing w:line="3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0983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31933A5E">
            <w:pPr>
              <w:spacing w:line="3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条款号</w:t>
            </w:r>
          </w:p>
        </w:tc>
        <w:tc>
          <w:tcPr>
            <w:tcW w:w="7633" w:type="dxa"/>
            <w:vAlign w:val="center"/>
          </w:tcPr>
          <w:p w14:paraId="6520A1C6">
            <w:pPr>
              <w:spacing w:line="3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约定内容</w:t>
            </w:r>
          </w:p>
        </w:tc>
      </w:tr>
      <w:tr w14:paraId="0279E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6C22EE4F">
            <w:pPr>
              <w:spacing w:line="340" w:lineRule="exact"/>
              <w:rPr>
                <w:rFonts w:ascii="仿宋_GB2312" w:hAnsi="仿宋_GB2312" w:eastAsia="仿宋_GB2312" w:cs="仿宋_GB2312"/>
                <w:sz w:val="24"/>
              </w:rPr>
            </w:pPr>
          </w:p>
        </w:tc>
        <w:tc>
          <w:tcPr>
            <w:tcW w:w="7633" w:type="dxa"/>
            <w:vAlign w:val="center"/>
          </w:tcPr>
          <w:p w14:paraId="0221784D">
            <w:pPr>
              <w:spacing w:line="340" w:lineRule="exact"/>
              <w:rPr>
                <w:rFonts w:ascii="仿宋_GB2312" w:hAnsi="仿宋_GB2312" w:eastAsia="仿宋_GB2312" w:cs="仿宋_GB2312"/>
                <w:sz w:val="24"/>
              </w:rPr>
            </w:pPr>
          </w:p>
        </w:tc>
      </w:tr>
      <w:tr w14:paraId="29908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408911B">
            <w:pPr>
              <w:spacing w:line="340" w:lineRule="exact"/>
              <w:rPr>
                <w:rFonts w:ascii="仿宋_GB2312" w:hAnsi="仿宋_GB2312" w:eastAsia="仿宋_GB2312" w:cs="仿宋_GB2312"/>
                <w:sz w:val="24"/>
              </w:rPr>
            </w:pPr>
          </w:p>
        </w:tc>
        <w:tc>
          <w:tcPr>
            <w:tcW w:w="7633" w:type="dxa"/>
            <w:vAlign w:val="center"/>
          </w:tcPr>
          <w:p w14:paraId="2FE40006">
            <w:pPr>
              <w:spacing w:line="340" w:lineRule="exact"/>
              <w:rPr>
                <w:rFonts w:ascii="仿宋_GB2312" w:hAnsi="仿宋_GB2312" w:eastAsia="仿宋_GB2312" w:cs="仿宋_GB2312"/>
                <w:sz w:val="24"/>
              </w:rPr>
            </w:pPr>
          </w:p>
        </w:tc>
      </w:tr>
      <w:tr w14:paraId="2DE32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E4842D3">
            <w:pPr>
              <w:spacing w:line="340" w:lineRule="exact"/>
              <w:rPr>
                <w:rFonts w:ascii="仿宋_GB2312" w:hAnsi="仿宋_GB2312" w:eastAsia="仿宋_GB2312" w:cs="仿宋_GB2312"/>
                <w:sz w:val="24"/>
              </w:rPr>
            </w:pPr>
          </w:p>
        </w:tc>
        <w:tc>
          <w:tcPr>
            <w:tcW w:w="7633" w:type="dxa"/>
            <w:vAlign w:val="center"/>
          </w:tcPr>
          <w:p w14:paraId="6F4E013E">
            <w:pPr>
              <w:spacing w:line="340" w:lineRule="exact"/>
              <w:rPr>
                <w:rFonts w:ascii="仿宋_GB2312" w:hAnsi="仿宋_GB2312" w:eastAsia="仿宋_GB2312" w:cs="仿宋_GB2312"/>
                <w:sz w:val="24"/>
              </w:rPr>
            </w:pPr>
          </w:p>
        </w:tc>
      </w:tr>
      <w:tr w14:paraId="29EC5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EDA3E00">
            <w:pPr>
              <w:spacing w:line="340" w:lineRule="exact"/>
              <w:rPr>
                <w:rFonts w:ascii="仿宋_GB2312" w:hAnsi="仿宋_GB2312" w:eastAsia="仿宋_GB2312" w:cs="仿宋_GB2312"/>
                <w:sz w:val="24"/>
              </w:rPr>
            </w:pPr>
          </w:p>
        </w:tc>
        <w:tc>
          <w:tcPr>
            <w:tcW w:w="7633" w:type="dxa"/>
            <w:vAlign w:val="center"/>
          </w:tcPr>
          <w:p w14:paraId="683A5CA9">
            <w:pPr>
              <w:spacing w:line="340" w:lineRule="exact"/>
              <w:rPr>
                <w:rFonts w:ascii="仿宋_GB2312" w:hAnsi="仿宋_GB2312" w:eastAsia="仿宋_GB2312" w:cs="仿宋_GB2312"/>
                <w:sz w:val="24"/>
              </w:rPr>
            </w:pPr>
          </w:p>
        </w:tc>
      </w:tr>
      <w:tr w14:paraId="4A133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9E6BC65">
            <w:pPr>
              <w:spacing w:line="340" w:lineRule="exact"/>
              <w:rPr>
                <w:rFonts w:ascii="仿宋_GB2312" w:hAnsi="仿宋_GB2312" w:eastAsia="仿宋_GB2312" w:cs="仿宋_GB2312"/>
                <w:sz w:val="24"/>
              </w:rPr>
            </w:pPr>
          </w:p>
        </w:tc>
        <w:tc>
          <w:tcPr>
            <w:tcW w:w="7633" w:type="dxa"/>
            <w:vAlign w:val="center"/>
          </w:tcPr>
          <w:p w14:paraId="2EA1346A">
            <w:pPr>
              <w:spacing w:line="340" w:lineRule="exact"/>
              <w:rPr>
                <w:rFonts w:ascii="仿宋_GB2312" w:hAnsi="仿宋_GB2312" w:eastAsia="仿宋_GB2312" w:cs="仿宋_GB2312"/>
                <w:sz w:val="24"/>
                <w:u w:val="single"/>
              </w:rPr>
            </w:pPr>
          </w:p>
        </w:tc>
      </w:tr>
      <w:tr w14:paraId="7B0AB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7840314">
            <w:pPr>
              <w:spacing w:line="340" w:lineRule="exact"/>
              <w:rPr>
                <w:rFonts w:ascii="仿宋_GB2312" w:hAnsi="仿宋_GB2312" w:eastAsia="仿宋_GB2312" w:cs="仿宋_GB2312"/>
                <w:sz w:val="24"/>
              </w:rPr>
            </w:pPr>
          </w:p>
        </w:tc>
        <w:tc>
          <w:tcPr>
            <w:tcW w:w="7633" w:type="dxa"/>
            <w:vAlign w:val="center"/>
          </w:tcPr>
          <w:p w14:paraId="03955036">
            <w:pPr>
              <w:spacing w:line="340" w:lineRule="exact"/>
              <w:rPr>
                <w:rFonts w:ascii="仿宋_GB2312" w:hAnsi="仿宋_GB2312" w:eastAsia="仿宋_GB2312" w:cs="仿宋_GB2312"/>
                <w:sz w:val="24"/>
              </w:rPr>
            </w:pPr>
          </w:p>
        </w:tc>
      </w:tr>
      <w:tr w14:paraId="54597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1C05A15">
            <w:pPr>
              <w:spacing w:line="340" w:lineRule="exact"/>
              <w:rPr>
                <w:rFonts w:ascii="仿宋_GB2312" w:hAnsi="仿宋_GB2312" w:eastAsia="仿宋_GB2312" w:cs="仿宋_GB2312"/>
                <w:sz w:val="24"/>
              </w:rPr>
            </w:pPr>
          </w:p>
        </w:tc>
        <w:tc>
          <w:tcPr>
            <w:tcW w:w="7633" w:type="dxa"/>
            <w:vAlign w:val="center"/>
          </w:tcPr>
          <w:p w14:paraId="1BE52E12">
            <w:pPr>
              <w:spacing w:line="340" w:lineRule="exact"/>
              <w:rPr>
                <w:rFonts w:ascii="仿宋_GB2312" w:hAnsi="仿宋_GB2312" w:eastAsia="仿宋_GB2312" w:cs="仿宋_GB2312"/>
                <w:sz w:val="24"/>
                <w:u w:val="single"/>
              </w:rPr>
            </w:pPr>
          </w:p>
        </w:tc>
      </w:tr>
      <w:tr w14:paraId="6E68C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D7E3835">
            <w:pPr>
              <w:spacing w:line="340" w:lineRule="exact"/>
              <w:rPr>
                <w:rFonts w:ascii="仿宋_GB2312" w:hAnsi="仿宋_GB2312" w:eastAsia="仿宋_GB2312" w:cs="仿宋_GB2312"/>
                <w:sz w:val="24"/>
              </w:rPr>
            </w:pPr>
          </w:p>
        </w:tc>
        <w:tc>
          <w:tcPr>
            <w:tcW w:w="7633" w:type="dxa"/>
            <w:vAlign w:val="center"/>
          </w:tcPr>
          <w:p w14:paraId="06A5D048">
            <w:pPr>
              <w:spacing w:line="340" w:lineRule="exact"/>
              <w:rPr>
                <w:rFonts w:ascii="仿宋_GB2312" w:hAnsi="仿宋_GB2312" w:eastAsia="仿宋_GB2312" w:cs="仿宋_GB2312"/>
                <w:sz w:val="24"/>
              </w:rPr>
            </w:pPr>
          </w:p>
        </w:tc>
      </w:tr>
      <w:tr w14:paraId="64919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D009474">
            <w:pPr>
              <w:spacing w:line="340" w:lineRule="exact"/>
              <w:rPr>
                <w:rFonts w:ascii="仿宋_GB2312" w:hAnsi="仿宋_GB2312" w:eastAsia="仿宋_GB2312" w:cs="仿宋_GB2312"/>
                <w:sz w:val="24"/>
              </w:rPr>
            </w:pPr>
          </w:p>
        </w:tc>
        <w:tc>
          <w:tcPr>
            <w:tcW w:w="7633" w:type="dxa"/>
            <w:vAlign w:val="center"/>
          </w:tcPr>
          <w:p w14:paraId="4EE9F39C">
            <w:pPr>
              <w:spacing w:line="340" w:lineRule="exact"/>
              <w:rPr>
                <w:rFonts w:ascii="仿宋_GB2312" w:hAnsi="仿宋_GB2312" w:eastAsia="仿宋_GB2312" w:cs="仿宋_GB2312"/>
                <w:sz w:val="24"/>
              </w:rPr>
            </w:pPr>
          </w:p>
        </w:tc>
      </w:tr>
      <w:tr w14:paraId="640DA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5CE51AA">
            <w:pPr>
              <w:spacing w:line="340" w:lineRule="exact"/>
              <w:rPr>
                <w:rFonts w:ascii="仿宋_GB2312" w:hAnsi="仿宋_GB2312" w:eastAsia="仿宋_GB2312" w:cs="仿宋_GB2312"/>
                <w:sz w:val="24"/>
              </w:rPr>
            </w:pPr>
          </w:p>
        </w:tc>
        <w:tc>
          <w:tcPr>
            <w:tcW w:w="7633" w:type="dxa"/>
            <w:vAlign w:val="center"/>
          </w:tcPr>
          <w:p w14:paraId="7BD073E7">
            <w:pPr>
              <w:spacing w:line="340" w:lineRule="exact"/>
              <w:rPr>
                <w:rFonts w:ascii="仿宋_GB2312" w:hAnsi="仿宋_GB2312" w:eastAsia="仿宋_GB2312" w:cs="仿宋_GB2312"/>
                <w:sz w:val="24"/>
              </w:rPr>
            </w:pPr>
          </w:p>
        </w:tc>
      </w:tr>
      <w:tr w14:paraId="5C88D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F3185C2">
            <w:pPr>
              <w:spacing w:line="340" w:lineRule="exact"/>
              <w:rPr>
                <w:rFonts w:ascii="仿宋_GB2312" w:hAnsi="仿宋_GB2312" w:eastAsia="仿宋_GB2312" w:cs="仿宋_GB2312"/>
                <w:sz w:val="24"/>
              </w:rPr>
            </w:pPr>
          </w:p>
        </w:tc>
        <w:tc>
          <w:tcPr>
            <w:tcW w:w="7633" w:type="dxa"/>
            <w:vAlign w:val="center"/>
          </w:tcPr>
          <w:p w14:paraId="1B743A3F">
            <w:pPr>
              <w:spacing w:line="340" w:lineRule="exact"/>
              <w:rPr>
                <w:rFonts w:ascii="仿宋_GB2312" w:hAnsi="仿宋_GB2312" w:eastAsia="仿宋_GB2312" w:cs="仿宋_GB2312"/>
                <w:sz w:val="24"/>
              </w:rPr>
            </w:pPr>
          </w:p>
        </w:tc>
      </w:tr>
      <w:tr w14:paraId="01398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6B87307">
            <w:pPr>
              <w:spacing w:line="340" w:lineRule="exact"/>
              <w:rPr>
                <w:rFonts w:ascii="仿宋_GB2312" w:hAnsi="仿宋_GB2312" w:eastAsia="仿宋_GB2312" w:cs="仿宋_GB2312"/>
                <w:sz w:val="24"/>
              </w:rPr>
            </w:pPr>
          </w:p>
        </w:tc>
        <w:tc>
          <w:tcPr>
            <w:tcW w:w="7633" w:type="dxa"/>
            <w:vAlign w:val="center"/>
          </w:tcPr>
          <w:p w14:paraId="2F550867">
            <w:pPr>
              <w:spacing w:line="340" w:lineRule="exact"/>
              <w:rPr>
                <w:rFonts w:ascii="仿宋_GB2312" w:hAnsi="仿宋_GB2312" w:eastAsia="仿宋_GB2312" w:cs="仿宋_GB2312"/>
                <w:sz w:val="24"/>
              </w:rPr>
            </w:pPr>
          </w:p>
        </w:tc>
      </w:tr>
    </w:tbl>
    <w:p w14:paraId="412E0BF8">
      <w:pPr>
        <w:spacing w:after="156" w:line="340" w:lineRule="exact"/>
        <w:ind w:firstLine="480"/>
        <w:rPr>
          <w:rFonts w:ascii="仿宋_GB2312" w:hAnsi="仿宋_GB2312" w:eastAsia="仿宋_GB2312" w:cs="仿宋_GB2312"/>
          <w:sz w:val="24"/>
        </w:rPr>
      </w:pPr>
    </w:p>
    <w:p w14:paraId="3D8F8571">
      <w:pPr>
        <w:spacing w:line="340" w:lineRule="exact"/>
        <w:ind w:left="1080" w:leftChars="257" w:hanging="540"/>
        <w:rPr>
          <w:rFonts w:ascii="仿宋_GB2312" w:hAnsi="仿宋_GB2312" w:eastAsia="仿宋_GB2312" w:cs="仿宋_GB2312"/>
          <w:sz w:val="24"/>
        </w:rPr>
      </w:pPr>
    </w:p>
    <w:p w14:paraId="7DE0C03B">
      <w:pPr>
        <w:spacing w:line="340" w:lineRule="exact"/>
        <w:rPr>
          <w:rFonts w:ascii="仿宋_GB2312" w:hAnsi="仿宋_GB2312" w:eastAsia="仿宋_GB2312" w:cs="仿宋_GB2312"/>
          <w:sz w:val="24"/>
        </w:rPr>
      </w:pPr>
    </w:p>
    <w:p w14:paraId="1A93F49B">
      <w:pPr>
        <w:pStyle w:val="2"/>
        <w:snapToGrid w:val="0"/>
        <w:ind w:firstLine="0"/>
        <w:textAlignment w:val="baseline"/>
        <w:rPr>
          <w:rFonts w:ascii="微软雅黑" w:hAnsi="微软雅黑" w:eastAsia="微软雅黑" w:cs="微软雅黑"/>
          <w:szCs w:val="24"/>
        </w:rPr>
      </w:pPr>
    </w:p>
    <w:sectPr>
      <w:headerReference r:id="rId19" w:type="default"/>
      <w:footerReference r:id="rId20" w:type="default"/>
      <w:pgSz w:w="11905" w:h="16838"/>
      <w:pgMar w:top="1984" w:right="1531" w:bottom="1701" w:left="1531" w:header="851" w:footer="992" w:gutter="0"/>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C3DAB">
    <w:pPr>
      <w:pStyle w:val="2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A6315">
    <w:pPr>
      <w:pStyle w:val="2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057A0">
                          <w:pPr>
                            <w:pStyle w:val="23"/>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DA057A0">
                    <w:pPr>
                      <w:pStyle w:val="23"/>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DC35">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1FF51">
                          <w:pPr>
                            <w:pStyle w:val="2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091FF51">
                    <w:pPr>
                      <w:pStyle w:val="2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60669">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4116F">
                          <w:pPr>
                            <w:pStyle w:val="2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704116F">
                    <w:pPr>
                      <w:pStyle w:val="2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D307F">
    <w:pPr>
      <w:pStyle w:val="2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9FFFC">
                          <w:pPr>
                            <w:pStyle w:val="2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BE9FFFC">
                    <w:pPr>
                      <w:pStyle w:val="23"/>
                    </w:pPr>
                    <w:r>
                      <w:fldChar w:fldCharType="begin"/>
                    </w:r>
                    <w:r>
                      <w:instrText xml:space="preserve"> PAGE  \* MERGEFORMAT </w:instrText>
                    </w:r>
                    <w:r>
                      <w:fldChar w:fldCharType="separate"/>
                    </w:r>
                    <w:r>
                      <w:t>65</w:t>
                    </w:r>
                    <w:r>
                      <w:fldChar w:fldCharType="end"/>
                    </w:r>
                  </w:p>
                </w:txbxContent>
              </v:textbox>
            </v:shape>
          </w:pict>
        </mc:Fallback>
      </mc:AlternateContent>
    </w:r>
  </w:p>
  <w:p w14:paraId="3CB5ABC5">
    <w:pPr>
      <w:pStyle w:val="2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433F">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8E4E">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8C20D">
    <w:pPr>
      <w:spacing w:line="177" w:lineRule="auto"/>
      <w:ind w:left="4666"/>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29CCC">
                          <w:pPr>
                            <w:pStyle w:val="2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9A29CCC">
                    <w:pPr>
                      <w:pStyle w:val="2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6CE32">
    <w:pPr>
      <w:pStyle w:val="2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8DA98">
                          <w:pPr>
                            <w:pStyle w:val="2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4E8DA98">
                    <w:pPr>
                      <w:pStyle w:val="2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261B">
    <w:pPr>
      <w:pStyle w:val="2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EF68A">
                          <w:pPr>
                            <w:pStyle w:val="23"/>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11EF68A">
                    <w:pPr>
                      <w:pStyle w:val="23"/>
                    </w:pPr>
                    <w:r>
                      <w:fldChar w:fldCharType="begin"/>
                    </w:r>
                    <w:r>
                      <w:instrText xml:space="preserve"> PAGE  \* MERGEFORMAT </w:instrText>
                    </w:r>
                    <w:r>
                      <w:fldChar w:fldCharType="separate"/>
                    </w:r>
                    <w:r>
                      <w:t>89</w:t>
                    </w:r>
                    <w:r>
                      <w:fldChar w:fldCharType="end"/>
                    </w:r>
                  </w:p>
                </w:txbxContent>
              </v:textbox>
            </v:shape>
          </w:pict>
        </mc:Fallback>
      </mc:AlternateContent>
    </w:r>
  </w:p>
  <w:p w14:paraId="6EF5DE2A">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6BC5E">
    <w:pPr>
      <w:pStyle w:val="12"/>
      <w:spacing w:line="396" w:lineRule="exact"/>
      <w:ind w:left="11" w:firstLine="1800" w:firstLineChars="100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A65E6">
    <w:pPr>
      <w:pStyle w:val="25"/>
      <w:pBdr>
        <w:bottom w:val="none" w:color="auto" w:sz="0" w:space="1"/>
      </w:pBdr>
      <w:tabs>
        <w:tab w:val="clear" w:pos="8306"/>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DBED">
    <w:pPr>
      <w:pStyle w:val="25"/>
      <w:pBdr>
        <w:bottom w:val="none" w:color="auto" w:sz="0" w:space="1"/>
      </w:pBdr>
      <w:jc w:val="left"/>
    </w:pPr>
    <w:r>
      <w:rPr>
        <w:rFonts w:ascii="Cambria" w:hAnsi="Cambria"/>
        <w:vanish/>
        <w:sz w:val="32"/>
        <w:szCs w:val="32"/>
        <w:highlight w:val="yellow"/>
      </w:rPr>
      <w:t>&lt;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01EA3">
    <w:pPr>
      <w:pStyle w:val="2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A85F6">
    <w:pPr>
      <w:pStyle w:val="2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2224B">
    <w:pPr>
      <w:pStyle w:val="25"/>
      <w:pBdr>
        <w:bottom w:val="none" w:color="auto" w:sz="0" w:space="1"/>
      </w:pBdr>
      <w:tabs>
        <w:tab w:val="clear" w:pos="8306"/>
      </w:tabs>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8B798">
    <w:pPr>
      <w:pStyle w:val="25"/>
      <w:pBdr>
        <w:bottom w:val="none" w:color="auto" w:sz="0" w:space="0"/>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05B5C">
    <w:pPr>
      <w:pStyle w:val="25"/>
      <w:pBdr>
        <w:bottom w:val="none" w:color="auto" w:sz="0" w:space="1"/>
      </w:pBdr>
      <w:tabs>
        <w:tab w:val="clear"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rPr>
        <w:rFonts w:ascii="宋体" w:hAnsi="宋体" w:eastAsia="宋体"/>
      </w:r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1">
    <w:nsid w:val="1216518B"/>
    <w:multiLevelType w:val="singleLevel"/>
    <w:tmpl w:val="1216518B"/>
    <w:lvl w:ilvl="0" w:tentative="0">
      <w:start w:val="2"/>
      <w:numFmt w:val="decimal"/>
      <w:suff w:val="nothing"/>
      <w:lvlText w:val="%1、"/>
      <w:lvlJc w:val="left"/>
      <w:rPr>
        <w:rFonts w:hint="default"/>
        <w:b w:val="0"/>
        <w:bCs w:val="0"/>
      </w:rPr>
    </w:lvl>
  </w:abstractNum>
  <w:abstractNum w:abstractNumId="2">
    <w:nsid w:val="30886CCC"/>
    <w:multiLevelType w:val="singleLevel"/>
    <w:tmpl w:val="30886CCC"/>
    <w:lvl w:ilvl="0" w:tentative="0">
      <w:start w:val="2"/>
      <w:numFmt w:val="decimal"/>
      <w:suff w:val="nothing"/>
      <w:lvlText w:val="%1、"/>
      <w:lvlJc w:val="left"/>
      <w:pPr>
        <w:ind w:left="420" w:firstLine="0"/>
      </w:pPr>
    </w:lvl>
  </w:abstractNum>
  <w:abstractNum w:abstractNumId="3">
    <w:nsid w:val="44D3B05E"/>
    <w:multiLevelType w:val="singleLevel"/>
    <w:tmpl w:val="44D3B05E"/>
    <w:lvl w:ilvl="0" w:tentative="0">
      <w:start w:val="5"/>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ZjQxMzQ0YjM4MmI2NWIxNmRhNDM3YjkyNTE1ZmMifQ=="/>
    <w:docVar w:name="KSO_WPS_MARK_KEY" w:val="13256ca7-ff7d-4432-802a-d50f06383b2d"/>
  </w:docVars>
  <w:rsids>
    <w:rsidRoot w:val="00A2385F"/>
    <w:rsid w:val="000366F3"/>
    <w:rsid w:val="000841D3"/>
    <w:rsid w:val="000923E9"/>
    <w:rsid w:val="000A511F"/>
    <w:rsid w:val="000F38AC"/>
    <w:rsid w:val="001C2D60"/>
    <w:rsid w:val="002076D5"/>
    <w:rsid w:val="00250CB3"/>
    <w:rsid w:val="002A5E66"/>
    <w:rsid w:val="002D6058"/>
    <w:rsid w:val="00376A20"/>
    <w:rsid w:val="003A1A8C"/>
    <w:rsid w:val="003B2691"/>
    <w:rsid w:val="003B77E5"/>
    <w:rsid w:val="00437E1B"/>
    <w:rsid w:val="004D0FE3"/>
    <w:rsid w:val="00536183"/>
    <w:rsid w:val="00537FBC"/>
    <w:rsid w:val="00583AA5"/>
    <w:rsid w:val="005A4691"/>
    <w:rsid w:val="006A77BF"/>
    <w:rsid w:val="007320E7"/>
    <w:rsid w:val="00751EAB"/>
    <w:rsid w:val="0080075B"/>
    <w:rsid w:val="0083291A"/>
    <w:rsid w:val="008A03CE"/>
    <w:rsid w:val="00910A35"/>
    <w:rsid w:val="00940982"/>
    <w:rsid w:val="0095072D"/>
    <w:rsid w:val="00976F53"/>
    <w:rsid w:val="009A7994"/>
    <w:rsid w:val="009C272C"/>
    <w:rsid w:val="00A2385F"/>
    <w:rsid w:val="00A8113C"/>
    <w:rsid w:val="00AB65E1"/>
    <w:rsid w:val="00B00BD6"/>
    <w:rsid w:val="00B11852"/>
    <w:rsid w:val="00BB4B5A"/>
    <w:rsid w:val="00BD3553"/>
    <w:rsid w:val="00C628B2"/>
    <w:rsid w:val="00D0760D"/>
    <w:rsid w:val="00D46B22"/>
    <w:rsid w:val="00D54CE0"/>
    <w:rsid w:val="00DD2DEB"/>
    <w:rsid w:val="00DD78F6"/>
    <w:rsid w:val="00E010A9"/>
    <w:rsid w:val="00E16A05"/>
    <w:rsid w:val="00E55333"/>
    <w:rsid w:val="00FF0114"/>
    <w:rsid w:val="010524BA"/>
    <w:rsid w:val="0109581C"/>
    <w:rsid w:val="01125A5E"/>
    <w:rsid w:val="012C6F12"/>
    <w:rsid w:val="0134709D"/>
    <w:rsid w:val="013B11A8"/>
    <w:rsid w:val="013E5860"/>
    <w:rsid w:val="014064FC"/>
    <w:rsid w:val="014533BD"/>
    <w:rsid w:val="014B7CE7"/>
    <w:rsid w:val="015D7FE4"/>
    <w:rsid w:val="015F6FD1"/>
    <w:rsid w:val="016F6A25"/>
    <w:rsid w:val="01701A0E"/>
    <w:rsid w:val="01782078"/>
    <w:rsid w:val="017D3E84"/>
    <w:rsid w:val="017E427C"/>
    <w:rsid w:val="018140CF"/>
    <w:rsid w:val="018A2437"/>
    <w:rsid w:val="018C2D61"/>
    <w:rsid w:val="01AF08EB"/>
    <w:rsid w:val="01B00A12"/>
    <w:rsid w:val="01B67746"/>
    <w:rsid w:val="01C81F50"/>
    <w:rsid w:val="01C8665F"/>
    <w:rsid w:val="01C963B7"/>
    <w:rsid w:val="01C9799B"/>
    <w:rsid w:val="01DA7CD9"/>
    <w:rsid w:val="01DB262B"/>
    <w:rsid w:val="01E371E4"/>
    <w:rsid w:val="01E47B1C"/>
    <w:rsid w:val="01E536F7"/>
    <w:rsid w:val="01E801F2"/>
    <w:rsid w:val="01EB76E7"/>
    <w:rsid w:val="01F91A55"/>
    <w:rsid w:val="01FC27C2"/>
    <w:rsid w:val="02147AFB"/>
    <w:rsid w:val="021E79D8"/>
    <w:rsid w:val="022A0D30"/>
    <w:rsid w:val="023C7E95"/>
    <w:rsid w:val="02523D81"/>
    <w:rsid w:val="02690F88"/>
    <w:rsid w:val="02835780"/>
    <w:rsid w:val="028B33F0"/>
    <w:rsid w:val="028C3520"/>
    <w:rsid w:val="028C4AC9"/>
    <w:rsid w:val="02976556"/>
    <w:rsid w:val="029F0F02"/>
    <w:rsid w:val="02A713B2"/>
    <w:rsid w:val="02B40054"/>
    <w:rsid w:val="02BB745B"/>
    <w:rsid w:val="02C57BC2"/>
    <w:rsid w:val="02D41DBE"/>
    <w:rsid w:val="02E45F2A"/>
    <w:rsid w:val="02E62CF8"/>
    <w:rsid w:val="02EE0040"/>
    <w:rsid w:val="02F45D69"/>
    <w:rsid w:val="02F56D74"/>
    <w:rsid w:val="03002B58"/>
    <w:rsid w:val="03093041"/>
    <w:rsid w:val="030C4B6A"/>
    <w:rsid w:val="031006C5"/>
    <w:rsid w:val="031A1DEF"/>
    <w:rsid w:val="033705B7"/>
    <w:rsid w:val="034D72DC"/>
    <w:rsid w:val="03515971"/>
    <w:rsid w:val="035231FF"/>
    <w:rsid w:val="03590AF2"/>
    <w:rsid w:val="036611D4"/>
    <w:rsid w:val="036B40A7"/>
    <w:rsid w:val="036F5A57"/>
    <w:rsid w:val="03720451"/>
    <w:rsid w:val="037C70E4"/>
    <w:rsid w:val="038B23B0"/>
    <w:rsid w:val="038F46AF"/>
    <w:rsid w:val="03A117AC"/>
    <w:rsid w:val="03A7182A"/>
    <w:rsid w:val="03C56A58"/>
    <w:rsid w:val="03C71BF6"/>
    <w:rsid w:val="03D231EC"/>
    <w:rsid w:val="03D47417"/>
    <w:rsid w:val="03D55690"/>
    <w:rsid w:val="03DA0EBC"/>
    <w:rsid w:val="03F07373"/>
    <w:rsid w:val="03F20B60"/>
    <w:rsid w:val="04186A8A"/>
    <w:rsid w:val="041B0411"/>
    <w:rsid w:val="042A113E"/>
    <w:rsid w:val="043C2ECE"/>
    <w:rsid w:val="044D1639"/>
    <w:rsid w:val="044F52A5"/>
    <w:rsid w:val="045D16F9"/>
    <w:rsid w:val="045D7B40"/>
    <w:rsid w:val="045E49C7"/>
    <w:rsid w:val="046250E4"/>
    <w:rsid w:val="04731085"/>
    <w:rsid w:val="04747A48"/>
    <w:rsid w:val="047E093E"/>
    <w:rsid w:val="048D0707"/>
    <w:rsid w:val="048D72F3"/>
    <w:rsid w:val="049276B1"/>
    <w:rsid w:val="049849A8"/>
    <w:rsid w:val="049D7DF5"/>
    <w:rsid w:val="04A55CD4"/>
    <w:rsid w:val="04A9252C"/>
    <w:rsid w:val="04AB5747"/>
    <w:rsid w:val="04B22F0A"/>
    <w:rsid w:val="04BD5EAB"/>
    <w:rsid w:val="04BE5FB8"/>
    <w:rsid w:val="04C422E3"/>
    <w:rsid w:val="04C56495"/>
    <w:rsid w:val="04CF47FD"/>
    <w:rsid w:val="04D31EAF"/>
    <w:rsid w:val="04EC2304"/>
    <w:rsid w:val="04EC3346"/>
    <w:rsid w:val="04ED3108"/>
    <w:rsid w:val="04ED60CA"/>
    <w:rsid w:val="04F87BAD"/>
    <w:rsid w:val="0500010F"/>
    <w:rsid w:val="05087525"/>
    <w:rsid w:val="050F0F83"/>
    <w:rsid w:val="0515576F"/>
    <w:rsid w:val="052161FD"/>
    <w:rsid w:val="05261AAF"/>
    <w:rsid w:val="052D07D4"/>
    <w:rsid w:val="05312472"/>
    <w:rsid w:val="053718BE"/>
    <w:rsid w:val="053764FC"/>
    <w:rsid w:val="054401B2"/>
    <w:rsid w:val="054841B8"/>
    <w:rsid w:val="05544E60"/>
    <w:rsid w:val="0562641A"/>
    <w:rsid w:val="05705616"/>
    <w:rsid w:val="058A0140"/>
    <w:rsid w:val="05B02E88"/>
    <w:rsid w:val="05BA2E73"/>
    <w:rsid w:val="05C02FC9"/>
    <w:rsid w:val="05C32F45"/>
    <w:rsid w:val="05D918C2"/>
    <w:rsid w:val="05DB49C8"/>
    <w:rsid w:val="05E443BF"/>
    <w:rsid w:val="05E456A5"/>
    <w:rsid w:val="05E47EEC"/>
    <w:rsid w:val="05F73FAC"/>
    <w:rsid w:val="06063905"/>
    <w:rsid w:val="060752D5"/>
    <w:rsid w:val="06153242"/>
    <w:rsid w:val="061F3D7C"/>
    <w:rsid w:val="062A0D30"/>
    <w:rsid w:val="063426BC"/>
    <w:rsid w:val="063C6016"/>
    <w:rsid w:val="064425C8"/>
    <w:rsid w:val="064A0316"/>
    <w:rsid w:val="065A1FF0"/>
    <w:rsid w:val="065C592B"/>
    <w:rsid w:val="066473B4"/>
    <w:rsid w:val="0666498E"/>
    <w:rsid w:val="066667A9"/>
    <w:rsid w:val="066A119C"/>
    <w:rsid w:val="066D1CAF"/>
    <w:rsid w:val="0679727C"/>
    <w:rsid w:val="069951A3"/>
    <w:rsid w:val="069952F6"/>
    <w:rsid w:val="069B03C7"/>
    <w:rsid w:val="06A12ABD"/>
    <w:rsid w:val="06AF0653"/>
    <w:rsid w:val="06B22121"/>
    <w:rsid w:val="06CA70A6"/>
    <w:rsid w:val="06D10A06"/>
    <w:rsid w:val="06D53CF8"/>
    <w:rsid w:val="06D67051"/>
    <w:rsid w:val="06D86974"/>
    <w:rsid w:val="06DD234E"/>
    <w:rsid w:val="06E96DFB"/>
    <w:rsid w:val="06F67066"/>
    <w:rsid w:val="07051152"/>
    <w:rsid w:val="07160BE1"/>
    <w:rsid w:val="072145F4"/>
    <w:rsid w:val="07230354"/>
    <w:rsid w:val="074579E5"/>
    <w:rsid w:val="07516136"/>
    <w:rsid w:val="07560FFD"/>
    <w:rsid w:val="07610A04"/>
    <w:rsid w:val="076B0B9F"/>
    <w:rsid w:val="077A5D1C"/>
    <w:rsid w:val="07953AFF"/>
    <w:rsid w:val="07A80DEC"/>
    <w:rsid w:val="07CA5902"/>
    <w:rsid w:val="07E02F57"/>
    <w:rsid w:val="07E270EC"/>
    <w:rsid w:val="08024DF7"/>
    <w:rsid w:val="08267A61"/>
    <w:rsid w:val="08283562"/>
    <w:rsid w:val="083F5B5A"/>
    <w:rsid w:val="08486092"/>
    <w:rsid w:val="085B3539"/>
    <w:rsid w:val="08652581"/>
    <w:rsid w:val="086D170D"/>
    <w:rsid w:val="08760869"/>
    <w:rsid w:val="08814A68"/>
    <w:rsid w:val="08A4297C"/>
    <w:rsid w:val="08B655D0"/>
    <w:rsid w:val="08B7268E"/>
    <w:rsid w:val="08B8144A"/>
    <w:rsid w:val="08B8657D"/>
    <w:rsid w:val="08D431D4"/>
    <w:rsid w:val="08D4725F"/>
    <w:rsid w:val="08D87F1F"/>
    <w:rsid w:val="08DB09EC"/>
    <w:rsid w:val="08DB12F2"/>
    <w:rsid w:val="08DC4D33"/>
    <w:rsid w:val="08DF2B93"/>
    <w:rsid w:val="08E774C9"/>
    <w:rsid w:val="08F26A8C"/>
    <w:rsid w:val="08F75C3E"/>
    <w:rsid w:val="08FD2FBB"/>
    <w:rsid w:val="090319CE"/>
    <w:rsid w:val="09067BEC"/>
    <w:rsid w:val="091119AC"/>
    <w:rsid w:val="0916459F"/>
    <w:rsid w:val="0917285B"/>
    <w:rsid w:val="09181F02"/>
    <w:rsid w:val="09265ED9"/>
    <w:rsid w:val="09452378"/>
    <w:rsid w:val="094B7264"/>
    <w:rsid w:val="095C561A"/>
    <w:rsid w:val="0960472A"/>
    <w:rsid w:val="09765EF5"/>
    <w:rsid w:val="097F0F70"/>
    <w:rsid w:val="0984177E"/>
    <w:rsid w:val="098E5A20"/>
    <w:rsid w:val="09934390"/>
    <w:rsid w:val="09AB37B4"/>
    <w:rsid w:val="09BC028D"/>
    <w:rsid w:val="09C42F83"/>
    <w:rsid w:val="09D228EF"/>
    <w:rsid w:val="09D8358B"/>
    <w:rsid w:val="09DC7D2D"/>
    <w:rsid w:val="09E739DD"/>
    <w:rsid w:val="09E813E1"/>
    <w:rsid w:val="09EB7FD3"/>
    <w:rsid w:val="09F0070E"/>
    <w:rsid w:val="09F47D86"/>
    <w:rsid w:val="09FD0D82"/>
    <w:rsid w:val="0A157EE1"/>
    <w:rsid w:val="0A163248"/>
    <w:rsid w:val="0A165A38"/>
    <w:rsid w:val="0A2348F9"/>
    <w:rsid w:val="0A2E023E"/>
    <w:rsid w:val="0A3058CA"/>
    <w:rsid w:val="0A512CEF"/>
    <w:rsid w:val="0A5708DA"/>
    <w:rsid w:val="0A5C27C2"/>
    <w:rsid w:val="0A5D2D24"/>
    <w:rsid w:val="0A5D3C9D"/>
    <w:rsid w:val="0A645EB1"/>
    <w:rsid w:val="0A6D34BC"/>
    <w:rsid w:val="0A7E1D37"/>
    <w:rsid w:val="0A7F178F"/>
    <w:rsid w:val="0A836C1F"/>
    <w:rsid w:val="0A870FE2"/>
    <w:rsid w:val="0AA92818"/>
    <w:rsid w:val="0AB06A3F"/>
    <w:rsid w:val="0AB86D45"/>
    <w:rsid w:val="0AC21BF6"/>
    <w:rsid w:val="0ACA545E"/>
    <w:rsid w:val="0AD37721"/>
    <w:rsid w:val="0ADC6000"/>
    <w:rsid w:val="0AE26A77"/>
    <w:rsid w:val="0AE7004A"/>
    <w:rsid w:val="0AF2175B"/>
    <w:rsid w:val="0B002E4E"/>
    <w:rsid w:val="0B03123F"/>
    <w:rsid w:val="0B0405FD"/>
    <w:rsid w:val="0B092AC6"/>
    <w:rsid w:val="0B0D7296"/>
    <w:rsid w:val="0B0E4F5B"/>
    <w:rsid w:val="0B0E6379"/>
    <w:rsid w:val="0B15342C"/>
    <w:rsid w:val="0B1B5470"/>
    <w:rsid w:val="0B281539"/>
    <w:rsid w:val="0B2C1BC5"/>
    <w:rsid w:val="0B31561B"/>
    <w:rsid w:val="0B396DB6"/>
    <w:rsid w:val="0B4502EB"/>
    <w:rsid w:val="0B45528C"/>
    <w:rsid w:val="0B633D1A"/>
    <w:rsid w:val="0B644993"/>
    <w:rsid w:val="0B692DCB"/>
    <w:rsid w:val="0B6C3CBE"/>
    <w:rsid w:val="0B7C7534"/>
    <w:rsid w:val="0B7E4235"/>
    <w:rsid w:val="0B8A5E35"/>
    <w:rsid w:val="0B8A71CC"/>
    <w:rsid w:val="0B8D0694"/>
    <w:rsid w:val="0B920BA5"/>
    <w:rsid w:val="0B9550CC"/>
    <w:rsid w:val="0B9B26BD"/>
    <w:rsid w:val="0BAD55E9"/>
    <w:rsid w:val="0BB24076"/>
    <w:rsid w:val="0BB32E0D"/>
    <w:rsid w:val="0BBE1B4F"/>
    <w:rsid w:val="0BE34088"/>
    <w:rsid w:val="0BF82005"/>
    <w:rsid w:val="0BFD6B5E"/>
    <w:rsid w:val="0C005C69"/>
    <w:rsid w:val="0C025EC9"/>
    <w:rsid w:val="0C21727A"/>
    <w:rsid w:val="0C232153"/>
    <w:rsid w:val="0C3F74C4"/>
    <w:rsid w:val="0C495145"/>
    <w:rsid w:val="0C521CE9"/>
    <w:rsid w:val="0C527533"/>
    <w:rsid w:val="0C6438DB"/>
    <w:rsid w:val="0C682FF4"/>
    <w:rsid w:val="0C6E7FD2"/>
    <w:rsid w:val="0C7D05E0"/>
    <w:rsid w:val="0C7F450E"/>
    <w:rsid w:val="0C9507A9"/>
    <w:rsid w:val="0C967DC9"/>
    <w:rsid w:val="0C9C3325"/>
    <w:rsid w:val="0C9F1824"/>
    <w:rsid w:val="0CA0636E"/>
    <w:rsid w:val="0CAE6610"/>
    <w:rsid w:val="0CB5445E"/>
    <w:rsid w:val="0CB90E62"/>
    <w:rsid w:val="0CC973FF"/>
    <w:rsid w:val="0CCC2232"/>
    <w:rsid w:val="0CD35ED1"/>
    <w:rsid w:val="0CDE780B"/>
    <w:rsid w:val="0CE2480D"/>
    <w:rsid w:val="0CE27409"/>
    <w:rsid w:val="0CE51054"/>
    <w:rsid w:val="0CE85A5A"/>
    <w:rsid w:val="0D065A6A"/>
    <w:rsid w:val="0D08386C"/>
    <w:rsid w:val="0D092A9C"/>
    <w:rsid w:val="0D0F622E"/>
    <w:rsid w:val="0D140841"/>
    <w:rsid w:val="0D1A3FB6"/>
    <w:rsid w:val="0D1C23CC"/>
    <w:rsid w:val="0D1F6E79"/>
    <w:rsid w:val="0D2A05E1"/>
    <w:rsid w:val="0D2C656E"/>
    <w:rsid w:val="0D3F05B9"/>
    <w:rsid w:val="0D433D55"/>
    <w:rsid w:val="0D490F19"/>
    <w:rsid w:val="0D567085"/>
    <w:rsid w:val="0D613866"/>
    <w:rsid w:val="0D6326B2"/>
    <w:rsid w:val="0D68534E"/>
    <w:rsid w:val="0D701BD8"/>
    <w:rsid w:val="0D7E493E"/>
    <w:rsid w:val="0D8D3E2A"/>
    <w:rsid w:val="0D9131D7"/>
    <w:rsid w:val="0D91386C"/>
    <w:rsid w:val="0DA86F94"/>
    <w:rsid w:val="0DAF6675"/>
    <w:rsid w:val="0DB230D5"/>
    <w:rsid w:val="0DB42444"/>
    <w:rsid w:val="0DBA17EE"/>
    <w:rsid w:val="0DBB2231"/>
    <w:rsid w:val="0DBD4B48"/>
    <w:rsid w:val="0DC06E1B"/>
    <w:rsid w:val="0DC540B1"/>
    <w:rsid w:val="0DC553F3"/>
    <w:rsid w:val="0DC60285"/>
    <w:rsid w:val="0DD55774"/>
    <w:rsid w:val="0DDE7493"/>
    <w:rsid w:val="0DE506D4"/>
    <w:rsid w:val="0DF97723"/>
    <w:rsid w:val="0DFA5C3E"/>
    <w:rsid w:val="0E0161A6"/>
    <w:rsid w:val="0E026283"/>
    <w:rsid w:val="0E0717AC"/>
    <w:rsid w:val="0E075CE5"/>
    <w:rsid w:val="0E10372F"/>
    <w:rsid w:val="0E116E6C"/>
    <w:rsid w:val="0E174921"/>
    <w:rsid w:val="0E1B1BE4"/>
    <w:rsid w:val="0E2C2521"/>
    <w:rsid w:val="0E35451A"/>
    <w:rsid w:val="0E361023"/>
    <w:rsid w:val="0E436FAD"/>
    <w:rsid w:val="0E456A4B"/>
    <w:rsid w:val="0E5D57B1"/>
    <w:rsid w:val="0E681AC9"/>
    <w:rsid w:val="0E7A4BD9"/>
    <w:rsid w:val="0E830175"/>
    <w:rsid w:val="0E8D602B"/>
    <w:rsid w:val="0EA770E0"/>
    <w:rsid w:val="0EAF0FE8"/>
    <w:rsid w:val="0EBA64AB"/>
    <w:rsid w:val="0EBE6DAF"/>
    <w:rsid w:val="0EE018B0"/>
    <w:rsid w:val="0EF4487E"/>
    <w:rsid w:val="0F0C63D0"/>
    <w:rsid w:val="0F0F71EA"/>
    <w:rsid w:val="0F216A4A"/>
    <w:rsid w:val="0F3B7596"/>
    <w:rsid w:val="0F4414CB"/>
    <w:rsid w:val="0F4444F7"/>
    <w:rsid w:val="0F470F18"/>
    <w:rsid w:val="0F5237E1"/>
    <w:rsid w:val="0F5A22B4"/>
    <w:rsid w:val="0F643185"/>
    <w:rsid w:val="0F655249"/>
    <w:rsid w:val="0F6D3099"/>
    <w:rsid w:val="0F6E3535"/>
    <w:rsid w:val="0F6E721B"/>
    <w:rsid w:val="0F706A2F"/>
    <w:rsid w:val="0F7A327F"/>
    <w:rsid w:val="0F8B5645"/>
    <w:rsid w:val="0FA3738C"/>
    <w:rsid w:val="0FBB69BF"/>
    <w:rsid w:val="0FBC4733"/>
    <w:rsid w:val="0FC03294"/>
    <w:rsid w:val="0FC61BB8"/>
    <w:rsid w:val="0FC87169"/>
    <w:rsid w:val="0FCE4A5B"/>
    <w:rsid w:val="0FD618D8"/>
    <w:rsid w:val="0FDE04DE"/>
    <w:rsid w:val="0FE964F7"/>
    <w:rsid w:val="0FEE3716"/>
    <w:rsid w:val="0FF2547E"/>
    <w:rsid w:val="0FF25A98"/>
    <w:rsid w:val="0FF4311D"/>
    <w:rsid w:val="0FFB0F8F"/>
    <w:rsid w:val="0FFC6C9E"/>
    <w:rsid w:val="10002ECB"/>
    <w:rsid w:val="10044A9B"/>
    <w:rsid w:val="100B7C5F"/>
    <w:rsid w:val="10101588"/>
    <w:rsid w:val="101C18BE"/>
    <w:rsid w:val="10233C5D"/>
    <w:rsid w:val="10347FEB"/>
    <w:rsid w:val="10371454"/>
    <w:rsid w:val="103D2E1C"/>
    <w:rsid w:val="1050541C"/>
    <w:rsid w:val="105D7899"/>
    <w:rsid w:val="105F1719"/>
    <w:rsid w:val="10624D1C"/>
    <w:rsid w:val="10680A2E"/>
    <w:rsid w:val="106D2EAC"/>
    <w:rsid w:val="107420B7"/>
    <w:rsid w:val="107762D6"/>
    <w:rsid w:val="10A937BF"/>
    <w:rsid w:val="10B5411B"/>
    <w:rsid w:val="10B63881"/>
    <w:rsid w:val="10CB4DC3"/>
    <w:rsid w:val="10D03D5B"/>
    <w:rsid w:val="10D66F45"/>
    <w:rsid w:val="10D827B0"/>
    <w:rsid w:val="10EA3763"/>
    <w:rsid w:val="10EB372F"/>
    <w:rsid w:val="10F820FC"/>
    <w:rsid w:val="10F941B8"/>
    <w:rsid w:val="111B2B62"/>
    <w:rsid w:val="113E0BAF"/>
    <w:rsid w:val="113F700A"/>
    <w:rsid w:val="11464E44"/>
    <w:rsid w:val="11473C83"/>
    <w:rsid w:val="11523FDC"/>
    <w:rsid w:val="11674D0C"/>
    <w:rsid w:val="116869B4"/>
    <w:rsid w:val="117B1975"/>
    <w:rsid w:val="11812847"/>
    <w:rsid w:val="118B10B4"/>
    <w:rsid w:val="118B12F6"/>
    <w:rsid w:val="119255CC"/>
    <w:rsid w:val="119D5452"/>
    <w:rsid w:val="11A73C82"/>
    <w:rsid w:val="11D546DC"/>
    <w:rsid w:val="11D578C1"/>
    <w:rsid w:val="11D75E31"/>
    <w:rsid w:val="11DA7806"/>
    <w:rsid w:val="11EC7BDD"/>
    <w:rsid w:val="120F546F"/>
    <w:rsid w:val="121466A9"/>
    <w:rsid w:val="12162052"/>
    <w:rsid w:val="12261A20"/>
    <w:rsid w:val="12383D8C"/>
    <w:rsid w:val="123C2332"/>
    <w:rsid w:val="123C684D"/>
    <w:rsid w:val="123D43D6"/>
    <w:rsid w:val="124757A1"/>
    <w:rsid w:val="124A64B0"/>
    <w:rsid w:val="12524DC1"/>
    <w:rsid w:val="125421C9"/>
    <w:rsid w:val="126E49C0"/>
    <w:rsid w:val="126E729D"/>
    <w:rsid w:val="127855B6"/>
    <w:rsid w:val="12935506"/>
    <w:rsid w:val="12A143F5"/>
    <w:rsid w:val="12A509D3"/>
    <w:rsid w:val="12A7686F"/>
    <w:rsid w:val="12A94E09"/>
    <w:rsid w:val="12B74D0F"/>
    <w:rsid w:val="12C438AC"/>
    <w:rsid w:val="12D828E0"/>
    <w:rsid w:val="12D86E9F"/>
    <w:rsid w:val="12DC4521"/>
    <w:rsid w:val="12E17986"/>
    <w:rsid w:val="12E57DFC"/>
    <w:rsid w:val="12E61DC3"/>
    <w:rsid w:val="12FA200B"/>
    <w:rsid w:val="12FA2197"/>
    <w:rsid w:val="130425E9"/>
    <w:rsid w:val="13185DC8"/>
    <w:rsid w:val="13246336"/>
    <w:rsid w:val="13334547"/>
    <w:rsid w:val="13346952"/>
    <w:rsid w:val="13364EE8"/>
    <w:rsid w:val="13383F81"/>
    <w:rsid w:val="13387AE1"/>
    <w:rsid w:val="135E44C2"/>
    <w:rsid w:val="13615B8F"/>
    <w:rsid w:val="13616F9C"/>
    <w:rsid w:val="1369451D"/>
    <w:rsid w:val="13733D20"/>
    <w:rsid w:val="137748E1"/>
    <w:rsid w:val="138B6837"/>
    <w:rsid w:val="138D0BE4"/>
    <w:rsid w:val="139257E8"/>
    <w:rsid w:val="139A3823"/>
    <w:rsid w:val="139C0D62"/>
    <w:rsid w:val="13AF26A4"/>
    <w:rsid w:val="13B0660A"/>
    <w:rsid w:val="13BD7988"/>
    <w:rsid w:val="13BE6289"/>
    <w:rsid w:val="13D11138"/>
    <w:rsid w:val="13EE163F"/>
    <w:rsid w:val="13F316AE"/>
    <w:rsid w:val="13F653DA"/>
    <w:rsid w:val="13F776C2"/>
    <w:rsid w:val="141343C6"/>
    <w:rsid w:val="141B480E"/>
    <w:rsid w:val="141C70D4"/>
    <w:rsid w:val="141E21E1"/>
    <w:rsid w:val="1421360C"/>
    <w:rsid w:val="142C45C0"/>
    <w:rsid w:val="14336D9E"/>
    <w:rsid w:val="14371722"/>
    <w:rsid w:val="144976BA"/>
    <w:rsid w:val="1453547C"/>
    <w:rsid w:val="14541E0B"/>
    <w:rsid w:val="14563B69"/>
    <w:rsid w:val="145F2B4B"/>
    <w:rsid w:val="146C2D38"/>
    <w:rsid w:val="147940F2"/>
    <w:rsid w:val="14970D61"/>
    <w:rsid w:val="14A31E21"/>
    <w:rsid w:val="14B577EF"/>
    <w:rsid w:val="14B75B84"/>
    <w:rsid w:val="14BE346A"/>
    <w:rsid w:val="14C8669B"/>
    <w:rsid w:val="14DA4C5F"/>
    <w:rsid w:val="14DC2824"/>
    <w:rsid w:val="14E45DC7"/>
    <w:rsid w:val="15027590"/>
    <w:rsid w:val="15066DEF"/>
    <w:rsid w:val="15072029"/>
    <w:rsid w:val="150E1A39"/>
    <w:rsid w:val="15250A37"/>
    <w:rsid w:val="152E242A"/>
    <w:rsid w:val="154215BC"/>
    <w:rsid w:val="155535FD"/>
    <w:rsid w:val="155A5C59"/>
    <w:rsid w:val="155B5261"/>
    <w:rsid w:val="15603844"/>
    <w:rsid w:val="156758B0"/>
    <w:rsid w:val="156B49C1"/>
    <w:rsid w:val="15774D7C"/>
    <w:rsid w:val="157B4836"/>
    <w:rsid w:val="15816025"/>
    <w:rsid w:val="158D0755"/>
    <w:rsid w:val="159016D2"/>
    <w:rsid w:val="159309AD"/>
    <w:rsid w:val="15982C5F"/>
    <w:rsid w:val="15A53D1D"/>
    <w:rsid w:val="15AA440F"/>
    <w:rsid w:val="15AD34B2"/>
    <w:rsid w:val="15B60AC7"/>
    <w:rsid w:val="15C919E7"/>
    <w:rsid w:val="15CB5AE0"/>
    <w:rsid w:val="15D94625"/>
    <w:rsid w:val="15DD779C"/>
    <w:rsid w:val="15DF5478"/>
    <w:rsid w:val="15E46CB5"/>
    <w:rsid w:val="15EF7C7C"/>
    <w:rsid w:val="16200715"/>
    <w:rsid w:val="16221D36"/>
    <w:rsid w:val="16270B53"/>
    <w:rsid w:val="162E4C69"/>
    <w:rsid w:val="16442171"/>
    <w:rsid w:val="16494523"/>
    <w:rsid w:val="164A5AA5"/>
    <w:rsid w:val="164B269C"/>
    <w:rsid w:val="165347C9"/>
    <w:rsid w:val="1667638F"/>
    <w:rsid w:val="166B6FE7"/>
    <w:rsid w:val="166D16B0"/>
    <w:rsid w:val="166F5FCE"/>
    <w:rsid w:val="16710503"/>
    <w:rsid w:val="167B677B"/>
    <w:rsid w:val="16812EC3"/>
    <w:rsid w:val="16B03775"/>
    <w:rsid w:val="16B14980"/>
    <w:rsid w:val="16B4741F"/>
    <w:rsid w:val="16CC05F0"/>
    <w:rsid w:val="16DE60D5"/>
    <w:rsid w:val="16E9544C"/>
    <w:rsid w:val="16FE78CC"/>
    <w:rsid w:val="17086033"/>
    <w:rsid w:val="17155205"/>
    <w:rsid w:val="171C4905"/>
    <w:rsid w:val="17223EA9"/>
    <w:rsid w:val="172F44BE"/>
    <w:rsid w:val="174240AD"/>
    <w:rsid w:val="174C37BC"/>
    <w:rsid w:val="1756775F"/>
    <w:rsid w:val="17590EF7"/>
    <w:rsid w:val="176501ED"/>
    <w:rsid w:val="17680303"/>
    <w:rsid w:val="176C2E48"/>
    <w:rsid w:val="176D4DB2"/>
    <w:rsid w:val="1773416E"/>
    <w:rsid w:val="177C29F3"/>
    <w:rsid w:val="17807B1B"/>
    <w:rsid w:val="178513E3"/>
    <w:rsid w:val="17866B99"/>
    <w:rsid w:val="178C0BA2"/>
    <w:rsid w:val="17991F6C"/>
    <w:rsid w:val="17A17149"/>
    <w:rsid w:val="17A7442A"/>
    <w:rsid w:val="17AB2D65"/>
    <w:rsid w:val="17BA57A8"/>
    <w:rsid w:val="17BC1811"/>
    <w:rsid w:val="17CE4630"/>
    <w:rsid w:val="17D709B9"/>
    <w:rsid w:val="17DF44CF"/>
    <w:rsid w:val="17E53518"/>
    <w:rsid w:val="17F25E1A"/>
    <w:rsid w:val="18110E58"/>
    <w:rsid w:val="1811351A"/>
    <w:rsid w:val="1816072C"/>
    <w:rsid w:val="181E6661"/>
    <w:rsid w:val="18223E76"/>
    <w:rsid w:val="183B77E9"/>
    <w:rsid w:val="184D05F5"/>
    <w:rsid w:val="184F4BC1"/>
    <w:rsid w:val="18515FAD"/>
    <w:rsid w:val="18593FB0"/>
    <w:rsid w:val="185940D9"/>
    <w:rsid w:val="185E15CE"/>
    <w:rsid w:val="185E280A"/>
    <w:rsid w:val="185E66BA"/>
    <w:rsid w:val="188A3924"/>
    <w:rsid w:val="1894158B"/>
    <w:rsid w:val="1894490D"/>
    <w:rsid w:val="18960BDD"/>
    <w:rsid w:val="18964449"/>
    <w:rsid w:val="18967F86"/>
    <w:rsid w:val="18A47F05"/>
    <w:rsid w:val="18A52891"/>
    <w:rsid w:val="18C20499"/>
    <w:rsid w:val="18C72B3F"/>
    <w:rsid w:val="18C92EA9"/>
    <w:rsid w:val="18DC7AEC"/>
    <w:rsid w:val="18E92DEE"/>
    <w:rsid w:val="18EE610E"/>
    <w:rsid w:val="18F80469"/>
    <w:rsid w:val="18FF0D97"/>
    <w:rsid w:val="18FF50F0"/>
    <w:rsid w:val="19056149"/>
    <w:rsid w:val="1907216D"/>
    <w:rsid w:val="19114790"/>
    <w:rsid w:val="19164ED0"/>
    <w:rsid w:val="19185CC9"/>
    <w:rsid w:val="19267C65"/>
    <w:rsid w:val="192E48AE"/>
    <w:rsid w:val="1931273C"/>
    <w:rsid w:val="19340CE1"/>
    <w:rsid w:val="193A12A5"/>
    <w:rsid w:val="19493A81"/>
    <w:rsid w:val="194D6CF0"/>
    <w:rsid w:val="195763CE"/>
    <w:rsid w:val="195A5FEF"/>
    <w:rsid w:val="195F4AF4"/>
    <w:rsid w:val="196F59A4"/>
    <w:rsid w:val="19764FFA"/>
    <w:rsid w:val="19953433"/>
    <w:rsid w:val="199A6E51"/>
    <w:rsid w:val="19B6623A"/>
    <w:rsid w:val="19B859AC"/>
    <w:rsid w:val="19C846DF"/>
    <w:rsid w:val="19CC3372"/>
    <w:rsid w:val="19D1173D"/>
    <w:rsid w:val="19EA525E"/>
    <w:rsid w:val="19EB5461"/>
    <w:rsid w:val="19F01FEB"/>
    <w:rsid w:val="19F124A6"/>
    <w:rsid w:val="19F50DD4"/>
    <w:rsid w:val="19F60E6D"/>
    <w:rsid w:val="19F91C0C"/>
    <w:rsid w:val="1A3146DE"/>
    <w:rsid w:val="1A375A56"/>
    <w:rsid w:val="1A4068B6"/>
    <w:rsid w:val="1A480BB3"/>
    <w:rsid w:val="1A4C0584"/>
    <w:rsid w:val="1A561419"/>
    <w:rsid w:val="1A573263"/>
    <w:rsid w:val="1A5A306A"/>
    <w:rsid w:val="1A614B0E"/>
    <w:rsid w:val="1A667D1D"/>
    <w:rsid w:val="1A670823"/>
    <w:rsid w:val="1A68376E"/>
    <w:rsid w:val="1A6B42BD"/>
    <w:rsid w:val="1A6C186B"/>
    <w:rsid w:val="1A6C7747"/>
    <w:rsid w:val="1A735E45"/>
    <w:rsid w:val="1A7B4FFC"/>
    <w:rsid w:val="1A861B86"/>
    <w:rsid w:val="1A9142A9"/>
    <w:rsid w:val="1A9833BF"/>
    <w:rsid w:val="1A9851A9"/>
    <w:rsid w:val="1A9E3F0C"/>
    <w:rsid w:val="1AB10C2F"/>
    <w:rsid w:val="1AE52C8C"/>
    <w:rsid w:val="1AEE3284"/>
    <w:rsid w:val="1AF20156"/>
    <w:rsid w:val="1AF57E02"/>
    <w:rsid w:val="1B1278E9"/>
    <w:rsid w:val="1B1361DA"/>
    <w:rsid w:val="1B1A5A64"/>
    <w:rsid w:val="1B1F519A"/>
    <w:rsid w:val="1B1F60EF"/>
    <w:rsid w:val="1B214753"/>
    <w:rsid w:val="1B354DBF"/>
    <w:rsid w:val="1B4329AF"/>
    <w:rsid w:val="1B4B26E7"/>
    <w:rsid w:val="1B534CC0"/>
    <w:rsid w:val="1B672B4E"/>
    <w:rsid w:val="1B7053B6"/>
    <w:rsid w:val="1B737443"/>
    <w:rsid w:val="1B8074A5"/>
    <w:rsid w:val="1B8701AA"/>
    <w:rsid w:val="1B92524D"/>
    <w:rsid w:val="1B9C328F"/>
    <w:rsid w:val="1B9E4D27"/>
    <w:rsid w:val="1BA322D1"/>
    <w:rsid w:val="1BA3685C"/>
    <w:rsid w:val="1BA43753"/>
    <w:rsid w:val="1BA77952"/>
    <w:rsid w:val="1BA96A85"/>
    <w:rsid w:val="1BAF4DF6"/>
    <w:rsid w:val="1BBA55E0"/>
    <w:rsid w:val="1BD5186D"/>
    <w:rsid w:val="1BDE740C"/>
    <w:rsid w:val="1BE20836"/>
    <w:rsid w:val="1BE22C5C"/>
    <w:rsid w:val="1BE64124"/>
    <w:rsid w:val="1BF50C7E"/>
    <w:rsid w:val="1BF62FD5"/>
    <w:rsid w:val="1BF73026"/>
    <w:rsid w:val="1BFC5398"/>
    <w:rsid w:val="1C067C94"/>
    <w:rsid w:val="1C081E3E"/>
    <w:rsid w:val="1C165D2D"/>
    <w:rsid w:val="1C1A3B73"/>
    <w:rsid w:val="1C207D0F"/>
    <w:rsid w:val="1C224364"/>
    <w:rsid w:val="1C270909"/>
    <w:rsid w:val="1C2A44BD"/>
    <w:rsid w:val="1C33177C"/>
    <w:rsid w:val="1C354258"/>
    <w:rsid w:val="1C356385"/>
    <w:rsid w:val="1C4106E1"/>
    <w:rsid w:val="1C4416BD"/>
    <w:rsid w:val="1C4427ED"/>
    <w:rsid w:val="1C4E0FC8"/>
    <w:rsid w:val="1C562968"/>
    <w:rsid w:val="1C5E5A39"/>
    <w:rsid w:val="1C6A7D32"/>
    <w:rsid w:val="1C700666"/>
    <w:rsid w:val="1C90689D"/>
    <w:rsid w:val="1C9A0360"/>
    <w:rsid w:val="1CA96FBF"/>
    <w:rsid w:val="1CAF09B4"/>
    <w:rsid w:val="1CB31078"/>
    <w:rsid w:val="1CB523B7"/>
    <w:rsid w:val="1CB563BF"/>
    <w:rsid w:val="1CC13006"/>
    <w:rsid w:val="1CC80AF8"/>
    <w:rsid w:val="1CCD706F"/>
    <w:rsid w:val="1CD9555B"/>
    <w:rsid w:val="1CDE1009"/>
    <w:rsid w:val="1D006283"/>
    <w:rsid w:val="1D0D333F"/>
    <w:rsid w:val="1D100857"/>
    <w:rsid w:val="1D2F26D9"/>
    <w:rsid w:val="1D3228D8"/>
    <w:rsid w:val="1D416ED6"/>
    <w:rsid w:val="1D4B052D"/>
    <w:rsid w:val="1D4B528A"/>
    <w:rsid w:val="1D5D1F54"/>
    <w:rsid w:val="1D652747"/>
    <w:rsid w:val="1D6923EE"/>
    <w:rsid w:val="1D6B45DF"/>
    <w:rsid w:val="1D6C00F6"/>
    <w:rsid w:val="1D703899"/>
    <w:rsid w:val="1D743260"/>
    <w:rsid w:val="1D7E0B7E"/>
    <w:rsid w:val="1D7F00AE"/>
    <w:rsid w:val="1D824F19"/>
    <w:rsid w:val="1D87232E"/>
    <w:rsid w:val="1D8D64B9"/>
    <w:rsid w:val="1D914323"/>
    <w:rsid w:val="1D9B18A5"/>
    <w:rsid w:val="1D9C136B"/>
    <w:rsid w:val="1DAC13FC"/>
    <w:rsid w:val="1DC418D7"/>
    <w:rsid w:val="1DCF7A3E"/>
    <w:rsid w:val="1DF12561"/>
    <w:rsid w:val="1DF85109"/>
    <w:rsid w:val="1DFA147B"/>
    <w:rsid w:val="1E002D45"/>
    <w:rsid w:val="1E051DA6"/>
    <w:rsid w:val="1E1142DC"/>
    <w:rsid w:val="1E177171"/>
    <w:rsid w:val="1E1E6741"/>
    <w:rsid w:val="1E214CCB"/>
    <w:rsid w:val="1E25781D"/>
    <w:rsid w:val="1E313EF4"/>
    <w:rsid w:val="1E3C327A"/>
    <w:rsid w:val="1E535731"/>
    <w:rsid w:val="1E5E2056"/>
    <w:rsid w:val="1E6F0159"/>
    <w:rsid w:val="1E7606C3"/>
    <w:rsid w:val="1E7834EF"/>
    <w:rsid w:val="1E8079E6"/>
    <w:rsid w:val="1E874AB2"/>
    <w:rsid w:val="1E88532C"/>
    <w:rsid w:val="1E8B2D88"/>
    <w:rsid w:val="1E9752D1"/>
    <w:rsid w:val="1E987FD4"/>
    <w:rsid w:val="1E9D33D6"/>
    <w:rsid w:val="1E9F310C"/>
    <w:rsid w:val="1EA26CFB"/>
    <w:rsid w:val="1EA540E5"/>
    <w:rsid w:val="1EAA0825"/>
    <w:rsid w:val="1EB43268"/>
    <w:rsid w:val="1EB91A6D"/>
    <w:rsid w:val="1EBA7D2A"/>
    <w:rsid w:val="1EC00E8E"/>
    <w:rsid w:val="1ED824CA"/>
    <w:rsid w:val="1EE44127"/>
    <w:rsid w:val="1EE9768B"/>
    <w:rsid w:val="1EEB0EAF"/>
    <w:rsid w:val="1F015B6F"/>
    <w:rsid w:val="1F023D01"/>
    <w:rsid w:val="1F0A3DD0"/>
    <w:rsid w:val="1F0C1D4F"/>
    <w:rsid w:val="1F170CB9"/>
    <w:rsid w:val="1F224F0F"/>
    <w:rsid w:val="1F2B5005"/>
    <w:rsid w:val="1F330AC6"/>
    <w:rsid w:val="1F3319FA"/>
    <w:rsid w:val="1F342DE0"/>
    <w:rsid w:val="1F343011"/>
    <w:rsid w:val="1F4B6060"/>
    <w:rsid w:val="1F4D7736"/>
    <w:rsid w:val="1F532AE4"/>
    <w:rsid w:val="1F5B5E55"/>
    <w:rsid w:val="1F6477F1"/>
    <w:rsid w:val="1F6F7327"/>
    <w:rsid w:val="1F737ACE"/>
    <w:rsid w:val="1F83588F"/>
    <w:rsid w:val="1F8863E0"/>
    <w:rsid w:val="1F8C50D5"/>
    <w:rsid w:val="1F9319F6"/>
    <w:rsid w:val="1F9B14F3"/>
    <w:rsid w:val="1FB21D1D"/>
    <w:rsid w:val="1FB47A3A"/>
    <w:rsid w:val="1FBD45C9"/>
    <w:rsid w:val="1FBF26D3"/>
    <w:rsid w:val="1FC06C35"/>
    <w:rsid w:val="1FC80EF9"/>
    <w:rsid w:val="1FE04A31"/>
    <w:rsid w:val="1FE1754E"/>
    <w:rsid w:val="1FF74269"/>
    <w:rsid w:val="1FFC12EA"/>
    <w:rsid w:val="20004487"/>
    <w:rsid w:val="200547AE"/>
    <w:rsid w:val="200906ED"/>
    <w:rsid w:val="200C0A75"/>
    <w:rsid w:val="201E5779"/>
    <w:rsid w:val="20233E27"/>
    <w:rsid w:val="20254DE0"/>
    <w:rsid w:val="203835B0"/>
    <w:rsid w:val="20387404"/>
    <w:rsid w:val="203D0257"/>
    <w:rsid w:val="203F337A"/>
    <w:rsid w:val="2043261C"/>
    <w:rsid w:val="20470660"/>
    <w:rsid w:val="204809D3"/>
    <w:rsid w:val="205F7786"/>
    <w:rsid w:val="207F0F3E"/>
    <w:rsid w:val="20825169"/>
    <w:rsid w:val="2083260F"/>
    <w:rsid w:val="20844CEB"/>
    <w:rsid w:val="208F4041"/>
    <w:rsid w:val="20921198"/>
    <w:rsid w:val="209E27AE"/>
    <w:rsid w:val="20AA1CBB"/>
    <w:rsid w:val="20B466B2"/>
    <w:rsid w:val="20BF4DA0"/>
    <w:rsid w:val="20D6227E"/>
    <w:rsid w:val="20D63AA1"/>
    <w:rsid w:val="20D77692"/>
    <w:rsid w:val="20DD6A9D"/>
    <w:rsid w:val="20E13080"/>
    <w:rsid w:val="20E33800"/>
    <w:rsid w:val="20EC4D26"/>
    <w:rsid w:val="20FC4984"/>
    <w:rsid w:val="20FC6E7B"/>
    <w:rsid w:val="210020EE"/>
    <w:rsid w:val="21035EC5"/>
    <w:rsid w:val="21172D3E"/>
    <w:rsid w:val="21186514"/>
    <w:rsid w:val="21210854"/>
    <w:rsid w:val="212928FB"/>
    <w:rsid w:val="21304D69"/>
    <w:rsid w:val="214021FB"/>
    <w:rsid w:val="214059D8"/>
    <w:rsid w:val="21420A29"/>
    <w:rsid w:val="21486AE2"/>
    <w:rsid w:val="21491CD4"/>
    <w:rsid w:val="21496A3A"/>
    <w:rsid w:val="214C0B35"/>
    <w:rsid w:val="2159345A"/>
    <w:rsid w:val="21686402"/>
    <w:rsid w:val="21693571"/>
    <w:rsid w:val="216A38FB"/>
    <w:rsid w:val="21725D88"/>
    <w:rsid w:val="217E3F1C"/>
    <w:rsid w:val="21817394"/>
    <w:rsid w:val="219374CF"/>
    <w:rsid w:val="21977893"/>
    <w:rsid w:val="21A16911"/>
    <w:rsid w:val="21A4680D"/>
    <w:rsid w:val="21A86A54"/>
    <w:rsid w:val="21AE791B"/>
    <w:rsid w:val="21CA4384"/>
    <w:rsid w:val="21CB1A81"/>
    <w:rsid w:val="21D0740C"/>
    <w:rsid w:val="21E2757C"/>
    <w:rsid w:val="220C1F3E"/>
    <w:rsid w:val="2210754D"/>
    <w:rsid w:val="2213568B"/>
    <w:rsid w:val="22231004"/>
    <w:rsid w:val="22282AB9"/>
    <w:rsid w:val="222D6EB6"/>
    <w:rsid w:val="22353BFF"/>
    <w:rsid w:val="223A40C0"/>
    <w:rsid w:val="223A6222"/>
    <w:rsid w:val="223C2491"/>
    <w:rsid w:val="22466687"/>
    <w:rsid w:val="224D6B7F"/>
    <w:rsid w:val="22582031"/>
    <w:rsid w:val="22700A95"/>
    <w:rsid w:val="227373FD"/>
    <w:rsid w:val="228E406B"/>
    <w:rsid w:val="22905742"/>
    <w:rsid w:val="22AC6FF8"/>
    <w:rsid w:val="22BD53D1"/>
    <w:rsid w:val="22BF3489"/>
    <w:rsid w:val="22C20922"/>
    <w:rsid w:val="22C60A95"/>
    <w:rsid w:val="22CD3F6D"/>
    <w:rsid w:val="22D33792"/>
    <w:rsid w:val="22D52E75"/>
    <w:rsid w:val="22D94E99"/>
    <w:rsid w:val="22DA00E6"/>
    <w:rsid w:val="22E76557"/>
    <w:rsid w:val="22EC653F"/>
    <w:rsid w:val="22ED67CC"/>
    <w:rsid w:val="23031429"/>
    <w:rsid w:val="230331EC"/>
    <w:rsid w:val="230A13A4"/>
    <w:rsid w:val="23152DEF"/>
    <w:rsid w:val="231F4365"/>
    <w:rsid w:val="23212A42"/>
    <w:rsid w:val="2327119F"/>
    <w:rsid w:val="23382751"/>
    <w:rsid w:val="233B30F6"/>
    <w:rsid w:val="23403113"/>
    <w:rsid w:val="23410D8E"/>
    <w:rsid w:val="23451746"/>
    <w:rsid w:val="234B7310"/>
    <w:rsid w:val="23542123"/>
    <w:rsid w:val="235A5754"/>
    <w:rsid w:val="2361682E"/>
    <w:rsid w:val="23641C36"/>
    <w:rsid w:val="23656225"/>
    <w:rsid w:val="23740FE9"/>
    <w:rsid w:val="23767585"/>
    <w:rsid w:val="237D2DCC"/>
    <w:rsid w:val="2383664F"/>
    <w:rsid w:val="2389701A"/>
    <w:rsid w:val="238D5570"/>
    <w:rsid w:val="238F415B"/>
    <w:rsid w:val="2393284A"/>
    <w:rsid w:val="239640B6"/>
    <w:rsid w:val="23980464"/>
    <w:rsid w:val="23A37C75"/>
    <w:rsid w:val="23A647D9"/>
    <w:rsid w:val="23A92C0C"/>
    <w:rsid w:val="23AA350C"/>
    <w:rsid w:val="23C26304"/>
    <w:rsid w:val="23D060C1"/>
    <w:rsid w:val="23D521D5"/>
    <w:rsid w:val="23DA38F6"/>
    <w:rsid w:val="23DC2471"/>
    <w:rsid w:val="23DD2E01"/>
    <w:rsid w:val="23DD7E55"/>
    <w:rsid w:val="23E94859"/>
    <w:rsid w:val="23ED30B8"/>
    <w:rsid w:val="23EE0381"/>
    <w:rsid w:val="23FC7297"/>
    <w:rsid w:val="24155F5C"/>
    <w:rsid w:val="24160FC6"/>
    <w:rsid w:val="24336335"/>
    <w:rsid w:val="24345F88"/>
    <w:rsid w:val="24365E36"/>
    <w:rsid w:val="243D68BE"/>
    <w:rsid w:val="245A32A7"/>
    <w:rsid w:val="246273A5"/>
    <w:rsid w:val="24654FA1"/>
    <w:rsid w:val="24782CA3"/>
    <w:rsid w:val="24877D1C"/>
    <w:rsid w:val="248B5C2B"/>
    <w:rsid w:val="249965C8"/>
    <w:rsid w:val="24B31A11"/>
    <w:rsid w:val="24C77C86"/>
    <w:rsid w:val="24ED4FF5"/>
    <w:rsid w:val="24EE6803"/>
    <w:rsid w:val="24F2121B"/>
    <w:rsid w:val="250210D7"/>
    <w:rsid w:val="25233288"/>
    <w:rsid w:val="25241A2A"/>
    <w:rsid w:val="252C3858"/>
    <w:rsid w:val="252D2DB9"/>
    <w:rsid w:val="25416C72"/>
    <w:rsid w:val="25561D15"/>
    <w:rsid w:val="255B2327"/>
    <w:rsid w:val="255D5742"/>
    <w:rsid w:val="255F2708"/>
    <w:rsid w:val="25676FF0"/>
    <w:rsid w:val="25696D22"/>
    <w:rsid w:val="256F5F2A"/>
    <w:rsid w:val="257D1A34"/>
    <w:rsid w:val="25802E97"/>
    <w:rsid w:val="25860087"/>
    <w:rsid w:val="25880895"/>
    <w:rsid w:val="258A5CE5"/>
    <w:rsid w:val="258E6E89"/>
    <w:rsid w:val="25926876"/>
    <w:rsid w:val="25970C23"/>
    <w:rsid w:val="2598624B"/>
    <w:rsid w:val="25B16A69"/>
    <w:rsid w:val="25B37DB2"/>
    <w:rsid w:val="25B625BC"/>
    <w:rsid w:val="25BB720D"/>
    <w:rsid w:val="25C75B17"/>
    <w:rsid w:val="25CE6915"/>
    <w:rsid w:val="25D1335F"/>
    <w:rsid w:val="25D31C2B"/>
    <w:rsid w:val="25D40D64"/>
    <w:rsid w:val="25D6707C"/>
    <w:rsid w:val="25DC4098"/>
    <w:rsid w:val="25DF000F"/>
    <w:rsid w:val="25E65A39"/>
    <w:rsid w:val="25EC7E00"/>
    <w:rsid w:val="25F51D00"/>
    <w:rsid w:val="25F9417F"/>
    <w:rsid w:val="2604161F"/>
    <w:rsid w:val="2606135F"/>
    <w:rsid w:val="260E1D58"/>
    <w:rsid w:val="261339BD"/>
    <w:rsid w:val="26190E48"/>
    <w:rsid w:val="26342566"/>
    <w:rsid w:val="263958D7"/>
    <w:rsid w:val="26466904"/>
    <w:rsid w:val="26535565"/>
    <w:rsid w:val="266234A8"/>
    <w:rsid w:val="266630F8"/>
    <w:rsid w:val="266F74F0"/>
    <w:rsid w:val="2686653E"/>
    <w:rsid w:val="269A56E7"/>
    <w:rsid w:val="269B2847"/>
    <w:rsid w:val="269D5BF4"/>
    <w:rsid w:val="26AE3675"/>
    <w:rsid w:val="26BC1D39"/>
    <w:rsid w:val="26C01B63"/>
    <w:rsid w:val="26CA62A3"/>
    <w:rsid w:val="26CA6C74"/>
    <w:rsid w:val="26CC3E02"/>
    <w:rsid w:val="26D50DA8"/>
    <w:rsid w:val="26DC7786"/>
    <w:rsid w:val="26E039F6"/>
    <w:rsid w:val="26E5752F"/>
    <w:rsid w:val="26E9501A"/>
    <w:rsid w:val="26F46962"/>
    <w:rsid w:val="27060157"/>
    <w:rsid w:val="27072D91"/>
    <w:rsid w:val="27171437"/>
    <w:rsid w:val="27171E79"/>
    <w:rsid w:val="271D7A42"/>
    <w:rsid w:val="2732337B"/>
    <w:rsid w:val="273A2EEF"/>
    <w:rsid w:val="274218A3"/>
    <w:rsid w:val="27466A28"/>
    <w:rsid w:val="2747405B"/>
    <w:rsid w:val="274933B9"/>
    <w:rsid w:val="27550D76"/>
    <w:rsid w:val="27613120"/>
    <w:rsid w:val="2767052D"/>
    <w:rsid w:val="278604FC"/>
    <w:rsid w:val="27872A26"/>
    <w:rsid w:val="2789650C"/>
    <w:rsid w:val="27981F9E"/>
    <w:rsid w:val="279C1381"/>
    <w:rsid w:val="27A54F6B"/>
    <w:rsid w:val="27A96E15"/>
    <w:rsid w:val="27BB265B"/>
    <w:rsid w:val="27D03F85"/>
    <w:rsid w:val="27D653DC"/>
    <w:rsid w:val="27D95753"/>
    <w:rsid w:val="27DD4868"/>
    <w:rsid w:val="27DD632F"/>
    <w:rsid w:val="27E36205"/>
    <w:rsid w:val="27E45C6F"/>
    <w:rsid w:val="27FA6B15"/>
    <w:rsid w:val="27FF7B82"/>
    <w:rsid w:val="280F169C"/>
    <w:rsid w:val="281520F8"/>
    <w:rsid w:val="281E3A75"/>
    <w:rsid w:val="28343B75"/>
    <w:rsid w:val="283A0702"/>
    <w:rsid w:val="283D4C71"/>
    <w:rsid w:val="28445C47"/>
    <w:rsid w:val="284A5375"/>
    <w:rsid w:val="284E7F28"/>
    <w:rsid w:val="28595CC3"/>
    <w:rsid w:val="286478B1"/>
    <w:rsid w:val="286F4229"/>
    <w:rsid w:val="2871153E"/>
    <w:rsid w:val="28752E36"/>
    <w:rsid w:val="287754CF"/>
    <w:rsid w:val="288D575A"/>
    <w:rsid w:val="289150DD"/>
    <w:rsid w:val="28A1334A"/>
    <w:rsid w:val="28A25AE1"/>
    <w:rsid w:val="28BA7C6D"/>
    <w:rsid w:val="28C90077"/>
    <w:rsid w:val="28D26B5D"/>
    <w:rsid w:val="28EF2BC2"/>
    <w:rsid w:val="28EF6AF5"/>
    <w:rsid w:val="28FC0B38"/>
    <w:rsid w:val="28FE752D"/>
    <w:rsid w:val="29042C9D"/>
    <w:rsid w:val="290D7BAF"/>
    <w:rsid w:val="291A6BF2"/>
    <w:rsid w:val="291D527F"/>
    <w:rsid w:val="29233949"/>
    <w:rsid w:val="29241B69"/>
    <w:rsid w:val="29246597"/>
    <w:rsid w:val="29355D07"/>
    <w:rsid w:val="293D6D6A"/>
    <w:rsid w:val="29410EF7"/>
    <w:rsid w:val="29425E66"/>
    <w:rsid w:val="2949741F"/>
    <w:rsid w:val="294B2A73"/>
    <w:rsid w:val="2954139D"/>
    <w:rsid w:val="29587A3C"/>
    <w:rsid w:val="29660907"/>
    <w:rsid w:val="29662E38"/>
    <w:rsid w:val="29675EC6"/>
    <w:rsid w:val="296F2B7D"/>
    <w:rsid w:val="29791C34"/>
    <w:rsid w:val="29863057"/>
    <w:rsid w:val="298815CA"/>
    <w:rsid w:val="29915B81"/>
    <w:rsid w:val="29936D9F"/>
    <w:rsid w:val="29994AE7"/>
    <w:rsid w:val="29A92BAE"/>
    <w:rsid w:val="29AA2EF6"/>
    <w:rsid w:val="29AD6F12"/>
    <w:rsid w:val="29B44487"/>
    <w:rsid w:val="29B642CE"/>
    <w:rsid w:val="29B72037"/>
    <w:rsid w:val="29BB1649"/>
    <w:rsid w:val="29C8472A"/>
    <w:rsid w:val="29CD4C64"/>
    <w:rsid w:val="29D0034B"/>
    <w:rsid w:val="29D26B72"/>
    <w:rsid w:val="29DB28E2"/>
    <w:rsid w:val="29DC0715"/>
    <w:rsid w:val="29E05E72"/>
    <w:rsid w:val="29E9321F"/>
    <w:rsid w:val="29EC0C58"/>
    <w:rsid w:val="29EC564C"/>
    <w:rsid w:val="29F36880"/>
    <w:rsid w:val="29FA3DB5"/>
    <w:rsid w:val="2A0B40F5"/>
    <w:rsid w:val="2A145827"/>
    <w:rsid w:val="2A1A0961"/>
    <w:rsid w:val="2A30050E"/>
    <w:rsid w:val="2A302281"/>
    <w:rsid w:val="2A30373D"/>
    <w:rsid w:val="2A384355"/>
    <w:rsid w:val="2A3C1195"/>
    <w:rsid w:val="2A4B2BFE"/>
    <w:rsid w:val="2A5B5539"/>
    <w:rsid w:val="2A634064"/>
    <w:rsid w:val="2A715AE7"/>
    <w:rsid w:val="2A720786"/>
    <w:rsid w:val="2A7677AD"/>
    <w:rsid w:val="2A797499"/>
    <w:rsid w:val="2A830BFE"/>
    <w:rsid w:val="2A860B1A"/>
    <w:rsid w:val="2A8847FA"/>
    <w:rsid w:val="2A8C184C"/>
    <w:rsid w:val="2A9406A5"/>
    <w:rsid w:val="2A9D3C39"/>
    <w:rsid w:val="2AA20210"/>
    <w:rsid w:val="2AA35AC1"/>
    <w:rsid w:val="2AA53FC7"/>
    <w:rsid w:val="2ABA5391"/>
    <w:rsid w:val="2AC40779"/>
    <w:rsid w:val="2AC51FDD"/>
    <w:rsid w:val="2ACD7003"/>
    <w:rsid w:val="2ACD77F0"/>
    <w:rsid w:val="2AD23CE3"/>
    <w:rsid w:val="2AD93A9A"/>
    <w:rsid w:val="2AE109AC"/>
    <w:rsid w:val="2AEA253B"/>
    <w:rsid w:val="2AED3A81"/>
    <w:rsid w:val="2AF9533D"/>
    <w:rsid w:val="2AFA1F11"/>
    <w:rsid w:val="2AFD328A"/>
    <w:rsid w:val="2B0B4AD7"/>
    <w:rsid w:val="2B294B0B"/>
    <w:rsid w:val="2B3441AB"/>
    <w:rsid w:val="2B394199"/>
    <w:rsid w:val="2B461C6B"/>
    <w:rsid w:val="2B47199C"/>
    <w:rsid w:val="2B4C5062"/>
    <w:rsid w:val="2B4D1D94"/>
    <w:rsid w:val="2B521E81"/>
    <w:rsid w:val="2B525464"/>
    <w:rsid w:val="2B556E6A"/>
    <w:rsid w:val="2B5817E5"/>
    <w:rsid w:val="2B5851F7"/>
    <w:rsid w:val="2B660338"/>
    <w:rsid w:val="2B740665"/>
    <w:rsid w:val="2B755EC7"/>
    <w:rsid w:val="2B75611C"/>
    <w:rsid w:val="2B7F6E24"/>
    <w:rsid w:val="2B8B29B6"/>
    <w:rsid w:val="2BA80ED7"/>
    <w:rsid w:val="2BAA72F5"/>
    <w:rsid w:val="2BBD7844"/>
    <w:rsid w:val="2BC41FD3"/>
    <w:rsid w:val="2BCC4CBE"/>
    <w:rsid w:val="2BDD222B"/>
    <w:rsid w:val="2C1502DE"/>
    <w:rsid w:val="2C194EF8"/>
    <w:rsid w:val="2C1F3D30"/>
    <w:rsid w:val="2C263D44"/>
    <w:rsid w:val="2C37548A"/>
    <w:rsid w:val="2C440D23"/>
    <w:rsid w:val="2C4C08BA"/>
    <w:rsid w:val="2C590CB2"/>
    <w:rsid w:val="2C5A6343"/>
    <w:rsid w:val="2C642E8E"/>
    <w:rsid w:val="2C66367B"/>
    <w:rsid w:val="2C761D27"/>
    <w:rsid w:val="2C9E29C7"/>
    <w:rsid w:val="2CA2286D"/>
    <w:rsid w:val="2CB45646"/>
    <w:rsid w:val="2CB51424"/>
    <w:rsid w:val="2CBB0983"/>
    <w:rsid w:val="2CC42892"/>
    <w:rsid w:val="2CD41001"/>
    <w:rsid w:val="2CD7059B"/>
    <w:rsid w:val="2CDD5DB2"/>
    <w:rsid w:val="2CF3396D"/>
    <w:rsid w:val="2CF73A10"/>
    <w:rsid w:val="2D0037EA"/>
    <w:rsid w:val="2D141472"/>
    <w:rsid w:val="2D14288C"/>
    <w:rsid w:val="2D1A2922"/>
    <w:rsid w:val="2D1B5C65"/>
    <w:rsid w:val="2D2B02C9"/>
    <w:rsid w:val="2D401D61"/>
    <w:rsid w:val="2D470BD5"/>
    <w:rsid w:val="2D4B4217"/>
    <w:rsid w:val="2D534CD2"/>
    <w:rsid w:val="2D576ADB"/>
    <w:rsid w:val="2D604B8B"/>
    <w:rsid w:val="2D633581"/>
    <w:rsid w:val="2D6465D5"/>
    <w:rsid w:val="2D691782"/>
    <w:rsid w:val="2D6E0EE3"/>
    <w:rsid w:val="2D70497E"/>
    <w:rsid w:val="2D712D59"/>
    <w:rsid w:val="2D72333E"/>
    <w:rsid w:val="2D73694A"/>
    <w:rsid w:val="2D814F88"/>
    <w:rsid w:val="2D8A462E"/>
    <w:rsid w:val="2D8E1D3F"/>
    <w:rsid w:val="2D937631"/>
    <w:rsid w:val="2DB4490D"/>
    <w:rsid w:val="2DBE0FB3"/>
    <w:rsid w:val="2DC06C25"/>
    <w:rsid w:val="2DCB585B"/>
    <w:rsid w:val="2DCD4091"/>
    <w:rsid w:val="2DDC385E"/>
    <w:rsid w:val="2DF239C5"/>
    <w:rsid w:val="2DF43FBC"/>
    <w:rsid w:val="2DF503EA"/>
    <w:rsid w:val="2DFA369A"/>
    <w:rsid w:val="2DFE4CBC"/>
    <w:rsid w:val="2E081D2D"/>
    <w:rsid w:val="2E0E00E2"/>
    <w:rsid w:val="2E1023B7"/>
    <w:rsid w:val="2E1879CD"/>
    <w:rsid w:val="2E197717"/>
    <w:rsid w:val="2E1E466A"/>
    <w:rsid w:val="2E282B4A"/>
    <w:rsid w:val="2E286C7E"/>
    <w:rsid w:val="2E2F6422"/>
    <w:rsid w:val="2E3A42CA"/>
    <w:rsid w:val="2E3E0878"/>
    <w:rsid w:val="2E4C5D3B"/>
    <w:rsid w:val="2E633B8E"/>
    <w:rsid w:val="2E6578CD"/>
    <w:rsid w:val="2E68321B"/>
    <w:rsid w:val="2E6950B1"/>
    <w:rsid w:val="2E6A78AF"/>
    <w:rsid w:val="2E740FFF"/>
    <w:rsid w:val="2E895B4D"/>
    <w:rsid w:val="2E8D34D6"/>
    <w:rsid w:val="2E951B85"/>
    <w:rsid w:val="2E9D0768"/>
    <w:rsid w:val="2EB07E70"/>
    <w:rsid w:val="2EB90757"/>
    <w:rsid w:val="2EBD0D35"/>
    <w:rsid w:val="2EC6650E"/>
    <w:rsid w:val="2ED33B5E"/>
    <w:rsid w:val="2EDA313F"/>
    <w:rsid w:val="2EEF233A"/>
    <w:rsid w:val="2EF04956"/>
    <w:rsid w:val="2EF26A3C"/>
    <w:rsid w:val="2EFB527A"/>
    <w:rsid w:val="2EFC6A61"/>
    <w:rsid w:val="2F07574E"/>
    <w:rsid w:val="2F097ACC"/>
    <w:rsid w:val="2F171F0C"/>
    <w:rsid w:val="2F184054"/>
    <w:rsid w:val="2F25059C"/>
    <w:rsid w:val="2F280717"/>
    <w:rsid w:val="2F2F3581"/>
    <w:rsid w:val="2F2F4333"/>
    <w:rsid w:val="2F323727"/>
    <w:rsid w:val="2F3D0D24"/>
    <w:rsid w:val="2F414A1D"/>
    <w:rsid w:val="2F4531FE"/>
    <w:rsid w:val="2F6D59FC"/>
    <w:rsid w:val="2F77082B"/>
    <w:rsid w:val="2F770E4B"/>
    <w:rsid w:val="2F802C0B"/>
    <w:rsid w:val="2F814EDD"/>
    <w:rsid w:val="2F8348CA"/>
    <w:rsid w:val="2F84083C"/>
    <w:rsid w:val="2F885D49"/>
    <w:rsid w:val="2F8B0868"/>
    <w:rsid w:val="2F8F400C"/>
    <w:rsid w:val="2F9176CF"/>
    <w:rsid w:val="2FA026FC"/>
    <w:rsid w:val="2FAC009A"/>
    <w:rsid w:val="2FC0766C"/>
    <w:rsid w:val="2FC57137"/>
    <w:rsid w:val="2FCB4132"/>
    <w:rsid w:val="2FCC708E"/>
    <w:rsid w:val="2FD1188B"/>
    <w:rsid w:val="2FD15673"/>
    <w:rsid w:val="2FD15C75"/>
    <w:rsid w:val="2FD52C0A"/>
    <w:rsid w:val="2FD66E82"/>
    <w:rsid w:val="2FDF28A5"/>
    <w:rsid w:val="2FE74EFC"/>
    <w:rsid w:val="301022EF"/>
    <w:rsid w:val="30146B38"/>
    <w:rsid w:val="301656AA"/>
    <w:rsid w:val="301D1E80"/>
    <w:rsid w:val="302441A8"/>
    <w:rsid w:val="302C1778"/>
    <w:rsid w:val="302F2D78"/>
    <w:rsid w:val="30346843"/>
    <w:rsid w:val="303E6DC9"/>
    <w:rsid w:val="303F11A8"/>
    <w:rsid w:val="30465BED"/>
    <w:rsid w:val="304D64E6"/>
    <w:rsid w:val="305D65E3"/>
    <w:rsid w:val="306851AF"/>
    <w:rsid w:val="306C4B2F"/>
    <w:rsid w:val="307169A8"/>
    <w:rsid w:val="30865B4F"/>
    <w:rsid w:val="308B2A73"/>
    <w:rsid w:val="308B3B89"/>
    <w:rsid w:val="3097094C"/>
    <w:rsid w:val="30A52D11"/>
    <w:rsid w:val="30B06515"/>
    <w:rsid w:val="30B406B5"/>
    <w:rsid w:val="30B750F4"/>
    <w:rsid w:val="30C24486"/>
    <w:rsid w:val="30C50319"/>
    <w:rsid w:val="30CF747D"/>
    <w:rsid w:val="30DD3865"/>
    <w:rsid w:val="30E04DC6"/>
    <w:rsid w:val="30E7417A"/>
    <w:rsid w:val="30EA1C02"/>
    <w:rsid w:val="30F47AF1"/>
    <w:rsid w:val="31233AD5"/>
    <w:rsid w:val="312B42B6"/>
    <w:rsid w:val="312F6DFA"/>
    <w:rsid w:val="31381E05"/>
    <w:rsid w:val="31414CE5"/>
    <w:rsid w:val="314B3E97"/>
    <w:rsid w:val="315200A1"/>
    <w:rsid w:val="317B0FC2"/>
    <w:rsid w:val="317E2B88"/>
    <w:rsid w:val="317E7275"/>
    <w:rsid w:val="3188180C"/>
    <w:rsid w:val="318D0EF9"/>
    <w:rsid w:val="318E74DC"/>
    <w:rsid w:val="319F631C"/>
    <w:rsid w:val="31A647BD"/>
    <w:rsid w:val="31A904A7"/>
    <w:rsid w:val="31AB1146"/>
    <w:rsid w:val="31AB1823"/>
    <w:rsid w:val="31C47379"/>
    <w:rsid w:val="31E51564"/>
    <w:rsid w:val="31E84E23"/>
    <w:rsid w:val="31EC555E"/>
    <w:rsid w:val="31EF4229"/>
    <w:rsid w:val="31F15105"/>
    <w:rsid w:val="31FF2029"/>
    <w:rsid w:val="32230967"/>
    <w:rsid w:val="323718AA"/>
    <w:rsid w:val="32394A8D"/>
    <w:rsid w:val="323A5242"/>
    <w:rsid w:val="32403F54"/>
    <w:rsid w:val="3241790C"/>
    <w:rsid w:val="325600FC"/>
    <w:rsid w:val="32561833"/>
    <w:rsid w:val="32716203"/>
    <w:rsid w:val="32765301"/>
    <w:rsid w:val="327F1A82"/>
    <w:rsid w:val="32892A6F"/>
    <w:rsid w:val="329600C7"/>
    <w:rsid w:val="32996131"/>
    <w:rsid w:val="329D5A07"/>
    <w:rsid w:val="32A85CE8"/>
    <w:rsid w:val="32A91891"/>
    <w:rsid w:val="32AD5203"/>
    <w:rsid w:val="32CB212A"/>
    <w:rsid w:val="32D13BF9"/>
    <w:rsid w:val="32E10CFC"/>
    <w:rsid w:val="32EB1910"/>
    <w:rsid w:val="33021759"/>
    <w:rsid w:val="330B0D78"/>
    <w:rsid w:val="330B3A7C"/>
    <w:rsid w:val="331045E4"/>
    <w:rsid w:val="3311299C"/>
    <w:rsid w:val="333677FD"/>
    <w:rsid w:val="333A60CB"/>
    <w:rsid w:val="333E0EE8"/>
    <w:rsid w:val="33414E9E"/>
    <w:rsid w:val="33423AC4"/>
    <w:rsid w:val="334406E7"/>
    <w:rsid w:val="33447CF9"/>
    <w:rsid w:val="334600DC"/>
    <w:rsid w:val="334D54B6"/>
    <w:rsid w:val="335114D0"/>
    <w:rsid w:val="33602787"/>
    <w:rsid w:val="33604EEF"/>
    <w:rsid w:val="3361045D"/>
    <w:rsid w:val="336141CC"/>
    <w:rsid w:val="3362324E"/>
    <w:rsid w:val="336B1F56"/>
    <w:rsid w:val="33703259"/>
    <w:rsid w:val="3373567E"/>
    <w:rsid w:val="33754E1A"/>
    <w:rsid w:val="33774DF1"/>
    <w:rsid w:val="338133D0"/>
    <w:rsid w:val="338965CD"/>
    <w:rsid w:val="3394163F"/>
    <w:rsid w:val="33A010F6"/>
    <w:rsid w:val="33A23750"/>
    <w:rsid w:val="33A51367"/>
    <w:rsid w:val="33A62744"/>
    <w:rsid w:val="33AE495C"/>
    <w:rsid w:val="33BD2AF1"/>
    <w:rsid w:val="33CE3610"/>
    <w:rsid w:val="33D30C98"/>
    <w:rsid w:val="33E52369"/>
    <w:rsid w:val="33EE041F"/>
    <w:rsid w:val="33F07BCE"/>
    <w:rsid w:val="340513A4"/>
    <w:rsid w:val="340B06A9"/>
    <w:rsid w:val="34140466"/>
    <w:rsid w:val="341727EC"/>
    <w:rsid w:val="341B5D8B"/>
    <w:rsid w:val="3422127E"/>
    <w:rsid w:val="34226FB6"/>
    <w:rsid w:val="34283273"/>
    <w:rsid w:val="3432676E"/>
    <w:rsid w:val="34366021"/>
    <w:rsid w:val="343F195F"/>
    <w:rsid w:val="34415DFC"/>
    <w:rsid w:val="34416AD1"/>
    <w:rsid w:val="344510F9"/>
    <w:rsid w:val="34497D6D"/>
    <w:rsid w:val="344D5A75"/>
    <w:rsid w:val="345060D9"/>
    <w:rsid w:val="345301C9"/>
    <w:rsid w:val="345D39D1"/>
    <w:rsid w:val="34613CFA"/>
    <w:rsid w:val="346577A6"/>
    <w:rsid w:val="346765E9"/>
    <w:rsid w:val="346B7DD6"/>
    <w:rsid w:val="34811269"/>
    <w:rsid w:val="34890A71"/>
    <w:rsid w:val="348C0A32"/>
    <w:rsid w:val="34935389"/>
    <w:rsid w:val="34936AD5"/>
    <w:rsid w:val="34A4661C"/>
    <w:rsid w:val="34A47E38"/>
    <w:rsid w:val="34A74EBF"/>
    <w:rsid w:val="34A9073A"/>
    <w:rsid w:val="34AF4CCA"/>
    <w:rsid w:val="34B7012E"/>
    <w:rsid w:val="34BF681A"/>
    <w:rsid w:val="34C4698C"/>
    <w:rsid w:val="34CD1C15"/>
    <w:rsid w:val="34D408C1"/>
    <w:rsid w:val="34D93DB1"/>
    <w:rsid w:val="34DB551B"/>
    <w:rsid w:val="34EE16F7"/>
    <w:rsid w:val="34F046EB"/>
    <w:rsid w:val="34FE64FC"/>
    <w:rsid w:val="3502625B"/>
    <w:rsid w:val="350B7E16"/>
    <w:rsid w:val="351052B1"/>
    <w:rsid w:val="35122DFE"/>
    <w:rsid w:val="35126160"/>
    <w:rsid w:val="352716F9"/>
    <w:rsid w:val="35413331"/>
    <w:rsid w:val="354444EB"/>
    <w:rsid w:val="354B430F"/>
    <w:rsid w:val="354C23F6"/>
    <w:rsid w:val="35514B80"/>
    <w:rsid w:val="355D1131"/>
    <w:rsid w:val="35856591"/>
    <w:rsid w:val="35A76CD7"/>
    <w:rsid w:val="35AD3F10"/>
    <w:rsid w:val="35B60D26"/>
    <w:rsid w:val="35B726B9"/>
    <w:rsid w:val="35C60F3E"/>
    <w:rsid w:val="35C81D89"/>
    <w:rsid w:val="35CC377A"/>
    <w:rsid w:val="35CD209A"/>
    <w:rsid w:val="35D23105"/>
    <w:rsid w:val="35F1197D"/>
    <w:rsid w:val="35F154B6"/>
    <w:rsid w:val="35FC160B"/>
    <w:rsid w:val="35FF5657"/>
    <w:rsid w:val="35FF65F8"/>
    <w:rsid w:val="360114A5"/>
    <w:rsid w:val="36060534"/>
    <w:rsid w:val="36161553"/>
    <w:rsid w:val="361E7DB5"/>
    <w:rsid w:val="362D0CC9"/>
    <w:rsid w:val="362F6F6F"/>
    <w:rsid w:val="36455E67"/>
    <w:rsid w:val="36484FA5"/>
    <w:rsid w:val="3648773B"/>
    <w:rsid w:val="364B5267"/>
    <w:rsid w:val="364C57C8"/>
    <w:rsid w:val="364D5D99"/>
    <w:rsid w:val="3656754F"/>
    <w:rsid w:val="36687677"/>
    <w:rsid w:val="36833220"/>
    <w:rsid w:val="36863EC1"/>
    <w:rsid w:val="36870372"/>
    <w:rsid w:val="36905B76"/>
    <w:rsid w:val="3696186C"/>
    <w:rsid w:val="36A53D26"/>
    <w:rsid w:val="36AC594E"/>
    <w:rsid w:val="36AF4EB1"/>
    <w:rsid w:val="36BC0FD4"/>
    <w:rsid w:val="36C05811"/>
    <w:rsid w:val="36C86881"/>
    <w:rsid w:val="36D43795"/>
    <w:rsid w:val="36DB156A"/>
    <w:rsid w:val="36EE6A82"/>
    <w:rsid w:val="36F0608A"/>
    <w:rsid w:val="36F74ACD"/>
    <w:rsid w:val="36FB14E2"/>
    <w:rsid w:val="37176750"/>
    <w:rsid w:val="373136C8"/>
    <w:rsid w:val="373B6A05"/>
    <w:rsid w:val="37513AA6"/>
    <w:rsid w:val="375144AB"/>
    <w:rsid w:val="375B18DC"/>
    <w:rsid w:val="376F5D97"/>
    <w:rsid w:val="37704EDE"/>
    <w:rsid w:val="377B655D"/>
    <w:rsid w:val="37932472"/>
    <w:rsid w:val="379F565E"/>
    <w:rsid w:val="37A128FA"/>
    <w:rsid w:val="37B01ACB"/>
    <w:rsid w:val="37B61816"/>
    <w:rsid w:val="37BE77D6"/>
    <w:rsid w:val="37BF67E0"/>
    <w:rsid w:val="37C83F85"/>
    <w:rsid w:val="37C85006"/>
    <w:rsid w:val="37DA072F"/>
    <w:rsid w:val="37E004DA"/>
    <w:rsid w:val="37EF0341"/>
    <w:rsid w:val="37FA3E9B"/>
    <w:rsid w:val="37FD1B29"/>
    <w:rsid w:val="37FE4F5E"/>
    <w:rsid w:val="380E2E8B"/>
    <w:rsid w:val="380F4E1E"/>
    <w:rsid w:val="38140865"/>
    <w:rsid w:val="3814695C"/>
    <w:rsid w:val="381A4872"/>
    <w:rsid w:val="3828569E"/>
    <w:rsid w:val="3830297C"/>
    <w:rsid w:val="38384404"/>
    <w:rsid w:val="384C103A"/>
    <w:rsid w:val="385B0A81"/>
    <w:rsid w:val="385F52CD"/>
    <w:rsid w:val="3868734C"/>
    <w:rsid w:val="386B6845"/>
    <w:rsid w:val="386F1E25"/>
    <w:rsid w:val="38744B16"/>
    <w:rsid w:val="387A1D4D"/>
    <w:rsid w:val="387C596D"/>
    <w:rsid w:val="388367B6"/>
    <w:rsid w:val="3889029D"/>
    <w:rsid w:val="38987DAF"/>
    <w:rsid w:val="389E5C58"/>
    <w:rsid w:val="38BB632E"/>
    <w:rsid w:val="38CB21FC"/>
    <w:rsid w:val="38CF43C8"/>
    <w:rsid w:val="38D12712"/>
    <w:rsid w:val="38D20F53"/>
    <w:rsid w:val="38E2572E"/>
    <w:rsid w:val="38E93654"/>
    <w:rsid w:val="38EB3ACA"/>
    <w:rsid w:val="38F51ECA"/>
    <w:rsid w:val="38F967C4"/>
    <w:rsid w:val="38FD2B28"/>
    <w:rsid w:val="39050F25"/>
    <w:rsid w:val="39137979"/>
    <w:rsid w:val="39154607"/>
    <w:rsid w:val="39301287"/>
    <w:rsid w:val="393B1351"/>
    <w:rsid w:val="394020BC"/>
    <w:rsid w:val="394948E5"/>
    <w:rsid w:val="39531D4A"/>
    <w:rsid w:val="39685F7B"/>
    <w:rsid w:val="396F12E9"/>
    <w:rsid w:val="396F756D"/>
    <w:rsid w:val="39892F44"/>
    <w:rsid w:val="39AB3E2B"/>
    <w:rsid w:val="39B73331"/>
    <w:rsid w:val="39C72283"/>
    <w:rsid w:val="39CC2911"/>
    <w:rsid w:val="39DA7D4F"/>
    <w:rsid w:val="39DB4EFF"/>
    <w:rsid w:val="39DD67FD"/>
    <w:rsid w:val="39F2503E"/>
    <w:rsid w:val="39F41851"/>
    <w:rsid w:val="39F56FB2"/>
    <w:rsid w:val="3A327C39"/>
    <w:rsid w:val="3A3C5FBB"/>
    <w:rsid w:val="3A497F02"/>
    <w:rsid w:val="3A4E0A79"/>
    <w:rsid w:val="3A58696B"/>
    <w:rsid w:val="3A5B243A"/>
    <w:rsid w:val="3A6E7090"/>
    <w:rsid w:val="3A714C7D"/>
    <w:rsid w:val="3A7B1AE2"/>
    <w:rsid w:val="3A86254D"/>
    <w:rsid w:val="3A874A1E"/>
    <w:rsid w:val="3A8F5538"/>
    <w:rsid w:val="3AA002DD"/>
    <w:rsid w:val="3AA81D4F"/>
    <w:rsid w:val="3AA86115"/>
    <w:rsid w:val="3AA97EC6"/>
    <w:rsid w:val="3AB36F15"/>
    <w:rsid w:val="3AB8493D"/>
    <w:rsid w:val="3AB84EA1"/>
    <w:rsid w:val="3ABA0B18"/>
    <w:rsid w:val="3AC6395A"/>
    <w:rsid w:val="3ACC146B"/>
    <w:rsid w:val="3AE05218"/>
    <w:rsid w:val="3AE1769E"/>
    <w:rsid w:val="3B00369E"/>
    <w:rsid w:val="3B021223"/>
    <w:rsid w:val="3B027650"/>
    <w:rsid w:val="3B056A61"/>
    <w:rsid w:val="3B0A0B73"/>
    <w:rsid w:val="3B15693E"/>
    <w:rsid w:val="3B1B7C21"/>
    <w:rsid w:val="3B1D212E"/>
    <w:rsid w:val="3B1E1004"/>
    <w:rsid w:val="3B521798"/>
    <w:rsid w:val="3B5272A1"/>
    <w:rsid w:val="3B5A50C1"/>
    <w:rsid w:val="3B5C071D"/>
    <w:rsid w:val="3B5F6D3D"/>
    <w:rsid w:val="3B68372E"/>
    <w:rsid w:val="3B716B8E"/>
    <w:rsid w:val="3B7425F8"/>
    <w:rsid w:val="3B746D3E"/>
    <w:rsid w:val="3B75223E"/>
    <w:rsid w:val="3B776DC1"/>
    <w:rsid w:val="3B7B46AC"/>
    <w:rsid w:val="3B810A2F"/>
    <w:rsid w:val="3B9052B1"/>
    <w:rsid w:val="3BA03A45"/>
    <w:rsid w:val="3BA32EB2"/>
    <w:rsid w:val="3BAC0D6F"/>
    <w:rsid w:val="3BAE7543"/>
    <w:rsid w:val="3BC70FF9"/>
    <w:rsid w:val="3BC726BD"/>
    <w:rsid w:val="3BD511E0"/>
    <w:rsid w:val="3BD808AC"/>
    <w:rsid w:val="3BE57C81"/>
    <w:rsid w:val="3BE86411"/>
    <w:rsid w:val="3BEC083C"/>
    <w:rsid w:val="3BEC625F"/>
    <w:rsid w:val="3C0515D0"/>
    <w:rsid w:val="3C066CAC"/>
    <w:rsid w:val="3C083D6F"/>
    <w:rsid w:val="3C094103"/>
    <w:rsid w:val="3C0E567E"/>
    <w:rsid w:val="3C116B83"/>
    <w:rsid w:val="3C125555"/>
    <w:rsid w:val="3C145C7C"/>
    <w:rsid w:val="3C162EAA"/>
    <w:rsid w:val="3C2B70E9"/>
    <w:rsid w:val="3C3C3740"/>
    <w:rsid w:val="3C573431"/>
    <w:rsid w:val="3C604C58"/>
    <w:rsid w:val="3C644F62"/>
    <w:rsid w:val="3C7D287F"/>
    <w:rsid w:val="3C7F052D"/>
    <w:rsid w:val="3C881A40"/>
    <w:rsid w:val="3C90040C"/>
    <w:rsid w:val="3C94666A"/>
    <w:rsid w:val="3C975A5C"/>
    <w:rsid w:val="3CBC5A1C"/>
    <w:rsid w:val="3CC1458A"/>
    <w:rsid w:val="3CC30D61"/>
    <w:rsid w:val="3CD95175"/>
    <w:rsid w:val="3CE4500F"/>
    <w:rsid w:val="3CE84F4F"/>
    <w:rsid w:val="3CEA7EB7"/>
    <w:rsid w:val="3CF90C34"/>
    <w:rsid w:val="3D046588"/>
    <w:rsid w:val="3D0D7AAD"/>
    <w:rsid w:val="3D2F3D7B"/>
    <w:rsid w:val="3D351888"/>
    <w:rsid w:val="3D37663F"/>
    <w:rsid w:val="3D3E2688"/>
    <w:rsid w:val="3D3F33C3"/>
    <w:rsid w:val="3D40653E"/>
    <w:rsid w:val="3D442522"/>
    <w:rsid w:val="3D571DFE"/>
    <w:rsid w:val="3D7017A9"/>
    <w:rsid w:val="3D8C5EBB"/>
    <w:rsid w:val="3D8F7334"/>
    <w:rsid w:val="3D9E6FBC"/>
    <w:rsid w:val="3DB16C34"/>
    <w:rsid w:val="3DB67B7B"/>
    <w:rsid w:val="3DBC67B6"/>
    <w:rsid w:val="3DBF02A8"/>
    <w:rsid w:val="3DC169DC"/>
    <w:rsid w:val="3DCF5690"/>
    <w:rsid w:val="3DD27E02"/>
    <w:rsid w:val="3DE60324"/>
    <w:rsid w:val="3DE928A4"/>
    <w:rsid w:val="3DF32952"/>
    <w:rsid w:val="3DF77252"/>
    <w:rsid w:val="3E0509FD"/>
    <w:rsid w:val="3E114063"/>
    <w:rsid w:val="3E1E5BF3"/>
    <w:rsid w:val="3E25442B"/>
    <w:rsid w:val="3E316E95"/>
    <w:rsid w:val="3E457EAA"/>
    <w:rsid w:val="3E467691"/>
    <w:rsid w:val="3E49337B"/>
    <w:rsid w:val="3E55411B"/>
    <w:rsid w:val="3E7B0CEA"/>
    <w:rsid w:val="3E8A7906"/>
    <w:rsid w:val="3E924B54"/>
    <w:rsid w:val="3E9F641A"/>
    <w:rsid w:val="3EA36C7C"/>
    <w:rsid w:val="3EB52937"/>
    <w:rsid w:val="3EC85A39"/>
    <w:rsid w:val="3ECF7D79"/>
    <w:rsid w:val="3F001261"/>
    <w:rsid w:val="3F0B67AC"/>
    <w:rsid w:val="3F0F15E3"/>
    <w:rsid w:val="3F175739"/>
    <w:rsid w:val="3F1917D9"/>
    <w:rsid w:val="3F2231EB"/>
    <w:rsid w:val="3F2A05DE"/>
    <w:rsid w:val="3F2B709E"/>
    <w:rsid w:val="3F4342C5"/>
    <w:rsid w:val="3F470135"/>
    <w:rsid w:val="3F4D1B0A"/>
    <w:rsid w:val="3F4F3ED6"/>
    <w:rsid w:val="3F502853"/>
    <w:rsid w:val="3F556317"/>
    <w:rsid w:val="3F637B35"/>
    <w:rsid w:val="3F7B1D38"/>
    <w:rsid w:val="3F7C259F"/>
    <w:rsid w:val="3F844A1B"/>
    <w:rsid w:val="3F861477"/>
    <w:rsid w:val="3F88386A"/>
    <w:rsid w:val="3F8C02A9"/>
    <w:rsid w:val="3FA20372"/>
    <w:rsid w:val="3FA7722A"/>
    <w:rsid w:val="3FAC435A"/>
    <w:rsid w:val="3FB603F6"/>
    <w:rsid w:val="3FB932BF"/>
    <w:rsid w:val="3FBF78C7"/>
    <w:rsid w:val="3FC0474E"/>
    <w:rsid w:val="3FC53F16"/>
    <w:rsid w:val="3FC803BF"/>
    <w:rsid w:val="3FCB145E"/>
    <w:rsid w:val="3FD43609"/>
    <w:rsid w:val="3FD73037"/>
    <w:rsid w:val="3FE6250B"/>
    <w:rsid w:val="3FED7D13"/>
    <w:rsid w:val="400123BB"/>
    <w:rsid w:val="40051FCA"/>
    <w:rsid w:val="400E5E57"/>
    <w:rsid w:val="40112DF4"/>
    <w:rsid w:val="40145852"/>
    <w:rsid w:val="40280C75"/>
    <w:rsid w:val="40290E69"/>
    <w:rsid w:val="40485315"/>
    <w:rsid w:val="404C2229"/>
    <w:rsid w:val="4051246B"/>
    <w:rsid w:val="40722DC6"/>
    <w:rsid w:val="407F034F"/>
    <w:rsid w:val="407F66CD"/>
    <w:rsid w:val="4082727F"/>
    <w:rsid w:val="408760A5"/>
    <w:rsid w:val="408A6B05"/>
    <w:rsid w:val="40956B31"/>
    <w:rsid w:val="409B30AB"/>
    <w:rsid w:val="409D1518"/>
    <w:rsid w:val="40AB046C"/>
    <w:rsid w:val="40C72EDE"/>
    <w:rsid w:val="40CD29C9"/>
    <w:rsid w:val="40D07EFD"/>
    <w:rsid w:val="40DE0E78"/>
    <w:rsid w:val="40EA14CD"/>
    <w:rsid w:val="40F64AA4"/>
    <w:rsid w:val="40FC1307"/>
    <w:rsid w:val="40FC207B"/>
    <w:rsid w:val="410051CB"/>
    <w:rsid w:val="41154134"/>
    <w:rsid w:val="412C6BBA"/>
    <w:rsid w:val="41311A38"/>
    <w:rsid w:val="4137736B"/>
    <w:rsid w:val="41452EF5"/>
    <w:rsid w:val="414919A2"/>
    <w:rsid w:val="4149676C"/>
    <w:rsid w:val="414A10B2"/>
    <w:rsid w:val="4160517B"/>
    <w:rsid w:val="41683B13"/>
    <w:rsid w:val="4168461D"/>
    <w:rsid w:val="416E1CE1"/>
    <w:rsid w:val="4178254E"/>
    <w:rsid w:val="417B0EBB"/>
    <w:rsid w:val="418D3402"/>
    <w:rsid w:val="419065B2"/>
    <w:rsid w:val="41983DA6"/>
    <w:rsid w:val="419968F1"/>
    <w:rsid w:val="41C74AA5"/>
    <w:rsid w:val="41CA2900"/>
    <w:rsid w:val="41D262F7"/>
    <w:rsid w:val="41D93C48"/>
    <w:rsid w:val="41F12EF1"/>
    <w:rsid w:val="41F93C38"/>
    <w:rsid w:val="42173F98"/>
    <w:rsid w:val="42175D58"/>
    <w:rsid w:val="42194010"/>
    <w:rsid w:val="42245F15"/>
    <w:rsid w:val="422945B7"/>
    <w:rsid w:val="422D31AA"/>
    <w:rsid w:val="422E2B1C"/>
    <w:rsid w:val="42343789"/>
    <w:rsid w:val="423C0BC1"/>
    <w:rsid w:val="424B31AC"/>
    <w:rsid w:val="424E1481"/>
    <w:rsid w:val="425639A8"/>
    <w:rsid w:val="4260787A"/>
    <w:rsid w:val="42631073"/>
    <w:rsid w:val="426865E9"/>
    <w:rsid w:val="427E2DFC"/>
    <w:rsid w:val="42811632"/>
    <w:rsid w:val="428861C9"/>
    <w:rsid w:val="42B5463C"/>
    <w:rsid w:val="42B93150"/>
    <w:rsid w:val="42C075DA"/>
    <w:rsid w:val="42CB4D68"/>
    <w:rsid w:val="42D57D3E"/>
    <w:rsid w:val="42D622FF"/>
    <w:rsid w:val="42D648AC"/>
    <w:rsid w:val="42D84860"/>
    <w:rsid w:val="42DA62DC"/>
    <w:rsid w:val="42DD7AFF"/>
    <w:rsid w:val="42FD6410"/>
    <w:rsid w:val="43123FC7"/>
    <w:rsid w:val="431B5244"/>
    <w:rsid w:val="432057EF"/>
    <w:rsid w:val="43234C5C"/>
    <w:rsid w:val="433134AA"/>
    <w:rsid w:val="433249A0"/>
    <w:rsid w:val="43337B25"/>
    <w:rsid w:val="433742D1"/>
    <w:rsid w:val="433C4C77"/>
    <w:rsid w:val="433D4E0B"/>
    <w:rsid w:val="434B581F"/>
    <w:rsid w:val="434E1B31"/>
    <w:rsid w:val="43755BDD"/>
    <w:rsid w:val="43840B56"/>
    <w:rsid w:val="4385015B"/>
    <w:rsid w:val="43911CB5"/>
    <w:rsid w:val="4394036C"/>
    <w:rsid w:val="439D4217"/>
    <w:rsid w:val="43A25808"/>
    <w:rsid w:val="43AB06CC"/>
    <w:rsid w:val="43AE1B1C"/>
    <w:rsid w:val="43B950F8"/>
    <w:rsid w:val="43D23F8D"/>
    <w:rsid w:val="43E72F08"/>
    <w:rsid w:val="440B5E1C"/>
    <w:rsid w:val="440F1AA6"/>
    <w:rsid w:val="442A47EF"/>
    <w:rsid w:val="44347C3D"/>
    <w:rsid w:val="44454D66"/>
    <w:rsid w:val="445254E1"/>
    <w:rsid w:val="4455602E"/>
    <w:rsid w:val="445E397E"/>
    <w:rsid w:val="445F1EDA"/>
    <w:rsid w:val="445F570B"/>
    <w:rsid w:val="4467581D"/>
    <w:rsid w:val="44735CD0"/>
    <w:rsid w:val="44742632"/>
    <w:rsid w:val="447E1F10"/>
    <w:rsid w:val="4488644F"/>
    <w:rsid w:val="448F6FB8"/>
    <w:rsid w:val="4492347F"/>
    <w:rsid w:val="44BB34D1"/>
    <w:rsid w:val="44BB3567"/>
    <w:rsid w:val="44C70B39"/>
    <w:rsid w:val="44CA7461"/>
    <w:rsid w:val="44CD1A45"/>
    <w:rsid w:val="44DC51AE"/>
    <w:rsid w:val="44DD615E"/>
    <w:rsid w:val="44E41E46"/>
    <w:rsid w:val="450F4378"/>
    <w:rsid w:val="451142DB"/>
    <w:rsid w:val="45145D91"/>
    <w:rsid w:val="451720A5"/>
    <w:rsid w:val="45180C0C"/>
    <w:rsid w:val="451C2D7E"/>
    <w:rsid w:val="4526184D"/>
    <w:rsid w:val="45263EC6"/>
    <w:rsid w:val="452A1788"/>
    <w:rsid w:val="452D538E"/>
    <w:rsid w:val="45301EA8"/>
    <w:rsid w:val="45307A70"/>
    <w:rsid w:val="45385394"/>
    <w:rsid w:val="454642B2"/>
    <w:rsid w:val="454804B8"/>
    <w:rsid w:val="454C6A98"/>
    <w:rsid w:val="455E207E"/>
    <w:rsid w:val="45677CC4"/>
    <w:rsid w:val="456A17EF"/>
    <w:rsid w:val="456E4487"/>
    <w:rsid w:val="45762C84"/>
    <w:rsid w:val="45850474"/>
    <w:rsid w:val="458A7A9C"/>
    <w:rsid w:val="458B1E5E"/>
    <w:rsid w:val="45916F6E"/>
    <w:rsid w:val="459C5D1A"/>
    <w:rsid w:val="45A14D39"/>
    <w:rsid w:val="45A35291"/>
    <w:rsid w:val="45A40F95"/>
    <w:rsid w:val="45A6046D"/>
    <w:rsid w:val="45B969D6"/>
    <w:rsid w:val="45C304E5"/>
    <w:rsid w:val="45D17183"/>
    <w:rsid w:val="45E201D7"/>
    <w:rsid w:val="45E5621D"/>
    <w:rsid w:val="45EC3A46"/>
    <w:rsid w:val="4600081E"/>
    <w:rsid w:val="46183694"/>
    <w:rsid w:val="4624726D"/>
    <w:rsid w:val="462F3E9E"/>
    <w:rsid w:val="46333DF2"/>
    <w:rsid w:val="463B1EFB"/>
    <w:rsid w:val="464713F4"/>
    <w:rsid w:val="464B2A19"/>
    <w:rsid w:val="46522210"/>
    <w:rsid w:val="465A5CC9"/>
    <w:rsid w:val="465D1F2D"/>
    <w:rsid w:val="466840FF"/>
    <w:rsid w:val="468D0DE1"/>
    <w:rsid w:val="46A419EA"/>
    <w:rsid w:val="46AD1532"/>
    <w:rsid w:val="46B452B8"/>
    <w:rsid w:val="46B83E8E"/>
    <w:rsid w:val="46B93474"/>
    <w:rsid w:val="46CE6F82"/>
    <w:rsid w:val="46D812C6"/>
    <w:rsid w:val="46D90ACA"/>
    <w:rsid w:val="46D974DA"/>
    <w:rsid w:val="46F11421"/>
    <w:rsid w:val="46F93C9A"/>
    <w:rsid w:val="46FE1521"/>
    <w:rsid w:val="47056A25"/>
    <w:rsid w:val="47104448"/>
    <w:rsid w:val="47160727"/>
    <w:rsid w:val="4724552B"/>
    <w:rsid w:val="47322236"/>
    <w:rsid w:val="47486B44"/>
    <w:rsid w:val="475312BE"/>
    <w:rsid w:val="47614E7C"/>
    <w:rsid w:val="47636855"/>
    <w:rsid w:val="47644335"/>
    <w:rsid w:val="476A0937"/>
    <w:rsid w:val="477215EF"/>
    <w:rsid w:val="4772476A"/>
    <w:rsid w:val="47886A1C"/>
    <w:rsid w:val="47890024"/>
    <w:rsid w:val="47892D6C"/>
    <w:rsid w:val="47912B6A"/>
    <w:rsid w:val="479635D8"/>
    <w:rsid w:val="47966F08"/>
    <w:rsid w:val="479C1784"/>
    <w:rsid w:val="479C5A9A"/>
    <w:rsid w:val="47AC58E3"/>
    <w:rsid w:val="47C47217"/>
    <w:rsid w:val="47CD28C8"/>
    <w:rsid w:val="47D20F85"/>
    <w:rsid w:val="47D575FE"/>
    <w:rsid w:val="47D96EA6"/>
    <w:rsid w:val="47E066DF"/>
    <w:rsid w:val="47E113B9"/>
    <w:rsid w:val="47E5607C"/>
    <w:rsid w:val="47EC73B1"/>
    <w:rsid w:val="47F8246F"/>
    <w:rsid w:val="47FE1F1B"/>
    <w:rsid w:val="48007FC9"/>
    <w:rsid w:val="48062738"/>
    <w:rsid w:val="48090BB2"/>
    <w:rsid w:val="48096F91"/>
    <w:rsid w:val="480C5A9E"/>
    <w:rsid w:val="481132D5"/>
    <w:rsid w:val="481A4B9F"/>
    <w:rsid w:val="482653F4"/>
    <w:rsid w:val="482B76AB"/>
    <w:rsid w:val="482D4892"/>
    <w:rsid w:val="48305256"/>
    <w:rsid w:val="48322964"/>
    <w:rsid w:val="484100B2"/>
    <w:rsid w:val="4845217E"/>
    <w:rsid w:val="485101C9"/>
    <w:rsid w:val="48552AD6"/>
    <w:rsid w:val="485D2F4F"/>
    <w:rsid w:val="4898300A"/>
    <w:rsid w:val="489B7061"/>
    <w:rsid w:val="489F4D72"/>
    <w:rsid w:val="48A600A4"/>
    <w:rsid w:val="48A95C77"/>
    <w:rsid w:val="48AF0F1D"/>
    <w:rsid w:val="48B90DF8"/>
    <w:rsid w:val="48BF71D5"/>
    <w:rsid w:val="48DB7174"/>
    <w:rsid w:val="48DC1F8E"/>
    <w:rsid w:val="48DC36E2"/>
    <w:rsid w:val="48DC4ACD"/>
    <w:rsid w:val="48E44AE3"/>
    <w:rsid w:val="48FD36CD"/>
    <w:rsid w:val="49041047"/>
    <w:rsid w:val="491142EA"/>
    <w:rsid w:val="492A02B5"/>
    <w:rsid w:val="4930492E"/>
    <w:rsid w:val="493D5237"/>
    <w:rsid w:val="493F044C"/>
    <w:rsid w:val="495A3852"/>
    <w:rsid w:val="495D2A55"/>
    <w:rsid w:val="49672B2D"/>
    <w:rsid w:val="498417EB"/>
    <w:rsid w:val="4992769C"/>
    <w:rsid w:val="49983990"/>
    <w:rsid w:val="499A3140"/>
    <w:rsid w:val="49B051A3"/>
    <w:rsid w:val="49C77FFC"/>
    <w:rsid w:val="49D12FDF"/>
    <w:rsid w:val="49D524B7"/>
    <w:rsid w:val="49D56939"/>
    <w:rsid w:val="49E430E6"/>
    <w:rsid w:val="49EA02E4"/>
    <w:rsid w:val="49ED2D7D"/>
    <w:rsid w:val="49ED3895"/>
    <w:rsid w:val="49F60F0B"/>
    <w:rsid w:val="49FE7EF4"/>
    <w:rsid w:val="4A052A02"/>
    <w:rsid w:val="4A09336B"/>
    <w:rsid w:val="4A1A1E66"/>
    <w:rsid w:val="4A1E7E81"/>
    <w:rsid w:val="4A265C74"/>
    <w:rsid w:val="4A4027F7"/>
    <w:rsid w:val="4A430C81"/>
    <w:rsid w:val="4A455295"/>
    <w:rsid w:val="4A4F452F"/>
    <w:rsid w:val="4A546F2E"/>
    <w:rsid w:val="4A5F1DE2"/>
    <w:rsid w:val="4A610771"/>
    <w:rsid w:val="4A6D47BD"/>
    <w:rsid w:val="4A6E5A6F"/>
    <w:rsid w:val="4A7A09FB"/>
    <w:rsid w:val="4A7E66E3"/>
    <w:rsid w:val="4A8029E6"/>
    <w:rsid w:val="4A8B46D1"/>
    <w:rsid w:val="4A934476"/>
    <w:rsid w:val="4AA61F91"/>
    <w:rsid w:val="4AAD2423"/>
    <w:rsid w:val="4AAF2DDB"/>
    <w:rsid w:val="4AB01740"/>
    <w:rsid w:val="4ABE3C13"/>
    <w:rsid w:val="4AC0410D"/>
    <w:rsid w:val="4AC54775"/>
    <w:rsid w:val="4AD1153E"/>
    <w:rsid w:val="4AF10B09"/>
    <w:rsid w:val="4AF631FA"/>
    <w:rsid w:val="4B005883"/>
    <w:rsid w:val="4B090BDC"/>
    <w:rsid w:val="4B0B605E"/>
    <w:rsid w:val="4B182B87"/>
    <w:rsid w:val="4B1E6C23"/>
    <w:rsid w:val="4B272CD8"/>
    <w:rsid w:val="4B2A29D3"/>
    <w:rsid w:val="4B3D6550"/>
    <w:rsid w:val="4B6D5713"/>
    <w:rsid w:val="4B713326"/>
    <w:rsid w:val="4B752690"/>
    <w:rsid w:val="4B752CD7"/>
    <w:rsid w:val="4B7A68B2"/>
    <w:rsid w:val="4B83273C"/>
    <w:rsid w:val="4B8369B3"/>
    <w:rsid w:val="4B8D17AB"/>
    <w:rsid w:val="4B9A6B2C"/>
    <w:rsid w:val="4BA353DE"/>
    <w:rsid w:val="4BBC54AC"/>
    <w:rsid w:val="4BC84B5A"/>
    <w:rsid w:val="4BDB0A4D"/>
    <w:rsid w:val="4BE8780A"/>
    <w:rsid w:val="4BF40C2F"/>
    <w:rsid w:val="4C060DAE"/>
    <w:rsid w:val="4C081A54"/>
    <w:rsid w:val="4C0D0258"/>
    <w:rsid w:val="4C12661C"/>
    <w:rsid w:val="4C1831C7"/>
    <w:rsid w:val="4C1A39FE"/>
    <w:rsid w:val="4C1B1FBB"/>
    <w:rsid w:val="4C1D4385"/>
    <w:rsid w:val="4C4F6714"/>
    <w:rsid w:val="4C523AD7"/>
    <w:rsid w:val="4C576116"/>
    <w:rsid w:val="4C5A7411"/>
    <w:rsid w:val="4C5E207D"/>
    <w:rsid w:val="4C5E32E3"/>
    <w:rsid w:val="4C5E44C7"/>
    <w:rsid w:val="4C6B2C6C"/>
    <w:rsid w:val="4C7C5A8A"/>
    <w:rsid w:val="4C810BF7"/>
    <w:rsid w:val="4C896F4E"/>
    <w:rsid w:val="4C905371"/>
    <w:rsid w:val="4C944343"/>
    <w:rsid w:val="4C991D89"/>
    <w:rsid w:val="4C992C98"/>
    <w:rsid w:val="4C9B58AD"/>
    <w:rsid w:val="4C9C0ABB"/>
    <w:rsid w:val="4C9E1FB4"/>
    <w:rsid w:val="4CA850E5"/>
    <w:rsid w:val="4CAC29CF"/>
    <w:rsid w:val="4CB311FA"/>
    <w:rsid w:val="4CB81B8F"/>
    <w:rsid w:val="4CBB35BF"/>
    <w:rsid w:val="4CC74407"/>
    <w:rsid w:val="4CC83F98"/>
    <w:rsid w:val="4CC91DBA"/>
    <w:rsid w:val="4CD55377"/>
    <w:rsid w:val="4CD86A09"/>
    <w:rsid w:val="4CD93483"/>
    <w:rsid w:val="4CE31E0D"/>
    <w:rsid w:val="4CF43964"/>
    <w:rsid w:val="4CF64F14"/>
    <w:rsid w:val="4D0221A3"/>
    <w:rsid w:val="4D0D793B"/>
    <w:rsid w:val="4D0F4759"/>
    <w:rsid w:val="4D243FEF"/>
    <w:rsid w:val="4D292248"/>
    <w:rsid w:val="4D2A10DA"/>
    <w:rsid w:val="4D3560E9"/>
    <w:rsid w:val="4D3B40B9"/>
    <w:rsid w:val="4D4C32A0"/>
    <w:rsid w:val="4D535EBE"/>
    <w:rsid w:val="4D562ADC"/>
    <w:rsid w:val="4D5F3A58"/>
    <w:rsid w:val="4D8F1AA1"/>
    <w:rsid w:val="4DA324BA"/>
    <w:rsid w:val="4DAA47BA"/>
    <w:rsid w:val="4DAF0666"/>
    <w:rsid w:val="4DB13F77"/>
    <w:rsid w:val="4DB72535"/>
    <w:rsid w:val="4DBE36AA"/>
    <w:rsid w:val="4DC312EC"/>
    <w:rsid w:val="4DCC4328"/>
    <w:rsid w:val="4DCD1705"/>
    <w:rsid w:val="4DCF084E"/>
    <w:rsid w:val="4DD17554"/>
    <w:rsid w:val="4DF2643A"/>
    <w:rsid w:val="4E000EC0"/>
    <w:rsid w:val="4E0E023E"/>
    <w:rsid w:val="4E0E23F4"/>
    <w:rsid w:val="4E1D50C4"/>
    <w:rsid w:val="4E1F0DD6"/>
    <w:rsid w:val="4E1F560D"/>
    <w:rsid w:val="4E207067"/>
    <w:rsid w:val="4E233D62"/>
    <w:rsid w:val="4E233E84"/>
    <w:rsid w:val="4E2B258E"/>
    <w:rsid w:val="4E2B5596"/>
    <w:rsid w:val="4E340EE5"/>
    <w:rsid w:val="4E3D4475"/>
    <w:rsid w:val="4E3E67B8"/>
    <w:rsid w:val="4E456B8F"/>
    <w:rsid w:val="4E6365AE"/>
    <w:rsid w:val="4E7D057B"/>
    <w:rsid w:val="4E824F2D"/>
    <w:rsid w:val="4E8D55E0"/>
    <w:rsid w:val="4E925534"/>
    <w:rsid w:val="4E9B057F"/>
    <w:rsid w:val="4E9C396F"/>
    <w:rsid w:val="4EA06C72"/>
    <w:rsid w:val="4EA63F56"/>
    <w:rsid w:val="4EBE43C3"/>
    <w:rsid w:val="4EC266FD"/>
    <w:rsid w:val="4ECC4FC5"/>
    <w:rsid w:val="4ED42B33"/>
    <w:rsid w:val="4EF30D17"/>
    <w:rsid w:val="4EF3262A"/>
    <w:rsid w:val="4EF50003"/>
    <w:rsid w:val="4EF50CB7"/>
    <w:rsid w:val="4EF63329"/>
    <w:rsid w:val="4F173BCD"/>
    <w:rsid w:val="4F197462"/>
    <w:rsid w:val="4F1D0D8E"/>
    <w:rsid w:val="4F227646"/>
    <w:rsid w:val="4F342F2C"/>
    <w:rsid w:val="4F3D4450"/>
    <w:rsid w:val="4F3D66EC"/>
    <w:rsid w:val="4F443C4E"/>
    <w:rsid w:val="4F563496"/>
    <w:rsid w:val="4F564162"/>
    <w:rsid w:val="4F6144B5"/>
    <w:rsid w:val="4F686E22"/>
    <w:rsid w:val="4F6B5B12"/>
    <w:rsid w:val="4F6E1344"/>
    <w:rsid w:val="4F7E4170"/>
    <w:rsid w:val="4F8669AE"/>
    <w:rsid w:val="4F916478"/>
    <w:rsid w:val="4F97451A"/>
    <w:rsid w:val="4F9B2FD7"/>
    <w:rsid w:val="4F9E1B4A"/>
    <w:rsid w:val="4FA47125"/>
    <w:rsid w:val="4FC32720"/>
    <w:rsid w:val="4FD50FDB"/>
    <w:rsid w:val="4FE402BD"/>
    <w:rsid w:val="4FE42ED6"/>
    <w:rsid w:val="4FEE793D"/>
    <w:rsid w:val="4FF07E65"/>
    <w:rsid w:val="500D455C"/>
    <w:rsid w:val="50177701"/>
    <w:rsid w:val="501B10E5"/>
    <w:rsid w:val="501F0330"/>
    <w:rsid w:val="50201B89"/>
    <w:rsid w:val="50236609"/>
    <w:rsid w:val="502A216A"/>
    <w:rsid w:val="502D77AD"/>
    <w:rsid w:val="503C555A"/>
    <w:rsid w:val="50496214"/>
    <w:rsid w:val="504B1678"/>
    <w:rsid w:val="50583401"/>
    <w:rsid w:val="50596688"/>
    <w:rsid w:val="505E4442"/>
    <w:rsid w:val="50697A34"/>
    <w:rsid w:val="50765AD1"/>
    <w:rsid w:val="508A2608"/>
    <w:rsid w:val="508B4BFC"/>
    <w:rsid w:val="509757BA"/>
    <w:rsid w:val="509D4751"/>
    <w:rsid w:val="509F000D"/>
    <w:rsid w:val="50B96C23"/>
    <w:rsid w:val="50CC5968"/>
    <w:rsid w:val="50D55F27"/>
    <w:rsid w:val="50DD7FE3"/>
    <w:rsid w:val="50E72018"/>
    <w:rsid w:val="50E9481E"/>
    <w:rsid w:val="50EB586D"/>
    <w:rsid w:val="50EE31F4"/>
    <w:rsid w:val="50F30BC7"/>
    <w:rsid w:val="50F83289"/>
    <w:rsid w:val="50F87478"/>
    <w:rsid w:val="50FD50EA"/>
    <w:rsid w:val="50FE3ADB"/>
    <w:rsid w:val="510422FC"/>
    <w:rsid w:val="51082D21"/>
    <w:rsid w:val="510F6014"/>
    <w:rsid w:val="51267B62"/>
    <w:rsid w:val="51366287"/>
    <w:rsid w:val="513E1CE3"/>
    <w:rsid w:val="513E2305"/>
    <w:rsid w:val="51415D1A"/>
    <w:rsid w:val="514B6884"/>
    <w:rsid w:val="51574301"/>
    <w:rsid w:val="51610806"/>
    <w:rsid w:val="516A16C7"/>
    <w:rsid w:val="516C542E"/>
    <w:rsid w:val="51782AF5"/>
    <w:rsid w:val="51822CB5"/>
    <w:rsid w:val="518D1AE4"/>
    <w:rsid w:val="51922F92"/>
    <w:rsid w:val="51955A0F"/>
    <w:rsid w:val="519D2DC7"/>
    <w:rsid w:val="51A16298"/>
    <w:rsid w:val="51A35268"/>
    <w:rsid w:val="51A46A39"/>
    <w:rsid w:val="51AB4015"/>
    <w:rsid w:val="51AD1B38"/>
    <w:rsid w:val="51B259DD"/>
    <w:rsid w:val="51B64EEE"/>
    <w:rsid w:val="51B7669B"/>
    <w:rsid w:val="51BF6365"/>
    <w:rsid w:val="51BF64DB"/>
    <w:rsid w:val="51CC4654"/>
    <w:rsid w:val="51D56337"/>
    <w:rsid w:val="51F6235D"/>
    <w:rsid w:val="51FB22B5"/>
    <w:rsid w:val="51FD41C3"/>
    <w:rsid w:val="51FF14B2"/>
    <w:rsid w:val="52032860"/>
    <w:rsid w:val="52051D08"/>
    <w:rsid w:val="5209153C"/>
    <w:rsid w:val="521E0910"/>
    <w:rsid w:val="522F43C7"/>
    <w:rsid w:val="523578A9"/>
    <w:rsid w:val="52370E60"/>
    <w:rsid w:val="52383569"/>
    <w:rsid w:val="52395069"/>
    <w:rsid w:val="524103EF"/>
    <w:rsid w:val="524903FE"/>
    <w:rsid w:val="52535CF1"/>
    <w:rsid w:val="52541B9D"/>
    <w:rsid w:val="52553B0A"/>
    <w:rsid w:val="52670037"/>
    <w:rsid w:val="5268325B"/>
    <w:rsid w:val="526A0EDA"/>
    <w:rsid w:val="52744124"/>
    <w:rsid w:val="52867292"/>
    <w:rsid w:val="528E6CC2"/>
    <w:rsid w:val="528F14E5"/>
    <w:rsid w:val="52A419D7"/>
    <w:rsid w:val="52A423FB"/>
    <w:rsid w:val="52BB315D"/>
    <w:rsid w:val="52C0450D"/>
    <w:rsid w:val="52D01AF0"/>
    <w:rsid w:val="52D04342"/>
    <w:rsid w:val="52FA1322"/>
    <w:rsid w:val="52FE6B4C"/>
    <w:rsid w:val="52FE750F"/>
    <w:rsid w:val="530B4B35"/>
    <w:rsid w:val="530C29FE"/>
    <w:rsid w:val="5311062D"/>
    <w:rsid w:val="532250D9"/>
    <w:rsid w:val="53285238"/>
    <w:rsid w:val="53296B41"/>
    <w:rsid w:val="532C5869"/>
    <w:rsid w:val="53340597"/>
    <w:rsid w:val="53357354"/>
    <w:rsid w:val="533D4938"/>
    <w:rsid w:val="53406BBF"/>
    <w:rsid w:val="53486937"/>
    <w:rsid w:val="535374DB"/>
    <w:rsid w:val="5358275B"/>
    <w:rsid w:val="535D65EE"/>
    <w:rsid w:val="53614807"/>
    <w:rsid w:val="537060F9"/>
    <w:rsid w:val="5379339B"/>
    <w:rsid w:val="537B43B3"/>
    <w:rsid w:val="537C6BB3"/>
    <w:rsid w:val="537F7D83"/>
    <w:rsid w:val="538859D5"/>
    <w:rsid w:val="53906825"/>
    <w:rsid w:val="53915C12"/>
    <w:rsid w:val="5399150D"/>
    <w:rsid w:val="539D1E89"/>
    <w:rsid w:val="53B20BF4"/>
    <w:rsid w:val="53BC0997"/>
    <w:rsid w:val="53F863AF"/>
    <w:rsid w:val="53F92DE6"/>
    <w:rsid w:val="54012FCE"/>
    <w:rsid w:val="5402266C"/>
    <w:rsid w:val="540F62C9"/>
    <w:rsid w:val="54147CCD"/>
    <w:rsid w:val="542263F9"/>
    <w:rsid w:val="54252B18"/>
    <w:rsid w:val="5430452A"/>
    <w:rsid w:val="54464C78"/>
    <w:rsid w:val="5446680D"/>
    <w:rsid w:val="544A6F73"/>
    <w:rsid w:val="544D4F48"/>
    <w:rsid w:val="54583B0B"/>
    <w:rsid w:val="54636F45"/>
    <w:rsid w:val="546B6A40"/>
    <w:rsid w:val="546E2DC9"/>
    <w:rsid w:val="54713346"/>
    <w:rsid w:val="54863C43"/>
    <w:rsid w:val="548F245B"/>
    <w:rsid w:val="54952990"/>
    <w:rsid w:val="549E0A56"/>
    <w:rsid w:val="549E4349"/>
    <w:rsid w:val="54A057BE"/>
    <w:rsid w:val="54AC0B9A"/>
    <w:rsid w:val="54B10938"/>
    <w:rsid w:val="54D0022E"/>
    <w:rsid w:val="54DA7511"/>
    <w:rsid w:val="54EE31A2"/>
    <w:rsid w:val="54F14FE8"/>
    <w:rsid w:val="54F62299"/>
    <w:rsid w:val="54F703BD"/>
    <w:rsid w:val="5503084B"/>
    <w:rsid w:val="55032DAC"/>
    <w:rsid w:val="550334F8"/>
    <w:rsid w:val="55224E68"/>
    <w:rsid w:val="552254B9"/>
    <w:rsid w:val="552544FD"/>
    <w:rsid w:val="55286CC0"/>
    <w:rsid w:val="552A3ED8"/>
    <w:rsid w:val="552D1295"/>
    <w:rsid w:val="55355B59"/>
    <w:rsid w:val="553D0A49"/>
    <w:rsid w:val="55410F72"/>
    <w:rsid w:val="554478CF"/>
    <w:rsid w:val="55490AF2"/>
    <w:rsid w:val="5552291E"/>
    <w:rsid w:val="55582AEC"/>
    <w:rsid w:val="556441BB"/>
    <w:rsid w:val="556F0F43"/>
    <w:rsid w:val="557F487D"/>
    <w:rsid w:val="558C0418"/>
    <w:rsid w:val="558E2409"/>
    <w:rsid w:val="558F2296"/>
    <w:rsid w:val="55936B7B"/>
    <w:rsid w:val="55973FD7"/>
    <w:rsid w:val="55977096"/>
    <w:rsid w:val="55AD3A8E"/>
    <w:rsid w:val="55AE077A"/>
    <w:rsid w:val="55B0295C"/>
    <w:rsid w:val="55E531BF"/>
    <w:rsid w:val="55EE222D"/>
    <w:rsid w:val="55F312FB"/>
    <w:rsid w:val="55F54DD6"/>
    <w:rsid w:val="55F57D8E"/>
    <w:rsid w:val="55F948B0"/>
    <w:rsid w:val="55FF3DDE"/>
    <w:rsid w:val="561607AF"/>
    <w:rsid w:val="562D0F6F"/>
    <w:rsid w:val="56396F1D"/>
    <w:rsid w:val="56421E30"/>
    <w:rsid w:val="564A1244"/>
    <w:rsid w:val="564B18BB"/>
    <w:rsid w:val="567F387A"/>
    <w:rsid w:val="568A0DEA"/>
    <w:rsid w:val="568B16CC"/>
    <w:rsid w:val="568C6F89"/>
    <w:rsid w:val="56AE30A7"/>
    <w:rsid w:val="56DC5306"/>
    <w:rsid w:val="56E01BA6"/>
    <w:rsid w:val="56E36298"/>
    <w:rsid w:val="56EF2B1F"/>
    <w:rsid w:val="56FA730B"/>
    <w:rsid w:val="57054792"/>
    <w:rsid w:val="57091C0E"/>
    <w:rsid w:val="570B02A1"/>
    <w:rsid w:val="570D1BDA"/>
    <w:rsid w:val="5714127B"/>
    <w:rsid w:val="571D1B08"/>
    <w:rsid w:val="572B1EDA"/>
    <w:rsid w:val="572B580A"/>
    <w:rsid w:val="5734551A"/>
    <w:rsid w:val="57463262"/>
    <w:rsid w:val="574C5E0F"/>
    <w:rsid w:val="574D0806"/>
    <w:rsid w:val="57612A46"/>
    <w:rsid w:val="576D211E"/>
    <w:rsid w:val="57763C09"/>
    <w:rsid w:val="57867200"/>
    <w:rsid w:val="57882017"/>
    <w:rsid w:val="578A4E52"/>
    <w:rsid w:val="579A3CED"/>
    <w:rsid w:val="579B2648"/>
    <w:rsid w:val="57AA4AFF"/>
    <w:rsid w:val="57B26E99"/>
    <w:rsid w:val="57BA7454"/>
    <w:rsid w:val="57BF0832"/>
    <w:rsid w:val="57C66EC7"/>
    <w:rsid w:val="57C8361F"/>
    <w:rsid w:val="57CA2C11"/>
    <w:rsid w:val="57CB143E"/>
    <w:rsid w:val="57CF7769"/>
    <w:rsid w:val="57D95648"/>
    <w:rsid w:val="57E92F6A"/>
    <w:rsid w:val="57ED4666"/>
    <w:rsid w:val="57F17EA0"/>
    <w:rsid w:val="57F83A18"/>
    <w:rsid w:val="580051B3"/>
    <w:rsid w:val="581527D2"/>
    <w:rsid w:val="581C0761"/>
    <w:rsid w:val="581C6B2C"/>
    <w:rsid w:val="58221E05"/>
    <w:rsid w:val="58234E6B"/>
    <w:rsid w:val="582B181A"/>
    <w:rsid w:val="582F78F2"/>
    <w:rsid w:val="583F5FE4"/>
    <w:rsid w:val="5842108E"/>
    <w:rsid w:val="584900AE"/>
    <w:rsid w:val="58577EA6"/>
    <w:rsid w:val="58664612"/>
    <w:rsid w:val="586814F3"/>
    <w:rsid w:val="5868479C"/>
    <w:rsid w:val="58705C49"/>
    <w:rsid w:val="58710507"/>
    <w:rsid w:val="5872142F"/>
    <w:rsid w:val="58771FAD"/>
    <w:rsid w:val="587D502B"/>
    <w:rsid w:val="58862FA6"/>
    <w:rsid w:val="58B26EB7"/>
    <w:rsid w:val="58B6540C"/>
    <w:rsid w:val="58D578CD"/>
    <w:rsid w:val="58D7445A"/>
    <w:rsid w:val="58DA50BC"/>
    <w:rsid w:val="58E30AA4"/>
    <w:rsid w:val="58E6129C"/>
    <w:rsid w:val="58EF5F98"/>
    <w:rsid w:val="58F204A5"/>
    <w:rsid w:val="58F8413B"/>
    <w:rsid w:val="58FE07F5"/>
    <w:rsid w:val="59031036"/>
    <w:rsid w:val="59165123"/>
    <w:rsid w:val="59192A02"/>
    <w:rsid w:val="591D64E4"/>
    <w:rsid w:val="59221C26"/>
    <w:rsid w:val="59313BDF"/>
    <w:rsid w:val="59314569"/>
    <w:rsid w:val="5934585B"/>
    <w:rsid w:val="59381651"/>
    <w:rsid w:val="593A3C56"/>
    <w:rsid w:val="59494DF1"/>
    <w:rsid w:val="594A14C2"/>
    <w:rsid w:val="594E6274"/>
    <w:rsid w:val="59531D4F"/>
    <w:rsid w:val="595474C6"/>
    <w:rsid w:val="596123F7"/>
    <w:rsid w:val="59685B44"/>
    <w:rsid w:val="59693857"/>
    <w:rsid w:val="596E2A35"/>
    <w:rsid w:val="59744DDD"/>
    <w:rsid w:val="5992099F"/>
    <w:rsid w:val="59944379"/>
    <w:rsid w:val="599B5D38"/>
    <w:rsid w:val="59A10231"/>
    <w:rsid w:val="59AC4E05"/>
    <w:rsid w:val="59CA3E38"/>
    <w:rsid w:val="59CC0A6E"/>
    <w:rsid w:val="59D36764"/>
    <w:rsid w:val="59D62B5C"/>
    <w:rsid w:val="59DB1A4B"/>
    <w:rsid w:val="59DC4FEB"/>
    <w:rsid w:val="59DE128C"/>
    <w:rsid w:val="5A014C13"/>
    <w:rsid w:val="5A2E7811"/>
    <w:rsid w:val="5A3B3DA0"/>
    <w:rsid w:val="5A3B4BA6"/>
    <w:rsid w:val="5A454A58"/>
    <w:rsid w:val="5A493068"/>
    <w:rsid w:val="5A4D74E4"/>
    <w:rsid w:val="5A500FB4"/>
    <w:rsid w:val="5A63592E"/>
    <w:rsid w:val="5A66105B"/>
    <w:rsid w:val="5A6A1116"/>
    <w:rsid w:val="5A6C42A1"/>
    <w:rsid w:val="5A6E241A"/>
    <w:rsid w:val="5A7A298B"/>
    <w:rsid w:val="5A807757"/>
    <w:rsid w:val="5A884D82"/>
    <w:rsid w:val="5AA0531F"/>
    <w:rsid w:val="5AA82B4A"/>
    <w:rsid w:val="5AC037A7"/>
    <w:rsid w:val="5AD11115"/>
    <w:rsid w:val="5AD503D5"/>
    <w:rsid w:val="5ADA09B1"/>
    <w:rsid w:val="5ADE06A1"/>
    <w:rsid w:val="5AEE3033"/>
    <w:rsid w:val="5AF27FE4"/>
    <w:rsid w:val="5AF332F3"/>
    <w:rsid w:val="5AF5773C"/>
    <w:rsid w:val="5AF63194"/>
    <w:rsid w:val="5AF749C6"/>
    <w:rsid w:val="5AFC0EA5"/>
    <w:rsid w:val="5B1414B2"/>
    <w:rsid w:val="5B195FB0"/>
    <w:rsid w:val="5B2150B9"/>
    <w:rsid w:val="5B32249C"/>
    <w:rsid w:val="5B3548B2"/>
    <w:rsid w:val="5B3A261E"/>
    <w:rsid w:val="5B3E48D4"/>
    <w:rsid w:val="5B4210BE"/>
    <w:rsid w:val="5B4F7B49"/>
    <w:rsid w:val="5B517C72"/>
    <w:rsid w:val="5B572584"/>
    <w:rsid w:val="5B617363"/>
    <w:rsid w:val="5B690FED"/>
    <w:rsid w:val="5B800A46"/>
    <w:rsid w:val="5B8100B7"/>
    <w:rsid w:val="5B93640D"/>
    <w:rsid w:val="5B9665C7"/>
    <w:rsid w:val="5BB41C34"/>
    <w:rsid w:val="5BBD7535"/>
    <w:rsid w:val="5BD93D8B"/>
    <w:rsid w:val="5BDC63A1"/>
    <w:rsid w:val="5BF801B3"/>
    <w:rsid w:val="5BF97873"/>
    <w:rsid w:val="5BFB20AF"/>
    <w:rsid w:val="5C022245"/>
    <w:rsid w:val="5C1E0B7E"/>
    <w:rsid w:val="5C2B4F58"/>
    <w:rsid w:val="5C381D59"/>
    <w:rsid w:val="5C481355"/>
    <w:rsid w:val="5C4E0F47"/>
    <w:rsid w:val="5C600DD1"/>
    <w:rsid w:val="5C632DA7"/>
    <w:rsid w:val="5C6C196D"/>
    <w:rsid w:val="5C7447C4"/>
    <w:rsid w:val="5C791167"/>
    <w:rsid w:val="5C8E0EDB"/>
    <w:rsid w:val="5C9727DA"/>
    <w:rsid w:val="5C975049"/>
    <w:rsid w:val="5C9872E9"/>
    <w:rsid w:val="5CA02022"/>
    <w:rsid w:val="5CB5465E"/>
    <w:rsid w:val="5CB77DF4"/>
    <w:rsid w:val="5CC101A7"/>
    <w:rsid w:val="5CC24308"/>
    <w:rsid w:val="5CCB5FC8"/>
    <w:rsid w:val="5CD831AB"/>
    <w:rsid w:val="5CE15FE4"/>
    <w:rsid w:val="5CE31456"/>
    <w:rsid w:val="5CEE71C4"/>
    <w:rsid w:val="5D0D54C8"/>
    <w:rsid w:val="5D120BE4"/>
    <w:rsid w:val="5D15394A"/>
    <w:rsid w:val="5D2100BF"/>
    <w:rsid w:val="5D211DB5"/>
    <w:rsid w:val="5D2321D9"/>
    <w:rsid w:val="5D232A1E"/>
    <w:rsid w:val="5D236BD3"/>
    <w:rsid w:val="5D2A3898"/>
    <w:rsid w:val="5D376F66"/>
    <w:rsid w:val="5D482254"/>
    <w:rsid w:val="5D6462A3"/>
    <w:rsid w:val="5D7E07AE"/>
    <w:rsid w:val="5D98560A"/>
    <w:rsid w:val="5D9A4E5E"/>
    <w:rsid w:val="5DA67B13"/>
    <w:rsid w:val="5DA80393"/>
    <w:rsid w:val="5DA859AD"/>
    <w:rsid w:val="5DA86E45"/>
    <w:rsid w:val="5DC366B1"/>
    <w:rsid w:val="5DC84828"/>
    <w:rsid w:val="5DDA3E54"/>
    <w:rsid w:val="5DDB1F64"/>
    <w:rsid w:val="5DDD201F"/>
    <w:rsid w:val="5DE6752F"/>
    <w:rsid w:val="5DE70961"/>
    <w:rsid w:val="5DF10D9E"/>
    <w:rsid w:val="5DF259D2"/>
    <w:rsid w:val="5DF6402D"/>
    <w:rsid w:val="5E0516B5"/>
    <w:rsid w:val="5E132F65"/>
    <w:rsid w:val="5E1555F6"/>
    <w:rsid w:val="5E1B524C"/>
    <w:rsid w:val="5E1E150B"/>
    <w:rsid w:val="5E272EF0"/>
    <w:rsid w:val="5E3118C9"/>
    <w:rsid w:val="5E3E2C99"/>
    <w:rsid w:val="5E40061A"/>
    <w:rsid w:val="5E44047B"/>
    <w:rsid w:val="5E4A0E32"/>
    <w:rsid w:val="5E4E7B3D"/>
    <w:rsid w:val="5E517039"/>
    <w:rsid w:val="5E6B04C8"/>
    <w:rsid w:val="5E7454E5"/>
    <w:rsid w:val="5E752B96"/>
    <w:rsid w:val="5E8E6778"/>
    <w:rsid w:val="5E904C65"/>
    <w:rsid w:val="5E9B0F7C"/>
    <w:rsid w:val="5E9C1F8B"/>
    <w:rsid w:val="5EA235A0"/>
    <w:rsid w:val="5EAA25E7"/>
    <w:rsid w:val="5EC17C8A"/>
    <w:rsid w:val="5EC40BA0"/>
    <w:rsid w:val="5ED722E9"/>
    <w:rsid w:val="5EE82198"/>
    <w:rsid w:val="5EE9507E"/>
    <w:rsid w:val="5F067403"/>
    <w:rsid w:val="5F1567BE"/>
    <w:rsid w:val="5F197747"/>
    <w:rsid w:val="5F1F6697"/>
    <w:rsid w:val="5F263102"/>
    <w:rsid w:val="5F2A644B"/>
    <w:rsid w:val="5F425C06"/>
    <w:rsid w:val="5F536251"/>
    <w:rsid w:val="5F612FA7"/>
    <w:rsid w:val="5F637BFE"/>
    <w:rsid w:val="5F6B20AE"/>
    <w:rsid w:val="5F712693"/>
    <w:rsid w:val="5F716531"/>
    <w:rsid w:val="5F753F29"/>
    <w:rsid w:val="5F76527F"/>
    <w:rsid w:val="5F8168E0"/>
    <w:rsid w:val="5F8536F5"/>
    <w:rsid w:val="5F871BC3"/>
    <w:rsid w:val="5F8D60DF"/>
    <w:rsid w:val="5FAD4B20"/>
    <w:rsid w:val="5FB46EF9"/>
    <w:rsid w:val="5FD51721"/>
    <w:rsid w:val="5FD86881"/>
    <w:rsid w:val="5FDB6E7F"/>
    <w:rsid w:val="5FDD4919"/>
    <w:rsid w:val="5FDE1540"/>
    <w:rsid w:val="5FE13FE9"/>
    <w:rsid w:val="5FE2254C"/>
    <w:rsid w:val="5FF22B47"/>
    <w:rsid w:val="5FF75410"/>
    <w:rsid w:val="6006014E"/>
    <w:rsid w:val="600B239F"/>
    <w:rsid w:val="60245D2D"/>
    <w:rsid w:val="602B37E4"/>
    <w:rsid w:val="602F2AA3"/>
    <w:rsid w:val="60371840"/>
    <w:rsid w:val="603D7B71"/>
    <w:rsid w:val="603F2CCE"/>
    <w:rsid w:val="60462BAF"/>
    <w:rsid w:val="604E693F"/>
    <w:rsid w:val="60525073"/>
    <w:rsid w:val="60620FA8"/>
    <w:rsid w:val="6064795F"/>
    <w:rsid w:val="60687768"/>
    <w:rsid w:val="60751FE2"/>
    <w:rsid w:val="607762DD"/>
    <w:rsid w:val="607F728D"/>
    <w:rsid w:val="6081063F"/>
    <w:rsid w:val="608426B4"/>
    <w:rsid w:val="60882346"/>
    <w:rsid w:val="60903A5C"/>
    <w:rsid w:val="609626BF"/>
    <w:rsid w:val="60B26A50"/>
    <w:rsid w:val="60BB2957"/>
    <w:rsid w:val="60BD0306"/>
    <w:rsid w:val="60BD4B77"/>
    <w:rsid w:val="60BF0D0F"/>
    <w:rsid w:val="60C57CAB"/>
    <w:rsid w:val="60F52A9D"/>
    <w:rsid w:val="610C7B51"/>
    <w:rsid w:val="6112131E"/>
    <w:rsid w:val="612F6EB8"/>
    <w:rsid w:val="613948E9"/>
    <w:rsid w:val="61397EF8"/>
    <w:rsid w:val="613D432C"/>
    <w:rsid w:val="613E1D31"/>
    <w:rsid w:val="614A3E3D"/>
    <w:rsid w:val="614B3095"/>
    <w:rsid w:val="616106EA"/>
    <w:rsid w:val="61636F0A"/>
    <w:rsid w:val="617A5C3B"/>
    <w:rsid w:val="617B7268"/>
    <w:rsid w:val="6182507F"/>
    <w:rsid w:val="61906276"/>
    <w:rsid w:val="61950DA4"/>
    <w:rsid w:val="61AD2DE0"/>
    <w:rsid w:val="61B77E51"/>
    <w:rsid w:val="61C76AB3"/>
    <w:rsid w:val="61CF6314"/>
    <w:rsid w:val="61E11B13"/>
    <w:rsid w:val="61E306AA"/>
    <w:rsid w:val="61E406BF"/>
    <w:rsid w:val="61EA0812"/>
    <w:rsid w:val="61EF3AF2"/>
    <w:rsid w:val="6212567A"/>
    <w:rsid w:val="6216619E"/>
    <w:rsid w:val="6220537F"/>
    <w:rsid w:val="62246BAC"/>
    <w:rsid w:val="62366076"/>
    <w:rsid w:val="623D2A44"/>
    <w:rsid w:val="62545400"/>
    <w:rsid w:val="625A5113"/>
    <w:rsid w:val="625B7B17"/>
    <w:rsid w:val="626D392C"/>
    <w:rsid w:val="62746BA5"/>
    <w:rsid w:val="6281153C"/>
    <w:rsid w:val="62811FE2"/>
    <w:rsid w:val="62A060CC"/>
    <w:rsid w:val="62AC0BC5"/>
    <w:rsid w:val="62C34347"/>
    <w:rsid w:val="62CE7D6F"/>
    <w:rsid w:val="62D520ED"/>
    <w:rsid w:val="62D65D3F"/>
    <w:rsid w:val="62DB6BA0"/>
    <w:rsid w:val="62E15AD8"/>
    <w:rsid w:val="62F109E0"/>
    <w:rsid w:val="62F129B8"/>
    <w:rsid w:val="62F3173B"/>
    <w:rsid w:val="63020763"/>
    <w:rsid w:val="630B1285"/>
    <w:rsid w:val="631228D9"/>
    <w:rsid w:val="6315750A"/>
    <w:rsid w:val="6349310C"/>
    <w:rsid w:val="635214D1"/>
    <w:rsid w:val="63582DE4"/>
    <w:rsid w:val="635F0941"/>
    <w:rsid w:val="636B5C5D"/>
    <w:rsid w:val="63764BA6"/>
    <w:rsid w:val="638C41CC"/>
    <w:rsid w:val="63A62AF8"/>
    <w:rsid w:val="63AD595D"/>
    <w:rsid w:val="63B15CE3"/>
    <w:rsid w:val="63B55407"/>
    <w:rsid w:val="63BC5564"/>
    <w:rsid w:val="63C6094E"/>
    <w:rsid w:val="63D539FB"/>
    <w:rsid w:val="63D85420"/>
    <w:rsid w:val="64062D3B"/>
    <w:rsid w:val="64126312"/>
    <w:rsid w:val="641857C3"/>
    <w:rsid w:val="641C7155"/>
    <w:rsid w:val="64340FD3"/>
    <w:rsid w:val="643450DA"/>
    <w:rsid w:val="64352E85"/>
    <w:rsid w:val="64387BFA"/>
    <w:rsid w:val="643E7055"/>
    <w:rsid w:val="645D2B98"/>
    <w:rsid w:val="646A55AB"/>
    <w:rsid w:val="64712A9E"/>
    <w:rsid w:val="647659FD"/>
    <w:rsid w:val="64821F97"/>
    <w:rsid w:val="6486576A"/>
    <w:rsid w:val="648854F3"/>
    <w:rsid w:val="6489776B"/>
    <w:rsid w:val="648A2D5E"/>
    <w:rsid w:val="648A5448"/>
    <w:rsid w:val="64AA6CD4"/>
    <w:rsid w:val="64AB08E2"/>
    <w:rsid w:val="64AF4D96"/>
    <w:rsid w:val="64B94C68"/>
    <w:rsid w:val="64BB1553"/>
    <w:rsid w:val="64C14B94"/>
    <w:rsid w:val="64C35400"/>
    <w:rsid w:val="64D85739"/>
    <w:rsid w:val="64DB0701"/>
    <w:rsid w:val="64E261ED"/>
    <w:rsid w:val="64E52521"/>
    <w:rsid w:val="64EB6721"/>
    <w:rsid w:val="64EF3DC8"/>
    <w:rsid w:val="64F03EC8"/>
    <w:rsid w:val="64F47123"/>
    <w:rsid w:val="64FB320B"/>
    <w:rsid w:val="64FD6312"/>
    <w:rsid w:val="65011B97"/>
    <w:rsid w:val="650662F1"/>
    <w:rsid w:val="650D2353"/>
    <w:rsid w:val="65290398"/>
    <w:rsid w:val="6531552B"/>
    <w:rsid w:val="654E7BBA"/>
    <w:rsid w:val="656D57A5"/>
    <w:rsid w:val="657E05FA"/>
    <w:rsid w:val="6585563C"/>
    <w:rsid w:val="659A62E9"/>
    <w:rsid w:val="65A31894"/>
    <w:rsid w:val="65B563E8"/>
    <w:rsid w:val="65CF5102"/>
    <w:rsid w:val="65E01408"/>
    <w:rsid w:val="65E67F54"/>
    <w:rsid w:val="65F51A7B"/>
    <w:rsid w:val="65F55F40"/>
    <w:rsid w:val="66084371"/>
    <w:rsid w:val="660E4511"/>
    <w:rsid w:val="66124724"/>
    <w:rsid w:val="66164125"/>
    <w:rsid w:val="662110B1"/>
    <w:rsid w:val="66280101"/>
    <w:rsid w:val="662F57B5"/>
    <w:rsid w:val="665D2FCE"/>
    <w:rsid w:val="665E2C23"/>
    <w:rsid w:val="665E7BFF"/>
    <w:rsid w:val="666D2063"/>
    <w:rsid w:val="667446A2"/>
    <w:rsid w:val="667E58EC"/>
    <w:rsid w:val="667E641E"/>
    <w:rsid w:val="668169C8"/>
    <w:rsid w:val="66914189"/>
    <w:rsid w:val="66A219B3"/>
    <w:rsid w:val="66A35358"/>
    <w:rsid w:val="66A564E5"/>
    <w:rsid w:val="66B07087"/>
    <w:rsid w:val="66BF431F"/>
    <w:rsid w:val="66C10B70"/>
    <w:rsid w:val="66D46B66"/>
    <w:rsid w:val="66D839E8"/>
    <w:rsid w:val="66DB1151"/>
    <w:rsid w:val="66DF7469"/>
    <w:rsid w:val="66E57423"/>
    <w:rsid w:val="66EC07B6"/>
    <w:rsid w:val="66EE32F4"/>
    <w:rsid w:val="66F879FF"/>
    <w:rsid w:val="67007BEA"/>
    <w:rsid w:val="670304A8"/>
    <w:rsid w:val="67105CF0"/>
    <w:rsid w:val="671A3DE7"/>
    <w:rsid w:val="671B7875"/>
    <w:rsid w:val="672121B0"/>
    <w:rsid w:val="6727333B"/>
    <w:rsid w:val="67333887"/>
    <w:rsid w:val="67451769"/>
    <w:rsid w:val="67483BC2"/>
    <w:rsid w:val="676359ED"/>
    <w:rsid w:val="67650077"/>
    <w:rsid w:val="6766299A"/>
    <w:rsid w:val="67847AA1"/>
    <w:rsid w:val="67893F36"/>
    <w:rsid w:val="678E3C69"/>
    <w:rsid w:val="678F62EE"/>
    <w:rsid w:val="679937C1"/>
    <w:rsid w:val="67A61570"/>
    <w:rsid w:val="67B10945"/>
    <w:rsid w:val="67B4762B"/>
    <w:rsid w:val="67BF5CD2"/>
    <w:rsid w:val="67C14D73"/>
    <w:rsid w:val="67C307EA"/>
    <w:rsid w:val="67D33EBA"/>
    <w:rsid w:val="67DB07D2"/>
    <w:rsid w:val="67E87593"/>
    <w:rsid w:val="67ED6F85"/>
    <w:rsid w:val="67EE12E9"/>
    <w:rsid w:val="67F108B6"/>
    <w:rsid w:val="67FF7D71"/>
    <w:rsid w:val="68025FB1"/>
    <w:rsid w:val="680754E9"/>
    <w:rsid w:val="680A40B1"/>
    <w:rsid w:val="6818555D"/>
    <w:rsid w:val="681A204F"/>
    <w:rsid w:val="68221D4B"/>
    <w:rsid w:val="6829307F"/>
    <w:rsid w:val="684A4C06"/>
    <w:rsid w:val="68500A53"/>
    <w:rsid w:val="685659B5"/>
    <w:rsid w:val="686E5583"/>
    <w:rsid w:val="6877000B"/>
    <w:rsid w:val="687A6BA1"/>
    <w:rsid w:val="68813E8F"/>
    <w:rsid w:val="6882226C"/>
    <w:rsid w:val="68835520"/>
    <w:rsid w:val="688D47A2"/>
    <w:rsid w:val="688E57E5"/>
    <w:rsid w:val="68980273"/>
    <w:rsid w:val="68A51E3A"/>
    <w:rsid w:val="68A71A92"/>
    <w:rsid w:val="68A746C7"/>
    <w:rsid w:val="68AD042B"/>
    <w:rsid w:val="68B02C01"/>
    <w:rsid w:val="68B20C25"/>
    <w:rsid w:val="68BB49D9"/>
    <w:rsid w:val="68BE6BCB"/>
    <w:rsid w:val="68C831D1"/>
    <w:rsid w:val="68E51EE8"/>
    <w:rsid w:val="68F071AE"/>
    <w:rsid w:val="68F4143B"/>
    <w:rsid w:val="690616A0"/>
    <w:rsid w:val="691213D6"/>
    <w:rsid w:val="69136F80"/>
    <w:rsid w:val="69145FFC"/>
    <w:rsid w:val="69287927"/>
    <w:rsid w:val="69356181"/>
    <w:rsid w:val="69391B0F"/>
    <w:rsid w:val="693D63AD"/>
    <w:rsid w:val="693F1BDF"/>
    <w:rsid w:val="6947249B"/>
    <w:rsid w:val="694D5CE0"/>
    <w:rsid w:val="694E396F"/>
    <w:rsid w:val="695E31AD"/>
    <w:rsid w:val="69635F70"/>
    <w:rsid w:val="696E47F0"/>
    <w:rsid w:val="69706BE1"/>
    <w:rsid w:val="697D50DB"/>
    <w:rsid w:val="698420E5"/>
    <w:rsid w:val="69865B3D"/>
    <w:rsid w:val="698941A8"/>
    <w:rsid w:val="698E1975"/>
    <w:rsid w:val="69977E54"/>
    <w:rsid w:val="69A25CF9"/>
    <w:rsid w:val="69BD2A29"/>
    <w:rsid w:val="69CA2668"/>
    <w:rsid w:val="69CC2F8A"/>
    <w:rsid w:val="69D0323F"/>
    <w:rsid w:val="69D62E14"/>
    <w:rsid w:val="69F20D98"/>
    <w:rsid w:val="69F40FF1"/>
    <w:rsid w:val="69F7464D"/>
    <w:rsid w:val="6A134E9E"/>
    <w:rsid w:val="6A157E2A"/>
    <w:rsid w:val="6A1C29A7"/>
    <w:rsid w:val="6A2C3272"/>
    <w:rsid w:val="6A2F6504"/>
    <w:rsid w:val="6A316D1F"/>
    <w:rsid w:val="6A394161"/>
    <w:rsid w:val="6A4627FC"/>
    <w:rsid w:val="6A4850C1"/>
    <w:rsid w:val="6A4950F1"/>
    <w:rsid w:val="6A4C16E4"/>
    <w:rsid w:val="6A5007E3"/>
    <w:rsid w:val="6A7507DD"/>
    <w:rsid w:val="6A7A2B04"/>
    <w:rsid w:val="6A8743E3"/>
    <w:rsid w:val="6A8A43FE"/>
    <w:rsid w:val="6A933773"/>
    <w:rsid w:val="6A9337CC"/>
    <w:rsid w:val="6A937692"/>
    <w:rsid w:val="6A963643"/>
    <w:rsid w:val="6AAA44FD"/>
    <w:rsid w:val="6AAA585B"/>
    <w:rsid w:val="6ACC31C6"/>
    <w:rsid w:val="6ACE149D"/>
    <w:rsid w:val="6ACE5BBD"/>
    <w:rsid w:val="6AD36D91"/>
    <w:rsid w:val="6ADF0C15"/>
    <w:rsid w:val="6AED4EE9"/>
    <w:rsid w:val="6AF34D96"/>
    <w:rsid w:val="6AF53C10"/>
    <w:rsid w:val="6AF91561"/>
    <w:rsid w:val="6AFB39BF"/>
    <w:rsid w:val="6AFC405A"/>
    <w:rsid w:val="6AFE1DCE"/>
    <w:rsid w:val="6B0A5734"/>
    <w:rsid w:val="6B0E57A0"/>
    <w:rsid w:val="6B13227D"/>
    <w:rsid w:val="6B252170"/>
    <w:rsid w:val="6B25718E"/>
    <w:rsid w:val="6B2D00F4"/>
    <w:rsid w:val="6B2F1694"/>
    <w:rsid w:val="6B3713A3"/>
    <w:rsid w:val="6B372EC7"/>
    <w:rsid w:val="6B3E7C41"/>
    <w:rsid w:val="6B4227A2"/>
    <w:rsid w:val="6B433D48"/>
    <w:rsid w:val="6B472C16"/>
    <w:rsid w:val="6B4B4D8F"/>
    <w:rsid w:val="6B871BCF"/>
    <w:rsid w:val="6B8A6CC2"/>
    <w:rsid w:val="6B9375F3"/>
    <w:rsid w:val="6B9C4A66"/>
    <w:rsid w:val="6BA62CA5"/>
    <w:rsid w:val="6BAB7C0A"/>
    <w:rsid w:val="6BC009EB"/>
    <w:rsid w:val="6BCA1C9B"/>
    <w:rsid w:val="6BCA6D2F"/>
    <w:rsid w:val="6BD1430E"/>
    <w:rsid w:val="6BD31F99"/>
    <w:rsid w:val="6BD5278F"/>
    <w:rsid w:val="6BDB4FBC"/>
    <w:rsid w:val="6BE50C98"/>
    <w:rsid w:val="6BEA1531"/>
    <w:rsid w:val="6BF74803"/>
    <w:rsid w:val="6C0C1FD6"/>
    <w:rsid w:val="6C111277"/>
    <w:rsid w:val="6C134412"/>
    <w:rsid w:val="6C16494C"/>
    <w:rsid w:val="6C16757B"/>
    <w:rsid w:val="6C1D20B1"/>
    <w:rsid w:val="6C203F87"/>
    <w:rsid w:val="6C235588"/>
    <w:rsid w:val="6C2649C1"/>
    <w:rsid w:val="6C304B99"/>
    <w:rsid w:val="6C3469AD"/>
    <w:rsid w:val="6C4157AE"/>
    <w:rsid w:val="6C4F7AD3"/>
    <w:rsid w:val="6C505BB4"/>
    <w:rsid w:val="6C544A36"/>
    <w:rsid w:val="6C6B064E"/>
    <w:rsid w:val="6C802D6B"/>
    <w:rsid w:val="6C985C0D"/>
    <w:rsid w:val="6CA17A26"/>
    <w:rsid w:val="6CA6045C"/>
    <w:rsid w:val="6CAF669F"/>
    <w:rsid w:val="6CB255D4"/>
    <w:rsid w:val="6CB46542"/>
    <w:rsid w:val="6CC94673"/>
    <w:rsid w:val="6CEE6900"/>
    <w:rsid w:val="6CFB216D"/>
    <w:rsid w:val="6CFD5837"/>
    <w:rsid w:val="6D016085"/>
    <w:rsid w:val="6D0336AE"/>
    <w:rsid w:val="6D095645"/>
    <w:rsid w:val="6D1E093D"/>
    <w:rsid w:val="6D25483A"/>
    <w:rsid w:val="6D300760"/>
    <w:rsid w:val="6D43744B"/>
    <w:rsid w:val="6D4B1154"/>
    <w:rsid w:val="6D52448B"/>
    <w:rsid w:val="6D544ADD"/>
    <w:rsid w:val="6D5560A2"/>
    <w:rsid w:val="6D5754B9"/>
    <w:rsid w:val="6D5D0F40"/>
    <w:rsid w:val="6D714983"/>
    <w:rsid w:val="6D7B3E18"/>
    <w:rsid w:val="6D921906"/>
    <w:rsid w:val="6D9560A3"/>
    <w:rsid w:val="6D973A95"/>
    <w:rsid w:val="6D97480B"/>
    <w:rsid w:val="6D9C67B8"/>
    <w:rsid w:val="6DA922ED"/>
    <w:rsid w:val="6DAC5522"/>
    <w:rsid w:val="6DB056E8"/>
    <w:rsid w:val="6DC00BC5"/>
    <w:rsid w:val="6DDB4DE0"/>
    <w:rsid w:val="6DE059E9"/>
    <w:rsid w:val="6DF07A27"/>
    <w:rsid w:val="6DFC59C3"/>
    <w:rsid w:val="6E084693"/>
    <w:rsid w:val="6E254C22"/>
    <w:rsid w:val="6E2A1DE1"/>
    <w:rsid w:val="6E3E6319"/>
    <w:rsid w:val="6E4432B9"/>
    <w:rsid w:val="6E4D210F"/>
    <w:rsid w:val="6E4E3BA1"/>
    <w:rsid w:val="6E4F4C73"/>
    <w:rsid w:val="6E500CC3"/>
    <w:rsid w:val="6E500F89"/>
    <w:rsid w:val="6E5228CD"/>
    <w:rsid w:val="6E580E85"/>
    <w:rsid w:val="6E627EB9"/>
    <w:rsid w:val="6E650093"/>
    <w:rsid w:val="6E724B48"/>
    <w:rsid w:val="6E773B9B"/>
    <w:rsid w:val="6E955400"/>
    <w:rsid w:val="6E984246"/>
    <w:rsid w:val="6EA5169A"/>
    <w:rsid w:val="6EB2096A"/>
    <w:rsid w:val="6EBE4A17"/>
    <w:rsid w:val="6EBF12FC"/>
    <w:rsid w:val="6ECC6DF0"/>
    <w:rsid w:val="6EDB7B6D"/>
    <w:rsid w:val="6EE13C7F"/>
    <w:rsid w:val="6EED0072"/>
    <w:rsid w:val="6EED10BC"/>
    <w:rsid w:val="6EF34FC3"/>
    <w:rsid w:val="6EF52DBC"/>
    <w:rsid w:val="6EF821B1"/>
    <w:rsid w:val="6EF870C8"/>
    <w:rsid w:val="6EFB32ED"/>
    <w:rsid w:val="6F032F69"/>
    <w:rsid w:val="6F08544A"/>
    <w:rsid w:val="6F166F07"/>
    <w:rsid w:val="6F181317"/>
    <w:rsid w:val="6F1C1A76"/>
    <w:rsid w:val="6F395EA8"/>
    <w:rsid w:val="6F3C3466"/>
    <w:rsid w:val="6F483571"/>
    <w:rsid w:val="6F51733B"/>
    <w:rsid w:val="6F52269C"/>
    <w:rsid w:val="6F541613"/>
    <w:rsid w:val="6F5543F9"/>
    <w:rsid w:val="6F580B1E"/>
    <w:rsid w:val="6F5A05B1"/>
    <w:rsid w:val="6F60476B"/>
    <w:rsid w:val="6F634E56"/>
    <w:rsid w:val="6F7E0369"/>
    <w:rsid w:val="6F8D1E6B"/>
    <w:rsid w:val="6F9B2AB6"/>
    <w:rsid w:val="6F9D6C4D"/>
    <w:rsid w:val="6FAD7D74"/>
    <w:rsid w:val="6FAF3431"/>
    <w:rsid w:val="6FBD1159"/>
    <w:rsid w:val="6FC55F33"/>
    <w:rsid w:val="6FC959C2"/>
    <w:rsid w:val="6FD07630"/>
    <w:rsid w:val="6FD131FA"/>
    <w:rsid w:val="6FD62563"/>
    <w:rsid w:val="6FD81456"/>
    <w:rsid w:val="6FD85084"/>
    <w:rsid w:val="6FE05440"/>
    <w:rsid w:val="6FF704A6"/>
    <w:rsid w:val="6FF77AEC"/>
    <w:rsid w:val="6FFA79CE"/>
    <w:rsid w:val="700A6390"/>
    <w:rsid w:val="70130E29"/>
    <w:rsid w:val="70134EB8"/>
    <w:rsid w:val="70260DBC"/>
    <w:rsid w:val="7044114C"/>
    <w:rsid w:val="704D4C46"/>
    <w:rsid w:val="70545DA3"/>
    <w:rsid w:val="705C0AE8"/>
    <w:rsid w:val="705F63C7"/>
    <w:rsid w:val="706E0813"/>
    <w:rsid w:val="706E0FA3"/>
    <w:rsid w:val="707D19DA"/>
    <w:rsid w:val="7096139E"/>
    <w:rsid w:val="709A23D0"/>
    <w:rsid w:val="70A851F0"/>
    <w:rsid w:val="70B06B20"/>
    <w:rsid w:val="70B51C22"/>
    <w:rsid w:val="70BD089E"/>
    <w:rsid w:val="70BD5134"/>
    <w:rsid w:val="70DA0065"/>
    <w:rsid w:val="70DE5998"/>
    <w:rsid w:val="70E066B6"/>
    <w:rsid w:val="70EE4A34"/>
    <w:rsid w:val="70FB675C"/>
    <w:rsid w:val="710E7E8B"/>
    <w:rsid w:val="711165DE"/>
    <w:rsid w:val="711E2A22"/>
    <w:rsid w:val="71223776"/>
    <w:rsid w:val="71244CD9"/>
    <w:rsid w:val="712D7A2E"/>
    <w:rsid w:val="71405D25"/>
    <w:rsid w:val="716243A1"/>
    <w:rsid w:val="71687962"/>
    <w:rsid w:val="716A7A35"/>
    <w:rsid w:val="717402AD"/>
    <w:rsid w:val="71804E3F"/>
    <w:rsid w:val="718815E5"/>
    <w:rsid w:val="71893F51"/>
    <w:rsid w:val="718F01F2"/>
    <w:rsid w:val="7192754B"/>
    <w:rsid w:val="719C35E7"/>
    <w:rsid w:val="719D49DA"/>
    <w:rsid w:val="71A157AD"/>
    <w:rsid w:val="71B153CA"/>
    <w:rsid w:val="71BC00EF"/>
    <w:rsid w:val="71CD08B5"/>
    <w:rsid w:val="71FF1DFD"/>
    <w:rsid w:val="72005FE5"/>
    <w:rsid w:val="72060E95"/>
    <w:rsid w:val="72086275"/>
    <w:rsid w:val="720D60D4"/>
    <w:rsid w:val="721527CF"/>
    <w:rsid w:val="7217653E"/>
    <w:rsid w:val="721A4B2A"/>
    <w:rsid w:val="7223275E"/>
    <w:rsid w:val="72261F85"/>
    <w:rsid w:val="722D1DC5"/>
    <w:rsid w:val="72340514"/>
    <w:rsid w:val="72344122"/>
    <w:rsid w:val="723A0AD5"/>
    <w:rsid w:val="72421A40"/>
    <w:rsid w:val="724965BA"/>
    <w:rsid w:val="724A6552"/>
    <w:rsid w:val="724C6371"/>
    <w:rsid w:val="726372EE"/>
    <w:rsid w:val="726A6AE2"/>
    <w:rsid w:val="727D1632"/>
    <w:rsid w:val="728B151E"/>
    <w:rsid w:val="728C4B39"/>
    <w:rsid w:val="729322E1"/>
    <w:rsid w:val="72940B7D"/>
    <w:rsid w:val="72B03567"/>
    <w:rsid w:val="72C2264A"/>
    <w:rsid w:val="72CB3752"/>
    <w:rsid w:val="72E726A9"/>
    <w:rsid w:val="72EE0827"/>
    <w:rsid w:val="72EF2DF1"/>
    <w:rsid w:val="72F07595"/>
    <w:rsid w:val="72F20F06"/>
    <w:rsid w:val="72F23387"/>
    <w:rsid w:val="730269C9"/>
    <w:rsid w:val="73063025"/>
    <w:rsid w:val="730B2CEE"/>
    <w:rsid w:val="73111F2C"/>
    <w:rsid w:val="7330131E"/>
    <w:rsid w:val="733B0B45"/>
    <w:rsid w:val="733C1B7F"/>
    <w:rsid w:val="734C3E7E"/>
    <w:rsid w:val="734E579E"/>
    <w:rsid w:val="73532D54"/>
    <w:rsid w:val="7355126A"/>
    <w:rsid w:val="73595EBB"/>
    <w:rsid w:val="737319B0"/>
    <w:rsid w:val="737B1804"/>
    <w:rsid w:val="737C2C90"/>
    <w:rsid w:val="737F2808"/>
    <w:rsid w:val="738112D8"/>
    <w:rsid w:val="73890408"/>
    <w:rsid w:val="738D2089"/>
    <w:rsid w:val="73A075D0"/>
    <w:rsid w:val="73A42FCC"/>
    <w:rsid w:val="73AD014C"/>
    <w:rsid w:val="73AD30D1"/>
    <w:rsid w:val="73B81211"/>
    <w:rsid w:val="73BA22EE"/>
    <w:rsid w:val="73BF6282"/>
    <w:rsid w:val="73C623BD"/>
    <w:rsid w:val="73D3321F"/>
    <w:rsid w:val="73D45E03"/>
    <w:rsid w:val="73D53852"/>
    <w:rsid w:val="73D8405E"/>
    <w:rsid w:val="73EE501D"/>
    <w:rsid w:val="73EF48C1"/>
    <w:rsid w:val="73F34227"/>
    <w:rsid w:val="73F36852"/>
    <w:rsid w:val="73FE3EF7"/>
    <w:rsid w:val="740A4EF9"/>
    <w:rsid w:val="74116B4C"/>
    <w:rsid w:val="7416520C"/>
    <w:rsid w:val="7417762D"/>
    <w:rsid w:val="741D1061"/>
    <w:rsid w:val="74237D69"/>
    <w:rsid w:val="74351CA7"/>
    <w:rsid w:val="743B1556"/>
    <w:rsid w:val="7440278C"/>
    <w:rsid w:val="7448031E"/>
    <w:rsid w:val="744D1B12"/>
    <w:rsid w:val="745030CE"/>
    <w:rsid w:val="74530B18"/>
    <w:rsid w:val="74537185"/>
    <w:rsid w:val="74541F0C"/>
    <w:rsid w:val="745C24E7"/>
    <w:rsid w:val="745E7F49"/>
    <w:rsid w:val="74686FCB"/>
    <w:rsid w:val="746B75D8"/>
    <w:rsid w:val="747F422D"/>
    <w:rsid w:val="748027B6"/>
    <w:rsid w:val="74856DE5"/>
    <w:rsid w:val="74A23383"/>
    <w:rsid w:val="74AD6193"/>
    <w:rsid w:val="74B43887"/>
    <w:rsid w:val="74BD01BD"/>
    <w:rsid w:val="74C00520"/>
    <w:rsid w:val="74C12FF8"/>
    <w:rsid w:val="74C62128"/>
    <w:rsid w:val="74CD20FE"/>
    <w:rsid w:val="74D40B9E"/>
    <w:rsid w:val="74D65E8B"/>
    <w:rsid w:val="74E80AD5"/>
    <w:rsid w:val="750719E2"/>
    <w:rsid w:val="75197534"/>
    <w:rsid w:val="752C5CA3"/>
    <w:rsid w:val="75335A20"/>
    <w:rsid w:val="75345FAE"/>
    <w:rsid w:val="7539248D"/>
    <w:rsid w:val="753A6070"/>
    <w:rsid w:val="75444FAB"/>
    <w:rsid w:val="754809BC"/>
    <w:rsid w:val="75490205"/>
    <w:rsid w:val="754D7F7A"/>
    <w:rsid w:val="755B09A7"/>
    <w:rsid w:val="755F6B76"/>
    <w:rsid w:val="756143FB"/>
    <w:rsid w:val="75762006"/>
    <w:rsid w:val="75765E4B"/>
    <w:rsid w:val="757E7D7F"/>
    <w:rsid w:val="7583402E"/>
    <w:rsid w:val="7583680C"/>
    <w:rsid w:val="758F4DDA"/>
    <w:rsid w:val="759744DA"/>
    <w:rsid w:val="75983FE9"/>
    <w:rsid w:val="759B6C42"/>
    <w:rsid w:val="75A36E24"/>
    <w:rsid w:val="75A6216F"/>
    <w:rsid w:val="75AE60DA"/>
    <w:rsid w:val="75B44F45"/>
    <w:rsid w:val="75BB2559"/>
    <w:rsid w:val="75C17808"/>
    <w:rsid w:val="75C42D30"/>
    <w:rsid w:val="75D51CA8"/>
    <w:rsid w:val="75E83A17"/>
    <w:rsid w:val="75EB67F7"/>
    <w:rsid w:val="75F42118"/>
    <w:rsid w:val="76075541"/>
    <w:rsid w:val="76174FB2"/>
    <w:rsid w:val="761B0B48"/>
    <w:rsid w:val="7637196E"/>
    <w:rsid w:val="76376319"/>
    <w:rsid w:val="764058F2"/>
    <w:rsid w:val="76406720"/>
    <w:rsid w:val="76522462"/>
    <w:rsid w:val="765C0402"/>
    <w:rsid w:val="76604B86"/>
    <w:rsid w:val="766236D9"/>
    <w:rsid w:val="766D0821"/>
    <w:rsid w:val="766D62C3"/>
    <w:rsid w:val="767123A0"/>
    <w:rsid w:val="76771E0A"/>
    <w:rsid w:val="767A1700"/>
    <w:rsid w:val="767C3F4B"/>
    <w:rsid w:val="768554F3"/>
    <w:rsid w:val="76875408"/>
    <w:rsid w:val="768E2DAC"/>
    <w:rsid w:val="76942A1C"/>
    <w:rsid w:val="76965A64"/>
    <w:rsid w:val="769A7BC5"/>
    <w:rsid w:val="76AD198D"/>
    <w:rsid w:val="76B36579"/>
    <w:rsid w:val="76B51966"/>
    <w:rsid w:val="76B57B6E"/>
    <w:rsid w:val="76B70B76"/>
    <w:rsid w:val="76CB697F"/>
    <w:rsid w:val="76D234CE"/>
    <w:rsid w:val="76D36B6A"/>
    <w:rsid w:val="76E07083"/>
    <w:rsid w:val="77037889"/>
    <w:rsid w:val="770758C3"/>
    <w:rsid w:val="771156CB"/>
    <w:rsid w:val="77293705"/>
    <w:rsid w:val="772E16BB"/>
    <w:rsid w:val="774520C9"/>
    <w:rsid w:val="77500133"/>
    <w:rsid w:val="77527828"/>
    <w:rsid w:val="77551669"/>
    <w:rsid w:val="776F7A6A"/>
    <w:rsid w:val="777F3F16"/>
    <w:rsid w:val="77800322"/>
    <w:rsid w:val="77811D46"/>
    <w:rsid w:val="778620E7"/>
    <w:rsid w:val="778F4AE9"/>
    <w:rsid w:val="779438DB"/>
    <w:rsid w:val="779A2191"/>
    <w:rsid w:val="779D5A01"/>
    <w:rsid w:val="779E0A43"/>
    <w:rsid w:val="77A431EF"/>
    <w:rsid w:val="77A447D4"/>
    <w:rsid w:val="77A45CB1"/>
    <w:rsid w:val="77C2206D"/>
    <w:rsid w:val="77D677DB"/>
    <w:rsid w:val="77D91B3B"/>
    <w:rsid w:val="77E62D6B"/>
    <w:rsid w:val="77FA55BB"/>
    <w:rsid w:val="77FD2161"/>
    <w:rsid w:val="780E555F"/>
    <w:rsid w:val="78260C11"/>
    <w:rsid w:val="783061CB"/>
    <w:rsid w:val="78313EEF"/>
    <w:rsid w:val="783159FC"/>
    <w:rsid w:val="783A36EA"/>
    <w:rsid w:val="783C0878"/>
    <w:rsid w:val="783C6EEB"/>
    <w:rsid w:val="784178EE"/>
    <w:rsid w:val="78424F08"/>
    <w:rsid w:val="784443E4"/>
    <w:rsid w:val="78514B8E"/>
    <w:rsid w:val="785509BE"/>
    <w:rsid w:val="785E0B21"/>
    <w:rsid w:val="786A35DE"/>
    <w:rsid w:val="787435E7"/>
    <w:rsid w:val="787739B1"/>
    <w:rsid w:val="78782896"/>
    <w:rsid w:val="787C2A12"/>
    <w:rsid w:val="788F2C7E"/>
    <w:rsid w:val="789C3905"/>
    <w:rsid w:val="78B61534"/>
    <w:rsid w:val="78C064CE"/>
    <w:rsid w:val="78C24E18"/>
    <w:rsid w:val="78D75434"/>
    <w:rsid w:val="78E5527F"/>
    <w:rsid w:val="78E97D9D"/>
    <w:rsid w:val="78EB6A1B"/>
    <w:rsid w:val="78F11098"/>
    <w:rsid w:val="78F54EF7"/>
    <w:rsid w:val="78F94DFD"/>
    <w:rsid w:val="78FD1924"/>
    <w:rsid w:val="78FE4642"/>
    <w:rsid w:val="790E2792"/>
    <w:rsid w:val="79240E8E"/>
    <w:rsid w:val="79423593"/>
    <w:rsid w:val="79510E74"/>
    <w:rsid w:val="79677E82"/>
    <w:rsid w:val="796E444C"/>
    <w:rsid w:val="79700E91"/>
    <w:rsid w:val="79714440"/>
    <w:rsid w:val="797924FF"/>
    <w:rsid w:val="797C0522"/>
    <w:rsid w:val="797F58EA"/>
    <w:rsid w:val="798D131B"/>
    <w:rsid w:val="79903CFB"/>
    <w:rsid w:val="79982C39"/>
    <w:rsid w:val="79A67F86"/>
    <w:rsid w:val="79A74F98"/>
    <w:rsid w:val="79AC70D3"/>
    <w:rsid w:val="79C26956"/>
    <w:rsid w:val="79C35546"/>
    <w:rsid w:val="79D37AD8"/>
    <w:rsid w:val="79E81021"/>
    <w:rsid w:val="79FB1C8B"/>
    <w:rsid w:val="79FE5343"/>
    <w:rsid w:val="79FE58B4"/>
    <w:rsid w:val="7A007DA5"/>
    <w:rsid w:val="7A017B60"/>
    <w:rsid w:val="7A0D16AE"/>
    <w:rsid w:val="7A274857"/>
    <w:rsid w:val="7A3C6904"/>
    <w:rsid w:val="7A3D66FF"/>
    <w:rsid w:val="7A4104F0"/>
    <w:rsid w:val="7A426777"/>
    <w:rsid w:val="7A443C3E"/>
    <w:rsid w:val="7A490D4E"/>
    <w:rsid w:val="7A6C2F29"/>
    <w:rsid w:val="7A6F05A5"/>
    <w:rsid w:val="7A7362CC"/>
    <w:rsid w:val="7A8B3CC1"/>
    <w:rsid w:val="7A9C0875"/>
    <w:rsid w:val="7AA07552"/>
    <w:rsid w:val="7AA567B9"/>
    <w:rsid w:val="7AB331B9"/>
    <w:rsid w:val="7ABA24C6"/>
    <w:rsid w:val="7ABB0229"/>
    <w:rsid w:val="7ACA77FD"/>
    <w:rsid w:val="7ADF61BB"/>
    <w:rsid w:val="7AEA6E4F"/>
    <w:rsid w:val="7AF13B33"/>
    <w:rsid w:val="7AF85B71"/>
    <w:rsid w:val="7AFB3EA1"/>
    <w:rsid w:val="7B000415"/>
    <w:rsid w:val="7B011970"/>
    <w:rsid w:val="7B0139E3"/>
    <w:rsid w:val="7B1265AF"/>
    <w:rsid w:val="7B1D080A"/>
    <w:rsid w:val="7B290844"/>
    <w:rsid w:val="7B306457"/>
    <w:rsid w:val="7B4476C1"/>
    <w:rsid w:val="7B4539CB"/>
    <w:rsid w:val="7B4F3F53"/>
    <w:rsid w:val="7B661AAE"/>
    <w:rsid w:val="7B7164E8"/>
    <w:rsid w:val="7B770CE3"/>
    <w:rsid w:val="7B773955"/>
    <w:rsid w:val="7B7A5422"/>
    <w:rsid w:val="7B825957"/>
    <w:rsid w:val="7B854FAD"/>
    <w:rsid w:val="7B8E3125"/>
    <w:rsid w:val="7BA22A6E"/>
    <w:rsid w:val="7BA63880"/>
    <w:rsid w:val="7BAC0AAC"/>
    <w:rsid w:val="7BBA4617"/>
    <w:rsid w:val="7BC2365C"/>
    <w:rsid w:val="7BD8195C"/>
    <w:rsid w:val="7BD92809"/>
    <w:rsid w:val="7BDB5C04"/>
    <w:rsid w:val="7BDC07DF"/>
    <w:rsid w:val="7BDF1B1E"/>
    <w:rsid w:val="7BE42167"/>
    <w:rsid w:val="7BEA72FE"/>
    <w:rsid w:val="7BF841EF"/>
    <w:rsid w:val="7BFE1CD7"/>
    <w:rsid w:val="7C01476A"/>
    <w:rsid w:val="7C197BCE"/>
    <w:rsid w:val="7C1F4401"/>
    <w:rsid w:val="7C36033C"/>
    <w:rsid w:val="7C364EA6"/>
    <w:rsid w:val="7C71401C"/>
    <w:rsid w:val="7C721AD5"/>
    <w:rsid w:val="7C762E21"/>
    <w:rsid w:val="7C800045"/>
    <w:rsid w:val="7C856AAF"/>
    <w:rsid w:val="7C880DB0"/>
    <w:rsid w:val="7C8F0BC4"/>
    <w:rsid w:val="7C9031E2"/>
    <w:rsid w:val="7C967DC0"/>
    <w:rsid w:val="7CA4644B"/>
    <w:rsid w:val="7CA73410"/>
    <w:rsid w:val="7CB32AE3"/>
    <w:rsid w:val="7CB80A49"/>
    <w:rsid w:val="7CC42EE0"/>
    <w:rsid w:val="7CC51C19"/>
    <w:rsid w:val="7CC61BD9"/>
    <w:rsid w:val="7CD17399"/>
    <w:rsid w:val="7CDB7465"/>
    <w:rsid w:val="7CE549B4"/>
    <w:rsid w:val="7D0066A6"/>
    <w:rsid w:val="7D007009"/>
    <w:rsid w:val="7D05360D"/>
    <w:rsid w:val="7D0D525E"/>
    <w:rsid w:val="7D0E18D3"/>
    <w:rsid w:val="7D127C56"/>
    <w:rsid w:val="7D194459"/>
    <w:rsid w:val="7D1C5444"/>
    <w:rsid w:val="7D2346A8"/>
    <w:rsid w:val="7D2E0F66"/>
    <w:rsid w:val="7D2E1262"/>
    <w:rsid w:val="7D2F76F7"/>
    <w:rsid w:val="7D35304D"/>
    <w:rsid w:val="7D355BD8"/>
    <w:rsid w:val="7D38271F"/>
    <w:rsid w:val="7D3D1DEE"/>
    <w:rsid w:val="7D3E74E7"/>
    <w:rsid w:val="7D4E3D38"/>
    <w:rsid w:val="7D835924"/>
    <w:rsid w:val="7D835A04"/>
    <w:rsid w:val="7D872F3B"/>
    <w:rsid w:val="7D945B08"/>
    <w:rsid w:val="7D9A1061"/>
    <w:rsid w:val="7D9E129A"/>
    <w:rsid w:val="7D9E6A57"/>
    <w:rsid w:val="7D9F395C"/>
    <w:rsid w:val="7DA37974"/>
    <w:rsid w:val="7DA716EE"/>
    <w:rsid w:val="7DA83F64"/>
    <w:rsid w:val="7DAF44D6"/>
    <w:rsid w:val="7DBA3E7C"/>
    <w:rsid w:val="7DCE7718"/>
    <w:rsid w:val="7DD56AAC"/>
    <w:rsid w:val="7DE11E59"/>
    <w:rsid w:val="7DEC04FB"/>
    <w:rsid w:val="7DFF53F7"/>
    <w:rsid w:val="7E05483A"/>
    <w:rsid w:val="7E0E5253"/>
    <w:rsid w:val="7E0E7D03"/>
    <w:rsid w:val="7E0F1C37"/>
    <w:rsid w:val="7E1552B0"/>
    <w:rsid w:val="7E1E3299"/>
    <w:rsid w:val="7E233C0B"/>
    <w:rsid w:val="7E292420"/>
    <w:rsid w:val="7E3E7644"/>
    <w:rsid w:val="7E456851"/>
    <w:rsid w:val="7E597C9B"/>
    <w:rsid w:val="7E5F1DC1"/>
    <w:rsid w:val="7E663627"/>
    <w:rsid w:val="7E740C44"/>
    <w:rsid w:val="7E7839E8"/>
    <w:rsid w:val="7E7B631E"/>
    <w:rsid w:val="7E7E1404"/>
    <w:rsid w:val="7E7E276B"/>
    <w:rsid w:val="7EB87F11"/>
    <w:rsid w:val="7EBF257F"/>
    <w:rsid w:val="7EC9085D"/>
    <w:rsid w:val="7ED129EF"/>
    <w:rsid w:val="7EE074EE"/>
    <w:rsid w:val="7EE34C32"/>
    <w:rsid w:val="7EF66E55"/>
    <w:rsid w:val="7EFE158A"/>
    <w:rsid w:val="7F127092"/>
    <w:rsid w:val="7F1C2174"/>
    <w:rsid w:val="7F261E3D"/>
    <w:rsid w:val="7F2C6B58"/>
    <w:rsid w:val="7F2E18F2"/>
    <w:rsid w:val="7F3B5F31"/>
    <w:rsid w:val="7F4D7130"/>
    <w:rsid w:val="7F51522C"/>
    <w:rsid w:val="7F551693"/>
    <w:rsid w:val="7F5E675F"/>
    <w:rsid w:val="7F652E0C"/>
    <w:rsid w:val="7F6F2809"/>
    <w:rsid w:val="7F73464F"/>
    <w:rsid w:val="7F773CEB"/>
    <w:rsid w:val="7F7943A0"/>
    <w:rsid w:val="7F7F5CAC"/>
    <w:rsid w:val="7F8455E6"/>
    <w:rsid w:val="7F85094E"/>
    <w:rsid w:val="7F88368A"/>
    <w:rsid w:val="7F937796"/>
    <w:rsid w:val="7F9835DD"/>
    <w:rsid w:val="7F9A2C69"/>
    <w:rsid w:val="7F9C412E"/>
    <w:rsid w:val="7FA041DD"/>
    <w:rsid w:val="7FA17ED2"/>
    <w:rsid w:val="7FAC155A"/>
    <w:rsid w:val="7FBA7186"/>
    <w:rsid w:val="7FBF6DFB"/>
    <w:rsid w:val="7FCF338B"/>
    <w:rsid w:val="7FD27921"/>
    <w:rsid w:val="7FD310BB"/>
    <w:rsid w:val="7FD9613F"/>
    <w:rsid w:val="7FDE0F47"/>
    <w:rsid w:val="7FE74DE9"/>
    <w:rsid w:val="7FF82FF7"/>
    <w:rsid w:val="7FFA2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86"/>
    <w:qFormat/>
    <w:uiPriority w:val="9"/>
    <w:pPr>
      <w:keepNext/>
      <w:keepLines/>
      <w:autoSpaceDE w:val="0"/>
      <w:autoSpaceDN w:val="0"/>
      <w:adjustRightInd w:val="0"/>
      <w:spacing w:after="120" w:line="300" w:lineRule="auto"/>
    </w:pPr>
    <w:rPr>
      <w:rFonts w:ascii="宋体"/>
      <w:kern w:val="44"/>
      <w:szCs w:val="20"/>
    </w:rPr>
  </w:style>
  <w:style w:type="paragraph" w:styleId="5">
    <w:name w:val="heading 2"/>
    <w:basedOn w:val="1"/>
    <w:next w:val="1"/>
    <w:link w:val="73"/>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85"/>
    <w:unhideWhenUsed/>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semiHidden/>
    <w:unhideWhenUsed/>
    <w:qFormat/>
    <w:uiPriority w:val="9"/>
    <w:pPr>
      <w:keepNext/>
      <w:keepLines/>
      <w:numPr>
        <w:ilvl w:val="3"/>
        <w:numId w:val="1"/>
      </w:numPr>
      <w:spacing w:before="260" w:after="260"/>
      <w:ind w:firstLine="482" w:firstLineChars="200"/>
      <w:jc w:val="left"/>
      <w:outlineLvl w:val="3"/>
    </w:pPr>
    <w:rPr>
      <w:rFonts w:ascii="Arial" w:hAnsi="Arial"/>
      <w:b/>
      <w:sz w:val="1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4">
    <w:name w:val="Title"/>
    <w:basedOn w:val="1"/>
    <w:next w:val="1"/>
    <w:qFormat/>
    <w:uiPriority w:val="0"/>
    <w:pPr>
      <w:spacing w:before="240" w:after="60"/>
      <w:jc w:val="center"/>
      <w:outlineLvl w:val="0"/>
    </w:pPr>
    <w:rPr>
      <w:rFonts w:ascii="Arial" w:hAnsi="Arial" w:cs="Arial"/>
      <w:b/>
      <w:bCs/>
      <w:sz w:val="32"/>
      <w:szCs w:val="32"/>
    </w:rPr>
  </w:style>
  <w:style w:type="paragraph" w:styleId="8">
    <w:name w:val="toc 7"/>
    <w:basedOn w:val="1"/>
    <w:next w:val="1"/>
    <w:qFormat/>
    <w:uiPriority w:val="39"/>
    <w:pPr>
      <w:ind w:left="2520" w:leftChars="1200"/>
    </w:pPr>
  </w:style>
  <w:style w:type="paragraph" w:styleId="9">
    <w:name w:val="Document Map"/>
    <w:basedOn w:val="1"/>
    <w:link w:val="77"/>
    <w:qFormat/>
    <w:uiPriority w:val="0"/>
    <w:rPr>
      <w:rFonts w:ascii="宋体"/>
      <w:sz w:val="18"/>
      <w:szCs w:val="18"/>
    </w:rPr>
  </w:style>
  <w:style w:type="paragraph" w:styleId="10">
    <w:name w:val="toa heading"/>
    <w:basedOn w:val="1"/>
    <w:next w:val="1"/>
    <w:qFormat/>
    <w:uiPriority w:val="0"/>
    <w:pPr>
      <w:spacing w:before="120"/>
    </w:pPr>
    <w:rPr>
      <w:rFonts w:ascii="Cambria" w:hAnsi="Cambria"/>
      <w:sz w:val="24"/>
    </w:rPr>
  </w:style>
  <w:style w:type="paragraph" w:styleId="11">
    <w:name w:val="annotation text"/>
    <w:basedOn w:val="1"/>
    <w:link w:val="83"/>
    <w:qFormat/>
    <w:uiPriority w:val="99"/>
    <w:pPr>
      <w:jc w:val="left"/>
    </w:pPr>
  </w:style>
  <w:style w:type="paragraph" w:styleId="12">
    <w:name w:val="Body Text"/>
    <w:basedOn w:val="1"/>
    <w:next w:val="13"/>
    <w:link w:val="82"/>
    <w:qFormat/>
    <w:uiPriority w:val="0"/>
    <w:pPr>
      <w:tabs>
        <w:tab w:val="left" w:pos="567"/>
      </w:tabs>
      <w:spacing w:before="120" w:line="22" w:lineRule="atLeast"/>
    </w:pPr>
    <w:rPr>
      <w:rFonts w:ascii="宋体" w:hAnsi="宋体"/>
      <w:sz w:val="24"/>
    </w:rPr>
  </w:style>
  <w:style w:type="paragraph" w:styleId="13">
    <w:name w:val="Body Text First Indent"/>
    <w:basedOn w:val="12"/>
    <w:next w:val="1"/>
    <w:qFormat/>
    <w:uiPriority w:val="0"/>
    <w:pPr>
      <w:ind w:firstLine="420" w:firstLineChars="100"/>
    </w:pPr>
  </w:style>
  <w:style w:type="paragraph" w:styleId="14">
    <w:name w:val="Body Text Indent"/>
    <w:basedOn w:val="1"/>
    <w:qFormat/>
    <w:uiPriority w:val="0"/>
    <w:pPr>
      <w:spacing w:line="360" w:lineRule="auto"/>
      <w:ind w:firstLine="570"/>
    </w:pPr>
    <w:rPr>
      <w:sz w:val="24"/>
    </w:rPr>
  </w:style>
  <w:style w:type="paragraph" w:styleId="15">
    <w:name w:val="Block Text"/>
    <w:basedOn w:val="1"/>
    <w:qFormat/>
    <w:uiPriority w:val="99"/>
    <w:pPr>
      <w:spacing w:after="120"/>
      <w:ind w:left="1440" w:leftChars="700" w:right="1440" w:rightChars="700"/>
    </w:pPr>
  </w:style>
  <w:style w:type="paragraph" w:styleId="16">
    <w:name w:val="toc 5"/>
    <w:basedOn w:val="1"/>
    <w:next w:val="1"/>
    <w:qFormat/>
    <w:uiPriority w:val="39"/>
    <w:pPr>
      <w:ind w:left="1680" w:leftChars="800"/>
    </w:pPr>
  </w:style>
  <w:style w:type="paragraph" w:styleId="17">
    <w:name w:val="toc 3"/>
    <w:basedOn w:val="1"/>
    <w:next w:val="1"/>
    <w:qFormat/>
    <w:uiPriority w:val="39"/>
    <w:pPr>
      <w:tabs>
        <w:tab w:val="left" w:pos="1260"/>
        <w:tab w:val="right" w:leader="dot" w:pos="8630"/>
      </w:tabs>
      <w:ind w:left="840" w:leftChars="400"/>
    </w:pPr>
  </w:style>
  <w:style w:type="paragraph" w:styleId="18">
    <w:name w:val="Plain Text"/>
    <w:basedOn w:val="1"/>
    <w:next w:val="2"/>
    <w:link w:val="81"/>
    <w:qFormat/>
    <w:uiPriority w:val="0"/>
    <w:rPr>
      <w:rFonts w:ascii="宋体" w:hAnsi="Courier New"/>
      <w:szCs w:val="20"/>
    </w:rPr>
  </w:style>
  <w:style w:type="paragraph" w:styleId="19">
    <w:name w:val="toc 8"/>
    <w:basedOn w:val="1"/>
    <w:next w:val="1"/>
    <w:qFormat/>
    <w:uiPriority w:val="39"/>
    <w:pPr>
      <w:ind w:left="2940" w:leftChars="1400"/>
    </w:pPr>
  </w:style>
  <w:style w:type="paragraph" w:styleId="20">
    <w:name w:val="Date"/>
    <w:basedOn w:val="1"/>
    <w:next w:val="1"/>
    <w:link w:val="78"/>
    <w:qFormat/>
    <w:uiPriority w:val="0"/>
    <w:pPr>
      <w:ind w:left="100" w:leftChars="2500"/>
    </w:pPr>
    <w:rPr>
      <w:rFonts w:ascii="仿宋_GB2312" w:hAnsi="宋体" w:eastAsia="仿宋_GB2312"/>
      <w:color w:val="000000"/>
      <w:sz w:val="24"/>
    </w:rPr>
  </w:style>
  <w:style w:type="paragraph" w:styleId="21">
    <w:name w:val="Body Text Indent 2"/>
    <w:basedOn w:val="1"/>
    <w:qFormat/>
    <w:uiPriority w:val="0"/>
    <w:pPr>
      <w:ind w:firstLine="480" w:firstLineChars="200"/>
    </w:pPr>
    <w:rPr>
      <w:rFonts w:ascii="仿宋_GB2312" w:eastAsia="仿宋_GB2312"/>
      <w:sz w:val="24"/>
    </w:rPr>
  </w:style>
  <w:style w:type="paragraph" w:styleId="22">
    <w:name w:val="Balloon Text"/>
    <w:basedOn w:val="1"/>
    <w:link w:val="74"/>
    <w:qFormat/>
    <w:uiPriority w:val="0"/>
    <w:rPr>
      <w:sz w:val="18"/>
      <w:szCs w:val="18"/>
    </w:rPr>
  </w:style>
  <w:style w:type="paragraph" w:styleId="23">
    <w:name w:val="footer"/>
    <w:basedOn w:val="1"/>
    <w:link w:val="7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4">
    <w:name w:val="envelope return"/>
    <w:basedOn w:val="1"/>
    <w:qFormat/>
    <w:uiPriority w:val="0"/>
    <w:pPr>
      <w:snapToGrid w:val="0"/>
    </w:pPr>
    <w:rPr>
      <w:rFonts w:ascii="Arial" w:hAnsi="Arial"/>
    </w:rPr>
  </w:style>
  <w:style w:type="paragraph" w:styleId="25">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844"/>
      </w:tabs>
    </w:pPr>
    <w:rPr>
      <w:rFonts w:eastAsia="方正仿宋_GBK"/>
      <w:b/>
      <w:bCs/>
      <w:kern w:val="0"/>
      <w:sz w:val="24"/>
    </w:rPr>
  </w:style>
  <w:style w:type="paragraph" w:styleId="27">
    <w:name w:val="toc 4"/>
    <w:basedOn w:val="1"/>
    <w:next w:val="1"/>
    <w:qFormat/>
    <w:uiPriority w:val="39"/>
    <w:pPr>
      <w:ind w:left="1260" w:leftChars="600"/>
    </w:pPr>
  </w:style>
  <w:style w:type="paragraph" w:styleId="28">
    <w:name w:val="footnote text"/>
    <w:basedOn w:val="1"/>
    <w:next w:val="12"/>
    <w:qFormat/>
    <w:uiPriority w:val="0"/>
    <w:pPr>
      <w:snapToGrid w:val="0"/>
      <w:jc w:val="left"/>
    </w:pPr>
    <w:rPr>
      <w:sz w:val="18"/>
    </w:rPr>
  </w:style>
  <w:style w:type="paragraph" w:styleId="29">
    <w:name w:val="toc 6"/>
    <w:basedOn w:val="1"/>
    <w:next w:val="1"/>
    <w:qFormat/>
    <w:uiPriority w:val="39"/>
    <w:pPr>
      <w:ind w:left="2100" w:leftChars="1000"/>
    </w:pPr>
  </w:style>
  <w:style w:type="paragraph" w:styleId="30">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1">
    <w:name w:val="index 7"/>
    <w:basedOn w:val="1"/>
    <w:next w:val="1"/>
    <w:qFormat/>
    <w:uiPriority w:val="0"/>
    <w:pPr>
      <w:ind w:left="1200" w:leftChars="1200"/>
    </w:pPr>
  </w:style>
  <w:style w:type="paragraph" w:styleId="32">
    <w:name w:val="toc 2"/>
    <w:basedOn w:val="1"/>
    <w:next w:val="1"/>
    <w:qFormat/>
    <w:uiPriority w:val="39"/>
    <w:pPr>
      <w:ind w:left="420" w:leftChars="200"/>
    </w:pPr>
  </w:style>
  <w:style w:type="paragraph" w:styleId="33">
    <w:name w:val="toc 9"/>
    <w:basedOn w:val="1"/>
    <w:next w:val="1"/>
    <w:qFormat/>
    <w:uiPriority w:val="39"/>
    <w:pPr>
      <w:ind w:left="3360" w:leftChars="1600"/>
    </w:pPr>
  </w:style>
  <w:style w:type="paragraph" w:styleId="34">
    <w:name w:val="Normal (Web)"/>
    <w:basedOn w:val="1"/>
    <w:qFormat/>
    <w:uiPriority w:val="99"/>
    <w:pPr>
      <w:spacing w:before="75" w:after="75"/>
      <w:jc w:val="left"/>
    </w:pPr>
    <w:rPr>
      <w:kern w:val="0"/>
      <w:sz w:val="24"/>
    </w:rPr>
  </w:style>
  <w:style w:type="paragraph" w:styleId="35">
    <w:name w:val="index 1"/>
    <w:basedOn w:val="1"/>
    <w:next w:val="1"/>
    <w:qFormat/>
    <w:uiPriority w:val="0"/>
    <w:rPr>
      <w:szCs w:val="20"/>
    </w:rPr>
  </w:style>
  <w:style w:type="paragraph" w:styleId="36">
    <w:name w:val="annotation subject"/>
    <w:basedOn w:val="11"/>
    <w:next w:val="11"/>
    <w:link w:val="84"/>
    <w:qFormat/>
    <w:uiPriority w:val="0"/>
    <w:rPr>
      <w:b/>
      <w:bCs/>
    </w:rPr>
  </w:style>
  <w:style w:type="paragraph" w:styleId="37">
    <w:name w:val="Body Text First Indent 2"/>
    <w:basedOn w:val="14"/>
    <w:qFormat/>
    <w:uiPriority w:val="0"/>
    <w:pPr>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rPr>
  </w:style>
  <w:style w:type="character" w:styleId="42">
    <w:name w:val="page number"/>
    <w:basedOn w:val="40"/>
    <w:qFormat/>
    <w:uiPriority w:val="0"/>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paragraph" w:customStyle="1" w:styleId="45">
    <w:name w:val="_Style 3"/>
    <w:next w:val="1"/>
    <w:qFormat/>
    <w:uiPriority w:val="0"/>
    <w:pPr>
      <w:wordWrap w:val="0"/>
    </w:pPr>
    <w:rPr>
      <w:rFonts w:ascii="Times New Roman" w:hAnsi="Times New Roman" w:eastAsia="宋体" w:cs="Times New Roman"/>
      <w:sz w:val="32"/>
      <w:lang w:val="en-US" w:eastAsia="zh-CN" w:bidi="ar-SA"/>
    </w:rPr>
  </w:style>
  <w:style w:type="paragraph" w:styleId="46">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paragraph" w:customStyle="1" w:styleId="47">
    <w:name w:val="Default"/>
    <w:basedOn w:val="4"/>
    <w:qFormat/>
    <w:uiPriority w:val="0"/>
    <w:pPr>
      <w:autoSpaceDE w:val="0"/>
      <w:autoSpaceDN w:val="0"/>
    </w:pPr>
    <w:rPr>
      <w:rFonts w:ascii="宋体" w:hAnsi="Times New Roman" w:cs="宋体"/>
      <w:color w:val="000000"/>
      <w:sz w:val="24"/>
      <w:szCs w:val="24"/>
    </w:rPr>
  </w:style>
  <w:style w:type="paragraph" w:customStyle="1" w:styleId="48">
    <w:name w:val="Heading3"/>
    <w:basedOn w:val="1"/>
    <w:next w:val="1"/>
    <w:qFormat/>
    <w:uiPriority w:val="0"/>
    <w:pPr>
      <w:keepNext/>
      <w:keepLines/>
      <w:spacing w:before="360" w:after="120"/>
      <w:jc w:val="left"/>
      <w:textAlignment w:val="baseline"/>
    </w:pPr>
    <w:rPr>
      <w:rFonts w:ascii="宋体"/>
      <w:b/>
      <w:kern w:val="0"/>
      <w:sz w:val="24"/>
      <w:szCs w:val="20"/>
      <w:u w:val="single"/>
    </w:rPr>
  </w:style>
  <w:style w:type="paragraph" w:customStyle="1" w:styleId="49">
    <w:name w:val="大标题"/>
    <w:basedOn w:val="1"/>
    <w:next w:val="37"/>
    <w:qFormat/>
    <w:uiPriority w:val="0"/>
    <w:pPr>
      <w:jc w:val="center"/>
    </w:pPr>
    <w:rPr>
      <w:b/>
      <w:sz w:val="28"/>
    </w:rPr>
  </w:style>
  <w:style w:type="paragraph" w:customStyle="1" w:styleId="50">
    <w:name w:val="索引 11"/>
    <w:basedOn w:val="1"/>
    <w:next w:val="1"/>
    <w:qFormat/>
    <w:uiPriority w:val="0"/>
    <w:pPr>
      <w:spacing w:line="360" w:lineRule="auto"/>
    </w:pPr>
    <w:rPr>
      <w:rFonts w:ascii="仿宋_GB2312" w:eastAsia="仿宋_GB2312"/>
      <w:sz w:val="24"/>
      <w:szCs w:val="20"/>
    </w:rPr>
  </w:style>
  <w:style w:type="paragraph" w:customStyle="1" w:styleId="51">
    <w:name w:val="列出段落1"/>
    <w:basedOn w:val="1"/>
    <w:qFormat/>
    <w:uiPriority w:val="34"/>
    <w:pPr>
      <w:widowControl/>
      <w:ind w:firstLine="420" w:firstLineChars="200"/>
      <w:jc w:val="left"/>
    </w:pPr>
    <w:rPr>
      <w:kern w:val="0"/>
      <w:sz w:val="24"/>
    </w:rPr>
  </w:style>
  <w:style w:type="paragraph" w:customStyle="1" w:styleId="52">
    <w:name w:val="列出段落11"/>
    <w:basedOn w:val="1"/>
    <w:next w:val="51"/>
    <w:qFormat/>
    <w:uiPriority w:val="34"/>
    <w:pPr>
      <w:widowControl/>
      <w:ind w:firstLine="420" w:firstLineChars="200"/>
      <w:jc w:val="left"/>
    </w:pPr>
    <w:rPr>
      <w:rFonts w:ascii="宋体" w:hAnsi="宋体" w:cs="宋体"/>
      <w:kern w:val="0"/>
      <w:sz w:val="24"/>
    </w:rPr>
  </w:style>
  <w:style w:type="paragraph" w:customStyle="1" w:styleId="53">
    <w:name w:val="List Paragraph1"/>
    <w:basedOn w:val="1"/>
    <w:qFormat/>
    <w:uiPriority w:val="34"/>
    <w:pPr>
      <w:ind w:firstLine="420" w:firstLineChars="200"/>
    </w:pPr>
  </w:style>
  <w:style w:type="paragraph" w:customStyle="1" w:styleId="54">
    <w:name w:val="Table Paragraph"/>
    <w:basedOn w:val="1"/>
    <w:qFormat/>
    <w:uiPriority w:val="1"/>
    <w:pPr>
      <w:widowControl/>
      <w:jc w:val="left"/>
    </w:pPr>
    <w:rPr>
      <w:rFonts w:ascii="宋体" w:hAnsi="宋体" w:cs="宋体"/>
      <w:kern w:val="0"/>
      <w:szCs w:val="20"/>
      <w:lang w:val="zh-CN" w:bidi="zh-CN"/>
    </w:rPr>
  </w:style>
  <w:style w:type="paragraph" w:customStyle="1" w:styleId="55">
    <w:name w:val="p0"/>
    <w:basedOn w:val="1"/>
    <w:qFormat/>
    <w:uiPriority w:val="0"/>
    <w:pPr>
      <w:widowControl/>
    </w:pPr>
    <w:rPr>
      <w:kern w:val="0"/>
      <w:szCs w:val="21"/>
    </w:rPr>
  </w:style>
  <w:style w:type="paragraph" w:customStyle="1" w:styleId="56">
    <w:name w:val="图例"/>
    <w:basedOn w:val="1"/>
    <w:qFormat/>
    <w:uiPriority w:val="0"/>
    <w:pPr>
      <w:spacing w:before="120" w:after="120" w:line="360" w:lineRule="auto"/>
      <w:jc w:val="center"/>
    </w:pPr>
    <w:rPr>
      <w:rFonts w:eastAsia="仿宋_GB2312"/>
      <w:b/>
      <w:sz w:val="24"/>
    </w:rPr>
  </w:style>
  <w:style w:type="paragraph" w:customStyle="1" w:styleId="57">
    <w:name w:val="正文段"/>
    <w:basedOn w:val="1"/>
    <w:qFormat/>
    <w:uiPriority w:val="0"/>
    <w:pPr>
      <w:widowControl/>
      <w:snapToGrid w:val="0"/>
      <w:spacing w:afterLines="50"/>
      <w:ind w:firstLine="200" w:firstLineChars="200"/>
    </w:pPr>
    <w:rPr>
      <w:kern w:val="0"/>
      <w:sz w:val="24"/>
    </w:rPr>
  </w:style>
  <w:style w:type="paragraph" w:customStyle="1" w:styleId="58">
    <w:name w:val="首行缩进"/>
    <w:basedOn w:val="1"/>
    <w:qFormat/>
    <w:uiPriority w:val="0"/>
    <w:pPr>
      <w:ind w:firstLine="480" w:firstLineChars="200"/>
    </w:pPr>
    <w:rPr>
      <w:lang w:val="zh-CN"/>
    </w:rPr>
  </w:style>
  <w:style w:type="paragraph" w:customStyle="1" w:styleId="59">
    <w:name w:val="纯文本1"/>
    <w:basedOn w:val="1"/>
    <w:link w:val="75"/>
    <w:qFormat/>
    <w:uiPriority w:val="0"/>
    <w:rPr>
      <w:rFonts w:ascii="宋体" w:hAnsi="Courier New"/>
      <w:kern w:val="0"/>
      <w:sz w:val="20"/>
      <w:szCs w:val="20"/>
    </w:rPr>
  </w:style>
  <w:style w:type="paragraph" w:customStyle="1" w:styleId="60">
    <w:name w:val="Char"/>
    <w:basedOn w:val="1"/>
    <w:qFormat/>
    <w:uiPriority w:val="0"/>
    <w:pPr>
      <w:tabs>
        <w:tab w:val="left" w:pos="360"/>
      </w:tabs>
    </w:pPr>
    <w:rPr>
      <w:sz w:val="24"/>
    </w:rPr>
  </w:style>
  <w:style w:type="paragraph" w:customStyle="1" w:styleId="61">
    <w:name w:val="正文缩进1"/>
    <w:basedOn w:val="1"/>
    <w:link w:val="64"/>
    <w:qFormat/>
    <w:uiPriority w:val="0"/>
    <w:pPr>
      <w:autoSpaceDE w:val="0"/>
      <w:autoSpaceDN w:val="0"/>
      <w:adjustRightInd w:val="0"/>
      <w:ind w:firstLine="420"/>
      <w:jc w:val="left"/>
    </w:pPr>
    <w:rPr>
      <w:rFonts w:ascii="宋体"/>
      <w:kern w:val="0"/>
      <w:sz w:val="24"/>
      <w:szCs w:val="20"/>
    </w:rPr>
  </w:style>
  <w:style w:type="paragraph" w:customStyle="1" w:styleId="6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character" w:customStyle="1" w:styleId="63">
    <w:name w:val="font91"/>
    <w:basedOn w:val="40"/>
    <w:qFormat/>
    <w:uiPriority w:val="0"/>
    <w:rPr>
      <w:rFonts w:hint="eastAsia" w:ascii="宋体" w:hAnsi="宋体" w:eastAsia="宋体" w:cs="宋体"/>
      <w:color w:val="000000"/>
      <w:sz w:val="20"/>
      <w:szCs w:val="20"/>
      <w:u w:val="none"/>
      <w:vertAlign w:val="subscript"/>
    </w:rPr>
  </w:style>
  <w:style w:type="character" w:customStyle="1" w:styleId="64">
    <w:name w:val="正文缩进 Char1"/>
    <w:link w:val="61"/>
    <w:qFormat/>
    <w:uiPriority w:val="0"/>
    <w:rPr>
      <w:rFonts w:ascii="宋体"/>
      <w:sz w:val="24"/>
    </w:rPr>
  </w:style>
  <w:style w:type="character" w:customStyle="1" w:styleId="65">
    <w:name w:val="批注主题 Char1"/>
    <w:qFormat/>
    <w:uiPriority w:val="99"/>
    <w:rPr>
      <w:b/>
      <w:bCs/>
      <w:kern w:val="2"/>
      <w:sz w:val="21"/>
      <w:szCs w:val="24"/>
    </w:rPr>
  </w:style>
  <w:style w:type="character" w:customStyle="1" w:styleId="66">
    <w:name w:val="font31"/>
    <w:basedOn w:val="40"/>
    <w:qFormat/>
    <w:uiPriority w:val="0"/>
    <w:rPr>
      <w:rFonts w:hint="eastAsia" w:ascii="宋体" w:hAnsi="宋体" w:eastAsia="宋体" w:cs="宋体"/>
      <w:color w:val="404040"/>
      <w:sz w:val="20"/>
      <w:szCs w:val="20"/>
      <w:u w:val="none"/>
    </w:rPr>
  </w:style>
  <w:style w:type="character" w:customStyle="1" w:styleId="67">
    <w:name w:val="font61"/>
    <w:basedOn w:val="40"/>
    <w:qFormat/>
    <w:uiPriority w:val="0"/>
    <w:rPr>
      <w:rFonts w:hint="eastAsia" w:ascii="宋体" w:hAnsi="宋体" w:eastAsia="宋体" w:cs="宋体"/>
      <w:color w:val="333333"/>
      <w:sz w:val="20"/>
      <w:szCs w:val="20"/>
      <w:u w:val="none"/>
    </w:rPr>
  </w:style>
  <w:style w:type="character" w:customStyle="1" w:styleId="68">
    <w:name w:val="页眉 字符"/>
    <w:link w:val="25"/>
    <w:qFormat/>
    <w:uiPriority w:val="99"/>
    <w:rPr>
      <w:kern w:val="2"/>
      <w:sz w:val="18"/>
      <w:szCs w:val="18"/>
    </w:rPr>
  </w:style>
  <w:style w:type="character" w:customStyle="1" w:styleId="69">
    <w:name w:val="批注文字 Char1"/>
    <w:qFormat/>
    <w:uiPriority w:val="99"/>
    <w:rPr>
      <w:kern w:val="2"/>
      <w:sz w:val="21"/>
      <w:szCs w:val="24"/>
    </w:rPr>
  </w:style>
  <w:style w:type="character" w:customStyle="1" w:styleId="70">
    <w:name w:val="font41"/>
    <w:basedOn w:val="40"/>
    <w:qFormat/>
    <w:uiPriority w:val="0"/>
    <w:rPr>
      <w:rFonts w:hint="eastAsia" w:ascii="宋体" w:hAnsi="宋体" w:eastAsia="宋体" w:cs="宋体"/>
      <w:color w:val="000000"/>
      <w:sz w:val="20"/>
      <w:szCs w:val="20"/>
      <w:u w:val="none"/>
    </w:rPr>
  </w:style>
  <w:style w:type="character" w:customStyle="1" w:styleId="71">
    <w:name w:val="页脚 字符"/>
    <w:link w:val="23"/>
    <w:qFormat/>
    <w:uiPriority w:val="99"/>
    <w:rPr>
      <w:rFonts w:ascii="宋体"/>
      <w:sz w:val="18"/>
    </w:rPr>
  </w:style>
  <w:style w:type="character" w:customStyle="1" w:styleId="72">
    <w:name w:val="font101"/>
    <w:basedOn w:val="40"/>
    <w:qFormat/>
    <w:uiPriority w:val="0"/>
    <w:rPr>
      <w:rFonts w:hint="eastAsia" w:ascii="宋体" w:hAnsi="宋体" w:eastAsia="宋体" w:cs="宋体"/>
      <w:color w:val="000000"/>
      <w:sz w:val="20"/>
      <w:szCs w:val="20"/>
      <w:u w:val="none"/>
    </w:rPr>
  </w:style>
  <w:style w:type="character" w:customStyle="1" w:styleId="73">
    <w:name w:val="标题 2 字符"/>
    <w:link w:val="5"/>
    <w:qFormat/>
    <w:uiPriority w:val="0"/>
    <w:rPr>
      <w:rFonts w:ascii="Arial" w:hAnsi="Arial" w:eastAsia="黑体"/>
      <w:b/>
      <w:sz w:val="30"/>
    </w:rPr>
  </w:style>
  <w:style w:type="character" w:customStyle="1" w:styleId="74">
    <w:name w:val="批注框文本 字符"/>
    <w:link w:val="22"/>
    <w:qFormat/>
    <w:uiPriority w:val="0"/>
    <w:rPr>
      <w:kern w:val="2"/>
      <w:sz w:val="18"/>
      <w:szCs w:val="18"/>
    </w:rPr>
  </w:style>
  <w:style w:type="character" w:customStyle="1" w:styleId="75">
    <w:name w:val="纯文本 Char1"/>
    <w:link w:val="59"/>
    <w:qFormat/>
    <w:uiPriority w:val="0"/>
    <w:rPr>
      <w:rFonts w:ascii="宋体" w:hAnsi="Courier New"/>
    </w:rPr>
  </w:style>
  <w:style w:type="character" w:customStyle="1" w:styleId="76">
    <w:name w:val="font81"/>
    <w:basedOn w:val="40"/>
    <w:qFormat/>
    <w:uiPriority w:val="0"/>
    <w:rPr>
      <w:rFonts w:hint="eastAsia" w:ascii="宋体" w:hAnsi="宋体" w:eastAsia="宋体" w:cs="宋体"/>
      <w:color w:val="404040"/>
      <w:sz w:val="20"/>
      <w:szCs w:val="20"/>
      <w:u w:val="none"/>
    </w:rPr>
  </w:style>
  <w:style w:type="character" w:customStyle="1" w:styleId="77">
    <w:name w:val="文档结构图 字符"/>
    <w:basedOn w:val="40"/>
    <w:link w:val="9"/>
    <w:qFormat/>
    <w:uiPriority w:val="0"/>
    <w:rPr>
      <w:rFonts w:ascii="宋体"/>
      <w:kern w:val="2"/>
      <w:sz w:val="18"/>
      <w:szCs w:val="18"/>
    </w:rPr>
  </w:style>
  <w:style w:type="character" w:customStyle="1" w:styleId="78">
    <w:name w:val="日期 字符"/>
    <w:link w:val="20"/>
    <w:qFormat/>
    <w:uiPriority w:val="0"/>
    <w:rPr>
      <w:rFonts w:ascii="仿宋_GB2312" w:hAnsi="宋体" w:eastAsia="仿宋_GB2312"/>
      <w:color w:val="000000"/>
      <w:kern w:val="2"/>
      <w:sz w:val="24"/>
      <w:szCs w:val="24"/>
    </w:rPr>
  </w:style>
  <w:style w:type="character" w:customStyle="1" w:styleId="79">
    <w:name w:val="页眉 Char1"/>
    <w:qFormat/>
    <w:uiPriority w:val="99"/>
    <w:rPr>
      <w:kern w:val="2"/>
      <w:sz w:val="18"/>
      <w:szCs w:val="18"/>
    </w:rPr>
  </w:style>
  <w:style w:type="character" w:customStyle="1" w:styleId="80">
    <w:name w:val="批注框文本 Char1"/>
    <w:qFormat/>
    <w:uiPriority w:val="99"/>
    <w:rPr>
      <w:kern w:val="2"/>
      <w:sz w:val="18"/>
      <w:szCs w:val="18"/>
    </w:rPr>
  </w:style>
  <w:style w:type="character" w:customStyle="1" w:styleId="81">
    <w:name w:val="纯文本 字符"/>
    <w:link w:val="18"/>
    <w:qFormat/>
    <w:uiPriority w:val="0"/>
    <w:rPr>
      <w:rFonts w:ascii="宋体" w:hAnsi="Courier New"/>
      <w:kern w:val="2"/>
      <w:sz w:val="21"/>
    </w:rPr>
  </w:style>
  <w:style w:type="character" w:customStyle="1" w:styleId="82">
    <w:name w:val="正文文本 字符"/>
    <w:link w:val="12"/>
    <w:qFormat/>
    <w:uiPriority w:val="0"/>
    <w:rPr>
      <w:rFonts w:ascii="宋体" w:hAnsi="宋体"/>
      <w:kern w:val="2"/>
      <w:sz w:val="24"/>
      <w:szCs w:val="24"/>
    </w:rPr>
  </w:style>
  <w:style w:type="character" w:customStyle="1" w:styleId="83">
    <w:name w:val="批注文字 字符"/>
    <w:link w:val="11"/>
    <w:qFormat/>
    <w:uiPriority w:val="99"/>
    <w:rPr>
      <w:kern w:val="2"/>
      <w:sz w:val="21"/>
      <w:szCs w:val="24"/>
    </w:rPr>
  </w:style>
  <w:style w:type="character" w:customStyle="1" w:styleId="84">
    <w:name w:val="批注主题 字符"/>
    <w:link w:val="36"/>
    <w:qFormat/>
    <w:uiPriority w:val="0"/>
    <w:rPr>
      <w:b/>
      <w:bCs/>
      <w:kern w:val="2"/>
      <w:sz w:val="21"/>
      <w:szCs w:val="24"/>
    </w:rPr>
  </w:style>
  <w:style w:type="character" w:customStyle="1" w:styleId="85">
    <w:name w:val="标题 3 字符"/>
    <w:link w:val="6"/>
    <w:qFormat/>
    <w:uiPriority w:val="0"/>
    <w:rPr>
      <w:rFonts w:ascii="宋体"/>
      <w:b/>
      <w:sz w:val="24"/>
      <w:u w:val="single"/>
    </w:rPr>
  </w:style>
  <w:style w:type="character" w:customStyle="1" w:styleId="86">
    <w:name w:val="标题 1 字符"/>
    <w:link w:val="3"/>
    <w:qFormat/>
    <w:uiPriority w:val="0"/>
    <w:rPr>
      <w:rFonts w:ascii="宋体"/>
      <w:b/>
      <w:kern w:val="44"/>
      <w:sz w:val="32"/>
    </w:rPr>
  </w:style>
  <w:style w:type="paragraph" w:styleId="87">
    <w:name w:val="List Paragraph"/>
    <w:basedOn w:val="1"/>
    <w:qFormat/>
    <w:uiPriority w:val="34"/>
    <w:pPr>
      <w:ind w:firstLine="420" w:firstLineChars="200"/>
    </w:pPr>
    <w:rPr>
      <w:rFonts w:ascii="Calibri" w:hAnsi="Calibri"/>
      <w:szCs w:val="22"/>
    </w:rPr>
  </w:style>
  <w:style w:type="paragraph" w:customStyle="1" w:styleId="88">
    <w:name w:val="样式 正文（首行缩进两字） + 首行缩进:  2 字符2"/>
    <w:basedOn w:val="2"/>
    <w:qFormat/>
    <w:uiPriority w:val="0"/>
    <w:pPr>
      <w:spacing w:line="360" w:lineRule="auto"/>
      <w:ind w:firstLine="0"/>
      <w:textAlignment w:val="baseline"/>
    </w:pPr>
    <w:rPr>
      <w:rFonts w:hAnsi="宋体" w:eastAsia="楷体_GB2312" w:cs="宋体"/>
      <w:bCs/>
      <w:kern w:val="2"/>
      <w:sz w:val="21"/>
      <w:szCs w:val="21"/>
    </w:rPr>
  </w:style>
  <w:style w:type="paragraph" w:customStyle="1" w:styleId="89">
    <w:name w:val="PlainText"/>
    <w:basedOn w:val="1"/>
    <w:qFormat/>
    <w:uiPriority w:val="0"/>
    <w:pPr>
      <w:textAlignment w:val="baseline"/>
    </w:pPr>
    <w:rPr>
      <w:rFonts w:ascii="宋体" w:hAnsi="Courier New"/>
      <w:szCs w:val="20"/>
    </w:rPr>
  </w:style>
  <w:style w:type="character" w:customStyle="1" w:styleId="90">
    <w:name w:val="NormalCharacter"/>
    <w:qFormat/>
    <w:uiPriority w:val="0"/>
    <w:rPr>
      <w:rFonts w:ascii="Times New Roman" w:hAnsi="Times New Roman" w:eastAsia="宋体" w:cs="Times New Roman"/>
      <w:kern w:val="2"/>
      <w:sz w:val="21"/>
      <w:szCs w:val="24"/>
      <w:lang w:val="en-US" w:eastAsia="zh-CN" w:bidi="ar-SA"/>
    </w:rPr>
  </w:style>
  <w:style w:type="character" w:customStyle="1" w:styleId="91">
    <w:name w:val="fontstyle01"/>
    <w:qFormat/>
    <w:uiPriority w:val="0"/>
    <w:rPr>
      <w:rFonts w:hint="eastAsia" w:ascii="宋体" w:hAnsi="宋体" w:eastAsia="宋体"/>
      <w:color w:val="000000"/>
      <w:sz w:val="22"/>
      <w:szCs w:val="22"/>
    </w:rPr>
  </w:style>
  <w:style w:type="paragraph" w:customStyle="1" w:styleId="92">
    <w:name w:val="正文1"/>
    <w:qFormat/>
    <w:uiPriority w:val="0"/>
    <w:pPr>
      <w:jc w:val="both"/>
    </w:pPr>
    <w:rPr>
      <w:rFonts w:ascii="Calibri" w:hAnsi="Calibri" w:eastAsia="宋体" w:cs="宋体"/>
      <w:kern w:val="2"/>
      <w:sz w:val="21"/>
      <w:szCs w:val="21"/>
      <w:lang w:val="en-US" w:eastAsia="zh-CN" w:bidi="ar-SA"/>
    </w:rPr>
  </w:style>
  <w:style w:type="character" w:customStyle="1" w:styleId="93">
    <w:name w:val="font11"/>
    <w:basedOn w:val="40"/>
    <w:qFormat/>
    <w:uiPriority w:val="0"/>
    <w:rPr>
      <w:rFonts w:hint="eastAsia" w:ascii="宋体" w:hAnsi="宋体" w:eastAsia="宋体" w:cs="宋体"/>
      <w:color w:val="000000"/>
      <w:sz w:val="18"/>
      <w:szCs w:val="18"/>
      <w:u w:val="none"/>
    </w:rPr>
  </w:style>
  <w:style w:type="character" w:customStyle="1" w:styleId="94">
    <w:name w:val="font71"/>
    <w:basedOn w:val="40"/>
    <w:qFormat/>
    <w:uiPriority w:val="0"/>
    <w:rPr>
      <w:rFonts w:hint="eastAsia" w:ascii="宋体" w:hAnsi="宋体" w:eastAsia="宋体" w:cs="宋体"/>
      <w:color w:val="000000"/>
      <w:sz w:val="18"/>
      <w:szCs w:val="18"/>
      <w:u w:val="none"/>
    </w:rPr>
  </w:style>
  <w:style w:type="character" w:customStyle="1" w:styleId="95">
    <w:name w:val="font112"/>
    <w:basedOn w:val="40"/>
    <w:qFormat/>
    <w:uiPriority w:val="0"/>
    <w:rPr>
      <w:rFonts w:hint="default" w:ascii="Calibri" w:hAnsi="Calibri" w:cs="Calibri"/>
      <w:color w:val="000000"/>
      <w:sz w:val="18"/>
      <w:szCs w:val="18"/>
      <w:u w:val="none"/>
    </w:rPr>
  </w:style>
  <w:style w:type="character" w:customStyle="1" w:styleId="96">
    <w:name w:val="font21"/>
    <w:basedOn w:val="40"/>
    <w:qFormat/>
    <w:uiPriority w:val="0"/>
    <w:rPr>
      <w:rFonts w:hint="eastAsia" w:ascii="宋体" w:hAnsi="宋体" w:eastAsia="宋体" w:cs="宋体"/>
      <w:color w:val="000000"/>
      <w:sz w:val="12"/>
      <w:szCs w:val="12"/>
      <w:u w:val="none"/>
    </w:rPr>
  </w:style>
  <w:style w:type="paragraph" w:customStyle="1" w:styleId="97">
    <w:name w:val="正文首行缩进1"/>
    <w:basedOn w:val="12"/>
    <w:qFormat/>
    <w:uiPriority w:val="0"/>
    <w:pPr>
      <w:ind w:right="-349" w:rightChars="-166" w:firstLine="420" w:firstLineChars="100"/>
    </w:pPr>
    <w:rPr>
      <w:rFonts w:eastAsia="仿宋_GB2312"/>
      <w:sz w:val="32"/>
    </w:rPr>
  </w:style>
  <w:style w:type="paragraph" w:customStyle="1" w:styleId="98">
    <w:name w:val="样式 样式 首行缩进:  2 字符 + 首行缩进:  2 字符"/>
    <w:basedOn w:val="1"/>
    <w:qFormat/>
    <w:uiPriority w:val="0"/>
    <w:pPr>
      <w:tabs>
        <w:tab w:val="left" w:pos="3731"/>
      </w:tabs>
      <w:autoSpaceDE w:val="0"/>
      <w:autoSpaceDN w:val="0"/>
      <w:spacing w:line="360" w:lineRule="auto"/>
      <w:jc w:val="left"/>
    </w:pPr>
    <w:rPr>
      <w:rFonts w:ascii="Arial" w:hAnsi="Arial"/>
    </w:rPr>
  </w:style>
  <w:style w:type="character" w:customStyle="1" w:styleId="99">
    <w:name w:val="font01"/>
    <w:basedOn w:val="40"/>
    <w:qFormat/>
    <w:uiPriority w:val="0"/>
    <w:rPr>
      <w:rFonts w:hint="eastAsia" w:ascii="宋体" w:hAnsi="宋体" w:eastAsia="宋体" w:cs="宋体"/>
      <w:color w:val="000000"/>
      <w:sz w:val="22"/>
      <w:szCs w:val="22"/>
      <w:u w:val="none"/>
    </w:rPr>
  </w:style>
  <w:style w:type="paragraph" w:customStyle="1" w:styleId="100">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Table Text"/>
    <w:basedOn w:val="1"/>
    <w:semiHidden/>
    <w:qFormat/>
    <w:uiPriority w:val="0"/>
    <w:rPr>
      <w:rFonts w:ascii="仿宋" w:hAnsi="仿宋" w:eastAsia="仿宋" w:cs="仿宋"/>
      <w:sz w:val="24"/>
    </w:rPr>
  </w:style>
  <w:style w:type="table" w:customStyle="1" w:styleId="102">
    <w:name w:val="Table Normal"/>
    <w:semiHidden/>
    <w:unhideWhenUsed/>
    <w:qFormat/>
    <w:uiPriority w:val="0"/>
    <w:tblPr>
      <w:tblCellMar>
        <w:top w:w="0" w:type="dxa"/>
        <w:left w:w="0" w:type="dxa"/>
        <w:bottom w:w="0" w:type="dxa"/>
        <w:right w:w="0" w:type="dxa"/>
      </w:tblCellMar>
    </w:tblPr>
  </w:style>
  <w:style w:type="paragraph" w:customStyle="1" w:styleId="103">
    <w:name w:val="标题 61"/>
    <w:basedOn w:val="1"/>
    <w:qFormat/>
    <w:uiPriority w:val="1"/>
    <w:pPr>
      <w:ind w:left="950" w:hanging="363"/>
      <w:outlineLvl w:val="6"/>
    </w:pPr>
    <w:rPr>
      <w:b/>
      <w:bCs/>
      <w:sz w:val="24"/>
    </w:rPr>
  </w:style>
  <w:style w:type="paragraph" w:customStyle="1" w:styleId="104">
    <w:name w:val="样式 首行缩进:  2 字符"/>
    <w:basedOn w:val="1"/>
    <w:qFormat/>
    <w:uiPriority w:val="0"/>
    <w:pPr>
      <w:spacing w:line="360" w:lineRule="auto"/>
      <w:ind w:firstLine="480" w:firstLineChars="200"/>
    </w:pPr>
    <w:rPr>
      <w:rFonts w:ascii="宋体" w:hAnsi="宋体" w:cs="宋体"/>
      <w:szCs w:val="20"/>
    </w:rPr>
  </w:style>
  <w:style w:type="character" w:customStyle="1" w:styleId="105">
    <w:name w:val="font151"/>
    <w:basedOn w:val="40"/>
    <w:qFormat/>
    <w:uiPriority w:val="0"/>
    <w:rPr>
      <w:rFonts w:hint="default" w:ascii="Times New Roman" w:hAnsi="Times New Roman" w:cs="Times New Roman"/>
      <w:color w:val="000000"/>
      <w:sz w:val="28"/>
      <w:szCs w:val="28"/>
      <w:u w:val="none"/>
    </w:rPr>
  </w:style>
  <w:style w:type="character" w:customStyle="1" w:styleId="106">
    <w:name w:val="font12"/>
    <w:basedOn w:val="40"/>
    <w:qFormat/>
    <w:uiPriority w:val="0"/>
    <w:rPr>
      <w:rFonts w:hint="default" w:ascii="方正仿宋_GBK" w:hAnsi="方正仿宋_GBK" w:eastAsia="方正仿宋_GBK" w:cs="方正仿宋_GBK"/>
      <w:color w:val="000000"/>
      <w:sz w:val="28"/>
      <w:szCs w:val="28"/>
      <w:u w:val="none"/>
    </w:rPr>
  </w:style>
  <w:style w:type="paragraph" w:customStyle="1" w:styleId="107">
    <w:name w:val="列出段落3"/>
    <w:basedOn w:val="1"/>
    <w:qFormat/>
    <w:uiPriority w:val="1"/>
    <w:pPr>
      <w:ind w:left="107" w:firstLine="480"/>
    </w:pPr>
  </w:style>
  <w:style w:type="paragraph" w:customStyle="1" w:styleId="108">
    <w:name w:val="Other|1"/>
    <w:basedOn w:val="1"/>
    <w:qFormat/>
    <w:uiPriority w:val="0"/>
    <w:pPr>
      <w:spacing w:line="442" w:lineRule="auto"/>
      <w:ind w:firstLine="400"/>
      <w:jc w:val="left"/>
    </w:pPr>
    <w:rPr>
      <w:rFonts w:ascii="宋体" w:hAnsi="宋体" w:cs="宋体"/>
      <w:color w:val="000000"/>
      <w:kern w:val="0"/>
      <w:sz w:val="22"/>
      <w:lang w:val="zh-TW" w:eastAsia="zh-TW" w:bidi="zh-TW"/>
    </w:rPr>
  </w:style>
  <w:style w:type="paragraph" w:styleId="109">
    <w:name w:val="No Spacing"/>
    <w:qFormat/>
    <w:uiPriority w:val="1"/>
    <w:pPr>
      <w:widowControl w:val="0"/>
      <w:spacing w:line="360" w:lineRule="auto"/>
      <w:jc w:val="both"/>
    </w:pPr>
    <w:rPr>
      <w:rFonts w:ascii="宋体" w:hAnsi="宋体" w:eastAsiaTheme="minorEastAsia" w:cstheme="minorBidi"/>
      <w:kern w:val="2"/>
      <w:sz w:val="24"/>
      <w:szCs w:val="22"/>
      <w:lang w:val="en-US" w:eastAsia="zh-CN" w:bidi="ar-SA"/>
    </w:rPr>
  </w:style>
  <w:style w:type="paragraph" w:customStyle="1" w:styleId="110">
    <w:name w:val="Heading #2|1"/>
    <w:basedOn w:val="1"/>
    <w:qFormat/>
    <w:uiPriority w:val="0"/>
    <w:pPr>
      <w:spacing w:after="20" w:line="449" w:lineRule="exact"/>
      <w:jc w:val="left"/>
      <w:outlineLvl w:val="1"/>
    </w:pPr>
    <w:rPr>
      <w:rFonts w:ascii="宋体" w:hAnsi="宋体" w:cs="宋体"/>
      <w:b/>
      <w:bCs/>
      <w:color w:val="000000"/>
      <w:kern w:val="0"/>
      <w:sz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51748</Words>
  <Characters>55536</Characters>
  <Lines>479</Lines>
  <Paragraphs>134</Paragraphs>
  <TotalTime>4</TotalTime>
  <ScaleCrop>false</ScaleCrop>
  <LinksUpToDate>false</LinksUpToDate>
  <CharactersWithSpaces>61417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2018-11-17T02:05:00Z</dcterms:created>
  <dc:creator>USER-</dc:creator>
  <cp:lastModifiedBy>岁月不待人</cp:lastModifiedBy>
  <cp:lastPrinted>2024-12-05T09:20:00Z</cp:lastPrinted>
  <dcterms:modified xsi:type="dcterms:W3CDTF">2024-12-16T06:23:29Z</dcterms:modified>
  <dc:title>02年杜范本稿</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CCF4F69F7A344D188C894AEF4FD888F9_13</vt:lpwstr>
  </property>
  <property fmtid="{D5CDD505-2E9C-101B-9397-08002B2CF9AE}" pid="4" name="KSOSaveFontToCloudKey">
    <vt:lpwstr>266121947_cloud</vt:lpwstr>
  </property>
</Properties>
</file>