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both"/>
        <w:outlineLvl w:val="9"/>
        <w:rPr>
          <w:rFonts w:hint="eastAsia" w:ascii="宋体" w:hAnsi="宋体" w:eastAsia="宋体" w:cs="宋体"/>
          <w:b/>
          <w:bCs w:val="0"/>
          <w:color w:val="auto"/>
          <w:sz w:val="44"/>
          <w:szCs w:val="44"/>
          <w:highlight w:val="none"/>
          <w:lang w:eastAsia="zh-CN"/>
        </w:rPr>
      </w:pPr>
      <w:bookmarkStart w:id="0" w:name="_Toc11880"/>
      <w:bookmarkStart w:id="1" w:name="_Toc22083"/>
      <w:bookmarkStart w:id="2" w:name="_Toc17321"/>
      <w:bookmarkStart w:id="3" w:name="_Toc16093"/>
      <w:bookmarkStart w:id="4" w:name="_Toc12442"/>
      <w:bookmarkStart w:id="5" w:name="_Toc29241"/>
      <w:bookmarkStart w:id="6" w:name="_Toc4177"/>
      <w:bookmarkStart w:id="7" w:name="_Toc31645"/>
      <w:bookmarkStart w:id="8" w:name="_Toc27286"/>
      <w:bookmarkStart w:id="9" w:name="_Toc31636"/>
      <w:bookmarkStart w:id="10" w:name="_Toc1934"/>
      <w:bookmarkStart w:id="11" w:name="_Toc13297"/>
      <w:bookmarkStart w:id="12" w:name="_Toc3501"/>
      <w:bookmarkStart w:id="13" w:name="_Toc13057"/>
      <w:bookmarkStart w:id="14" w:name="_Toc219175639"/>
      <w:bookmarkStart w:id="15" w:name="_Toc515647832"/>
      <w:bookmarkStart w:id="16" w:name="_Toc507399907"/>
      <w:bookmarkStart w:id="17" w:name="_Toc32647"/>
      <w:bookmarkStart w:id="18" w:name="_Toc216582826"/>
      <w:bookmarkStart w:id="19" w:name="_Toc218935355"/>
      <w:bookmarkStart w:id="20" w:name="_Toc7971"/>
    </w:p>
    <w:p>
      <w:pPr>
        <w:spacing w:line="240" w:lineRule="atLeast"/>
        <w:jc w:val="both"/>
        <w:outlineLvl w:val="9"/>
        <w:rPr>
          <w:rFonts w:hint="eastAsia" w:ascii="宋体" w:hAnsi="宋体" w:eastAsia="宋体" w:cs="宋体"/>
          <w:b/>
          <w:bCs w:val="0"/>
          <w:color w:val="auto"/>
          <w:sz w:val="44"/>
          <w:szCs w:val="44"/>
          <w:highlight w:val="none"/>
          <w:lang w:eastAsia="zh-CN"/>
        </w:rPr>
      </w:pPr>
    </w:p>
    <w:p>
      <w:pPr>
        <w:spacing w:line="240" w:lineRule="atLeast"/>
        <w:jc w:val="center"/>
        <w:outlineLvl w:val="9"/>
        <w:rPr>
          <w:rFonts w:hint="default" w:ascii="宋体" w:hAnsi="宋体" w:eastAsia="宋体" w:cs="宋体"/>
          <w:b/>
          <w:bCs w:val="0"/>
          <w:color w:val="auto"/>
          <w:sz w:val="40"/>
          <w:szCs w:val="40"/>
          <w:highlight w:val="none"/>
          <w:lang w:val="en-US" w:eastAsia="zh-CN"/>
        </w:rPr>
      </w:pPr>
      <w:r>
        <w:rPr>
          <w:rFonts w:hint="eastAsia" w:ascii="宋体" w:hAnsi="宋体" w:cs="宋体"/>
          <w:b/>
          <w:bCs w:val="0"/>
          <w:color w:val="auto"/>
          <w:sz w:val="40"/>
          <w:szCs w:val="40"/>
          <w:highlight w:val="none"/>
          <w:lang w:eastAsia="zh-CN"/>
        </w:rPr>
        <w:t>泽普县2024年消防救援设施建设</w:t>
      </w:r>
      <w:r>
        <w:rPr>
          <w:rFonts w:hint="eastAsia" w:ascii="宋体" w:hAnsi="宋体" w:cs="宋体"/>
          <w:b/>
          <w:bCs w:val="0"/>
          <w:color w:val="auto"/>
          <w:sz w:val="40"/>
          <w:szCs w:val="40"/>
          <w:highlight w:val="none"/>
          <w:lang w:val="en-US" w:eastAsia="zh-CN"/>
        </w:rPr>
        <w:t>采购</w:t>
      </w:r>
      <w:r>
        <w:rPr>
          <w:rFonts w:hint="eastAsia" w:ascii="宋体" w:hAnsi="宋体" w:cs="宋体"/>
          <w:b/>
          <w:bCs w:val="0"/>
          <w:color w:val="auto"/>
          <w:sz w:val="40"/>
          <w:szCs w:val="40"/>
          <w:highlight w:val="none"/>
          <w:lang w:eastAsia="zh-CN"/>
        </w:rPr>
        <w:t>项目</w:t>
      </w:r>
    </w:p>
    <w:p>
      <w:pPr>
        <w:pStyle w:val="7"/>
        <w:outlineLvl w:val="9"/>
        <w:rPr>
          <w:rFonts w:hint="eastAsia" w:ascii="宋体" w:hAnsi="宋体" w:eastAsia="宋体" w:cs="宋体"/>
          <w:color w:val="auto"/>
          <w:highlight w:val="none"/>
          <w:lang w:eastAsia="zh-CN"/>
        </w:rPr>
      </w:pPr>
    </w:p>
    <w:p>
      <w:pPr>
        <w:outlineLvl w:val="9"/>
        <w:rPr>
          <w:rFonts w:hint="eastAsia" w:ascii="宋体" w:hAnsi="宋体" w:eastAsia="宋体" w:cs="宋体"/>
          <w:color w:val="auto"/>
          <w:highlight w:val="none"/>
          <w:lang w:eastAsia="zh-CN"/>
        </w:rPr>
      </w:pPr>
    </w:p>
    <w:p>
      <w:pPr>
        <w:outlineLvl w:val="9"/>
        <w:rPr>
          <w:rFonts w:hint="eastAsia" w:ascii="宋体" w:hAnsi="宋体" w:eastAsia="宋体" w:cs="宋体"/>
          <w:color w:val="auto"/>
          <w:highlight w:val="none"/>
          <w:lang w:eastAsia="zh-CN"/>
        </w:rPr>
      </w:pPr>
    </w:p>
    <w:p>
      <w:pPr>
        <w:outlineLvl w:val="9"/>
        <w:rPr>
          <w:rFonts w:hint="eastAsia" w:ascii="宋体" w:hAnsi="宋体" w:eastAsia="宋体" w:cs="宋体"/>
          <w:color w:val="auto"/>
          <w:highlight w:val="none"/>
          <w:lang w:eastAsia="zh-CN"/>
        </w:rPr>
      </w:pPr>
    </w:p>
    <w:p>
      <w:pPr>
        <w:spacing w:line="240" w:lineRule="atLeast"/>
        <w:jc w:val="center"/>
        <w:outlineLvl w:val="9"/>
        <w:rPr>
          <w:rFonts w:hint="eastAsia" w:ascii="宋体" w:hAnsi="宋体" w:eastAsia="宋体" w:cs="宋体"/>
          <w:b/>
          <w:bCs w:val="0"/>
          <w:color w:val="auto"/>
          <w:sz w:val="48"/>
          <w:szCs w:val="48"/>
          <w:highlight w:val="none"/>
        </w:rPr>
      </w:pPr>
      <w:r>
        <w:rPr>
          <w:rFonts w:hint="eastAsia" w:ascii="宋体" w:hAnsi="宋体" w:eastAsia="宋体" w:cs="宋体"/>
          <w:b/>
          <w:bCs w:val="0"/>
          <w:color w:val="auto"/>
          <w:sz w:val="44"/>
          <w:szCs w:val="44"/>
          <w:highlight w:val="none"/>
        </w:rPr>
        <w:t>招 标 文 件</w:t>
      </w: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spacing w:line="360" w:lineRule="auto"/>
        <w:jc w:val="center"/>
        <w:outlineLvl w:val="9"/>
        <w:rPr>
          <w:rFonts w:hint="default" w:ascii="宋体" w:hAnsi="宋体" w:eastAsia="宋体" w:cs="宋体"/>
          <w:b/>
          <w:color w:val="000000" w:themeColor="text1"/>
          <w:sz w:val="32"/>
          <w:highlight w:val="none"/>
          <w:lang w:val="en-US" w:eastAsia="zh-CN"/>
          <w14:textFill>
            <w14:solidFill>
              <w14:schemeClr w14:val="tx1"/>
            </w14:solidFill>
          </w14:textFill>
        </w:rPr>
      </w:pPr>
      <w:r>
        <w:rPr>
          <w:rFonts w:hint="eastAsia" w:ascii="宋体" w:hAnsi="宋体" w:eastAsia="宋体" w:cs="宋体"/>
          <w:b/>
          <w:color w:val="auto"/>
          <w:sz w:val="32"/>
          <w:highlight w:val="none"/>
        </w:rPr>
        <w:t>项目编号：</w:t>
      </w:r>
      <w:r>
        <w:rPr>
          <w:rFonts w:hint="eastAsia" w:ascii="宋体" w:hAnsi="宋体" w:eastAsia="宋体" w:cs="宋体"/>
          <w:b/>
          <w:color w:val="000000" w:themeColor="text1"/>
          <w:sz w:val="32"/>
          <w:highlight w:val="none"/>
          <w:lang w:val="en-US" w:eastAsia="zh-CN"/>
          <w14:textFill>
            <w14:solidFill>
              <w14:schemeClr w14:val="tx1"/>
            </w14:solidFill>
          </w14:textFill>
        </w:rPr>
        <w:t>ZPDL(2024)</w:t>
      </w:r>
      <w:r>
        <w:rPr>
          <w:rFonts w:hint="eastAsia" w:ascii="宋体" w:hAnsi="宋体" w:cs="宋体"/>
          <w:b/>
          <w:color w:val="000000" w:themeColor="text1"/>
          <w:sz w:val="32"/>
          <w:highlight w:val="none"/>
          <w:lang w:val="en-US" w:eastAsia="zh-CN"/>
          <w14:textFill>
            <w14:solidFill>
              <w14:schemeClr w14:val="tx1"/>
            </w14:solidFill>
          </w14:textFill>
        </w:rPr>
        <w:t>037</w:t>
      </w:r>
    </w:p>
    <w:p>
      <w:pPr>
        <w:spacing w:line="240" w:lineRule="atLeast"/>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pPr>
        <w:spacing w:line="240" w:lineRule="atLeast"/>
        <w:ind w:firstLine="1120" w:firstLineChars="400"/>
        <w:outlineLvl w:val="9"/>
        <w:rPr>
          <w:rFonts w:hint="eastAsia" w:ascii="宋体" w:hAnsi="宋体" w:eastAsia="宋体" w:cs="宋体"/>
          <w:b/>
          <w:color w:val="000000" w:themeColor="text1"/>
          <w:sz w:val="28"/>
          <w:szCs w:val="28"/>
          <w:highlight w:val="none"/>
          <w:shd w:val="clear" w:color="auto" w:fill="auto"/>
          <w14:textFill>
            <w14:solidFill>
              <w14:schemeClr w14:val="tx1"/>
            </w14:solidFill>
          </w14:textFill>
        </w:rPr>
      </w:pPr>
      <w:r>
        <w:rPr>
          <w:rFonts w:hint="eastAsia" w:ascii="宋体" w:hAnsi="宋体" w:eastAsia="宋体" w:cs="宋体"/>
          <w:b/>
          <w:color w:val="auto"/>
          <w:sz w:val="28"/>
          <w:szCs w:val="28"/>
          <w:highlight w:val="none"/>
        </w:rPr>
        <w:t>采</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购</w:t>
      </w:r>
      <w:r>
        <w:rPr>
          <w:rFonts w:hint="eastAsia" w:ascii="宋体" w:hAnsi="宋体" w:eastAsia="宋体" w:cs="宋体"/>
          <w:b/>
          <w:color w:val="auto"/>
          <w:sz w:val="28"/>
          <w:szCs w:val="28"/>
          <w:highlight w:val="none"/>
          <w:lang w:val="en-US" w:eastAsia="zh-CN"/>
        </w:rPr>
        <w:t xml:space="preserve"> 人</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000000" w:themeColor="text1"/>
          <w:sz w:val="28"/>
          <w:szCs w:val="28"/>
          <w:highlight w:val="none"/>
          <w:u w:val="single"/>
          <w:shd w:val="clear" w:color="auto" w:fill="auto"/>
          <w:lang w:val="en-US" w:eastAsia="zh-CN"/>
          <w14:textFill>
            <w14:solidFill>
              <w14:schemeClr w14:val="tx1"/>
            </w14:solidFill>
          </w14:textFill>
        </w:rPr>
        <w:t xml:space="preserve">泽普县应急管理局       </w:t>
      </w:r>
      <w:r>
        <w:rPr>
          <w:rFonts w:hint="eastAsia" w:ascii="宋体" w:hAnsi="宋体" w:eastAsia="宋体" w:cs="宋体"/>
          <w:b/>
          <w:color w:val="000000" w:themeColor="text1"/>
          <w:sz w:val="28"/>
          <w:szCs w:val="28"/>
          <w:highlight w:val="none"/>
          <w:shd w:val="clear" w:color="auto" w:fill="auto"/>
          <w14:textFill>
            <w14:solidFill>
              <w14:schemeClr w14:val="tx1"/>
            </w14:solidFill>
          </w14:textFill>
        </w:rPr>
        <w:t xml:space="preserve">   </w:t>
      </w:r>
    </w:p>
    <w:p>
      <w:pPr>
        <w:ind w:firstLine="1120" w:firstLineChars="400"/>
        <w:outlineLvl w:val="9"/>
        <w:rPr>
          <w:rFonts w:hint="eastAsia" w:ascii="宋体" w:hAnsi="宋体" w:eastAsia="宋体" w:cs="宋体"/>
          <w:b/>
          <w:color w:val="000000" w:themeColor="text1"/>
          <w:sz w:val="28"/>
          <w:szCs w:val="28"/>
          <w:highlight w:val="none"/>
          <w:u w:val="single"/>
          <w:shd w:val="clear" w:color="auto" w:fill="auto"/>
          <w14:textFill>
            <w14:solidFill>
              <w14:schemeClr w14:val="tx1"/>
            </w14:solidFill>
          </w14:textFill>
        </w:rPr>
      </w:pPr>
      <w:r>
        <w:rPr>
          <w:rFonts w:hint="eastAsia" w:ascii="宋体" w:hAnsi="宋体" w:eastAsia="宋体" w:cs="宋体"/>
          <w:b/>
          <w:color w:val="000000" w:themeColor="text1"/>
          <w:sz w:val="28"/>
          <w:szCs w:val="28"/>
          <w:highlight w:val="none"/>
          <w:shd w:val="clear" w:color="auto" w:fill="auto"/>
          <w14:textFill>
            <w14:solidFill>
              <w14:schemeClr w14:val="tx1"/>
            </w14:solidFill>
          </w14:textFill>
        </w:rPr>
        <w:t>联</w:t>
      </w:r>
      <w:r>
        <w:rPr>
          <w:rFonts w:hint="eastAsia" w:ascii="宋体" w:hAnsi="宋体" w:eastAsia="宋体" w:cs="宋体"/>
          <w:b/>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shd w:val="clear" w:color="auto" w:fill="auto"/>
          <w14:textFill>
            <w14:solidFill>
              <w14:schemeClr w14:val="tx1"/>
            </w14:solidFill>
          </w14:textFill>
        </w:rPr>
        <w:t>系</w:t>
      </w:r>
      <w:r>
        <w:rPr>
          <w:rFonts w:hint="eastAsia" w:ascii="宋体" w:hAnsi="宋体" w:eastAsia="宋体" w:cs="宋体"/>
          <w:b/>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shd w:val="clear" w:color="auto" w:fill="auto"/>
          <w14:textFill>
            <w14:solidFill>
              <w14:schemeClr w14:val="tx1"/>
            </w14:solidFill>
          </w14:textFill>
        </w:rPr>
        <w:t>人：</w:t>
      </w:r>
      <w:r>
        <w:rPr>
          <w:rFonts w:hint="eastAsia" w:ascii="宋体" w:hAnsi="宋体" w:eastAsia="宋体" w:cs="宋体"/>
          <w:b/>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eastAsia="宋体" w:cs="宋体"/>
          <w:b/>
          <w:color w:val="000000" w:themeColor="text1"/>
          <w:sz w:val="28"/>
          <w:szCs w:val="28"/>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b/>
          <w:color w:val="000000" w:themeColor="text1"/>
          <w:sz w:val="28"/>
          <w:szCs w:val="28"/>
          <w:highlight w:val="none"/>
          <w:u w:val="single"/>
          <w:shd w:val="clear" w:color="auto" w:fill="auto"/>
          <w:lang w:val="en-US" w:eastAsia="zh-CN"/>
          <w14:textFill>
            <w14:solidFill>
              <w14:schemeClr w14:val="tx1"/>
            </w14:solidFill>
          </w14:textFill>
        </w:rPr>
        <w:t xml:space="preserve">    周化鹏     </w:t>
      </w:r>
      <w:r>
        <w:rPr>
          <w:rFonts w:hint="eastAsia" w:ascii="宋体" w:hAnsi="宋体" w:eastAsia="宋体" w:cs="宋体"/>
          <w:b/>
          <w:color w:val="000000" w:themeColor="text1"/>
          <w:sz w:val="28"/>
          <w:szCs w:val="28"/>
          <w:highlight w:val="none"/>
          <w:u w:val="single"/>
          <w:shd w:val="clear" w:color="auto" w:fill="auto"/>
          <w:lang w:val="en-US" w:eastAsia="zh-CN"/>
          <w14:textFill>
            <w14:solidFill>
              <w14:schemeClr w14:val="tx1"/>
            </w14:solidFill>
          </w14:textFill>
        </w:rPr>
        <w:t xml:space="preserve"> </w:t>
      </w:r>
      <w:r>
        <w:rPr>
          <w:rFonts w:hint="eastAsia" w:ascii="宋体" w:hAnsi="宋体" w:cs="宋体"/>
          <w:b/>
          <w:color w:val="000000" w:themeColor="text1"/>
          <w:sz w:val="28"/>
          <w:szCs w:val="28"/>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u w:val="single"/>
          <w:shd w:val="clear" w:color="auto" w:fill="auto"/>
          <w:lang w:val="en-US" w:eastAsia="zh-CN"/>
          <w14:textFill>
            <w14:solidFill>
              <w14:schemeClr w14:val="tx1"/>
            </w14:solidFill>
          </w14:textFill>
        </w:rPr>
        <w:t xml:space="preserve"> </w:t>
      </w:r>
    </w:p>
    <w:p>
      <w:pPr>
        <w:spacing w:line="360" w:lineRule="auto"/>
        <w:ind w:firstLine="1120" w:firstLineChars="400"/>
        <w:outlineLvl w:val="9"/>
        <w:rPr>
          <w:rFonts w:hint="eastAsia" w:ascii="宋体" w:hAnsi="宋体" w:eastAsia="宋体" w:cs="宋体"/>
          <w:color w:val="auto"/>
          <w:sz w:val="28"/>
          <w:szCs w:val="28"/>
          <w:highlight w:val="none"/>
        </w:rPr>
      </w:pPr>
      <w:r>
        <w:rPr>
          <w:rFonts w:hint="eastAsia" w:ascii="宋体" w:hAnsi="宋体" w:eastAsia="宋体" w:cs="宋体"/>
          <w:b/>
          <w:color w:val="000000" w:themeColor="text1"/>
          <w:sz w:val="28"/>
          <w:szCs w:val="28"/>
          <w:highlight w:val="none"/>
          <w:shd w:val="clear" w:color="auto" w:fill="auto"/>
          <w14:textFill>
            <w14:solidFill>
              <w14:schemeClr w14:val="tx1"/>
            </w14:solidFill>
          </w14:textFill>
        </w:rPr>
        <w:t>联系电话：</w:t>
      </w:r>
      <w:r>
        <w:rPr>
          <w:rFonts w:hint="eastAsia" w:ascii="宋体" w:hAnsi="宋体" w:eastAsia="宋体" w:cs="宋体"/>
          <w:b/>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eastAsia="宋体" w:cs="宋体"/>
          <w:b/>
          <w:color w:val="000000" w:themeColor="text1"/>
          <w:sz w:val="28"/>
          <w:szCs w:val="28"/>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b/>
          <w:color w:val="000000" w:themeColor="text1"/>
          <w:sz w:val="28"/>
          <w:szCs w:val="28"/>
          <w:highlight w:val="none"/>
          <w:u w:val="single"/>
          <w:shd w:val="clear" w:color="auto" w:fill="auto"/>
          <w:lang w:val="en-US" w:eastAsia="zh-CN"/>
          <w14:textFill>
            <w14:solidFill>
              <w14:schemeClr w14:val="tx1"/>
            </w14:solidFill>
          </w14:textFill>
        </w:rPr>
        <w:t xml:space="preserve">  17767554119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lang w:val="en-US" w:eastAsia="zh-CN"/>
        </w:rPr>
        <w:t xml:space="preserve">   </w:t>
      </w:r>
    </w:p>
    <w:p>
      <w:pPr>
        <w:pStyle w:val="7"/>
        <w:outlineLvl w:val="9"/>
        <w:rPr>
          <w:rFonts w:hint="eastAsia" w:ascii="宋体" w:hAnsi="宋体" w:eastAsia="宋体" w:cs="宋体"/>
          <w:color w:val="auto"/>
          <w:sz w:val="28"/>
          <w:szCs w:val="28"/>
          <w:highlight w:val="none"/>
        </w:rPr>
      </w:pPr>
    </w:p>
    <w:p>
      <w:pPr>
        <w:outlineLvl w:val="9"/>
        <w:rPr>
          <w:rFonts w:hint="eastAsia" w:ascii="宋体" w:hAnsi="宋体" w:eastAsia="宋体" w:cs="宋体"/>
          <w:color w:val="auto"/>
          <w:highlight w:val="none"/>
        </w:rPr>
      </w:pPr>
    </w:p>
    <w:p>
      <w:pPr>
        <w:pStyle w:val="8"/>
        <w:outlineLvl w:val="9"/>
        <w:rPr>
          <w:rFonts w:hint="eastAsia"/>
          <w:color w:val="auto"/>
          <w:highlight w:val="none"/>
        </w:rPr>
      </w:pPr>
    </w:p>
    <w:p>
      <w:pPr>
        <w:spacing w:line="240" w:lineRule="atLeast"/>
        <w:ind w:firstLine="1120" w:firstLineChars="400"/>
        <w:outlineLvl w:val="9"/>
        <w:rPr>
          <w:rFonts w:hint="default"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rPr>
        <w:t>代理机构：</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eastAsia="zh-CN"/>
        </w:rPr>
        <w:t>新疆昊泽工程管理有限公司</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lang w:val="en-US" w:eastAsia="zh-CN"/>
        </w:rPr>
        <w:t xml:space="preserve">  </w:t>
      </w:r>
    </w:p>
    <w:p>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人：</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谷超超</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 xml:space="preserve">     </w:t>
      </w:r>
    </w:p>
    <w:p>
      <w:pPr>
        <w:spacing w:line="240" w:lineRule="atLeast"/>
        <w:ind w:firstLine="1120" w:firstLineChars="400"/>
        <w:outlineLvl w:val="9"/>
        <w:rPr>
          <w:rFonts w:hint="eastAsia" w:ascii="宋体" w:hAnsi="宋体" w:eastAsia="宋体" w:cs="宋体"/>
          <w:b/>
          <w:bCs/>
          <w:color w:val="auto"/>
          <w:sz w:val="32"/>
          <w:szCs w:val="40"/>
          <w:highlight w:val="none"/>
        </w:rPr>
      </w:pPr>
      <w:r>
        <w:rPr>
          <w:rFonts w:hint="eastAsia" w:ascii="宋体" w:hAnsi="宋体" w:eastAsia="宋体" w:cs="宋体"/>
          <w:b/>
          <w:color w:val="auto"/>
          <w:sz w:val="28"/>
          <w:szCs w:val="28"/>
          <w:highlight w:val="none"/>
        </w:rPr>
        <w:t>联系电话：</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19316425111</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 xml:space="preserve">  </w:t>
      </w:r>
    </w:p>
    <w:p>
      <w:pPr>
        <w:spacing w:line="240" w:lineRule="atLeast"/>
        <w:jc w:val="center"/>
        <w:outlineLvl w:val="9"/>
        <w:rPr>
          <w:rFonts w:hint="eastAsia" w:ascii="宋体" w:hAnsi="宋体" w:eastAsia="宋体" w:cs="宋体"/>
          <w:b/>
          <w:color w:val="auto"/>
          <w:sz w:val="28"/>
          <w:szCs w:val="28"/>
          <w:highlight w:val="none"/>
          <w:lang w:val="en-US" w:eastAsia="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宋体" w:hAnsi="宋体" w:eastAsia="宋体" w:cs="宋体"/>
          <w:b/>
          <w:color w:val="auto"/>
          <w:sz w:val="28"/>
          <w:szCs w:val="28"/>
          <w:highlight w:val="none"/>
        </w:rPr>
        <w:t>日期：20</w:t>
      </w:r>
      <w:r>
        <w:rPr>
          <w:rFonts w:hint="eastAsia" w:ascii="宋体" w:hAnsi="宋体" w:cs="宋体"/>
          <w:b/>
          <w:color w:val="auto"/>
          <w:sz w:val="28"/>
          <w:szCs w:val="28"/>
          <w:highlight w:val="none"/>
          <w:lang w:val="en-US" w:eastAsia="zh-CN"/>
        </w:rPr>
        <w:t>24</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月</w:t>
      </w:r>
    </w:p>
    <w:p>
      <w:pPr>
        <w:ind w:firstLine="3534" w:firstLineChars="1100"/>
        <w:jc w:val="both"/>
        <w:rPr>
          <w:rFonts w:hint="eastAsia" w:ascii="宋体" w:hAnsi="宋体" w:eastAsia="宋体" w:cs="宋体"/>
          <w:b/>
          <w:bCs/>
          <w:color w:val="auto"/>
          <w:sz w:val="32"/>
          <w:szCs w:val="40"/>
          <w:highlight w:val="none"/>
        </w:rPr>
      </w:pPr>
      <w:bookmarkStart w:id="21" w:name="_Toc22782"/>
      <w:bookmarkStart w:id="22" w:name="_Toc8627"/>
      <w:bookmarkStart w:id="23" w:name="_Toc216582804"/>
      <w:bookmarkStart w:id="24" w:name="_Toc17230"/>
      <w:bookmarkStart w:id="25" w:name="_Toc515647798"/>
      <w:bookmarkStart w:id="26" w:name="_Toc1148"/>
      <w:bookmarkStart w:id="27" w:name="_Toc11115"/>
      <w:bookmarkStart w:id="28" w:name="_Toc25253"/>
      <w:bookmarkStart w:id="29" w:name="_Toc16548"/>
      <w:r>
        <w:rPr>
          <w:rFonts w:hint="eastAsia" w:ascii="宋体" w:hAnsi="宋体" w:eastAsia="宋体" w:cs="宋体"/>
          <w:b/>
          <w:bCs/>
          <w:color w:val="auto"/>
          <w:sz w:val="32"/>
          <w:szCs w:val="40"/>
          <w:highlight w:val="none"/>
        </w:rPr>
        <w:t>目   录</w:t>
      </w:r>
    </w:p>
    <w:p>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_Toc12897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2"/>
          <w:highlight w:val="none"/>
        </w:rPr>
        <w:t>第1章</w:t>
      </w:r>
      <w:r>
        <w:rPr>
          <w:rFonts w:hint="eastAsia" w:hAnsi="宋体" w:cs="宋体"/>
          <w:bCs/>
          <w:color w:val="auto"/>
          <w:szCs w:val="32"/>
          <w:highlight w:val="none"/>
          <w:lang w:val="en-US" w:eastAsia="zh-CN"/>
        </w:rPr>
        <w:t xml:space="preserve">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color w:val="auto"/>
          <w:highlight w:val="none"/>
        </w:rPr>
        <w:tab/>
      </w:r>
      <w:r>
        <w:rPr>
          <w:color w:val="auto"/>
          <w:highlight w:val="none"/>
        </w:rPr>
        <w:fldChar w:fldCharType="begin"/>
      </w:r>
      <w:r>
        <w:rPr>
          <w:color w:val="auto"/>
          <w:highlight w:val="none"/>
        </w:rPr>
        <w:instrText xml:space="preserve"> PAGEREF _Toc12897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_Toc29004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4"/>
          <w:highlight w:val="none"/>
        </w:rPr>
        <w:t>一   总 则</w:t>
      </w:r>
      <w:r>
        <w:rPr>
          <w:color w:val="auto"/>
          <w:highlight w:val="none"/>
        </w:rPr>
        <w:tab/>
      </w:r>
      <w:r>
        <w:rPr>
          <w:color w:val="auto"/>
          <w:highlight w:val="none"/>
        </w:rPr>
        <w:fldChar w:fldCharType="begin"/>
      </w:r>
      <w:r>
        <w:rPr>
          <w:color w:val="auto"/>
          <w:highlight w:val="none"/>
        </w:rPr>
        <w:instrText xml:space="preserve"> PAGEREF _Toc29004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_Toc13790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4"/>
          <w:highlight w:val="none"/>
        </w:rPr>
        <w:t>二   招标文件</w:t>
      </w:r>
      <w:r>
        <w:rPr>
          <w:color w:val="auto"/>
          <w:highlight w:val="none"/>
        </w:rPr>
        <w:tab/>
      </w:r>
      <w:r>
        <w:rPr>
          <w:color w:val="auto"/>
          <w:highlight w:val="none"/>
        </w:rPr>
        <w:fldChar w:fldCharType="begin"/>
      </w:r>
      <w:r>
        <w:rPr>
          <w:color w:val="auto"/>
          <w:highlight w:val="none"/>
        </w:rPr>
        <w:instrText xml:space="preserve"> PAGEREF _Toc13790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_Toc3736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4"/>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_Toc3736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_Toc20477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4"/>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_Toc20477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_Toc10548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4"/>
          <w:highlight w:val="none"/>
        </w:rPr>
        <w:t>五   开标及评标</w:t>
      </w:r>
      <w:r>
        <w:rPr>
          <w:color w:val="auto"/>
          <w:highlight w:val="none"/>
        </w:rPr>
        <w:tab/>
      </w:r>
      <w:r>
        <w:rPr>
          <w:color w:val="auto"/>
          <w:highlight w:val="none"/>
        </w:rPr>
        <w:fldChar w:fldCharType="begin"/>
      </w:r>
      <w:r>
        <w:rPr>
          <w:color w:val="auto"/>
          <w:highlight w:val="none"/>
        </w:rPr>
        <w:instrText xml:space="preserve"> PAGEREF _Toc10548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_Toc27430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4"/>
          <w:highlight w:val="none"/>
        </w:rPr>
        <w:t>六   确定中标</w:t>
      </w:r>
      <w:r>
        <w:rPr>
          <w:color w:val="auto"/>
          <w:highlight w:val="none"/>
        </w:rPr>
        <w:tab/>
      </w:r>
      <w:r>
        <w:rPr>
          <w:color w:val="auto"/>
          <w:highlight w:val="none"/>
        </w:rPr>
        <w:fldChar w:fldCharType="begin"/>
      </w:r>
      <w:r>
        <w:rPr>
          <w:color w:val="auto"/>
          <w:highlight w:val="none"/>
        </w:rPr>
        <w:instrText xml:space="preserve"> PAGEREF _Toc27430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_Toc22390 </w:instrText>
      </w:r>
      <w:r>
        <w:rPr>
          <w:rFonts w:hint="eastAsia" w:ascii="宋体" w:hAnsi="宋体" w:eastAsia="宋体" w:cs="宋体"/>
          <w:color w:val="auto"/>
          <w:kern w:val="2"/>
          <w:szCs w:val="21"/>
          <w:highlight w:val="none"/>
        </w:rPr>
        <w:fldChar w:fldCharType="separate"/>
      </w:r>
      <w:r>
        <w:rPr>
          <w:rFonts w:hint="eastAsia" w:ascii="宋体" w:hAnsi="宋体" w:eastAsia="宋体" w:cs="宋体"/>
          <w:bCs/>
          <w:color w:val="auto"/>
          <w:kern w:val="0"/>
          <w:szCs w:val="32"/>
          <w:highlight w:val="none"/>
          <w:lang w:val="en-US" w:eastAsia="zh-CN" w:bidi="ar-SA"/>
        </w:rPr>
        <w:t>第2章</w:t>
      </w:r>
      <w:r>
        <w:rPr>
          <w:rFonts w:hint="eastAsia" w:hAnsi="宋体" w:cs="宋体"/>
          <w:bCs/>
          <w:color w:val="auto"/>
          <w:kern w:val="0"/>
          <w:szCs w:val="32"/>
          <w:highlight w:val="none"/>
          <w:lang w:val="en-US" w:eastAsia="zh-CN" w:bidi="ar-SA"/>
        </w:rPr>
        <w:t xml:space="preserve">  </w:t>
      </w:r>
      <w:r>
        <w:rPr>
          <w:rFonts w:hint="eastAsia" w:ascii="宋体" w:hAnsi="宋体" w:eastAsia="宋体" w:cs="宋体"/>
          <w:bCs/>
          <w:color w:val="auto"/>
          <w:kern w:val="0"/>
          <w:szCs w:val="32"/>
          <w:highlight w:val="none"/>
          <w:lang w:val="en-US" w:eastAsia="zh-CN" w:bidi="ar-SA"/>
        </w:rPr>
        <w:t>投标文件格式</w:t>
      </w:r>
      <w:r>
        <w:rPr>
          <w:color w:val="auto"/>
          <w:highlight w:val="none"/>
        </w:rPr>
        <w:tab/>
      </w:r>
      <w:r>
        <w:rPr>
          <w:color w:val="auto"/>
          <w:highlight w:val="none"/>
        </w:rPr>
        <w:fldChar w:fldCharType="begin"/>
      </w:r>
      <w:r>
        <w:rPr>
          <w:color w:val="auto"/>
          <w:highlight w:val="none"/>
        </w:rPr>
        <w:instrText xml:space="preserve"> PAGEREF _Toc22390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_Toc26858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4"/>
          <w:highlight w:val="none"/>
        </w:rPr>
        <w:t>第一部分 开标一览表及资格证明文件</w:t>
      </w:r>
      <w:r>
        <w:rPr>
          <w:color w:val="auto"/>
          <w:highlight w:val="none"/>
        </w:rPr>
        <w:tab/>
      </w:r>
      <w:r>
        <w:rPr>
          <w:color w:val="auto"/>
          <w:highlight w:val="none"/>
        </w:rPr>
        <w:fldChar w:fldCharType="begin"/>
      </w:r>
      <w:r>
        <w:rPr>
          <w:color w:val="auto"/>
          <w:highlight w:val="none"/>
        </w:rPr>
        <w:instrText xml:space="preserve"> PAGEREF _Toc26858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_Toc29944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rPr>
        <w:t>1.开标一览表；</w:t>
      </w:r>
      <w:r>
        <w:rPr>
          <w:color w:val="auto"/>
          <w:highlight w:val="none"/>
        </w:rPr>
        <w:tab/>
      </w:r>
      <w:r>
        <w:rPr>
          <w:color w:val="auto"/>
          <w:highlight w:val="none"/>
        </w:rPr>
        <w:fldChar w:fldCharType="begin"/>
      </w:r>
      <w:r>
        <w:rPr>
          <w:color w:val="auto"/>
          <w:highlight w:val="none"/>
        </w:rPr>
        <w:instrText xml:space="preserve"> PAGEREF _Toc29944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_Toc16252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val="en-US" w:eastAsia="zh-CN"/>
        </w:rPr>
        <w:t>合格有效的三证合一的营业执照（三证合一）或电子营业执照（需加盖公章）或同等法律效力的证明文件（发证机关或公证机关出具的证明材料）；</w:t>
      </w:r>
      <w:r>
        <w:rPr>
          <w:color w:val="auto"/>
          <w:highlight w:val="none"/>
        </w:rPr>
        <w:tab/>
      </w:r>
      <w:r>
        <w:rPr>
          <w:color w:val="auto"/>
          <w:highlight w:val="none"/>
        </w:rPr>
        <w:fldChar w:fldCharType="begin"/>
      </w:r>
      <w:r>
        <w:rPr>
          <w:color w:val="auto"/>
          <w:highlight w:val="none"/>
        </w:rPr>
        <w:instrText xml:space="preserve"> PAGEREF _Toc16252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_Toc17431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3.</w:t>
      </w:r>
      <w:r>
        <w:rPr>
          <w:rFonts w:hint="eastAsia" w:ascii="宋体" w:hAnsi="宋体" w:eastAsia="宋体" w:cs="宋体"/>
          <w:color w:val="auto"/>
          <w:kern w:val="2"/>
          <w:szCs w:val="21"/>
          <w:highlight w:val="none"/>
        </w:rPr>
        <w:fldChar w:fldCharType="end"/>
      </w: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_Toc14661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法定代表人资格证明及授权书、被授权人身份证(法定代表人投标需提供法定代表人身份证)；</w:t>
      </w:r>
      <w:r>
        <w:rPr>
          <w:color w:val="auto"/>
          <w:highlight w:val="none"/>
        </w:rPr>
        <w:tab/>
      </w:r>
      <w:r>
        <w:rPr>
          <w:color w:val="auto"/>
          <w:highlight w:val="none"/>
        </w:rPr>
        <w:fldChar w:fldCharType="begin"/>
      </w:r>
      <w:r>
        <w:rPr>
          <w:color w:val="auto"/>
          <w:highlight w:val="none"/>
        </w:rPr>
        <w:instrText xml:space="preserve"> PAGEREF _Toc14661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_Toc31929 </w:instrText>
      </w:r>
      <w:r>
        <w:rPr>
          <w:rFonts w:hint="eastAsia" w:ascii="宋体" w:hAnsi="宋体" w:eastAsia="宋体" w:cs="宋体"/>
          <w:color w:val="auto"/>
          <w:kern w:val="2"/>
          <w:szCs w:val="21"/>
          <w:highlight w:val="none"/>
        </w:rPr>
        <w:fldChar w:fldCharType="separate"/>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lang w:val="en-US" w:eastAsia="zh-CN"/>
        </w:rPr>
        <w:t>.提供2023年的财务审计报告（新成立未满一年的新公司可提供近三个月内任意一个月的银行资信证明）；</w:t>
      </w:r>
      <w:r>
        <w:rPr>
          <w:color w:val="auto"/>
          <w:highlight w:val="none"/>
        </w:rPr>
        <w:tab/>
      </w:r>
      <w:r>
        <w:rPr>
          <w:color w:val="auto"/>
          <w:highlight w:val="none"/>
        </w:rPr>
        <w:fldChar w:fldCharType="begin"/>
      </w:r>
      <w:r>
        <w:rPr>
          <w:color w:val="auto"/>
          <w:highlight w:val="none"/>
        </w:rPr>
        <w:instrText xml:space="preserve"> PAGEREF _Toc31929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_Toc21555 </w:instrText>
      </w:r>
      <w:r>
        <w:rPr>
          <w:rFonts w:hint="eastAsia" w:ascii="宋体" w:hAnsi="宋体" w:eastAsia="宋体" w:cs="宋体"/>
          <w:color w:val="auto"/>
          <w:kern w:val="2"/>
          <w:szCs w:val="21"/>
          <w:highlight w:val="none"/>
        </w:rPr>
        <w:fldChar w:fldCharType="separate"/>
      </w:r>
      <w:r>
        <w:rPr>
          <w:rFonts w:hint="eastAsia" w:ascii="宋体" w:hAnsi="宋体" w:cs="宋体"/>
          <w:color w:val="auto"/>
          <w:szCs w:val="28"/>
          <w:highlight w:val="none"/>
          <w:lang w:val="en-US" w:eastAsia="zh-CN"/>
        </w:rPr>
        <w:t>5</w:t>
      </w:r>
      <w:r>
        <w:rPr>
          <w:rFonts w:hint="eastAsia" w:ascii="宋体" w:hAnsi="宋体" w:eastAsia="宋体" w:cs="宋体"/>
          <w:color w:val="auto"/>
          <w:szCs w:val="28"/>
          <w:highlight w:val="none"/>
          <w:lang w:val="en-US" w:eastAsia="zh-CN"/>
        </w:rPr>
        <w:t>.依法缴纳近六个月内任意一个月社会保险证明；</w:t>
      </w:r>
      <w:r>
        <w:rPr>
          <w:color w:val="auto"/>
          <w:highlight w:val="none"/>
        </w:rPr>
        <w:tab/>
      </w:r>
      <w:r>
        <w:rPr>
          <w:color w:val="auto"/>
          <w:highlight w:val="none"/>
        </w:rPr>
        <w:fldChar w:fldCharType="begin"/>
      </w:r>
      <w:r>
        <w:rPr>
          <w:color w:val="auto"/>
          <w:highlight w:val="none"/>
        </w:rPr>
        <w:instrText xml:space="preserve"> PAGEREF _Toc21555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_Toc7759 </w:instrText>
      </w:r>
      <w:r>
        <w:rPr>
          <w:rFonts w:hint="eastAsia" w:ascii="宋体" w:hAnsi="宋体" w:eastAsia="宋体" w:cs="宋体"/>
          <w:color w:val="auto"/>
          <w:kern w:val="2"/>
          <w:szCs w:val="21"/>
          <w:highlight w:val="none"/>
        </w:rPr>
        <w:fldChar w:fldCharType="separate"/>
      </w:r>
      <w:r>
        <w:rPr>
          <w:rFonts w:hint="eastAsia" w:ascii="宋体" w:hAnsi="宋体" w:cs="宋体"/>
          <w:color w:val="auto"/>
          <w:szCs w:val="28"/>
          <w:highlight w:val="none"/>
          <w:lang w:val="en-US" w:eastAsia="zh-CN"/>
        </w:rPr>
        <w:t>6</w:t>
      </w:r>
      <w:r>
        <w:rPr>
          <w:rFonts w:hint="eastAsia" w:ascii="宋体" w:hAnsi="宋体" w:eastAsia="宋体" w:cs="宋体"/>
          <w:color w:val="auto"/>
          <w:szCs w:val="28"/>
          <w:highlight w:val="none"/>
          <w:lang w:val="en-US" w:eastAsia="zh-CN"/>
        </w:rPr>
        <w:t>.依法缴纳近六个月内任意一个月税收证明；</w:t>
      </w:r>
      <w:r>
        <w:rPr>
          <w:color w:val="auto"/>
          <w:highlight w:val="none"/>
        </w:rPr>
        <w:tab/>
      </w:r>
      <w:r>
        <w:rPr>
          <w:color w:val="auto"/>
          <w:highlight w:val="none"/>
        </w:rPr>
        <w:fldChar w:fldCharType="begin"/>
      </w:r>
      <w:r>
        <w:rPr>
          <w:color w:val="auto"/>
          <w:highlight w:val="none"/>
        </w:rPr>
        <w:instrText xml:space="preserve"> PAGEREF _Toc7759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_Toc19599 </w:instrText>
      </w:r>
      <w:r>
        <w:rPr>
          <w:rFonts w:hint="eastAsia" w:ascii="宋体" w:hAnsi="宋体" w:eastAsia="宋体" w:cs="宋体"/>
          <w:color w:val="auto"/>
          <w:kern w:val="2"/>
          <w:szCs w:val="21"/>
          <w:highlight w:val="none"/>
        </w:rPr>
        <w:fldChar w:fldCharType="separate"/>
      </w:r>
      <w:r>
        <w:rPr>
          <w:rFonts w:hint="eastAsia" w:ascii="宋体" w:hAnsi="宋体" w:cs="宋体"/>
          <w:color w:val="auto"/>
          <w:szCs w:val="28"/>
          <w:highlight w:val="none"/>
          <w:lang w:val="en-US" w:eastAsia="zh-CN"/>
        </w:rPr>
        <w:t>7</w:t>
      </w:r>
      <w:r>
        <w:rPr>
          <w:rFonts w:hint="eastAsia" w:ascii="宋体" w:hAnsi="宋体" w:eastAsia="宋体" w:cs="宋体"/>
          <w:color w:val="auto"/>
          <w:szCs w:val="28"/>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r>
        <w:rPr>
          <w:rFonts w:hint="eastAsia" w:ascii="宋体" w:hAnsi="宋体" w:eastAsia="宋体" w:cs="宋体"/>
          <w:color w:val="auto"/>
          <w:spacing w:val="-2"/>
          <w:szCs w:val="21"/>
          <w:highlight w:val="none"/>
        </w:rPr>
        <w:t>（以采购代理机构或采购人查询为准）</w:t>
      </w:r>
      <w:r>
        <w:rPr>
          <w:rFonts w:hint="eastAsia" w:ascii="宋体" w:hAnsi="宋体" w:cs="宋体"/>
          <w:color w:val="auto"/>
          <w:spacing w:val="-2"/>
          <w:szCs w:val="21"/>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_Toc19599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_Toc24966 </w:instrText>
      </w:r>
      <w:r>
        <w:rPr>
          <w:rFonts w:hint="eastAsia" w:ascii="宋体" w:hAnsi="宋体" w:eastAsia="宋体" w:cs="宋体"/>
          <w:color w:val="auto"/>
          <w:kern w:val="2"/>
          <w:szCs w:val="21"/>
          <w:highlight w:val="none"/>
        </w:rPr>
        <w:fldChar w:fldCharType="separate"/>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lang w:val="en-US" w:eastAsia="zh-CN"/>
        </w:rPr>
        <w:t>.参与政府采购活动前3年内未被列入失信、重大税收违法案件、财政部门禁止参加政府采购活动的承诺书；</w:t>
      </w:r>
      <w:r>
        <w:rPr>
          <w:color w:val="auto"/>
          <w:highlight w:val="none"/>
        </w:rPr>
        <w:tab/>
      </w:r>
      <w:r>
        <w:rPr>
          <w:color w:val="auto"/>
          <w:highlight w:val="none"/>
        </w:rPr>
        <w:fldChar w:fldCharType="begin"/>
      </w:r>
      <w:r>
        <w:rPr>
          <w:color w:val="auto"/>
          <w:highlight w:val="none"/>
        </w:rPr>
        <w:instrText xml:space="preserve"> PAGEREF _Toc24966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_Toc13096 </w:instrText>
      </w:r>
      <w:r>
        <w:rPr>
          <w:rFonts w:hint="eastAsia" w:ascii="宋体" w:hAnsi="宋体" w:eastAsia="宋体" w:cs="宋体"/>
          <w:color w:val="auto"/>
          <w:kern w:val="2"/>
          <w:szCs w:val="21"/>
          <w:highlight w:val="none"/>
        </w:rPr>
        <w:fldChar w:fldCharType="separate"/>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lang w:val="en-US" w:eastAsia="zh-CN"/>
        </w:rPr>
        <w:t>.提供针对本次项目的《反商业贿赂承诺书》；</w:t>
      </w:r>
      <w:r>
        <w:rPr>
          <w:color w:val="auto"/>
          <w:highlight w:val="none"/>
        </w:rPr>
        <w:tab/>
      </w:r>
      <w:r>
        <w:rPr>
          <w:color w:val="auto"/>
          <w:highlight w:val="none"/>
        </w:rPr>
        <w:fldChar w:fldCharType="begin"/>
      </w:r>
      <w:r>
        <w:rPr>
          <w:color w:val="auto"/>
          <w:highlight w:val="none"/>
        </w:rPr>
        <w:instrText xml:space="preserve"> PAGEREF _Toc13096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_Toc32156 </w:instrText>
      </w:r>
      <w:r>
        <w:rPr>
          <w:rFonts w:hint="eastAsia" w:ascii="宋体" w:hAnsi="宋体" w:eastAsia="宋体" w:cs="宋体"/>
          <w:color w:val="auto"/>
          <w:kern w:val="2"/>
          <w:szCs w:val="21"/>
          <w:highlight w:val="none"/>
        </w:rPr>
        <w:fldChar w:fldCharType="separate"/>
      </w:r>
      <w:r>
        <w:rPr>
          <w:rFonts w:hint="eastAsia" w:ascii="宋体" w:hAnsi="宋体" w:cs="宋体"/>
          <w:color w:val="auto"/>
          <w:szCs w:val="28"/>
          <w:highlight w:val="none"/>
          <w:lang w:val="en-US" w:eastAsia="zh-CN"/>
        </w:rPr>
        <w:t>10</w:t>
      </w:r>
      <w:r>
        <w:rPr>
          <w:rFonts w:hint="eastAsia" w:ascii="宋体" w:hAnsi="宋体" w:eastAsia="宋体" w:cs="宋体"/>
          <w:color w:val="auto"/>
          <w:szCs w:val="28"/>
          <w:highlight w:val="none"/>
          <w:lang w:val="en-US" w:eastAsia="zh-CN"/>
        </w:rPr>
        <w:t>.缴纳投标保证金的有效凭证；</w:t>
      </w:r>
      <w:r>
        <w:rPr>
          <w:color w:val="auto"/>
          <w:highlight w:val="none"/>
        </w:rPr>
        <w:tab/>
      </w:r>
      <w:r>
        <w:rPr>
          <w:color w:val="auto"/>
          <w:highlight w:val="none"/>
        </w:rPr>
        <w:fldChar w:fldCharType="begin"/>
      </w:r>
      <w:r>
        <w:rPr>
          <w:color w:val="auto"/>
          <w:highlight w:val="none"/>
        </w:rPr>
        <w:instrText xml:space="preserve"> PAGEREF _Toc32156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_Toc19813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lang w:val="en-US" w:eastAsia="zh-CN"/>
        </w:rPr>
        <w:t>.</w:t>
      </w:r>
      <w:r>
        <w:rPr>
          <w:rFonts w:hint="eastAsia" w:ascii="宋体" w:hAnsi="宋体" w:eastAsia="宋体" w:cs="宋体"/>
          <w:color w:val="auto"/>
          <w:kern w:val="2"/>
          <w:szCs w:val="21"/>
          <w:highlight w:val="none"/>
        </w:rPr>
        <w:fldChar w:fldCharType="end"/>
      </w: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_Toc18703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供应商可提供有利于投标的其他资格证明材料。</w:t>
      </w:r>
      <w:r>
        <w:rPr>
          <w:color w:val="auto"/>
          <w:highlight w:val="none"/>
        </w:rPr>
        <w:tab/>
      </w:r>
      <w:r>
        <w:rPr>
          <w:color w:val="auto"/>
          <w:highlight w:val="none"/>
        </w:rPr>
        <w:fldChar w:fldCharType="begin"/>
      </w:r>
      <w:r>
        <w:rPr>
          <w:color w:val="auto"/>
          <w:highlight w:val="none"/>
        </w:rPr>
        <w:instrText xml:space="preserve"> PAGEREF _Toc18703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_Toc27567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highlight w:val="none"/>
        </w:rPr>
        <w:t>第二部分  商务及技术文件</w:t>
      </w:r>
      <w:r>
        <w:rPr>
          <w:color w:val="auto"/>
          <w:highlight w:val="none"/>
        </w:rPr>
        <w:tab/>
      </w:r>
      <w:r>
        <w:rPr>
          <w:color w:val="auto"/>
          <w:highlight w:val="none"/>
        </w:rPr>
        <w:fldChar w:fldCharType="begin"/>
      </w:r>
      <w:r>
        <w:rPr>
          <w:color w:val="auto"/>
          <w:highlight w:val="none"/>
        </w:rPr>
        <w:instrText xml:space="preserve"> PAGEREF _Toc27567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_Toc32484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1.投标书</w:t>
      </w:r>
      <w:r>
        <w:rPr>
          <w:color w:val="auto"/>
          <w:highlight w:val="none"/>
        </w:rPr>
        <w:tab/>
      </w:r>
      <w:r>
        <w:rPr>
          <w:color w:val="auto"/>
          <w:highlight w:val="none"/>
        </w:rPr>
        <w:fldChar w:fldCharType="begin"/>
      </w:r>
      <w:r>
        <w:rPr>
          <w:color w:val="auto"/>
          <w:highlight w:val="none"/>
        </w:rPr>
        <w:instrText xml:space="preserve"> PAGEREF _Toc32484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_Toc24631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2.投标分项报价表</w:t>
      </w:r>
      <w:r>
        <w:rPr>
          <w:color w:val="auto"/>
          <w:highlight w:val="none"/>
        </w:rPr>
        <w:tab/>
      </w:r>
      <w:r>
        <w:rPr>
          <w:color w:val="auto"/>
          <w:highlight w:val="none"/>
        </w:rPr>
        <w:fldChar w:fldCharType="begin"/>
      </w:r>
      <w:r>
        <w:rPr>
          <w:color w:val="auto"/>
          <w:highlight w:val="none"/>
        </w:rPr>
        <w:instrText xml:space="preserve"> PAGEREF _Toc24631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_Toc1758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3.货物说明一览表</w:t>
      </w:r>
      <w:r>
        <w:rPr>
          <w:color w:val="auto"/>
          <w:highlight w:val="none"/>
        </w:rPr>
        <w:tab/>
      </w:r>
      <w:r>
        <w:rPr>
          <w:color w:val="auto"/>
          <w:highlight w:val="none"/>
        </w:rPr>
        <w:fldChar w:fldCharType="begin"/>
      </w:r>
      <w:r>
        <w:rPr>
          <w:color w:val="auto"/>
          <w:highlight w:val="none"/>
        </w:rPr>
        <w:instrText xml:space="preserve"> PAGEREF _Toc1758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_Toc8378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4.技术规格偏离表</w:t>
      </w:r>
      <w:r>
        <w:rPr>
          <w:color w:val="auto"/>
          <w:highlight w:val="none"/>
        </w:rPr>
        <w:tab/>
      </w:r>
      <w:r>
        <w:rPr>
          <w:color w:val="auto"/>
          <w:highlight w:val="none"/>
        </w:rPr>
        <w:fldChar w:fldCharType="begin"/>
      </w:r>
      <w:r>
        <w:rPr>
          <w:color w:val="auto"/>
          <w:highlight w:val="none"/>
        </w:rPr>
        <w:instrText xml:space="preserve"> PAGEREF _Toc8378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_Toc8354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5.商务条款偏离表</w:t>
      </w:r>
      <w:r>
        <w:rPr>
          <w:color w:val="auto"/>
          <w:highlight w:val="none"/>
        </w:rPr>
        <w:tab/>
      </w:r>
      <w:r>
        <w:rPr>
          <w:color w:val="auto"/>
          <w:highlight w:val="none"/>
        </w:rPr>
        <w:fldChar w:fldCharType="begin"/>
      </w:r>
      <w:r>
        <w:rPr>
          <w:color w:val="auto"/>
          <w:highlight w:val="none"/>
        </w:rPr>
        <w:instrText xml:space="preserve"> PAGEREF _Toc8354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_Toc5026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6-1中小企业声明函</w:t>
      </w:r>
      <w:r>
        <w:rPr>
          <w:color w:val="auto"/>
          <w:highlight w:val="none"/>
        </w:rPr>
        <w:tab/>
      </w:r>
      <w:r>
        <w:rPr>
          <w:color w:val="auto"/>
          <w:highlight w:val="none"/>
        </w:rPr>
        <w:fldChar w:fldCharType="begin"/>
      </w:r>
      <w:r>
        <w:rPr>
          <w:color w:val="auto"/>
          <w:highlight w:val="none"/>
        </w:rPr>
        <w:instrText xml:space="preserve"> PAGEREF _Toc5026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_Toc4327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6-2 残疾人福利性单位声明函</w:t>
      </w:r>
      <w:r>
        <w:rPr>
          <w:color w:val="auto"/>
          <w:highlight w:val="none"/>
        </w:rPr>
        <w:tab/>
      </w:r>
      <w:r>
        <w:rPr>
          <w:color w:val="auto"/>
          <w:highlight w:val="none"/>
        </w:rPr>
        <w:fldChar w:fldCharType="begin"/>
      </w:r>
      <w:r>
        <w:rPr>
          <w:color w:val="auto"/>
          <w:highlight w:val="none"/>
        </w:rPr>
        <w:instrText xml:space="preserve"> PAGEREF _Toc4327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_Toc19192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7.供应商关联单位的说明（格式自拟）</w:t>
      </w:r>
      <w:r>
        <w:rPr>
          <w:color w:val="auto"/>
          <w:highlight w:val="none"/>
        </w:rPr>
        <w:tab/>
      </w:r>
      <w:r>
        <w:rPr>
          <w:color w:val="auto"/>
          <w:highlight w:val="none"/>
        </w:rPr>
        <w:fldChar w:fldCharType="begin"/>
      </w:r>
      <w:r>
        <w:rPr>
          <w:color w:val="auto"/>
          <w:highlight w:val="none"/>
        </w:rPr>
        <w:instrText xml:space="preserve"> PAGEREF _Toc19192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_Toc10519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8.供应商可提供有利于投标的其他证明材料</w:t>
      </w:r>
      <w:r>
        <w:rPr>
          <w:color w:val="auto"/>
          <w:highlight w:val="none"/>
        </w:rPr>
        <w:tab/>
      </w:r>
      <w:r>
        <w:rPr>
          <w:color w:val="auto"/>
          <w:highlight w:val="none"/>
        </w:rPr>
        <w:fldChar w:fldCharType="begin"/>
      </w:r>
      <w:r>
        <w:rPr>
          <w:color w:val="auto"/>
          <w:highlight w:val="none"/>
        </w:rPr>
        <w:instrText xml:space="preserve"> PAGEREF _Toc10519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_Toc17398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szCs w:val="28"/>
          <w:highlight w:val="none"/>
          <w:lang w:val="en-US" w:eastAsia="zh-CN"/>
        </w:rPr>
        <w:t>9.投标文件格式范本</w:t>
      </w:r>
      <w:r>
        <w:rPr>
          <w:color w:val="auto"/>
          <w:highlight w:val="none"/>
        </w:rPr>
        <w:tab/>
      </w:r>
      <w:r>
        <w:rPr>
          <w:color w:val="auto"/>
          <w:highlight w:val="none"/>
        </w:rPr>
        <w:fldChar w:fldCharType="begin"/>
      </w:r>
      <w:r>
        <w:rPr>
          <w:color w:val="auto"/>
          <w:highlight w:val="none"/>
        </w:rPr>
        <w:instrText xml:space="preserve"> PAGEREF _Toc17398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_Toc1297 </w:instrText>
      </w:r>
      <w:r>
        <w:rPr>
          <w:rFonts w:hint="eastAsia" w:ascii="宋体" w:hAnsi="宋体" w:eastAsia="宋体" w:cs="宋体"/>
          <w:color w:val="auto"/>
          <w:kern w:val="2"/>
          <w:szCs w:val="21"/>
          <w:highlight w:val="none"/>
        </w:rPr>
        <w:fldChar w:fldCharType="separate"/>
      </w:r>
      <w:r>
        <w:rPr>
          <w:rFonts w:hint="eastAsia" w:ascii="宋体" w:hAnsi="宋体" w:eastAsia="宋体" w:cs="宋体"/>
          <w:bCs/>
          <w:color w:val="auto"/>
          <w:kern w:val="0"/>
          <w:szCs w:val="32"/>
          <w:highlight w:val="none"/>
          <w:lang w:val="en-US" w:eastAsia="zh-CN" w:bidi="ar-SA"/>
        </w:rPr>
        <w:t>第3章</w:t>
      </w:r>
      <w:r>
        <w:rPr>
          <w:rFonts w:hint="eastAsia" w:ascii="宋体" w:hAnsi="宋体" w:cs="宋体"/>
          <w:bCs/>
          <w:color w:val="auto"/>
          <w:kern w:val="0"/>
          <w:szCs w:val="32"/>
          <w:highlight w:val="none"/>
          <w:lang w:val="en-US" w:eastAsia="zh-CN" w:bidi="ar-SA"/>
        </w:rPr>
        <w:t xml:space="preserve">  </w:t>
      </w:r>
      <w:r>
        <w:rPr>
          <w:rFonts w:hint="eastAsia" w:ascii="宋体" w:hAnsi="宋体" w:eastAsia="宋体" w:cs="宋体"/>
          <w:bCs/>
          <w:color w:val="auto"/>
          <w:kern w:val="0"/>
          <w:szCs w:val="32"/>
          <w:highlight w:val="none"/>
          <w:lang w:val="en-US" w:eastAsia="zh-CN" w:bidi="ar-SA"/>
        </w:rPr>
        <w:t>投标邀请</w:t>
      </w:r>
      <w:r>
        <w:rPr>
          <w:color w:val="auto"/>
          <w:highlight w:val="none"/>
        </w:rPr>
        <w:tab/>
      </w:r>
      <w:r>
        <w:rPr>
          <w:color w:val="auto"/>
          <w:highlight w:val="none"/>
        </w:rPr>
        <w:fldChar w:fldCharType="begin"/>
      </w:r>
      <w:r>
        <w:rPr>
          <w:color w:val="auto"/>
          <w:highlight w:val="none"/>
        </w:rPr>
        <w:instrText xml:space="preserve"> PAGEREF _Toc1297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_Toc14411 </w:instrText>
      </w:r>
      <w:r>
        <w:rPr>
          <w:rFonts w:hint="eastAsia" w:ascii="宋体" w:hAnsi="宋体" w:eastAsia="宋体" w:cs="宋体"/>
          <w:color w:val="auto"/>
          <w:kern w:val="2"/>
          <w:szCs w:val="21"/>
          <w:highlight w:val="none"/>
        </w:rPr>
        <w:fldChar w:fldCharType="separate"/>
      </w:r>
      <w:r>
        <w:rPr>
          <w:rFonts w:hint="eastAsia" w:ascii="宋体" w:hAnsi="宋体" w:eastAsia="宋体" w:cs="宋体"/>
          <w:bCs/>
          <w:color w:val="auto"/>
          <w:kern w:val="0"/>
          <w:szCs w:val="32"/>
          <w:highlight w:val="none"/>
          <w:lang w:val="en-US" w:eastAsia="zh-CN" w:bidi="ar-SA"/>
        </w:rPr>
        <w:t>第4章</w:t>
      </w:r>
      <w:r>
        <w:rPr>
          <w:rFonts w:hint="eastAsia" w:hAnsi="宋体" w:cs="宋体"/>
          <w:bCs/>
          <w:color w:val="auto"/>
          <w:kern w:val="0"/>
          <w:szCs w:val="32"/>
          <w:highlight w:val="none"/>
          <w:lang w:val="en-US" w:eastAsia="zh-CN" w:bidi="ar-SA"/>
        </w:rPr>
        <w:t xml:space="preserve">  </w:t>
      </w:r>
      <w:r>
        <w:rPr>
          <w:rFonts w:hint="eastAsia" w:ascii="宋体" w:hAnsi="宋体" w:eastAsia="宋体" w:cs="宋体"/>
          <w:bCs/>
          <w:color w:val="auto"/>
          <w:kern w:val="0"/>
          <w:szCs w:val="32"/>
          <w:highlight w:val="none"/>
          <w:lang w:val="en-US" w:eastAsia="zh-CN" w:bidi="ar-SA"/>
        </w:rPr>
        <w:t>供应商须知资料表</w:t>
      </w:r>
      <w:r>
        <w:rPr>
          <w:color w:val="auto"/>
          <w:highlight w:val="none"/>
        </w:rPr>
        <w:tab/>
      </w:r>
      <w:r>
        <w:rPr>
          <w:color w:val="auto"/>
          <w:highlight w:val="none"/>
        </w:rPr>
        <w:fldChar w:fldCharType="begin"/>
      </w:r>
      <w:r>
        <w:rPr>
          <w:color w:val="auto"/>
          <w:highlight w:val="none"/>
        </w:rPr>
        <w:instrText xml:space="preserve"> PAGEREF _Toc14411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_Toc30701 </w:instrText>
      </w:r>
      <w:r>
        <w:rPr>
          <w:rFonts w:hint="eastAsia" w:ascii="宋体" w:hAnsi="宋体" w:eastAsia="宋体" w:cs="宋体"/>
          <w:color w:val="auto"/>
          <w:kern w:val="2"/>
          <w:szCs w:val="21"/>
          <w:highlight w:val="none"/>
        </w:rPr>
        <w:fldChar w:fldCharType="separate"/>
      </w:r>
      <w:r>
        <w:rPr>
          <w:rFonts w:hint="eastAsia" w:ascii="宋体" w:hAnsi="宋体" w:eastAsia="宋体" w:cs="宋体"/>
          <w:bCs/>
          <w:color w:val="auto"/>
          <w:kern w:val="0"/>
          <w:szCs w:val="32"/>
          <w:highlight w:val="none"/>
          <w:lang w:val="en-US" w:eastAsia="zh-CN" w:bidi="ar-SA"/>
        </w:rPr>
        <w:t>第5章  货物内容及项目要求</w:t>
      </w:r>
      <w:r>
        <w:rPr>
          <w:color w:val="auto"/>
          <w:highlight w:val="none"/>
        </w:rPr>
        <w:tab/>
      </w:r>
      <w:r>
        <w:rPr>
          <w:color w:val="auto"/>
          <w:highlight w:val="none"/>
        </w:rPr>
        <w:fldChar w:fldCharType="begin"/>
      </w:r>
      <w:r>
        <w:rPr>
          <w:color w:val="auto"/>
          <w:highlight w:val="none"/>
        </w:rPr>
        <w:instrText xml:space="preserve"> PAGEREF _Toc30701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_Toc13893 </w:instrText>
      </w:r>
      <w:r>
        <w:rPr>
          <w:rFonts w:hint="eastAsia" w:ascii="宋体" w:hAnsi="宋体" w:eastAsia="宋体" w:cs="宋体"/>
          <w:color w:val="auto"/>
          <w:kern w:val="2"/>
          <w:szCs w:val="21"/>
          <w:highlight w:val="none"/>
        </w:rPr>
        <w:fldChar w:fldCharType="separate"/>
      </w:r>
      <w:r>
        <w:rPr>
          <w:rFonts w:hint="eastAsia" w:ascii="宋体" w:hAnsi="宋体" w:eastAsia="宋体" w:cs="宋体"/>
          <w:bCs/>
          <w:i w:val="0"/>
          <w:caps w:val="0"/>
          <w:color w:val="auto"/>
          <w:spacing w:val="0"/>
          <w:w w:val="100"/>
          <w:kern w:val="0"/>
          <w:szCs w:val="28"/>
          <w:highlight w:val="none"/>
          <w:lang w:val="en-US" w:eastAsia="zh-CN" w:bidi="ar-SA"/>
        </w:rPr>
        <w:t>一、货物需求：</w:t>
      </w:r>
      <w:r>
        <w:rPr>
          <w:color w:val="auto"/>
          <w:highlight w:val="none"/>
        </w:rPr>
        <w:tab/>
      </w:r>
      <w:r>
        <w:rPr>
          <w:color w:val="auto"/>
          <w:highlight w:val="none"/>
        </w:rPr>
        <w:fldChar w:fldCharType="begin"/>
      </w:r>
      <w:r>
        <w:rPr>
          <w:color w:val="auto"/>
          <w:highlight w:val="none"/>
        </w:rPr>
        <w:instrText xml:space="preserve"> PAGEREF _Toc13893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_Toc20225 </w:instrText>
      </w:r>
      <w:r>
        <w:rPr>
          <w:rFonts w:hint="eastAsia" w:ascii="宋体" w:hAnsi="宋体" w:eastAsia="宋体" w:cs="宋体"/>
          <w:color w:val="auto"/>
          <w:kern w:val="2"/>
          <w:szCs w:val="21"/>
          <w:highlight w:val="none"/>
        </w:rPr>
        <w:fldChar w:fldCharType="separate"/>
      </w:r>
      <w:r>
        <w:rPr>
          <w:rFonts w:hint="eastAsia" w:ascii="宋体" w:hAnsi="宋体" w:cs="宋体"/>
          <w:bCs/>
          <w:color w:val="auto"/>
          <w:szCs w:val="24"/>
          <w:highlight w:val="none"/>
          <w:lang w:val="en-US" w:eastAsia="zh-CN"/>
        </w:rPr>
        <w:t>二</w:t>
      </w:r>
      <w:r>
        <w:rPr>
          <w:rFonts w:hint="eastAsia" w:ascii="宋体" w:hAnsi="宋体" w:eastAsia="宋体" w:cs="宋体"/>
          <w:bCs/>
          <w:color w:val="auto"/>
          <w:szCs w:val="24"/>
          <w:highlight w:val="none"/>
          <w:lang w:val="en-US" w:eastAsia="zh-CN"/>
        </w:rPr>
        <w:t>、 项目要求：</w:t>
      </w:r>
      <w:r>
        <w:rPr>
          <w:color w:val="auto"/>
          <w:highlight w:val="none"/>
        </w:rPr>
        <w:tab/>
      </w:r>
      <w:r>
        <w:rPr>
          <w:color w:val="auto"/>
          <w:highlight w:val="none"/>
        </w:rPr>
        <w:fldChar w:fldCharType="begin"/>
      </w:r>
      <w:r>
        <w:rPr>
          <w:color w:val="auto"/>
          <w:highlight w:val="none"/>
        </w:rPr>
        <w:instrText xml:space="preserve"> PAGEREF _Toc20225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_Toc26305 </w:instrText>
      </w:r>
      <w:r>
        <w:rPr>
          <w:rFonts w:hint="eastAsia" w:ascii="宋体" w:hAnsi="宋体" w:eastAsia="宋体" w:cs="宋体"/>
          <w:color w:val="auto"/>
          <w:kern w:val="2"/>
          <w:szCs w:val="21"/>
          <w:highlight w:val="none"/>
        </w:rPr>
        <w:fldChar w:fldCharType="separate"/>
      </w:r>
      <w:r>
        <w:rPr>
          <w:rFonts w:hint="eastAsia" w:ascii="宋体" w:hAnsi="宋体" w:eastAsia="宋体" w:cs="宋体"/>
          <w:bCs/>
          <w:color w:val="auto"/>
          <w:kern w:val="0"/>
          <w:szCs w:val="32"/>
          <w:highlight w:val="none"/>
          <w:lang w:val="en-US" w:eastAsia="zh-CN" w:bidi="ar-SA"/>
        </w:rPr>
        <w:t>第6章  评标方法和标准</w:t>
      </w:r>
      <w:r>
        <w:rPr>
          <w:color w:val="auto"/>
          <w:highlight w:val="none"/>
        </w:rPr>
        <w:tab/>
      </w:r>
      <w:r>
        <w:rPr>
          <w:color w:val="auto"/>
          <w:highlight w:val="none"/>
        </w:rPr>
        <w:fldChar w:fldCharType="begin"/>
      </w:r>
      <w:r>
        <w:rPr>
          <w:color w:val="auto"/>
          <w:highlight w:val="none"/>
        </w:rPr>
        <w:instrText xml:space="preserve"> PAGEREF _Toc26305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_Toc19552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highlight w:val="none"/>
        </w:rPr>
        <w:t>初步评审—资格性审查表</w:t>
      </w:r>
      <w:r>
        <w:rPr>
          <w:color w:val="auto"/>
          <w:highlight w:val="none"/>
        </w:rPr>
        <w:tab/>
      </w:r>
      <w:r>
        <w:rPr>
          <w:color w:val="auto"/>
          <w:highlight w:val="none"/>
        </w:rPr>
        <w:fldChar w:fldCharType="begin"/>
      </w:r>
      <w:r>
        <w:rPr>
          <w:color w:val="auto"/>
          <w:highlight w:val="none"/>
        </w:rPr>
        <w:instrText xml:space="preserve"> PAGEREF _Toc19552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_Toc6970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highlight w:val="none"/>
        </w:rPr>
        <w:t>初步评审—符合性审查表</w:t>
      </w:r>
      <w:r>
        <w:rPr>
          <w:color w:val="auto"/>
          <w:highlight w:val="none"/>
        </w:rPr>
        <w:tab/>
      </w:r>
      <w:r>
        <w:rPr>
          <w:color w:val="auto"/>
          <w:highlight w:val="none"/>
        </w:rPr>
        <w:fldChar w:fldCharType="begin"/>
      </w:r>
      <w:r>
        <w:rPr>
          <w:color w:val="auto"/>
          <w:highlight w:val="none"/>
        </w:rPr>
        <w:instrText xml:space="preserve"> PAGEREF _Toc6970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2"/>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_Toc3259 </w:instrText>
      </w:r>
      <w:r>
        <w:rPr>
          <w:rFonts w:hint="eastAsia" w:ascii="宋体" w:hAnsi="宋体" w:eastAsia="宋体" w:cs="宋体"/>
          <w:color w:val="auto"/>
          <w:kern w:val="2"/>
          <w:szCs w:val="21"/>
          <w:highlight w:val="none"/>
        </w:rPr>
        <w:fldChar w:fldCharType="separate"/>
      </w:r>
      <w:r>
        <w:rPr>
          <w:rFonts w:hint="eastAsia" w:ascii="宋体" w:hAnsi="宋体" w:eastAsia="宋体" w:cs="宋体"/>
          <w:color w:val="auto"/>
          <w:highlight w:val="none"/>
        </w:rPr>
        <w:t>综合评分表</w:t>
      </w:r>
      <w:r>
        <w:rPr>
          <w:color w:val="auto"/>
          <w:highlight w:val="none"/>
        </w:rPr>
        <w:tab/>
      </w:r>
      <w:r>
        <w:rPr>
          <w:color w:val="auto"/>
          <w:highlight w:val="none"/>
        </w:rPr>
        <w:fldChar w:fldCharType="begin"/>
      </w:r>
      <w:r>
        <w:rPr>
          <w:color w:val="auto"/>
          <w:highlight w:val="none"/>
        </w:rPr>
        <w:instrText xml:space="preserve"> PAGEREF _Toc3259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kern w:val="2"/>
          <w:szCs w:val="21"/>
          <w:highlight w:val="none"/>
        </w:rPr>
        <w:fldChar w:fldCharType="end"/>
      </w:r>
    </w:p>
    <w:p>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eastAsia="宋体" w:cs="宋体"/>
          <w:color w:val="auto"/>
          <w:kern w:val="2"/>
          <w:szCs w:val="21"/>
          <w:highlight w:val="none"/>
        </w:rPr>
        <w:fldChar w:fldCharType="begin"/>
      </w:r>
      <w:r>
        <w:rPr>
          <w:rFonts w:hint="eastAsia" w:ascii="宋体" w:hAnsi="宋体" w:eastAsia="宋体" w:cs="宋体"/>
          <w:color w:val="auto"/>
          <w:kern w:val="2"/>
          <w:szCs w:val="21"/>
          <w:highlight w:val="none"/>
        </w:rPr>
        <w:instrText xml:space="preserve"> HYPERLINK \l _Toc18042 </w:instrText>
      </w:r>
      <w:r>
        <w:rPr>
          <w:rFonts w:hint="eastAsia" w:ascii="宋体" w:hAnsi="宋体" w:eastAsia="宋体" w:cs="宋体"/>
          <w:color w:val="auto"/>
          <w:kern w:val="2"/>
          <w:szCs w:val="21"/>
          <w:highlight w:val="none"/>
        </w:rPr>
        <w:fldChar w:fldCharType="separate"/>
      </w:r>
      <w:r>
        <w:rPr>
          <w:rFonts w:hint="eastAsia" w:ascii="宋体" w:hAnsi="宋体" w:eastAsia="宋体" w:cs="宋体"/>
          <w:bCs/>
          <w:color w:val="auto"/>
          <w:kern w:val="0"/>
          <w:szCs w:val="32"/>
          <w:highlight w:val="none"/>
          <w:lang w:val="en-US" w:eastAsia="zh-CN" w:bidi="ar-SA"/>
        </w:rPr>
        <w:t>第7章  政府采购合同</w:t>
      </w:r>
      <w:r>
        <w:rPr>
          <w:color w:val="auto"/>
          <w:highlight w:val="none"/>
        </w:rPr>
        <w:tab/>
      </w:r>
      <w:r>
        <w:rPr>
          <w:color w:val="auto"/>
          <w:highlight w:val="none"/>
        </w:rPr>
        <w:fldChar w:fldCharType="begin"/>
      </w:r>
      <w:r>
        <w:rPr>
          <w:color w:val="auto"/>
          <w:highlight w:val="none"/>
        </w:rPr>
        <w:instrText xml:space="preserve"> PAGEREF _Toc18042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kern w:val="2"/>
          <w:szCs w:val="21"/>
          <w:highlight w:val="none"/>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kern w:val="2"/>
          <w:szCs w:val="21"/>
          <w:highlight w:val="none"/>
        </w:rPr>
        <w:fldChar w:fldCharType="end"/>
      </w:r>
      <w:r>
        <w:rPr>
          <w:rFonts w:hint="eastAsia" w:ascii="宋体" w:hAnsi="宋体" w:eastAsia="宋体" w:cs="宋体"/>
          <w:color w:val="auto"/>
          <w:highlight w:val="none"/>
        </w:rPr>
        <w:br w:type="page"/>
      </w:r>
    </w:p>
    <w:p>
      <w:pPr>
        <w:spacing w:line="240" w:lineRule="atLeast"/>
        <w:jc w:val="center"/>
        <w:rPr>
          <w:rFonts w:hint="eastAsia" w:ascii="宋体" w:hAnsi="宋体" w:eastAsia="宋体" w:cs="宋体"/>
          <w:color w:val="auto"/>
          <w:sz w:val="32"/>
          <w:szCs w:val="32"/>
          <w:highlight w:val="none"/>
        </w:rPr>
      </w:pPr>
    </w:p>
    <w:p>
      <w:pPr>
        <w:spacing w:line="240" w:lineRule="atLeast"/>
        <w:jc w:val="center"/>
        <w:rPr>
          <w:rFonts w:hint="eastAsia" w:ascii="宋体" w:hAnsi="宋体" w:eastAsia="宋体" w:cs="宋体"/>
          <w:color w:val="auto"/>
          <w:sz w:val="32"/>
          <w:szCs w:val="32"/>
          <w:highlight w:val="none"/>
        </w:rPr>
      </w:pPr>
    </w:p>
    <w:p>
      <w:pPr>
        <w:spacing w:line="240" w:lineRule="atLeast"/>
        <w:jc w:val="center"/>
        <w:rPr>
          <w:rFonts w:hint="eastAsia" w:ascii="宋体" w:hAnsi="宋体" w:eastAsia="宋体" w:cs="宋体"/>
          <w:color w:val="auto"/>
          <w:sz w:val="32"/>
          <w:szCs w:val="32"/>
          <w:highlight w:val="none"/>
        </w:rPr>
      </w:pPr>
    </w:p>
    <w:p>
      <w:pPr>
        <w:spacing w:line="240" w:lineRule="atLeast"/>
        <w:jc w:val="center"/>
        <w:rPr>
          <w:rFonts w:hint="eastAsia" w:ascii="宋体" w:hAnsi="宋体" w:eastAsia="宋体" w:cs="宋体"/>
          <w:color w:val="auto"/>
          <w:sz w:val="32"/>
          <w:szCs w:val="32"/>
          <w:highlight w:val="none"/>
        </w:rPr>
      </w:pPr>
    </w:p>
    <w:p>
      <w:pPr>
        <w:spacing w:line="240" w:lineRule="atLeast"/>
        <w:jc w:val="center"/>
        <w:rPr>
          <w:rFonts w:hint="eastAsia" w:ascii="宋体" w:hAnsi="宋体" w:eastAsia="宋体" w:cs="宋体"/>
          <w:color w:val="auto"/>
          <w:sz w:val="32"/>
          <w:szCs w:val="32"/>
          <w:highlight w:val="none"/>
        </w:rPr>
      </w:pPr>
    </w:p>
    <w:p>
      <w:pPr>
        <w:spacing w:line="240" w:lineRule="atLeast"/>
        <w:jc w:val="both"/>
        <w:rPr>
          <w:rFonts w:hint="eastAsia" w:ascii="宋体" w:hAnsi="宋体" w:eastAsia="宋体" w:cs="宋体"/>
          <w:color w:val="auto"/>
          <w:sz w:val="32"/>
          <w:szCs w:val="32"/>
          <w:highlight w:val="none"/>
        </w:rPr>
      </w:pPr>
    </w:p>
    <w:p>
      <w:pPr>
        <w:spacing w:line="240" w:lineRule="atLeast"/>
        <w:jc w:val="center"/>
        <w:rPr>
          <w:rFonts w:hint="eastAsia" w:ascii="宋体" w:hAnsi="宋体" w:eastAsia="宋体" w:cs="宋体"/>
          <w:color w:val="auto"/>
          <w:sz w:val="32"/>
          <w:szCs w:val="32"/>
          <w:highlight w:val="none"/>
        </w:rPr>
      </w:pPr>
    </w:p>
    <w:p>
      <w:pPr>
        <w:spacing w:line="240" w:lineRule="atLeast"/>
        <w:jc w:val="center"/>
        <w:rPr>
          <w:rFonts w:hint="eastAsia" w:ascii="宋体" w:hAnsi="宋体" w:eastAsia="宋体" w:cs="宋体"/>
          <w:color w:val="auto"/>
          <w:sz w:val="32"/>
          <w:szCs w:val="32"/>
          <w:highlight w:val="none"/>
        </w:rPr>
      </w:pPr>
    </w:p>
    <w:p>
      <w:pPr>
        <w:spacing w:line="240" w:lineRule="atLeast"/>
        <w:jc w:val="center"/>
        <w:outlineLvl w:val="9"/>
        <w:rPr>
          <w:rFonts w:hint="eastAsia" w:ascii="宋体" w:hAnsi="宋体" w:eastAsia="宋体" w:cs="宋体"/>
          <w:b/>
          <w:color w:val="auto"/>
          <w:sz w:val="44"/>
          <w:szCs w:val="44"/>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
          <w:color w:val="auto"/>
          <w:sz w:val="44"/>
          <w:szCs w:val="44"/>
          <w:highlight w:val="none"/>
        </w:rPr>
        <w:t>招 标 文 件</w:t>
      </w:r>
    </w:p>
    <w:p>
      <w:pPr>
        <w:spacing w:line="360" w:lineRule="auto"/>
        <w:outlineLvl w:val="9"/>
        <w:rPr>
          <w:rFonts w:hint="eastAsia" w:ascii="宋体" w:hAnsi="宋体" w:eastAsia="宋体" w:cs="宋体"/>
          <w:b/>
          <w:color w:val="auto"/>
          <w:sz w:val="40"/>
          <w:szCs w:val="40"/>
          <w:highlight w:val="none"/>
        </w:rPr>
      </w:pPr>
    </w:p>
    <w:p>
      <w:pPr>
        <w:spacing w:line="240" w:lineRule="atLeast"/>
        <w:jc w:val="center"/>
        <w:outlineLvl w:val="9"/>
        <w:rPr>
          <w:rFonts w:hint="default" w:ascii="宋体" w:hAnsi="宋体" w:cs="宋体"/>
          <w:b/>
          <w:color w:val="0000FF"/>
          <w:sz w:val="32"/>
          <w:szCs w:val="32"/>
          <w:highlight w:val="yellow"/>
          <w:lang w:val="en-US" w:eastAsia="zh-CN"/>
        </w:rPr>
      </w:pPr>
      <w:r>
        <w:rPr>
          <w:rFonts w:hint="eastAsia" w:ascii="宋体" w:hAnsi="宋体" w:eastAsia="宋体" w:cs="宋体"/>
          <w:b/>
          <w:color w:val="auto"/>
          <w:sz w:val="32"/>
          <w:szCs w:val="32"/>
          <w:highlight w:val="none"/>
        </w:rPr>
        <w:t>项目编号：</w:t>
      </w:r>
      <w:r>
        <w:rPr>
          <w:rFonts w:hint="eastAsia" w:ascii="宋体" w:hAnsi="宋体" w:cs="宋体"/>
          <w:b/>
          <w:color w:val="000000" w:themeColor="text1"/>
          <w:sz w:val="32"/>
          <w:szCs w:val="32"/>
          <w:highlight w:val="none"/>
          <w:lang w:eastAsia="zh-CN"/>
          <w14:textFill>
            <w14:solidFill>
              <w14:schemeClr w14:val="tx1"/>
            </w14:solidFill>
          </w14:textFill>
        </w:rPr>
        <w:t>ZPDL(2024)</w:t>
      </w:r>
      <w:r>
        <w:rPr>
          <w:rFonts w:hint="eastAsia" w:ascii="宋体" w:hAnsi="宋体" w:cs="宋体"/>
          <w:b/>
          <w:color w:val="000000" w:themeColor="text1"/>
          <w:sz w:val="32"/>
          <w:szCs w:val="32"/>
          <w:highlight w:val="none"/>
          <w:lang w:val="en-US" w:eastAsia="zh-CN"/>
          <w14:textFill>
            <w14:solidFill>
              <w14:schemeClr w14:val="tx1"/>
            </w14:solidFill>
          </w14:textFill>
        </w:rPr>
        <w:t>037</w:t>
      </w:r>
    </w:p>
    <w:p>
      <w:pPr>
        <w:pStyle w:val="5"/>
        <w:rPr>
          <w:rFonts w:hint="eastAsia"/>
        </w:rPr>
      </w:pPr>
    </w:p>
    <w:p>
      <w:pPr>
        <w:spacing w:line="240" w:lineRule="atLeast"/>
        <w:jc w:val="center"/>
        <w:outlineLvl w:val="9"/>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第 </w:t>
      </w:r>
      <w:r>
        <w:rPr>
          <w:rFonts w:hint="eastAsia" w:ascii="宋体" w:hAnsi="宋体" w:eastAsia="宋体" w:cs="宋体"/>
          <w:b/>
          <w:color w:val="auto"/>
          <w:sz w:val="44"/>
          <w:szCs w:val="44"/>
          <w:highlight w:val="none"/>
          <w:lang w:val="en-US" w:eastAsia="zh-CN"/>
        </w:rPr>
        <w:t>一</w:t>
      </w:r>
      <w:r>
        <w:rPr>
          <w:rFonts w:hint="eastAsia" w:ascii="宋体" w:hAnsi="宋体" w:eastAsia="宋体" w:cs="宋体"/>
          <w:b/>
          <w:color w:val="auto"/>
          <w:sz w:val="44"/>
          <w:szCs w:val="44"/>
          <w:highlight w:val="none"/>
        </w:rPr>
        <w:t xml:space="preserve"> 册</w:t>
      </w:r>
    </w:p>
    <w:p>
      <w:pPr>
        <w:outlineLvl w:val="9"/>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rPr>
        <w:br w:type="page"/>
      </w:r>
    </w:p>
    <w:p>
      <w:pPr>
        <w:pStyle w:val="7"/>
        <w:ind w:firstLine="0"/>
        <w:jc w:val="center"/>
        <w:outlineLvl w:val="0"/>
        <w:rPr>
          <w:rFonts w:hint="eastAsia" w:ascii="宋体" w:hAnsi="宋体" w:eastAsia="宋体" w:cs="宋体"/>
          <w:color w:val="auto"/>
          <w:sz w:val="32"/>
          <w:szCs w:val="32"/>
          <w:highlight w:val="none"/>
        </w:rPr>
      </w:pPr>
      <w:bookmarkStart w:id="30" w:name="_Toc12897"/>
      <w:bookmarkStart w:id="31" w:name="_Toc16201"/>
      <w:r>
        <w:rPr>
          <w:rFonts w:hint="eastAsia" w:ascii="宋体" w:hAnsi="宋体" w:eastAsia="宋体" w:cs="宋体"/>
          <w:b/>
          <w:bCs/>
          <w:color w:val="auto"/>
          <w:sz w:val="32"/>
          <w:szCs w:val="32"/>
          <w:highlight w:val="none"/>
        </w:rPr>
        <w:t>第1章</w:t>
      </w:r>
      <w:bookmarkStart w:id="32" w:name="_Toc515647756"/>
      <w:r>
        <w:rPr>
          <w:rFonts w:hint="eastAsia"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21"/>
      <w:bookmarkEnd w:id="22"/>
      <w:bookmarkEnd w:id="23"/>
      <w:bookmarkEnd w:id="24"/>
      <w:bookmarkEnd w:id="30"/>
      <w:bookmarkEnd w:id="31"/>
      <w:bookmarkEnd w:id="32"/>
    </w:p>
    <w:p>
      <w:pPr>
        <w:pStyle w:val="4"/>
        <w:pageBreakBefore w:val="0"/>
        <w:kinsoku/>
        <w:wordWrap/>
        <w:overflowPunct/>
        <w:topLinePunct w:val="0"/>
        <w:bidi w:val="0"/>
        <w:spacing w:before="0" w:line="360" w:lineRule="exact"/>
        <w:ind w:left="1080" w:leftChars="257" w:hanging="540"/>
        <w:rPr>
          <w:rFonts w:hint="eastAsia" w:ascii="宋体" w:hAnsi="宋体" w:eastAsia="宋体" w:cs="宋体"/>
          <w:color w:val="auto"/>
          <w:sz w:val="24"/>
          <w:szCs w:val="24"/>
          <w:highlight w:val="none"/>
        </w:rPr>
      </w:pPr>
      <w:bookmarkStart w:id="33" w:name="_Toc515647757"/>
      <w:bookmarkStart w:id="34" w:name="_Toc216582805"/>
      <w:bookmarkStart w:id="35" w:name="_Toc520356143"/>
      <w:bookmarkStart w:id="36" w:name="_Toc11227"/>
      <w:bookmarkStart w:id="37" w:name="_Toc4604"/>
      <w:bookmarkStart w:id="38" w:name="_Toc29004"/>
      <w:bookmarkStart w:id="39" w:name="_Toc21015"/>
      <w:bookmarkStart w:id="40" w:name="_Toc21215"/>
      <w:r>
        <w:rPr>
          <w:rFonts w:hint="eastAsia" w:ascii="宋体" w:hAnsi="宋体" w:eastAsia="宋体" w:cs="宋体"/>
          <w:color w:val="auto"/>
          <w:sz w:val="24"/>
          <w:szCs w:val="24"/>
          <w:highlight w:val="none"/>
        </w:rPr>
        <w:t xml:space="preserve">一   </w:t>
      </w:r>
      <w:bookmarkEnd w:id="33"/>
      <w:bookmarkEnd w:id="34"/>
      <w:bookmarkEnd w:id="35"/>
      <w:r>
        <w:rPr>
          <w:rFonts w:hint="eastAsia" w:ascii="宋体" w:hAnsi="宋体" w:eastAsia="宋体" w:cs="宋体"/>
          <w:color w:val="auto"/>
          <w:sz w:val="24"/>
          <w:szCs w:val="24"/>
          <w:highlight w:val="none"/>
        </w:rPr>
        <w:t>总 则</w:t>
      </w:r>
      <w:bookmarkEnd w:id="36"/>
      <w:bookmarkEnd w:id="37"/>
      <w:bookmarkEnd w:id="38"/>
      <w:bookmarkEnd w:id="39"/>
      <w:bookmarkEnd w:id="40"/>
    </w:p>
    <w:p>
      <w:pPr>
        <w:pStyle w:val="6"/>
        <w:pageBreakBefore w:val="0"/>
        <w:widowControl w:val="0"/>
        <w:numPr>
          <w:ilvl w:val="0"/>
          <w:numId w:val="5"/>
        </w:numPr>
        <w:kinsoku/>
        <w:wordWrap/>
        <w:overflowPunct/>
        <w:topLinePunct w:val="0"/>
        <w:bidi w:val="0"/>
        <w:spacing w:before="0" w:after="0" w:line="360" w:lineRule="exact"/>
        <w:ind w:left="0" w:leftChars="0"/>
        <w:textAlignment w:val="auto"/>
        <w:outlineLvl w:val="1"/>
        <w:rPr>
          <w:rFonts w:hint="eastAsia" w:ascii="宋体" w:hAnsi="宋体" w:eastAsia="宋体" w:cs="宋体"/>
          <w:b/>
          <w:bCs/>
          <w:color w:val="auto"/>
          <w:sz w:val="24"/>
          <w:szCs w:val="24"/>
          <w:highlight w:val="none"/>
          <w:u w:val="none"/>
        </w:rPr>
      </w:pPr>
      <w:bookmarkStart w:id="41" w:name="_Toc32189"/>
      <w:bookmarkStart w:id="42" w:name="_Toc11808"/>
      <w:bookmarkStart w:id="43" w:name="_Toc12861"/>
      <w:bookmarkStart w:id="44" w:name="_Toc4880"/>
      <w:bookmarkStart w:id="45" w:name="_Toc333"/>
      <w:bookmarkStart w:id="46" w:name="_Toc28967"/>
      <w:bookmarkStart w:id="47" w:name="_Toc23985"/>
      <w:bookmarkStart w:id="48" w:name="_Toc31685"/>
      <w:bookmarkStart w:id="49" w:name="_Toc515647758"/>
      <w:bookmarkStart w:id="50" w:name="_Toc32623"/>
      <w:bookmarkStart w:id="51" w:name="_Toc29554"/>
      <w:bookmarkStart w:id="52" w:name="_Toc520356144"/>
      <w:bookmarkStart w:id="53" w:name="_Toc9452"/>
      <w:bookmarkStart w:id="54" w:name="_Toc32450"/>
      <w:bookmarkStart w:id="55" w:name="_Toc22141"/>
      <w:bookmarkStart w:id="56" w:name="_Toc12038"/>
      <w:bookmarkStart w:id="57" w:name="_Toc5164"/>
      <w:bookmarkStart w:id="58" w:name="_Toc30123"/>
      <w:bookmarkStart w:id="59" w:name="_Toc27367"/>
      <w:bookmarkStart w:id="60" w:name="_Toc32742"/>
      <w:bookmarkStart w:id="61" w:name="_Toc15043"/>
      <w:bookmarkStart w:id="62" w:name="_Toc32697"/>
      <w:bookmarkStart w:id="63" w:name="_Toc18221"/>
      <w:bookmarkStart w:id="64" w:name="_Toc18135"/>
      <w:bookmarkStart w:id="65" w:name="_Toc25783"/>
      <w:bookmarkStart w:id="66" w:name="_Toc8320"/>
      <w:bookmarkStart w:id="67" w:name="_Toc16228"/>
      <w:r>
        <w:rPr>
          <w:rFonts w:hint="eastAsia" w:ascii="宋体" w:hAnsi="宋体" w:eastAsia="宋体" w:cs="宋体"/>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b/>
          <w:bCs/>
          <w:color w:val="auto"/>
          <w:sz w:val="24"/>
          <w:szCs w:val="24"/>
          <w:highlight w:val="none"/>
          <w:u w:val="none"/>
          <w:lang w:eastAsia="zh-CN"/>
        </w:rPr>
        <w:t>供应商</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pageBreakBefore w:val="0"/>
        <w:widowControl w:val="0"/>
        <w:numPr>
          <w:ilvl w:val="0"/>
          <w:numId w:val="0"/>
        </w:numPr>
        <w:tabs>
          <w:tab w:val="left" w:pos="0"/>
        </w:tabs>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采购人：是指依法开展政府采购活动的国家机关、事业单位、团体组织。</w:t>
      </w:r>
    </w:p>
    <w:p>
      <w:pPr>
        <w:pageBreakBefore w:val="0"/>
        <w:widowControl w:val="0"/>
        <w:tabs>
          <w:tab w:val="left" w:pos="0"/>
        </w:tabs>
        <w:kinsoku/>
        <w:wordWrap/>
        <w:overflowPunct/>
        <w:topLinePunct w:val="0"/>
        <w:bidi w:val="0"/>
        <w:spacing w:line="36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本项目的采购人见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pageBreakBefore w:val="0"/>
        <w:widowControl w:val="0"/>
        <w:numPr>
          <w:ilvl w:val="0"/>
          <w:numId w:val="0"/>
        </w:numPr>
        <w:tabs>
          <w:tab w:val="left" w:pos="0"/>
        </w:tabs>
        <w:kinsoku/>
        <w:wordWrap/>
        <w:overflowPunct/>
        <w:topLinePunct w:val="0"/>
        <w:bidi w:val="0"/>
        <w:spacing w:line="360" w:lineRule="exact"/>
        <w:ind w:left="72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采购代理机构：是指在集中采购机构或从事采购代理业务的社会中介机构。本项目的采购代理机构见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pageBreakBefore w:val="0"/>
        <w:widowControl w:val="0"/>
        <w:numPr>
          <w:ilvl w:val="0"/>
          <w:numId w:val="0"/>
        </w:numPr>
        <w:kinsoku/>
        <w:wordWrap/>
        <w:overflowPunct/>
        <w:topLinePunct w:val="0"/>
        <w:bidi w:val="0"/>
        <w:spacing w:line="360" w:lineRule="exact"/>
        <w:ind w:left="96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：是指向采购人提供货物、工程或者服务的法人、非法人组织或者自然人。本项目的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及其投标货物须满足以下条件：</w:t>
      </w:r>
    </w:p>
    <w:p>
      <w:pPr>
        <w:pageBreakBefore w:val="0"/>
        <w:widowControl w:val="0"/>
        <w:kinsoku/>
        <w:wordWrap/>
        <w:overflowPunct/>
        <w:topLinePunct w:val="0"/>
        <w:bidi w:val="0"/>
        <w:spacing w:line="360" w:lineRule="exact"/>
        <w:ind w:left="849" w:leftChars="0" w:hanging="849" w:hangingChars="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在中华人民共和国境内注册，能够独立承担民事责任，有生产或供应能力的本国供应商。</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具备《中华人民共和国政府采购法》第二十二条关于供应商条件的规定，遵守本项目采购人本级和上级财政部门政府采购的有关规定。</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以采购代理机构认可的方式获得了本项目的招标文件。</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符合</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中规定的其他要求。</w:t>
      </w:r>
    </w:p>
    <w:p>
      <w:pPr>
        <w:pageBreakBefore w:val="0"/>
        <w:widowControl w:val="0"/>
        <w:kinsoku/>
        <w:wordWrap/>
        <w:overflowPunct/>
        <w:topLinePunct w:val="0"/>
        <w:bidi w:val="0"/>
        <w:spacing w:line="360" w:lineRule="exact"/>
        <w:ind w:left="840" w:leftChars="0" w:hanging="840" w:hanging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若</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中写明专门面向中小企业采购的，如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为非中小企业，其投标将被认定为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如</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中允许联合体投标，对联合体规定如下：</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两个以上供应商可以组成一个投标联合体，以一个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的身份投标。</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联合体各方均应符合《中华人民共和国政府采购法》第二十二条规定的条件。</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采购人根据采购项目对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的特殊要求，联合体中至少应当有一方符合相关规定。</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联合体各方应签订共同投标协议，明确约定联合体各方承担的工作和相应的责任，并将共同投标协议连同作为投标文件第一部分的内容提交。</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  联合体中有同类资质的供应商按照联合体分工承担相同工作的，按照较低的资质等级确定联合体的资质等级。</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以联合体形式参加政府采购活动的，联合体各方不得再单独参加或者与其他供应商另外组成联合体参加本项目投标，否则相关投标将被认定为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对联合体投标的其他资格要求见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单位负责人为同一人或者存在直接控股、管理关系的不同供应商，其相关投标将被认定为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在投标过程中不得向采购人提供、给予任何有价值的物品，影响其正常决策行为。一经发现，其将被认定为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5"/>
        <w:pageBreakBefore w:val="0"/>
        <w:widowControl w:val="0"/>
        <w:numPr>
          <w:ilvl w:val="0"/>
          <w:numId w:val="5"/>
        </w:numPr>
        <w:kinsoku/>
        <w:wordWrap/>
        <w:overflowPunct/>
        <w:topLinePunct w:val="0"/>
        <w:bidi w:val="0"/>
        <w:spacing w:before="0" w:after="0" w:line="360" w:lineRule="exact"/>
        <w:ind w:left="0" w:leftChars="0"/>
        <w:textAlignment w:val="auto"/>
        <w:outlineLvl w:val="1"/>
        <w:rPr>
          <w:rFonts w:hint="eastAsia" w:ascii="宋体" w:hAnsi="宋体" w:eastAsia="宋体" w:cs="宋体"/>
          <w:b/>
          <w:bCs/>
          <w:color w:val="auto"/>
          <w:sz w:val="24"/>
          <w:szCs w:val="24"/>
          <w:highlight w:val="none"/>
          <w:u w:val="none"/>
        </w:rPr>
      </w:pPr>
      <w:bookmarkStart w:id="68" w:name="_Toc18986"/>
      <w:bookmarkStart w:id="69" w:name="_Toc28511"/>
      <w:bookmarkStart w:id="70" w:name="_Toc5286"/>
      <w:bookmarkStart w:id="71" w:name="_Toc1685"/>
      <w:bookmarkStart w:id="72" w:name="_Toc1973"/>
      <w:bookmarkStart w:id="73" w:name="_Toc30940"/>
      <w:bookmarkStart w:id="74" w:name="_Toc4016"/>
      <w:bookmarkStart w:id="75" w:name="_Toc28008"/>
      <w:bookmarkStart w:id="76" w:name="_Toc4816"/>
      <w:bookmarkStart w:id="77" w:name="_Toc4311"/>
      <w:bookmarkStart w:id="78" w:name="_Toc16369"/>
      <w:bookmarkStart w:id="79" w:name="_Toc1403"/>
      <w:bookmarkStart w:id="80" w:name="_Toc13065"/>
      <w:bookmarkStart w:id="81" w:name="_Toc19970"/>
      <w:bookmarkStart w:id="82" w:name="_Toc1760"/>
      <w:bookmarkStart w:id="83" w:name="_Toc11068"/>
      <w:bookmarkStart w:id="84" w:name="_Toc12139"/>
      <w:bookmarkStart w:id="85" w:name="_Toc7800"/>
      <w:bookmarkStart w:id="86" w:name="_Toc13272"/>
      <w:bookmarkStart w:id="87" w:name="_Toc10189"/>
      <w:bookmarkStart w:id="88" w:name="_Toc15091"/>
      <w:bookmarkStart w:id="89" w:name="_Toc16822"/>
      <w:bookmarkStart w:id="90" w:name="_Toc515647759"/>
      <w:bookmarkStart w:id="91" w:name="_Toc10699"/>
      <w:bookmarkStart w:id="92" w:name="_Toc21286"/>
      <w:bookmarkStart w:id="93" w:name="_Toc27814"/>
      <w:r>
        <w:rPr>
          <w:rFonts w:hint="eastAsia" w:ascii="宋体" w:hAnsi="宋体" w:eastAsia="宋体" w:cs="宋体"/>
          <w:b/>
          <w:bCs/>
          <w:color w:val="auto"/>
          <w:sz w:val="24"/>
          <w:szCs w:val="24"/>
          <w:highlight w:val="none"/>
          <w:u w:val="none"/>
        </w:rPr>
        <w:t>资金来源</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本项目的采购人已获得足以支付本次招标后所签订的合同项下的资金</w:t>
      </w:r>
      <w:r>
        <w:rPr>
          <w:rFonts w:hint="eastAsia" w:ascii="宋体" w:hAnsi="宋体" w:cs="宋体"/>
          <w:color w:val="auto"/>
          <w:sz w:val="24"/>
          <w:szCs w:val="24"/>
          <w:highlight w:val="none"/>
          <w:lang w:eastAsia="zh-CN"/>
        </w:rPr>
        <w:t>。</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项目预算金额和分项或分包最高限价</w:t>
      </w:r>
      <w:r>
        <w:rPr>
          <w:rFonts w:hint="eastAsia" w:ascii="宋体" w:hAnsi="宋体" w:eastAsia="宋体" w:cs="宋体"/>
          <w:color w:val="auto"/>
          <w:sz w:val="24"/>
          <w:szCs w:val="24"/>
          <w:highlight w:val="none"/>
          <w:u w:val="single"/>
        </w:rPr>
        <w:t>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报价超过招标文件规定的预算金额或者分项、分包最高限价的，其投标将被认定为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5"/>
        <w:pageBreakBefore w:val="0"/>
        <w:widowControl w:val="0"/>
        <w:numPr>
          <w:ilvl w:val="0"/>
          <w:numId w:val="5"/>
        </w:numPr>
        <w:kinsoku/>
        <w:wordWrap/>
        <w:overflowPunct/>
        <w:topLinePunct w:val="0"/>
        <w:bidi w:val="0"/>
        <w:spacing w:before="0" w:after="0" w:line="360" w:lineRule="exact"/>
        <w:ind w:left="0" w:leftChars="0"/>
        <w:textAlignment w:val="auto"/>
        <w:outlineLvl w:val="1"/>
        <w:rPr>
          <w:rFonts w:hint="eastAsia" w:ascii="宋体" w:hAnsi="宋体" w:eastAsia="宋体" w:cs="宋体"/>
          <w:b/>
          <w:bCs/>
          <w:color w:val="auto"/>
          <w:sz w:val="24"/>
          <w:szCs w:val="24"/>
          <w:highlight w:val="none"/>
          <w:u w:val="none"/>
        </w:rPr>
      </w:pPr>
      <w:bookmarkStart w:id="94" w:name="_Toc12188"/>
      <w:bookmarkStart w:id="95" w:name="_Toc15936"/>
      <w:bookmarkStart w:id="96" w:name="_Toc27044"/>
      <w:bookmarkStart w:id="97" w:name="_Toc23959"/>
      <w:bookmarkStart w:id="98" w:name="_Toc144"/>
      <w:bookmarkStart w:id="99" w:name="_Toc6415"/>
      <w:bookmarkStart w:id="100" w:name="_Toc22731"/>
      <w:bookmarkStart w:id="101" w:name="_Toc30708"/>
      <w:bookmarkStart w:id="102" w:name="_Toc14612"/>
      <w:bookmarkStart w:id="103" w:name="_Toc15518"/>
      <w:bookmarkStart w:id="104" w:name="_Toc520356145"/>
      <w:bookmarkStart w:id="105" w:name="_Toc903"/>
      <w:bookmarkStart w:id="106" w:name="_Toc29481"/>
      <w:bookmarkStart w:id="107" w:name="_Toc29041"/>
      <w:bookmarkStart w:id="108" w:name="_Toc6389"/>
      <w:bookmarkStart w:id="109" w:name="_Toc32114"/>
      <w:bookmarkStart w:id="110" w:name="_Toc5757"/>
      <w:bookmarkStart w:id="111" w:name="_Toc5207"/>
      <w:bookmarkStart w:id="112" w:name="_Toc27479"/>
      <w:bookmarkStart w:id="113" w:name="_Toc515647760"/>
      <w:bookmarkStart w:id="114" w:name="_Toc20044"/>
      <w:bookmarkStart w:id="115" w:name="_Toc29504"/>
      <w:bookmarkStart w:id="116" w:name="_Toc10963"/>
      <w:bookmarkStart w:id="117" w:name="_Toc20526"/>
      <w:bookmarkStart w:id="118" w:name="_Toc26559"/>
      <w:bookmarkStart w:id="119" w:name="_Toc30650"/>
      <w:bookmarkStart w:id="120" w:name="_Toc20799"/>
      <w:r>
        <w:rPr>
          <w:rFonts w:hint="eastAsia" w:ascii="宋体" w:hAnsi="宋体" w:eastAsia="宋体" w:cs="宋体"/>
          <w:b/>
          <w:bCs/>
          <w:color w:val="auto"/>
          <w:sz w:val="24"/>
          <w:szCs w:val="24"/>
          <w:highlight w:val="none"/>
          <w:u w:val="none"/>
        </w:rPr>
        <w:t>投标费用</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不论投标的结果如何，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应承担所有与准备和参加投标有关的费用。</w:t>
      </w:r>
    </w:p>
    <w:p>
      <w:pPr>
        <w:pStyle w:val="5"/>
        <w:pageBreakBefore w:val="0"/>
        <w:widowControl w:val="0"/>
        <w:numPr>
          <w:ilvl w:val="0"/>
          <w:numId w:val="5"/>
        </w:numPr>
        <w:kinsoku/>
        <w:wordWrap/>
        <w:overflowPunct/>
        <w:topLinePunct w:val="0"/>
        <w:bidi w:val="0"/>
        <w:spacing w:before="0" w:after="0" w:line="360" w:lineRule="exact"/>
        <w:ind w:left="0" w:leftChars="0"/>
        <w:textAlignment w:val="auto"/>
        <w:outlineLvl w:val="1"/>
        <w:rPr>
          <w:rFonts w:hint="eastAsia" w:ascii="宋体" w:hAnsi="宋体" w:eastAsia="宋体" w:cs="宋体"/>
          <w:b/>
          <w:bCs/>
          <w:color w:val="auto"/>
          <w:sz w:val="24"/>
          <w:szCs w:val="24"/>
          <w:highlight w:val="none"/>
          <w:u w:val="none"/>
        </w:rPr>
      </w:pPr>
      <w:bookmarkStart w:id="121" w:name="_Toc1198"/>
      <w:bookmarkStart w:id="122" w:name="_Toc4463"/>
      <w:bookmarkStart w:id="123" w:name="_Toc6116"/>
      <w:bookmarkStart w:id="124" w:name="_Toc12920"/>
      <w:bookmarkStart w:id="125" w:name="_Toc16751"/>
      <w:bookmarkStart w:id="126" w:name="_Toc5853"/>
      <w:bookmarkStart w:id="127" w:name="_Toc26349"/>
      <w:bookmarkStart w:id="128" w:name="_Toc2839"/>
      <w:bookmarkStart w:id="129" w:name="_Toc27739"/>
      <w:bookmarkStart w:id="130" w:name="_Toc29011"/>
      <w:bookmarkStart w:id="131" w:name="_Toc32103"/>
      <w:bookmarkStart w:id="132" w:name="_Toc24881"/>
      <w:bookmarkStart w:id="133" w:name="_Toc16328"/>
      <w:bookmarkStart w:id="134" w:name="_Toc515647761"/>
      <w:bookmarkStart w:id="135" w:name="_Toc15600"/>
      <w:bookmarkStart w:id="136" w:name="_Toc11505"/>
      <w:bookmarkStart w:id="137" w:name="_Toc21641"/>
      <w:bookmarkStart w:id="138" w:name="_Toc10109"/>
      <w:bookmarkStart w:id="139" w:name="_Toc11355"/>
      <w:bookmarkStart w:id="140" w:name="_Toc7511"/>
      <w:bookmarkStart w:id="141" w:name="_Toc25242"/>
      <w:bookmarkStart w:id="142" w:name="_Toc27687"/>
      <w:bookmarkStart w:id="143" w:name="_Toc2389"/>
      <w:bookmarkStart w:id="144" w:name="_Toc17308"/>
      <w:bookmarkStart w:id="145" w:name="_Toc13524"/>
      <w:bookmarkStart w:id="146" w:name="_Toc6759"/>
      <w:r>
        <w:rPr>
          <w:rFonts w:hint="eastAsia" w:ascii="宋体" w:hAnsi="宋体" w:eastAsia="宋体" w:cs="宋体"/>
          <w:b/>
          <w:bCs/>
          <w:color w:val="auto"/>
          <w:sz w:val="24"/>
          <w:szCs w:val="24"/>
          <w:highlight w:val="none"/>
          <w:u w:val="none"/>
        </w:rPr>
        <w:t>适用法律</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本项目采购人、采购代理机构、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、评标委员会的相关行为均受《中华人民共和国政府采购法》、《中华人民共和国政府采购法实施条例》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中华人民共和国财政部令第87号--政府采购货物和货物招标投标管理办法</w:t>
      </w:r>
      <w:r>
        <w:rPr>
          <w:rFonts w:hint="eastAsia" w:ascii="宋体" w:hAnsi="宋体" w:eastAsia="宋体" w:cs="宋体"/>
          <w:color w:val="auto"/>
          <w:sz w:val="24"/>
          <w:szCs w:val="24"/>
          <w:highlight w:val="none"/>
        </w:rPr>
        <w:t>》及本项目本级和上级财政部门政府采购有关规定的约束，其权利受到上述法律法规的保护。</w:t>
      </w:r>
    </w:p>
    <w:p>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p>
    <w:p>
      <w:pPr>
        <w:pStyle w:val="4"/>
        <w:pageBreakBefore w:val="0"/>
        <w:widowControl w:val="0"/>
        <w:kinsoku/>
        <w:wordWrap/>
        <w:overflowPunct/>
        <w:topLinePunct w:val="0"/>
        <w:bidi w:val="0"/>
        <w:spacing w:before="0" w:line="360" w:lineRule="exact"/>
        <w:ind w:left="0" w:leftChars="0"/>
        <w:textAlignment w:val="auto"/>
        <w:outlineLvl w:val="1"/>
        <w:rPr>
          <w:rFonts w:hint="eastAsia" w:ascii="宋体" w:hAnsi="宋体" w:eastAsia="宋体" w:cs="宋体"/>
          <w:color w:val="auto"/>
          <w:sz w:val="24"/>
          <w:szCs w:val="24"/>
          <w:highlight w:val="none"/>
        </w:rPr>
      </w:pPr>
      <w:bookmarkStart w:id="147" w:name="_Toc4365"/>
      <w:bookmarkStart w:id="148" w:name="_Toc520356146"/>
      <w:bookmarkStart w:id="149" w:name="_Toc13790"/>
      <w:bookmarkStart w:id="150" w:name="_Toc216582806"/>
      <w:bookmarkStart w:id="151" w:name="_Toc6385"/>
      <w:bookmarkStart w:id="152" w:name="_Toc21566"/>
      <w:bookmarkStart w:id="153" w:name="_Toc22711"/>
      <w:bookmarkStart w:id="154" w:name="_Toc515647762"/>
      <w:r>
        <w:rPr>
          <w:rFonts w:hint="eastAsia" w:ascii="宋体" w:hAnsi="宋体" w:eastAsia="宋体" w:cs="宋体"/>
          <w:color w:val="auto"/>
          <w:sz w:val="24"/>
          <w:szCs w:val="24"/>
          <w:highlight w:val="none"/>
        </w:rPr>
        <w:t>二   招标文件</w:t>
      </w:r>
      <w:bookmarkEnd w:id="147"/>
      <w:bookmarkEnd w:id="148"/>
      <w:bookmarkEnd w:id="149"/>
      <w:bookmarkEnd w:id="150"/>
      <w:bookmarkEnd w:id="151"/>
      <w:bookmarkEnd w:id="152"/>
      <w:bookmarkEnd w:id="153"/>
      <w:bookmarkEnd w:id="154"/>
    </w:p>
    <w:p>
      <w:pPr>
        <w:pStyle w:val="5"/>
        <w:pageBreakBefore w:val="0"/>
        <w:widowControl w:val="0"/>
        <w:numPr>
          <w:ilvl w:val="0"/>
          <w:numId w:val="5"/>
        </w:numPr>
        <w:kinsoku/>
        <w:wordWrap/>
        <w:overflowPunct/>
        <w:topLinePunct w:val="0"/>
        <w:bidi w:val="0"/>
        <w:spacing w:before="0" w:after="0" w:line="360" w:lineRule="exact"/>
        <w:ind w:left="0" w:leftChars="0"/>
        <w:textAlignment w:val="auto"/>
        <w:outlineLvl w:val="1"/>
        <w:rPr>
          <w:rFonts w:hint="eastAsia" w:ascii="宋体" w:hAnsi="宋体" w:eastAsia="宋体" w:cs="宋体"/>
          <w:b/>
          <w:bCs/>
          <w:color w:val="auto"/>
          <w:sz w:val="24"/>
          <w:szCs w:val="24"/>
          <w:highlight w:val="none"/>
          <w:u w:val="none"/>
        </w:rPr>
      </w:pPr>
      <w:bookmarkStart w:id="155" w:name="_Toc30280"/>
      <w:bookmarkStart w:id="156" w:name="_Toc17343"/>
      <w:bookmarkStart w:id="157" w:name="_Toc520356147"/>
      <w:bookmarkStart w:id="158" w:name="_Toc18714"/>
      <w:bookmarkStart w:id="159" w:name="_Toc14447"/>
      <w:bookmarkStart w:id="160" w:name="_Toc27186"/>
      <w:bookmarkStart w:id="161" w:name="_Toc21275"/>
      <w:bookmarkStart w:id="162" w:name="_Toc25743"/>
      <w:bookmarkStart w:id="163" w:name="_Toc5479"/>
      <w:bookmarkStart w:id="164" w:name="_Toc7177"/>
      <w:bookmarkStart w:id="165" w:name="_Toc3517"/>
      <w:bookmarkStart w:id="166" w:name="_Toc15203"/>
      <w:bookmarkStart w:id="167" w:name="_Toc27237"/>
      <w:bookmarkStart w:id="168" w:name="_Toc18213"/>
      <w:bookmarkStart w:id="169" w:name="_Toc27288"/>
      <w:bookmarkStart w:id="170" w:name="_Toc515647763"/>
      <w:bookmarkStart w:id="171" w:name="_Toc21734"/>
      <w:bookmarkStart w:id="172" w:name="_Toc14084"/>
      <w:bookmarkStart w:id="173" w:name="_Toc5875"/>
      <w:bookmarkStart w:id="174" w:name="_Toc31526"/>
      <w:bookmarkStart w:id="175" w:name="_Toc29550"/>
      <w:bookmarkStart w:id="176" w:name="_Toc24971"/>
      <w:bookmarkStart w:id="177" w:name="_Toc202"/>
      <w:bookmarkStart w:id="178" w:name="_Toc12831"/>
      <w:bookmarkStart w:id="179" w:name="_Toc2876"/>
      <w:bookmarkStart w:id="180" w:name="_Toc1044"/>
      <w:bookmarkStart w:id="181" w:name="_Toc31428"/>
      <w:r>
        <w:rPr>
          <w:rFonts w:hint="eastAsia" w:ascii="宋体" w:hAnsi="宋体" w:eastAsia="宋体" w:cs="宋体"/>
          <w:b/>
          <w:bCs/>
          <w:color w:val="auto"/>
          <w:sz w:val="24"/>
          <w:szCs w:val="24"/>
          <w:highlight w:val="none"/>
          <w:u w:val="none"/>
        </w:rPr>
        <w:t>招标文件构成</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招标文件分为三册共7章，内容如下：</w:t>
      </w:r>
    </w:p>
    <w:p>
      <w:pPr>
        <w:pageBreakBefore w:val="0"/>
        <w:widowControl w:val="0"/>
        <w:kinsoku/>
        <w:wordWrap/>
        <w:overflowPunct/>
        <w:topLinePunct w:val="0"/>
        <w:bidi w:val="0"/>
        <w:spacing w:line="360" w:lineRule="exact"/>
        <w:ind w:left="0" w:leftChars="0" w:firstLine="60" w:firstLineChars="2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第一册</w:t>
      </w:r>
    </w:p>
    <w:p>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pPr>
        <w:pageBreakBefore w:val="0"/>
        <w:widowControl w:val="0"/>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2投标文件格式</w:t>
      </w:r>
    </w:p>
    <w:p>
      <w:pPr>
        <w:pageBreakBefore w:val="0"/>
        <w:widowControl w:val="0"/>
        <w:kinsoku/>
        <w:wordWrap/>
        <w:overflowPunct/>
        <w:topLinePunct w:val="0"/>
        <w:bidi w:val="0"/>
        <w:spacing w:line="360" w:lineRule="exact"/>
        <w:ind w:left="0" w:leftChars="0" w:firstLine="33" w:firstLineChars="1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第二册</w:t>
      </w:r>
    </w:p>
    <w:p>
      <w:pPr>
        <w:pageBreakBefore w:val="0"/>
        <w:widowControl w:val="0"/>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投标邀请</w:t>
      </w:r>
    </w:p>
    <w:p>
      <w:pPr>
        <w:pageBreakBefore w:val="0"/>
        <w:widowControl w:val="0"/>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须知资料表</w:t>
      </w:r>
    </w:p>
    <w:p>
      <w:pPr>
        <w:pageBreakBefore w:val="0"/>
        <w:widowControl w:val="0"/>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 xml:space="preserve">内容及项目要求 </w:t>
      </w:r>
    </w:p>
    <w:p>
      <w:pPr>
        <w:pageBreakBefore w:val="0"/>
        <w:widowControl w:val="0"/>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评标方法和标准</w:t>
      </w:r>
    </w:p>
    <w:p>
      <w:pPr>
        <w:pageBreakBefore w:val="0"/>
        <w:widowControl w:val="0"/>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第三册</w:t>
      </w:r>
    </w:p>
    <w:p>
      <w:pPr>
        <w:pageBreakBefore w:val="0"/>
        <w:widowControl w:val="0"/>
        <w:kinsoku/>
        <w:wordWrap/>
        <w:overflowPunct/>
        <w:topLinePunct w:val="0"/>
        <w:bidi w:val="0"/>
        <w:spacing w:line="360" w:lineRule="exact"/>
        <w:ind w:left="0" w:leftChars="0"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政府采购合同格式</w:t>
      </w:r>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如本文件的前后内容不一致，以最后描述为准。</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应认真阅读招标文件所有的事项、格式、条款和技术规范等。如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没有按照招标文件要求提交全部资料，或者投标文件没有对招标文件在各方面都做出实质性响应，可能导致其投标将被认定为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5"/>
        <w:pageBreakBefore w:val="0"/>
        <w:widowControl w:val="0"/>
        <w:numPr>
          <w:ilvl w:val="0"/>
          <w:numId w:val="5"/>
        </w:numPr>
        <w:kinsoku/>
        <w:wordWrap/>
        <w:overflowPunct/>
        <w:topLinePunct w:val="0"/>
        <w:bidi w:val="0"/>
        <w:spacing w:before="0" w:after="0" w:line="360" w:lineRule="exact"/>
        <w:ind w:left="0" w:leftChars="0"/>
        <w:textAlignment w:val="auto"/>
        <w:outlineLvl w:val="1"/>
        <w:rPr>
          <w:rFonts w:hint="eastAsia" w:ascii="宋体" w:hAnsi="宋体" w:eastAsia="宋体" w:cs="宋体"/>
          <w:b/>
          <w:bCs/>
          <w:color w:val="auto"/>
          <w:sz w:val="24"/>
          <w:szCs w:val="24"/>
          <w:highlight w:val="none"/>
          <w:u w:val="none"/>
        </w:rPr>
      </w:pPr>
      <w:bookmarkStart w:id="182" w:name="_Toc520356148"/>
      <w:bookmarkStart w:id="183" w:name="_Toc515904805"/>
      <w:bookmarkStart w:id="184" w:name="_Toc13020"/>
      <w:bookmarkStart w:id="185" w:name="_Toc20825"/>
      <w:bookmarkStart w:id="186" w:name="_Toc19551"/>
      <w:bookmarkStart w:id="187" w:name="_Toc9232"/>
      <w:bookmarkStart w:id="188" w:name="_Toc21098"/>
      <w:bookmarkStart w:id="189" w:name="_Toc10034"/>
      <w:bookmarkStart w:id="190" w:name="_Toc25866"/>
      <w:bookmarkStart w:id="191" w:name="_Toc7764"/>
      <w:bookmarkStart w:id="192" w:name="_Toc27465"/>
      <w:bookmarkStart w:id="193" w:name="_Toc19275"/>
      <w:bookmarkStart w:id="194" w:name="_Toc10213"/>
      <w:bookmarkStart w:id="195" w:name="_Toc20995"/>
      <w:bookmarkStart w:id="196" w:name="_Toc20604"/>
      <w:bookmarkStart w:id="197" w:name="_Toc4559"/>
      <w:bookmarkStart w:id="198" w:name="_Toc1117"/>
      <w:bookmarkStart w:id="199" w:name="_Toc21165"/>
      <w:bookmarkStart w:id="200" w:name="_Toc12813"/>
      <w:bookmarkStart w:id="201" w:name="_Toc5991"/>
      <w:bookmarkStart w:id="202" w:name="_Toc28731"/>
      <w:bookmarkStart w:id="203" w:name="_Toc20556"/>
      <w:bookmarkStart w:id="204" w:name="_Toc32213"/>
      <w:bookmarkStart w:id="205" w:name="_Toc29804"/>
      <w:bookmarkStart w:id="206" w:name="_Toc26044"/>
      <w:bookmarkStart w:id="207" w:name="_Toc31486"/>
      <w:bookmarkStart w:id="208" w:name="_Toc20202"/>
      <w:r>
        <w:rPr>
          <w:rFonts w:hint="eastAsia" w:ascii="宋体" w:hAnsi="宋体" w:eastAsia="宋体" w:cs="宋体"/>
          <w:b/>
          <w:bCs/>
          <w:color w:val="auto"/>
          <w:sz w:val="24"/>
          <w:szCs w:val="24"/>
          <w:highlight w:val="none"/>
          <w:u w:val="none"/>
        </w:rPr>
        <w:t>招标文件的澄清</w:t>
      </w:r>
      <w:bookmarkEnd w:id="182"/>
      <w:bookmarkEnd w:id="183"/>
      <w:r>
        <w:rPr>
          <w:rFonts w:hint="eastAsia" w:ascii="宋体" w:hAnsi="宋体" w:eastAsia="宋体" w:cs="宋体"/>
          <w:b/>
          <w:bCs/>
          <w:color w:val="auto"/>
          <w:sz w:val="24"/>
          <w:szCs w:val="24"/>
          <w:highlight w:val="none"/>
          <w:u w:val="none"/>
        </w:rPr>
        <w:t>与修改</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7"/>
        <w:pageBreakBefore w:val="0"/>
        <w:widowControl w:val="0"/>
        <w:kinsoku/>
        <w:wordWrap/>
        <w:overflowPunct/>
        <w:topLinePunct w:val="0"/>
        <w:bidi w:val="0"/>
        <w:spacing w:line="360" w:lineRule="exact"/>
        <w:ind w:left="840" w:leftChars="0" w:hanging="840" w:hanging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为了保证对招标文件的澄清和修改满足法律的时限要求，任何要求对招标文件进行澄清的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，均应在投标截止期十五日前，以书面形式将澄清要求通知采购人或采购代理机构。</w:t>
      </w:r>
    </w:p>
    <w:p>
      <w:pPr>
        <w:pStyle w:val="7"/>
        <w:pageBreakBefore w:val="0"/>
        <w:widowControl w:val="0"/>
        <w:kinsoku/>
        <w:wordWrap/>
        <w:overflowPunct/>
        <w:topLinePunct w:val="0"/>
        <w:bidi w:val="0"/>
        <w:spacing w:line="360" w:lineRule="exact"/>
        <w:ind w:left="840" w:leftChars="0" w:hanging="840" w:hangingChars="350"/>
        <w:textAlignment w:val="auto"/>
        <w:rPr>
          <w:rFonts w:hint="eastAsia" w:ascii="宋体" w:hAnsi="宋体" w:eastAsia="宋体" w:cs="宋体"/>
          <w:color w:val="auto"/>
          <w:sz w:val="24"/>
          <w:szCs w:val="24"/>
          <w:highlight w:val="none"/>
        </w:rPr>
      </w:pPr>
      <w:bookmarkStart w:id="209" w:name="_Ref467378678"/>
      <w:bookmarkStart w:id="210" w:name="_Toc515904806"/>
      <w:bookmarkStart w:id="211" w:name="_Toc520356149"/>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采购人可主动地或在解答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提出的澄清问题时对招标文件进行澄清或修改。采购代理机构将以发布澄清（更正）公告的方式，澄清或修改招标文件，澄清或修改内容作为招标文件的组成部分。</w:t>
      </w:r>
    </w:p>
    <w:p>
      <w:pPr>
        <w:pStyle w:val="7"/>
        <w:pageBreakBefore w:val="0"/>
        <w:widowControl w:val="0"/>
        <w:kinsoku/>
        <w:wordWrap/>
        <w:overflowPunct/>
        <w:topLinePunct w:val="0"/>
        <w:bidi w:val="0"/>
        <w:spacing w:line="360" w:lineRule="exact"/>
        <w:ind w:left="840" w:leftChars="0" w:hanging="840" w:hanging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澄清或者修改的内容可能影响投标文件编制的，采购代理机构将以书面形式通知所有购买招标文件的潜在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，并对其具有约束力。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在收到上述通知后，应及时向采购代理机构回函确认。</w:t>
      </w:r>
    </w:p>
    <w:bookmarkEnd w:id="209"/>
    <w:bookmarkEnd w:id="210"/>
    <w:bookmarkEnd w:id="211"/>
    <w:p>
      <w:pPr>
        <w:pStyle w:val="5"/>
        <w:pageBreakBefore w:val="0"/>
        <w:widowControl w:val="0"/>
        <w:numPr>
          <w:ilvl w:val="0"/>
          <w:numId w:val="5"/>
        </w:numPr>
        <w:kinsoku/>
        <w:wordWrap/>
        <w:overflowPunct/>
        <w:topLinePunct w:val="0"/>
        <w:bidi w:val="0"/>
        <w:spacing w:before="0" w:after="0" w:line="360" w:lineRule="exact"/>
        <w:ind w:left="0" w:leftChars="0"/>
        <w:textAlignment w:val="auto"/>
        <w:outlineLvl w:val="1"/>
        <w:rPr>
          <w:rFonts w:hint="eastAsia" w:ascii="宋体" w:hAnsi="宋体" w:eastAsia="宋体" w:cs="宋体"/>
          <w:b/>
          <w:bCs/>
          <w:color w:val="auto"/>
          <w:sz w:val="24"/>
          <w:szCs w:val="24"/>
          <w:highlight w:val="none"/>
          <w:u w:val="none"/>
        </w:rPr>
      </w:pPr>
      <w:bookmarkStart w:id="212" w:name="_Toc5103"/>
      <w:bookmarkStart w:id="213" w:name="_Toc25635"/>
      <w:bookmarkStart w:id="214" w:name="_Toc25578"/>
      <w:bookmarkStart w:id="215" w:name="_Toc22107"/>
      <w:bookmarkStart w:id="216" w:name="_Toc21187"/>
      <w:bookmarkStart w:id="217" w:name="_Toc28126"/>
      <w:bookmarkStart w:id="218" w:name="_Toc7919"/>
      <w:bookmarkStart w:id="219" w:name="_Toc1073"/>
      <w:bookmarkStart w:id="220" w:name="_Toc24028"/>
      <w:bookmarkStart w:id="221" w:name="_Toc9080"/>
      <w:bookmarkStart w:id="222" w:name="_Toc6199"/>
      <w:bookmarkStart w:id="223" w:name="_Toc6936"/>
      <w:bookmarkStart w:id="224" w:name="_Toc978"/>
      <w:bookmarkStart w:id="225" w:name="_Toc72"/>
      <w:bookmarkStart w:id="226" w:name="_Toc18300"/>
      <w:bookmarkStart w:id="227" w:name="_Toc32529"/>
      <w:bookmarkStart w:id="228" w:name="_Toc32714"/>
      <w:bookmarkStart w:id="229" w:name="_Toc11082"/>
      <w:bookmarkStart w:id="230" w:name="_Toc7468"/>
      <w:bookmarkStart w:id="231" w:name="_Toc14569"/>
      <w:bookmarkStart w:id="232" w:name="_Toc30435"/>
      <w:bookmarkStart w:id="233" w:name="_Toc10823"/>
      <w:bookmarkStart w:id="234" w:name="_Toc517"/>
      <w:bookmarkStart w:id="235" w:name="_Toc27811"/>
      <w:bookmarkStart w:id="236" w:name="_Toc14901"/>
      <w:r>
        <w:rPr>
          <w:rFonts w:hint="eastAsia" w:ascii="宋体" w:hAnsi="宋体" w:eastAsia="宋体" w:cs="宋体"/>
          <w:b/>
          <w:bCs/>
          <w:color w:val="auto"/>
          <w:sz w:val="24"/>
          <w:szCs w:val="24"/>
          <w:highlight w:val="none"/>
          <w:u w:val="none"/>
        </w:rPr>
        <w:t>投标截止时间的顺延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为使</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准备投标时有足够的时间对招标文件的澄清或者修改部分进行研究，采购人将依法决定是否顺延投标截止时间。</w:t>
      </w:r>
      <w:bookmarkStart w:id="237" w:name="_Toc516367020"/>
      <w:bookmarkStart w:id="238" w:name="_Toc7636"/>
      <w:bookmarkStart w:id="239" w:name="_Toc216582807"/>
      <w:bookmarkStart w:id="240" w:name="_Toc520356150"/>
      <w:bookmarkStart w:id="241" w:name="_Toc515647766"/>
      <w:bookmarkStart w:id="242" w:name="_Toc30808"/>
    </w:p>
    <w:p>
      <w:pPr>
        <w:pageBreakBefore w:val="0"/>
        <w:widowControl w:val="0"/>
        <w:tabs>
          <w:tab w:val="left" w:pos="900"/>
        </w:tabs>
        <w:kinsoku/>
        <w:wordWrap/>
        <w:overflowPunct/>
        <w:topLinePunct w:val="0"/>
        <w:bidi w:val="0"/>
        <w:spacing w:line="360" w:lineRule="exact"/>
        <w:ind w:left="0" w:leftChars="0" w:hanging="540"/>
        <w:textAlignment w:val="auto"/>
        <w:rPr>
          <w:rFonts w:hint="eastAsia" w:ascii="宋体" w:hAnsi="宋体" w:eastAsia="宋体" w:cs="宋体"/>
          <w:color w:val="auto"/>
          <w:sz w:val="24"/>
          <w:szCs w:val="24"/>
          <w:highlight w:val="none"/>
        </w:rPr>
      </w:pPr>
    </w:p>
    <w:p>
      <w:pPr>
        <w:pStyle w:val="4"/>
        <w:pageBreakBefore w:val="0"/>
        <w:widowControl w:val="0"/>
        <w:tabs>
          <w:tab w:val="left" w:pos="900"/>
        </w:tabs>
        <w:kinsoku/>
        <w:wordWrap/>
        <w:overflowPunct/>
        <w:topLinePunct w:val="0"/>
        <w:bidi w:val="0"/>
        <w:spacing w:before="0" w:line="360" w:lineRule="exact"/>
        <w:ind w:left="0" w:leftChars="0" w:hanging="540"/>
        <w:textAlignment w:val="auto"/>
        <w:outlineLvl w:val="1"/>
        <w:rPr>
          <w:rFonts w:hint="eastAsia" w:ascii="宋体" w:hAnsi="宋体" w:eastAsia="宋体" w:cs="宋体"/>
          <w:color w:val="auto"/>
          <w:sz w:val="24"/>
          <w:szCs w:val="24"/>
          <w:highlight w:val="none"/>
        </w:rPr>
      </w:pPr>
      <w:bookmarkStart w:id="243" w:name="_Toc29522"/>
      <w:bookmarkStart w:id="244" w:name="_Toc3736"/>
      <w:bookmarkStart w:id="245" w:name="_Toc26987"/>
      <w:r>
        <w:rPr>
          <w:rFonts w:hint="eastAsia" w:ascii="宋体" w:hAnsi="宋体" w:eastAsia="宋体" w:cs="宋体"/>
          <w:color w:val="auto"/>
          <w:sz w:val="24"/>
          <w:szCs w:val="24"/>
          <w:highlight w:val="none"/>
        </w:rPr>
        <w:t>三   投标文件</w:t>
      </w:r>
      <w:bookmarkEnd w:id="237"/>
      <w:r>
        <w:rPr>
          <w:rFonts w:hint="eastAsia" w:ascii="宋体" w:hAnsi="宋体" w:eastAsia="宋体" w:cs="宋体"/>
          <w:color w:val="auto"/>
          <w:sz w:val="24"/>
          <w:szCs w:val="24"/>
          <w:highlight w:val="none"/>
        </w:rPr>
        <w:t>的编制</w:t>
      </w:r>
      <w:bookmarkEnd w:id="238"/>
      <w:bookmarkEnd w:id="239"/>
      <w:bookmarkEnd w:id="240"/>
      <w:bookmarkEnd w:id="241"/>
      <w:bookmarkEnd w:id="242"/>
      <w:bookmarkEnd w:id="243"/>
      <w:bookmarkEnd w:id="244"/>
      <w:bookmarkEnd w:id="245"/>
    </w:p>
    <w:p>
      <w:pPr>
        <w:pStyle w:val="7"/>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p>
    <w:p>
      <w:pPr>
        <w:pStyle w:val="5"/>
        <w:pageBreakBefore w:val="0"/>
        <w:widowControl w:val="0"/>
        <w:numPr>
          <w:ilvl w:val="0"/>
          <w:numId w:val="5"/>
        </w:numPr>
        <w:kinsoku/>
        <w:wordWrap/>
        <w:overflowPunct/>
        <w:topLinePunct w:val="0"/>
        <w:bidi w:val="0"/>
        <w:spacing w:before="0" w:after="0" w:line="360" w:lineRule="exact"/>
        <w:ind w:left="0" w:leftChars="0"/>
        <w:textAlignment w:val="auto"/>
        <w:outlineLvl w:val="1"/>
        <w:rPr>
          <w:rFonts w:hint="eastAsia" w:ascii="宋体" w:hAnsi="宋体" w:eastAsia="宋体" w:cs="宋体"/>
          <w:b/>
          <w:bCs/>
          <w:color w:val="auto"/>
          <w:sz w:val="24"/>
          <w:szCs w:val="24"/>
          <w:highlight w:val="none"/>
          <w:u w:val="none"/>
        </w:rPr>
      </w:pPr>
      <w:bookmarkStart w:id="246" w:name="_Toc32487"/>
      <w:bookmarkStart w:id="247" w:name="_Toc13375"/>
      <w:bookmarkStart w:id="248" w:name="_Toc515647767"/>
      <w:bookmarkStart w:id="249" w:name="_Toc2129"/>
      <w:bookmarkStart w:id="250" w:name="_Toc2420"/>
      <w:bookmarkStart w:id="251" w:name="_Toc520356151"/>
      <w:bookmarkStart w:id="252" w:name="_Toc30652"/>
      <w:bookmarkStart w:id="253" w:name="_Toc9725"/>
      <w:bookmarkStart w:id="254" w:name="_Toc516367021"/>
      <w:bookmarkStart w:id="255" w:name="_Toc18295"/>
      <w:bookmarkStart w:id="256" w:name="_Toc10118"/>
      <w:bookmarkStart w:id="257" w:name="_Toc15642"/>
      <w:bookmarkStart w:id="258" w:name="_Toc10810"/>
      <w:bookmarkStart w:id="259" w:name="_Toc7120"/>
      <w:bookmarkStart w:id="260" w:name="_Toc14739"/>
      <w:bookmarkStart w:id="261" w:name="_Toc14086"/>
      <w:bookmarkStart w:id="262" w:name="_Toc1632"/>
      <w:bookmarkStart w:id="263" w:name="_Toc10748"/>
      <w:bookmarkStart w:id="264" w:name="_Toc14466"/>
      <w:bookmarkStart w:id="265" w:name="_Toc7786"/>
      <w:bookmarkStart w:id="266" w:name="_Toc16526"/>
      <w:bookmarkStart w:id="267" w:name="_Toc28980"/>
      <w:bookmarkStart w:id="268" w:name="_Toc20486"/>
      <w:bookmarkStart w:id="269" w:name="_Toc7224"/>
      <w:bookmarkStart w:id="270" w:name="_Toc29965"/>
      <w:bookmarkStart w:id="271" w:name="_Toc5025"/>
      <w:bookmarkStart w:id="272" w:name="_Toc2539"/>
      <w:bookmarkStart w:id="273" w:name="_Toc3553"/>
      <w:r>
        <w:rPr>
          <w:rFonts w:hint="eastAsia" w:ascii="宋体" w:hAnsi="宋体" w:eastAsia="宋体" w:cs="宋体"/>
          <w:b/>
          <w:bCs/>
          <w:color w:val="auto"/>
          <w:sz w:val="24"/>
          <w:szCs w:val="24"/>
          <w:highlight w:val="none"/>
          <w:u w:val="none"/>
        </w:rPr>
        <w:t>投标范围及投标文件中标准和计量单位的使用</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项目有分包的，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可对招标文件其中某一个或几个分包</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进行投标，除非在</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中另有规定。</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应当对所投分包招标文件中“</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内容及项目要求”所列的所有内容进行投标，如仅响应某一包中的部分内容，其该包投标将被认定为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除招标文件中有特殊要求外，投标文件中所使用的计量单位，应采用中华人民共和国法定计量单位。</w:t>
      </w:r>
    </w:p>
    <w:p>
      <w:pPr>
        <w:pStyle w:val="5"/>
        <w:pageBreakBefore w:val="0"/>
        <w:widowControl w:val="0"/>
        <w:numPr>
          <w:ilvl w:val="0"/>
          <w:numId w:val="5"/>
        </w:numPr>
        <w:kinsoku/>
        <w:wordWrap/>
        <w:overflowPunct/>
        <w:topLinePunct w:val="0"/>
        <w:bidi w:val="0"/>
        <w:spacing w:before="0" w:after="0" w:line="360" w:lineRule="exact"/>
        <w:ind w:left="0" w:leftChars="0"/>
        <w:textAlignment w:val="auto"/>
        <w:outlineLvl w:val="1"/>
        <w:rPr>
          <w:rFonts w:hint="eastAsia" w:ascii="宋体" w:hAnsi="宋体" w:eastAsia="宋体" w:cs="宋体"/>
          <w:b/>
          <w:bCs/>
          <w:color w:val="auto"/>
          <w:sz w:val="24"/>
          <w:szCs w:val="24"/>
          <w:highlight w:val="none"/>
          <w:u w:val="none"/>
        </w:rPr>
      </w:pPr>
      <w:bookmarkStart w:id="274" w:name="_Ref467306195"/>
      <w:bookmarkStart w:id="275" w:name="_Ref467306676"/>
      <w:bookmarkStart w:id="276" w:name="_Toc516367022"/>
      <w:bookmarkStart w:id="277" w:name="_Toc20101"/>
      <w:bookmarkStart w:id="278" w:name="_Toc22037"/>
      <w:bookmarkStart w:id="279" w:name="_Toc28307"/>
      <w:bookmarkStart w:id="280" w:name="_Toc258"/>
      <w:bookmarkStart w:id="281" w:name="_Toc22897"/>
      <w:bookmarkStart w:id="282" w:name="_Toc24338"/>
      <w:bookmarkStart w:id="283" w:name="_Toc23658"/>
      <w:bookmarkStart w:id="284" w:name="_Toc15740"/>
      <w:bookmarkStart w:id="285" w:name="_Toc22958"/>
      <w:bookmarkStart w:id="286" w:name="_Toc22417"/>
      <w:bookmarkStart w:id="287" w:name="_Toc13425"/>
      <w:bookmarkStart w:id="288" w:name="_Toc10992"/>
      <w:bookmarkStart w:id="289" w:name="_Toc515647768"/>
      <w:bookmarkStart w:id="290" w:name="_Toc16016"/>
      <w:bookmarkStart w:id="291" w:name="_Toc6152"/>
      <w:bookmarkStart w:id="292" w:name="_Toc11888"/>
      <w:bookmarkStart w:id="293" w:name="_Toc12343"/>
      <w:bookmarkStart w:id="294" w:name="_Toc3144"/>
      <w:bookmarkStart w:id="295" w:name="_Toc29634"/>
      <w:bookmarkStart w:id="296" w:name="_Toc23291"/>
      <w:bookmarkStart w:id="297" w:name="_Toc10364"/>
      <w:bookmarkStart w:id="298" w:name="_Toc12220"/>
      <w:bookmarkStart w:id="299" w:name="_Toc9418"/>
      <w:bookmarkStart w:id="300" w:name="_Toc3591"/>
      <w:bookmarkStart w:id="301" w:name="_Toc520356152"/>
      <w:bookmarkStart w:id="302" w:name="_Toc18673"/>
      <w:bookmarkStart w:id="303" w:name="_Toc25596"/>
      <w:r>
        <w:rPr>
          <w:rFonts w:hint="eastAsia" w:ascii="宋体" w:hAnsi="宋体" w:eastAsia="宋体" w:cs="宋体"/>
          <w:b/>
          <w:bCs/>
          <w:color w:val="auto"/>
          <w:sz w:val="24"/>
          <w:szCs w:val="24"/>
          <w:highlight w:val="none"/>
          <w:u w:val="none"/>
        </w:rPr>
        <w:t>投标文件</w:t>
      </w:r>
      <w:bookmarkEnd w:id="274"/>
      <w:bookmarkEnd w:id="275"/>
      <w:bookmarkEnd w:id="276"/>
      <w:r>
        <w:rPr>
          <w:rFonts w:hint="eastAsia" w:ascii="宋体" w:hAnsi="宋体" w:eastAsia="宋体" w:cs="宋体"/>
          <w:b/>
          <w:bCs/>
          <w:color w:val="auto"/>
          <w:sz w:val="24"/>
          <w:szCs w:val="24"/>
          <w:highlight w:val="none"/>
          <w:u w:val="none"/>
        </w:rPr>
        <w:t>构成</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pageBreakBefore w:val="0"/>
        <w:widowControl w:val="0"/>
        <w:tabs>
          <w:tab w:val="left" w:pos="900"/>
          <w:tab w:val="left" w:pos="5580"/>
        </w:tabs>
        <w:kinsoku/>
        <w:wordWrap/>
        <w:overflowPunct/>
        <w:topLinePunct w:val="0"/>
        <w:bidi w:val="0"/>
        <w:spacing w:line="360" w:lineRule="exact"/>
        <w:ind w:left="960" w:leftChars="0" w:hanging="960" w:hangingChars="400"/>
        <w:jc w:val="left"/>
        <w:textAlignment w:val="auto"/>
        <w:rPr>
          <w:rFonts w:hint="eastAsia" w:ascii="宋体" w:hAnsi="宋体" w:eastAsia="宋体" w:cs="宋体"/>
          <w:color w:val="auto"/>
          <w:sz w:val="24"/>
          <w:szCs w:val="24"/>
          <w:highlight w:val="none"/>
          <w:u w:val="single"/>
        </w:rPr>
      </w:pPr>
      <w:bookmarkStart w:id="304" w:name="_Ref467052588"/>
      <w:r>
        <w:rPr>
          <w:rFonts w:hint="eastAsia" w:ascii="宋体" w:hAnsi="宋体" w:eastAsia="宋体" w:cs="宋体"/>
          <w:color w:val="auto"/>
          <w:sz w:val="24"/>
          <w:szCs w:val="24"/>
          <w:highlight w:val="none"/>
        </w:rPr>
        <w:t xml:space="preserve">9.1    </w:t>
      </w:r>
      <w:r>
        <w:rPr>
          <w:rFonts w:hint="eastAsia" w:ascii="宋体" w:hAnsi="宋体" w:eastAsia="宋体" w:cs="宋体"/>
          <w:b/>
          <w:bCs/>
          <w:color w:val="auto"/>
          <w:sz w:val="24"/>
          <w:highlight w:val="none"/>
          <w:u w:val="single"/>
          <w:lang w:eastAsia="zh-CN"/>
        </w:rPr>
        <w:t>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上述文件应按照招标文件规定的格式填写、签署和盖章。</w:t>
      </w:r>
      <w:bookmarkEnd w:id="304"/>
    </w:p>
    <w:p>
      <w:pPr>
        <w:pStyle w:val="5"/>
        <w:pageBreakBefore w:val="0"/>
        <w:widowControl w:val="0"/>
        <w:numPr>
          <w:ilvl w:val="0"/>
          <w:numId w:val="5"/>
        </w:numPr>
        <w:kinsoku/>
        <w:wordWrap/>
        <w:overflowPunct/>
        <w:topLinePunct w:val="0"/>
        <w:bidi w:val="0"/>
        <w:spacing w:before="0" w:after="0" w:line="360" w:lineRule="exact"/>
        <w:ind w:left="0" w:leftChars="0"/>
        <w:textAlignment w:val="auto"/>
        <w:outlineLvl w:val="1"/>
        <w:rPr>
          <w:rFonts w:hint="eastAsia" w:ascii="宋体" w:hAnsi="宋体" w:eastAsia="宋体" w:cs="宋体"/>
          <w:b/>
          <w:bCs/>
          <w:color w:val="auto"/>
          <w:sz w:val="24"/>
          <w:szCs w:val="24"/>
          <w:highlight w:val="none"/>
          <w:u w:val="none"/>
          <w:lang w:eastAsia="zh-CN"/>
        </w:rPr>
      </w:pPr>
      <w:bookmarkStart w:id="305" w:name="_Toc30354"/>
      <w:bookmarkStart w:id="306" w:name="_Toc15151"/>
      <w:bookmarkStart w:id="307" w:name="_Toc6978"/>
      <w:bookmarkStart w:id="308" w:name="_Toc12338"/>
      <w:bookmarkStart w:id="309" w:name="_Toc12121"/>
      <w:bookmarkStart w:id="310" w:name="_Toc10379"/>
      <w:bookmarkStart w:id="311" w:name="_Toc516367023"/>
      <w:bookmarkStart w:id="312" w:name="_Toc17150"/>
      <w:bookmarkStart w:id="313" w:name="_Toc2056"/>
      <w:bookmarkStart w:id="314" w:name="_Toc520356153"/>
      <w:bookmarkStart w:id="315" w:name="_Toc515647769"/>
      <w:bookmarkStart w:id="316" w:name="_Toc22195"/>
      <w:bookmarkStart w:id="317" w:name="_Toc17715"/>
      <w:bookmarkStart w:id="318" w:name="_Toc4601"/>
      <w:bookmarkStart w:id="319" w:name="_Toc14035"/>
      <w:bookmarkStart w:id="320" w:name="_Toc10584"/>
      <w:bookmarkStart w:id="321" w:name="_Toc23028"/>
      <w:bookmarkStart w:id="322" w:name="_Toc8150"/>
      <w:bookmarkStart w:id="323" w:name="_Toc10487"/>
      <w:bookmarkStart w:id="324" w:name="_Toc17390"/>
      <w:bookmarkStart w:id="325" w:name="_Toc31364"/>
      <w:bookmarkStart w:id="326" w:name="_Toc1845"/>
      <w:bookmarkStart w:id="327" w:name="_Toc2503"/>
      <w:bookmarkStart w:id="328" w:name="_Toc25894"/>
      <w:bookmarkStart w:id="329" w:name="_Toc1879"/>
      <w:bookmarkStart w:id="330" w:name="_Toc26648"/>
      <w:bookmarkStart w:id="331" w:name="_Toc10531"/>
      <w:bookmarkStart w:id="332" w:name="_Toc18045"/>
      <w:r>
        <w:rPr>
          <w:rFonts w:hint="eastAsia" w:ascii="宋体" w:hAnsi="宋体" w:eastAsia="宋体" w:cs="宋体"/>
          <w:b/>
          <w:bCs/>
          <w:color w:val="auto"/>
          <w:sz w:val="24"/>
          <w:szCs w:val="24"/>
          <w:highlight w:val="none"/>
          <w:u w:val="none"/>
        </w:rPr>
        <w:t>证明投标的的合格性和符合招标文件规定的技术文件</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hint="eastAsia" w:ascii="宋体" w:hAnsi="宋体" w:eastAsia="宋体" w:cs="宋体"/>
          <w:b/>
          <w:bCs/>
          <w:color w:val="auto"/>
          <w:sz w:val="24"/>
          <w:szCs w:val="24"/>
          <w:highlight w:val="none"/>
          <w:u w:val="none"/>
          <w:lang w:eastAsia="zh-CN"/>
        </w:rPr>
        <w:t>。</w:t>
      </w:r>
      <w:bookmarkEnd w:id="321"/>
      <w:bookmarkEnd w:id="322"/>
      <w:bookmarkEnd w:id="323"/>
      <w:bookmarkEnd w:id="324"/>
      <w:bookmarkEnd w:id="325"/>
      <w:bookmarkEnd w:id="326"/>
      <w:bookmarkEnd w:id="327"/>
      <w:bookmarkEnd w:id="328"/>
      <w:bookmarkEnd w:id="329"/>
      <w:bookmarkEnd w:id="330"/>
      <w:bookmarkEnd w:id="331"/>
      <w:bookmarkEnd w:id="332"/>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应提交证明文件，证明其投标内容符合招标文件规定。该证明文件是投标文件的一部分。</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bookmarkStart w:id="333" w:name="_Ref467306244"/>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上款所述的证明文件，可以是文字资料、图纸和数据，</w:t>
      </w:r>
      <w:bookmarkEnd w:id="333"/>
      <w:r>
        <w:rPr>
          <w:rFonts w:hint="eastAsia" w:ascii="宋体" w:hAnsi="宋体" w:eastAsia="宋体" w:cs="宋体"/>
          <w:color w:val="auto"/>
          <w:sz w:val="24"/>
          <w:szCs w:val="24"/>
          <w:highlight w:val="none"/>
        </w:rPr>
        <w:t>它包括：</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主要技术指标的详细说明；</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货物从买方开始使用至</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文件规定的保质期内正常、连续地使用所必须的备件和专用工具清单，包括备件和专用工具的货源及现行价格；</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对照招标文件技术规格，逐条说明所提供</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及伴随的工程和</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已对招标文件的技术规格做出了实质性的响应，或申明与技术规格条文的偏差和例外。</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pPr>
        <w:pStyle w:val="5"/>
        <w:pageBreakBefore w:val="0"/>
        <w:widowControl w:val="0"/>
        <w:numPr>
          <w:ilvl w:val="0"/>
          <w:numId w:val="5"/>
        </w:numPr>
        <w:kinsoku/>
        <w:wordWrap/>
        <w:overflowPunct/>
        <w:topLinePunct w:val="0"/>
        <w:bidi w:val="0"/>
        <w:spacing w:before="0" w:after="0" w:line="360" w:lineRule="exact"/>
        <w:ind w:left="0" w:leftChars="0"/>
        <w:textAlignment w:val="auto"/>
        <w:outlineLvl w:val="1"/>
        <w:rPr>
          <w:rFonts w:hint="eastAsia" w:ascii="宋体" w:hAnsi="宋体" w:eastAsia="宋体" w:cs="宋体"/>
          <w:b/>
          <w:bCs/>
          <w:color w:val="auto"/>
          <w:sz w:val="24"/>
          <w:szCs w:val="24"/>
          <w:highlight w:val="none"/>
          <w:u w:val="none"/>
        </w:rPr>
      </w:pPr>
      <w:bookmarkStart w:id="334" w:name="_Toc25685"/>
      <w:bookmarkStart w:id="335" w:name="_Toc3868"/>
      <w:bookmarkStart w:id="336" w:name="_Toc515647770"/>
      <w:bookmarkStart w:id="337" w:name="_Toc30792"/>
      <w:bookmarkStart w:id="338" w:name="_Toc15670"/>
      <w:bookmarkStart w:id="339" w:name="_Toc24261"/>
      <w:bookmarkStart w:id="340" w:name="_Toc5144"/>
      <w:bookmarkStart w:id="341" w:name="_Toc24468"/>
      <w:bookmarkStart w:id="342" w:name="_Toc7731"/>
      <w:bookmarkStart w:id="343" w:name="_Toc21396"/>
      <w:bookmarkStart w:id="344" w:name="_Toc29220"/>
      <w:bookmarkStart w:id="345" w:name="_Toc23231"/>
      <w:bookmarkStart w:id="346" w:name="_Toc26145"/>
      <w:bookmarkStart w:id="347" w:name="_Toc710"/>
      <w:bookmarkStart w:id="348" w:name="_Toc29204"/>
      <w:bookmarkStart w:id="349" w:name="_Toc520356155"/>
      <w:bookmarkStart w:id="350" w:name="_Toc28480"/>
      <w:bookmarkStart w:id="351" w:name="_Toc30467"/>
      <w:bookmarkStart w:id="352" w:name="_Toc11160"/>
      <w:bookmarkStart w:id="353" w:name="_Toc301"/>
      <w:bookmarkStart w:id="354" w:name="_Toc5930"/>
      <w:bookmarkStart w:id="355" w:name="_Toc2248"/>
      <w:bookmarkStart w:id="356" w:name="_Toc25641"/>
      <w:bookmarkStart w:id="357" w:name="_Toc25118"/>
      <w:bookmarkStart w:id="358" w:name="_Toc15832"/>
      <w:bookmarkStart w:id="359" w:name="_Toc2311"/>
      <w:bookmarkStart w:id="360" w:name="_Toc6035"/>
      <w:r>
        <w:rPr>
          <w:rFonts w:hint="eastAsia" w:ascii="宋体" w:hAnsi="宋体" w:eastAsia="宋体" w:cs="宋体"/>
          <w:b/>
          <w:bCs/>
          <w:color w:val="auto"/>
          <w:sz w:val="24"/>
          <w:szCs w:val="24"/>
          <w:highlight w:val="none"/>
          <w:u w:val="none"/>
        </w:rPr>
        <w:t>投标报价</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所有投标均以人民币报价。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的投标报价应遵守《中华人民共和国价格法》。同时，根据《中华人民共和国政府采购法》第二条的规定，为保证公平竞争，如有</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主体部分的赠与行为，其投标将被认定为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应在投标分项报价表上标明投标相关</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的单价（如适用）和总价，并由法定代表人或其授权代表签署。</w:t>
      </w:r>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投标分项报价表上的价格应按下列方式填写；</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每种</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只能有一个投标报价。采购人不接受具有附加条件的报价。</w:t>
      </w:r>
    </w:p>
    <w:p>
      <w:pPr>
        <w:pStyle w:val="5"/>
        <w:pageBreakBefore w:val="0"/>
        <w:widowControl w:val="0"/>
        <w:numPr>
          <w:ilvl w:val="0"/>
          <w:numId w:val="5"/>
        </w:numPr>
        <w:kinsoku/>
        <w:wordWrap/>
        <w:overflowPunct/>
        <w:topLinePunct w:val="0"/>
        <w:bidi w:val="0"/>
        <w:spacing w:before="0" w:after="0" w:line="360" w:lineRule="exact"/>
        <w:ind w:left="0" w:leftChars="0"/>
        <w:textAlignment w:val="auto"/>
        <w:outlineLvl w:val="1"/>
        <w:rPr>
          <w:rFonts w:hint="eastAsia" w:ascii="宋体" w:hAnsi="宋体" w:eastAsia="宋体" w:cs="宋体"/>
          <w:b/>
          <w:bCs/>
          <w:color w:val="auto"/>
          <w:sz w:val="24"/>
          <w:szCs w:val="24"/>
          <w:highlight w:val="none"/>
          <w:u w:val="none"/>
        </w:rPr>
      </w:pPr>
      <w:bookmarkStart w:id="361" w:name="_Toc1683"/>
      <w:bookmarkStart w:id="362" w:name="_Toc30245"/>
      <w:bookmarkStart w:id="363" w:name="_Toc25003"/>
      <w:bookmarkStart w:id="364" w:name="_Toc26371"/>
      <w:bookmarkStart w:id="365" w:name="_Toc30071"/>
      <w:bookmarkStart w:id="366" w:name="_Toc12354"/>
      <w:bookmarkStart w:id="367" w:name="_Toc10329"/>
      <w:bookmarkStart w:id="368" w:name="_Toc515647771"/>
      <w:bookmarkStart w:id="369" w:name="_Toc5799"/>
      <w:bookmarkStart w:id="370" w:name="_Toc21719"/>
      <w:bookmarkStart w:id="371" w:name="_Toc18556"/>
      <w:bookmarkStart w:id="372" w:name="_Ref467306513"/>
      <w:bookmarkStart w:id="373" w:name="_Toc14189"/>
      <w:bookmarkStart w:id="374" w:name="_Toc3670"/>
      <w:bookmarkStart w:id="375" w:name="_Toc520356156"/>
      <w:bookmarkStart w:id="376" w:name="_Toc21776"/>
      <w:bookmarkStart w:id="377" w:name="_Toc23666"/>
      <w:bookmarkStart w:id="378" w:name="_Toc13010"/>
      <w:bookmarkStart w:id="379" w:name="_Toc15349"/>
      <w:bookmarkStart w:id="380" w:name="_Toc22618"/>
      <w:bookmarkStart w:id="381" w:name="_Toc24283"/>
      <w:bookmarkStart w:id="382" w:name="_Toc2547"/>
      <w:bookmarkStart w:id="383" w:name="_Toc28149"/>
      <w:bookmarkStart w:id="384" w:name="_Toc17788"/>
      <w:bookmarkStart w:id="385" w:name="_Toc5648"/>
      <w:bookmarkStart w:id="386" w:name="_Toc11514"/>
      <w:bookmarkStart w:id="387" w:name="_Toc23784"/>
      <w:bookmarkStart w:id="388" w:name="_Toc28730"/>
      <w:r>
        <w:rPr>
          <w:rFonts w:hint="eastAsia" w:ascii="宋体" w:hAnsi="宋体" w:eastAsia="宋体" w:cs="宋体"/>
          <w:b/>
          <w:bCs/>
          <w:color w:val="auto"/>
          <w:sz w:val="24"/>
          <w:szCs w:val="24"/>
          <w:highlight w:val="none"/>
          <w:u w:val="none"/>
        </w:rPr>
        <w:t>投标保证金</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bookmarkStart w:id="389" w:name="_Ref467306302"/>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中规定的投标保证金</w:t>
      </w:r>
      <w:bookmarkEnd w:id="389"/>
      <w:r>
        <w:rPr>
          <w:rFonts w:hint="eastAsia" w:ascii="宋体" w:hAnsi="宋体" w:eastAsia="宋体" w:cs="宋体"/>
          <w:color w:val="auto"/>
          <w:sz w:val="24"/>
          <w:szCs w:val="24"/>
          <w:highlight w:val="none"/>
        </w:rPr>
        <w:t>，并作为其投标的一部分。</w:t>
      </w:r>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存在下列情形的，投标保证金不予退还：</w:t>
      </w:r>
    </w:p>
    <w:p>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（1）在投标有效期内，撤销投标的；</w:t>
      </w:r>
    </w:p>
    <w:p>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（2）中标后不按本须知第30条的规定与采购人签订合同的；</w:t>
      </w:r>
    </w:p>
    <w:p>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（3）中标后不按本须知第31条的规定提交履约保证金的；</w:t>
      </w:r>
    </w:p>
    <w:p>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（4）中标后不按本须知第32条的规定缴纳中标服务费的；</w:t>
      </w:r>
    </w:p>
    <w:p>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（5）存在其他违法违规行为的。</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bookmarkStart w:id="390" w:name="_Ref467306336"/>
      <w:r>
        <w:rPr>
          <w:rFonts w:hint="eastAsia" w:ascii="宋体" w:hAnsi="宋体" w:eastAsia="宋体" w:cs="宋体"/>
          <w:color w:val="auto"/>
          <w:sz w:val="24"/>
          <w:szCs w:val="24"/>
          <w:highlight w:val="none"/>
        </w:rPr>
        <w:t>12.3</w:t>
      </w:r>
      <w:r>
        <w:rPr>
          <w:rFonts w:hint="eastAsia" w:ascii="宋体" w:hAnsi="宋体" w:eastAsia="宋体" w:cs="宋体"/>
          <w:color w:val="auto"/>
          <w:sz w:val="24"/>
          <w:szCs w:val="24"/>
          <w:highlight w:val="none"/>
        </w:rPr>
        <w:tab/>
      </w:r>
      <w:bookmarkEnd w:id="390"/>
      <w:r>
        <w:rPr>
          <w:rFonts w:hint="eastAsia" w:ascii="宋体" w:hAnsi="宋体" w:eastAsia="宋体" w:cs="宋体"/>
          <w:color w:val="auto"/>
          <w:sz w:val="24"/>
          <w:szCs w:val="24"/>
          <w:highlight w:val="none"/>
        </w:rPr>
        <w:t>政府采购信用担保试点范围内的项目，接受符合财政部门规定的政府采购投标担</w:t>
      </w:r>
      <w:r>
        <w:rPr>
          <w:rFonts w:hint="eastAsia" w:ascii="宋体" w:hAnsi="宋体" w:eastAsia="宋体" w:cs="宋体"/>
          <w:color w:val="auto"/>
          <w:sz w:val="24"/>
          <w:szCs w:val="24"/>
          <w:highlight w:val="none"/>
          <w:lang w:eastAsia="zh-CN"/>
        </w:rPr>
        <w:t>开户行银行保函</w:t>
      </w:r>
      <w:r>
        <w:rPr>
          <w:rFonts w:hint="eastAsia" w:ascii="宋体" w:hAnsi="宋体" w:eastAsia="宋体" w:cs="宋体"/>
          <w:color w:val="auto"/>
          <w:sz w:val="24"/>
          <w:szCs w:val="24"/>
          <w:highlight w:val="none"/>
        </w:rPr>
        <w:t>原件。</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未按本须知第12.1和12.3条规定提交投标保证金的，其投标将被认定为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采用电汇形式的，一般可以实时入账。</w:t>
      </w:r>
    </w:p>
    <w:p>
      <w:pPr>
        <w:pageBreakBefore w:val="0"/>
        <w:widowControl w:val="0"/>
        <w:kinsoku/>
        <w:wordWrap/>
        <w:overflowPunct/>
        <w:topLinePunct w:val="0"/>
        <w:bidi w:val="0"/>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采用支票形式的，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未及时提交支票或支票不符合银行委托收款要求（如污损、折叠、胶装等），导致投标保证金不能按时进入指定账户的，将按照招标文件的第22.2条相关规定处理。</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联合体投标的，可以由联合体中的一方或者共同提交投标保证金。以一方名义提交投标保证金的，对联合体各方均具有约束力。</w:t>
      </w:r>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投标保证金的退还</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12.6.1  中标人应在与采购人签订合同之日起5个工作日内，及时联系保证金收受机构办理投标保证金无息退还手续。</w:t>
      </w:r>
    </w:p>
    <w:p>
      <w:pPr>
        <w:pageBreakBefore w:val="0"/>
        <w:widowControl w:val="0"/>
        <w:kinsoku/>
        <w:wordWrap/>
        <w:overflowPunct/>
        <w:topLinePunct w:val="0"/>
        <w:bidi w:val="0"/>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12.6.2  未中标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的投标保证金将在中标通知书发出之日暨中标结果公告公布之日起5个工作日内无息退还。</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应及时联系保证金收受机构办理退还投标保证金手续。</w:t>
      </w:r>
    </w:p>
    <w:p>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12.6.3  政府采购投标担</w:t>
      </w:r>
      <w:r>
        <w:rPr>
          <w:rFonts w:hint="eastAsia" w:ascii="宋体" w:hAnsi="宋体" w:eastAsia="宋体" w:cs="宋体"/>
          <w:color w:val="auto"/>
          <w:sz w:val="24"/>
          <w:szCs w:val="24"/>
          <w:highlight w:val="none"/>
          <w:lang w:eastAsia="zh-CN"/>
        </w:rPr>
        <w:t>开户行银行保函</w:t>
      </w:r>
      <w:r>
        <w:rPr>
          <w:rFonts w:hint="eastAsia" w:ascii="宋体" w:hAnsi="宋体" w:eastAsia="宋体" w:cs="宋体"/>
          <w:color w:val="auto"/>
          <w:sz w:val="24"/>
          <w:szCs w:val="24"/>
          <w:highlight w:val="none"/>
        </w:rPr>
        <w:t>不予退回。</w:t>
      </w:r>
    </w:p>
    <w:p>
      <w:pPr>
        <w:pageBreakBefore w:val="0"/>
        <w:widowControl w:val="0"/>
        <w:kinsoku/>
        <w:wordWrap/>
        <w:overflowPunct/>
        <w:topLinePunct w:val="0"/>
        <w:bidi w:val="0"/>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    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自身原因导致无法及时退还的，采购人或采购代理机构将不承担相应责任。</w:t>
      </w:r>
    </w:p>
    <w:p>
      <w:pPr>
        <w:pStyle w:val="5"/>
        <w:pageBreakBefore w:val="0"/>
        <w:widowControl w:val="0"/>
        <w:numPr>
          <w:ilvl w:val="0"/>
          <w:numId w:val="5"/>
        </w:numPr>
        <w:kinsoku/>
        <w:wordWrap/>
        <w:overflowPunct/>
        <w:topLinePunct w:val="0"/>
        <w:bidi w:val="0"/>
        <w:spacing w:before="0" w:after="0" w:line="360" w:lineRule="exact"/>
        <w:ind w:left="0" w:leftChars="0"/>
        <w:textAlignment w:val="auto"/>
        <w:outlineLvl w:val="1"/>
        <w:rPr>
          <w:rFonts w:hint="eastAsia" w:ascii="宋体" w:hAnsi="宋体" w:eastAsia="宋体" w:cs="宋体"/>
          <w:b/>
          <w:bCs/>
          <w:color w:val="auto"/>
          <w:sz w:val="24"/>
          <w:szCs w:val="24"/>
          <w:highlight w:val="none"/>
          <w:u w:val="none"/>
        </w:rPr>
      </w:pPr>
      <w:bookmarkStart w:id="391" w:name="_Toc25261"/>
      <w:bookmarkStart w:id="392" w:name="_Toc4526"/>
      <w:bookmarkStart w:id="393" w:name="_Toc30519"/>
      <w:bookmarkStart w:id="394" w:name="_Toc23590"/>
      <w:bookmarkStart w:id="395" w:name="_Toc7349"/>
      <w:bookmarkStart w:id="396" w:name="_Toc11120"/>
      <w:bookmarkStart w:id="397" w:name="_Toc7882"/>
      <w:bookmarkStart w:id="398" w:name="_Toc520356157"/>
      <w:bookmarkStart w:id="399" w:name="_Toc28650"/>
      <w:bookmarkStart w:id="400" w:name="_Toc27999"/>
      <w:bookmarkStart w:id="401" w:name="_Toc12947"/>
      <w:bookmarkStart w:id="402" w:name="_Toc32477"/>
      <w:bookmarkStart w:id="403" w:name="_Toc9333"/>
      <w:bookmarkStart w:id="404" w:name="_Toc1719"/>
      <w:bookmarkStart w:id="405" w:name="_Toc17927"/>
      <w:bookmarkStart w:id="406" w:name="_Toc5678"/>
      <w:bookmarkStart w:id="407" w:name="_Toc515647772"/>
      <w:bookmarkStart w:id="408" w:name="_Toc12620"/>
      <w:bookmarkStart w:id="409" w:name="_Toc19931"/>
      <w:bookmarkStart w:id="410" w:name="_Toc1255"/>
      <w:bookmarkStart w:id="411" w:name="_Toc19152"/>
      <w:bookmarkStart w:id="412" w:name="_Toc23657"/>
      <w:bookmarkStart w:id="413" w:name="_Toc11132"/>
      <w:bookmarkStart w:id="414" w:name="_Toc31306"/>
      <w:bookmarkStart w:id="415" w:name="_Toc32569"/>
      <w:bookmarkStart w:id="416" w:name="_Toc3015"/>
      <w:bookmarkStart w:id="417" w:name="_Toc13507"/>
      <w:r>
        <w:rPr>
          <w:rFonts w:hint="eastAsia" w:ascii="宋体" w:hAnsi="宋体" w:eastAsia="宋体" w:cs="宋体"/>
          <w:b/>
          <w:bCs/>
          <w:color w:val="auto"/>
          <w:sz w:val="24"/>
          <w:szCs w:val="24"/>
          <w:highlight w:val="none"/>
          <w:u w:val="none"/>
        </w:rPr>
        <w:t>投标有效期</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投标应在</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中规定时间内保持有效。投标有效期不满足要求的投标，其投标将被认定为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为保证有充分时间签订合同，采购人或采购代理机构可根据实际情况，在原投标有效期截止之前，要求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延长投标文件的有效期。接受该要求的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将不会被要求和允许修正其投标，且本须知中有关投标保证金的要求须在延长的有效期内继续有效。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可以拒绝延长投标有效期的要求，其投标保证金将及时无息退还。上述要求和答复都应以书面形式提交。</w:t>
      </w:r>
    </w:p>
    <w:p>
      <w:pPr>
        <w:numPr>
          <w:ilvl w:val="0"/>
          <w:numId w:val="0"/>
        </w:numPr>
        <w:shd w:val="clear" w:color="auto" w:fill="auto"/>
        <w:spacing w:line="360" w:lineRule="exact"/>
        <w:outlineLvl w:val="1"/>
        <w:rPr>
          <w:rFonts w:hint="eastAsia" w:ascii="宋体" w:hAnsi="宋体" w:eastAsia="宋体" w:cs="宋体"/>
          <w:b/>
          <w:bCs/>
          <w:color w:val="auto"/>
          <w:sz w:val="24"/>
          <w:szCs w:val="24"/>
          <w:highlight w:val="none"/>
          <w:u w:val="none"/>
        </w:rPr>
      </w:pPr>
      <w:bookmarkStart w:id="418" w:name="_Toc520356158"/>
      <w:bookmarkStart w:id="419" w:name="_Toc11669"/>
      <w:bookmarkStart w:id="420" w:name="_Toc17074"/>
      <w:bookmarkStart w:id="421" w:name="_Toc10391"/>
      <w:bookmarkStart w:id="422" w:name="_Toc493"/>
      <w:bookmarkStart w:id="423" w:name="_Toc1080"/>
      <w:bookmarkStart w:id="424" w:name="_Toc4425"/>
      <w:bookmarkStart w:id="425" w:name="_Toc3558"/>
      <w:bookmarkStart w:id="426" w:name="_Toc18546"/>
      <w:bookmarkStart w:id="427" w:name="_Toc5874"/>
      <w:bookmarkStart w:id="428" w:name="_Toc21504"/>
      <w:bookmarkStart w:id="429" w:name="_Toc29619"/>
      <w:bookmarkStart w:id="430" w:name="_Toc16503"/>
      <w:bookmarkStart w:id="431" w:name="_Toc515647773"/>
      <w:bookmarkStart w:id="432" w:name="_Toc30127"/>
      <w:bookmarkStart w:id="433" w:name="_Toc12276"/>
      <w:bookmarkStart w:id="434" w:name="_Toc31098"/>
      <w:bookmarkStart w:id="435" w:name="_Toc9672"/>
      <w:bookmarkStart w:id="436" w:name="_Toc12203"/>
      <w:bookmarkStart w:id="437" w:name="_Toc24787"/>
      <w:bookmarkStart w:id="438" w:name="_Toc6286"/>
      <w:bookmarkStart w:id="439" w:name="_Toc30562"/>
      <w:bookmarkStart w:id="440" w:name="_Toc3325"/>
      <w:r>
        <w:rPr>
          <w:rFonts w:hint="eastAsia" w:ascii="宋体" w:hAnsi="宋体" w:cs="宋体"/>
          <w:b/>
          <w:bCs/>
          <w:color w:val="auto"/>
          <w:sz w:val="24"/>
          <w:szCs w:val="24"/>
          <w:highlight w:val="none"/>
          <w:u w:val="none"/>
          <w:lang w:val="en-US" w:eastAsia="zh-CN"/>
        </w:rPr>
        <w:t>14.</w:t>
      </w:r>
      <w:r>
        <w:rPr>
          <w:rFonts w:hint="eastAsia" w:ascii="宋体" w:hAnsi="宋体" w:eastAsia="宋体" w:cs="宋体"/>
          <w:b/>
          <w:bCs/>
          <w:color w:val="auto"/>
          <w:sz w:val="24"/>
          <w:szCs w:val="24"/>
          <w:highlight w:val="none"/>
          <w:u w:val="none"/>
        </w:rPr>
        <w:t>投标文件的签署</w:t>
      </w:r>
      <w:bookmarkEnd w:id="418"/>
      <w:r>
        <w:rPr>
          <w:rFonts w:hint="eastAsia" w:ascii="宋体" w:hAnsi="宋体" w:eastAsia="宋体" w:cs="宋体"/>
          <w:b/>
          <w:bCs/>
          <w:color w:val="auto"/>
          <w:sz w:val="24"/>
          <w:szCs w:val="24"/>
          <w:highlight w:val="none"/>
          <w:u w:val="none"/>
        </w:rPr>
        <w:t>及规定</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hint="eastAsia" w:ascii="宋体" w:hAnsi="宋体" w:eastAsia="宋体" w:cs="宋体"/>
          <w:b/>
          <w:i w:val="0"/>
          <w:caps w:val="0"/>
          <w:color w:val="auto"/>
          <w:spacing w:val="0"/>
          <w:w w:val="100"/>
          <w:sz w:val="24"/>
          <w:highlight w:val="none"/>
          <w:u w:val="single" w:color="000000"/>
          <w:lang w:val="en-US" w:eastAsia="zh-CN"/>
        </w:rPr>
        <w:t>（</w:t>
      </w:r>
      <w:r>
        <w:rPr>
          <w:rFonts w:hint="eastAsia" w:ascii="宋体" w:hAnsi="宋体" w:cs="宋体"/>
          <w:b/>
          <w:i w:val="0"/>
          <w:caps w:val="0"/>
          <w:color w:val="auto"/>
          <w:spacing w:val="0"/>
          <w:w w:val="100"/>
          <w:sz w:val="24"/>
          <w:highlight w:val="none"/>
          <w:u w:val="single" w:color="000000"/>
          <w:lang w:val="en-US" w:eastAsia="zh-CN"/>
        </w:rPr>
        <w:t>全面电子标</w:t>
      </w:r>
      <w:r>
        <w:rPr>
          <w:rFonts w:hint="eastAsia" w:ascii="宋体" w:hAnsi="宋体" w:eastAsia="宋体" w:cs="宋体"/>
          <w:b/>
          <w:i w:val="0"/>
          <w:caps w:val="0"/>
          <w:color w:val="auto"/>
          <w:spacing w:val="0"/>
          <w:w w:val="100"/>
          <w:sz w:val="24"/>
          <w:highlight w:val="none"/>
          <w:u w:val="single" w:color="000000"/>
          <w:lang w:val="en-US" w:eastAsia="zh-CN"/>
        </w:rPr>
        <w:t>）</w:t>
      </w:r>
      <w:bookmarkEnd w:id="439"/>
      <w:bookmarkEnd w:id="440"/>
    </w:p>
    <w:p>
      <w:pPr>
        <w:pageBreakBefore w:val="0"/>
        <w:shd w:val="clear" w:color="auto" w:fill="auto"/>
        <w:kinsoku/>
        <w:wordWrap/>
        <w:overflowPunct/>
        <w:topLinePunct w:val="0"/>
        <w:bidi w:val="0"/>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供应商应按供应商须知资料表中的规定，准备和</w:t>
      </w:r>
      <w:r>
        <w:rPr>
          <w:rFonts w:hint="eastAsia" w:ascii="宋体" w:hAnsi="宋体" w:cs="宋体"/>
          <w:color w:val="auto"/>
          <w:sz w:val="24"/>
          <w:szCs w:val="24"/>
          <w:highlight w:val="none"/>
          <w:lang w:val="en-US" w:eastAsia="zh-CN"/>
        </w:rPr>
        <w:t>上传</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pPr>
        <w:pStyle w:val="2"/>
        <w:pageBreakBefore w:val="0"/>
        <w:kinsoku/>
        <w:wordWrap/>
        <w:overflowPunct/>
        <w:topLinePunct w:val="0"/>
        <w:bidi w:val="0"/>
        <w:spacing w:line="360" w:lineRule="exact"/>
        <w:rPr>
          <w:rFonts w:hint="eastAsia" w:ascii="宋体" w:hAnsi="宋体" w:eastAsia="宋体" w:cs="宋体"/>
          <w:color w:val="auto"/>
          <w:sz w:val="24"/>
          <w:szCs w:val="24"/>
          <w:highlight w:val="none"/>
        </w:rPr>
      </w:pPr>
      <w:bookmarkStart w:id="441" w:name="_Toc16865"/>
      <w:bookmarkStart w:id="442" w:name="_Toc11179"/>
      <w:bookmarkStart w:id="443" w:name="_Toc515647774"/>
      <w:bookmarkStart w:id="444" w:name="_Toc216582808"/>
      <w:bookmarkStart w:id="445" w:name="_Toc520356159"/>
    </w:p>
    <w:p>
      <w:pPr>
        <w:pStyle w:val="4"/>
        <w:pageBreakBefore w:val="0"/>
        <w:shd w:val="clear" w:color="auto" w:fill="auto"/>
        <w:kinsoku/>
        <w:wordWrap/>
        <w:overflowPunct/>
        <w:topLinePunct w:val="0"/>
        <w:bidi w:val="0"/>
        <w:spacing w:before="0" w:line="360" w:lineRule="exact"/>
        <w:ind w:hanging="540"/>
        <w:outlineLvl w:val="1"/>
        <w:rPr>
          <w:rFonts w:hint="eastAsia" w:ascii="宋体" w:hAnsi="宋体" w:eastAsia="宋体" w:cs="宋体"/>
          <w:color w:val="auto"/>
          <w:sz w:val="24"/>
          <w:szCs w:val="24"/>
          <w:highlight w:val="none"/>
          <w:lang w:val="en-US" w:eastAsia="zh-CN"/>
        </w:rPr>
      </w:pPr>
      <w:bookmarkStart w:id="446" w:name="_Toc20477"/>
      <w:bookmarkStart w:id="447" w:name="_Toc1143"/>
      <w:bookmarkStart w:id="448" w:name="_Toc25125"/>
      <w:bookmarkStart w:id="449" w:name="_Toc30935"/>
      <w:r>
        <w:rPr>
          <w:rFonts w:hint="eastAsia" w:ascii="宋体" w:hAnsi="宋体" w:eastAsia="宋体" w:cs="宋体"/>
          <w:color w:val="auto"/>
          <w:sz w:val="24"/>
          <w:szCs w:val="24"/>
          <w:highlight w:val="none"/>
        </w:rPr>
        <w:t>四   投标文件的递交</w:t>
      </w:r>
      <w:bookmarkEnd w:id="441"/>
      <w:bookmarkEnd w:id="442"/>
      <w:bookmarkEnd w:id="443"/>
      <w:bookmarkEnd w:id="444"/>
      <w:bookmarkEnd w:id="445"/>
      <w:bookmarkEnd w:id="446"/>
      <w:bookmarkEnd w:id="447"/>
      <w:bookmarkEnd w:id="448"/>
      <w:bookmarkEnd w:id="449"/>
    </w:p>
    <w:p>
      <w:pPr>
        <w:pageBreakBefore w:val="0"/>
        <w:kinsoku/>
        <w:wordWrap/>
        <w:overflowPunct/>
        <w:topLinePunct w:val="0"/>
        <w:bidi w:val="0"/>
        <w:spacing w:line="360" w:lineRule="exact"/>
        <w:rPr>
          <w:rFonts w:hint="eastAsia" w:ascii="宋体" w:hAnsi="宋体" w:eastAsia="宋体" w:cs="宋体"/>
          <w:color w:val="auto"/>
          <w:sz w:val="24"/>
          <w:szCs w:val="24"/>
          <w:highlight w:val="none"/>
        </w:rPr>
      </w:pPr>
    </w:p>
    <w:p>
      <w:pPr>
        <w:pStyle w:val="5"/>
        <w:keepNext w:val="0"/>
        <w:keepLines w:val="0"/>
        <w:pageBreakBefore w:val="0"/>
        <w:widowControl w:val="0"/>
        <w:numPr>
          <w:ilvl w:val="0"/>
          <w:numId w:val="0"/>
        </w:numPr>
        <w:kinsoku/>
        <w:wordWrap/>
        <w:overflowPunct/>
        <w:topLinePunct w:val="0"/>
        <w:bidi w:val="0"/>
        <w:snapToGrid/>
        <w:spacing w:before="0" w:after="0" w:line="420" w:lineRule="exact"/>
        <w:ind w:leftChars="0"/>
        <w:textAlignment w:val="auto"/>
        <w:outlineLvl w:val="1"/>
        <w:rPr>
          <w:rFonts w:hint="eastAsia" w:ascii="宋体" w:hAnsi="宋体" w:eastAsia="宋体" w:cs="宋体"/>
          <w:b/>
          <w:bCs/>
          <w:color w:val="auto"/>
          <w:kern w:val="2"/>
          <w:sz w:val="24"/>
          <w:szCs w:val="24"/>
          <w:highlight w:val="none"/>
          <w:u w:val="none"/>
          <w:lang w:val="en-US" w:eastAsia="zh-CN" w:bidi="ar-SA"/>
        </w:rPr>
      </w:pPr>
      <w:bookmarkStart w:id="450" w:name="_Toc24289"/>
      <w:bookmarkStart w:id="451" w:name="_Toc17407"/>
      <w:bookmarkStart w:id="452" w:name="_Toc19259"/>
      <w:bookmarkStart w:id="453" w:name="_Toc7981"/>
      <w:bookmarkStart w:id="454" w:name="_Toc801"/>
      <w:bookmarkStart w:id="455" w:name="_Toc17213"/>
      <w:bookmarkStart w:id="456" w:name="_Toc14788"/>
      <w:bookmarkStart w:id="457" w:name="_Toc32322"/>
      <w:bookmarkStart w:id="458" w:name="_Toc25334"/>
      <w:r>
        <w:rPr>
          <w:rFonts w:hint="eastAsia" w:ascii="宋体" w:hAnsi="宋体" w:eastAsia="宋体" w:cs="宋体"/>
          <w:b/>
          <w:bCs/>
          <w:color w:val="auto"/>
          <w:kern w:val="2"/>
          <w:sz w:val="24"/>
          <w:szCs w:val="24"/>
          <w:highlight w:val="none"/>
          <w:u w:val="none"/>
          <w:lang w:val="en-US" w:eastAsia="zh-CN" w:bidi="ar-SA"/>
        </w:rPr>
        <w:t>15.投标文件的密封和标记</w:t>
      </w:r>
      <w:bookmarkEnd w:id="450"/>
      <w:bookmarkEnd w:id="451"/>
      <w:bookmarkEnd w:id="452"/>
      <w:bookmarkEnd w:id="453"/>
      <w:bookmarkEnd w:id="454"/>
      <w:bookmarkEnd w:id="455"/>
      <w:bookmarkEnd w:id="456"/>
      <w:r>
        <w:rPr>
          <w:rFonts w:hint="eastAsia" w:ascii="宋体" w:hAnsi="宋体" w:eastAsia="宋体" w:cs="宋体"/>
          <w:b/>
          <w:bCs/>
          <w:color w:val="auto"/>
          <w:kern w:val="2"/>
          <w:sz w:val="24"/>
          <w:szCs w:val="24"/>
          <w:highlight w:val="none"/>
          <w:u w:val="none"/>
          <w:lang w:val="en-US" w:eastAsia="zh-CN" w:bidi="ar-SA"/>
        </w:rPr>
        <w:t>（全面电子标）</w:t>
      </w:r>
      <w:bookmarkEnd w:id="457"/>
      <w:bookmarkEnd w:id="458"/>
    </w:p>
    <w:p>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left"/>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pPr>
        <w:keepNext w:val="0"/>
        <w:keepLines w:val="0"/>
        <w:pageBreakBefore w:val="0"/>
        <w:widowControl w:val="0"/>
        <w:kinsoku/>
        <w:wordWrap/>
        <w:overflowPunct/>
        <w:topLinePunct w:val="0"/>
        <w:bidi w:val="0"/>
        <w:snapToGrid/>
        <w:spacing w:line="420" w:lineRule="exact"/>
        <w:ind w:left="0" w:firstLine="0" w:firstLineChars="0"/>
        <w:textAlignment w:val="auto"/>
        <w:rPr>
          <w:rFonts w:hint="eastAsia" w:ascii="宋体" w:hAnsi="宋体" w:eastAsia="宋体" w:cs="宋体"/>
          <w:color w:val="auto"/>
          <w:kern w:val="2"/>
          <w:sz w:val="24"/>
          <w:szCs w:val="24"/>
          <w:highlight w:val="none"/>
          <w:u w:val="none"/>
          <w:lang w:val="en-US" w:eastAsia="zh-CN" w:bidi="ar-SA"/>
        </w:rPr>
      </w:pPr>
      <w:bookmarkStart w:id="459" w:name="_Toc28106"/>
      <w:r>
        <w:rPr>
          <w:rFonts w:hint="eastAsia" w:ascii="宋体" w:hAnsi="宋体" w:eastAsia="宋体" w:cs="宋体"/>
          <w:color w:val="auto"/>
          <w:kern w:val="2"/>
          <w:sz w:val="24"/>
          <w:szCs w:val="24"/>
          <w:highlight w:val="none"/>
          <w:u w:val="none"/>
          <w:lang w:val="en-US" w:eastAsia="zh-CN" w:bidi="ar-SA"/>
        </w:rPr>
        <w:t xml:space="preserve">15.2 </w:t>
      </w:r>
      <w:bookmarkEnd w:id="459"/>
      <w:r>
        <w:rPr>
          <w:rFonts w:hint="eastAsia" w:ascii="宋体" w:hAnsi="宋体" w:eastAsia="宋体" w:cs="宋体"/>
          <w:color w:val="auto"/>
          <w:kern w:val="2"/>
          <w:sz w:val="24"/>
          <w:szCs w:val="24"/>
          <w:highlight w:val="none"/>
          <w:u w:val="none"/>
          <w:lang w:val="en-US" w:eastAsia="zh-CN" w:bidi="ar-SA"/>
        </w:rPr>
        <w:t>供应商因自身原因导致电子投标文件无法导入电子评标系统的，该响应文件视为无效文件。</w:t>
      </w:r>
    </w:p>
    <w:p>
      <w:pPr>
        <w:pStyle w:val="7"/>
        <w:keepNext w:val="0"/>
        <w:keepLines w:val="0"/>
        <w:pageBreakBefore w:val="0"/>
        <w:widowControl w:val="0"/>
        <w:numPr>
          <w:ilvl w:val="0"/>
          <w:numId w:val="0"/>
        </w:numPr>
        <w:kinsoku/>
        <w:wordWrap/>
        <w:overflowPunct/>
        <w:topLinePunct w:val="0"/>
        <w:bidi w:val="0"/>
        <w:snapToGrid/>
        <w:spacing w:line="420" w:lineRule="exact"/>
        <w:ind w:left="0" w:leftChars="0" w:firstLine="0" w:firstLine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电子投标文件具有法律效力,与其他形式的响应文件在内容和格式上等同，若投标文件与招标文件要求不一致，其内容影响成交结果时，责任由供应商自行承担。</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460" w:name="_Toc6497"/>
      <w:bookmarkStart w:id="461" w:name="_Toc9344"/>
      <w:bookmarkStart w:id="462" w:name="_Toc5284"/>
      <w:bookmarkStart w:id="463" w:name="_Toc27812"/>
      <w:bookmarkStart w:id="464" w:name="_Toc15282"/>
      <w:bookmarkStart w:id="465" w:name="_Toc20806"/>
      <w:bookmarkStart w:id="466" w:name="_Toc7506"/>
      <w:bookmarkStart w:id="467" w:name="_Toc27205"/>
      <w:bookmarkStart w:id="468" w:name="_Toc28578"/>
      <w:r>
        <w:rPr>
          <w:rFonts w:hint="eastAsia" w:hAnsi="宋体" w:cs="宋体"/>
          <w:b/>
          <w:bCs/>
          <w:color w:val="auto"/>
          <w:sz w:val="24"/>
          <w:szCs w:val="24"/>
          <w:highlight w:val="none"/>
          <w:u w:val="none"/>
          <w:lang w:val="en-US" w:eastAsia="zh-CN"/>
        </w:rPr>
        <w:t>16.</w:t>
      </w:r>
      <w:r>
        <w:rPr>
          <w:rFonts w:hint="eastAsia" w:ascii="宋体" w:hAnsi="宋体" w:eastAsia="宋体" w:cs="宋体"/>
          <w:b/>
          <w:bCs/>
          <w:color w:val="auto"/>
          <w:sz w:val="24"/>
          <w:szCs w:val="24"/>
          <w:highlight w:val="none"/>
          <w:u w:val="none"/>
          <w:lang w:val="en-US" w:eastAsia="zh-CN"/>
        </w:rPr>
        <w:t>投标</w:t>
      </w:r>
      <w:r>
        <w:rPr>
          <w:rFonts w:hint="eastAsia" w:ascii="宋体" w:hAnsi="宋体" w:eastAsia="宋体" w:cs="宋体"/>
          <w:b/>
          <w:bCs/>
          <w:color w:val="auto"/>
          <w:sz w:val="24"/>
          <w:szCs w:val="24"/>
          <w:highlight w:val="none"/>
          <w:u w:val="none"/>
        </w:rPr>
        <w:t>截止</w:t>
      </w:r>
      <w:bookmarkEnd w:id="460"/>
      <w:bookmarkEnd w:id="461"/>
      <w:bookmarkEnd w:id="462"/>
      <w:bookmarkEnd w:id="463"/>
      <w:bookmarkEnd w:id="464"/>
      <w:bookmarkEnd w:id="465"/>
      <w:bookmarkEnd w:id="466"/>
      <w:bookmarkEnd w:id="467"/>
      <w:bookmarkEnd w:id="468"/>
    </w:p>
    <w:p>
      <w:pPr>
        <w:spacing w:line="240" w:lineRule="atLeas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供应商应在供应商须知资料表中规定的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截止时间前，将</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上传到</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公告中规定的地点。</w:t>
      </w:r>
      <w:r>
        <w:rPr>
          <w:rFonts w:hint="eastAsia" w:ascii="宋体" w:hAnsi="宋体" w:eastAsia="宋体" w:cs="宋体"/>
          <w:b/>
          <w:bCs/>
          <w:color w:val="auto"/>
          <w:sz w:val="24"/>
          <w:highlight w:val="none"/>
          <w:lang w:eastAsia="zh-CN"/>
        </w:rPr>
        <w:t>解密时间</w:t>
      </w:r>
      <w:r>
        <w:rPr>
          <w:rFonts w:hint="eastAsia" w:ascii="宋体" w:hAnsi="宋体" w:eastAsia="宋体" w:cs="宋体"/>
          <w:b/>
          <w:bCs/>
          <w:color w:val="auto"/>
          <w:sz w:val="24"/>
          <w:highlight w:val="none"/>
          <w:lang w:val="en-US" w:eastAsia="zh-CN"/>
        </w:rPr>
        <w:t>30分钟，逾期未解密的视为投标无效。</w:t>
      </w:r>
    </w:p>
    <w:p>
      <w:pPr>
        <w:pageBreakBefore w:val="0"/>
        <w:shd w:val="clear" w:color="auto" w:fill="auto"/>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采购人和采购代理机构有权按本须知的规定，延迟</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截止时间。在此情况下，采购人、采购代理机构和供应商受</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截止时间制约的所有权利和义务均应延长至新的截止时间。</w:t>
      </w:r>
    </w:p>
    <w:p>
      <w:pPr>
        <w:pageBreakBefore w:val="0"/>
        <w:shd w:val="clear" w:color="auto" w:fill="auto"/>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采购人和采购代理机构将拒绝接收在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截止时间后上传的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469" w:name="_Toc9352"/>
      <w:bookmarkStart w:id="470" w:name="_Toc31990"/>
      <w:bookmarkStart w:id="471" w:name="_Toc3194"/>
      <w:bookmarkStart w:id="472" w:name="_Toc4342"/>
      <w:bookmarkStart w:id="473" w:name="_Toc16085"/>
      <w:bookmarkStart w:id="474" w:name="_Toc29733"/>
      <w:bookmarkStart w:id="475" w:name="_Toc27841"/>
      <w:bookmarkStart w:id="476" w:name="_Toc10568"/>
      <w:bookmarkStart w:id="477" w:name="_Toc32019"/>
      <w:r>
        <w:rPr>
          <w:rFonts w:hint="eastAsia" w:hAnsi="宋体" w:cs="宋体"/>
          <w:b/>
          <w:bCs/>
          <w:color w:val="auto"/>
          <w:sz w:val="24"/>
          <w:szCs w:val="24"/>
          <w:highlight w:val="none"/>
          <w:u w:val="none"/>
          <w:lang w:val="en-US" w:eastAsia="zh-CN"/>
        </w:rPr>
        <w:t>17.</w:t>
      </w:r>
      <w:r>
        <w:rPr>
          <w:rFonts w:hint="eastAsia" w:ascii="宋体" w:hAnsi="宋体" w:eastAsia="宋体" w:cs="宋体"/>
          <w:b/>
          <w:bCs/>
          <w:color w:val="auto"/>
          <w:sz w:val="24"/>
          <w:szCs w:val="24"/>
          <w:highlight w:val="none"/>
          <w:u w:val="none"/>
          <w:lang w:eastAsia="zh-CN"/>
        </w:rPr>
        <w:t>投标文件</w:t>
      </w:r>
      <w:r>
        <w:rPr>
          <w:rFonts w:hint="eastAsia" w:ascii="宋体" w:hAnsi="宋体" w:eastAsia="宋体" w:cs="宋体"/>
          <w:b/>
          <w:bCs/>
          <w:color w:val="auto"/>
          <w:sz w:val="24"/>
          <w:szCs w:val="24"/>
          <w:highlight w:val="none"/>
          <w:u w:val="none"/>
        </w:rPr>
        <w:t>的接收、修改与撤回</w:t>
      </w:r>
      <w:bookmarkEnd w:id="469"/>
      <w:bookmarkEnd w:id="470"/>
      <w:bookmarkEnd w:id="471"/>
      <w:bookmarkEnd w:id="472"/>
      <w:bookmarkEnd w:id="473"/>
      <w:bookmarkEnd w:id="474"/>
      <w:bookmarkEnd w:id="475"/>
      <w:bookmarkEnd w:id="476"/>
      <w:bookmarkEnd w:id="477"/>
    </w:p>
    <w:p>
      <w:pPr>
        <w:pageBreakBefore w:val="0"/>
        <w:shd w:val="clear" w:color="auto" w:fill="auto"/>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截止时间后上传的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的，采购人和采购代理机构将拒绝接收。</w:t>
      </w:r>
    </w:p>
    <w:p>
      <w:pPr>
        <w:pageBreakBefore w:val="0"/>
        <w:shd w:val="clear" w:color="auto" w:fill="auto"/>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上传</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以后，如果供应商要进行修改或撤回</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，供应商对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的修改或撤回通知应按本须知规定编制、标记。采购人和采购代理机构将予以接收，并视为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的组成部分。</w:t>
      </w:r>
    </w:p>
    <w:p>
      <w:pPr>
        <w:pageBreakBefore w:val="0"/>
        <w:shd w:val="clear" w:color="auto" w:fill="auto"/>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截止期之后，采购人和采购代理机构不接受供应商主动对其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做任何修改。</w:t>
      </w:r>
    </w:p>
    <w:p>
      <w:pPr>
        <w:pageBreakBefore w:val="0"/>
        <w:shd w:val="clear" w:color="auto" w:fill="auto"/>
        <w:kinsoku/>
        <w:wordWrap/>
        <w:overflowPunct/>
        <w:topLinePunct w:val="0"/>
        <w:bidi w:val="0"/>
        <w:spacing w:line="3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采购人和采购代理机构对所接收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概不退回。</w:t>
      </w:r>
    </w:p>
    <w:p>
      <w:pPr>
        <w:pageBreakBefore w:val="0"/>
        <w:widowControl w:val="0"/>
        <w:kinsoku/>
        <w:wordWrap/>
        <w:overflowPunct/>
        <w:topLinePunct w:val="0"/>
        <w:bidi w:val="0"/>
        <w:spacing w:before="0" w:line="360" w:lineRule="exact"/>
        <w:ind w:left="0" w:leftChars="0" w:hanging="540"/>
        <w:textAlignment w:val="auto"/>
        <w:outlineLvl w:val="9"/>
        <w:rPr>
          <w:rFonts w:hint="eastAsia" w:ascii="宋体" w:hAnsi="宋体" w:eastAsia="宋体" w:cs="宋体"/>
          <w:color w:val="auto"/>
          <w:sz w:val="24"/>
          <w:szCs w:val="24"/>
          <w:highlight w:val="none"/>
        </w:rPr>
      </w:pPr>
      <w:bookmarkStart w:id="478" w:name="_Toc216582809"/>
      <w:bookmarkStart w:id="479" w:name="_Toc12436"/>
      <w:bookmarkStart w:id="480" w:name="_Toc520356163"/>
      <w:bookmarkStart w:id="481" w:name="_Toc515647778"/>
      <w:bookmarkStart w:id="482" w:name="_Toc7470"/>
      <w:bookmarkStart w:id="483" w:name="_Toc28398"/>
    </w:p>
    <w:p>
      <w:pPr>
        <w:pStyle w:val="4"/>
        <w:pageBreakBefore w:val="0"/>
        <w:widowControl w:val="0"/>
        <w:kinsoku/>
        <w:wordWrap/>
        <w:overflowPunct/>
        <w:topLinePunct w:val="0"/>
        <w:bidi w:val="0"/>
        <w:spacing w:before="0" w:line="360" w:lineRule="exact"/>
        <w:ind w:left="0" w:leftChars="0" w:hanging="540"/>
        <w:textAlignment w:val="auto"/>
        <w:rPr>
          <w:rFonts w:hint="eastAsia" w:ascii="宋体" w:hAnsi="宋体" w:eastAsia="宋体" w:cs="宋体"/>
          <w:color w:val="auto"/>
          <w:sz w:val="24"/>
          <w:szCs w:val="24"/>
          <w:highlight w:val="none"/>
        </w:rPr>
      </w:pPr>
      <w:bookmarkStart w:id="484" w:name="_Toc10548"/>
      <w:bookmarkStart w:id="485" w:name="_Toc12049"/>
      <w:r>
        <w:rPr>
          <w:rFonts w:hint="eastAsia" w:ascii="宋体" w:hAnsi="宋体" w:eastAsia="宋体" w:cs="宋体"/>
          <w:color w:val="auto"/>
          <w:sz w:val="24"/>
          <w:szCs w:val="24"/>
          <w:highlight w:val="none"/>
        </w:rPr>
        <w:t>五   开标及评标</w:t>
      </w:r>
      <w:bookmarkEnd w:id="478"/>
      <w:bookmarkEnd w:id="479"/>
      <w:bookmarkEnd w:id="480"/>
      <w:bookmarkEnd w:id="481"/>
      <w:bookmarkEnd w:id="482"/>
      <w:bookmarkEnd w:id="483"/>
      <w:bookmarkEnd w:id="484"/>
      <w:bookmarkEnd w:id="485"/>
    </w:p>
    <w:p>
      <w:pPr>
        <w:pageBreakBefore w:val="0"/>
        <w:kinsoku/>
        <w:wordWrap/>
        <w:overflowPunct/>
        <w:topLinePunct w:val="0"/>
        <w:bidi w:val="0"/>
        <w:spacing w:line="360" w:lineRule="exact"/>
        <w:rPr>
          <w:rFonts w:hint="eastAsia" w:ascii="宋体" w:hAnsi="宋体" w:eastAsia="宋体" w:cs="宋体"/>
          <w:color w:val="auto"/>
          <w:sz w:val="24"/>
          <w:szCs w:val="24"/>
          <w:highlight w:val="none"/>
        </w:rPr>
      </w:pP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486" w:name="_Toc23987"/>
      <w:bookmarkStart w:id="487" w:name="_Toc9432"/>
      <w:bookmarkStart w:id="488" w:name="_Toc4385"/>
      <w:bookmarkStart w:id="489" w:name="_Toc7186"/>
      <w:bookmarkStart w:id="490" w:name="_Toc21418"/>
      <w:bookmarkStart w:id="491" w:name="_Toc10643"/>
      <w:bookmarkStart w:id="492" w:name="_Toc23772"/>
      <w:bookmarkStart w:id="493" w:name="_Toc4378"/>
      <w:bookmarkStart w:id="494" w:name="_Toc28057"/>
      <w:bookmarkStart w:id="495" w:name="_Toc11144"/>
      <w:bookmarkStart w:id="496" w:name="_Toc17685"/>
      <w:bookmarkStart w:id="497" w:name="_Toc10415"/>
      <w:bookmarkStart w:id="498" w:name="_Toc1738"/>
      <w:bookmarkStart w:id="499" w:name="_Toc515647779"/>
      <w:bookmarkStart w:id="500" w:name="_Toc32409"/>
      <w:bookmarkStart w:id="501" w:name="_Toc24922"/>
      <w:bookmarkStart w:id="502" w:name="_Toc9474"/>
      <w:bookmarkStart w:id="503" w:name="_Toc2886"/>
      <w:bookmarkStart w:id="504" w:name="_Toc4423"/>
      <w:bookmarkStart w:id="505" w:name="_Toc4771"/>
      <w:bookmarkStart w:id="506" w:name="_Toc31572"/>
      <w:bookmarkStart w:id="507" w:name="_Toc17546"/>
      <w:bookmarkStart w:id="508" w:name="_Toc520356164"/>
      <w:bookmarkStart w:id="509" w:name="_Toc63"/>
      <w:bookmarkStart w:id="510" w:name="_Toc25345"/>
      <w:bookmarkStart w:id="511" w:name="_Toc11726"/>
      <w:bookmarkStart w:id="512" w:name="_Toc520356165"/>
      <w:bookmarkStart w:id="513" w:name="_Toc22770"/>
      <w:bookmarkStart w:id="514" w:name="_Toc4063"/>
      <w:bookmarkStart w:id="515" w:name="_Toc28586"/>
      <w:bookmarkStart w:id="516" w:name="_Toc16864"/>
      <w:bookmarkStart w:id="517" w:name="_Toc5052"/>
      <w:bookmarkStart w:id="518" w:name="_Toc3080"/>
      <w:bookmarkStart w:id="519" w:name="_Toc22792"/>
      <w:bookmarkStart w:id="520" w:name="_Toc2316"/>
      <w:bookmarkStart w:id="521" w:name="_Toc10746"/>
      <w:bookmarkStart w:id="522" w:name="_Toc26266"/>
      <w:bookmarkStart w:id="523" w:name="_Toc19296"/>
      <w:bookmarkStart w:id="524" w:name="_Toc18233"/>
      <w:bookmarkStart w:id="525" w:name="_Toc21372"/>
      <w:bookmarkStart w:id="526" w:name="_Toc515647780"/>
      <w:bookmarkStart w:id="527" w:name="_Toc21667"/>
      <w:bookmarkStart w:id="528" w:name="_Toc18228"/>
      <w:bookmarkStart w:id="529" w:name="_Toc10550"/>
      <w:r>
        <w:rPr>
          <w:rFonts w:hint="eastAsia" w:hAnsi="宋体" w:cs="宋体"/>
          <w:b/>
          <w:bCs/>
          <w:color w:val="auto"/>
          <w:sz w:val="24"/>
          <w:szCs w:val="24"/>
          <w:highlight w:val="none"/>
          <w:u w:val="none"/>
          <w:lang w:val="en-US" w:eastAsia="zh-CN"/>
        </w:rPr>
        <w:t>18.</w:t>
      </w:r>
      <w:r>
        <w:rPr>
          <w:rFonts w:hint="eastAsia" w:ascii="宋体" w:hAnsi="宋体" w:eastAsia="宋体" w:cs="宋体"/>
          <w:b/>
          <w:bCs/>
          <w:color w:val="auto"/>
          <w:sz w:val="24"/>
          <w:szCs w:val="24"/>
          <w:highlight w:val="none"/>
          <w:u w:val="none"/>
        </w:rPr>
        <w:t>开标</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bookmarkEnd w:id="512"/>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宋体" w:hAnsi="宋体" w:eastAsia="宋体" w:cs="宋体"/>
          <w:color w:val="auto"/>
          <w:sz w:val="24"/>
          <w:highlight w:val="none"/>
          <w:lang w:eastAsia="zh-CN"/>
        </w:rPr>
      </w:pPr>
      <w:bookmarkStart w:id="530" w:name="_Toc11617"/>
      <w:bookmarkStart w:id="531" w:name="_Toc1687"/>
      <w:bookmarkStart w:id="532" w:name="_Toc24244"/>
      <w:bookmarkStart w:id="533" w:name="_Toc13596"/>
      <w:bookmarkStart w:id="534" w:name="_Toc8996"/>
      <w:bookmarkStart w:id="535" w:name="_Toc23873"/>
      <w:bookmarkStart w:id="536" w:name="_Toc24046"/>
      <w:r>
        <w:rPr>
          <w:rFonts w:hint="eastAsia" w:ascii="宋体" w:hAnsi="宋体" w:eastAsia="宋体" w:cs="宋体"/>
          <w:color w:val="auto"/>
          <w:sz w:val="24"/>
          <w:highlight w:val="none"/>
          <w:lang w:val="en-US" w:eastAsia="zh-CN"/>
        </w:rPr>
        <w:t>18.1</w:t>
      </w:r>
      <w:r>
        <w:rPr>
          <w:rFonts w:hint="eastAsia" w:ascii="宋体" w:hAnsi="宋体" w:eastAsia="宋体" w:cs="宋体"/>
          <w:color w:val="auto"/>
          <w:sz w:val="24"/>
          <w:highlight w:val="none"/>
          <w:lang w:eastAsia="zh-CN"/>
        </w:rPr>
        <w:t>供应商按照须知资料表中规定的开标时间和地点，在规定时间内上传投标文件。</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18.2</w:t>
      </w:r>
      <w:r>
        <w:rPr>
          <w:rFonts w:hint="eastAsia" w:ascii="宋体" w:hAnsi="宋体" w:eastAsia="宋体" w:cs="宋体"/>
          <w:color w:val="auto"/>
          <w:sz w:val="24"/>
          <w:highlight w:val="none"/>
          <w:lang w:eastAsia="zh-CN"/>
        </w:rPr>
        <w:t>到投标截止时间，对供应商上传的投标文件进行解密，解密时长为30分钟。供应商须在规定时间内使用CA锁在政采云平台解密，解密失败或未在规定时间内解密，将无法参加下一阶段的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 xml:space="preserve">，将被认定为无效投标。请供应商提前调试好CA锁，确定在操作时能正常使用。  </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18.3</w:t>
      </w:r>
      <w:r>
        <w:rPr>
          <w:rFonts w:hint="eastAsia" w:ascii="宋体" w:hAnsi="宋体" w:eastAsia="宋体" w:cs="宋体"/>
          <w:color w:val="auto"/>
          <w:sz w:val="24"/>
          <w:highlight w:val="none"/>
          <w:lang w:eastAsia="zh-CN"/>
        </w:rPr>
        <w:t>在开标记录时，代理机构开启签字时段，须供应商使用CA锁在政采云平台进行签字确认报价。</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18.4</w:t>
      </w:r>
      <w:r>
        <w:rPr>
          <w:rFonts w:hint="eastAsia" w:ascii="宋体" w:hAnsi="宋体" w:eastAsia="宋体" w:cs="宋体"/>
          <w:color w:val="auto"/>
          <w:sz w:val="24"/>
          <w:highlight w:val="none"/>
          <w:lang w:eastAsia="zh-CN"/>
        </w:rPr>
        <w:t>采购人登录政采云平台对供应商的资格证明材料进行审查。</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lang w:eastAsia="zh-CN"/>
        </w:rPr>
      </w:pPr>
      <w:bookmarkStart w:id="537" w:name="_Toc30996"/>
      <w:bookmarkStart w:id="538" w:name="_Toc10614"/>
      <w:r>
        <w:rPr>
          <w:rFonts w:hint="eastAsia" w:hAnsi="宋体" w:cs="宋体"/>
          <w:b/>
          <w:bCs/>
          <w:color w:val="auto"/>
          <w:sz w:val="24"/>
          <w:szCs w:val="24"/>
          <w:highlight w:val="none"/>
          <w:u w:val="none"/>
          <w:lang w:val="en-US" w:eastAsia="zh-CN"/>
        </w:rPr>
        <w:t>19.</w:t>
      </w:r>
      <w:r>
        <w:rPr>
          <w:rFonts w:hint="eastAsia" w:ascii="宋体" w:hAnsi="宋体" w:eastAsia="宋体" w:cs="宋体"/>
          <w:b/>
          <w:bCs/>
          <w:color w:val="auto"/>
          <w:sz w:val="24"/>
          <w:szCs w:val="24"/>
          <w:highlight w:val="none"/>
          <w:u w:val="none"/>
          <w:lang w:eastAsia="zh-CN"/>
        </w:rPr>
        <w:t>资格审查及组建评标委员会</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ind w:left="720" w:leftChars="0" w:hanging="720" w:hangingChars="3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eastAsia="zh-CN"/>
        </w:rPr>
        <w:t xml:space="preserve"> 采购人或采购代理机构依据法律法规和招标文件中规定的内容，对供应商及其服务的资格进行审查，本项目审查内容如下：</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ind w:left="718" w:leftChars="342" w:firstLine="0" w:firstLineChars="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i w:val="0"/>
          <w:caps w:val="0"/>
          <w:color w:val="auto"/>
          <w:spacing w:val="0"/>
          <w:w w:val="100"/>
          <w:sz w:val="24"/>
          <w:szCs w:val="24"/>
          <w:highlight w:val="none"/>
        </w:rPr>
        <w:t>本项目</w:t>
      </w:r>
      <w:r>
        <w:rPr>
          <w:rFonts w:hint="eastAsia" w:ascii="宋体" w:hAnsi="宋体" w:eastAsia="宋体" w:cs="宋体"/>
          <w:b/>
          <w:bCs/>
          <w:i w:val="0"/>
          <w:caps w:val="0"/>
          <w:color w:val="auto"/>
          <w:spacing w:val="0"/>
          <w:w w:val="100"/>
          <w:sz w:val="24"/>
          <w:szCs w:val="24"/>
          <w:highlight w:val="none"/>
          <w:lang w:val="en-US" w:eastAsia="zh-CN"/>
        </w:rPr>
        <w:t>资格审查资料须附在投标文件中</w:t>
      </w:r>
      <w:r>
        <w:rPr>
          <w:rFonts w:hint="eastAsia" w:ascii="宋体" w:hAnsi="宋体" w:eastAsia="宋体" w:cs="宋体"/>
          <w:b/>
          <w:bCs/>
          <w:i w:val="0"/>
          <w:caps w:val="0"/>
          <w:color w:val="auto"/>
          <w:spacing w:val="0"/>
          <w:w w:val="100"/>
          <w:sz w:val="24"/>
          <w:szCs w:val="24"/>
          <w:highlight w:val="none"/>
        </w:rPr>
        <w:t>：</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cs="宋体"/>
          <w:b/>
          <w:bCs/>
          <w:i w:val="0"/>
          <w:caps w:val="0"/>
          <w:color w:val="auto"/>
          <w:spacing w:val="0"/>
          <w:w w:val="100"/>
          <w:sz w:val="24"/>
          <w:szCs w:val="24"/>
          <w:highlight w:val="none"/>
          <w:lang w:val="en-US" w:eastAsia="zh-CN"/>
        </w:rPr>
        <w:t>（1）</w:t>
      </w:r>
      <w:r>
        <w:rPr>
          <w:rFonts w:hint="eastAsia" w:ascii="宋体" w:hAnsi="宋体" w:eastAsia="宋体" w:cs="宋体"/>
          <w:b/>
          <w:bCs/>
          <w:i w:val="0"/>
          <w:caps w:val="0"/>
          <w:color w:val="auto"/>
          <w:spacing w:val="0"/>
          <w:w w:val="100"/>
          <w:sz w:val="24"/>
          <w:szCs w:val="24"/>
          <w:highlight w:val="none"/>
          <w:lang w:val="en-US" w:eastAsia="zh-CN"/>
        </w:rPr>
        <w:t>投标人具有有效的营业执照；</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w:t>
      </w:r>
      <w:r>
        <w:rPr>
          <w:rFonts w:hint="eastAsia" w:ascii="宋体" w:hAnsi="宋体" w:eastAsia="宋体" w:cs="宋体"/>
          <w:b/>
          <w:bCs/>
          <w:color w:val="auto"/>
          <w:kern w:val="0"/>
          <w:sz w:val="24"/>
          <w:szCs w:val="24"/>
          <w:highlight w:val="none"/>
          <w:lang w:val="zh-CN" w:eastAsia="zh-CN"/>
        </w:rPr>
        <w:t>法定代表人授权书及被授权人身份证，法人本人参与投标提供法人身份证及法人资格证明；</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3</w:t>
      </w:r>
      <w:r>
        <w:rPr>
          <w:rFonts w:hint="eastAsia" w:ascii="宋体" w:hAnsi="宋体" w:eastAsia="宋体" w:cs="宋体"/>
          <w:b/>
          <w:bCs/>
          <w:i w:val="0"/>
          <w:caps w:val="0"/>
          <w:color w:val="auto"/>
          <w:spacing w:val="0"/>
          <w:w w:val="100"/>
          <w:sz w:val="24"/>
          <w:szCs w:val="24"/>
          <w:highlight w:val="none"/>
          <w:lang w:val="en-US" w:eastAsia="zh-CN"/>
        </w:rPr>
        <w:t>）法定代表人或被委托人：法定代表人或被委托人：由社保部门或税务局出具的投标单位缴纳的社保证明和个人缴纳的社保明细表（近半年任意三个月的社保缴费凭证及个人缴费明细）（新成立公司提供近期社保明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4</w:t>
      </w:r>
      <w:r>
        <w:rPr>
          <w:rFonts w:hint="eastAsia" w:ascii="宋体" w:hAnsi="宋体" w:eastAsia="宋体" w:cs="宋体"/>
          <w:b/>
          <w:bCs/>
          <w:i w:val="0"/>
          <w:caps w:val="0"/>
          <w:color w:val="auto"/>
          <w:spacing w:val="0"/>
          <w:w w:val="100"/>
          <w:sz w:val="24"/>
          <w:szCs w:val="24"/>
          <w:highlight w:val="none"/>
          <w:lang w:val="en-US" w:eastAsia="zh-CN"/>
        </w:rPr>
        <w:t>）近两年（2022 年至 2023 年）任意一年度财务审计报告（新成立未满一 年的公司提供有效银行资信证明）；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5</w:t>
      </w: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近期（2024 年以来任意一个月）依法缴纳税收的证明（税务部门出具 的完税凭证或缴税证明或银行出具的“银行电子缴税付款凭证 ”）；（原件、 复印件、影印件均可，留存复印件或影印件）注： ①若为零申报企业，需提供 无欠税证明或国家税务总局电子税务局“ 申报结果查询截图 ”。②“税种 ”非 社会保险；</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widowControl/>
        <w:numPr>
          <w:ilvl w:val="0"/>
          <w:numId w:val="6"/>
        </w:numPr>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投标人在中国政府采购网（www.ccgp.gov.cn）被列入政府采购严重违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7</w:t>
      </w: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eastAsia="宋体" w:cs="宋体"/>
          <w:b/>
          <w:bCs/>
          <w:color w:val="auto"/>
          <w:kern w:val="0"/>
          <w:sz w:val="24"/>
          <w:szCs w:val="24"/>
          <w:highlight w:val="none"/>
          <w:lang w:val="zh-CN" w:eastAsia="zh-CN"/>
        </w:rPr>
        <w:t>参加政府采购活动近3年内，在经营活动中没有重大违法记录的书面声明；</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eastAsia="zh-CN"/>
        </w:rPr>
      </w:pP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8</w:t>
      </w:r>
      <w:r>
        <w:rPr>
          <w:rFonts w:hint="eastAsia" w:ascii="宋体" w:hAnsi="宋体" w:eastAsia="宋体" w:cs="宋体"/>
          <w:b/>
          <w:bCs/>
          <w:i w:val="0"/>
          <w:caps w:val="0"/>
          <w:color w:val="auto"/>
          <w:spacing w:val="0"/>
          <w:w w:val="100"/>
          <w:sz w:val="24"/>
          <w:szCs w:val="24"/>
          <w:highlight w:val="none"/>
          <w:lang w:val="en-US" w:eastAsia="zh-CN"/>
        </w:rPr>
        <w:t>）针对本次采购项目《反商业贿赂承诺书》的书面声明；</w:t>
      </w:r>
    </w:p>
    <w:p>
      <w:pPr>
        <w:pStyle w:val="2"/>
        <w:pageBreakBefore w:val="0"/>
        <w:kinsoku/>
        <w:wordWrap/>
        <w:overflowPunct/>
        <w:topLinePunct w:val="0"/>
        <w:bidi w:val="0"/>
        <w:spacing w:line="360" w:lineRule="exact"/>
        <w:rPr>
          <w:rFonts w:hint="eastAsia" w:ascii="宋体" w:hAnsi="宋体" w:eastAsia="宋体" w:cs="宋体"/>
          <w:b/>
          <w:bCs/>
          <w:i w:val="0"/>
          <w:caps w:val="0"/>
          <w:color w:val="auto"/>
          <w:spacing w:val="0"/>
          <w:w w:val="100"/>
          <w:kern w:val="2"/>
          <w:sz w:val="24"/>
          <w:szCs w:val="24"/>
          <w:highlight w:val="none"/>
          <w:lang w:val="en-US" w:eastAsia="zh-CN" w:bidi="ar-SA"/>
        </w:rPr>
      </w:pP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9</w:t>
      </w:r>
      <w:r>
        <w:rPr>
          <w:rFonts w:hint="eastAsia" w:ascii="宋体" w:hAnsi="宋体" w:eastAsia="宋体" w:cs="宋体"/>
          <w:b/>
          <w:bCs/>
          <w:i w:val="0"/>
          <w:caps w:val="0"/>
          <w:color w:val="auto"/>
          <w:spacing w:val="0"/>
          <w:w w:val="100"/>
          <w:sz w:val="24"/>
          <w:szCs w:val="24"/>
          <w:highlight w:val="none"/>
          <w:lang w:val="en-US" w:eastAsia="zh-CN"/>
        </w:rPr>
        <w:t>）保证金收据复印件及保证金缴纳凭证或电子保函的缴纳凭证；</w:t>
      </w:r>
    </w:p>
    <w:p>
      <w:pPr>
        <w:pageBreakBefore w:val="0"/>
        <w:widowControl w:val="0"/>
        <w:kinsoku/>
        <w:wordWrap/>
        <w:overflowPunct/>
        <w:topLinePunct w:val="0"/>
        <w:bidi w:val="0"/>
        <w:spacing w:line="36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i w:val="0"/>
          <w:caps w:val="0"/>
          <w:color w:val="auto"/>
          <w:spacing w:val="0"/>
          <w:w w:val="100"/>
          <w:sz w:val="24"/>
          <w:szCs w:val="24"/>
          <w:highlight w:val="none"/>
        </w:rPr>
        <w:t>未通过资格审查的供应商不进入评标；通过资格审查的供应商少于不足三家的，不得评标。</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采购人或采购代理机构将在开标前1个工作日至投标截止后1小时的期间内查询</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的信用记录。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存在不良信用记录的，其投标将被认定为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19.2.1 不良信用记录指：供应商在“信用中国”网站（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w:t>
      </w:r>
    </w:p>
    <w:p>
      <w:pPr>
        <w:pageBreakBefore w:val="0"/>
        <w:widowControl w:val="0"/>
        <w:kinsoku/>
        <w:wordWrap/>
        <w:overflowPunct/>
        <w:topLinePunct w:val="0"/>
        <w:bidi w:val="0"/>
        <w:spacing w:line="360" w:lineRule="exact"/>
        <w:ind w:left="958" w:leftChars="456" w:firstLine="60" w:firstLineChars="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以联合体形式参加投标的，联合体任何成员存在以上不良信用记录的，联合体投标将被认定为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7"/>
        <w:pageBreakBefore w:val="0"/>
        <w:widowControl w:val="0"/>
        <w:kinsoku/>
        <w:wordWrap/>
        <w:overflowPunct/>
        <w:topLinePunct w:val="0"/>
        <w:bidi w:val="0"/>
        <w:spacing w:line="360" w:lineRule="exact"/>
        <w:ind w:left="849" w:leftChars="0" w:hanging="849" w:hangingChars="354"/>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19.2.2 查询及记录方式：采购人或采购代理机构经办人将查询网页打印、签字并存档备查。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不良信用记录以采购人或采购代理机构查询结果为准。</w:t>
      </w:r>
    </w:p>
    <w:p>
      <w:pPr>
        <w:pStyle w:val="7"/>
        <w:pageBreakBefore w:val="0"/>
        <w:widowControl w:val="0"/>
        <w:kinsoku/>
        <w:wordWrap/>
        <w:overflowPunct/>
        <w:topLinePunct w:val="0"/>
        <w:bidi w:val="0"/>
        <w:spacing w:line="360" w:lineRule="exact"/>
        <w:ind w:left="0" w:leftChars="0" w:firstLine="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在本招标文件规定的查询时间之后，网站信息发生的任何变更均不再作为评标依据。</w:t>
      </w:r>
    </w:p>
    <w:p>
      <w:pPr>
        <w:pStyle w:val="7"/>
        <w:pageBreakBefore w:val="0"/>
        <w:widowControl w:val="0"/>
        <w:kinsoku/>
        <w:wordWrap/>
        <w:overflowPunct/>
        <w:topLinePunct w:val="0"/>
        <w:bidi w:val="0"/>
        <w:spacing w:line="360" w:lineRule="exact"/>
        <w:ind w:left="0" w:leftChars="0" w:firstLine="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自行提供的与网站信息不一致的其他证明材料亦不作为资格审查依据。</w:t>
      </w:r>
    </w:p>
    <w:p>
      <w:pPr>
        <w:pageBreakBefore w:val="0"/>
        <w:widowControl w:val="0"/>
        <w:kinsoku/>
        <w:wordWrap/>
        <w:overflowPunct/>
        <w:topLinePunct w:val="0"/>
        <w:bidi w:val="0"/>
        <w:spacing w:line="360" w:lineRule="exact"/>
        <w:ind w:left="849" w:leftChars="0" w:hanging="849" w:hangingChars="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19.3  </w:t>
      </w:r>
      <w:bookmarkStart w:id="539" w:name="_Toc520356166"/>
      <w:r>
        <w:rPr>
          <w:rFonts w:hint="eastAsia" w:ascii="宋体" w:hAnsi="宋体" w:eastAsia="宋体" w:cs="宋体"/>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按照《中华人民共和国政府采购法》、《中华人民共和国政府采购法实施条例》及本项目本级和上级财政部门的有关规定依法组建的评标委员会，负责评标工作。本项目评标委员会由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人组成（采购人专家</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政采云</w:t>
      </w:r>
      <w:r>
        <w:rPr>
          <w:rFonts w:hint="eastAsia" w:ascii="宋体" w:hAnsi="宋体" w:eastAsia="宋体" w:cs="宋体"/>
          <w:color w:val="auto"/>
          <w:sz w:val="24"/>
          <w:szCs w:val="24"/>
          <w:highlight w:val="none"/>
        </w:rPr>
        <w:t>随机抽取专家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名）</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540" w:name="_Toc12543"/>
      <w:bookmarkStart w:id="541" w:name="_Toc19949"/>
      <w:bookmarkStart w:id="542" w:name="_Toc19094"/>
      <w:bookmarkStart w:id="543" w:name="_Toc14377"/>
      <w:bookmarkStart w:id="544" w:name="_Toc27593"/>
      <w:bookmarkStart w:id="545" w:name="_Toc7962"/>
      <w:bookmarkStart w:id="546" w:name="_Toc13892"/>
      <w:bookmarkStart w:id="547" w:name="_Toc29500"/>
      <w:bookmarkStart w:id="548" w:name="_Toc3936"/>
      <w:bookmarkStart w:id="549" w:name="_Toc22736"/>
      <w:bookmarkStart w:id="550" w:name="_Toc22021"/>
      <w:bookmarkStart w:id="551" w:name="_Toc13448"/>
      <w:bookmarkStart w:id="552" w:name="_Toc10732"/>
      <w:bookmarkStart w:id="553" w:name="_Toc28479"/>
      <w:bookmarkStart w:id="554" w:name="_Toc827"/>
      <w:bookmarkStart w:id="555" w:name="_Toc22105"/>
      <w:bookmarkStart w:id="556" w:name="_Toc6771"/>
      <w:bookmarkStart w:id="557" w:name="_Toc32378"/>
      <w:bookmarkStart w:id="558" w:name="_Toc4062"/>
      <w:bookmarkStart w:id="559" w:name="_Toc4663"/>
      <w:bookmarkStart w:id="560" w:name="_Toc21876"/>
      <w:bookmarkStart w:id="561" w:name="_Toc515647781"/>
      <w:bookmarkStart w:id="562" w:name="_Toc22009"/>
      <w:bookmarkStart w:id="563" w:name="_Toc14028"/>
      <w:bookmarkStart w:id="564" w:name="_Toc8432"/>
      <w:bookmarkStart w:id="565" w:name="_Toc31534"/>
      <w:r>
        <w:rPr>
          <w:rFonts w:hint="eastAsia" w:hAnsi="宋体" w:cs="宋体"/>
          <w:b/>
          <w:bCs/>
          <w:color w:val="auto"/>
          <w:sz w:val="24"/>
          <w:szCs w:val="24"/>
          <w:highlight w:val="none"/>
          <w:u w:val="none"/>
          <w:lang w:val="en-US" w:eastAsia="zh-CN"/>
        </w:rPr>
        <w:t>20.</w:t>
      </w:r>
      <w:r>
        <w:rPr>
          <w:rFonts w:hint="eastAsia" w:ascii="宋体" w:hAnsi="宋体" w:eastAsia="宋体" w:cs="宋体"/>
          <w:b/>
          <w:bCs/>
          <w:color w:val="auto"/>
          <w:sz w:val="24"/>
          <w:szCs w:val="24"/>
          <w:highlight w:val="none"/>
          <w:u w:val="none"/>
        </w:rPr>
        <w:t>投标文件</w:t>
      </w:r>
      <w:bookmarkEnd w:id="539"/>
      <w:r>
        <w:rPr>
          <w:rFonts w:hint="eastAsia" w:ascii="宋体" w:hAnsi="宋体" w:eastAsia="宋体" w:cs="宋体"/>
          <w:b/>
          <w:bCs/>
          <w:color w:val="auto"/>
          <w:sz w:val="24"/>
          <w:szCs w:val="24"/>
          <w:highlight w:val="none"/>
          <w:u w:val="none"/>
        </w:rPr>
        <w:t>符合性审查与澄清</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66" w:name="_Hlt522424701"/>
      <w:bookmarkEnd w:id="566"/>
      <w:bookmarkStart w:id="567" w:name="_Toc520356167"/>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投标文件的澄清</w:t>
      </w:r>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  在评标期间，评标委员会将以书面方式要求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对其投标文件中含义不明确、对同类问题表述不一致或者有明显文字和计算错误的内容，以及评标委员会认为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的报价明显低于其他通过符合性检查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的报价，有可能影响履约的情况作必要的澄清、说明或补正。</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的澄清、说明或补正应在评标委员会规定的时间内以书面方式进行，并不得超出投标文件范围或者改变投标文件的实质性内容。</w:t>
      </w:r>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的的澄清、说明或补正将作为投标文件的一部分。</w:t>
      </w:r>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投标文件报价出现前后不一致的，按照下列规定修正：</w:t>
      </w:r>
    </w:p>
    <w:p>
      <w:pPr>
        <w:pageBreakBefore w:val="0"/>
        <w:widowControl w:val="0"/>
        <w:kinsoku/>
        <w:wordWrap/>
        <w:overflowPunct/>
        <w:topLinePunct w:val="0"/>
        <w:bidi w:val="0"/>
        <w:spacing w:line="360" w:lineRule="exact"/>
        <w:ind w:left="1020" w:leftChars="0" w:hanging="1020" w:hangingChars="42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（一）投标文件中开标一览表（报价表）内容与投标文件中相应内容不一致的，以开标一览表（报价表）为准；</w:t>
      </w:r>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（二）大写金额和小写金额</w:t>
      </w:r>
      <w:r>
        <w:rPr>
          <w:rFonts w:hint="eastAsia" w:ascii="宋体" w:hAnsi="宋体" w:eastAsia="宋体" w:cs="宋体"/>
          <w:b w:val="0"/>
          <w:bCs w:val="0"/>
          <w:color w:val="auto"/>
          <w:sz w:val="24"/>
          <w:szCs w:val="24"/>
          <w:highlight w:val="none"/>
        </w:rPr>
        <w:t>不一致的，以大写金额为准；</w:t>
      </w:r>
    </w:p>
    <w:p>
      <w:pPr>
        <w:pageBreakBefore w:val="0"/>
        <w:widowControl w:val="0"/>
        <w:kinsoku/>
        <w:wordWrap/>
        <w:overflowPunct/>
        <w:topLinePunct w:val="0"/>
        <w:bidi w:val="0"/>
        <w:spacing w:line="360" w:lineRule="exact"/>
        <w:ind w:left="1020" w:leftChars="0" w:hanging="1020" w:hangingChars="425"/>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（三）单价金额小数点或者百分比有明显错位的，以开标一览表的总价为准，并修改单价；</w:t>
      </w:r>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（四）总价金额与按单价汇总金额不一致的，以单价金额计算结果为准。</w:t>
      </w:r>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同时出现两种以上不一致的，按照前款规定的顺序修正。修正后的报价按照第20.2条的规定经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确认后产生约束力，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不确认的，其投标将被认定为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0" w:leftChars="0"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对不同文字文本投标文件的解释发生异议的，以中文文本为准。</w:t>
      </w:r>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如一个分包内只有一种产品，不同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所投产品为同一品牌的，按如下方式处理：</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20.4.1  如本项目使用最低评标价法，提供相同品牌产品的不同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；未规定的采取随机抽取方式确定，其他投标将被认定为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  如本项目使用综合评分法，提供相同品牌产品且通过资格审查、符合性审查的不同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，按一家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计算，评审后得分最高的同品牌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获得中标人推荐资格；评审得分相同的，由采购人或者采购人委托评标委员会按照招标文件中评标办法规定的方式确定一个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获得中标人推荐资格；未规定的采取随机抽取方式确定，其他同品牌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不作为中标候选人。</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20.5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如采购人所采购产品为政府强制采购的节能产品，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所投产品的品牌及型号必须为清单中有效期内产品并提供证明文件，否则其投标将被认定为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568" w:name="_Toc11608"/>
      <w:bookmarkStart w:id="569" w:name="_Toc1633"/>
      <w:bookmarkStart w:id="570" w:name="_Toc9469"/>
      <w:bookmarkStart w:id="571" w:name="_Toc16070"/>
      <w:bookmarkStart w:id="572" w:name="_Toc16606"/>
      <w:bookmarkStart w:id="573" w:name="_Toc21658"/>
      <w:bookmarkStart w:id="574" w:name="_Toc21138"/>
      <w:bookmarkStart w:id="575" w:name="_Toc12161"/>
      <w:bookmarkStart w:id="576" w:name="_Toc29292"/>
      <w:bookmarkStart w:id="577" w:name="_Toc24344"/>
      <w:bookmarkStart w:id="578" w:name="_Toc515647782"/>
      <w:bookmarkStart w:id="579" w:name="_Toc6364"/>
      <w:bookmarkStart w:id="580" w:name="_Toc27571"/>
      <w:bookmarkStart w:id="581" w:name="_Toc28830"/>
      <w:bookmarkStart w:id="582" w:name="_Toc14269"/>
      <w:bookmarkStart w:id="583" w:name="_Toc7973"/>
      <w:bookmarkStart w:id="584" w:name="_Toc28431"/>
      <w:bookmarkStart w:id="585" w:name="_Toc22"/>
      <w:bookmarkStart w:id="586" w:name="_Toc10143"/>
      <w:bookmarkStart w:id="587" w:name="_Toc630"/>
      <w:bookmarkStart w:id="588" w:name="_Toc19042"/>
      <w:bookmarkStart w:id="589" w:name="_Toc21796"/>
      <w:bookmarkStart w:id="590" w:name="_Toc18062"/>
      <w:bookmarkStart w:id="591" w:name="_Toc21482"/>
      <w:bookmarkStart w:id="592" w:name="_Toc6538"/>
      <w:bookmarkStart w:id="593" w:name="_Toc5106"/>
      <w:r>
        <w:rPr>
          <w:rFonts w:hint="eastAsia" w:hAnsi="宋体" w:cs="宋体"/>
          <w:b/>
          <w:bCs/>
          <w:color w:val="auto"/>
          <w:sz w:val="24"/>
          <w:szCs w:val="24"/>
          <w:highlight w:val="none"/>
          <w:u w:val="none"/>
          <w:lang w:val="en-US" w:eastAsia="zh-CN"/>
        </w:rPr>
        <w:t>21</w:t>
      </w:r>
      <w:r>
        <w:rPr>
          <w:rFonts w:hint="eastAsia" w:ascii="宋体" w:hAnsi="宋体" w:eastAsia="宋体" w:cs="宋体"/>
          <w:b/>
          <w:bCs/>
          <w:color w:val="auto"/>
          <w:sz w:val="24"/>
          <w:szCs w:val="24"/>
          <w:highlight w:val="none"/>
          <w:u w:val="none"/>
        </w:rPr>
        <w:t>投标偏离</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pageBreakBefore w:val="0"/>
        <w:widowControl w:val="0"/>
        <w:kinsoku/>
        <w:wordWrap/>
        <w:overflowPunct/>
        <w:topLinePunct w:val="0"/>
        <w:bidi w:val="0"/>
        <w:spacing w:line="360" w:lineRule="exact"/>
        <w:ind w:left="640" w:leftChars="0" w:hanging="640" w:hangingChars="267"/>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评标委员会可以接受投标文件中不构成实质性偏离的不正规或不一致</w:t>
      </w:r>
      <w:bookmarkStart w:id="594" w:name="_Toc515647783"/>
      <w:bookmarkStart w:id="595" w:name="_Toc4950"/>
      <w:bookmarkStart w:id="596" w:name="_Toc6092"/>
      <w:r>
        <w:rPr>
          <w:rFonts w:hint="eastAsia" w:ascii="宋体" w:hAnsi="宋体" w:eastAsia="宋体" w:cs="宋体"/>
          <w:color w:val="auto"/>
          <w:sz w:val="24"/>
          <w:szCs w:val="24"/>
          <w:highlight w:val="none"/>
          <w:lang w:val="en-US" w:eastAsia="zh-CN"/>
        </w:rPr>
        <w:t>。</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597" w:name="_Toc28742"/>
      <w:bookmarkStart w:id="598" w:name="_Toc9594"/>
      <w:bookmarkStart w:id="599" w:name="_Toc20972"/>
      <w:bookmarkStart w:id="600" w:name="_Toc1222"/>
      <w:bookmarkStart w:id="601" w:name="_Toc8254"/>
      <w:bookmarkStart w:id="602" w:name="_Toc3291"/>
      <w:bookmarkStart w:id="603" w:name="_Toc19922"/>
      <w:bookmarkStart w:id="604" w:name="_Toc26299"/>
      <w:bookmarkStart w:id="605" w:name="_Toc6553"/>
      <w:bookmarkStart w:id="606" w:name="_Toc8973"/>
      <w:bookmarkStart w:id="607" w:name="_Toc11798"/>
      <w:bookmarkStart w:id="608" w:name="_Toc18096"/>
      <w:bookmarkStart w:id="609" w:name="_Toc12294"/>
      <w:bookmarkStart w:id="610" w:name="_Toc4727"/>
      <w:bookmarkStart w:id="611" w:name="_Toc13696"/>
      <w:bookmarkStart w:id="612" w:name="_Toc7356"/>
      <w:bookmarkStart w:id="613" w:name="_Toc1257"/>
      <w:bookmarkStart w:id="614" w:name="_Toc31472"/>
      <w:bookmarkStart w:id="615" w:name="_Toc27144"/>
      <w:bookmarkStart w:id="616" w:name="_Toc23335"/>
      <w:bookmarkStart w:id="617" w:name="_Toc23010"/>
      <w:bookmarkStart w:id="618" w:name="_Toc550"/>
      <w:bookmarkStart w:id="619" w:name="_Toc665"/>
      <w:r>
        <w:rPr>
          <w:rFonts w:hint="eastAsia" w:hAnsi="宋体" w:cs="宋体"/>
          <w:b/>
          <w:bCs/>
          <w:color w:val="auto"/>
          <w:sz w:val="24"/>
          <w:szCs w:val="24"/>
          <w:highlight w:val="none"/>
          <w:u w:val="none"/>
          <w:lang w:val="en-US" w:eastAsia="zh-CN"/>
        </w:rPr>
        <w:t>22.</w:t>
      </w:r>
      <w:r>
        <w:rPr>
          <w:rFonts w:hint="eastAsia" w:ascii="宋体" w:hAnsi="宋体" w:eastAsia="宋体" w:cs="宋体"/>
          <w:b/>
          <w:bCs/>
          <w:color w:val="auto"/>
          <w:sz w:val="24"/>
          <w:szCs w:val="24"/>
          <w:highlight w:val="none"/>
          <w:u w:val="none"/>
        </w:rPr>
        <w:t>投标</w:t>
      </w:r>
      <w:bookmarkEnd w:id="594"/>
      <w:r>
        <w:rPr>
          <w:rFonts w:hint="eastAsia" w:ascii="宋体" w:hAnsi="宋体" w:eastAsia="宋体" w:cs="宋体"/>
          <w:b/>
          <w:bCs/>
          <w:color w:val="auto"/>
          <w:sz w:val="24"/>
          <w:szCs w:val="24"/>
          <w:highlight w:val="none"/>
          <w:u w:val="none"/>
        </w:rPr>
        <w:t>无效</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不得通过修正或撤销不符合要求的偏离，从而使其投标成为实质上响应的投标。</w:t>
      </w:r>
    </w:p>
    <w:p>
      <w:pPr>
        <w:pageBreakBefore w:val="0"/>
        <w:widowControl w:val="0"/>
        <w:kinsoku/>
        <w:wordWrap/>
        <w:overflowPunct/>
        <w:topLinePunct w:val="0"/>
        <w:bidi w:val="0"/>
        <w:spacing w:line="360" w:lineRule="exact"/>
        <w:ind w:left="718" w:leftChars="342"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评标委员会决定投标的响应性只根据招标文件要求、投标文件内容及财政主管部门指定相关信息发布媒体。</w:t>
      </w:r>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rPr>
        <w:t>如发现下列情况之一的，其投标将被认定为投标无效</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未按招标文件规定的形式和金额提交投标保证金的；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未按照招标文件规定要求签署、盖章的；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未满足招标文件中技术条款的实质性要求；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与其他</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串通投标，或者与</w:t>
      </w:r>
      <w:r>
        <w:rPr>
          <w:rFonts w:hint="eastAsia" w:ascii="宋体"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串通投标；</w:t>
      </w:r>
      <w:r>
        <w:rPr>
          <w:rFonts w:hint="eastAsia" w:ascii="宋体" w:hAnsi="宋体" w:eastAsia="宋体" w:cs="宋体"/>
          <w:b/>
          <w:bCs/>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属于招标文件规定的其他投标无效情形；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538" w:leftChars="256"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评标委员会认为</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的报价明显低于其他通过符合性检查</w:t>
      </w:r>
      <w:r>
        <w:rPr>
          <w:rFonts w:hint="eastAsia" w:ascii="宋体" w:hAnsi="宋体" w:eastAsia="宋体" w:cs="宋体"/>
          <w:b/>
          <w:bCs/>
          <w:color w:val="auto"/>
          <w:sz w:val="24"/>
          <w:szCs w:val="24"/>
          <w:highlight w:val="none"/>
          <w:lang w:eastAsia="zh-CN"/>
        </w:rPr>
        <w:t>供应</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商</w:t>
      </w:r>
      <w:r>
        <w:rPr>
          <w:rFonts w:hint="eastAsia" w:ascii="宋体" w:hAnsi="宋体" w:eastAsia="宋体" w:cs="宋体"/>
          <w:b/>
          <w:bCs/>
          <w:color w:val="auto"/>
          <w:sz w:val="24"/>
          <w:szCs w:val="24"/>
          <w:highlight w:val="none"/>
        </w:rPr>
        <w:t>的报价，有可能影响履约的，且</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未按照规定证明其报价合理性的；</w:t>
      </w:r>
    </w:p>
    <w:p>
      <w:pPr>
        <w:pageBreakBefore w:val="0"/>
        <w:widowControl w:val="0"/>
        <w:numPr>
          <w:ilvl w:val="0"/>
          <w:numId w:val="0"/>
        </w:numPr>
        <w:kinsoku/>
        <w:wordWrap/>
        <w:overflowPunct/>
        <w:topLinePunct w:val="0"/>
        <w:bidi w:val="0"/>
        <w:spacing w:line="360" w:lineRule="exact"/>
        <w:ind w:left="-180"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投标文件含有采购人不能接受的附加条件的；</w:t>
      </w:r>
    </w:p>
    <w:p>
      <w:pPr>
        <w:pageBreakBefore w:val="0"/>
        <w:widowControl w:val="0"/>
        <w:numPr>
          <w:ilvl w:val="0"/>
          <w:numId w:val="0"/>
        </w:numPr>
        <w:tabs>
          <w:tab w:val="left" w:pos="0"/>
        </w:tabs>
        <w:kinsoku/>
        <w:wordWrap/>
        <w:overflowPunct/>
        <w:topLinePunct w:val="0"/>
        <w:bidi w:val="0"/>
        <w:spacing w:line="360" w:lineRule="exact"/>
        <w:ind w:left="-180"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不符合法规和招标文件中规定的其他实质性要求的。</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   有下列情形之一的，属于恶意串通，对供应商依照政府采购法第七十七条第一款的规定追究法律责任，对采购人、采购代理机构及其工作人员依照政府采购法第七十二条的规定追究法律责任：</w:t>
      </w:r>
    </w:p>
    <w:p>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（1）供应商直接或者间接从采购人或者采购代理机构处获得其他供应商的相关情况并修改其投标文件或者投标文件；</w:t>
      </w:r>
    </w:p>
    <w:p>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（2）供应商按照采购人或者采购代理机构的授意撤换、修改投标文件或者投标文件；</w:t>
      </w:r>
    </w:p>
    <w:p>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（3）供应商之间协商报价、技术方案等投标文件或者投标文件的实质性内容；</w:t>
      </w:r>
    </w:p>
    <w:p>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（4）属于同一集团、协会、商会等组织成员的供应商按照该组织要求协同参加政府采购活动；</w:t>
      </w:r>
    </w:p>
    <w:p>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（5）供应商之间事先约定由某一特定供应商中标、成交；</w:t>
      </w:r>
    </w:p>
    <w:p>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（6）供应商之间商定部分供应商放弃参加政府采购活动或者放弃中标、成交；</w:t>
      </w:r>
    </w:p>
    <w:p>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（7）供应商与采购人或者采购代理机构之间、供应商相互之间，为谋求特定供应商中标、成交或者排斥其他供应商的其他串通行为。</w:t>
      </w:r>
    </w:p>
    <w:bookmarkEnd w:id="567"/>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620" w:name="_Toc515647784"/>
      <w:bookmarkStart w:id="621" w:name="_Toc19116"/>
      <w:bookmarkStart w:id="622" w:name="_Toc18290"/>
      <w:bookmarkStart w:id="623" w:name="_Toc2833"/>
      <w:bookmarkStart w:id="624" w:name="_Toc22981"/>
      <w:bookmarkStart w:id="625" w:name="_Toc3877"/>
      <w:bookmarkStart w:id="626" w:name="_Toc16915"/>
      <w:bookmarkStart w:id="627" w:name="_Toc24349"/>
      <w:bookmarkStart w:id="628" w:name="_Toc15400"/>
      <w:bookmarkStart w:id="629" w:name="_Toc13652"/>
      <w:bookmarkStart w:id="630" w:name="_Toc20639"/>
      <w:bookmarkStart w:id="631" w:name="_Toc22267"/>
      <w:bookmarkStart w:id="632" w:name="_Toc22941"/>
      <w:bookmarkStart w:id="633" w:name="_Toc9523"/>
      <w:bookmarkStart w:id="634" w:name="_Toc4328"/>
      <w:bookmarkStart w:id="635" w:name="_Toc32146"/>
      <w:bookmarkStart w:id="636" w:name="_Toc20498"/>
      <w:bookmarkStart w:id="637" w:name="_Toc25837"/>
      <w:bookmarkStart w:id="638" w:name="_Toc13750"/>
      <w:bookmarkStart w:id="639" w:name="_Toc29015"/>
      <w:bookmarkStart w:id="640" w:name="_Toc13922"/>
      <w:bookmarkStart w:id="641" w:name="_Toc25606"/>
      <w:bookmarkStart w:id="642" w:name="_Toc13566"/>
      <w:r>
        <w:rPr>
          <w:rFonts w:hint="eastAsia" w:hAnsi="宋体" w:cs="宋体"/>
          <w:b/>
          <w:bCs/>
          <w:color w:val="auto"/>
          <w:sz w:val="24"/>
          <w:szCs w:val="24"/>
          <w:highlight w:val="none"/>
          <w:u w:val="none"/>
          <w:lang w:val="en-US" w:eastAsia="zh-CN"/>
        </w:rPr>
        <w:t>23.</w:t>
      </w:r>
      <w:r>
        <w:rPr>
          <w:rFonts w:hint="eastAsia" w:ascii="宋体" w:hAnsi="宋体" w:eastAsia="宋体" w:cs="宋体"/>
          <w:b/>
          <w:bCs/>
          <w:color w:val="auto"/>
          <w:sz w:val="24"/>
          <w:szCs w:val="24"/>
          <w:highlight w:val="none"/>
          <w:u w:val="none"/>
        </w:rPr>
        <w:t>比较与评价</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经符合性审查合格的投标文件，评标委员会将根据招标文件确定的评标方法和标准，对其技术部分和商务部分作进一步的比较和评价。</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23.2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评标严格按照招标文件的要求和条件进行。根据实际情况，在</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中规定采用下列一种评标方法，详细评标标准见招标文件第六章：</w:t>
      </w:r>
    </w:p>
    <w:p>
      <w:pPr>
        <w:pStyle w:val="15"/>
        <w:pageBreakBefore w:val="0"/>
        <w:widowControl w:val="0"/>
        <w:kinsoku/>
        <w:wordWrap/>
        <w:overflowPunct/>
        <w:topLinePunct w:val="0"/>
        <w:bidi w:val="0"/>
        <w:spacing w:line="360" w:lineRule="exact"/>
        <w:ind w:left="239" w:leftChars="114" w:firstLine="31" w:firstLineChars="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（1）最低评标价法，是指投标文件满足招标文件全部实质性要求，且投标报价最低的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为中标候选人的评标方法。</w:t>
      </w:r>
    </w:p>
    <w:p>
      <w:pPr>
        <w:pStyle w:val="15"/>
        <w:pageBreakBefore w:val="0"/>
        <w:widowControl w:val="0"/>
        <w:kinsoku/>
        <w:wordWrap/>
        <w:overflowPunct/>
        <w:topLinePunct w:val="0"/>
        <w:bidi w:val="0"/>
        <w:spacing w:line="360" w:lineRule="exact"/>
        <w:ind w:left="239" w:leftChars="114" w:firstLine="33" w:firstLineChars="1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（2）综合评分法，是指投标文件满足招标文件全部实质性要求，且按照评审因素的量化指标评审得分最高的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为中标候选人的评标方法。</w:t>
      </w: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i w:val="0"/>
          <w:caps w:val="0"/>
          <w:color w:val="000000" w:themeColor="text1"/>
          <w:spacing w:val="0"/>
          <w:w w:val="100"/>
          <w:sz w:val="24"/>
          <w:szCs w:val="24"/>
          <w:highlight w:val="none"/>
          <w:u w:val="none"/>
          <w:lang w:val="en-US" w:eastAsia="zh-CN"/>
          <w14:textFill>
            <w14:solidFill>
              <w14:schemeClr w14:val="tx1"/>
            </w14:solidFill>
          </w14:textFill>
        </w:rPr>
      </w:pPr>
      <w:r>
        <w:rPr>
          <w:rFonts w:hint="eastAsia" w:ascii="宋体" w:hAnsi="宋体" w:cs="宋体"/>
          <w:b/>
          <w:bCs/>
          <w:color w:val="auto"/>
          <w:sz w:val="24"/>
          <w:szCs w:val="24"/>
          <w:highlight w:val="none"/>
          <w:u w:val="none"/>
          <w:lang w:val="en-US" w:eastAsia="zh-CN"/>
        </w:rPr>
        <w:t>本项目</w:t>
      </w:r>
      <w:r>
        <w:rPr>
          <w:rFonts w:hint="eastAsia" w:ascii="宋体" w:hAnsi="宋体" w:eastAsia="宋体" w:cs="宋体"/>
          <w:b/>
          <w:bCs/>
          <w:color w:val="auto"/>
          <w:sz w:val="24"/>
          <w:szCs w:val="24"/>
          <w:highlight w:val="none"/>
          <w:u w:val="none"/>
        </w:rPr>
        <w:t>采用综合评分法</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价格占30%，商务</w:t>
      </w:r>
      <w:r>
        <w:rPr>
          <w:rFonts w:hint="eastAsia" w:ascii="宋体" w:hAnsi="宋体" w:cs="宋体"/>
          <w:b/>
          <w:bCs/>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技术占</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70</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
          <w:bCs/>
          <w:i w:val="0"/>
          <w:caps w:val="0"/>
          <w:color w:val="000000" w:themeColor="text1"/>
          <w:spacing w:val="0"/>
          <w:w w:val="100"/>
          <w:sz w:val="24"/>
          <w:szCs w:val="24"/>
          <w:highlight w:val="none"/>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380" w:lineRule="exact"/>
        <w:jc w:val="left"/>
        <w:rPr>
          <w:rFonts w:hint="eastAsia" w:hAnsi="宋体" w:cs="宋体"/>
          <w:b/>
          <w:bCs/>
          <w:color w:val="auto"/>
          <w:sz w:val="24"/>
          <w:szCs w:val="24"/>
          <w:highlight w:val="none"/>
          <w:u w:val="none"/>
          <w:lang w:val="en-US" w:eastAsia="zh-CN"/>
        </w:rPr>
      </w:pPr>
      <w:r>
        <w:rPr>
          <w:rFonts w:hint="eastAsia" w:ascii="宋体" w:hAnsi="宋体" w:eastAsia="宋体" w:cs="宋体"/>
          <w:b/>
          <w:bCs/>
          <w:color w:val="auto"/>
          <w:kern w:val="2"/>
          <w:sz w:val="24"/>
          <w:szCs w:val="24"/>
          <w:highlight w:val="none"/>
          <w:u w:val="none"/>
          <w:lang w:val="en-US" w:eastAsia="zh-CN" w:bidi="ar-SA"/>
        </w:rPr>
        <w:t xml:space="preserve">23.3   </w:t>
      </w:r>
      <w:r>
        <w:rPr>
          <w:rFonts w:hint="eastAsia" w:ascii="宋体" w:hAnsi="宋体" w:eastAsia="宋体" w:cs="宋体"/>
          <w:b/>
          <w:bCs/>
          <w:color w:val="auto"/>
          <w:sz w:val="24"/>
          <w:highlight w:val="none"/>
          <w:u w:val="none"/>
          <w:lang w:eastAsia="zh-CN"/>
        </w:rPr>
        <w:t>根据《财政部关于进一步加大政府采</w:t>
      </w:r>
      <w:r>
        <w:rPr>
          <w:rFonts w:hint="eastAsia" w:ascii="宋体" w:hAnsi="宋体" w:eastAsia="宋体" w:cs="宋体"/>
          <w:b/>
          <w:bCs/>
          <w:color w:val="auto"/>
          <w:sz w:val="24"/>
          <w:highlight w:val="none"/>
          <w:lang w:eastAsia="zh-CN"/>
        </w:rPr>
        <w:t>购支持中小企业力度的通知》财库〔2022〕19号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政府采购促进中小企业发展管理办法》（财库[2020]46号）、《财政部司法部关于政府采购支持监狱企业发展有关问题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宋体" w:hAnsi="宋体" w:eastAsia="宋体" w:cs="宋体"/>
          <w:b/>
          <w:bCs/>
          <w:color w:val="000000" w:themeColor="text1"/>
          <w:sz w:val="24"/>
          <w:highlight w:val="none"/>
          <w:u w:val="single"/>
          <w:lang w:eastAsia="zh-CN"/>
          <w14:textFill>
            <w14:solidFill>
              <w14:schemeClr w14:val="tx1"/>
            </w14:solidFill>
          </w14:textFill>
        </w:rPr>
        <w:t xml:space="preserve">  10  %</w:t>
      </w:r>
      <w:r>
        <w:rPr>
          <w:rFonts w:hint="eastAsia" w:ascii="宋体" w:hAnsi="宋体" w:eastAsia="宋体" w:cs="宋体"/>
          <w:b/>
          <w:bCs/>
          <w:color w:val="000000" w:themeColor="text1"/>
          <w:sz w:val="24"/>
          <w:highlight w:val="none"/>
          <w:lang w:eastAsia="zh-CN"/>
          <w14:textFill>
            <w14:solidFill>
              <w14:schemeClr w14:val="tx1"/>
            </w14:solidFill>
          </w14:textFill>
        </w:rPr>
        <w:t>后参与评审。</w:t>
      </w:r>
      <w:r>
        <w:rPr>
          <w:rFonts w:hint="eastAsia" w:ascii="宋体" w:hAnsi="宋体" w:eastAsia="宋体" w:cs="宋体"/>
          <w:b/>
          <w:bCs/>
          <w:color w:val="auto"/>
          <w:sz w:val="24"/>
          <w:highlight w:val="none"/>
          <w:lang w:eastAsia="zh-CN"/>
        </w:rPr>
        <w:t>对于同时属于小型、微型及小微企业、监狱企业或残疾人福利性单位的，不重复进行报价扣除。</w:t>
      </w:r>
      <w:bookmarkStart w:id="643" w:name="_Toc20227"/>
      <w:bookmarkStart w:id="644" w:name="_Toc30004"/>
      <w:bookmarkStart w:id="645" w:name="_Toc9378"/>
      <w:bookmarkStart w:id="646" w:name="_Toc19218"/>
      <w:bookmarkStart w:id="647" w:name="_Toc14038"/>
      <w:bookmarkStart w:id="648" w:name="_Toc7858"/>
      <w:bookmarkStart w:id="649" w:name="_Toc1505"/>
      <w:bookmarkStart w:id="650" w:name="_Toc12703"/>
      <w:bookmarkStart w:id="651" w:name="_Toc30602"/>
      <w:bookmarkStart w:id="652" w:name="_Toc28349"/>
      <w:bookmarkStart w:id="653" w:name="_Toc6001"/>
      <w:bookmarkStart w:id="654" w:name="_Toc6053"/>
      <w:bookmarkStart w:id="655" w:name="_Toc515647785"/>
      <w:bookmarkStart w:id="656" w:name="_Toc23302"/>
      <w:bookmarkStart w:id="657" w:name="_Toc26540"/>
      <w:bookmarkStart w:id="658" w:name="_Toc31084"/>
      <w:bookmarkStart w:id="659" w:name="_Toc7770"/>
      <w:bookmarkStart w:id="660" w:name="_Toc14346"/>
      <w:bookmarkStart w:id="661" w:name="_Toc29851"/>
      <w:bookmarkStart w:id="662" w:name="_Toc21133"/>
      <w:bookmarkStart w:id="663" w:name="_Toc27067"/>
      <w:bookmarkStart w:id="664" w:name="_Toc16371"/>
      <w:bookmarkStart w:id="665" w:name="_Toc30532"/>
      <w:bookmarkStart w:id="666" w:name="_Toc29970"/>
      <w:bookmarkStart w:id="667" w:name="_Toc16770"/>
      <w:bookmarkStart w:id="668" w:name="_Toc20064"/>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r>
        <w:rPr>
          <w:rFonts w:hint="eastAsia" w:hAnsi="宋体" w:cs="宋体"/>
          <w:b/>
          <w:bCs/>
          <w:color w:val="auto"/>
          <w:sz w:val="24"/>
          <w:szCs w:val="24"/>
          <w:highlight w:val="none"/>
          <w:u w:val="none"/>
          <w:lang w:val="en-US" w:eastAsia="zh-CN"/>
        </w:rPr>
        <w:t>24.</w:t>
      </w:r>
      <w:r>
        <w:rPr>
          <w:rFonts w:hint="eastAsia" w:ascii="宋体" w:hAnsi="宋体" w:eastAsia="宋体" w:cs="宋体"/>
          <w:b/>
          <w:bCs/>
          <w:color w:val="auto"/>
          <w:sz w:val="24"/>
          <w:szCs w:val="24"/>
          <w:highlight w:val="none"/>
          <w:u w:val="none"/>
        </w:rPr>
        <w:t>废标</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pageBreakBefore w:val="0"/>
        <w:widowControl w:val="0"/>
        <w:kinsoku/>
        <w:wordWrap/>
        <w:overflowPunct/>
        <w:topLinePunct w:val="0"/>
        <w:bidi w:val="0"/>
        <w:spacing w:line="360" w:lineRule="exact"/>
        <w:ind w:left="60" w:leftChars="0" w:hanging="60" w:hangingChars="25"/>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24.1</w:t>
      </w:r>
      <w:r>
        <w:rPr>
          <w:rFonts w:hint="eastAsia" w:ascii="宋体" w:hAnsi="宋体" w:eastAsia="宋体" w:cs="宋体"/>
          <w:b/>
          <w:bCs/>
          <w:color w:val="auto"/>
          <w:sz w:val="24"/>
          <w:szCs w:val="24"/>
          <w:highlight w:val="none"/>
        </w:rPr>
        <w:t>出现下列情形之一，将导致项目废标：</w:t>
      </w:r>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bidi w:val="0"/>
        <w:spacing w:line="3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（1）符合专业条件的供应商或者对招标文件做实质性响应的供应商不足三家；</w:t>
      </w:r>
    </w:p>
    <w:p>
      <w:pPr>
        <w:pageBreakBefore w:val="0"/>
        <w:widowControl w:val="0"/>
        <w:kinsoku/>
        <w:wordWrap/>
        <w:overflowPunct/>
        <w:topLinePunct w:val="0"/>
        <w:bidi w:val="0"/>
        <w:spacing w:line="360" w:lineRule="exact"/>
        <w:ind w:left="904" w:leftChars="0" w:hanging="904" w:hangingChars="37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（2）出现影响采购公正的违法、违规行为的；</w:t>
      </w:r>
    </w:p>
    <w:p>
      <w:pPr>
        <w:pageBreakBefore w:val="0"/>
        <w:widowControl w:val="0"/>
        <w:kinsoku/>
        <w:wordWrap/>
        <w:overflowPunct/>
        <w:topLinePunct w:val="0"/>
        <w:bidi w:val="0"/>
        <w:spacing w:line="3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的报价均超过了采购</w:t>
      </w:r>
      <w:r>
        <w:rPr>
          <w:rFonts w:hint="eastAsia" w:ascii="宋体" w:hAnsi="宋体" w:cs="宋体"/>
          <w:b/>
          <w:bCs/>
          <w:color w:val="auto"/>
          <w:sz w:val="24"/>
          <w:szCs w:val="24"/>
          <w:highlight w:val="none"/>
          <w:lang w:val="en-US" w:eastAsia="zh-CN"/>
        </w:rPr>
        <w:t>最高限价</w:t>
      </w:r>
      <w:r>
        <w:rPr>
          <w:rFonts w:hint="eastAsia" w:ascii="宋体" w:hAnsi="宋体" w:eastAsia="宋体" w:cs="宋体"/>
          <w:b/>
          <w:bCs/>
          <w:color w:val="auto"/>
          <w:sz w:val="24"/>
          <w:szCs w:val="24"/>
          <w:highlight w:val="none"/>
        </w:rPr>
        <w:t>，采购人不能支付的；</w:t>
      </w:r>
    </w:p>
    <w:p>
      <w:pPr>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（4）因重大变故，采购任务取消的。  </w:t>
      </w:r>
      <w:r>
        <w:rPr>
          <w:rFonts w:hint="eastAsia" w:ascii="宋体" w:hAnsi="宋体" w:eastAsia="宋体" w:cs="宋体"/>
          <w:color w:val="auto"/>
          <w:sz w:val="24"/>
          <w:szCs w:val="24"/>
          <w:highlight w:val="none"/>
        </w:rPr>
        <w:t xml:space="preserve"> </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669" w:name="_Toc25957"/>
      <w:bookmarkStart w:id="670" w:name="_Toc10657"/>
      <w:bookmarkStart w:id="671" w:name="_Toc21697"/>
      <w:bookmarkStart w:id="672" w:name="_Toc3793"/>
      <w:bookmarkStart w:id="673" w:name="_Toc515647786"/>
      <w:bookmarkStart w:id="674" w:name="_Toc10983"/>
      <w:bookmarkStart w:id="675" w:name="_Toc17702"/>
      <w:bookmarkStart w:id="676" w:name="_Toc11422"/>
      <w:bookmarkStart w:id="677" w:name="_Toc993"/>
      <w:bookmarkStart w:id="678" w:name="_Toc27604"/>
      <w:bookmarkStart w:id="679" w:name="_Toc9864"/>
      <w:bookmarkStart w:id="680" w:name="_Toc21380"/>
      <w:bookmarkStart w:id="681" w:name="_Toc29646"/>
      <w:bookmarkStart w:id="682" w:name="_Toc29790"/>
      <w:bookmarkStart w:id="683" w:name="_Toc5328"/>
      <w:bookmarkStart w:id="684" w:name="_Toc31289"/>
      <w:bookmarkStart w:id="685" w:name="_Toc13885"/>
      <w:bookmarkStart w:id="686" w:name="_Toc25775"/>
      <w:bookmarkStart w:id="687" w:name="_Toc24972"/>
      <w:bookmarkStart w:id="688" w:name="_Toc7638"/>
      <w:bookmarkStart w:id="689" w:name="_Toc23725"/>
      <w:bookmarkStart w:id="690" w:name="_Toc13385"/>
      <w:bookmarkStart w:id="691" w:name="_Toc5674"/>
      <w:bookmarkStart w:id="692" w:name="_Toc11460"/>
      <w:bookmarkStart w:id="693" w:name="_Toc3431"/>
      <w:bookmarkStart w:id="694" w:name="_Toc30848"/>
      <w:bookmarkStart w:id="695" w:name="_Toc520356169"/>
      <w:r>
        <w:rPr>
          <w:rFonts w:hint="eastAsia" w:hAnsi="宋体" w:cs="宋体"/>
          <w:b/>
          <w:bCs/>
          <w:color w:val="auto"/>
          <w:sz w:val="24"/>
          <w:szCs w:val="24"/>
          <w:highlight w:val="none"/>
          <w:u w:val="none"/>
          <w:lang w:val="en-US" w:eastAsia="zh-CN"/>
        </w:rPr>
        <w:t>25.</w:t>
      </w:r>
      <w:r>
        <w:rPr>
          <w:rFonts w:hint="eastAsia" w:ascii="宋体" w:hAnsi="宋体" w:eastAsia="宋体" w:cs="宋体"/>
          <w:b/>
          <w:bCs/>
          <w:color w:val="auto"/>
          <w:sz w:val="24"/>
          <w:szCs w:val="24"/>
          <w:highlight w:val="none"/>
          <w:u w:val="none"/>
        </w:rPr>
        <w:t>保密原则</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评标将在严格保密的情况下进行。</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政府采购评审专家应当遵守评审工作纪律，不得泄露评审文件、评审情况和评审中获悉的商业秘密。</w:t>
      </w:r>
    </w:p>
    <w:p>
      <w:pPr>
        <w:pageBreakBefore w:val="0"/>
        <w:widowControl w:val="0"/>
        <w:kinsoku/>
        <w:wordWrap/>
        <w:overflowPunct/>
        <w:topLinePunct w:val="0"/>
        <w:bidi w:val="0"/>
        <w:spacing w:line="360" w:lineRule="exact"/>
        <w:ind w:left="0" w:leftChars="0" w:hanging="540"/>
        <w:textAlignment w:val="auto"/>
        <w:rPr>
          <w:rFonts w:hint="eastAsia" w:ascii="宋体" w:hAnsi="宋体" w:eastAsia="宋体" w:cs="宋体"/>
          <w:color w:val="auto"/>
          <w:sz w:val="24"/>
          <w:szCs w:val="24"/>
          <w:highlight w:val="none"/>
        </w:rPr>
      </w:pPr>
    </w:p>
    <w:p>
      <w:pPr>
        <w:pStyle w:val="4"/>
        <w:pageBreakBefore w:val="0"/>
        <w:widowControl w:val="0"/>
        <w:kinsoku/>
        <w:wordWrap/>
        <w:overflowPunct/>
        <w:topLinePunct w:val="0"/>
        <w:bidi w:val="0"/>
        <w:spacing w:before="0" w:line="360" w:lineRule="exact"/>
        <w:ind w:left="0" w:leftChars="0" w:hanging="540"/>
        <w:textAlignment w:val="auto"/>
        <w:rPr>
          <w:rFonts w:hint="eastAsia" w:ascii="宋体" w:hAnsi="宋体" w:eastAsia="宋体" w:cs="宋体"/>
          <w:color w:val="auto"/>
          <w:sz w:val="24"/>
          <w:szCs w:val="24"/>
          <w:highlight w:val="none"/>
        </w:rPr>
      </w:pPr>
      <w:bookmarkStart w:id="696" w:name="_Toc23904"/>
      <w:bookmarkStart w:id="697" w:name="_Toc515647787"/>
      <w:bookmarkStart w:id="698" w:name="_Toc21721"/>
      <w:bookmarkStart w:id="699" w:name="_Toc31410"/>
      <w:bookmarkStart w:id="700" w:name="_Toc12143"/>
      <w:bookmarkStart w:id="701" w:name="_Toc27430"/>
      <w:bookmarkStart w:id="702" w:name="_Toc216582810"/>
      <w:r>
        <w:rPr>
          <w:rFonts w:hint="eastAsia" w:ascii="宋体" w:hAnsi="宋体" w:eastAsia="宋体" w:cs="宋体"/>
          <w:color w:val="auto"/>
          <w:sz w:val="24"/>
          <w:szCs w:val="24"/>
          <w:highlight w:val="none"/>
        </w:rPr>
        <w:t xml:space="preserve">六   </w:t>
      </w:r>
      <w:bookmarkEnd w:id="695"/>
      <w:r>
        <w:rPr>
          <w:rFonts w:hint="eastAsia" w:ascii="宋体" w:hAnsi="宋体" w:eastAsia="宋体" w:cs="宋体"/>
          <w:color w:val="auto"/>
          <w:sz w:val="24"/>
          <w:szCs w:val="24"/>
          <w:highlight w:val="none"/>
        </w:rPr>
        <w:t>确定中标</w:t>
      </w:r>
      <w:bookmarkEnd w:id="696"/>
      <w:bookmarkEnd w:id="697"/>
      <w:bookmarkEnd w:id="698"/>
      <w:bookmarkEnd w:id="699"/>
      <w:bookmarkEnd w:id="700"/>
      <w:bookmarkEnd w:id="701"/>
      <w:bookmarkEnd w:id="702"/>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lang w:val="en-US" w:eastAsia="zh-CN"/>
        </w:rPr>
      </w:pPr>
      <w:bookmarkStart w:id="703" w:name="_Toc30510"/>
      <w:bookmarkStart w:id="704" w:name="_Toc12168"/>
      <w:bookmarkStart w:id="705" w:name="_Toc24833"/>
      <w:bookmarkStart w:id="706" w:name="_Toc154"/>
      <w:bookmarkStart w:id="707" w:name="_Toc29156"/>
      <w:bookmarkStart w:id="708" w:name="_Toc23762"/>
      <w:bookmarkStart w:id="709" w:name="_Toc6381"/>
      <w:bookmarkStart w:id="710" w:name="_Toc24864"/>
      <w:bookmarkStart w:id="711" w:name="_Toc13936"/>
      <w:bookmarkStart w:id="712" w:name="_Toc23617"/>
      <w:bookmarkStart w:id="713" w:name="_Toc30741"/>
      <w:bookmarkStart w:id="714" w:name="_Toc28179"/>
      <w:bookmarkStart w:id="715" w:name="_Toc22054"/>
      <w:bookmarkStart w:id="716" w:name="_Toc520356170"/>
      <w:bookmarkStart w:id="717" w:name="_Toc17072"/>
      <w:bookmarkStart w:id="718" w:name="_Toc22284"/>
      <w:bookmarkStart w:id="719" w:name="_Toc14800"/>
      <w:bookmarkStart w:id="720" w:name="_Toc31710"/>
      <w:bookmarkStart w:id="721" w:name="_Toc20762"/>
      <w:bookmarkStart w:id="722" w:name="_Toc26456"/>
      <w:bookmarkStart w:id="723" w:name="_Toc3604"/>
      <w:bookmarkStart w:id="724" w:name="_Toc515647788"/>
      <w:bookmarkStart w:id="725" w:name="_Toc20567"/>
      <w:bookmarkStart w:id="726" w:name="_Toc24563"/>
      <w:bookmarkStart w:id="727" w:name="_Toc20061"/>
      <w:bookmarkStart w:id="728" w:name="_Ref467307010"/>
      <w:bookmarkStart w:id="729" w:name="_Toc27501"/>
      <w:r>
        <w:rPr>
          <w:rFonts w:hint="eastAsia" w:hAnsi="宋体" w:cs="宋体"/>
          <w:b/>
          <w:bCs/>
          <w:color w:val="auto"/>
          <w:sz w:val="24"/>
          <w:szCs w:val="24"/>
          <w:highlight w:val="none"/>
          <w:u w:val="none"/>
          <w:lang w:val="en-US" w:eastAsia="zh-CN"/>
        </w:rPr>
        <w:t>26.</w:t>
      </w:r>
      <w:r>
        <w:rPr>
          <w:rFonts w:hint="eastAsia" w:ascii="宋体" w:hAnsi="宋体" w:eastAsia="宋体" w:cs="宋体"/>
          <w:b/>
          <w:bCs/>
          <w:color w:val="auto"/>
          <w:sz w:val="24"/>
          <w:szCs w:val="24"/>
          <w:highlight w:val="none"/>
          <w:u w:val="none"/>
          <w:lang w:val="en-US" w:eastAsia="zh-CN"/>
        </w:rPr>
        <w:t>中标候选人的确定原则及标准</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pPr>
        <w:pageBreakBefore w:val="0"/>
        <w:widowControl w:val="0"/>
        <w:kinsoku/>
        <w:wordWrap/>
        <w:overflowPunct/>
        <w:topLinePunct w:val="0"/>
        <w:bidi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对实质上响应招标文件的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按下列方法进行排序，确定投标候选人：</w:t>
      </w:r>
    </w:p>
    <w:p>
      <w:pPr>
        <w:pageBreakBefore w:val="0"/>
        <w:widowControl w:val="0"/>
        <w:kinsoku/>
        <w:wordWrap/>
        <w:overflowPunct/>
        <w:topLinePunct w:val="0"/>
        <w:bidi w:val="0"/>
        <w:spacing w:line="360" w:lineRule="exact"/>
        <w:ind w:left="0" w:leftChars="0" w:firstLine="480" w:firstLineChars="200"/>
        <w:textAlignment w:val="auto"/>
        <w:rPr>
          <w:rFonts w:hint="eastAsia" w:ascii="宋体" w:hAnsi="宋体" w:eastAsia="宋体" w:cs="宋体"/>
          <w:color w:val="auto"/>
          <w:sz w:val="24"/>
          <w:szCs w:val="24"/>
          <w:highlight w:val="none"/>
        </w:rPr>
      </w:pPr>
      <w:bookmarkStart w:id="730" w:name="_Toc520356171"/>
      <w:bookmarkStart w:id="731" w:name="_Toc515647789"/>
      <w:r>
        <w:rPr>
          <w:rFonts w:hint="eastAsia" w:ascii="宋体" w:hAnsi="宋体" w:eastAsia="宋体" w:cs="宋体"/>
          <w:color w:val="auto"/>
          <w:sz w:val="24"/>
          <w:szCs w:val="24"/>
          <w:highlight w:val="none"/>
        </w:rPr>
        <w:t>（1）采用最低评标价法的，除了算术修正和落实政府采购政策需进行的价格扣除外，不对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的投标价格进行任何调整。评标结果按修正和扣除后的投标报价由低到高顺序排列。报价相同的处理方式详见招标文件第6章。</w:t>
      </w:r>
    </w:p>
    <w:p>
      <w:pPr>
        <w:pageBreakBefore w:val="0"/>
        <w:widowControl w:val="0"/>
        <w:kinsoku/>
        <w:wordWrap/>
        <w:overflowPunct/>
        <w:topLinePunct w:val="0"/>
        <w:bidi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i w:val="0"/>
          <w:caps w:val="0"/>
          <w:color w:val="auto"/>
          <w:spacing w:val="0"/>
          <w:w w:val="100"/>
          <w:sz w:val="24"/>
          <w:szCs w:val="24"/>
          <w:highlight w:val="none"/>
          <w:lang w:val="en-US" w:eastAsia="zh-CN"/>
        </w:rPr>
      </w:pPr>
      <w:bookmarkStart w:id="732" w:name="_Toc17933"/>
      <w:bookmarkStart w:id="733" w:name="_Toc30756"/>
      <w:bookmarkStart w:id="734" w:name="_Toc27172"/>
      <w:bookmarkStart w:id="735" w:name="_Toc976"/>
      <w:bookmarkStart w:id="736" w:name="_Toc24948"/>
      <w:bookmarkStart w:id="737" w:name="_Toc721"/>
      <w:bookmarkStart w:id="738" w:name="_Toc15364"/>
      <w:bookmarkStart w:id="739" w:name="_Toc12678"/>
      <w:bookmarkStart w:id="740" w:name="_Toc2108"/>
      <w:bookmarkStart w:id="741" w:name="_Toc11247"/>
      <w:bookmarkStart w:id="742" w:name="_Toc29803"/>
      <w:bookmarkStart w:id="743" w:name="_Toc17164"/>
      <w:bookmarkStart w:id="744" w:name="_Toc21913"/>
      <w:bookmarkStart w:id="745" w:name="_Toc2803"/>
      <w:bookmarkStart w:id="746" w:name="_Toc16846"/>
      <w:bookmarkStart w:id="747" w:name="_Toc15604"/>
      <w:bookmarkStart w:id="748" w:name="_Toc21306"/>
      <w:bookmarkStart w:id="749" w:name="_Toc1644"/>
      <w:bookmarkStart w:id="750" w:name="_Toc17200"/>
      <w:bookmarkStart w:id="751" w:name="_Toc25274"/>
      <w:bookmarkStart w:id="752" w:name="_Toc3720"/>
      <w:bookmarkStart w:id="753" w:name="_Toc11969"/>
      <w:bookmarkStart w:id="754" w:name="_Toc14558"/>
      <w:bookmarkStart w:id="755" w:name="_Toc28294"/>
      <w:r>
        <w:rPr>
          <w:rFonts w:hint="eastAsia" w:ascii="宋体" w:hAnsi="宋体" w:cs="宋体"/>
          <w:b/>
          <w:bCs/>
          <w:color w:val="auto"/>
          <w:sz w:val="24"/>
          <w:szCs w:val="24"/>
          <w:highlight w:val="none"/>
          <w:lang w:val="en-US" w:eastAsia="zh-CN"/>
        </w:rPr>
        <w:t>本项目</w:t>
      </w:r>
      <w:r>
        <w:rPr>
          <w:rFonts w:hint="eastAsia" w:ascii="宋体" w:hAnsi="宋体" w:eastAsia="宋体" w:cs="宋体"/>
          <w:b/>
          <w:bCs/>
          <w:color w:val="auto"/>
          <w:sz w:val="24"/>
          <w:szCs w:val="24"/>
          <w:highlight w:val="none"/>
        </w:rPr>
        <w:t>采用综合评分法</w:t>
      </w:r>
      <w:r>
        <w:rPr>
          <w:rFonts w:hint="eastAsia" w:ascii="宋体" w:hAnsi="宋体" w:eastAsia="宋体" w:cs="宋体"/>
          <w:b/>
          <w:bCs/>
          <w:i w:val="0"/>
          <w:caps w:val="0"/>
          <w:color w:val="auto"/>
          <w:spacing w:val="0"/>
          <w:w w:val="100"/>
          <w:sz w:val="24"/>
          <w:szCs w:val="24"/>
          <w:highlight w:val="none"/>
          <w:lang w:val="en-US" w:eastAsia="zh-CN"/>
        </w:rPr>
        <w:t>。</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756" w:name="_Toc15710"/>
      <w:bookmarkStart w:id="757" w:name="_Toc4911"/>
      <w:r>
        <w:rPr>
          <w:rFonts w:hint="eastAsia" w:hAnsi="宋体" w:cs="宋体"/>
          <w:b/>
          <w:bCs/>
          <w:color w:val="auto"/>
          <w:sz w:val="24"/>
          <w:szCs w:val="24"/>
          <w:highlight w:val="none"/>
          <w:u w:val="none"/>
          <w:lang w:val="en-US" w:eastAsia="zh-CN"/>
        </w:rPr>
        <w:t>27.</w:t>
      </w:r>
      <w:r>
        <w:rPr>
          <w:rFonts w:hint="eastAsia" w:ascii="宋体" w:hAnsi="宋体" w:eastAsia="宋体" w:cs="宋体"/>
          <w:b/>
          <w:bCs/>
          <w:color w:val="auto"/>
          <w:sz w:val="24"/>
          <w:szCs w:val="24"/>
          <w:highlight w:val="none"/>
          <w:u w:val="none"/>
        </w:rPr>
        <w:t>确定</w:t>
      </w:r>
      <w:r>
        <w:rPr>
          <w:rFonts w:hint="eastAsia" w:ascii="宋体" w:hAnsi="宋体" w:eastAsia="宋体" w:cs="宋体"/>
          <w:b/>
          <w:bCs/>
          <w:color w:val="auto"/>
          <w:sz w:val="24"/>
          <w:szCs w:val="24"/>
          <w:highlight w:val="none"/>
          <w:u w:val="none"/>
          <w:lang w:val="en-US" w:eastAsia="zh-CN"/>
        </w:rPr>
        <w:t>中标</w:t>
      </w:r>
      <w:r>
        <w:rPr>
          <w:rFonts w:hint="eastAsia" w:ascii="宋体" w:hAnsi="宋体" w:eastAsia="宋体" w:cs="宋体"/>
          <w:b/>
          <w:bCs/>
          <w:color w:val="auto"/>
          <w:sz w:val="24"/>
          <w:szCs w:val="24"/>
          <w:highlight w:val="none"/>
          <w:u w:val="none"/>
        </w:rPr>
        <w:t>候选人和</w:t>
      </w:r>
      <w:bookmarkEnd w:id="732"/>
      <w:r>
        <w:rPr>
          <w:rFonts w:hint="eastAsia" w:ascii="宋体" w:hAnsi="宋体" w:eastAsia="宋体" w:cs="宋体"/>
          <w:b/>
          <w:bCs/>
          <w:color w:val="auto"/>
          <w:sz w:val="24"/>
          <w:szCs w:val="24"/>
          <w:highlight w:val="none"/>
          <w:u w:val="none"/>
          <w:lang w:val="en-US" w:eastAsia="zh-CN"/>
        </w:rPr>
        <w:t>中标</w:t>
      </w:r>
      <w:r>
        <w:rPr>
          <w:rFonts w:hint="eastAsia" w:ascii="宋体" w:hAnsi="宋体" w:eastAsia="宋体" w:cs="宋体"/>
          <w:b/>
          <w:bCs/>
          <w:color w:val="auto"/>
          <w:sz w:val="24"/>
          <w:szCs w:val="24"/>
          <w:highlight w:val="none"/>
          <w:u w:val="none"/>
        </w:rPr>
        <w:t>人</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bookmarkEnd w:id="730"/>
    <w:bookmarkEnd w:id="731"/>
    <w:p>
      <w:pPr>
        <w:pageBreakBefore w:val="0"/>
        <w:widowControl w:val="0"/>
        <w:kinsoku/>
        <w:wordWrap/>
        <w:overflowPunct/>
        <w:topLinePunct w:val="0"/>
        <w:bidi w:val="0"/>
        <w:spacing w:line="360" w:lineRule="exact"/>
        <w:ind w:left="479" w:leftChars="228" w:firstLine="60" w:firstLineChars="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评标委员会将根据评标标准，按</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须知资料表中</w:t>
      </w:r>
      <w:r>
        <w:rPr>
          <w:rFonts w:hint="eastAsia" w:ascii="宋体" w:hAnsi="宋体" w:eastAsia="宋体" w:cs="宋体"/>
          <w:color w:val="auto"/>
          <w:sz w:val="24"/>
          <w:szCs w:val="24"/>
          <w:highlight w:val="none"/>
        </w:rPr>
        <w:t>规定数量推荐中标候</w:t>
      </w:r>
    </w:p>
    <w:p>
      <w:pPr>
        <w:pageBreakBefore w:val="0"/>
        <w:widowControl w:val="0"/>
        <w:kinsoku/>
        <w:wordWrap/>
        <w:overflowPunct/>
        <w:topLinePunct w:val="0"/>
        <w:bidi w:val="0"/>
        <w:spacing w:line="360" w:lineRule="exact"/>
        <w:ind w:left="479" w:leftChars="228" w:firstLine="60" w:firstLineChars="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选人；或根据采购人的委托，直接确定中标人。</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758" w:name="_Toc3328"/>
      <w:bookmarkStart w:id="759" w:name="_Toc21618"/>
      <w:bookmarkStart w:id="760" w:name="_Toc20001"/>
      <w:bookmarkStart w:id="761" w:name="_Toc45"/>
      <w:bookmarkStart w:id="762" w:name="_Toc10338"/>
      <w:bookmarkStart w:id="763" w:name="_Toc18821"/>
      <w:bookmarkStart w:id="764" w:name="_Toc8389"/>
      <w:bookmarkStart w:id="765" w:name="_Toc21889"/>
      <w:bookmarkStart w:id="766" w:name="_Toc9701"/>
      <w:bookmarkStart w:id="767" w:name="_Toc24959"/>
      <w:bookmarkStart w:id="768" w:name="_Toc19007"/>
      <w:bookmarkStart w:id="769" w:name="_Toc2533"/>
      <w:bookmarkStart w:id="770" w:name="_Toc32455"/>
      <w:bookmarkStart w:id="771" w:name="_Toc20705"/>
      <w:bookmarkStart w:id="772" w:name="_Toc7630"/>
      <w:bookmarkStart w:id="773" w:name="_Toc31043"/>
      <w:bookmarkStart w:id="774" w:name="_Toc515647790"/>
      <w:bookmarkStart w:id="775" w:name="_Toc5507"/>
      <w:bookmarkStart w:id="776" w:name="_Toc18980"/>
      <w:bookmarkStart w:id="777" w:name="_Toc21208"/>
      <w:bookmarkStart w:id="778" w:name="_Toc9640"/>
      <w:bookmarkStart w:id="779" w:name="_Toc1269"/>
      <w:bookmarkStart w:id="780" w:name="_Toc7156"/>
      <w:bookmarkStart w:id="781" w:name="_Toc6340"/>
      <w:bookmarkStart w:id="782" w:name="_Toc17591"/>
      <w:bookmarkStart w:id="783" w:name="_Toc28562"/>
      <w:r>
        <w:rPr>
          <w:rFonts w:hint="eastAsia" w:hAnsi="宋体" w:cs="宋体"/>
          <w:b/>
          <w:bCs/>
          <w:color w:val="auto"/>
          <w:sz w:val="24"/>
          <w:szCs w:val="24"/>
          <w:highlight w:val="none"/>
          <w:u w:val="none"/>
          <w:lang w:val="en-US" w:eastAsia="zh-CN"/>
        </w:rPr>
        <w:t>28.</w:t>
      </w:r>
      <w:r>
        <w:rPr>
          <w:rFonts w:hint="eastAsia" w:ascii="宋体" w:hAnsi="宋体" w:eastAsia="宋体" w:cs="宋体"/>
          <w:b/>
          <w:bCs/>
          <w:color w:val="auto"/>
          <w:sz w:val="24"/>
          <w:szCs w:val="24"/>
          <w:highlight w:val="none"/>
          <w:u w:val="none"/>
        </w:rPr>
        <w:t>采购任务取消</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因重大变故采购任务取消时，采购人有权拒绝任何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中标，且对受影响的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不承担任何责任。</w:t>
      </w:r>
      <w:bookmarkStart w:id="784" w:name="_Toc520356174"/>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785" w:name="_Toc30931"/>
      <w:bookmarkStart w:id="786" w:name="_Toc12348"/>
      <w:bookmarkStart w:id="787" w:name="_Toc10717"/>
      <w:bookmarkStart w:id="788" w:name="_Toc13576"/>
      <w:bookmarkStart w:id="789" w:name="_Toc21583"/>
      <w:bookmarkStart w:id="790" w:name="_Toc8140"/>
      <w:bookmarkStart w:id="791" w:name="_Toc27996"/>
      <w:bookmarkStart w:id="792" w:name="_Toc515647791"/>
      <w:bookmarkStart w:id="793" w:name="_Toc14221"/>
      <w:bookmarkStart w:id="794" w:name="_Toc20363"/>
      <w:bookmarkStart w:id="795" w:name="_Toc30149"/>
      <w:bookmarkStart w:id="796" w:name="_Toc515"/>
      <w:bookmarkStart w:id="797" w:name="_Toc5820"/>
      <w:bookmarkStart w:id="798" w:name="_Toc9886"/>
      <w:bookmarkStart w:id="799" w:name="_Toc1676"/>
      <w:bookmarkStart w:id="800" w:name="_Toc31099"/>
      <w:bookmarkStart w:id="801" w:name="_Toc4099"/>
      <w:bookmarkStart w:id="802" w:name="_Toc1818"/>
      <w:bookmarkStart w:id="803" w:name="_Toc30170"/>
      <w:bookmarkStart w:id="804" w:name="_Toc8834"/>
      <w:bookmarkStart w:id="805" w:name="_Toc25281"/>
      <w:bookmarkStart w:id="806" w:name="_Toc137"/>
      <w:bookmarkStart w:id="807" w:name="_Toc1178"/>
      <w:bookmarkStart w:id="808" w:name="_Toc15667"/>
      <w:bookmarkStart w:id="809" w:name="_Toc31066"/>
      <w:bookmarkStart w:id="810" w:name="_Toc17202"/>
      <w:r>
        <w:rPr>
          <w:rFonts w:hint="eastAsia" w:hAnsi="宋体" w:cs="宋体"/>
          <w:b/>
          <w:bCs/>
          <w:color w:val="auto"/>
          <w:sz w:val="24"/>
          <w:szCs w:val="24"/>
          <w:highlight w:val="none"/>
          <w:u w:val="none"/>
          <w:lang w:val="en-US" w:eastAsia="zh-CN"/>
        </w:rPr>
        <w:t>29.</w:t>
      </w:r>
      <w:r>
        <w:rPr>
          <w:rFonts w:hint="eastAsia" w:ascii="宋体" w:hAnsi="宋体" w:eastAsia="宋体" w:cs="宋体"/>
          <w:b/>
          <w:bCs/>
          <w:color w:val="auto"/>
          <w:sz w:val="24"/>
          <w:szCs w:val="24"/>
          <w:highlight w:val="none"/>
          <w:u w:val="none"/>
        </w:rPr>
        <w:t>中标通知书</w:t>
      </w:r>
      <w:bookmarkEnd w:id="784"/>
      <w:r>
        <w:rPr>
          <w:rFonts w:hint="eastAsia" w:ascii="宋体" w:hAnsi="宋体" w:eastAsia="宋体" w:cs="宋体"/>
          <w:b/>
          <w:bCs/>
          <w:color w:val="auto"/>
          <w:sz w:val="24"/>
          <w:szCs w:val="24"/>
          <w:highlight w:val="none"/>
          <w:u w:val="none"/>
        </w:rPr>
        <w:t>和招标结果通知书</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在投标有效期内，中标人确定后，采购人或者采购代理机构发布中标公告，同时以书面形式向中标人发出中标通知书。</w:t>
      </w:r>
    </w:p>
    <w:p>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中标通知书是合同的组成部分。</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    招标结果通知书和中标通知书同时发出。招标结果通知书中将告知未通过资格审查的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未通过的原因；采用综合评分法评审的，还将告知未中标人本人的评审得分和排序。</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811" w:name="_Ref467307204"/>
      <w:bookmarkStart w:id="812" w:name="_Toc830"/>
      <w:bookmarkStart w:id="813" w:name="_Toc29255"/>
      <w:bookmarkStart w:id="814" w:name="_Toc7779"/>
      <w:bookmarkStart w:id="815" w:name="_Toc4466"/>
      <w:bookmarkStart w:id="816" w:name="_Toc13210"/>
      <w:bookmarkStart w:id="817" w:name="_Toc9945"/>
      <w:bookmarkStart w:id="818" w:name="_Toc14551"/>
      <w:bookmarkStart w:id="819" w:name="_Toc6885"/>
      <w:bookmarkStart w:id="820" w:name="_Toc29299"/>
      <w:bookmarkStart w:id="821" w:name="_Toc24666"/>
      <w:bookmarkStart w:id="822" w:name="_Ref467306978"/>
      <w:bookmarkStart w:id="823" w:name="_Toc732"/>
      <w:bookmarkStart w:id="824" w:name="_Toc13873"/>
      <w:bookmarkStart w:id="825" w:name="_Toc26465"/>
      <w:bookmarkStart w:id="826" w:name="_Toc19580"/>
      <w:bookmarkStart w:id="827" w:name="_Toc790"/>
      <w:bookmarkStart w:id="828" w:name="_Ref467306377"/>
      <w:bookmarkStart w:id="829" w:name="_Toc11340"/>
      <w:bookmarkStart w:id="830" w:name="_Toc3557"/>
      <w:bookmarkStart w:id="831" w:name="_Toc14106"/>
      <w:bookmarkStart w:id="832" w:name="_Ref467307062"/>
      <w:bookmarkStart w:id="833" w:name="_Toc26598"/>
      <w:bookmarkStart w:id="834" w:name="_Toc30068"/>
      <w:bookmarkStart w:id="835" w:name="_Toc7584"/>
      <w:bookmarkStart w:id="836" w:name="_Toc15018"/>
      <w:bookmarkStart w:id="837" w:name="_Toc520356175"/>
      <w:bookmarkStart w:id="838" w:name="_Toc515647792"/>
      <w:bookmarkStart w:id="839" w:name="_Toc14896"/>
      <w:bookmarkStart w:id="840" w:name="_Toc9417"/>
      <w:bookmarkStart w:id="841" w:name="_Toc1386"/>
      <w:r>
        <w:rPr>
          <w:rFonts w:hint="eastAsia" w:hAnsi="宋体" w:cs="宋体"/>
          <w:b/>
          <w:bCs/>
          <w:color w:val="auto"/>
          <w:sz w:val="24"/>
          <w:szCs w:val="24"/>
          <w:highlight w:val="none"/>
          <w:u w:val="none"/>
          <w:lang w:val="en-US" w:eastAsia="zh-CN"/>
        </w:rPr>
        <w:t>30.</w:t>
      </w:r>
      <w:r>
        <w:rPr>
          <w:rFonts w:hint="eastAsia" w:ascii="宋体" w:hAnsi="宋体" w:eastAsia="宋体" w:cs="宋体"/>
          <w:b/>
          <w:bCs/>
          <w:color w:val="auto"/>
          <w:sz w:val="24"/>
          <w:szCs w:val="24"/>
          <w:highlight w:val="none"/>
          <w:u w:val="none"/>
        </w:rPr>
        <w:t>签订合同</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中标人应当自发出中标通知书之日起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日内，与采购人签订合同。</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w:t>
      </w:r>
      <w:r>
        <w:rPr>
          <w:rFonts w:hint="eastAsia" w:ascii="宋体" w:hAnsi="宋体" w:eastAsia="宋体" w:cs="宋体"/>
          <w:color w:val="auto"/>
          <w:sz w:val="24"/>
          <w:szCs w:val="24"/>
          <w:highlight w:val="none"/>
        </w:rPr>
        <w:tab/>
      </w:r>
      <w:bookmarkStart w:id="842" w:name="_Toc520356176"/>
      <w:bookmarkStart w:id="843" w:name="_Ref467306425"/>
      <w:bookmarkStart w:id="844" w:name="_Ref467307090"/>
      <w:r>
        <w:rPr>
          <w:rFonts w:hint="eastAsia" w:ascii="宋体" w:hAnsi="宋体" w:eastAsia="宋体" w:cs="宋体"/>
          <w:color w:val="auto"/>
          <w:sz w:val="24"/>
          <w:szCs w:val="24"/>
          <w:highlight w:val="none"/>
        </w:rPr>
        <w:t>招标文件、中标人的投标文件及其澄清文件等，均为签订合同的依据。</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   中标人拒绝与采购人签订合同的，采购人可以按照评审报告推荐的中标候选人名单排序，确定下一中标候选人为中标人，也可以重新开展政府采购活动。</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   当出现法规规定的</w:t>
      </w:r>
      <w:r>
        <w:rPr>
          <w:rFonts w:hint="eastAsia" w:ascii="宋体" w:hAnsi="宋体" w:eastAsia="宋体" w:cs="宋体"/>
          <w:b/>
          <w:color w:val="auto"/>
          <w:sz w:val="24"/>
          <w:szCs w:val="24"/>
          <w:highlight w:val="none"/>
        </w:rPr>
        <w:t>中标无效或中标结果无效</w:t>
      </w:r>
      <w:r>
        <w:rPr>
          <w:rFonts w:hint="eastAsia" w:ascii="宋体" w:hAnsi="宋体" w:eastAsia="宋体" w:cs="宋体"/>
          <w:color w:val="auto"/>
          <w:sz w:val="24"/>
          <w:szCs w:val="24"/>
          <w:highlight w:val="none"/>
        </w:rPr>
        <w:t>情形时，采购人可与排名下一位的中标候选人另行签订合同，或依法重新开展采购活动。</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845" w:name="_Toc4460"/>
      <w:bookmarkStart w:id="846" w:name="_Toc28788"/>
      <w:bookmarkStart w:id="847" w:name="_Toc16092"/>
      <w:bookmarkStart w:id="848" w:name="_Toc15755"/>
      <w:bookmarkStart w:id="849" w:name="_Toc11467"/>
      <w:bookmarkStart w:id="850" w:name="_Toc32131"/>
      <w:bookmarkStart w:id="851" w:name="_Toc15750"/>
      <w:bookmarkStart w:id="852" w:name="_Toc11387"/>
      <w:bookmarkStart w:id="853" w:name="_Toc31991"/>
      <w:bookmarkStart w:id="854" w:name="_Toc14080"/>
      <w:bookmarkStart w:id="855" w:name="_Toc4849"/>
      <w:bookmarkStart w:id="856" w:name="_Toc8801"/>
      <w:bookmarkStart w:id="857" w:name="_Toc13252"/>
      <w:bookmarkStart w:id="858" w:name="_Toc11471"/>
      <w:bookmarkStart w:id="859" w:name="_Toc9468"/>
      <w:bookmarkStart w:id="860" w:name="_Toc15498"/>
      <w:bookmarkStart w:id="861" w:name="_Toc10991"/>
      <w:bookmarkStart w:id="862" w:name="_Toc17960"/>
      <w:bookmarkStart w:id="863" w:name="_Toc26902"/>
      <w:bookmarkStart w:id="864" w:name="_Toc21692"/>
      <w:bookmarkStart w:id="865" w:name="_Toc31190"/>
      <w:bookmarkStart w:id="866" w:name="_Toc8189"/>
      <w:bookmarkStart w:id="867" w:name="_Toc22555"/>
      <w:bookmarkStart w:id="868" w:name="_Toc23943"/>
      <w:bookmarkStart w:id="869" w:name="_Toc32530"/>
      <w:bookmarkStart w:id="870" w:name="_Toc515647793"/>
      <w:r>
        <w:rPr>
          <w:rFonts w:hint="eastAsia" w:hAnsi="宋体" w:cs="宋体"/>
          <w:b/>
          <w:bCs/>
          <w:color w:val="auto"/>
          <w:sz w:val="24"/>
          <w:szCs w:val="24"/>
          <w:highlight w:val="none"/>
          <w:u w:val="none"/>
          <w:lang w:val="en-US" w:eastAsia="zh-CN"/>
        </w:rPr>
        <w:t>31.</w:t>
      </w:r>
      <w:r>
        <w:rPr>
          <w:rFonts w:hint="eastAsia" w:ascii="宋体" w:hAnsi="宋体" w:eastAsia="宋体" w:cs="宋体"/>
          <w:b/>
          <w:bCs/>
          <w:color w:val="auto"/>
          <w:sz w:val="24"/>
          <w:szCs w:val="24"/>
          <w:highlight w:val="none"/>
          <w:u w:val="none"/>
        </w:rPr>
        <w:t>履约保证金</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中标人应按照</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规定向采购人缴纳履约保证金。</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政府采购利用担保试点范围内的项目，除31.1规定的情形外，中标人也可以按照财政部门的规定，向采购人提供合格的履约担</w:t>
      </w:r>
      <w:r>
        <w:rPr>
          <w:rFonts w:hint="eastAsia" w:ascii="宋体" w:hAnsi="宋体" w:eastAsia="宋体" w:cs="宋体"/>
          <w:color w:val="auto"/>
          <w:sz w:val="24"/>
          <w:szCs w:val="24"/>
          <w:highlight w:val="none"/>
          <w:lang w:eastAsia="zh-CN"/>
        </w:rPr>
        <w:t>保函。</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871" w:name="_Toc1144"/>
      <w:bookmarkStart w:id="872" w:name="_Toc8906"/>
      <w:bookmarkStart w:id="873" w:name="_Toc17667"/>
      <w:bookmarkStart w:id="874" w:name="_Toc21246"/>
      <w:bookmarkStart w:id="875" w:name="_Toc25385"/>
      <w:bookmarkStart w:id="876" w:name="_Toc3090"/>
      <w:bookmarkStart w:id="877" w:name="_Toc14040"/>
      <w:bookmarkStart w:id="878" w:name="_Toc26497"/>
      <w:bookmarkStart w:id="879" w:name="_Toc20540"/>
      <w:bookmarkStart w:id="880" w:name="_Toc30817"/>
      <w:bookmarkStart w:id="881" w:name="_Toc15314"/>
      <w:bookmarkStart w:id="882" w:name="_Toc31793"/>
      <w:bookmarkStart w:id="883" w:name="_Toc16406"/>
      <w:bookmarkStart w:id="884" w:name="_Toc9967"/>
      <w:bookmarkStart w:id="885" w:name="_Toc9993"/>
      <w:bookmarkStart w:id="886" w:name="_Toc1705"/>
      <w:bookmarkStart w:id="887" w:name="_Toc29408"/>
      <w:bookmarkStart w:id="888" w:name="_Toc515647794"/>
      <w:bookmarkStart w:id="889" w:name="_Toc24979"/>
      <w:bookmarkStart w:id="890" w:name="_Toc13043"/>
      <w:bookmarkStart w:id="891" w:name="_Toc14539"/>
      <w:bookmarkStart w:id="892" w:name="_Toc13048"/>
      <w:bookmarkStart w:id="893" w:name="_Toc17462"/>
      <w:bookmarkStart w:id="894" w:name="_Toc17827"/>
      <w:bookmarkStart w:id="895" w:name="_Toc17256"/>
      <w:bookmarkStart w:id="896" w:name="_Toc21835"/>
      <w:r>
        <w:rPr>
          <w:rFonts w:hint="eastAsia" w:hAnsi="宋体" w:cs="宋体"/>
          <w:b/>
          <w:bCs/>
          <w:color w:val="auto"/>
          <w:sz w:val="24"/>
          <w:szCs w:val="24"/>
          <w:highlight w:val="none"/>
          <w:u w:val="none"/>
          <w:lang w:val="en-US" w:eastAsia="zh-CN"/>
        </w:rPr>
        <w:t>32.</w:t>
      </w:r>
      <w:r>
        <w:rPr>
          <w:rFonts w:hint="eastAsia" w:ascii="宋体" w:hAnsi="宋体" w:eastAsia="宋体" w:cs="宋体"/>
          <w:b/>
          <w:bCs/>
          <w:color w:val="auto"/>
          <w:sz w:val="24"/>
          <w:szCs w:val="24"/>
          <w:highlight w:val="none"/>
          <w:u w:val="none"/>
        </w:rPr>
        <w:t>中标服务费</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pPr>
        <w:pageBreakBefore w:val="0"/>
        <w:widowControl w:val="0"/>
        <w:kinsoku/>
        <w:wordWrap/>
        <w:overflowPunct/>
        <w:topLinePunct w:val="0"/>
        <w:bidi w:val="0"/>
        <w:spacing w:line="360" w:lineRule="exact"/>
        <w:ind w:left="420" w:leftChars="0" w:hanging="420" w:hanging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中标人须按照</w:t>
      </w:r>
      <w:r>
        <w:rPr>
          <w:rFonts w:hint="eastAsia" w:ascii="宋体" w:hAnsi="宋体" w:eastAsia="宋体" w:cs="宋体"/>
          <w:color w:val="auto"/>
          <w:sz w:val="24"/>
          <w:szCs w:val="24"/>
          <w:highlight w:val="none"/>
          <w:u w:val="single"/>
        </w:rPr>
        <w:t>投标须知资料表</w:t>
      </w:r>
      <w:r>
        <w:rPr>
          <w:rFonts w:hint="eastAsia" w:ascii="宋体" w:hAnsi="宋体" w:eastAsia="宋体" w:cs="宋体"/>
          <w:color w:val="auto"/>
          <w:sz w:val="24"/>
          <w:szCs w:val="24"/>
          <w:highlight w:val="none"/>
        </w:rPr>
        <w:t>规定，向采购代理机构支付中标服务费。</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897" w:name="_Toc23477"/>
      <w:bookmarkStart w:id="898" w:name="_Toc14442"/>
      <w:bookmarkStart w:id="899" w:name="_Toc14969"/>
      <w:bookmarkStart w:id="900" w:name="_Toc2419"/>
      <w:bookmarkStart w:id="901" w:name="_Toc7049"/>
      <w:bookmarkStart w:id="902" w:name="_Toc10756"/>
      <w:bookmarkStart w:id="903" w:name="_Toc4947"/>
      <w:bookmarkStart w:id="904" w:name="_Toc7265"/>
      <w:bookmarkStart w:id="905" w:name="_Toc6923"/>
      <w:bookmarkStart w:id="906" w:name="_Toc16900"/>
      <w:bookmarkStart w:id="907" w:name="_Toc20843"/>
      <w:bookmarkStart w:id="908" w:name="_Toc11984"/>
      <w:bookmarkStart w:id="909" w:name="_Toc515647795"/>
      <w:bookmarkStart w:id="910" w:name="_Toc31379"/>
      <w:bookmarkStart w:id="911" w:name="_Toc3053"/>
      <w:bookmarkStart w:id="912" w:name="_Toc25076"/>
      <w:bookmarkStart w:id="913" w:name="_Toc3584"/>
      <w:bookmarkStart w:id="914" w:name="_Toc26840"/>
      <w:bookmarkStart w:id="915" w:name="_Toc23330"/>
      <w:bookmarkStart w:id="916" w:name="_Toc28372"/>
      <w:bookmarkStart w:id="917" w:name="_Toc24525"/>
      <w:bookmarkStart w:id="918" w:name="_Toc8477"/>
      <w:bookmarkStart w:id="919" w:name="_Toc10747"/>
      <w:bookmarkStart w:id="920" w:name="_Toc29584"/>
      <w:bookmarkStart w:id="921" w:name="_Toc7158"/>
      <w:bookmarkStart w:id="922" w:name="_Toc365"/>
      <w:r>
        <w:rPr>
          <w:rFonts w:hint="eastAsia" w:hAnsi="宋体" w:cs="宋体"/>
          <w:b/>
          <w:bCs/>
          <w:color w:val="auto"/>
          <w:sz w:val="24"/>
          <w:szCs w:val="24"/>
          <w:highlight w:val="none"/>
          <w:u w:val="none"/>
          <w:lang w:val="en-US" w:eastAsia="zh-CN"/>
        </w:rPr>
        <w:t>33.</w:t>
      </w:r>
      <w:r>
        <w:rPr>
          <w:rFonts w:hint="eastAsia" w:ascii="宋体" w:hAnsi="宋体" w:eastAsia="宋体" w:cs="宋体"/>
          <w:b/>
          <w:bCs/>
          <w:color w:val="auto"/>
          <w:sz w:val="24"/>
          <w:szCs w:val="24"/>
          <w:highlight w:val="none"/>
          <w:u w:val="none"/>
        </w:rPr>
        <w:t>政府采购信用担保</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本项目是否属于信用担保试点范围见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pacing w:line="360" w:lineRule="exact"/>
        <w:ind w:left="849" w:leftChars="0" w:hanging="849" w:hangingChars="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如属于政府采购信用担保试点范围内，中小型企业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可以自由按照财政部门的规定，采用投标担保、履约担保和融资担保。</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33.2.1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递交的投标担</w:t>
      </w:r>
      <w:r>
        <w:rPr>
          <w:rFonts w:hint="eastAsia" w:ascii="宋体" w:hAnsi="宋体" w:eastAsia="宋体" w:cs="宋体"/>
          <w:color w:val="auto"/>
          <w:sz w:val="24"/>
          <w:szCs w:val="24"/>
          <w:highlight w:val="none"/>
          <w:lang w:eastAsia="zh-CN"/>
        </w:rPr>
        <w:t>开户行银行保函</w:t>
      </w:r>
      <w:r>
        <w:rPr>
          <w:rFonts w:hint="eastAsia" w:ascii="宋体" w:hAnsi="宋体" w:eastAsia="宋体" w:cs="宋体"/>
          <w:color w:val="auto"/>
          <w:sz w:val="24"/>
          <w:szCs w:val="24"/>
          <w:highlight w:val="none"/>
        </w:rPr>
        <w:t>和履约担</w:t>
      </w:r>
      <w:r>
        <w:rPr>
          <w:rFonts w:hint="eastAsia" w:ascii="宋体" w:hAnsi="宋体" w:eastAsia="宋体" w:cs="宋体"/>
          <w:color w:val="auto"/>
          <w:sz w:val="24"/>
          <w:szCs w:val="24"/>
          <w:highlight w:val="none"/>
          <w:lang w:eastAsia="zh-CN"/>
        </w:rPr>
        <w:t>开户行银行保函</w:t>
      </w:r>
      <w:r>
        <w:rPr>
          <w:rFonts w:hint="eastAsia" w:ascii="宋体" w:hAnsi="宋体" w:eastAsia="宋体" w:cs="宋体"/>
          <w:color w:val="auto"/>
          <w:sz w:val="24"/>
          <w:szCs w:val="24"/>
          <w:highlight w:val="none"/>
        </w:rPr>
        <w:t>应符合本招标文件的规定。</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33.2.2 中标人可以采取融资担保的形式为政府采购项目履约进行融资。</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33.2.3 合格的政府采购专业信用担保机构名单见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923" w:name="_Toc5750"/>
      <w:bookmarkStart w:id="924" w:name="_Toc29108"/>
      <w:bookmarkStart w:id="925" w:name="_Toc3713"/>
      <w:bookmarkStart w:id="926" w:name="_Toc23999"/>
      <w:bookmarkStart w:id="927" w:name="_Toc3616"/>
      <w:bookmarkStart w:id="928" w:name="_Toc22315"/>
      <w:bookmarkStart w:id="929" w:name="_Toc11013"/>
      <w:bookmarkStart w:id="930" w:name="_Toc31178"/>
      <w:bookmarkStart w:id="931" w:name="_Toc7880"/>
      <w:bookmarkStart w:id="932" w:name="_Toc7459"/>
      <w:bookmarkStart w:id="933" w:name="_Toc31425"/>
      <w:bookmarkStart w:id="934" w:name="_Toc11552"/>
      <w:bookmarkStart w:id="935" w:name="_Toc18954"/>
      <w:bookmarkStart w:id="936" w:name="_Toc12158"/>
      <w:bookmarkStart w:id="937" w:name="_Toc15505"/>
      <w:bookmarkStart w:id="938" w:name="_Toc515647796"/>
      <w:bookmarkStart w:id="939" w:name="_Toc2133"/>
      <w:bookmarkStart w:id="940" w:name="_Toc23161"/>
      <w:bookmarkStart w:id="941" w:name="_Toc5770"/>
      <w:bookmarkStart w:id="942" w:name="_Toc27009"/>
      <w:bookmarkStart w:id="943" w:name="_Toc3656"/>
      <w:bookmarkStart w:id="944" w:name="_Toc22695"/>
      <w:bookmarkStart w:id="945" w:name="_Toc5262"/>
      <w:bookmarkStart w:id="946" w:name="_Toc11707"/>
      <w:bookmarkStart w:id="947" w:name="_Toc32379"/>
      <w:bookmarkStart w:id="948" w:name="_Toc25791"/>
      <w:r>
        <w:rPr>
          <w:rFonts w:hint="eastAsia" w:hAnsi="宋体" w:cs="宋体"/>
          <w:b/>
          <w:bCs/>
          <w:color w:val="auto"/>
          <w:sz w:val="24"/>
          <w:szCs w:val="24"/>
          <w:highlight w:val="none"/>
          <w:u w:val="none"/>
          <w:lang w:val="en-US" w:eastAsia="zh-CN"/>
        </w:rPr>
        <w:t>34.</w:t>
      </w:r>
      <w:r>
        <w:rPr>
          <w:rFonts w:hint="eastAsia" w:ascii="宋体" w:hAnsi="宋体" w:eastAsia="宋体" w:cs="宋体"/>
          <w:b/>
          <w:bCs/>
          <w:color w:val="auto"/>
          <w:sz w:val="24"/>
          <w:szCs w:val="24"/>
          <w:highlight w:val="none"/>
          <w:u w:val="none"/>
        </w:rPr>
        <w:t>廉洁自律规定</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采购代理机构工作人员不得以不正当手段获取政府采购代理业务，不得与采购人、供应商恶意串通操纵政府采购活动。</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为强化采购代理机构内部监督机制，供应商可按</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须知资料表中的</w:t>
      </w:r>
      <w:r>
        <w:rPr>
          <w:rFonts w:hint="eastAsia" w:ascii="宋体" w:hAnsi="宋体" w:eastAsia="宋体" w:cs="宋体"/>
          <w:color w:val="auto"/>
          <w:sz w:val="24"/>
          <w:szCs w:val="24"/>
          <w:highlight w:val="none"/>
        </w:rPr>
        <w:t>监督电话和邮箱，反映采购代理机构的廉洁自律等问题。</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949" w:name="_Toc515647797"/>
      <w:bookmarkStart w:id="950" w:name="_Toc3319"/>
      <w:bookmarkStart w:id="951" w:name="_Toc25480"/>
      <w:bookmarkStart w:id="952" w:name="_Toc4826"/>
      <w:bookmarkStart w:id="953" w:name="_Toc15644"/>
      <w:bookmarkStart w:id="954" w:name="_Toc29594"/>
      <w:bookmarkStart w:id="955" w:name="_Toc19338"/>
      <w:bookmarkStart w:id="956" w:name="_Toc3585"/>
      <w:bookmarkStart w:id="957" w:name="_Toc4757"/>
      <w:bookmarkStart w:id="958" w:name="_Toc23695"/>
      <w:bookmarkStart w:id="959" w:name="_Toc5069"/>
      <w:bookmarkStart w:id="960" w:name="_Toc27260"/>
      <w:bookmarkStart w:id="961" w:name="_Toc6587"/>
      <w:bookmarkStart w:id="962" w:name="_Toc30045"/>
      <w:bookmarkStart w:id="963" w:name="_Toc29018"/>
      <w:bookmarkStart w:id="964" w:name="_Toc17682"/>
      <w:bookmarkStart w:id="965" w:name="_Toc12422"/>
      <w:bookmarkStart w:id="966" w:name="_Toc17079"/>
      <w:bookmarkStart w:id="967" w:name="_Toc11586"/>
      <w:bookmarkStart w:id="968" w:name="_Toc20945"/>
      <w:bookmarkStart w:id="969" w:name="_Toc30009"/>
      <w:bookmarkStart w:id="970" w:name="_Toc31630"/>
      <w:bookmarkStart w:id="971" w:name="_Toc5448"/>
      <w:bookmarkStart w:id="972" w:name="_Toc27794"/>
      <w:bookmarkStart w:id="973" w:name="_Toc23126"/>
      <w:bookmarkStart w:id="974" w:name="_Toc11250"/>
      <w:r>
        <w:rPr>
          <w:rFonts w:hint="eastAsia" w:hAnsi="宋体" w:cs="宋体"/>
          <w:b/>
          <w:bCs/>
          <w:color w:val="auto"/>
          <w:sz w:val="24"/>
          <w:szCs w:val="24"/>
          <w:highlight w:val="none"/>
          <w:u w:val="none"/>
          <w:lang w:val="en-US" w:eastAsia="zh-CN"/>
        </w:rPr>
        <w:t>35.</w:t>
      </w:r>
      <w:r>
        <w:rPr>
          <w:rFonts w:hint="eastAsia" w:ascii="宋体" w:hAnsi="宋体" w:eastAsia="宋体" w:cs="宋体"/>
          <w:b/>
          <w:bCs/>
          <w:color w:val="auto"/>
          <w:sz w:val="24"/>
          <w:szCs w:val="24"/>
          <w:highlight w:val="none"/>
          <w:u w:val="none"/>
        </w:rPr>
        <w:t>人员回避</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认为采购人员及其相关人员有法律法规所列与其他供应商有利害关系的，可以向采购人或采购代理机构书面提出回避申请，并说明理由。</w:t>
      </w:r>
    </w:p>
    <w:p>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宋体" w:hAnsi="宋体" w:eastAsia="宋体" w:cs="宋体"/>
          <w:b/>
          <w:bCs/>
          <w:color w:val="auto"/>
          <w:sz w:val="24"/>
          <w:szCs w:val="24"/>
          <w:highlight w:val="none"/>
          <w:u w:val="none"/>
        </w:rPr>
      </w:pPr>
      <w:bookmarkStart w:id="975" w:name="_Toc12880"/>
      <w:bookmarkStart w:id="976" w:name="_Toc6634"/>
      <w:bookmarkStart w:id="977" w:name="_Toc25174"/>
      <w:bookmarkStart w:id="978" w:name="_Toc12727"/>
      <w:bookmarkStart w:id="979" w:name="_Toc12470"/>
      <w:bookmarkStart w:id="980" w:name="_Toc27328"/>
      <w:bookmarkStart w:id="981" w:name="_Toc1324"/>
      <w:bookmarkStart w:id="982" w:name="_Toc1162"/>
      <w:bookmarkStart w:id="983" w:name="_Toc22831"/>
      <w:bookmarkStart w:id="984" w:name="_Toc30943"/>
      <w:bookmarkStart w:id="985" w:name="_Toc6387"/>
      <w:bookmarkStart w:id="986" w:name="_Toc27421"/>
      <w:bookmarkStart w:id="987" w:name="_Toc21912"/>
      <w:bookmarkStart w:id="988" w:name="_Toc14457"/>
      <w:bookmarkStart w:id="989" w:name="_Toc1948"/>
      <w:bookmarkStart w:id="990" w:name="_Toc8352"/>
      <w:bookmarkStart w:id="991" w:name="_Toc7870"/>
      <w:bookmarkStart w:id="992" w:name="_Toc9357"/>
      <w:bookmarkStart w:id="993" w:name="_Toc21766"/>
      <w:bookmarkStart w:id="994" w:name="_Toc427"/>
      <w:bookmarkStart w:id="995" w:name="_Toc15630"/>
      <w:bookmarkStart w:id="996" w:name="_Toc26773"/>
      <w:r>
        <w:rPr>
          <w:rFonts w:hint="eastAsia" w:hAnsi="宋体" w:cs="宋体"/>
          <w:b/>
          <w:bCs/>
          <w:color w:val="auto"/>
          <w:sz w:val="24"/>
          <w:szCs w:val="24"/>
          <w:highlight w:val="none"/>
          <w:u w:val="none"/>
          <w:lang w:val="en-US" w:eastAsia="zh-CN"/>
        </w:rPr>
        <w:t>36.</w:t>
      </w:r>
      <w:r>
        <w:rPr>
          <w:rFonts w:hint="eastAsia" w:ascii="宋体" w:hAnsi="宋体" w:eastAsia="宋体" w:cs="宋体"/>
          <w:b/>
          <w:bCs/>
          <w:color w:val="auto"/>
          <w:sz w:val="24"/>
          <w:szCs w:val="24"/>
          <w:highlight w:val="none"/>
          <w:u w:val="none"/>
        </w:rPr>
        <w:t>质疑与接收</w:t>
      </w:r>
      <w:bookmarkEnd w:id="25"/>
      <w:bookmarkEnd w:id="26"/>
      <w:bookmarkEnd w:id="27"/>
      <w:bookmarkEnd w:id="28"/>
      <w:bookmarkEnd w:id="29"/>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pPr>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43"/>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pPr>
        <w:pStyle w:val="43"/>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pPr>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pPr>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  采购代理机构质疑函接收部门、联系电话和通讯地址, 见</w:t>
      </w:r>
      <w:r>
        <w:rPr>
          <w:rFonts w:hint="eastAsia" w:ascii="宋体" w:hAnsi="宋体" w:eastAsia="宋体" w:cs="宋体"/>
          <w:color w:val="auto"/>
          <w:sz w:val="24"/>
          <w:szCs w:val="24"/>
          <w:highlight w:val="none"/>
          <w:u w:val="single"/>
        </w:rPr>
        <w:t>供应商须知资料表。</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（一）对可以质疑的采购文件提出质疑的，为收到采购文件之日或者采购文件公告期限届满之日；</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（二）对采购过程提出质疑的，为各采购程序环节结束之日；</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（三）对中标结果提出质疑的，为中标结果公告期限届满之日。</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36.7  </w:t>
      </w:r>
      <w:r>
        <w:rPr>
          <w:rFonts w:hint="eastAsia" w:ascii="宋体" w:hAnsi="宋体" w:eastAsia="宋体" w:cs="宋体"/>
          <w:b w:val="0"/>
          <w:bCs w:val="0"/>
          <w:color w:val="auto"/>
          <w:sz w:val="24"/>
          <w:szCs w:val="24"/>
          <w:highlight w:val="none"/>
          <w:lang w:val="en-US" w:eastAsia="zh-CN"/>
        </w:rPr>
        <w:t>供应商有权提出一次质疑，不能多次提出。</w:t>
      </w:r>
    </w:p>
    <w:p>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36.8  </w:t>
      </w:r>
      <w:r>
        <w:rPr>
          <w:rFonts w:hint="eastAsia" w:ascii="宋体" w:hAnsi="宋体" w:eastAsia="宋体" w:cs="宋体"/>
          <w:b w:val="0"/>
          <w:bCs w:val="0"/>
          <w:color w:val="auto"/>
          <w:sz w:val="24"/>
          <w:szCs w:val="24"/>
          <w:highlight w:val="none"/>
        </w:rPr>
        <w:t>对可以质</w:t>
      </w:r>
      <w:r>
        <w:rPr>
          <w:rFonts w:hint="eastAsia" w:ascii="宋体" w:hAnsi="宋体" w:eastAsia="宋体" w:cs="宋体"/>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开启、评审等各个采购程序环节。</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提出质疑应当符合下列条件：</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（一）质疑主体应当符合有关规定；</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（二）在质疑法定期限内提出；</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（三）属于可以提出质疑的政府采购事项受理范围和本项目采购人的管辖权范围；</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（四）政府采购法律、法规、规章规定的其他条件。</w:t>
      </w:r>
    </w:p>
    <w:p>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质疑人所提供的证明材料应当具有真实性、合法性以及与质疑事项的关联性和证明力，否则不能作为认定该质疑事项成立的依据。</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 xml:space="preserve"> 质疑人提出质疑时应当提交质疑函。质疑函包括下列内容：</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（一）提出质疑的质疑人的名称、地址、邮编、联系人及联系电话等；</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（四）事实依据和证明材料；</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pPr>
        <w:pageBreakBefore w:val="0"/>
        <w:widowControl w:val="0"/>
        <w:kinsoku/>
        <w:wordWrap/>
        <w:overflowPunct/>
        <w:topLinePunct w:val="0"/>
        <w:bidi w:val="0"/>
        <w:spacing w:line="360" w:lineRule="exact"/>
        <w:ind w:left="718" w:leftChars="342"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  质疑人可以委托代理人进行质疑。代理人应当提交授权委托书。授权委托书应当载明委托代理的具体权限、期限和相关事项。</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质疑的审查和受理</w:t>
      </w:r>
    </w:p>
    <w:p>
      <w:pPr>
        <w:pageBreakBefore w:val="0"/>
        <w:widowControl w:val="0"/>
        <w:kinsoku/>
        <w:wordWrap/>
        <w:overflowPunct/>
        <w:topLinePunct w:val="0"/>
        <w:bidi w:val="0"/>
        <w:spacing w:line="360" w:lineRule="exact"/>
        <w:ind w:left="718" w:leftChars="342"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采购方在收到质疑函后应当及时审查是否符合质疑受理条件，对符合质疑受理条件的，及时予以受理。</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对不符合质疑受理条件的，分别按照下列不同情形予以处理：</w:t>
      </w:r>
    </w:p>
    <w:p>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（二）质疑主体不符合有关规定的，告知质疑人不予受理；</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（三）超过质疑法定期限提出质疑的，告知质疑人不予受理；</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（四）对不属于可以提出质疑的政府采购事项提出质疑的，告知质疑人不予受理；</w:t>
      </w:r>
    </w:p>
    <w:p>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（五）质疑不属于本项目采购方管辖的，告知质疑人向有管辖权的采购人提出质疑；</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（六）质疑不符合其他条件的，告知质疑人不予受理。</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质疑的处理和答复</w:t>
      </w:r>
    </w:p>
    <w:p>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采购方受理质疑后，将及时把质疑函发送给被质疑人，并要求其在一定限期内提交书面答复，同时提供有关证据、依据和相关材料。</w:t>
      </w:r>
    </w:p>
    <w:p>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 xml:space="preserve">  对于质疑事项中涉及的问题较多、情况比较复杂的，为了全面查清事实、取得充分的证据，采购方认为有必要时，可以进行调查取证或者组织质证。</w:t>
      </w:r>
    </w:p>
    <w:p>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 xml:space="preserve">  对评审过程、中标结果提出质疑的，采购方可以组织原评审委员会协助答复质疑。</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质疑处理过程中，质疑人书面申请撤回质疑的，将终止质疑处理程序。</w:t>
      </w:r>
    </w:p>
    <w:p>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采购方将在正式受理质疑后7个工作日内作出答复。</w:t>
      </w:r>
      <w:r>
        <w:rPr>
          <w:rFonts w:hint="eastAsia" w:ascii="宋体" w:hAnsi="宋体" w:eastAsia="宋体" w:cs="宋体"/>
          <w:color w:val="auto"/>
          <w:sz w:val="24"/>
          <w:szCs w:val="24"/>
          <w:highlight w:val="none"/>
          <w:lang w:val="en-US" w:eastAsia="zh-CN"/>
        </w:rPr>
        <w:t xml:space="preserve"> </w:t>
      </w:r>
    </w:p>
    <w:p>
      <w:pPr>
        <w:pStyle w:val="43"/>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质疑答复应当包括下列内容：</w:t>
      </w:r>
    </w:p>
    <w:p>
      <w:pPr>
        <w:pStyle w:val="43"/>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（一）质疑人的姓名或者名称；</w:t>
      </w:r>
    </w:p>
    <w:p>
      <w:pPr>
        <w:pStyle w:val="43"/>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（二）收到质疑函的日期、质疑项目名称及编号；</w:t>
      </w:r>
    </w:p>
    <w:p>
      <w:pPr>
        <w:pStyle w:val="43"/>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（三）质疑事项、质疑答复的具体内容、事实依据和法律依据；</w:t>
      </w:r>
    </w:p>
    <w:p>
      <w:pPr>
        <w:pStyle w:val="43"/>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（四）告知质疑供应商依法投诉的权利；</w:t>
      </w:r>
    </w:p>
    <w:p>
      <w:pPr>
        <w:pStyle w:val="43"/>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（五）质疑答复人名称；</w:t>
      </w:r>
    </w:p>
    <w:p>
      <w:pPr>
        <w:pStyle w:val="43"/>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（六）答复质疑的日期。</w:t>
      </w:r>
      <w:bookmarkStart w:id="997" w:name="_Toc11973"/>
      <w:bookmarkStart w:id="998" w:name="_Toc2072"/>
      <w:bookmarkStart w:id="999" w:name="_Toc27601"/>
      <w:bookmarkStart w:id="1000" w:name="_Toc18518"/>
      <w:bookmarkStart w:id="1001" w:name="_Toc30512"/>
      <w:bookmarkStart w:id="1002" w:name="_Toc25636"/>
      <w:bookmarkStart w:id="1003" w:name="_Toc9437"/>
      <w:bookmarkStart w:id="1004" w:name="_Toc22908"/>
      <w:bookmarkStart w:id="1005" w:name="_Toc13021"/>
      <w:bookmarkStart w:id="1006" w:name="_Toc24946"/>
      <w:bookmarkStart w:id="1007" w:name="_Toc30093"/>
      <w:bookmarkStart w:id="1008" w:name="_Toc11297"/>
      <w:bookmarkStart w:id="1009" w:name="_Toc2500"/>
      <w:bookmarkStart w:id="1010" w:name="_Toc23411"/>
      <w:bookmarkStart w:id="1011" w:name="_Toc3696"/>
      <w:bookmarkStart w:id="1012" w:name="_Toc16553"/>
      <w:bookmarkStart w:id="1013" w:name="_Toc27146"/>
      <w:bookmarkStart w:id="1014" w:name="_Toc8353"/>
      <w:bookmarkStart w:id="1015" w:name="_Toc6493"/>
      <w:bookmarkStart w:id="1016" w:name="_Toc1819"/>
      <w:bookmarkStart w:id="1017" w:name="_Toc1369"/>
      <w:bookmarkStart w:id="1018" w:name="_Toc2799"/>
      <w:bookmarkStart w:id="1019" w:name="_Toc30855"/>
      <w:bookmarkStart w:id="1020" w:name="_Toc12088"/>
      <w:bookmarkStart w:id="1021" w:name="_Toc27096"/>
    </w:p>
    <w:p>
      <w:pPr>
        <w:pageBreakBefore w:val="0"/>
        <w:kinsoku/>
        <w:wordWrap/>
        <w:overflowPunct/>
        <w:topLinePunct w:val="0"/>
        <w:bidi w:val="0"/>
        <w:spacing w:line="360" w:lineRule="exact"/>
        <w:ind w:left="0" w:leftChars="0"/>
        <w:jc w:val="center"/>
        <w:textAlignment w:val="auto"/>
        <w:outlineLvl w:val="9"/>
        <w:rPr>
          <w:rFonts w:hint="eastAsia" w:ascii="宋体" w:hAnsi="宋体" w:eastAsia="宋体" w:cs="宋体"/>
          <w:b/>
          <w:bCs/>
          <w:color w:val="auto"/>
          <w:sz w:val="24"/>
          <w:szCs w:val="24"/>
          <w:highlight w:val="none"/>
        </w:rPr>
      </w:pPr>
    </w:p>
    <w:p>
      <w:pPr>
        <w:pageBreakBefore w:val="0"/>
        <w:kinsoku/>
        <w:wordWrap/>
        <w:overflowPunct/>
        <w:topLinePunct w:val="0"/>
        <w:bidi w:val="0"/>
        <w:spacing w:line="360" w:lineRule="exact"/>
        <w:ind w:left="0" w:leftChars="0"/>
        <w:jc w:val="center"/>
        <w:textAlignment w:val="auto"/>
        <w:outlineLvl w:val="9"/>
        <w:rPr>
          <w:rFonts w:hint="eastAsia" w:ascii="宋体" w:hAnsi="宋体" w:eastAsia="宋体" w:cs="宋体"/>
          <w:b/>
          <w:bCs/>
          <w:color w:val="auto"/>
          <w:sz w:val="24"/>
          <w:szCs w:val="24"/>
          <w:highlight w:val="none"/>
        </w:rPr>
      </w:pPr>
    </w:p>
    <w:p>
      <w:pPr>
        <w:pageBreakBefore w:val="0"/>
        <w:kinsoku/>
        <w:wordWrap/>
        <w:overflowPunct/>
        <w:topLinePunct w:val="0"/>
        <w:bidi w:val="0"/>
        <w:spacing w:line="360" w:lineRule="exact"/>
        <w:ind w:left="0" w:leftChars="0"/>
        <w:jc w:val="center"/>
        <w:textAlignment w:val="auto"/>
        <w:outlineLvl w:val="9"/>
        <w:rPr>
          <w:rFonts w:hint="eastAsia" w:ascii="宋体" w:hAnsi="宋体" w:eastAsia="宋体" w:cs="宋体"/>
          <w:b/>
          <w:bCs/>
          <w:color w:val="auto"/>
          <w:sz w:val="24"/>
          <w:szCs w:val="24"/>
          <w:highlight w:val="none"/>
        </w:rPr>
      </w:pPr>
    </w:p>
    <w:p>
      <w:pPr>
        <w:pageBreakBefore w:val="0"/>
        <w:kinsoku/>
        <w:wordWrap/>
        <w:overflowPunct/>
        <w:topLinePunct w:val="0"/>
        <w:bidi w:val="0"/>
        <w:spacing w:line="360" w:lineRule="exact"/>
        <w:ind w:left="0" w:leftChars="0"/>
        <w:jc w:val="center"/>
        <w:textAlignment w:val="auto"/>
        <w:outlineLvl w:val="9"/>
        <w:rPr>
          <w:rFonts w:hint="eastAsia" w:ascii="宋体" w:hAnsi="宋体" w:eastAsia="宋体" w:cs="宋体"/>
          <w:b/>
          <w:bCs/>
          <w:color w:val="auto"/>
          <w:sz w:val="24"/>
          <w:szCs w:val="24"/>
          <w:highlight w:val="none"/>
        </w:rPr>
      </w:pPr>
    </w:p>
    <w:p>
      <w:pPr>
        <w:pageBreakBefore w:val="0"/>
        <w:kinsoku/>
        <w:wordWrap/>
        <w:overflowPunct/>
        <w:topLinePunct w:val="0"/>
        <w:bidi w:val="0"/>
        <w:spacing w:line="360" w:lineRule="exact"/>
        <w:ind w:left="0" w:leftChars="0"/>
        <w:jc w:val="center"/>
        <w:textAlignment w:val="auto"/>
        <w:outlineLvl w:val="9"/>
        <w:rPr>
          <w:rFonts w:hint="eastAsia" w:ascii="宋体" w:hAnsi="宋体" w:eastAsia="宋体" w:cs="宋体"/>
          <w:b/>
          <w:bCs/>
          <w:color w:val="auto"/>
          <w:sz w:val="24"/>
          <w:szCs w:val="24"/>
          <w:highlight w:val="none"/>
        </w:rPr>
      </w:pPr>
    </w:p>
    <w:p>
      <w:pPr>
        <w:pageBreakBefore w:val="0"/>
        <w:kinsoku/>
        <w:wordWrap/>
        <w:overflowPunct/>
        <w:topLinePunct w:val="0"/>
        <w:bidi w:val="0"/>
        <w:spacing w:line="360" w:lineRule="exact"/>
        <w:ind w:left="0" w:leftChars="0"/>
        <w:jc w:val="center"/>
        <w:textAlignment w:val="auto"/>
        <w:outlineLvl w:val="9"/>
        <w:rPr>
          <w:rFonts w:hint="eastAsia" w:ascii="宋体" w:hAnsi="宋体" w:eastAsia="宋体" w:cs="宋体"/>
          <w:b/>
          <w:bCs/>
          <w:color w:val="auto"/>
          <w:sz w:val="24"/>
          <w:szCs w:val="24"/>
          <w:highlight w:val="none"/>
        </w:rPr>
      </w:pPr>
    </w:p>
    <w:p>
      <w:pPr>
        <w:pageBreakBefore w:val="0"/>
        <w:kinsoku/>
        <w:wordWrap/>
        <w:overflowPunct/>
        <w:topLinePunct w:val="0"/>
        <w:bidi w:val="0"/>
        <w:spacing w:line="360" w:lineRule="exact"/>
        <w:ind w:left="0" w:leftChars="0"/>
        <w:jc w:val="center"/>
        <w:textAlignment w:val="auto"/>
        <w:outlineLvl w:val="9"/>
        <w:rPr>
          <w:rFonts w:hint="eastAsia" w:ascii="宋体" w:hAnsi="宋体" w:eastAsia="宋体" w:cs="宋体"/>
          <w:b/>
          <w:bCs/>
          <w:color w:val="auto"/>
          <w:sz w:val="24"/>
          <w:szCs w:val="24"/>
          <w:highlight w:val="none"/>
        </w:rPr>
      </w:pPr>
    </w:p>
    <w:p>
      <w:pPr>
        <w:pStyle w:val="5"/>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5"/>
        <w:rPr>
          <w:rFonts w:hint="eastAsia"/>
        </w:rPr>
      </w:pPr>
    </w:p>
    <w:p>
      <w:pPr>
        <w:pageBreakBefore w:val="0"/>
        <w:kinsoku/>
        <w:wordWrap/>
        <w:overflowPunct/>
        <w:topLinePunct w:val="0"/>
        <w:bidi w:val="0"/>
        <w:spacing w:line="360" w:lineRule="exact"/>
        <w:ind w:left="0" w:leftChars="0"/>
        <w:jc w:val="center"/>
        <w:textAlignment w:val="auto"/>
        <w:outlineLvl w:val="9"/>
        <w:rPr>
          <w:rFonts w:hint="eastAsia" w:ascii="宋体" w:hAnsi="宋体" w:eastAsia="宋体" w:cs="宋体"/>
          <w:b/>
          <w:bCs/>
          <w:color w:val="auto"/>
          <w:sz w:val="24"/>
          <w:szCs w:val="24"/>
          <w:highlight w:val="none"/>
        </w:rPr>
      </w:pPr>
    </w:p>
    <w:p>
      <w:pPr>
        <w:pageBreakBefore w:val="0"/>
        <w:kinsoku/>
        <w:wordWrap/>
        <w:overflowPunct/>
        <w:topLinePunct w:val="0"/>
        <w:bidi w:val="0"/>
        <w:spacing w:line="360" w:lineRule="exact"/>
        <w:ind w:left="0" w:leftChars="0"/>
        <w:jc w:val="center"/>
        <w:textAlignment w:val="auto"/>
        <w:outlineLvl w:val="9"/>
        <w:rPr>
          <w:rFonts w:hint="eastAsia" w:ascii="宋体" w:hAnsi="宋体" w:eastAsia="宋体" w:cs="宋体"/>
          <w:b/>
          <w:bCs/>
          <w:color w:val="auto"/>
          <w:sz w:val="24"/>
          <w:szCs w:val="24"/>
          <w:highlight w:val="none"/>
        </w:rPr>
      </w:pPr>
    </w:p>
    <w:p>
      <w:pPr>
        <w:pageBreakBefore w:val="0"/>
        <w:kinsoku/>
        <w:wordWrap/>
        <w:overflowPunct/>
        <w:topLinePunct w:val="0"/>
        <w:bidi w:val="0"/>
        <w:spacing w:line="360" w:lineRule="exact"/>
        <w:ind w:left="0" w:lef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pageBreakBefore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pageBreakBefore w:val="0"/>
        <w:kinsoku/>
        <w:wordWrap/>
        <w:overflowPunct/>
        <w:topLinePunct w:val="0"/>
        <w:bidi w:val="0"/>
        <w:spacing w:line="360" w:lineRule="exact"/>
        <w:ind w:left="0" w:leftChars="0"/>
        <w:textAlignment w:val="auto"/>
        <w:outlineLvl w:val="9"/>
        <w:rPr>
          <w:rFonts w:hint="eastAsia" w:ascii="宋体" w:hAnsi="宋体" w:eastAsia="宋体" w:cs="宋体"/>
          <w:b/>
          <w:color w:val="auto"/>
          <w:sz w:val="24"/>
          <w:szCs w:val="24"/>
          <w:highlight w:val="none"/>
        </w:rPr>
      </w:pPr>
    </w:p>
    <w:p>
      <w:pPr>
        <w:pageBreakBefore w:val="0"/>
        <w:kinsoku/>
        <w:wordWrap/>
        <w:overflowPunct/>
        <w:topLinePunct w:val="0"/>
        <w:bidi w:val="0"/>
        <w:spacing w:line="360" w:lineRule="exact"/>
        <w:ind w:left="0" w:left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pStyle w:val="7"/>
        <w:spacing w:line="400" w:lineRule="exact"/>
        <w:ind w:firstLine="0"/>
        <w:rPr>
          <w:rFonts w:hint="eastAsia" w:ascii="宋体" w:hAnsi="宋体" w:eastAsia="宋体" w:cs="宋体"/>
          <w:color w:val="auto"/>
          <w:kern w:val="2"/>
          <w:sz w:val="21"/>
          <w:szCs w:val="21"/>
          <w:highlight w:val="none"/>
        </w:rPr>
      </w:pPr>
      <w:r>
        <w:rPr>
          <w:rFonts w:hint="eastAsia" w:ascii="宋体" w:hAnsi="宋体" w:eastAsia="宋体" w:cs="宋体"/>
          <w:b/>
          <w:color w:val="auto"/>
          <w:szCs w:val="24"/>
          <w:highlight w:val="none"/>
        </w:rPr>
        <w:br w:type="page"/>
      </w:r>
    </w:p>
    <w:p>
      <w:pPr>
        <w:pStyle w:val="3"/>
        <w:keepNext/>
        <w:keepLines/>
        <w:pageBreakBefore w:val="0"/>
        <w:widowControl w:val="0"/>
        <w:kinsoku/>
        <w:wordWrap/>
        <w:overflowPunct/>
        <w:topLinePunct w:val="0"/>
        <w:autoSpaceDE w:val="0"/>
        <w:autoSpaceDN w:val="0"/>
        <w:bidi w:val="0"/>
        <w:adjustRightInd w:val="0"/>
        <w:snapToGrid/>
        <w:spacing w:before="0" w:after="0" w:line="240" w:lineRule="atLeast"/>
        <w:ind w:left="0"/>
        <w:jc w:val="center"/>
        <w:textAlignment w:val="auto"/>
        <w:rPr>
          <w:rFonts w:hint="eastAsia" w:ascii="宋体" w:hAnsi="宋体" w:eastAsia="宋体" w:cs="宋体"/>
          <w:b/>
          <w:bCs/>
          <w:color w:val="auto"/>
          <w:sz w:val="32"/>
          <w:szCs w:val="32"/>
          <w:highlight w:val="none"/>
        </w:rPr>
      </w:pPr>
      <w:bookmarkStart w:id="1022" w:name="_Toc515647802"/>
      <w:bookmarkStart w:id="1023" w:name="_Toc702"/>
      <w:bookmarkStart w:id="1024" w:name="_Toc31373"/>
      <w:bookmarkStart w:id="1025" w:name="_Toc29770"/>
      <w:bookmarkStart w:id="1026" w:name="_Toc3574"/>
      <w:bookmarkStart w:id="1027" w:name="_Toc22390"/>
      <w:bookmarkStart w:id="1028" w:name="_Toc216582812"/>
      <w:bookmarkStart w:id="1029" w:name="_Toc728"/>
      <w:r>
        <w:rPr>
          <w:rFonts w:hint="eastAsia" w:ascii="宋体" w:hAnsi="宋体" w:eastAsia="宋体" w:cs="宋体"/>
          <w:b/>
          <w:bCs/>
          <w:color w:val="auto"/>
          <w:kern w:val="0"/>
          <w:sz w:val="32"/>
          <w:szCs w:val="32"/>
          <w:highlight w:val="none"/>
          <w:lang w:val="en-US" w:eastAsia="zh-CN" w:bidi="ar-SA"/>
        </w:rPr>
        <w:t>第2章</w:t>
      </w:r>
      <w:r>
        <w:rPr>
          <w:rFonts w:hint="eastAsia" w:hAnsi="宋体" w:cs="宋体"/>
          <w:b/>
          <w:bCs/>
          <w:color w:val="auto"/>
          <w:kern w:val="0"/>
          <w:sz w:val="32"/>
          <w:szCs w:val="32"/>
          <w:highlight w:val="none"/>
          <w:lang w:val="en-US" w:eastAsia="zh-CN" w:bidi="ar-SA"/>
        </w:rPr>
        <w:t xml:space="preserve">  </w:t>
      </w:r>
      <w:r>
        <w:rPr>
          <w:rFonts w:hint="eastAsia" w:ascii="宋体" w:hAnsi="宋体" w:eastAsia="宋体" w:cs="宋体"/>
          <w:b/>
          <w:bCs/>
          <w:color w:val="auto"/>
          <w:kern w:val="0"/>
          <w:sz w:val="32"/>
          <w:szCs w:val="32"/>
          <w:highlight w:val="none"/>
          <w:lang w:val="en-US" w:eastAsia="zh-CN" w:bidi="ar-SA"/>
        </w:rPr>
        <w:t>投标文件格式</w:t>
      </w:r>
      <w:bookmarkEnd w:id="1022"/>
      <w:bookmarkEnd w:id="1023"/>
      <w:bookmarkEnd w:id="1024"/>
      <w:bookmarkEnd w:id="1025"/>
      <w:bookmarkEnd w:id="1026"/>
      <w:bookmarkEnd w:id="1027"/>
      <w:bookmarkEnd w:id="1028"/>
      <w:bookmarkEnd w:id="1029"/>
    </w:p>
    <w:p>
      <w:pPr>
        <w:pStyle w:val="4"/>
        <w:pageBreakBefore w:val="0"/>
        <w:kinsoku/>
        <w:wordWrap/>
        <w:overflowPunct/>
        <w:topLinePunct w:val="0"/>
        <w:bidi w:val="0"/>
        <w:spacing w:before="0" w:line="360" w:lineRule="exact"/>
        <w:ind w:left="1080" w:leftChars="257" w:hanging="540"/>
        <w:rPr>
          <w:rFonts w:hint="eastAsia" w:ascii="宋体" w:hAnsi="宋体" w:eastAsia="宋体" w:cs="宋体"/>
          <w:color w:val="auto"/>
          <w:sz w:val="24"/>
          <w:szCs w:val="24"/>
          <w:highlight w:val="none"/>
        </w:rPr>
      </w:pPr>
      <w:bookmarkStart w:id="1030" w:name="_Toc515647803"/>
      <w:bookmarkStart w:id="1031" w:name="_Toc26858"/>
      <w:bookmarkStart w:id="1032" w:name="_Toc32079"/>
      <w:bookmarkStart w:id="1033" w:name="_Toc18694"/>
      <w:bookmarkStart w:id="1034" w:name="_Toc17114"/>
      <w:bookmarkStart w:id="1035" w:name="_Toc18974"/>
      <w:bookmarkStart w:id="1036" w:name="_Toc32123"/>
      <w:bookmarkStart w:id="1037" w:name="_Toc22572"/>
      <w:bookmarkStart w:id="1038" w:name="_Toc16568"/>
      <w:bookmarkStart w:id="1039" w:name="_Toc515647804"/>
      <w:bookmarkStart w:id="1040" w:name="_Toc29091"/>
      <w:bookmarkStart w:id="1041" w:name="_Toc3620"/>
      <w:bookmarkStart w:id="1042" w:name="_Toc14118"/>
      <w:bookmarkStart w:id="1043" w:name="_Toc21614"/>
      <w:bookmarkStart w:id="1044" w:name="_Toc13595"/>
      <w:bookmarkStart w:id="1045" w:name="_Toc30630"/>
      <w:bookmarkStart w:id="1046" w:name="_Toc16750"/>
      <w:bookmarkStart w:id="1047" w:name="_Toc11138"/>
      <w:bookmarkStart w:id="1048" w:name="_Toc30524"/>
      <w:bookmarkStart w:id="1049" w:name="_Toc522"/>
      <w:bookmarkStart w:id="1050" w:name="_Toc520356217"/>
      <w:bookmarkStart w:id="1051" w:name="_Toc216582813"/>
      <w:bookmarkStart w:id="1052" w:name="_Ref467988698"/>
      <w:bookmarkStart w:id="1053" w:name="_Toc480942349"/>
      <w:r>
        <w:rPr>
          <w:rFonts w:hint="eastAsia" w:ascii="宋体" w:hAnsi="宋体" w:eastAsia="宋体" w:cs="宋体"/>
          <w:color w:val="auto"/>
          <w:sz w:val="24"/>
          <w:szCs w:val="24"/>
          <w:highlight w:val="none"/>
        </w:rPr>
        <w:t>第一部分 开标一览表及资格证明文件</w:t>
      </w:r>
      <w:bookmarkEnd w:id="1030"/>
      <w:bookmarkEnd w:id="1031"/>
      <w:bookmarkEnd w:id="1032"/>
      <w:bookmarkEnd w:id="1033"/>
      <w:bookmarkEnd w:id="1034"/>
      <w:bookmarkEnd w:id="1035"/>
      <w:bookmarkEnd w:id="1036"/>
      <w:bookmarkEnd w:id="1037"/>
    </w:p>
    <w:p>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开标一览表</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2.投标人具有有效的营业执照</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3.法定代表人身份证明及身份证或法定代表人授权委托书和委托代理人身份证；</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4.法定代表人或被委托人：由社保部门或税务局出具的投标单位缴纳的社保证明和个人缴纳的社保明细表（近半年任意三个月的社保缴费凭证及个人缴费明细）（新成立公司提供近期社保明细）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5.近两年（2022 年至 2023 年）任意一年度财务审计报告（新成立未满一 年的公司提供有效银行资信证明）</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6.近期（2024 年以来任意一个月）依法缴纳税收的证明（税务部门出具 的完税凭证或缴税证明或银行出具的“银行电子缴税付款凭证 ”）；（原件、 复印件、影印件均可，留存复印件或影印件）注： ①若为零申报企业，需提供 无欠税证明或国家税务总局电子税务局“ 申报结果查询截图 ”。②“税种 ”非 社会保险；</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7.投标人提供针对本次项目《反商业贿赂承诺书》</w:t>
      </w:r>
      <w:r>
        <w:rPr>
          <w:rFonts w:hint="eastAsia" w:ascii="宋体" w:hAnsi="宋体" w:cs="宋体"/>
          <w:color w:val="auto"/>
          <w:spacing w:val="-2"/>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8.投标人在中国政府采购网（www.ccgp.gov.cn）被列入政府采购严重违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9.投标人参加政府采购活动前 3 年内在经营活动中没有重大违法违规记录 的书面声明；</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保证金收据复印件及保证金缴纳凭证或电子保函的缴纳凭证；</w:t>
      </w:r>
      <w:r>
        <w:rPr>
          <w:rFonts w:hint="eastAsia" w:ascii="宋体" w:hAnsi="宋体" w:eastAsia="宋体" w:cs="宋体"/>
          <w:color w:val="auto"/>
          <w:sz w:val="24"/>
          <w:szCs w:val="24"/>
          <w:highlight w:val="none"/>
        </w:rPr>
        <w:t>（格式自拟）；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供应商可提供有利于投标的其他资格证明材料。</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color w:val="auto"/>
          <w:sz w:val="21"/>
          <w:szCs w:val="21"/>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1038"/>
    <w:bookmarkEnd w:id="1039"/>
    <w:bookmarkEnd w:id="1040"/>
    <w:bookmarkEnd w:id="1041"/>
    <w:bookmarkEnd w:id="1042"/>
    <w:bookmarkEnd w:id="1043"/>
    <w:bookmarkEnd w:id="1044"/>
    <w:bookmarkEnd w:id="1045"/>
    <w:bookmarkEnd w:id="1046"/>
    <w:bookmarkEnd w:id="1047"/>
    <w:bookmarkEnd w:id="1048"/>
    <w:bookmarkEnd w:id="1049"/>
    <w:p>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宋体" w:hAnsi="宋体" w:eastAsia="宋体" w:cs="宋体"/>
          <w:color w:val="auto"/>
          <w:sz w:val="28"/>
          <w:szCs w:val="28"/>
          <w:highlight w:val="none"/>
        </w:rPr>
      </w:pPr>
      <w:bookmarkStart w:id="1054" w:name="_Toc29944"/>
      <w:bookmarkStart w:id="1055" w:name="_Toc22726"/>
      <w:r>
        <w:rPr>
          <w:rFonts w:hint="eastAsia" w:ascii="宋体" w:hAnsi="宋体" w:eastAsia="宋体" w:cs="宋体"/>
          <w:color w:val="auto"/>
          <w:sz w:val="28"/>
          <w:szCs w:val="28"/>
          <w:highlight w:val="none"/>
        </w:rPr>
        <w:t>1.开标一览表；</w:t>
      </w:r>
      <w:bookmarkEnd w:id="1054"/>
      <w:bookmarkEnd w:id="1055"/>
    </w:p>
    <w:p>
      <w:pPr>
        <w:pStyle w:val="7"/>
        <w:tabs>
          <w:tab w:val="left" w:pos="5580"/>
        </w:tabs>
        <w:spacing w:line="400" w:lineRule="exact"/>
        <w:ind w:left="1080" w:leftChars="257" w:hanging="540"/>
        <w:jc w:val="center"/>
        <w:rPr>
          <w:rFonts w:hint="eastAsia" w:ascii="宋体" w:hAnsi="宋体" w:eastAsia="宋体" w:cs="宋体"/>
          <w:color w:val="auto"/>
          <w:highlight w:val="none"/>
        </w:rPr>
      </w:pPr>
      <w:bookmarkStart w:id="1056" w:name="_Hlt520356241"/>
      <w:bookmarkEnd w:id="1056"/>
      <w:bookmarkStart w:id="1057" w:name="_Toc494296984"/>
      <w:r>
        <w:rPr>
          <w:rFonts w:hint="eastAsia" w:ascii="宋体" w:hAnsi="宋体" w:eastAsia="宋体" w:cs="宋体"/>
          <w:b/>
          <w:color w:val="auto"/>
          <w:highlight w:val="none"/>
        </w:rPr>
        <w:t>开标一览表</w:t>
      </w:r>
      <w:bookmarkEnd w:id="1057"/>
    </w:p>
    <w:p>
      <w:pPr>
        <w:tabs>
          <w:tab w:val="left" w:pos="1800"/>
          <w:tab w:val="left" w:pos="5580"/>
        </w:tabs>
        <w:spacing w:line="400" w:lineRule="exact"/>
        <w:ind w:left="1080" w:leftChars="257" w:right="-867" w:rightChars="-413"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项目编号：                          </w:t>
      </w:r>
    </w:p>
    <w:p>
      <w:pPr>
        <w:tabs>
          <w:tab w:val="left" w:pos="1800"/>
          <w:tab w:val="left" w:pos="5580"/>
        </w:tabs>
        <w:spacing w:line="400" w:lineRule="exact"/>
        <w:ind w:left="1080" w:leftChars="257" w:right="-867" w:rightChars="-413" w:hanging="54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报价单位：人民币</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b/>
          <w:color w:val="auto"/>
          <w:sz w:val="24"/>
          <w:highlight w:val="none"/>
        </w:rPr>
        <w:t>元</w:t>
      </w:r>
      <w:r>
        <w:rPr>
          <w:rFonts w:hint="eastAsia" w:ascii="宋体" w:hAnsi="宋体" w:eastAsia="宋体" w:cs="宋体"/>
          <w:b/>
          <w:color w:val="auto"/>
          <w:sz w:val="24"/>
          <w:highlight w:val="none"/>
          <w:lang w:val="en-US" w:eastAsia="zh-CN"/>
        </w:rPr>
        <w:t xml:space="preserve"> </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color w:val="auto"/>
          <w:sz w:val="24"/>
          <w:highlight w:val="none"/>
          <w:lang w:val="en-US" w:eastAsia="zh-CN"/>
        </w:rPr>
        <w:t>包号：</w:t>
      </w:r>
    </w:p>
    <w:tbl>
      <w:tblPr>
        <w:tblStyle w:val="2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230"/>
        <w:gridCol w:w="1387"/>
        <w:gridCol w:w="138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noWrap w:val="0"/>
            <w:vAlign w:val="center"/>
          </w:tcPr>
          <w:p>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货物名称</w:t>
            </w:r>
          </w:p>
        </w:tc>
        <w:tc>
          <w:tcPr>
            <w:tcW w:w="1544" w:type="dxa"/>
            <w:noWrap w:val="0"/>
            <w:vAlign w:val="center"/>
          </w:tcPr>
          <w:p>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投标总价</w:t>
            </w:r>
          </w:p>
        </w:tc>
        <w:tc>
          <w:tcPr>
            <w:tcW w:w="1230" w:type="dxa"/>
            <w:noWrap w:val="0"/>
            <w:vAlign w:val="center"/>
          </w:tcPr>
          <w:p>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投标保证金</w:t>
            </w:r>
          </w:p>
        </w:tc>
        <w:tc>
          <w:tcPr>
            <w:tcW w:w="1387" w:type="dxa"/>
            <w:noWrap w:val="0"/>
            <w:vAlign w:val="center"/>
          </w:tcPr>
          <w:p>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交货期</w:t>
            </w:r>
          </w:p>
        </w:tc>
        <w:tc>
          <w:tcPr>
            <w:tcW w:w="1387" w:type="dxa"/>
            <w:noWrap w:val="0"/>
            <w:vAlign w:val="center"/>
          </w:tcPr>
          <w:p>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质保期</w:t>
            </w:r>
          </w:p>
        </w:tc>
        <w:tc>
          <w:tcPr>
            <w:tcW w:w="1387" w:type="dxa"/>
            <w:noWrap w:val="0"/>
            <w:vAlign w:val="center"/>
          </w:tcPr>
          <w:p>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noWrap w:val="0"/>
            <w:vAlign w:val="center"/>
          </w:tcPr>
          <w:p>
            <w:pPr>
              <w:tabs>
                <w:tab w:val="left" w:pos="5580"/>
              </w:tabs>
              <w:spacing w:line="400" w:lineRule="exact"/>
              <w:jc w:val="center"/>
              <w:rPr>
                <w:rFonts w:hint="eastAsia" w:ascii="宋体" w:hAnsi="宋体" w:eastAsia="宋体" w:cs="宋体"/>
                <w:color w:val="auto"/>
                <w:sz w:val="24"/>
                <w:highlight w:val="none"/>
                <w:lang w:val="en-US" w:eastAsia="zh-CN"/>
              </w:rPr>
            </w:pPr>
          </w:p>
        </w:tc>
        <w:tc>
          <w:tcPr>
            <w:tcW w:w="1544" w:type="dxa"/>
            <w:noWrap w:val="0"/>
            <w:vAlign w:val="center"/>
          </w:tcPr>
          <w:p>
            <w:pPr>
              <w:tabs>
                <w:tab w:val="left" w:pos="5580"/>
              </w:tabs>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大写：</w:t>
            </w:r>
          </w:p>
          <w:p>
            <w:pPr>
              <w:tabs>
                <w:tab w:val="left" w:pos="5580"/>
              </w:tabs>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小写：</w:t>
            </w:r>
          </w:p>
        </w:tc>
        <w:tc>
          <w:tcPr>
            <w:tcW w:w="1230" w:type="dxa"/>
            <w:noWrap w:val="0"/>
            <w:vAlign w:val="center"/>
          </w:tcPr>
          <w:p>
            <w:pPr>
              <w:tabs>
                <w:tab w:val="left" w:pos="5580"/>
              </w:tabs>
              <w:spacing w:line="400" w:lineRule="exact"/>
              <w:jc w:val="center"/>
              <w:rPr>
                <w:rFonts w:hint="eastAsia" w:ascii="宋体" w:hAnsi="宋体" w:eastAsia="宋体" w:cs="宋体"/>
                <w:color w:val="auto"/>
                <w:sz w:val="24"/>
                <w:highlight w:val="none"/>
                <w:lang w:val="en-US" w:eastAsia="zh-CN"/>
              </w:rPr>
            </w:pPr>
          </w:p>
        </w:tc>
        <w:tc>
          <w:tcPr>
            <w:tcW w:w="1387" w:type="dxa"/>
            <w:noWrap w:val="0"/>
            <w:vAlign w:val="center"/>
          </w:tcPr>
          <w:p>
            <w:pPr>
              <w:tabs>
                <w:tab w:val="left" w:pos="5580"/>
              </w:tabs>
              <w:spacing w:line="400" w:lineRule="exact"/>
              <w:jc w:val="center"/>
              <w:rPr>
                <w:rFonts w:hint="eastAsia" w:ascii="宋体" w:hAnsi="宋体" w:eastAsia="宋体" w:cs="宋体"/>
                <w:color w:val="auto"/>
                <w:sz w:val="24"/>
                <w:highlight w:val="none"/>
                <w:lang w:val="en-US" w:eastAsia="zh-CN"/>
              </w:rPr>
            </w:pPr>
          </w:p>
        </w:tc>
        <w:tc>
          <w:tcPr>
            <w:tcW w:w="1387" w:type="dxa"/>
            <w:noWrap w:val="0"/>
            <w:vAlign w:val="center"/>
          </w:tcPr>
          <w:p>
            <w:pPr>
              <w:tabs>
                <w:tab w:val="left" w:pos="5580"/>
              </w:tabs>
              <w:spacing w:line="400" w:lineRule="exact"/>
              <w:jc w:val="center"/>
              <w:rPr>
                <w:rFonts w:hint="eastAsia" w:ascii="宋体" w:hAnsi="宋体" w:eastAsia="宋体" w:cs="宋体"/>
                <w:color w:val="auto"/>
                <w:sz w:val="24"/>
                <w:highlight w:val="none"/>
                <w:lang w:val="en-US" w:eastAsia="zh-CN"/>
              </w:rPr>
            </w:pPr>
          </w:p>
        </w:tc>
        <w:tc>
          <w:tcPr>
            <w:tcW w:w="1387" w:type="dxa"/>
            <w:noWrap w:val="0"/>
            <w:vAlign w:val="center"/>
          </w:tcPr>
          <w:p>
            <w:pPr>
              <w:tabs>
                <w:tab w:val="left" w:pos="5580"/>
              </w:tabs>
              <w:spacing w:line="400" w:lineRule="exact"/>
              <w:jc w:val="center"/>
              <w:rPr>
                <w:rFonts w:hint="eastAsia" w:ascii="宋体" w:hAnsi="宋体" w:eastAsia="宋体" w:cs="宋体"/>
                <w:color w:val="auto"/>
                <w:sz w:val="24"/>
                <w:highlight w:val="none"/>
                <w:lang w:val="en-US" w:eastAsia="zh-CN"/>
              </w:rPr>
            </w:pPr>
          </w:p>
        </w:tc>
      </w:tr>
    </w:tbl>
    <w:p>
      <w:pPr>
        <w:pStyle w:val="15"/>
        <w:tabs>
          <w:tab w:val="left" w:pos="5580"/>
        </w:tabs>
        <w:spacing w:line="400" w:lineRule="exact"/>
        <w:ind w:left="1080" w:leftChars="257" w:hanging="540"/>
        <w:rPr>
          <w:rFonts w:hint="eastAsia" w:ascii="宋体" w:hAnsi="宋体" w:eastAsia="宋体" w:cs="宋体"/>
          <w:color w:val="auto"/>
          <w:sz w:val="24"/>
          <w:highlight w:val="none"/>
        </w:rPr>
      </w:pPr>
    </w:p>
    <w:p>
      <w:pPr>
        <w:pStyle w:val="15"/>
        <w:tabs>
          <w:tab w:val="left" w:pos="5580"/>
        </w:tabs>
        <w:spacing w:line="400" w:lineRule="exact"/>
        <w:ind w:left="1080" w:leftChars="257" w:hanging="540"/>
        <w:rPr>
          <w:rFonts w:hint="eastAsia" w:ascii="宋体" w:hAnsi="宋体" w:eastAsia="宋体" w:cs="宋体"/>
          <w:color w:val="auto"/>
          <w:sz w:val="24"/>
          <w:highlight w:val="none"/>
          <w:u w:val="single"/>
        </w:rPr>
      </w:pPr>
    </w:p>
    <w:p>
      <w:pPr>
        <w:pStyle w:val="15"/>
        <w:tabs>
          <w:tab w:val="left" w:pos="5580"/>
        </w:tabs>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供应商名称（公章）：</w:t>
      </w:r>
      <w:r>
        <w:rPr>
          <w:rFonts w:hint="eastAsia" w:ascii="宋体" w:hAnsi="宋体" w:eastAsia="宋体" w:cs="宋体"/>
          <w:color w:val="auto"/>
          <w:sz w:val="24"/>
          <w:highlight w:val="none"/>
          <w:u w:val="single"/>
        </w:rPr>
        <w:t xml:space="preserve">                       </w:t>
      </w:r>
    </w:p>
    <w:p>
      <w:pPr>
        <w:pStyle w:val="15"/>
        <w:tabs>
          <w:tab w:val="left" w:pos="5580"/>
        </w:tabs>
        <w:spacing w:line="400" w:lineRule="exact"/>
        <w:ind w:left="108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w:t>
      </w:r>
      <w:r>
        <w:rPr>
          <w:rFonts w:hint="eastAsia" w:ascii="宋体" w:hAnsi="宋体" w:eastAsia="宋体" w:cs="宋体"/>
          <w:color w:val="auto"/>
          <w:sz w:val="24"/>
          <w:highlight w:val="none"/>
          <w:lang w:eastAsia="zh-CN"/>
        </w:rPr>
        <w:t>人（</w:t>
      </w:r>
      <w:r>
        <w:rPr>
          <w:rFonts w:hint="eastAsia" w:hAnsi="宋体" w:cs="宋体"/>
          <w:color w:val="auto"/>
          <w:sz w:val="24"/>
          <w:highlight w:val="none"/>
          <w:lang w:val="en-US" w:eastAsia="zh-CN"/>
        </w:rPr>
        <w:t>签字或盖章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p>
    <w:p>
      <w:pPr>
        <w:pStyle w:val="15"/>
        <w:tabs>
          <w:tab w:val="left" w:pos="5580"/>
        </w:tabs>
        <w:spacing w:line="400" w:lineRule="exact"/>
        <w:ind w:left="1080" w:leftChars="257" w:hanging="540"/>
        <w:rPr>
          <w:rFonts w:hint="eastAsia" w:ascii="宋体" w:hAnsi="宋体" w:eastAsia="宋体" w:cs="宋体"/>
          <w:color w:val="auto"/>
          <w:sz w:val="24"/>
          <w:highlight w:val="none"/>
        </w:rPr>
      </w:pPr>
    </w:p>
    <w:p>
      <w:pPr>
        <w:pStyle w:val="15"/>
        <w:tabs>
          <w:tab w:val="left" w:pos="5580"/>
        </w:tabs>
        <w:spacing w:line="400" w:lineRule="exact"/>
        <w:ind w:left="741" w:leftChars="353"/>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注:1、此表中，投标总价应和投标分项报价表的总价相一致。</w:t>
      </w:r>
    </w:p>
    <w:p>
      <w:pPr>
        <w:pStyle w:val="15"/>
        <w:tabs>
          <w:tab w:val="left" w:pos="5580"/>
        </w:tabs>
        <w:spacing w:line="400" w:lineRule="exact"/>
        <w:ind w:left="741" w:leftChars="353"/>
        <w:rPr>
          <w:rFonts w:hint="eastAsia" w:ascii="宋体" w:hAnsi="宋体" w:eastAsia="宋体" w:cs="宋体"/>
          <w:b/>
          <w:color w:val="auto"/>
          <w:sz w:val="24"/>
          <w:highlight w:val="none"/>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、投标商报价时包含税费等一切与本次项目相关的费用。</w:t>
      </w:r>
    </w:p>
    <w:p>
      <w:pPr>
        <w:pStyle w:val="15"/>
        <w:tabs>
          <w:tab w:val="left" w:pos="5580"/>
        </w:tabs>
        <w:spacing w:line="240" w:lineRule="atLeast"/>
        <w:rPr>
          <w:rFonts w:hint="eastAsia" w:ascii="宋体" w:hAnsi="宋体" w:eastAsia="宋体" w:cs="宋体"/>
          <w:b/>
          <w:color w:val="auto"/>
          <w:sz w:val="24"/>
          <w:highlight w:val="none"/>
        </w:rPr>
      </w:pPr>
    </w:p>
    <w:p>
      <w:pPr>
        <w:pStyle w:val="15"/>
        <w:tabs>
          <w:tab w:val="left" w:pos="5580"/>
        </w:tabs>
        <w:spacing w:line="240" w:lineRule="atLeast"/>
        <w:rPr>
          <w:rFonts w:hint="eastAsia" w:ascii="宋体" w:hAnsi="宋体" w:eastAsia="宋体" w:cs="宋体"/>
          <w:b/>
          <w:color w:val="auto"/>
          <w:sz w:val="24"/>
          <w:highlight w:val="none"/>
        </w:rPr>
      </w:pPr>
    </w:p>
    <w:p>
      <w:pPr>
        <w:pStyle w:val="15"/>
        <w:tabs>
          <w:tab w:val="left" w:pos="5580"/>
        </w:tabs>
        <w:spacing w:line="240" w:lineRule="atLeast"/>
        <w:rPr>
          <w:rFonts w:hint="eastAsia" w:ascii="宋体" w:hAnsi="宋体" w:eastAsia="宋体" w:cs="宋体"/>
          <w:b/>
          <w:color w:val="auto"/>
          <w:sz w:val="24"/>
          <w:highlight w:val="none"/>
        </w:rPr>
      </w:pPr>
    </w:p>
    <w:p>
      <w:pPr>
        <w:pStyle w:val="4"/>
        <w:keepNext/>
        <w:keepLines/>
        <w:pageBreakBefore w:val="0"/>
        <w:widowControl w:val="0"/>
        <w:numPr>
          <w:ilvl w:val="0"/>
          <w:numId w:val="7"/>
        </w:numPr>
        <w:kinsoku/>
        <w:wordWrap/>
        <w:overflowPunct/>
        <w:topLinePunct w:val="0"/>
        <w:autoSpaceDE w:val="0"/>
        <w:autoSpaceDN w:val="0"/>
        <w:bidi w:val="0"/>
        <w:adjustRightInd w:val="0"/>
        <w:snapToGrid/>
        <w:spacing w:before="0" w:line="440" w:lineRule="exact"/>
        <w:jc w:val="left"/>
        <w:textAlignment w:val="auto"/>
        <w:outlineLvl w:val="1"/>
        <w:rPr>
          <w:rFonts w:hint="eastAsia" w:ascii="宋体" w:hAnsi="宋体" w:eastAsia="宋体" w:cs="宋体"/>
          <w:color w:val="auto"/>
          <w:sz w:val="28"/>
          <w:szCs w:val="28"/>
          <w:highlight w:val="none"/>
          <w:lang w:val="en-US" w:eastAsia="zh-CN"/>
        </w:rPr>
      </w:pPr>
      <w:bookmarkStart w:id="1058" w:name="_Toc3446"/>
      <w:bookmarkStart w:id="1059" w:name="_Toc16252"/>
      <w:r>
        <w:rPr>
          <w:rFonts w:hint="eastAsia" w:ascii="宋体" w:hAnsi="宋体" w:eastAsia="宋体" w:cs="宋体"/>
          <w:color w:val="auto"/>
          <w:sz w:val="28"/>
          <w:szCs w:val="28"/>
          <w:highlight w:val="none"/>
          <w:lang w:val="en-US" w:eastAsia="zh-CN"/>
        </w:rPr>
        <w:t>投标人具有效法人营业执照；</w:t>
      </w:r>
      <w:bookmarkEnd w:id="1058"/>
      <w:bookmarkEnd w:id="1059"/>
      <w:bookmarkStart w:id="1060" w:name="_Toc16610"/>
      <w:bookmarkStart w:id="1061" w:name="_Toc14661"/>
    </w:p>
    <w:p>
      <w:pPr>
        <w:rPr>
          <w:rFonts w:hint="eastAsia"/>
          <w:lang w:val="en-US" w:eastAsia="zh-CN"/>
        </w:rPr>
      </w:pPr>
    </w:p>
    <w:p>
      <w:pPr>
        <w:spacing w:before="75" w:line="232" w:lineRule="auto"/>
        <w:ind w:left="450"/>
        <w:rPr>
          <w:rFonts w:ascii="仿宋" w:hAnsi="仿宋" w:eastAsia="仿宋" w:cs="仿宋"/>
          <w:sz w:val="23"/>
          <w:szCs w:val="23"/>
        </w:rPr>
      </w:pPr>
      <w:r>
        <w:rPr>
          <w:rFonts w:ascii="仿宋" w:hAnsi="仿宋" w:eastAsia="仿宋" w:cs="仿宋"/>
          <w:spacing w:val="-11"/>
          <w:sz w:val="23"/>
          <w:szCs w:val="23"/>
        </w:rPr>
        <w:t>说明：</w:t>
      </w:r>
    </w:p>
    <w:p>
      <w:pPr>
        <w:spacing w:before="111" w:line="305" w:lineRule="auto"/>
        <w:ind w:left="454" w:right="219" w:firstLine="476"/>
        <w:rPr>
          <w:rFonts w:ascii="仿宋" w:hAnsi="仿宋" w:eastAsia="仿宋" w:cs="仿宋"/>
          <w:sz w:val="23"/>
          <w:szCs w:val="23"/>
        </w:rPr>
        <w:sectPr>
          <w:footerReference r:id="rId5" w:type="default"/>
          <w:pgSz w:w="11906" w:h="16838"/>
          <w:pgMar w:top="1431" w:right="1785" w:bottom="1404" w:left="1785" w:header="0" w:footer="1229" w:gutter="0"/>
          <w:pgNumType w:fmt="decimal"/>
          <w:cols w:space="720" w:num="1"/>
        </w:sectPr>
      </w:pPr>
      <w:r>
        <w:rPr>
          <w:rFonts w:ascii="仿宋" w:hAnsi="仿宋" w:eastAsia="仿宋" w:cs="仿宋"/>
          <w:spacing w:val="9"/>
          <w:sz w:val="23"/>
          <w:szCs w:val="23"/>
        </w:rPr>
        <w:t>企业法人的合法有效的营业执照证明文件复印件，复印件上应加盖本</w:t>
      </w:r>
      <w:r>
        <w:rPr>
          <w:rFonts w:ascii="仿宋" w:hAnsi="仿宋" w:eastAsia="仿宋" w:cs="仿宋"/>
          <w:spacing w:val="-4"/>
          <w:sz w:val="23"/>
          <w:szCs w:val="23"/>
        </w:rPr>
        <w:t>单位章。</w:t>
      </w:r>
    </w:p>
    <w:p>
      <w:pPr>
        <w:rPr>
          <w:rFonts w:hint="eastAsia" w:ascii="宋体" w:hAnsi="宋体" w:eastAsia="宋体" w:cs="宋体"/>
          <w:color w:val="auto"/>
          <w:sz w:val="28"/>
          <w:szCs w:val="28"/>
          <w:highlight w:val="none"/>
          <w:lang w:val="en-US" w:eastAsia="zh-CN"/>
        </w:rPr>
      </w:pPr>
    </w:p>
    <w:p>
      <w:pPr>
        <w:rPr>
          <w:rFonts w:hint="eastAsia" w:ascii="宋体" w:hAnsi="宋体" w:eastAsia="宋体" w:cs="宋体"/>
          <w:color w:val="auto"/>
          <w:sz w:val="28"/>
          <w:szCs w:val="28"/>
          <w:highlight w:val="none"/>
          <w:lang w:val="en-US" w:eastAsia="zh-CN"/>
        </w:rPr>
      </w:pPr>
    </w:p>
    <w:p>
      <w:pPr>
        <w:pStyle w:val="4"/>
        <w:keepNext/>
        <w:keepLines/>
        <w:pageBreakBefore w:val="0"/>
        <w:widowControl w:val="0"/>
        <w:numPr>
          <w:ilvl w:val="0"/>
          <w:numId w:val="7"/>
        </w:numPr>
        <w:kinsoku/>
        <w:wordWrap/>
        <w:overflowPunct/>
        <w:topLinePunct w:val="0"/>
        <w:autoSpaceDE w:val="0"/>
        <w:autoSpaceDN w:val="0"/>
        <w:bidi w:val="0"/>
        <w:adjustRightInd w:val="0"/>
        <w:snapToGrid/>
        <w:spacing w:before="0" w:line="440" w:lineRule="exact"/>
        <w:jc w:val="left"/>
        <w:textAlignment w:val="auto"/>
        <w:outlineLvl w:val="1"/>
        <w:rPr>
          <w:rFonts w:hint="eastAsia"/>
          <w:color w:val="auto"/>
          <w:highlight w:val="none"/>
        </w:rPr>
      </w:pPr>
      <w:r>
        <w:rPr>
          <w:rFonts w:hint="eastAsia" w:ascii="宋体" w:hAnsi="宋体" w:eastAsia="宋体" w:cs="宋体"/>
          <w:color w:val="auto"/>
          <w:sz w:val="28"/>
          <w:szCs w:val="28"/>
          <w:highlight w:val="none"/>
          <w:lang w:val="en-US" w:eastAsia="zh-CN"/>
        </w:rPr>
        <w:t>法定代表人资格证明及授权书、被授权人身份证(法定代表人投标需提供法定代表人身份证)；</w:t>
      </w:r>
      <w:bookmarkEnd w:id="1060"/>
      <w:bookmarkEnd w:id="1061"/>
    </w:p>
    <w:p>
      <w:pPr>
        <w:adjustRightInd w:val="0"/>
        <w:snapToGrid w:val="0"/>
        <w:spacing w:before="240" w:beforeLines="100" w:after="240" w:afterLines="100" w:line="360" w:lineRule="auto"/>
        <w:jc w:val="center"/>
        <w:outlineLvl w:val="2"/>
        <w:rPr>
          <w:rFonts w:hint="eastAsia" w:ascii="宋体" w:hAnsi="宋体" w:eastAsia="宋体" w:cs="宋体"/>
          <w:b/>
          <w:color w:val="auto"/>
          <w:sz w:val="24"/>
          <w:szCs w:val="24"/>
          <w:highlight w:val="none"/>
        </w:rPr>
      </w:pPr>
      <w:bookmarkStart w:id="1062" w:name="_Toc27898"/>
      <w:bookmarkStart w:id="1063" w:name="_Toc617"/>
    </w:p>
    <w:p>
      <w:pPr>
        <w:adjustRightInd w:val="0"/>
        <w:snapToGrid w:val="0"/>
        <w:spacing w:before="240" w:beforeLines="100" w:after="240" w:afterLines="100" w:line="360" w:lineRule="auto"/>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（一）法定代表人身份证明</w:t>
      </w:r>
      <w:bookmarkEnd w:id="1062"/>
      <w:bookmarkEnd w:id="1063"/>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单位：</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身份证号码：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合格有效的三证合一的营业执照（三证合一）或电子营业执照（需加盖公章）或同等法律效力的证明文件（发证机关或公证机关出具的证明材料）</w:t>
      </w:r>
      <w:r>
        <w:rPr>
          <w:rFonts w:hint="eastAsia" w:ascii="宋体" w:hAnsi="宋体" w:eastAsia="宋体" w:cs="宋体"/>
          <w:color w:val="auto"/>
          <w:sz w:val="24"/>
          <w:szCs w:val="24"/>
          <w:highlight w:val="none"/>
        </w:rPr>
        <w:t>号码：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经济性质：</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提供身份证正反面。</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内容必须填写真实、清楚、涂改无效，不得转让。</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vert="horz" wrap="square" anchor="t" anchorCtr="0" upright="1"/>
                    </wps:wsp>
                  </a:graphicData>
                </a:graphic>
              </wp:anchor>
            </w:drawing>
          </mc:Choice>
          <mc:Fallback>
            <w:pict>
              <v:shape id="流程图: 可选过程 14"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Vk69dYAAAAIAQAADwAAAAAA&#10;AAABACAAAAAiAAAAZHJzL2Rvd25yZXYueG1sUEsBAhQAFAAAAAgAh07iQHVeRnpOAgAAlQQAAA4A&#10;AAAAAAAAAQAgAAAAJQEAAGRycy9lMm9Eb2MueG1sUEsFBgAAAAAGAAYAWQEAAOU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2918460</wp:posOffset>
                </wp:positionH>
                <wp:positionV relativeFrom="paragraph">
                  <wp:posOffset>28575</wp:posOffset>
                </wp:positionV>
                <wp:extent cx="2392045" cy="1557020"/>
                <wp:effectExtent l="5080" t="4445" r="10795" b="8255"/>
                <wp:wrapNone/>
                <wp:docPr id="1027"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p/>
                          <w:p>
                            <w:pPr>
                              <w:pStyle w:val="7"/>
                            </w:pPr>
                          </w:p>
                          <w:p>
                            <w:pPr>
                              <w:pStyle w:val="7"/>
                            </w:pPr>
                          </w:p>
                          <w:p>
                            <w:pPr>
                              <w:pStyle w:val="7"/>
                            </w:pPr>
                          </w:p>
                          <w:p>
                            <w:pPr>
                              <w:pStyle w:val="7"/>
                            </w:pPr>
                          </w:p>
                        </w:txbxContent>
                      </wps:txbx>
                      <wps:bodyPr vert="horz" wrap="square" anchor="t" anchorCtr="0" upright="1"/>
                    </wps:wsp>
                  </a:graphicData>
                </a:graphic>
              </wp:anchor>
            </w:drawing>
          </mc:Choice>
          <mc:Fallback>
            <w:pict>
              <v:roundrect id="圆角矩形 15" o:spid="_x0000_s1026" o:spt="2" style="position:absolute;left:0pt;margin-left:229.8pt;margin-top:2.25pt;height:122.6pt;width:188.35pt;z-index:251660288;mso-width-relative:page;mso-height-relative:page;" fillcolor="#FFFFFF" filled="t" stroked="t" coordsize="21600,21600" arcsize="0.166666666666667" o:gfxdata="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UD8jnaAAAACQEA&#10;AA8AAAAAAAAAAQAgAAAAIgAAAGRycy9kb3ducmV2LnhtbFBLAQIUABQAAAAIAIdO4kCERgbfUQIA&#10;AKYEAAAOAAAAAAAAAAEAIAAAACkBAABkcnMvZTJvRG9jLnhtbFBLBQYAAAAABgAGAFkBAADsBQAA&#10;AAA=&#10;">
                <v:fill on="t" focussize="0,0"/>
                <v:stroke color="#000000" joinstyle="miter"/>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p/>
                    <w:p>
                      <w:pPr>
                        <w:pStyle w:val="7"/>
                      </w:pPr>
                    </w:p>
                    <w:p>
                      <w:pPr>
                        <w:pStyle w:val="7"/>
                      </w:pPr>
                    </w:p>
                    <w:p>
                      <w:pPr>
                        <w:pStyle w:val="7"/>
                      </w:pPr>
                    </w:p>
                    <w:p>
                      <w:pPr>
                        <w:pStyle w:val="7"/>
                      </w:pPr>
                    </w:p>
                  </w:txbxContent>
                </v:textbox>
              </v:roundrect>
            </w:pict>
          </mc:Fallback>
        </mc:AlternateConten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4"/>
          <w:szCs w:val="24"/>
          <w:highlight w:val="none"/>
        </w:rPr>
      </w:pPr>
    </w:p>
    <w:p>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pPr>
        <w:autoSpaceDE w:val="0"/>
        <w:autoSpaceDN w:val="0"/>
        <w:adjustRightInd w:val="0"/>
        <w:spacing w:line="360" w:lineRule="auto"/>
        <w:ind w:right="246"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公</w:t>
      </w:r>
      <w:r>
        <w:rPr>
          <w:rFonts w:hint="eastAsia" w:ascii="宋体" w:hAnsi="宋体" w:eastAsia="宋体" w:cs="宋体"/>
          <w:color w:val="auto"/>
          <w:kern w:val="0"/>
          <w:sz w:val="24"/>
          <w:szCs w:val="24"/>
          <w:highlight w:val="none"/>
        </w:rPr>
        <w:t>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adjustRightInd w:val="0"/>
        <w:snapToGrid w:val="0"/>
        <w:spacing w:line="360" w:lineRule="auto"/>
        <w:ind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签/章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right="246" w:firstLine="784" w:firstLineChars="327"/>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日期：</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lang w:eastAsia="zh-CN"/>
        </w:rPr>
        <w:t xml:space="preserve">         </w:t>
      </w:r>
    </w:p>
    <w:p>
      <w:pPr>
        <w:adjustRightInd w:val="0"/>
        <w:snapToGrid w:val="0"/>
        <w:spacing w:line="400" w:lineRule="exact"/>
        <w:ind w:firstLine="784" w:firstLineChars="327"/>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pPr>
        <w:pStyle w:val="15"/>
        <w:tabs>
          <w:tab w:val="left" w:pos="5580"/>
        </w:tabs>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说明：1.供应商为自然人的，应提供身份证明的复印件。</w:t>
      </w:r>
    </w:p>
    <w:p>
      <w:pPr>
        <w:pStyle w:val="15"/>
        <w:tabs>
          <w:tab w:val="left" w:pos="5580"/>
        </w:tabs>
        <w:spacing w:line="400" w:lineRule="exact"/>
        <w:ind w:left="1080" w:leftChars="257" w:hanging="54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.联合体投标应提供联合体各方满足以上要求的证明文件。</w:t>
      </w:r>
      <w:bookmarkStart w:id="1064" w:name="_Toc6829"/>
      <w:bookmarkStart w:id="1065" w:name="_Toc515647807"/>
      <w:bookmarkStart w:id="1066" w:name="_Toc16640"/>
      <w:bookmarkStart w:id="1067" w:name="_Toc13107"/>
      <w:bookmarkStart w:id="1068" w:name="_Toc1083"/>
      <w:bookmarkStart w:id="1069" w:name="_Toc5436"/>
      <w:bookmarkStart w:id="1070" w:name="_Toc21867"/>
      <w:bookmarkStart w:id="1071" w:name="_Toc22472"/>
    </w:p>
    <w:p>
      <w:pPr>
        <w:rPr>
          <w:rFonts w:hint="eastAsia" w:ascii="宋体" w:hAnsi="宋体" w:eastAsia="宋体" w:cs="宋体"/>
          <w:b/>
          <w:bCs/>
          <w:color w:val="auto"/>
          <w:sz w:val="24"/>
          <w:highlight w:val="none"/>
        </w:rPr>
      </w:pPr>
      <w:bookmarkStart w:id="1072" w:name="_Toc6179"/>
      <w:bookmarkStart w:id="1073" w:name="_Toc32380"/>
      <w:bookmarkStart w:id="1074" w:name="_Toc24769"/>
    </w:p>
    <w:bookmarkEnd w:id="1064"/>
    <w:bookmarkEnd w:id="1065"/>
    <w:bookmarkEnd w:id="1066"/>
    <w:bookmarkEnd w:id="1067"/>
    <w:bookmarkEnd w:id="1068"/>
    <w:bookmarkEnd w:id="1069"/>
    <w:bookmarkEnd w:id="1070"/>
    <w:bookmarkEnd w:id="1071"/>
    <w:bookmarkEnd w:id="1072"/>
    <w:bookmarkEnd w:id="1073"/>
    <w:bookmarkEnd w:id="1074"/>
    <w:p>
      <w:pPr>
        <w:jc w:val="center"/>
        <w:rPr>
          <w:rFonts w:hint="eastAsia" w:ascii="宋体" w:hAnsi="宋体" w:eastAsia="宋体" w:cs="宋体"/>
          <w:b/>
          <w:bCs/>
          <w:color w:val="auto"/>
          <w:sz w:val="24"/>
          <w:szCs w:val="24"/>
          <w:highlight w:val="none"/>
          <w:u w:val="single"/>
        </w:rPr>
      </w:pPr>
      <w:bookmarkStart w:id="1075" w:name="_Toc9453"/>
      <w:bookmarkStart w:id="1076" w:name="_Toc1011"/>
      <w:bookmarkStart w:id="1077" w:name="_Toc515647808"/>
      <w:bookmarkStart w:id="1078" w:name="_Toc32520"/>
      <w:bookmarkStart w:id="1079" w:name="_Toc7039"/>
      <w:r>
        <w:rPr>
          <w:rFonts w:hint="eastAsia" w:ascii="宋体" w:hAnsi="宋体" w:eastAsia="宋体" w:cs="宋体"/>
          <w:b/>
          <w:bCs/>
          <w:color w:val="auto"/>
          <w:sz w:val="24"/>
          <w:szCs w:val="24"/>
          <w:highlight w:val="none"/>
        </w:rPr>
        <w:t>（二）法定代表人授权委托书</w:t>
      </w:r>
      <w:bookmarkEnd w:id="1075"/>
      <w:bookmarkEnd w:id="1076"/>
    </w:p>
    <w:p>
      <w:pPr>
        <w:pStyle w:val="15"/>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w:t>
      </w:r>
      <w:r>
        <w:rPr>
          <w:rFonts w:hint="eastAsia" w:ascii="宋体" w:hAnsi="宋体" w:eastAsia="宋体" w:cs="宋体"/>
          <w:i w:val="0"/>
          <w:iCs w:val="0"/>
          <w:color w:val="auto"/>
          <w:sz w:val="24"/>
          <w:szCs w:val="24"/>
          <w:highlight w:val="none"/>
        </w:rPr>
        <w:t>授权书声明：注册于</w:t>
      </w:r>
      <w:r>
        <w:rPr>
          <w:rFonts w:hint="eastAsia" w:ascii="宋体" w:hAnsi="宋体" w:eastAsia="宋体" w:cs="宋体"/>
          <w:i w:val="0"/>
          <w:iCs w:val="0"/>
          <w:color w:val="auto"/>
          <w:sz w:val="24"/>
          <w:szCs w:val="24"/>
          <w:highlight w:val="none"/>
          <w:u w:val="single"/>
        </w:rPr>
        <w:t>（国家或地区的名称）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lang w:eastAsia="zh-CN"/>
        </w:rPr>
        <w:t>供应商</w:t>
      </w:r>
      <w:r>
        <w:rPr>
          <w:rFonts w:hint="eastAsia" w:ascii="宋体" w:hAnsi="宋体" w:eastAsia="宋体" w:cs="宋体"/>
          <w:i w:val="0"/>
          <w:iCs w:val="0"/>
          <w:color w:val="auto"/>
          <w:sz w:val="24"/>
          <w:szCs w:val="24"/>
          <w:highlight w:val="none"/>
        </w:rPr>
        <w:t>）的在下面签字的（</w:t>
      </w:r>
      <w:r>
        <w:rPr>
          <w:rFonts w:hint="eastAsia" w:ascii="宋体" w:hAnsi="宋体" w:eastAsia="宋体" w:cs="宋体"/>
          <w:i w:val="0"/>
          <w:iCs w:val="0"/>
          <w:color w:val="auto"/>
          <w:sz w:val="24"/>
          <w:szCs w:val="24"/>
          <w:highlight w:val="none"/>
          <w:u w:val="single"/>
        </w:rPr>
        <w:t>法定代表</w:t>
      </w:r>
      <w:r>
        <w:rPr>
          <w:rFonts w:hint="eastAsia" w:hAnsi="宋体" w:cs="宋体"/>
          <w:i w:val="0"/>
          <w:iCs w:val="0"/>
          <w:color w:val="auto"/>
          <w:sz w:val="24"/>
          <w:szCs w:val="24"/>
          <w:highlight w:val="none"/>
          <w:u w:val="single"/>
          <w:lang w:val="en-US" w:eastAsia="zh-CN"/>
        </w:rPr>
        <w:t>人</w:t>
      </w:r>
      <w:r>
        <w:rPr>
          <w:rFonts w:hint="eastAsia" w:ascii="宋体" w:hAnsi="宋体" w:eastAsia="宋体" w:cs="宋体"/>
          <w:i w:val="0"/>
          <w:iCs w:val="0"/>
          <w:color w:val="auto"/>
          <w:sz w:val="24"/>
          <w:szCs w:val="24"/>
          <w:highlight w:val="none"/>
          <w:u w:val="single"/>
        </w:rPr>
        <w:t>姓名、职务</w:t>
      </w:r>
      <w:r>
        <w:rPr>
          <w:rFonts w:hint="eastAsia" w:ascii="宋体" w:hAnsi="宋体" w:eastAsia="宋体" w:cs="宋体"/>
          <w:i w:val="0"/>
          <w:iCs w:val="0"/>
          <w:color w:val="auto"/>
          <w:sz w:val="24"/>
          <w:szCs w:val="24"/>
          <w:highlight w:val="none"/>
        </w:rPr>
        <w:t>）代表我单位授权（</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）的在下面签字的（</w:t>
      </w:r>
      <w:r>
        <w:rPr>
          <w:rFonts w:hint="eastAsia" w:ascii="宋体" w:hAnsi="宋体" w:eastAsia="宋体" w:cs="宋体"/>
          <w:i w:val="0"/>
          <w:iCs w:val="0"/>
          <w:color w:val="auto"/>
          <w:sz w:val="24"/>
          <w:szCs w:val="24"/>
          <w:highlight w:val="none"/>
          <w:u w:val="single"/>
        </w:rPr>
        <w:t>被授权人的姓名、职务</w:t>
      </w:r>
      <w:r>
        <w:rPr>
          <w:rFonts w:hint="eastAsia" w:ascii="宋体" w:hAnsi="宋体" w:eastAsia="宋体" w:cs="宋体"/>
          <w:i w:val="0"/>
          <w:iCs w:val="0"/>
          <w:color w:val="auto"/>
          <w:sz w:val="24"/>
          <w:szCs w:val="24"/>
          <w:highlight w:val="none"/>
        </w:rPr>
        <w:t>）为我单位的合法代理人，就（</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）的投标，以我单位名义处理一切与之有关的事</w:t>
      </w:r>
      <w:r>
        <w:rPr>
          <w:rFonts w:hint="eastAsia" w:ascii="宋体" w:hAnsi="宋体" w:eastAsia="宋体" w:cs="宋体"/>
          <w:color w:val="auto"/>
          <w:sz w:val="24"/>
          <w:szCs w:val="24"/>
          <w:highlight w:val="none"/>
        </w:rPr>
        <w:t>务。</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w:t>
      </w:r>
    </w:p>
    <w:p>
      <w:pPr>
        <w:pStyle w:val="15"/>
        <w:tabs>
          <w:tab w:val="left" w:pos="5580"/>
        </w:tabs>
        <w:spacing w:line="360" w:lineRule="exact"/>
        <w:ind w:left="-540" w:leftChars="-257" w:firstLine="900" w:firstLine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pPr>
        <w:pStyle w:val="15"/>
        <w:tabs>
          <w:tab w:val="left" w:pos="5580"/>
        </w:tabs>
        <w:spacing w:line="240" w:lineRule="atLeast"/>
        <w:ind w:left="-540" w:leftChars="-257" w:firstLine="900" w:firstLine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3039110</wp:posOffset>
                </wp:positionH>
                <wp:positionV relativeFrom="paragraph">
                  <wp:posOffset>167640</wp:posOffset>
                </wp:positionV>
                <wp:extent cx="2478405" cy="969010"/>
                <wp:effectExtent l="7620" t="7620" r="13335" b="13970"/>
                <wp:wrapNone/>
                <wp:docPr id="1028"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pPr>
                              <w:rPr>
                                <w:rFonts w:hAnsi="宋体"/>
                              </w:rPr>
                            </w:pPr>
                          </w:p>
                          <w:p>
                            <w:pPr>
                              <w:rPr>
                                <w:rFonts w:hAnsi="宋体"/>
                              </w:rPr>
                            </w:pPr>
                          </w:p>
                          <w:p>
                            <w:pPr>
                              <w:rPr>
                                <w:rFonts w:hAnsi="宋体"/>
                              </w:rPr>
                            </w:pPr>
                          </w:p>
                          <w:p>
                            <w:pPr>
                              <w:jc w:val="center"/>
                            </w:pPr>
                            <w:r>
                              <w:rPr>
                                <w:rFonts w:hint="eastAsia" w:hAnsi="宋体"/>
                              </w:rPr>
                              <w:t>授权委托人身份证复印件</w:t>
                            </w:r>
                          </w:p>
                          <w:p/>
                        </w:txbxContent>
                      </wps:txbx>
                      <wps:bodyPr vert="horz" wrap="square" anchor="t" anchorCtr="0" upright="1"/>
                    </wps:wsp>
                  </a:graphicData>
                </a:graphic>
              </wp:anchor>
            </w:drawing>
          </mc:Choice>
          <mc:Fallback>
            <w:pict>
              <v:roundrect id="自选图形 5" o:spid="_x0000_s1026" o:spt="2" style="position:absolute;left:0pt;margin-left:239.3pt;margin-top:13.2pt;height:76.3pt;width:195.15pt;z-index:251661312;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TBZ+42wAAAAoBAAAP&#10;AAAAAAAAAAEAIAAAACIAAABkcnMvZG93bnJldi54bWxQSwECFAAUAAAACACHTuJAcCRjXE4CAACl&#10;BAAADgAAAAAAAAABACAAAAAqAQAAZHJzL2Uyb0RvYy54bWxQSwUGAAAAAAYABgBZAQAA6gU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pPr>
                        <w:jc w:val="center"/>
                      </w:pPr>
                      <w:r>
                        <w:rPr>
                          <w:rFonts w:hint="eastAsia" w:hAnsi="宋体"/>
                        </w:rPr>
                        <w:t>授权委托人身份证复印件</w:t>
                      </w:r>
                    </w:p>
                    <w:p/>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62336" behindDoc="0" locked="0" layoutInCell="1" allowOverlap="1">
                <wp:simplePos x="0" y="0"/>
                <wp:positionH relativeFrom="column">
                  <wp:posOffset>20955</wp:posOffset>
                </wp:positionH>
                <wp:positionV relativeFrom="paragraph">
                  <wp:posOffset>135890</wp:posOffset>
                </wp:positionV>
                <wp:extent cx="2494915" cy="942340"/>
                <wp:effectExtent l="4445" t="4445" r="15240" b="13335"/>
                <wp:wrapNone/>
                <wp:docPr id="1029" name="自选图形 6"/>
                <wp:cNvGraphicFramePr/>
                <a:graphic xmlns:a="http://schemas.openxmlformats.org/drawingml/2006/main">
                  <a:graphicData uri="http://schemas.microsoft.com/office/word/2010/wordprocessingShape">
                    <wps:wsp>
                      <wps:cNvSpPr/>
                      <wps:spPr>
                        <a:xfrm>
                          <a:off x="0" y="0"/>
                          <a:ext cx="2494915"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w:t>
                            </w:r>
                          </w:p>
                        </w:txbxContent>
                      </wps:txbx>
                      <wps:bodyPr vert="horz" wrap="square" anchor="t" anchorCtr="0" upright="1"/>
                    </wps:wsp>
                  </a:graphicData>
                </a:graphic>
              </wp:anchor>
            </w:drawing>
          </mc:Choice>
          <mc:Fallback>
            <w:pict>
              <v:shape id="自选图形 6" o:spid="_x0000_s1026" o:spt="176" type="#_x0000_t176" style="position:absolute;left:0pt;margin-left:1.65pt;margin-top:10.7pt;height:74.2pt;width:196.45pt;z-index:251662336;mso-width-relative:page;mso-height-relative:page;" fillcolor="#FFFFFF" filled="t" stroked="t" coordsize="21600,21600" o:gfxdata="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Bp2L3WAAAACAEAAA8AAAAAAAAAAQAgAAAAIgAAAGRy&#10;cy9kb3ducmV2LnhtbFBLAQIUABQAAAAIAIdO4kAI38wNQAIAAIgEAAAOAAAAAAAAAAEAIAAAACUB&#10;AABkcnMvZTJvRG9jLnhtbFBLBQYAAAAABgAGAFkBAADXBQ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w:t>
                      </w:r>
                    </w:p>
                  </w:txbxContent>
                </v:textbox>
              </v:shape>
            </w:pict>
          </mc:Fallback>
        </mc:AlternateContent>
      </w: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63360" behindDoc="0" locked="0" layoutInCell="1" allowOverlap="1">
                <wp:simplePos x="0" y="0"/>
                <wp:positionH relativeFrom="column">
                  <wp:posOffset>3018155</wp:posOffset>
                </wp:positionH>
                <wp:positionV relativeFrom="paragraph">
                  <wp:posOffset>96520</wp:posOffset>
                </wp:positionV>
                <wp:extent cx="2535555" cy="935355"/>
                <wp:effectExtent l="7620" t="7620" r="17145" b="17145"/>
                <wp:wrapNone/>
                <wp:docPr id="1030"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pPr>
                              <w:jc w:val="center"/>
                              <w:rPr>
                                <w:rFonts w:hAnsi="宋体"/>
                              </w:rPr>
                            </w:pPr>
                            <w:r>
                              <w:rPr>
                                <w:rFonts w:hint="eastAsia" w:hAnsi="宋体"/>
                              </w:rPr>
                              <w:t xml:space="preserve">  </w:t>
                            </w:r>
                          </w:p>
                          <w:p>
                            <w:pPr>
                              <w:rPr>
                                <w:rFonts w:hAnsi="宋体"/>
                              </w:rPr>
                            </w:pPr>
                          </w:p>
                          <w:p>
                            <w:pPr>
                              <w:jc w:val="center"/>
                              <w:rPr>
                                <w:szCs w:val="21"/>
                              </w:rPr>
                            </w:pPr>
                            <w:r>
                              <w:rPr>
                                <w:rFonts w:hint="eastAsia" w:hAnsi="宋体"/>
                                <w:szCs w:val="21"/>
                              </w:rPr>
                              <w:t>法定代表人身份证复印件</w:t>
                            </w:r>
                          </w:p>
                          <w:p/>
                        </w:txbxContent>
                      </wps:txbx>
                      <wps:bodyPr vert="horz" wrap="square" anchor="t" anchorCtr="0" upright="1"/>
                    </wps:wsp>
                  </a:graphicData>
                </a:graphic>
              </wp:anchor>
            </w:drawing>
          </mc:Choice>
          <mc:Fallback>
            <w:pict>
              <v:roundrect id="自选图形 7" o:spid="_x0000_s1026" o:spt="2" style="position:absolute;left:0pt;margin-left:237.65pt;margin-top:7.6pt;height:73.65pt;width:199.65pt;z-index:251663360;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oDRWe2wAAAAoBAAAPAAAA&#10;AAAAAAEAIAAAACIAAABkcnMvZG93bnJldi54bWxQSwECFAAUAAAACACHTuJA38lMAEsCAAClBAAA&#10;DgAAAAAAAAABACAAAAAqAQAAZHJzL2Uyb0RvYy54bWxQSwUGAAAAAAYABgBZAQAA5wUAA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rPr>
                          <w:rFonts w:hAnsi="宋体"/>
                        </w:rPr>
                      </w:pPr>
                    </w:p>
                    <w:p>
                      <w:pPr>
                        <w:jc w:val="center"/>
                        <w:rPr>
                          <w:szCs w:val="21"/>
                        </w:rPr>
                      </w:pPr>
                      <w:r>
                        <w:rPr>
                          <w:rFonts w:hint="eastAsia" w:hAnsi="宋体"/>
                          <w:szCs w:val="21"/>
                        </w:rPr>
                        <w:t>法定代表人身份证复印件</w:t>
                      </w:r>
                    </w:p>
                    <w:p/>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64384"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1031" name="自选图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pPr>
                              <w:jc w:val="center"/>
                              <w:rPr>
                                <w:rFonts w:hAnsi="宋体"/>
                              </w:rPr>
                            </w:pPr>
                          </w:p>
                          <w:p>
                            <w:pPr>
                              <w:rPr>
                                <w:rFonts w:hAnsi="宋体"/>
                              </w:rPr>
                            </w:pPr>
                          </w:p>
                          <w:p>
                            <w:pPr>
                              <w:jc w:val="center"/>
                              <w:rPr>
                                <w:szCs w:val="21"/>
                              </w:rPr>
                            </w:pPr>
                            <w:r>
                              <w:rPr>
                                <w:rFonts w:hint="eastAsia" w:hAnsi="宋体"/>
                                <w:szCs w:val="21"/>
                              </w:rPr>
                              <w:t>法定代表人身份证复印件</w:t>
                            </w:r>
                          </w:p>
                          <w:p/>
                        </w:txbxContent>
                      </wps:txbx>
                      <wps:bodyPr vert="horz" wrap="square" anchor="t" anchorCtr="0" upright="1"/>
                    </wps:wsp>
                  </a:graphicData>
                </a:graphic>
              </wp:anchor>
            </w:drawing>
          </mc:Choice>
          <mc:Fallback>
            <w:pict>
              <v:roundrect id="自选图形 8" o:spid="_x0000_s1026" o:spt="2" style="position:absolute;left:0pt;margin-left:-0.85pt;margin-top:2.35pt;height:80.7pt;width:201.2pt;z-index:25166438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O+C3vYAAAACAEAAA8A&#10;AAAAAAAAAQAgAAAAIgAAAGRycy9kb3ducmV2LnhtbFBLAQIUABQAAAAIAIdO4kAz42vFUAIAAKYE&#10;AAAOAAAAAAAAAAEAIAAAACcBAABkcnMvZTJvRG9jLnhtbFBLBQYAAAAABgAGAFkBAADpBQAAAAA=&#10;">
                <v:fill on="t" focussize="0,0"/>
                <v:stroke weight="1.25pt" color="#808080" joinstyle="round"/>
                <v:imagedata o:title=""/>
                <o:lock v:ext="edit" aspectratio="f"/>
                <v:textbox>
                  <w:txbxContent>
                    <w:p>
                      <w:pPr>
                        <w:jc w:val="center"/>
                        <w:rPr>
                          <w:rFonts w:hAnsi="宋体"/>
                        </w:rPr>
                      </w:pPr>
                    </w:p>
                    <w:p>
                      <w:pPr>
                        <w:rPr>
                          <w:rFonts w:hAnsi="宋体"/>
                        </w:rPr>
                      </w:pPr>
                    </w:p>
                    <w:p>
                      <w:pPr>
                        <w:jc w:val="center"/>
                        <w:rPr>
                          <w:szCs w:val="21"/>
                        </w:rPr>
                      </w:pPr>
                      <w:r>
                        <w:rPr>
                          <w:rFonts w:hint="eastAsia" w:hAnsi="宋体"/>
                          <w:szCs w:val="21"/>
                        </w:rPr>
                        <w:t>法定代表人身份证复印件</w:t>
                      </w:r>
                    </w:p>
                    <w:p/>
                  </w:txbxContent>
                </v:textbox>
              </v:roundrect>
            </w:pict>
          </mc:Fallback>
        </mc:AlternateContent>
      </w: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1"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注：提供身份证正反面。</w:t>
      </w:r>
    </w:p>
    <w:p>
      <w:pPr>
        <w:pStyle w:val="15"/>
        <w:tabs>
          <w:tab w:val="left" w:pos="5580"/>
        </w:tabs>
        <w:spacing w:line="3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Style w:val="15"/>
        <w:tabs>
          <w:tab w:val="left" w:pos="5580"/>
        </w:tabs>
        <w:spacing w:line="3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Style w:val="15"/>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5"/>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5"/>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5"/>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5"/>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5"/>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pStyle w:val="15"/>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pStyle w:val="15"/>
        <w:tabs>
          <w:tab w:val="left" w:pos="5580"/>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highlight w:val="none"/>
        </w:rPr>
        <w:t xml:space="preserve"> </w:t>
      </w:r>
      <w:bookmarkEnd w:id="1077"/>
      <w:bookmarkEnd w:id="1078"/>
      <w:bookmarkEnd w:id="1079"/>
    </w:p>
    <w:p>
      <w:pPr>
        <w:pStyle w:val="15"/>
        <w:tabs>
          <w:tab w:val="left" w:pos="5580"/>
        </w:tabs>
        <w:spacing w:line="400" w:lineRule="exact"/>
        <w:ind w:left="1079" w:leftChars="257" w:hanging="539"/>
        <w:rPr>
          <w:rFonts w:hint="eastAsia" w:ascii="宋体" w:hAnsi="宋体" w:eastAsia="宋体" w:cs="宋体"/>
          <w:color w:val="auto"/>
          <w:sz w:val="24"/>
          <w:highlight w:val="none"/>
        </w:rPr>
      </w:pPr>
    </w:p>
    <w:p>
      <w:pPr>
        <w:pStyle w:val="15"/>
        <w:tabs>
          <w:tab w:val="left" w:pos="5580"/>
        </w:tabs>
        <w:spacing w:line="400" w:lineRule="exact"/>
        <w:ind w:left="1079" w:leftChars="257" w:hanging="539"/>
        <w:rPr>
          <w:rFonts w:hint="eastAsia" w:ascii="宋体" w:hAnsi="宋体" w:eastAsia="宋体" w:cs="宋体"/>
          <w:color w:val="auto"/>
          <w:sz w:val="24"/>
          <w:highlight w:val="none"/>
        </w:rPr>
      </w:pPr>
    </w:p>
    <w:p>
      <w:pPr>
        <w:pStyle w:val="15"/>
        <w:tabs>
          <w:tab w:val="left" w:pos="5580"/>
        </w:tabs>
        <w:spacing w:line="400" w:lineRule="exact"/>
        <w:ind w:left="1079" w:leftChars="257" w:hanging="539"/>
        <w:rPr>
          <w:rFonts w:hint="eastAsia" w:ascii="宋体" w:hAnsi="宋体" w:eastAsia="宋体" w:cs="宋体"/>
          <w:color w:val="auto"/>
          <w:sz w:val="24"/>
          <w:highlight w:val="none"/>
        </w:rPr>
      </w:pPr>
    </w:p>
    <w:p>
      <w:pP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rPr>
        <w:br w:type="page"/>
      </w:r>
    </w:p>
    <w:p>
      <w:pPr>
        <w:spacing w:before="51" w:line="226" w:lineRule="auto"/>
        <w:ind w:left="48"/>
        <w:outlineLvl w:val="1"/>
        <w:rPr>
          <w:rFonts w:hint="eastAsia" w:ascii="宋体" w:hAnsi="宋体" w:eastAsia="宋体" w:cs="宋体"/>
          <w:b/>
          <w:color w:val="auto"/>
          <w:kern w:val="0"/>
          <w:sz w:val="28"/>
          <w:szCs w:val="28"/>
          <w:highlight w:val="none"/>
          <w:lang w:val="en-US" w:eastAsia="zh-CN" w:bidi="ar-SA"/>
        </w:rPr>
      </w:pPr>
      <w:bookmarkStart w:id="1080" w:name="_Toc23487"/>
      <w:bookmarkStart w:id="1081" w:name="_Toc31929"/>
      <w:r>
        <w:rPr>
          <w:rFonts w:hint="eastAsia" w:ascii="宋体" w:hAnsi="宋体" w:eastAsia="宋体" w:cs="宋体"/>
          <w:b/>
          <w:color w:val="auto"/>
          <w:kern w:val="0"/>
          <w:sz w:val="28"/>
          <w:szCs w:val="28"/>
          <w:highlight w:val="none"/>
          <w:lang w:val="en-US" w:eastAsia="zh-CN" w:bidi="ar-SA"/>
        </w:rPr>
        <w:t>4.</w:t>
      </w:r>
      <w:bookmarkEnd w:id="1080"/>
      <w:bookmarkEnd w:id="1081"/>
      <w:r>
        <w:rPr>
          <w:rFonts w:hint="eastAsia" w:ascii="宋体" w:hAnsi="宋体" w:eastAsia="宋体" w:cs="宋体"/>
          <w:b/>
          <w:color w:val="auto"/>
          <w:kern w:val="0"/>
          <w:sz w:val="28"/>
          <w:szCs w:val="28"/>
          <w:highlight w:val="none"/>
          <w:lang w:val="zh-CN" w:eastAsia="zh-CN" w:bidi="ar-SA"/>
        </w:rPr>
        <w:t>法定代表人或被委托人：由社保部门或税务局出具的投标单位缴纳的社保证明和个人缴纳的社保明细表（近半年任意三个月的社保缴费凭证及个人缴费明细）（新成立公司提供近期社保明细）</w:t>
      </w:r>
    </w:p>
    <w:p>
      <w:pPr>
        <w:spacing w:before="143" w:line="229" w:lineRule="auto"/>
        <w:ind w:left="30"/>
        <w:rPr>
          <w:rFonts w:ascii="仿宋" w:hAnsi="仿宋" w:eastAsia="仿宋" w:cs="仿宋"/>
          <w:sz w:val="23"/>
          <w:szCs w:val="23"/>
        </w:rPr>
      </w:pPr>
      <w:r>
        <w:rPr>
          <w:rFonts w:ascii="仿宋" w:hAnsi="仿宋" w:eastAsia="仿宋" w:cs="仿宋"/>
          <w:spacing w:val="4"/>
          <w:sz w:val="23"/>
          <w:szCs w:val="23"/>
        </w:rPr>
        <w:t>说明</w:t>
      </w:r>
      <w:r>
        <w:rPr>
          <w:rFonts w:ascii="仿宋" w:hAnsi="仿宋" w:eastAsia="仿宋" w:cs="仿宋"/>
          <w:spacing w:val="40"/>
          <w:sz w:val="23"/>
          <w:szCs w:val="23"/>
        </w:rPr>
        <w:t xml:space="preserve"> </w:t>
      </w:r>
      <w:r>
        <w:rPr>
          <w:rFonts w:ascii="仿宋" w:hAnsi="仿宋" w:eastAsia="仿宋" w:cs="仿宋"/>
          <w:spacing w:val="4"/>
          <w:sz w:val="23"/>
          <w:szCs w:val="23"/>
        </w:rPr>
        <w:t>：复印件上应加盖本单位章。</w:t>
      </w:r>
    </w:p>
    <w:p>
      <w:pPr>
        <w:pStyle w:val="12"/>
        <w:spacing w:line="400" w:lineRule="exact"/>
        <w:ind w:firstLine="0" w:firstLineChars="0"/>
        <w:rPr>
          <w:rFonts w:hint="eastAsia" w:ascii="宋体" w:hAnsi="宋体" w:eastAsia="宋体" w:cs="宋体"/>
          <w:b/>
          <w:color w:val="auto"/>
          <w:kern w:val="0"/>
          <w:szCs w:val="20"/>
          <w:highlight w:val="none"/>
        </w:rPr>
      </w:pPr>
    </w:p>
    <w:p>
      <w:pPr>
        <w:pStyle w:val="8"/>
        <w:rPr>
          <w:rFonts w:hint="eastAsia"/>
          <w:color w:val="auto"/>
          <w:highlight w:val="none"/>
        </w:rPr>
      </w:pPr>
    </w:p>
    <w:p>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宋体" w:hAnsi="宋体" w:eastAsia="宋体" w:cs="宋体"/>
          <w:color w:val="auto"/>
          <w:sz w:val="28"/>
          <w:szCs w:val="28"/>
          <w:highlight w:val="none"/>
          <w:lang w:val="en-US" w:eastAsia="zh-CN"/>
        </w:rPr>
      </w:pPr>
      <w:bookmarkStart w:id="1082" w:name="_Toc21555"/>
      <w:bookmarkStart w:id="1083" w:name="_Toc15774"/>
      <w:r>
        <w:rPr>
          <w:rFonts w:hint="eastAsia" w:ascii="宋体" w:hAnsi="宋体" w:eastAsia="宋体" w:cs="宋体"/>
          <w:color w:val="auto"/>
          <w:sz w:val="28"/>
          <w:szCs w:val="28"/>
          <w:highlight w:val="none"/>
          <w:lang w:val="en-US" w:eastAsia="zh-CN"/>
        </w:rPr>
        <w:t>5.近两年（2022年至 2023年）任意一年度财务审计报告（新成</w:t>
      </w:r>
    </w:p>
    <w:p>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立未满一年的公司提供有效银行资信证明）；</w:t>
      </w:r>
      <w:bookmarkEnd w:id="1082"/>
      <w:bookmarkEnd w:id="1083"/>
    </w:p>
    <w:p>
      <w:pPr>
        <w:rPr>
          <w:rFonts w:hint="eastAsia"/>
        </w:rPr>
      </w:pPr>
    </w:p>
    <w:p>
      <w:pPr>
        <w:spacing w:before="75" w:line="232" w:lineRule="auto"/>
        <w:ind w:left="30"/>
        <w:rPr>
          <w:rFonts w:ascii="仿宋" w:hAnsi="仿宋" w:eastAsia="仿宋" w:cs="仿宋"/>
          <w:sz w:val="23"/>
          <w:szCs w:val="23"/>
        </w:rPr>
      </w:pPr>
      <w:r>
        <w:rPr>
          <w:rFonts w:ascii="仿宋" w:hAnsi="仿宋" w:eastAsia="仿宋" w:cs="仿宋"/>
          <w:spacing w:val="-11"/>
          <w:sz w:val="23"/>
          <w:szCs w:val="23"/>
        </w:rPr>
        <w:t>说明：</w:t>
      </w:r>
    </w:p>
    <w:p>
      <w:pPr>
        <w:spacing w:before="22" w:line="244" w:lineRule="auto"/>
        <w:ind w:left="29" w:right="244" w:firstLine="482"/>
        <w:jc w:val="both"/>
        <w:rPr>
          <w:rFonts w:ascii="仿宋" w:hAnsi="仿宋" w:eastAsia="仿宋" w:cs="仿宋"/>
          <w:sz w:val="23"/>
          <w:szCs w:val="23"/>
        </w:rPr>
      </w:pPr>
      <w:r>
        <w:rPr>
          <w:rFonts w:ascii="仿宋" w:hAnsi="仿宋" w:eastAsia="仿宋" w:cs="仿宋"/>
          <w:spacing w:val="8"/>
          <w:sz w:val="23"/>
          <w:szCs w:val="23"/>
        </w:rPr>
        <w:t>提供（2022</w:t>
      </w:r>
      <w:r>
        <w:rPr>
          <w:rFonts w:ascii="仿宋" w:hAnsi="仿宋" w:eastAsia="仿宋" w:cs="仿宋"/>
          <w:spacing w:val="-30"/>
          <w:sz w:val="23"/>
          <w:szCs w:val="23"/>
        </w:rPr>
        <w:t xml:space="preserve"> </w:t>
      </w:r>
      <w:r>
        <w:rPr>
          <w:rFonts w:ascii="仿宋" w:hAnsi="仿宋" w:eastAsia="仿宋" w:cs="仿宋"/>
          <w:spacing w:val="8"/>
          <w:sz w:val="23"/>
          <w:szCs w:val="23"/>
        </w:rPr>
        <w:t>年至 2023</w:t>
      </w:r>
      <w:r>
        <w:rPr>
          <w:rFonts w:ascii="仿宋" w:hAnsi="仿宋" w:eastAsia="仿宋" w:cs="仿宋"/>
          <w:spacing w:val="-32"/>
          <w:sz w:val="23"/>
          <w:szCs w:val="23"/>
        </w:rPr>
        <w:t xml:space="preserve"> </w:t>
      </w:r>
      <w:r>
        <w:rPr>
          <w:rFonts w:ascii="仿宋" w:hAnsi="仿宋" w:eastAsia="仿宋" w:cs="仿宋"/>
          <w:spacing w:val="8"/>
          <w:sz w:val="23"/>
          <w:szCs w:val="23"/>
        </w:rPr>
        <w:t>年）任意一年度财务审</w:t>
      </w:r>
      <w:r>
        <w:rPr>
          <w:rFonts w:ascii="仿宋" w:hAnsi="仿宋" w:eastAsia="仿宋" w:cs="仿宋"/>
          <w:spacing w:val="7"/>
          <w:sz w:val="23"/>
          <w:szCs w:val="23"/>
        </w:rPr>
        <w:t>计报告（新成立公司提供开</w:t>
      </w:r>
      <w:r>
        <w:rPr>
          <w:rFonts w:ascii="仿宋" w:hAnsi="仿宋" w:eastAsia="仿宋" w:cs="仿宋"/>
          <w:sz w:val="23"/>
          <w:szCs w:val="23"/>
        </w:rPr>
        <w:t xml:space="preserve"> </w:t>
      </w:r>
      <w:r>
        <w:rPr>
          <w:rFonts w:ascii="仿宋" w:hAnsi="仿宋" w:eastAsia="仿宋" w:cs="仿宋"/>
          <w:spacing w:val="7"/>
          <w:sz w:val="23"/>
          <w:szCs w:val="23"/>
        </w:rPr>
        <w:t>标前三个月内任意一个月有效银行资信证明）</w:t>
      </w:r>
      <w:r>
        <w:rPr>
          <w:rFonts w:ascii="仿宋" w:hAnsi="仿宋" w:eastAsia="仿宋" w:cs="仿宋"/>
          <w:spacing w:val="-50"/>
          <w:sz w:val="23"/>
          <w:szCs w:val="23"/>
        </w:rPr>
        <w:t xml:space="preserve"> </w:t>
      </w:r>
      <w:r>
        <w:rPr>
          <w:rFonts w:ascii="仿宋" w:hAnsi="仿宋" w:eastAsia="仿宋" w:cs="仿宋"/>
          <w:spacing w:val="7"/>
          <w:sz w:val="23"/>
          <w:szCs w:val="23"/>
        </w:rPr>
        <w:t>复印件，</w:t>
      </w:r>
      <w:r>
        <w:rPr>
          <w:rFonts w:ascii="仿宋" w:hAnsi="仿宋" w:eastAsia="仿宋" w:cs="仿宋"/>
          <w:spacing w:val="-64"/>
          <w:sz w:val="23"/>
          <w:szCs w:val="23"/>
        </w:rPr>
        <w:t xml:space="preserve"> </w:t>
      </w:r>
      <w:r>
        <w:rPr>
          <w:rFonts w:ascii="仿宋" w:hAnsi="仿宋" w:eastAsia="仿宋" w:cs="仿宋"/>
          <w:spacing w:val="7"/>
          <w:sz w:val="23"/>
          <w:szCs w:val="23"/>
        </w:rPr>
        <w:t>复印件上应加盖本单位</w:t>
      </w:r>
      <w:r>
        <w:rPr>
          <w:rFonts w:ascii="仿宋" w:hAnsi="仿宋" w:eastAsia="仿宋" w:cs="仿宋"/>
          <w:sz w:val="23"/>
          <w:szCs w:val="23"/>
        </w:rPr>
        <w:t xml:space="preserve"> </w:t>
      </w:r>
      <w:r>
        <w:rPr>
          <w:rFonts w:ascii="仿宋" w:hAnsi="仿宋" w:eastAsia="仿宋" w:cs="仿宋"/>
          <w:spacing w:val="-3"/>
          <w:sz w:val="23"/>
          <w:szCs w:val="23"/>
        </w:rPr>
        <w:t>章。</w:t>
      </w:r>
    </w:p>
    <w:p>
      <w:pPr>
        <w:pStyle w:val="7"/>
        <w:ind w:left="0" w:leftChars="0" w:firstLine="0" w:firstLineChars="0"/>
        <w:rPr>
          <w:rFonts w:hint="eastAsia"/>
          <w:color w:val="auto"/>
          <w:highlight w:val="none"/>
        </w:rPr>
      </w:pPr>
    </w:p>
    <w:p>
      <w:pPr>
        <w:pStyle w:val="7"/>
        <w:rPr>
          <w:rFonts w:hint="eastAsia"/>
          <w:color w:val="auto"/>
          <w:highlight w:val="none"/>
        </w:rPr>
      </w:pPr>
    </w:p>
    <w:p>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宋体" w:hAnsi="宋体" w:eastAsia="宋体" w:cs="宋体"/>
          <w:color w:val="auto"/>
          <w:sz w:val="28"/>
          <w:szCs w:val="28"/>
          <w:highlight w:val="none"/>
          <w:lang w:val="en-US" w:eastAsia="zh-CN"/>
        </w:rPr>
      </w:pPr>
      <w:bookmarkStart w:id="1084" w:name="_Toc7759"/>
      <w:bookmarkStart w:id="1085" w:name="_Toc14027"/>
      <w:r>
        <w:rPr>
          <w:rFonts w:hint="eastAsia" w:ascii="宋体" w:hAnsi="宋体" w:eastAsia="宋体" w:cs="宋体"/>
          <w:color w:val="auto"/>
          <w:sz w:val="28"/>
          <w:szCs w:val="28"/>
          <w:highlight w:val="none"/>
          <w:lang w:val="en-US" w:eastAsia="zh-CN"/>
        </w:rPr>
        <w:t>6.近期（2024年以来任意一个月）依法缴纳税收的证明（税务部</w:t>
      </w:r>
    </w:p>
    <w:p>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门出具的完税凭证或缴税证明或银行出具的“银行电子缴税付款</w:t>
      </w:r>
    </w:p>
    <w:p>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凭证 ”）；（原件、复印件、影印件均可，留存复印件或影印件）</w:t>
      </w:r>
    </w:p>
    <w:p>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注：①若为零申报企业，需提供无欠税证明或国家税务总局电子</w:t>
      </w:r>
    </w:p>
    <w:p>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税务局“ 申报结果查询截图 ”。②“税种 ”非社会保险；</w:t>
      </w:r>
      <w:bookmarkEnd w:id="1084"/>
      <w:bookmarkEnd w:id="1085"/>
    </w:p>
    <w:p>
      <w:pPr>
        <w:pStyle w:val="5"/>
        <w:rPr>
          <w:rFonts w:hint="eastAsia"/>
          <w:u w:val="none"/>
        </w:rPr>
      </w:pPr>
      <w:r>
        <w:rPr>
          <w:rFonts w:ascii="仿宋" w:hAnsi="仿宋" w:eastAsia="仿宋" w:cs="仿宋"/>
          <w:spacing w:val="6"/>
          <w:sz w:val="23"/>
          <w:szCs w:val="23"/>
          <w:u w:val="none"/>
        </w:rPr>
        <w:t>说明：复印件上应加盖本单位章</w:t>
      </w:r>
    </w:p>
    <w:p>
      <w:pPr>
        <w:pStyle w:val="15"/>
        <w:tabs>
          <w:tab w:val="left" w:pos="5580"/>
        </w:tabs>
        <w:spacing w:line="400" w:lineRule="exact"/>
        <w:rPr>
          <w:rFonts w:hint="eastAsia" w:ascii="宋体" w:hAnsi="宋体" w:eastAsia="宋体" w:cs="宋体"/>
          <w:b/>
          <w:color w:val="auto"/>
          <w:kern w:val="0"/>
          <w:sz w:val="24"/>
          <w:highlight w:val="none"/>
        </w:rPr>
      </w:pPr>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bookmarkStart w:id="1086" w:name="_Toc3162"/>
      <w:bookmarkStart w:id="1087" w:name="_Toc19599"/>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p>
    <w:p>
      <w:pPr>
        <w:pStyle w:val="15"/>
        <w:tabs>
          <w:tab w:val="left" w:pos="5580"/>
        </w:tabs>
        <w:spacing w:line="400" w:lineRule="exact"/>
        <w:jc w:val="both"/>
        <w:rPr>
          <w:rFonts w:hint="eastAsia" w:ascii="宋体" w:hAnsi="宋体" w:eastAsia="宋体" w:cs="宋体"/>
          <w:b/>
          <w:color w:val="auto"/>
          <w:kern w:val="0"/>
          <w:sz w:val="28"/>
          <w:szCs w:val="28"/>
          <w:highlight w:val="none"/>
          <w:lang w:val="en-US" w:eastAsia="zh-CN" w:bidi="ar-SA"/>
        </w:rPr>
      </w:pPr>
    </w:p>
    <w:p>
      <w:pPr>
        <w:pStyle w:val="15"/>
        <w:tabs>
          <w:tab w:val="left" w:pos="5580"/>
        </w:tabs>
        <w:spacing w:line="400" w:lineRule="exact"/>
        <w:jc w:val="both"/>
        <w:rPr>
          <w:rFonts w:hint="eastAsia" w:ascii="宋体" w:hAnsi="宋体" w:eastAsia="宋体" w:cs="宋体"/>
          <w:b/>
          <w:color w:val="auto"/>
          <w:kern w:val="0"/>
          <w:sz w:val="24"/>
          <w:highlight w:val="none"/>
        </w:rPr>
      </w:pPr>
      <w:r>
        <w:rPr>
          <w:rFonts w:hint="eastAsia" w:ascii="宋体" w:hAnsi="宋体" w:eastAsia="宋体" w:cs="宋体"/>
          <w:b/>
          <w:color w:val="auto"/>
          <w:kern w:val="0"/>
          <w:sz w:val="28"/>
          <w:szCs w:val="28"/>
          <w:highlight w:val="none"/>
          <w:lang w:val="en-US" w:eastAsia="zh-CN" w:bidi="ar-SA"/>
        </w:rPr>
        <w:t>7.</w:t>
      </w:r>
      <w:bookmarkEnd w:id="1086"/>
      <w:bookmarkEnd w:id="1087"/>
      <w:r>
        <w:rPr>
          <w:rFonts w:hint="eastAsia" w:ascii="宋体" w:hAnsi="宋体" w:eastAsia="宋体" w:cs="宋体"/>
          <w:b/>
          <w:color w:val="auto"/>
          <w:kern w:val="0"/>
          <w:sz w:val="28"/>
          <w:szCs w:val="28"/>
          <w:highlight w:val="none"/>
          <w:lang w:val="en-US" w:eastAsia="zh-CN" w:bidi="ar-SA"/>
        </w:rPr>
        <w:t>投标单位（供应商）针对本次项目《反商业贿赂承诺书》</w:t>
      </w:r>
    </w:p>
    <w:p>
      <w:pPr>
        <w:spacing w:before="91" w:line="406" w:lineRule="auto"/>
        <w:ind w:left="32" w:right="29" w:firstLine="569"/>
        <w:jc w:val="both"/>
        <w:rPr>
          <w:rFonts w:ascii="仿宋" w:hAnsi="仿宋" w:eastAsia="仿宋" w:cs="仿宋"/>
          <w:sz w:val="28"/>
          <w:szCs w:val="28"/>
        </w:rPr>
      </w:pPr>
      <w:r>
        <w:rPr>
          <w:rFonts w:ascii="仿宋" w:hAnsi="仿宋" w:eastAsia="仿宋" w:cs="仿宋"/>
          <w:sz w:val="28"/>
          <w:szCs w:val="28"/>
        </w:rPr>
        <w:t>我公司承诺在</w:t>
      </w:r>
      <w:r>
        <w:rPr>
          <w:rFonts w:ascii="仿宋" w:hAnsi="仿宋" w:eastAsia="仿宋" w:cs="仿宋"/>
          <w:sz w:val="28"/>
          <w:szCs w:val="28"/>
          <w:u w:val="single" w:color="auto"/>
        </w:rPr>
        <w:t xml:space="preserve">  （项目名称）</w:t>
      </w:r>
      <w:r>
        <w:rPr>
          <w:rFonts w:ascii="仿宋" w:hAnsi="仿宋" w:eastAsia="仿宋" w:cs="仿宋"/>
          <w:sz w:val="28"/>
          <w:szCs w:val="28"/>
        </w:rPr>
        <w:t>项目</w:t>
      </w:r>
      <w:r>
        <w:rPr>
          <w:rFonts w:ascii="仿宋" w:hAnsi="仿宋" w:eastAsia="仿宋" w:cs="仿宋"/>
          <w:sz w:val="28"/>
          <w:szCs w:val="28"/>
          <w:u w:val="single" w:color="auto"/>
        </w:rPr>
        <w:t xml:space="preserve">    （项目编号）  </w:t>
      </w:r>
      <w:r>
        <w:rPr>
          <w:rFonts w:ascii="仿宋" w:hAnsi="仿宋" w:eastAsia="仿宋" w:cs="仿宋"/>
          <w:spacing w:val="-98"/>
          <w:sz w:val="28"/>
          <w:szCs w:val="28"/>
        </w:rPr>
        <w:t xml:space="preserve"> </w:t>
      </w:r>
      <w:r>
        <w:rPr>
          <w:rFonts w:ascii="仿宋" w:hAnsi="仿宋" w:eastAsia="仿宋" w:cs="仿宋"/>
          <w:sz w:val="28"/>
          <w:szCs w:val="28"/>
        </w:rPr>
        <w:t>公开采</w:t>
      </w:r>
      <w:r>
        <w:rPr>
          <w:rFonts w:ascii="仿宋" w:hAnsi="仿宋" w:eastAsia="仿宋" w:cs="仿宋"/>
          <w:spacing w:val="2"/>
          <w:sz w:val="28"/>
          <w:szCs w:val="28"/>
        </w:rPr>
        <w:t>购标活动中，不给予国家工作人员以及中介机构工作人员</w:t>
      </w:r>
      <w:r>
        <w:rPr>
          <w:rFonts w:ascii="仿宋" w:hAnsi="仿宋" w:eastAsia="仿宋" w:cs="仿宋"/>
          <w:spacing w:val="1"/>
          <w:sz w:val="28"/>
          <w:szCs w:val="28"/>
        </w:rPr>
        <w:t>及其亲属</w:t>
      </w:r>
      <w:r>
        <w:rPr>
          <w:rFonts w:ascii="仿宋" w:hAnsi="仿宋" w:eastAsia="仿宋" w:cs="仿宋"/>
          <w:spacing w:val="-4"/>
          <w:sz w:val="28"/>
          <w:szCs w:val="28"/>
        </w:rPr>
        <w:t>各种形式的商业贿赂（包括送礼金礼品、有价</w:t>
      </w:r>
      <w:r>
        <w:rPr>
          <w:rFonts w:ascii="仿宋" w:hAnsi="仿宋" w:eastAsia="仿宋" w:cs="仿宋"/>
          <w:spacing w:val="-5"/>
          <w:sz w:val="28"/>
          <w:szCs w:val="28"/>
        </w:rPr>
        <w:t>证券、购物券、回扣、</w:t>
      </w:r>
      <w:r>
        <w:rPr>
          <w:rFonts w:ascii="仿宋" w:hAnsi="仿宋" w:eastAsia="仿宋" w:cs="仿宋"/>
          <w:spacing w:val="2"/>
          <w:sz w:val="28"/>
          <w:szCs w:val="28"/>
        </w:rPr>
        <w:t>佣金、咨询费、劳务费、赞助费、宣传费、支付旅游费、</w:t>
      </w:r>
      <w:r>
        <w:rPr>
          <w:rFonts w:ascii="仿宋" w:hAnsi="仿宋" w:eastAsia="仿宋" w:cs="仿宋"/>
          <w:spacing w:val="1"/>
          <w:sz w:val="28"/>
          <w:szCs w:val="28"/>
        </w:rPr>
        <w:t>报销各种</w:t>
      </w:r>
      <w:r>
        <w:rPr>
          <w:rFonts w:ascii="仿宋" w:hAnsi="仿宋" w:eastAsia="仿宋" w:cs="仿宋"/>
          <w:spacing w:val="2"/>
          <w:sz w:val="28"/>
          <w:szCs w:val="28"/>
        </w:rPr>
        <w:t>消费凭证、宴请、娱乐等</w:t>
      </w:r>
      <w:r>
        <w:rPr>
          <w:rFonts w:ascii="仿宋" w:hAnsi="仿宋" w:eastAsia="仿宋" w:cs="仿宋"/>
          <w:sz w:val="28"/>
          <w:szCs w:val="28"/>
        </w:rPr>
        <w:t>），</w:t>
      </w:r>
      <w:r>
        <w:rPr>
          <w:rFonts w:ascii="仿宋" w:hAnsi="仿宋" w:eastAsia="仿宋" w:cs="仿宋"/>
          <w:spacing w:val="2"/>
          <w:sz w:val="28"/>
          <w:szCs w:val="28"/>
        </w:rPr>
        <w:t>如有上述行为，我公司及项目参与人</w:t>
      </w:r>
      <w:r>
        <w:rPr>
          <w:rFonts w:ascii="仿宋" w:hAnsi="仿宋" w:eastAsia="仿宋" w:cs="仿宋"/>
          <w:spacing w:val="-1"/>
          <w:sz w:val="28"/>
          <w:szCs w:val="28"/>
        </w:rPr>
        <w:t>员愿意按照《反不正当竞争法》的有关规定接受处罚。</w:t>
      </w:r>
    </w:p>
    <w:p>
      <w:pPr>
        <w:pStyle w:val="10"/>
        <w:spacing w:line="286" w:lineRule="auto"/>
      </w:pPr>
    </w:p>
    <w:p>
      <w:pPr>
        <w:pStyle w:val="10"/>
        <w:spacing w:line="287" w:lineRule="auto"/>
      </w:pPr>
    </w:p>
    <w:p>
      <w:pPr>
        <w:spacing w:before="91" w:line="222" w:lineRule="auto"/>
        <w:ind w:left="171"/>
        <w:rPr>
          <w:rFonts w:ascii="仿宋" w:hAnsi="仿宋" w:eastAsia="仿宋" w:cs="仿宋"/>
          <w:sz w:val="28"/>
          <w:szCs w:val="28"/>
        </w:rPr>
      </w:pPr>
      <w:r>
        <w:rPr>
          <w:rFonts w:ascii="仿宋" w:hAnsi="仿宋" w:eastAsia="仿宋" w:cs="仿宋"/>
          <w:spacing w:val="3"/>
          <w:sz w:val="28"/>
          <w:szCs w:val="28"/>
        </w:rPr>
        <w:t>投标单位名称:</w:t>
      </w:r>
    </w:p>
    <w:p>
      <w:pPr>
        <w:pStyle w:val="10"/>
        <w:spacing w:line="271" w:lineRule="auto"/>
      </w:pPr>
    </w:p>
    <w:p>
      <w:pPr>
        <w:pStyle w:val="10"/>
        <w:spacing w:line="272" w:lineRule="auto"/>
      </w:pPr>
    </w:p>
    <w:p>
      <w:pPr>
        <w:pStyle w:val="10"/>
        <w:spacing w:line="272" w:lineRule="auto"/>
      </w:pPr>
    </w:p>
    <w:p>
      <w:pPr>
        <w:spacing w:before="91" w:line="222" w:lineRule="auto"/>
        <w:ind w:left="31"/>
        <w:rPr>
          <w:rFonts w:ascii="仿宋" w:hAnsi="仿宋" w:eastAsia="仿宋" w:cs="仿宋"/>
          <w:sz w:val="28"/>
          <w:szCs w:val="28"/>
        </w:rPr>
      </w:pPr>
      <w:r>
        <w:rPr>
          <w:rFonts w:ascii="仿宋" w:hAnsi="仿宋" w:eastAsia="仿宋" w:cs="仿宋"/>
          <w:spacing w:val="-2"/>
          <w:sz w:val="28"/>
          <w:szCs w:val="28"/>
        </w:rPr>
        <w:t>投标单位法定代表人签字或盖章：</w:t>
      </w:r>
    </w:p>
    <w:p>
      <w:pPr>
        <w:pStyle w:val="10"/>
        <w:spacing w:line="271" w:lineRule="auto"/>
      </w:pPr>
    </w:p>
    <w:p>
      <w:pPr>
        <w:pStyle w:val="10"/>
        <w:spacing w:line="272" w:lineRule="auto"/>
      </w:pPr>
    </w:p>
    <w:p>
      <w:pPr>
        <w:pStyle w:val="10"/>
        <w:spacing w:line="272" w:lineRule="auto"/>
      </w:pPr>
    </w:p>
    <w:p>
      <w:pPr>
        <w:spacing w:before="92" w:line="223" w:lineRule="auto"/>
        <w:ind w:left="43"/>
        <w:rPr>
          <w:rFonts w:ascii="仿宋" w:hAnsi="仿宋" w:eastAsia="仿宋" w:cs="仿宋"/>
          <w:sz w:val="28"/>
          <w:szCs w:val="28"/>
        </w:rPr>
      </w:pPr>
      <w:r>
        <w:rPr>
          <w:rFonts w:ascii="仿宋" w:hAnsi="仿宋" w:eastAsia="仿宋" w:cs="仿宋"/>
          <w:spacing w:val="-3"/>
          <w:sz w:val="28"/>
          <w:szCs w:val="28"/>
        </w:rPr>
        <w:t>委托代表人签字或盖章：</w:t>
      </w:r>
    </w:p>
    <w:p>
      <w:pPr>
        <w:pStyle w:val="10"/>
        <w:spacing w:line="271" w:lineRule="auto"/>
      </w:pPr>
    </w:p>
    <w:p>
      <w:pPr>
        <w:pStyle w:val="10"/>
        <w:spacing w:line="271" w:lineRule="auto"/>
      </w:pPr>
    </w:p>
    <w:p>
      <w:pPr>
        <w:pStyle w:val="10"/>
        <w:spacing w:line="271" w:lineRule="auto"/>
      </w:pPr>
    </w:p>
    <w:p>
      <w:pPr>
        <w:spacing w:before="91" w:line="223" w:lineRule="auto"/>
        <w:ind w:left="91"/>
        <w:rPr>
          <w:rFonts w:ascii="仿宋" w:hAnsi="仿宋" w:eastAsia="仿宋" w:cs="仿宋"/>
          <w:sz w:val="28"/>
          <w:szCs w:val="28"/>
        </w:rPr>
        <w:sectPr>
          <w:footerReference r:id="rId6" w:type="default"/>
          <w:pgSz w:w="11906" w:h="16838"/>
          <w:pgMar w:top="1431" w:right="1785" w:bottom="1404" w:left="1785" w:header="0" w:footer="1229" w:gutter="0"/>
          <w:pgNumType w:fmt="decimal"/>
          <w:cols w:space="720" w:num="1"/>
        </w:sectPr>
      </w:pPr>
      <w:r>
        <w:rPr>
          <w:rFonts w:ascii="仿宋" w:hAnsi="仿宋" w:eastAsia="仿宋" w:cs="仿宋"/>
          <w:spacing w:val="-23"/>
          <w:sz w:val="28"/>
          <w:szCs w:val="28"/>
        </w:rPr>
        <w:t>日期：</w:t>
      </w:r>
      <w:r>
        <w:rPr>
          <w:rFonts w:ascii="仿宋" w:hAnsi="仿宋" w:eastAsia="仿宋" w:cs="仿宋"/>
          <w:spacing w:val="15"/>
          <w:sz w:val="28"/>
          <w:szCs w:val="28"/>
        </w:rPr>
        <w:t xml:space="preserve">  </w:t>
      </w:r>
      <w:r>
        <w:rPr>
          <w:rFonts w:ascii="仿宋" w:hAnsi="仿宋" w:eastAsia="仿宋" w:cs="仿宋"/>
          <w:spacing w:val="-23"/>
          <w:sz w:val="28"/>
          <w:szCs w:val="28"/>
        </w:rPr>
        <w:t>年</w:t>
      </w:r>
      <w:r>
        <w:rPr>
          <w:rFonts w:ascii="仿宋" w:hAnsi="仿宋" w:eastAsia="仿宋" w:cs="仿宋"/>
          <w:spacing w:val="15"/>
          <w:sz w:val="28"/>
          <w:szCs w:val="28"/>
        </w:rPr>
        <w:t xml:space="preserve">  </w:t>
      </w:r>
      <w:r>
        <w:rPr>
          <w:rFonts w:ascii="仿宋" w:hAnsi="仿宋" w:eastAsia="仿宋" w:cs="仿宋"/>
          <w:spacing w:val="-23"/>
          <w:sz w:val="28"/>
          <w:szCs w:val="28"/>
        </w:rPr>
        <w:t>月</w:t>
      </w:r>
      <w:r>
        <w:rPr>
          <w:rFonts w:ascii="仿宋" w:hAnsi="仿宋" w:eastAsia="仿宋" w:cs="仿宋"/>
          <w:spacing w:val="38"/>
          <w:sz w:val="28"/>
          <w:szCs w:val="28"/>
        </w:rPr>
        <w:t xml:space="preserve">  </w:t>
      </w:r>
      <w:r>
        <w:rPr>
          <w:rFonts w:ascii="仿宋" w:hAnsi="仿宋" w:eastAsia="仿宋" w:cs="仿宋"/>
          <w:spacing w:val="-23"/>
          <w:sz w:val="28"/>
          <w:szCs w:val="28"/>
        </w:rPr>
        <w:t>日</w:t>
      </w:r>
    </w:p>
    <w:p>
      <w:pPr>
        <w:pStyle w:val="15"/>
        <w:tabs>
          <w:tab w:val="left" w:pos="5580"/>
        </w:tabs>
        <w:spacing w:line="400" w:lineRule="exact"/>
        <w:rPr>
          <w:rFonts w:hint="eastAsia" w:ascii="宋体" w:hAnsi="宋体" w:eastAsia="宋体" w:cs="宋体"/>
          <w:b/>
          <w:color w:val="auto"/>
          <w:kern w:val="0"/>
          <w:sz w:val="24"/>
          <w:highlight w:val="none"/>
        </w:rPr>
      </w:pPr>
    </w:p>
    <w:p>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宋体" w:hAnsi="宋体" w:eastAsia="宋体" w:cs="宋体"/>
          <w:color w:val="auto"/>
          <w:sz w:val="28"/>
          <w:szCs w:val="28"/>
          <w:highlight w:val="none"/>
          <w:lang w:val="en-US" w:eastAsia="zh-CN"/>
        </w:rPr>
      </w:pPr>
      <w:bookmarkStart w:id="1088" w:name="_Toc24966"/>
      <w:bookmarkStart w:id="1089" w:name="_Toc12315"/>
      <w:r>
        <w:rPr>
          <w:rFonts w:hint="eastAsia" w:ascii="宋体" w:hAnsi="宋体" w:eastAsia="宋体" w:cs="宋体"/>
          <w:color w:val="auto"/>
          <w:sz w:val="28"/>
          <w:szCs w:val="28"/>
          <w:highlight w:val="none"/>
          <w:lang w:val="en-US" w:eastAsia="zh-CN"/>
        </w:rPr>
        <w:t>8.</w:t>
      </w:r>
      <w:bookmarkEnd w:id="1088"/>
      <w:bookmarkEnd w:id="1089"/>
      <w:r>
        <w:rPr>
          <w:rFonts w:hint="eastAsia" w:ascii="宋体" w:hAnsi="宋体" w:eastAsia="宋体" w:cs="宋体"/>
          <w:color w:val="auto"/>
          <w:sz w:val="28"/>
          <w:szCs w:val="28"/>
          <w:highlight w:val="none"/>
          <w:lang w:val="en-US" w:eastAsia="zh-CN"/>
        </w:rPr>
        <w:t>投标人在中国政府采购网（www.ccgp.gov.cn）被列入政府采购严重违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p>
      <w:pPr>
        <w:pStyle w:val="15"/>
        <w:tabs>
          <w:tab w:val="left" w:pos="5580"/>
        </w:tabs>
        <w:spacing w:line="400" w:lineRule="exact"/>
        <w:rPr>
          <w:rFonts w:hint="eastAsia" w:ascii="宋体" w:hAnsi="宋体" w:eastAsia="宋体" w:cs="宋体"/>
          <w:b/>
          <w:color w:val="auto"/>
          <w:kern w:val="0"/>
          <w:sz w:val="24"/>
          <w:highlight w:val="none"/>
        </w:rPr>
      </w:pPr>
    </w:p>
    <w:p>
      <w:pPr>
        <w:pStyle w:val="15"/>
        <w:tabs>
          <w:tab w:val="left" w:pos="5580"/>
        </w:tabs>
        <w:spacing w:line="400" w:lineRule="exact"/>
        <w:rPr>
          <w:rFonts w:hint="eastAsia" w:ascii="宋体" w:hAnsi="宋体" w:eastAsia="宋体" w:cs="宋体"/>
          <w:b/>
          <w:color w:val="auto"/>
          <w:kern w:val="0"/>
          <w:sz w:val="24"/>
          <w:highlight w:val="none"/>
        </w:rPr>
      </w:pPr>
    </w:p>
    <w:p>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宋体" w:hAnsi="宋体" w:eastAsia="宋体" w:cs="宋体"/>
          <w:color w:val="auto"/>
          <w:sz w:val="28"/>
          <w:szCs w:val="28"/>
          <w:highlight w:val="none"/>
          <w:lang w:val="en-US" w:eastAsia="zh-CN"/>
        </w:rPr>
      </w:pPr>
      <w:bookmarkStart w:id="1090" w:name="_Toc13096"/>
      <w:bookmarkStart w:id="1091" w:name="_Toc24704"/>
      <w:r>
        <w:rPr>
          <w:rFonts w:hint="eastAsia" w:ascii="宋体" w:hAnsi="宋体" w:eastAsia="宋体" w:cs="宋体"/>
          <w:color w:val="auto"/>
          <w:sz w:val="28"/>
          <w:szCs w:val="28"/>
          <w:highlight w:val="none"/>
          <w:lang w:val="en-US" w:eastAsia="zh-CN"/>
        </w:rPr>
        <w:t>9.</w:t>
      </w:r>
      <w:bookmarkEnd w:id="1090"/>
      <w:bookmarkEnd w:id="1091"/>
      <w:r>
        <w:rPr>
          <w:rFonts w:hint="eastAsia" w:ascii="宋体" w:hAnsi="宋体" w:eastAsia="宋体" w:cs="宋体"/>
          <w:color w:val="auto"/>
          <w:sz w:val="28"/>
          <w:szCs w:val="28"/>
          <w:highlight w:val="none"/>
          <w:lang w:val="en-US" w:eastAsia="zh-CN"/>
        </w:rPr>
        <w:t>提供参与政府采购活动前 3 年内未被列入失信、重大税收违</w:t>
      </w:r>
    </w:p>
    <w:p>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法案件、财政部门禁止参加政府采购活动的承诺书</w:t>
      </w:r>
    </w:p>
    <w:p>
      <w:pPr>
        <w:rPr>
          <w:rFonts w:hint="eastAsia"/>
          <w:lang w:val="en-US" w:eastAsia="zh-CN"/>
        </w:rPr>
      </w:pPr>
    </w:p>
    <w:p>
      <w:pPr>
        <w:spacing w:before="75" w:line="232" w:lineRule="auto"/>
        <w:ind w:left="30"/>
      </w:pPr>
      <w:r>
        <w:rPr>
          <w:rFonts w:ascii="仿宋" w:hAnsi="仿宋" w:eastAsia="仿宋" w:cs="仿宋"/>
          <w:spacing w:val="-11"/>
          <w:sz w:val="23"/>
          <w:szCs w:val="23"/>
        </w:rPr>
        <w:t>说明：</w:t>
      </w:r>
    </w:p>
    <w:p>
      <w:pPr>
        <w:spacing w:before="178" w:line="359" w:lineRule="auto"/>
        <w:ind w:left="745" w:right="2836" w:firstLine="14"/>
        <w:rPr>
          <w:rFonts w:ascii="仿宋" w:hAnsi="仿宋" w:eastAsia="仿宋" w:cs="仿宋"/>
          <w:sz w:val="23"/>
          <w:szCs w:val="23"/>
        </w:rPr>
      </w:pPr>
      <w:r>
        <w:rPr>
          <w:rFonts w:ascii="仿宋" w:hAnsi="仿宋" w:eastAsia="仿宋" w:cs="仿宋"/>
          <w:spacing w:val="6"/>
          <w:sz w:val="23"/>
          <w:szCs w:val="23"/>
        </w:rPr>
        <w:t>1.投标人应按照相关法规规定如实作出说明。</w:t>
      </w:r>
      <w:r>
        <w:rPr>
          <w:rFonts w:ascii="仿宋" w:hAnsi="仿宋" w:eastAsia="仿宋" w:cs="仿宋"/>
          <w:spacing w:val="9"/>
          <w:sz w:val="23"/>
          <w:szCs w:val="23"/>
        </w:rPr>
        <w:t xml:space="preserve"> </w:t>
      </w:r>
      <w:r>
        <w:rPr>
          <w:rFonts w:ascii="仿宋" w:hAnsi="仿宋" w:eastAsia="仿宋" w:cs="仿宋"/>
          <w:spacing w:val="6"/>
          <w:sz w:val="23"/>
          <w:szCs w:val="23"/>
        </w:rPr>
        <w:t>2.按照</w:t>
      </w:r>
      <w:r>
        <w:rPr>
          <w:rFonts w:hint="eastAsia" w:ascii="仿宋" w:hAnsi="仿宋" w:eastAsia="仿宋" w:cs="仿宋"/>
          <w:spacing w:val="6"/>
          <w:sz w:val="23"/>
          <w:szCs w:val="23"/>
          <w:lang w:val="en-US" w:eastAsia="zh-CN"/>
        </w:rPr>
        <w:t>招标</w:t>
      </w:r>
      <w:r>
        <w:rPr>
          <w:rFonts w:ascii="仿宋" w:hAnsi="仿宋" w:eastAsia="仿宋" w:cs="仿宋"/>
          <w:spacing w:val="6"/>
          <w:sz w:val="23"/>
          <w:szCs w:val="23"/>
        </w:rPr>
        <w:t>文件的规定加盖单位章。</w:t>
      </w:r>
    </w:p>
    <w:p>
      <w:pPr>
        <w:pStyle w:val="15"/>
        <w:tabs>
          <w:tab w:val="left" w:pos="5580"/>
        </w:tabs>
        <w:spacing w:line="400" w:lineRule="exact"/>
        <w:rPr>
          <w:rFonts w:hint="eastAsia" w:ascii="宋体" w:hAnsi="宋体" w:eastAsia="宋体" w:cs="宋体"/>
          <w:b/>
          <w:color w:val="auto"/>
          <w:kern w:val="0"/>
          <w:sz w:val="24"/>
          <w:highlight w:val="none"/>
        </w:rPr>
      </w:pPr>
    </w:p>
    <w:p>
      <w:pPr>
        <w:spacing w:before="90" w:line="381" w:lineRule="auto"/>
        <w:ind w:right="126"/>
        <w:rPr>
          <w:rFonts w:hint="eastAsia" w:ascii="宋体" w:hAnsi="宋体" w:eastAsia="宋体" w:cs="宋体"/>
          <w:b/>
          <w:color w:val="auto"/>
          <w:kern w:val="0"/>
          <w:sz w:val="28"/>
          <w:szCs w:val="28"/>
          <w:highlight w:val="none"/>
          <w:lang w:val="en-US" w:eastAsia="zh-CN" w:bidi="ar-SA"/>
        </w:rPr>
      </w:pPr>
      <w:bookmarkStart w:id="1092" w:name="_Toc8586"/>
      <w:bookmarkStart w:id="1093" w:name="_Toc32156"/>
      <w:r>
        <w:rPr>
          <w:rFonts w:hint="eastAsia" w:ascii="宋体" w:hAnsi="宋体" w:eastAsia="宋体" w:cs="宋体"/>
          <w:b/>
          <w:color w:val="auto"/>
          <w:kern w:val="0"/>
          <w:sz w:val="28"/>
          <w:szCs w:val="28"/>
          <w:highlight w:val="none"/>
          <w:lang w:val="en-US" w:eastAsia="zh-CN" w:bidi="ar-SA"/>
        </w:rPr>
        <w:t>10.</w:t>
      </w:r>
      <w:bookmarkEnd w:id="1092"/>
      <w:bookmarkEnd w:id="1093"/>
      <w:r>
        <w:rPr>
          <w:rFonts w:hint="eastAsia" w:ascii="宋体" w:hAnsi="宋体" w:eastAsia="宋体" w:cs="宋体"/>
          <w:b/>
          <w:color w:val="auto"/>
          <w:kern w:val="0"/>
          <w:sz w:val="28"/>
          <w:szCs w:val="28"/>
          <w:highlight w:val="none"/>
          <w:lang w:val="en-US" w:eastAsia="zh-CN" w:bidi="ar-SA"/>
        </w:rPr>
        <w:t>保证金收据复印件及保证金缴纳凭证或电子保函的缴纳凭证</w:t>
      </w:r>
    </w:p>
    <w:p>
      <w:pPr>
        <w:rPr>
          <w:rFonts w:hint="eastAsia" w:ascii="宋体" w:hAnsi="宋体" w:eastAsia="宋体" w:cs="宋体"/>
          <w:color w:val="auto"/>
          <w:sz w:val="28"/>
          <w:szCs w:val="28"/>
          <w:highlight w:val="none"/>
        </w:rPr>
      </w:pPr>
    </w:p>
    <w:p>
      <w:pPr>
        <w:spacing w:before="3" w:line="232" w:lineRule="auto"/>
        <w:ind w:left="30"/>
        <w:rPr>
          <w:rFonts w:ascii="仿宋" w:hAnsi="仿宋" w:eastAsia="仿宋" w:cs="仿宋"/>
          <w:sz w:val="23"/>
          <w:szCs w:val="23"/>
        </w:rPr>
      </w:pPr>
      <w:r>
        <w:rPr>
          <w:rFonts w:ascii="仿宋" w:hAnsi="仿宋" w:eastAsia="仿宋" w:cs="仿宋"/>
          <w:spacing w:val="-11"/>
          <w:sz w:val="23"/>
          <w:szCs w:val="23"/>
        </w:rPr>
        <w:t>说明：</w:t>
      </w:r>
    </w:p>
    <w:p>
      <w:pPr>
        <w:spacing w:before="180" w:line="364" w:lineRule="auto"/>
        <w:ind w:left="30" w:right="128" w:firstLine="478"/>
        <w:jc w:val="both"/>
        <w:rPr>
          <w:rFonts w:ascii="仿宋" w:hAnsi="仿宋" w:eastAsia="仿宋" w:cs="仿宋"/>
          <w:spacing w:val="5"/>
          <w:sz w:val="23"/>
          <w:szCs w:val="23"/>
        </w:rPr>
      </w:pPr>
      <w:r>
        <w:rPr>
          <w:rFonts w:ascii="仿宋" w:hAnsi="仿宋" w:eastAsia="仿宋" w:cs="仿宋"/>
          <w:spacing w:val="10"/>
          <w:sz w:val="23"/>
          <w:szCs w:val="23"/>
        </w:rPr>
        <w:t>投标人须将本项目缴纳</w:t>
      </w:r>
      <w:r>
        <w:rPr>
          <w:rFonts w:hint="eastAsia" w:ascii="仿宋" w:hAnsi="仿宋" w:eastAsia="仿宋" w:cs="仿宋"/>
          <w:spacing w:val="10"/>
          <w:sz w:val="23"/>
          <w:szCs w:val="23"/>
          <w:lang w:val="en-US" w:eastAsia="zh-CN"/>
        </w:rPr>
        <w:t>投标</w:t>
      </w:r>
      <w:r>
        <w:rPr>
          <w:rFonts w:ascii="仿宋" w:hAnsi="仿宋" w:eastAsia="仿宋" w:cs="仿宋"/>
          <w:spacing w:val="10"/>
          <w:sz w:val="23"/>
          <w:szCs w:val="23"/>
        </w:rPr>
        <w:t>保证金的有效凭证</w:t>
      </w:r>
      <w:r>
        <w:rPr>
          <w:rFonts w:ascii="仿宋" w:hAnsi="仿宋" w:eastAsia="仿宋" w:cs="仿宋"/>
          <w:spacing w:val="2"/>
          <w:sz w:val="23"/>
          <w:szCs w:val="23"/>
        </w:rPr>
        <w:t>；</w:t>
      </w:r>
      <w:r>
        <w:rPr>
          <w:rFonts w:ascii="仿宋" w:hAnsi="仿宋" w:eastAsia="仿宋" w:cs="仿宋"/>
          <w:spacing w:val="-85"/>
          <w:sz w:val="23"/>
          <w:szCs w:val="23"/>
        </w:rPr>
        <w:t xml:space="preserve"> </w:t>
      </w:r>
      <w:r>
        <w:rPr>
          <w:rFonts w:ascii="仿宋" w:hAnsi="仿宋" w:eastAsia="仿宋" w:cs="仿宋"/>
          <w:spacing w:val="2"/>
          <w:sz w:val="23"/>
          <w:szCs w:val="23"/>
        </w:rPr>
        <w:t>（</w:t>
      </w:r>
      <w:r>
        <w:rPr>
          <w:rFonts w:hint="eastAsia" w:ascii="仿宋" w:hAnsi="仿宋" w:eastAsia="仿宋" w:cs="仿宋"/>
          <w:spacing w:val="2"/>
          <w:sz w:val="23"/>
          <w:szCs w:val="23"/>
          <w:lang w:val="en-US" w:eastAsia="zh-CN"/>
        </w:rPr>
        <w:t>保证金收据复印件及保证金缴纳凭证</w:t>
      </w:r>
      <w:r>
        <w:rPr>
          <w:rFonts w:ascii="仿宋" w:hAnsi="仿宋" w:eastAsia="仿宋" w:cs="仿宋"/>
          <w:spacing w:val="9"/>
          <w:sz w:val="23"/>
          <w:szCs w:val="23"/>
        </w:rPr>
        <w:t>复印件，若使用银行保函缴纳，</w:t>
      </w:r>
      <w:r>
        <w:rPr>
          <w:rFonts w:ascii="仿宋" w:hAnsi="仿宋" w:eastAsia="仿宋" w:cs="仿宋"/>
          <w:spacing w:val="-61"/>
          <w:sz w:val="23"/>
          <w:szCs w:val="23"/>
        </w:rPr>
        <w:t xml:space="preserve"> </w:t>
      </w:r>
      <w:r>
        <w:rPr>
          <w:rFonts w:ascii="仿宋" w:hAnsi="仿宋" w:eastAsia="仿宋" w:cs="仿宋"/>
          <w:spacing w:val="9"/>
          <w:sz w:val="23"/>
          <w:szCs w:val="23"/>
        </w:rPr>
        <w:t>则提供保函复印件）作为缴</w:t>
      </w:r>
      <w:r>
        <w:rPr>
          <w:rFonts w:ascii="仿宋" w:hAnsi="仿宋" w:eastAsia="仿宋" w:cs="仿宋"/>
          <w:spacing w:val="8"/>
          <w:sz w:val="23"/>
          <w:szCs w:val="23"/>
        </w:rPr>
        <w:t>纳凭证装订在本</w:t>
      </w:r>
      <w:r>
        <w:rPr>
          <w:rFonts w:ascii="仿宋" w:hAnsi="仿宋" w:eastAsia="仿宋" w:cs="仿宋"/>
          <w:spacing w:val="5"/>
          <w:sz w:val="23"/>
          <w:szCs w:val="23"/>
        </w:rPr>
        <w:t>部分，并加盖单位公章。</w:t>
      </w:r>
    </w:p>
    <w:p>
      <w:pPr>
        <w:pStyle w:val="5"/>
        <w:rPr>
          <w:rFonts w:hint="eastAsia"/>
        </w:rPr>
      </w:pPr>
    </w:p>
    <w:p>
      <w:pPr>
        <w:spacing w:before="90" w:line="381" w:lineRule="auto"/>
        <w:ind w:right="126"/>
        <w:rPr>
          <w:rFonts w:hint="eastAsia" w:ascii="宋体" w:hAnsi="宋体" w:eastAsia="宋体" w:cs="宋体"/>
          <w:b/>
          <w:color w:val="auto"/>
          <w:kern w:val="0"/>
          <w:sz w:val="28"/>
          <w:szCs w:val="28"/>
          <w:highlight w:val="none"/>
          <w:lang w:val="en-US" w:eastAsia="zh-CN" w:bidi="ar-SA"/>
        </w:rPr>
      </w:pPr>
      <w:bookmarkStart w:id="1094" w:name="_Toc18703"/>
      <w:bookmarkStart w:id="1095" w:name="_Toc13729"/>
      <w:bookmarkStart w:id="1096" w:name="_Toc18263"/>
      <w:bookmarkStart w:id="1097" w:name="_Toc515647816"/>
      <w:bookmarkStart w:id="1098" w:name="_Toc30653"/>
      <w:bookmarkStart w:id="1099" w:name="_Toc11180"/>
      <w:bookmarkStart w:id="1100" w:name="_Toc15346"/>
      <w:bookmarkStart w:id="1101" w:name="_Toc22967"/>
      <w:r>
        <w:rPr>
          <w:rFonts w:hint="eastAsia" w:ascii="宋体" w:hAnsi="宋体" w:eastAsia="宋体" w:cs="宋体"/>
          <w:b/>
          <w:color w:val="auto"/>
          <w:kern w:val="0"/>
          <w:sz w:val="28"/>
          <w:szCs w:val="28"/>
          <w:highlight w:val="none"/>
          <w:lang w:val="en-US" w:eastAsia="zh-CN" w:bidi="ar-SA"/>
        </w:rPr>
        <w:t>11. 投标人须知资料表要求的其他资格证明文件</w:t>
      </w:r>
    </w:p>
    <w:p>
      <w:pPr>
        <w:pStyle w:val="10"/>
        <w:spacing w:line="343" w:lineRule="auto"/>
      </w:pPr>
    </w:p>
    <w:p>
      <w:pPr>
        <w:spacing w:before="76" w:line="232" w:lineRule="auto"/>
        <w:ind w:left="30"/>
        <w:rPr>
          <w:rFonts w:ascii="仿宋" w:hAnsi="仿宋" w:eastAsia="仿宋" w:cs="仿宋"/>
          <w:sz w:val="23"/>
          <w:szCs w:val="23"/>
        </w:rPr>
      </w:pPr>
      <w:r>
        <w:rPr>
          <w:rFonts w:ascii="仿宋" w:hAnsi="仿宋" w:eastAsia="仿宋" w:cs="仿宋"/>
          <w:spacing w:val="-11"/>
          <w:sz w:val="23"/>
          <w:szCs w:val="23"/>
        </w:rPr>
        <w:t>说明：</w:t>
      </w:r>
    </w:p>
    <w:p>
      <w:pPr>
        <w:spacing w:before="69" w:line="271" w:lineRule="auto"/>
        <w:ind w:left="805" w:right="1876" w:hanging="45"/>
        <w:rPr>
          <w:rFonts w:ascii="仿宋" w:hAnsi="仿宋" w:eastAsia="仿宋" w:cs="仿宋"/>
          <w:sz w:val="23"/>
          <w:szCs w:val="23"/>
        </w:rPr>
      </w:pPr>
      <w:r>
        <w:rPr>
          <w:rFonts w:ascii="仿宋" w:hAnsi="仿宋" w:eastAsia="仿宋" w:cs="仿宋"/>
          <w:spacing w:val="7"/>
          <w:sz w:val="23"/>
          <w:szCs w:val="23"/>
        </w:rPr>
        <w:t>1.应提供</w:t>
      </w:r>
      <w:r>
        <w:rPr>
          <w:rFonts w:ascii="仿宋" w:hAnsi="仿宋" w:eastAsia="仿宋" w:cs="仿宋"/>
          <w:spacing w:val="7"/>
          <w:sz w:val="23"/>
          <w:szCs w:val="23"/>
          <w:u w:val="single" w:color="auto"/>
        </w:rPr>
        <w:t>投标人须知资料表</w:t>
      </w:r>
      <w:r>
        <w:rPr>
          <w:rFonts w:ascii="仿宋" w:hAnsi="仿宋" w:eastAsia="仿宋" w:cs="仿宋"/>
          <w:spacing w:val="7"/>
          <w:sz w:val="23"/>
          <w:szCs w:val="23"/>
        </w:rPr>
        <w:t>要求的其他资格证明文件。</w:t>
      </w:r>
      <w:r>
        <w:rPr>
          <w:rFonts w:ascii="仿宋" w:hAnsi="仿宋" w:eastAsia="仿宋" w:cs="仿宋"/>
          <w:sz w:val="23"/>
          <w:szCs w:val="23"/>
        </w:rPr>
        <w:t xml:space="preserve"> </w:t>
      </w:r>
      <w:r>
        <w:rPr>
          <w:rFonts w:ascii="仿宋" w:hAnsi="仿宋" w:eastAsia="仿宋" w:cs="仿宋"/>
          <w:spacing w:val="5"/>
          <w:sz w:val="23"/>
          <w:szCs w:val="23"/>
        </w:rPr>
        <w:t>2.复印件上应加盖本单位章。</w:t>
      </w:r>
    </w:p>
    <w:p>
      <w:pPr>
        <w:spacing w:before="2" w:line="237" w:lineRule="auto"/>
        <w:ind w:left="1106" w:right="102" w:hanging="537"/>
        <w:rPr>
          <w:rFonts w:ascii="仿宋" w:hAnsi="仿宋" w:eastAsia="仿宋" w:cs="仿宋"/>
          <w:sz w:val="23"/>
          <w:szCs w:val="23"/>
        </w:rPr>
        <w:sectPr>
          <w:footerReference r:id="rId7" w:type="default"/>
          <w:pgSz w:w="11906" w:h="16838"/>
          <w:pgMar w:top="1431" w:right="1785" w:bottom="1404" w:left="1785" w:header="0" w:footer="1229" w:gutter="0"/>
          <w:pgNumType w:fmt="decimal"/>
          <w:cols w:space="720" w:num="1"/>
        </w:sectPr>
      </w:pPr>
      <w:r>
        <w:rPr>
          <w:rFonts w:ascii="仿宋" w:hAnsi="仿宋" w:eastAsia="仿宋" w:cs="仿宋"/>
          <w:b/>
          <w:bCs/>
          <w:spacing w:val="7"/>
          <w:sz w:val="23"/>
          <w:szCs w:val="23"/>
        </w:rPr>
        <w:t>注：为了便于查找，请按上述顺序编制投标文件内容，并在目录中标明每</w:t>
      </w:r>
      <w:r>
        <w:rPr>
          <w:rFonts w:ascii="仿宋" w:hAnsi="仿宋" w:eastAsia="仿宋" w:cs="仿宋"/>
          <w:b/>
          <w:bCs/>
          <w:spacing w:val="2"/>
          <w:sz w:val="23"/>
          <w:szCs w:val="23"/>
        </w:rPr>
        <w:t>项内容的起始页</w:t>
      </w:r>
    </w:p>
    <w:bookmarkEnd w:id="1094"/>
    <w:bookmarkEnd w:id="1095"/>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
        <w:spacing w:before="0" w:line="240" w:lineRule="atLeast"/>
        <w:ind w:left="1080" w:leftChars="257" w:hanging="540"/>
        <w:rPr>
          <w:rFonts w:hint="eastAsia" w:ascii="宋体" w:hAnsi="宋体" w:eastAsia="宋体" w:cs="宋体"/>
          <w:color w:val="auto"/>
          <w:sz w:val="28"/>
          <w:highlight w:val="none"/>
        </w:rPr>
      </w:pPr>
      <w:bookmarkStart w:id="1102" w:name="_Toc19728"/>
      <w:bookmarkStart w:id="1103" w:name="_Toc27567"/>
      <w:r>
        <w:rPr>
          <w:rFonts w:hint="eastAsia" w:ascii="宋体" w:hAnsi="宋体" w:eastAsia="宋体" w:cs="宋体"/>
          <w:color w:val="auto"/>
          <w:sz w:val="28"/>
          <w:highlight w:val="none"/>
        </w:rPr>
        <w:t>第二部分  商务及技术文件</w:t>
      </w:r>
      <w:bookmarkEnd w:id="1102"/>
      <w:bookmarkEnd w:id="1103"/>
    </w:p>
    <w:p>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宋体" w:hAnsi="宋体" w:cs="宋体"/>
          <w:color w:val="auto"/>
          <w:kern w:val="0"/>
          <w:sz w:val="24"/>
          <w:szCs w:val="24"/>
          <w:highlight w:val="none"/>
          <w:lang w:val="en-US" w:eastAsia="zh-CN"/>
        </w:rPr>
      </w:pPr>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cs="宋体"/>
          <w:color w:val="auto"/>
          <w:kern w:val="0"/>
          <w:sz w:val="24"/>
          <w:szCs w:val="24"/>
          <w:highlight w:val="none"/>
          <w:lang w:val="en-US" w:eastAsia="zh-CN"/>
        </w:rPr>
      </w:pPr>
      <w:bookmarkStart w:id="1104" w:name="_Toc14915"/>
      <w:bookmarkStart w:id="1105" w:name="_Toc2041"/>
      <w:bookmarkStart w:id="1106" w:name="_Toc515647817"/>
      <w:r>
        <w:rPr>
          <w:rFonts w:hint="eastAsia" w:ascii="宋体" w:hAnsi="宋体" w:cs="宋体"/>
          <w:color w:val="auto"/>
          <w:kern w:val="0"/>
          <w:sz w:val="24"/>
          <w:szCs w:val="24"/>
          <w:highlight w:val="none"/>
          <w:lang w:val="en-US" w:eastAsia="zh-CN"/>
        </w:rPr>
        <w:t>1.投标书</w:t>
      </w:r>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2.投标分项报价表</w:t>
      </w:r>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3.货物说明一览表</w:t>
      </w:r>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4.技术规格偏离表</w:t>
      </w:r>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5.商务条款偏离表</w:t>
      </w:r>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6.符合《政府采购促进中小企业发展暂行办法》、《关于政府采购支持监狱企业发展有关问题的通知》和《三部门联合发布关于促进残疾人就业政府采购政策的通知》价格扣减条件的投标人须提交）</w:t>
      </w:r>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6-1中小企业声明函</w:t>
      </w:r>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6-2 残疾人福利性单位声明函</w:t>
      </w:r>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7.供应商关联单位的说明</w:t>
      </w:r>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8.供应商可提供有利于投标的其他证明材料</w:t>
      </w:r>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9.投标文件格式范本</w:t>
      </w:r>
    </w:p>
    <w:p>
      <w:pPr>
        <w:spacing w:line="360" w:lineRule="auto"/>
        <w:rPr>
          <w:rFonts w:hint="eastAsia" w:ascii="宋体" w:hAnsi="宋体" w:eastAsia="宋体" w:cs="宋体"/>
          <w:b/>
          <w:bCs/>
          <w:color w:val="auto"/>
          <w:highlight w:val="none"/>
        </w:rPr>
      </w:pPr>
    </w:p>
    <w:p>
      <w:pPr>
        <w:pStyle w:val="7"/>
        <w:rPr>
          <w:rFonts w:hint="eastAsia" w:ascii="宋体" w:hAnsi="宋体" w:eastAsia="宋体" w:cs="宋体"/>
          <w:b/>
          <w:bCs/>
          <w:color w:val="auto"/>
          <w:highlight w:val="none"/>
        </w:rPr>
      </w:pPr>
    </w:p>
    <w:p>
      <w:pPr>
        <w:pStyle w:val="7"/>
        <w:rPr>
          <w:rFonts w:hint="eastAsia" w:ascii="宋体" w:hAnsi="宋体" w:eastAsia="宋体" w:cs="宋体"/>
          <w:b/>
          <w:bCs/>
          <w:color w:val="auto"/>
          <w:highlight w:val="none"/>
        </w:rPr>
      </w:pPr>
    </w:p>
    <w:p>
      <w:pPr>
        <w:pStyle w:val="7"/>
        <w:rPr>
          <w:rFonts w:hint="eastAsia" w:ascii="宋体" w:hAnsi="宋体" w:eastAsia="宋体" w:cs="宋体"/>
          <w:b/>
          <w:bCs/>
          <w:color w:val="auto"/>
          <w:highlight w:val="none"/>
        </w:rPr>
      </w:pPr>
    </w:p>
    <w:p>
      <w:pPr>
        <w:pStyle w:val="7"/>
        <w:rPr>
          <w:rFonts w:hint="eastAsia" w:ascii="宋体" w:hAnsi="宋体" w:eastAsia="宋体" w:cs="宋体"/>
          <w:b/>
          <w:bCs/>
          <w:color w:val="auto"/>
          <w:highlight w:val="none"/>
        </w:rPr>
      </w:pPr>
    </w:p>
    <w:p>
      <w:pPr>
        <w:pStyle w:val="7"/>
        <w:rPr>
          <w:rFonts w:hint="eastAsia" w:ascii="宋体" w:hAnsi="宋体" w:eastAsia="宋体" w:cs="宋体"/>
          <w:b/>
          <w:bCs/>
          <w:color w:val="auto"/>
          <w:highlight w:val="none"/>
        </w:rPr>
      </w:pPr>
    </w:p>
    <w:p>
      <w:pPr>
        <w:pStyle w:val="7"/>
        <w:rPr>
          <w:rFonts w:hint="eastAsia" w:ascii="宋体" w:hAnsi="宋体" w:eastAsia="宋体" w:cs="宋体"/>
          <w:b/>
          <w:bCs/>
          <w:color w:val="auto"/>
          <w:highlight w:val="none"/>
        </w:rPr>
      </w:pPr>
    </w:p>
    <w:p>
      <w:pPr>
        <w:spacing w:line="360" w:lineRule="auto"/>
        <w:rPr>
          <w:rFonts w:hint="eastAsia" w:ascii="宋体" w:hAnsi="宋体" w:eastAsia="宋体" w:cs="宋体"/>
          <w:color w:val="auto"/>
          <w:sz w:val="24"/>
          <w:highlight w:val="none"/>
        </w:rPr>
      </w:pPr>
    </w:p>
    <w:p>
      <w:pPr>
        <w:pStyle w:val="15"/>
        <w:tabs>
          <w:tab w:val="left" w:pos="5580"/>
        </w:tabs>
        <w:spacing w:line="240" w:lineRule="atLeast"/>
        <w:rPr>
          <w:rFonts w:hint="eastAsia" w:ascii="宋体" w:hAnsi="宋体" w:eastAsia="宋体" w:cs="宋体"/>
          <w:color w:val="auto"/>
          <w:szCs w:val="21"/>
          <w:highlight w:val="none"/>
        </w:rPr>
      </w:pPr>
    </w:p>
    <w:p>
      <w:pPr>
        <w:pStyle w:val="15"/>
        <w:tabs>
          <w:tab w:val="left" w:pos="5580"/>
        </w:tabs>
        <w:spacing w:line="240" w:lineRule="atLeast"/>
        <w:rPr>
          <w:rFonts w:hint="eastAsia" w:ascii="宋体" w:hAnsi="宋体" w:eastAsia="宋体" w:cs="宋体"/>
          <w:color w:val="auto"/>
          <w:szCs w:val="21"/>
          <w:highlight w:val="none"/>
        </w:rPr>
      </w:pPr>
    </w:p>
    <w:p>
      <w:pPr>
        <w:pStyle w:val="15"/>
        <w:tabs>
          <w:tab w:val="left" w:pos="5580"/>
        </w:tabs>
        <w:spacing w:line="240" w:lineRule="atLeast"/>
        <w:rPr>
          <w:rFonts w:hint="eastAsia" w:ascii="宋体" w:hAnsi="宋体" w:eastAsia="宋体" w:cs="宋体"/>
          <w:color w:val="auto"/>
          <w:szCs w:val="21"/>
          <w:highlight w:val="none"/>
        </w:rPr>
      </w:pPr>
    </w:p>
    <w:p>
      <w:pPr>
        <w:pStyle w:val="15"/>
        <w:tabs>
          <w:tab w:val="left" w:pos="5580"/>
        </w:tabs>
        <w:spacing w:line="240" w:lineRule="atLeast"/>
        <w:rPr>
          <w:rFonts w:hint="eastAsia" w:ascii="宋体" w:hAnsi="宋体" w:eastAsia="宋体" w:cs="宋体"/>
          <w:color w:val="auto"/>
          <w:szCs w:val="21"/>
          <w:highlight w:val="none"/>
        </w:rPr>
      </w:pPr>
    </w:p>
    <w:p>
      <w:pPr>
        <w:pStyle w:val="15"/>
        <w:tabs>
          <w:tab w:val="left" w:pos="5580"/>
        </w:tabs>
        <w:spacing w:line="240" w:lineRule="atLeast"/>
        <w:rPr>
          <w:rFonts w:hint="eastAsia" w:ascii="宋体" w:hAnsi="宋体" w:eastAsia="宋体" w:cs="宋体"/>
          <w:color w:val="auto"/>
          <w:szCs w:val="21"/>
          <w:highlight w:val="none"/>
        </w:rPr>
      </w:pPr>
    </w:p>
    <w:p>
      <w:pPr>
        <w:pStyle w:val="15"/>
        <w:tabs>
          <w:tab w:val="left" w:pos="5580"/>
        </w:tabs>
        <w:spacing w:line="240" w:lineRule="atLeast"/>
        <w:rPr>
          <w:rFonts w:hint="eastAsia" w:ascii="宋体" w:hAnsi="宋体" w:eastAsia="宋体" w:cs="宋体"/>
          <w:color w:val="auto"/>
          <w:szCs w:val="21"/>
          <w:highlight w:val="none"/>
        </w:rPr>
      </w:pPr>
    </w:p>
    <w:p>
      <w:pPr>
        <w:pStyle w:val="15"/>
        <w:tabs>
          <w:tab w:val="left" w:pos="5580"/>
        </w:tabs>
        <w:spacing w:line="240" w:lineRule="atLeast"/>
        <w:rPr>
          <w:rFonts w:hint="eastAsia" w:ascii="宋体" w:hAnsi="宋体" w:eastAsia="宋体" w:cs="宋体"/>
          <w:color w:val="auto"/>
          <w:szCs w:val="21"/>
          <w:highlight w:val="none"/>
        </w:rPr>
      </w:pPr>
    </w:p>
    <w:p>
      <w:pPr>
        <w:pStyle w:val="15"/>
        <w:tabs>
          <w:tab w:val="left" w:pos="5580"/>
        </w:tabs>
        <w:spacing w:line="240" w:lineRule="atLeast"/>
        <w:rPr>
          <w:rFonts w:hint="eastAsia" w:ascii="宋体" w:hAnsi="宋体" w:eastAsia="宋体" w:cs="宋体"/>
          <w:color w:val="auto"/>
          <w:szCs w:val="21"/>
          <w:highlight w:val="none"/>
        </w:rPr>
      </w:pPr>
    </w:p>
    <w:p>
      <w:pPr>
        <w:rPr>
          <w:rFonts w:hint="eastAsia" w:ascii="宋体" w:hAnsi="宋体" w:eastAsia="宋体" w:cs="宋体"/>
          <w:b/>
          <w:bCs/>
          <w:color w:val="auto"/>
          <w:sz w:val="24"/>
          <w:szCs w:val="24"/>
          <w:highlight w:val="none"/>
        </w:rPr>
      </w:pPr>
      <w:bookmarkStart w:id="1107" w:name="_Toc29625"/>
      <w:bookmarkStart w:id="1108" w:name="_Toc25918"/>
      <w:bookmarkStart w:id="1109" w:name="_Toc21772"/>
      <w:bookmarkStart w:id="1110" w:name="_Toc30408"/>
      <w:r>
        <w:rPr>
          <w:rFonts w:hint="eastAsia" w:ascii="宋体" w:hAnsi="宋体" w:eastAsia="宋体" w:cs="宋体"/>
          <w:b/>
          <w:bCs/>
          <w:color w:val="auto"/>
          <w:sz w:val="24"/>
          <w:szCs w:val="24"/>
          <w:highlight w:val="none"/>
        </w:rPr>
        <w:br w:type="page"/>
      </w:r>
    </w:p>
    <w:bookmarkEnd w:id="1104"/>
    <w:bookmarkEnd w:id="1105"/>
    <w:bookmarkEnd w:id="1106"/>
    <w:bookmarkEnd w:id="1107"/>
    <w:bookmarkEnd w:id="1108"/>
    <w:bookmarkEnd w:id="1109"/>
    <w:bookmarkEnd w:id="1110"/>
    <w:p>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宋体" w:hAnsi="宋体" w:eastAsia="宋体" w:cs="宋体"/>
          <w:color w:val="auto"/>
          <w:sz w:val="28"/>
          <w:szCs w:val="28"/>
          <w:highlight w:val="none"/>
          <w:lang w:val="en-US" w:eastAsia="zh-CN"/>
        </w:rPr>
      </w:pPr>
      <w:bookmarkStart w:id="1111" w:name="_Toc7083"/>
      <w:bookmarkStart w:id="1112" w:name="_Toc32484"/>
      <w:r>
        <w:rPr>
          <w:rFonts w:hint="eastAsia" w:ascii="宋体" w:hAnsi="宋体" w:eastAsia="宋体" w:cs="宋体"/>
          <w:color w:val="auto"/>
          <w:sz w:val="28"/>
          <w:szCs w:val="28"/>
          <w:highlight w:val="none"/>
          <w:lang w:val="en-US" w:eastAsia="zh-CN"/>
        </w:rPr>
        <w:t>1.投标书</w:t>
      </w:r>
      <w:bookmarkEnd w:id="1111"/>
      <w:bookmarkEnd w:id="1112"/>
    </w:p>
    <w:p>
      <w:pPr>
        <w:tabs>
          <w:tab w:val="left" w:pos="5580"/>
        </w:tabs>
        <w:spacing w:line="400" w:lineRule="exact"/>
        <w:ind w:left="1080" w:hanging="10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p>
    <w:p>
      <w:pPr>
        <w:pStyle w:val="15"/>
        <w:tabs>
          <w:tab w:val="left" w:pos="5580"/>
        </w:tabs>
        <w:spacing w:line="400" w:lineRule="exact"/>
        <w:ind w:left="2" w:leftChars="1"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)项目的投标邀请(</w:t>
      </w:r>
      <w:r>
        <w:rPr>
          <w:rFonts w:hint="eastAsia" w:ascii="宋体" w:hAnsi="宋体" w:eastAsia="宋体" w:cs="宋体"/>
          <w:i w:val="0"/>
          <w:iCs w:val="0"/>
          <w:color w:val="auto"/>
          <w:sz w:val="24"/>
          <w:szCs w:val="24"/>
          <w:highlight w:val="none"/>
          <w:u w:val="single"/>
        </w:rPr>
        <w:t>项目编号</w:t>
      </w:r>
      <w:r>
        <w:rPr>
          <w:rFonts w:hint="eastAsia" w:ascii="宋体" w:hAnsi="宋体" w:eastAsia="宋体" w:cs="宋体"/>
          <w:i w:val="0"/>
          <w:iCs w:val="0"/>
          <w:color w:val="auto"/>
          <w:sz w:val="24"/>
          <w:szCs w:val="24"/>
          <w:highlight w:val="none"/>
        </w:rPr>
        <w:t>),签字代表(</w:t>
      </w:r>
      <w:r>
        <w:rPr>
          <w:rFonts w:hint="eastAsia" w:ascii="宋体" w:hAnsi="宋体" w:eastAsia="宋体" w:cs="宋体"/>
          <w:i w:val="0"/>
          <w:iCs w:val="0"/>
          <w:color w:val="auto"/>
          <w:sz w:val="24"/>
          <w:szCs w:val="24"/>
          <w:highlight w:val="none"/>
          <w:u w:val="single"/>
        </w:rPr>
        <w:t>姓名、职务</w:t>
      </w:r>
      <w:r>
        <w:rPr>
          <w:rFonts w:hint="eastAsia" w:ascii="宋体" w:hAnsi="宋体" w:eastAsia="宋体" w:cs="宋体"/>
          <w:i w:val="0"/>
          <w:iCs w:val="0"/>
          <w:color w:val="auto"/>
          <w:sz w:val="24"/>
          <w:szCs w:val="24"/>
          <w:highlight w:val="none"/>
        </w:rPr>
        <w:t>)经正式授权并代表供应商（</w:t>
      </w:r>
      <w:r>
        <w:rPr>
          <w:rFonts w:hint="eastAsia" w:ascii="宋体" w:hAnsi="宋体" w:eastAsia="宋体" w:cs="宋体"/>
          <w:i w:val="0"/>
          <w:iCs w:val="0"/>
          <w:color w:val="auto"/>
          <w:sz w:val="24"/>
          <w:szCs w:val="24"/>
          <w:highlight w:val="none"/>
          <w:u w:val="single"/>
        </w:rPr>
        <w:t>名称、地址</w:t>
      </w:r>
      <w:r>
        <w:rPr>
          <w:rFonts w:hint="eastAsia" w:ascii="宋体" w:hAnsi="宋体" w:eastAsia="宋体" w:cs="宋体"/>
          <w:i w:val="0"/>
          <w:iCs w:val="0"/>
          <w:color w:val="auto"/>
          <w:sz w:val="24"/>
          <w:szCs w:val="24"/>
          <w:highlight w:val="none"/>
        </w:rPr>
        <w:t>）</w:t>
      </w:r>
      <w:r>
        <w:rPr>
          <w:rFonts w:hint="eastAsia" w:hAnsi="宋体" w:cs="宋体"/>
          <w:i w:val="0"/>
          <w:iCs w:val="0"/>
          <w:color w:val="auto"/>
          <w:sz w:val="24"/>
          <w:szCs w:val="24"/>
          <w:highlight w:val="none"/>
          <w:lang w:val="en-US" w:eastAsia="zh-CN"/>
        </w:rPr>
        <w:t>上传投标</w:t>
      </w:r>
      <w:r>
        <w:rPr>
          <w:rFonts w:hint="eastAsia" w:ascii="宋体" w:hAnsi="宋体" w:eastAsia="宋体" w:cs="宋体"/>
          <w:i w:val="0"/>
          <w:iCs w:val="0"/>
          <w:color w:val="auto"/>
          <w:sz w:val="24"/>
          <w:szCs w:val="24"/>
          <w:highlight w:val="none"/>
        </w:rPr>
        <w:t>文件，并以</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形式出具的金额为人民币</w:t>
      </w:r>
      <w:r>
        <w:rPr>
          <w:rFonts w:hint="eastAsia" w:ascii="宋体" w:hAnsi="宋体" w:eastAsia="宋体" w:cs="宋体"/>
          <w:i w:val="0"/>
          <w:iCs w:val="0"/>
          <w:color w:val="auto"/>
          <w:sz w:val="24"/>
          <w:szCs w:val="24"/>
          <w:highlight w:val="none"/>
          <w:u w:val="single"/>
        </w:rPr>
        <w:t>　　　　</w:t>
      </w:r>
      <w:r>
        <w:rPr>
          <w:rFonts w:hint="eastAsia" w:ascii="宋体" w:hAnsi="宋体" w:eastAsia="宋体" w:cs="宋体"/>
          <w:i w:val="0"/>
          <w:iCs w:val="0"/>
          <w:color w:val="auto"/>
          <w:sz w:val="24"/>
          <w:szCs w:val="24"/>
          <w:highlight w:val="none"/>
        </w:rPr>
        <w:t>元的投标保证金。</w:t>
      </w:r>
    </w:p>
    <w:p>
      <w:pPr>
        <w:pStyle w:val="15"/>
        <w:tabs>
          <w:tab w:val="left" w:pos="5580"/>
        </w:tabs>
        <w:spacing w:line="400" w:lineRule="exact"/>
        <w:ind w:left="1080" w:leftChars="257" w:hanging="5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据此，签字代表宣布同意如下：</w:t>
      </w:r>
    </w:p>
    <w:p>
      <w:pPr>
        <w:pStyle w:val="15"/>
        <w:tabs>
          <w:tab w:val="left" w:pos="720"/>
          <w:tab w:val="left" w:pos="900"/>
        </w:tabs>
        <w:spacing w:line="400" w:lineRule="exact"/>
        <w:ind w:left="769" w:leftChars="257" w:hanging="229"/>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（1）附投标价格表中规定的应提供</w:t>
      </w:r>
      <w:r>
        <w:rPr>
          <w:rFonts w:hint="eastAsia" w:ascii="宋体" w:hAnsi="宋体" w:eastAsia="宋体" w:cs="宋体"/>
          <w:i w:val="0"/>
          <w:iCs w:val="0"/>
          <w:color w:val="auto"/>
          <w:sz w:val="24"/>
          <w:szCs w:val="24"/>
          <w:highlight w:val="none"/>
          <w:lang w:val="en-US" w:eastAsia="zh-CN"/>
        </w:rPr>
        <w:t>货物</w:t>
      </w:r>
      <w:r>
        <w:rPr>
          <w:rFonts w:hint="eastAsia" w:ascii="宋体" w:hAnsi="宋体" w:eastAsia="宋体" w:cs="宋体"/>
          <w:i w:val="0"/>
          <w:iCs w:val="0"/>
          <w:color w:val="auto"/>
          <w:sz w:val="24"/>
          <w:szCs w:val="24"/>
          <w:highlight w:val="none"/>
        </w:rPr>
        <w:t>的投标总价详见开标一览表，</w:t>
      </w:r>
      <w:r>
        <w:rPr>
          <w:rFonts w:hint="eastAsia" w:ascii="宋体" w:hAnsi="宋体" w:eastAsia="宋体" w:cs="宋体"/>
          <w:i w:val="0"/>
          <w:iCs w:val="0"/>
          <w:color w:val="auto"/>
          <w:sz w:val="24"/>
          <w:szCs w:val="24"/>
          <w:highlight w:val="none"/>
          <w:u w:val="single"/>
        </w:rPr>
        <w:t>其中由小型和</w:t>
      </w:r>
      <w:r>
        <w:rPr>
          <w:rFonts w:hint="eastAsia" w:ascii="宋体" w:hAnsi="宋体" w:eastAsia="宋体" w:cs="宋体"/>
          <w:i w:val="0"/>
          <w:iCs w:val="0"/>
          <w:color w:val="auto"/>
          <w:sz w:val="24"/>
          <w:szCs w:val="24"/>
          <w:highlight w:val="none"/>
        </w:rPr>
        <w:t>微型企业制造产品的价格为</w:t>
      </w:r>
      <w:r>
        <w:rPr>
          <w:rFonts w:hint="eastAsia" w:ascii="宋体" w:hAnsi="宋体" w:eastAsia="宋体" w:cs="宋体"/>
          <w:i w:val="0"/>
          <w:iCs w:val="0"/>
          <w:color w:val="auto"/>
          <w:sz w:val="24"/>
          <w:szCs w:val="24"/>
          <w:highlight w:val="none"/>
          <w:u w:val="single"/>
        </w:rPr>
        <w:t>　　  （用文字和数字表示），占投标总价   %</w:t>
      </w:r>
      <w:r>
        <w:rPr>
          <w:rFonts w:hint="eastAsia" w:ascii="宋体" w:hAnsi="宋体" w:eastAsia="宋体" w:cs="宋体"/>
          <w:i w:val="0"/>
          <w:iCs w:val="0"/>
          <w:color w:val="auto"/>
          <w:sz w:val="24"/>
          <w:szCs w:val="24"/>
          <w:highlight w:val="none"/>
        </w:rPr>
        <w:t>。</w:t>
      </w:r>
    </w:p>
    <w:p>
      <w:pPr>
        <w:pStyle w:val="15"/>
        <w:tabs>
          <w:tab w:val="left" w:pos="5580"/>
        </w:tabs>
        <w:spacing w:line="400" w:lineRule="exact"/>
        <w:ind w:left="1080" w:leftChars="257" w:hanging="5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（2）本投标有效期为自投标截止之日起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个日历日。</w:t>
      </w:r>
    </w:p>
    <w:p>
      <w:pPr>
        <w:pStyle w:val="15"/>
        <w:tabs>
          <w:tab w:val="left" w:pos="5580"/>
        </w:tabs>
        <w:spacing w:line="400" w:lineRule="exact"/>
        <w:ind w:left="1080" w:leftChars="257" w:hanging="5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（3）联合体中的大中型企业和其他自然人、法人或者非法人组织，与联合体中的小型、微型企业之间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存在、不存在）投资关系（如果是联合体的话）。</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（4）已详细审查全部招标文件，包括所有补充通知（如果有的话），完全理解并同意放弃对这方面有不明、误解和质疑的权力。</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（5）在规定的开标时间后，遵守招标文件中有关保证金的规定。</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（6）我方不是为本项目提供整体设计、规范编制或者项目管理、监理、检测等</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的供应商，我方不是采购代理机构的附属机构。</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（7）在领取中标通知书的同时按招标文件规定的形式，向贵方一次性支付中标服务费。</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（8）按照贵方可能要求，提供与其投标有关的一切数据或资料，完全理解贵方不一定接受最低价的投标或收到的任何投标。</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（9）按照招标文件的规定履行合同责任和义务。</w:t>
      </w:r>
    </w:p>
    <w:p>
      <w:pPr>
        <w:pStyle w:val="15"/>
        <w:tabs>
          <w:tab w:val="left" w:pos="5580"/>
        </w:tabs>
        <w:spacing w:line="400" w:lineRule="exact"/>
        <w:ind w:left="359" w:leftChars="68" w:hanging="216" w:hangingChars="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与本投标有关的一切正式往来信函请寄：</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法定代表人或其委托代理人（签/章）</w:t>
      </w:r>
      <w:r>
        <w:rPr>
          <w:rFonts w:hint="eastAsia" w:ascii="宋体" w:hAnsi="宋体" w:eastAsia="宋体" w:cs="宋体"/>
          <w:color w:val="auto"/>
          <w:sz w:val="24"/>
          <w:szCs w:val="24"/>
          <w:highlight w:val="none"/>
          <w:u w:val="single"/>
        </w:rPr>
        <w:t xml:space="preserve">       </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供应商开户银行（全称）</w:t>
      </w:r>
      <w:r>
        <w:rPr>
          <w:rFonts w:hint="eastAsia" w:ascii="宋体" w:hAnsi="宋体" w:eastAsia="宋体" w:cs="宋体"/>
          <w:color w:val="auto"/>
          <w:sz w:val="24"/>
          <w:szCs w:val="24"/>
          <w:highlight w:val="none"/>
          <w:u w:val="single"/>
        </w:rPr>
        <w:t xml:space="preserve">　　　　　　 </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供应商银行帐号</w:t>
      </w:r>
      <w:r>
        <w:rPr>
          <w:rFonts w:hint="eastAsia" w:ascii="宋体" w:hAnsi="宋体" w:eastAsia="宋体" w:cs="宋体"/>
          <w:color w:val="auto"/>
          <w:sz w:val="24"/>
          <w:szCs w:val="24"/>
          <w:highlight w:val="none"/>
          <w:u w:val="single"/>
        </w:rPr>
        <w:t>　　　　　　　　 　　</w:t>
      </w:r>
    </w:p>
    <w:p>
      <w:pPr>
        <w:pStyle w:val="15"/>
        <w:tabs>
          <w:tab w:val="left" w:pos="5580"/>
        </w:tabs>
        <w:spacing w:line="400" w:lineRule="exac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bookmarkStart w:id="1113" w:name="_Toc6738"/>
      <w:bookmarkStart w:id="1114" w:name="_Toc23473"/>
      <w:bookmarkStart w:id="1115" w:name="_Toc19819"/>
      <w:bookmarkStart w:id="1116" w:name="_Toc1266"/>
      <w:bookmarkStart w:id="1117" w:name="_Toc30947"/>
      <w:bookmarkStart w:id="1118" w:name="_Toc14219"/>
    </w:p>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bookmarkEnd w:id="1113"/>
    <w:bookmarkEnd w:id="1114"/>
    <w:bookmarkEnd w:id="1115"/>
    <w:bookmarkEnd w:id="1116"/>
    <w:bookmarkEnd w:id="1117"/>
    <w:bookmarkEnd w:id="1118"/>
    <w:p>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宋体" w:hAnsi="宋体" w:eastAsia="宋体" w:cs="宋体"/>
          <w:color w:val="auto"/>
          <w:sz w:val="28"/>
          <w:szCs w:val="28"/>
          <w:highlight w:val="none"/>
          <w:lang w:val="en-US" w:eastAsia="zh-CN"/>
        </w:rPr>
      </w:pPr>
      <w:bookmarkStart w:id="1119" w:name="_Toc24631"/>
      <w:bookmarkStart w:id="1120" w:name="_Toc25752"/>
      <w:bookmarkStart w:id="1121" w:name="_Toc515647820"/>
      <w:bookmarkStart w:id="1122" w:name="_Toc28959"/>
      <w:bookmarkStart w:id="1123" w:name="_Toc216582817"/>
      <w:bookmarkStart w:id="1124" w:name="_Toc22563"/>
      <w:r>
        <w:rPr>
          <w:rFonts w:hint="eastAsia" w:ascii="宋体" w:hAnsi="宋体" w:eastAsia="宋体" w:cs="宋体"/>
          <w:color w:val="auto"/>
          <w:sz w:val="28"/>
          <w:szCs w:val="28"/>
          <w:highlight w:val="none"/>
          <w:lang w:val="en-US" w:eastAsia="zh-CN"/>
        </w:rPr>
        <w:t>2.投标分项报价表</w:t>
      </w:r>
      <w:bookmarkEnd w:id="1119"/>
      <w:bookmarkEnd w:id="1120"/>
    </w:p>
    <w:p>
      <w:pPr>
        <w:pStyle w:val="15"/>
        <w:keepNext w:val="0"/>
        <w:keepLines w:val="0"/>
        <w:pageBreakBefore w:val="0"/>
        <w:widowControl w:val="0"/>
        <w:kinsoku/>
        <w:wordWrap/>
        <w:overflowPunct/>
        <w:topLinePunct w:val="0"/>
        <w:autoSpaceDE/>
        <w:autoSpaceDN/>
        <w:bidi w:val="0"/>
        <w:adjustRightInd/>
        <w:snapToGrid/>
        <w:spacing w:line="400" w:lineRule="exact"/>
        <w:ind w:left="540" w:leftChars="257" w:firstLine="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                      项目编号:                       　 　          报价单位：人民币</w:t>
      </w: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val="en-US" w:eastAsia="zh-CN"/>
        </w:rPr>
        <w:t xml:space="preserve">  </w:t>
      </w:r>
      <w:r>
        <w:rPr>
          <w:rFonts w:hint="eastAsia" w:hAnsi="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包号：</w:t>
      </w:r>
    </w:p>
    <w:tbl>
      <w:tblPr>
        <w:tblStyle w:val="27"/>
        <w:tblW w:w="56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226"/>
        <w:gridCol w:w="716"/>
        <w:gridCol w:w="948"/>
        <w:gridCol w:w="1504"/>
        <w:gridCol w:w="718"/>
        <w:gridCol w:w="708"/>
        <w:gridCol w:w="718"/>
        <w:gridCol w:w="710"/>
        <w:gridCol w:w="836"/>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71" w:type="pct"/>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序号</w:t>
            </w:r>
          </w:p>
        </w:tc>
        <w:tc>
          <w:tcPr>
            <w:tcW w:w="644"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名称</w:t>
            </w:r>
          </w:p>
        </w:tc>
        <w:tc>
          <w:tcPr>
            <w:tcW w:w="376"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498"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790" w:type="pct"/>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生产厂家名称</w:t>
            </w:r>
          </w:p>
        </w:tc>
        <w:tc>
          <w:tcPr>
            <w:tcW w:w="377"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372"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377"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373"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436"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合价</w:t>
            </w:r>
          </w:p>
        </w:tc>
        <w:tc>
          <w:tcPr>
            <w:tcW w:w="382"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44" w:type="pct"/>
            <w:noWrap w:val="0"/>
            <w:vAlign w:val="center"/>
          </w:tcPr>
          <w:p>
            <w:pPr>
              <w:spacing w:line="360" w:lineRule="auto"/>
              <w:jc w:val="center"/>
              <w:rPr>
                <w:rFonts w:hint="eastAsia" w:ascii="宋体" w:hAnsi="宋体" w:eastAsia="宋体" w:cs="宋体"/>
                <w:color w:val="auto"/>
                <w:sz w:val="24"/>
                <w:highlight w:val="none"/>
              </w:rPr>
            </w:pPr>
          </w:p>
        </w:tc>
        <w:tc>
          <w:tcPr>
            <w:tcW w:w="376" w:type="pct"/>
            <w:noWrap w:val="0"/>
            <w:vAlign w:val="center"/>
          </w:tcPr>
          <w:p>
            <w:pPr>
              <w:spacing w:line="360" w:lineRule="auto"/>
              <w:jc w:val="center"/>
              <w:rPr>
                <w:rFonts w:hint="eastAsia" w:ascii="宋体" w:hAnsi="宋体" w:eastAsia="宋体" w:cs="宋体"/>
                <w:color w:val="auto"/>
                <w:sz w:val="24"/>
                <w:highlight w:val="none"/>
              </w:rPr>
            </w:pPr>
          </w:p>
        </w:tc>
        <w:tc>
          <w:tcPr>
            <w:tcW w:w="498" w:type="pct"/>
            <w:noWrap w:val="0"/>
            <w:vAlign w:val="center"/>
          </w:tcPr>
          <w:p>
            <w:pPr>
              <w:spacing w:line="360" w:lineRule="auto"/>
              <w:jc w:val="center"/>
              <w:rPr>
                <w:rFonts w:hint="eastAsia" w:ascii="宋体" w:hAnsi="宋体" w:eastAsia="宋体" w:cs="宋体"/>
                <w:color w:val="auto"/>
                <w:sz w:val="24"/>
                <w:highlight w:val="none"/>
              </w:rPr>
            </w:pPr>
          </w:p>
        </w:tc>
        <w:tc>
          <w:tcPr>
            <w:tcW w:w="790"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2"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3" w:type="pct"/>
            <w:noWrap w:val="0"/>
            <w:vAlign w:val="center"/>
          </w:tcPr>
          <w:p>
            <w:pPr>
              <w:spacing w:line="360" w:lineRule="auto"/>
              <w:jc w:val="center"/>
              <w:rPr>
                <w:rFonts w:hint="eastAsia" w:ascii="宋体" w:hAnsi="宋体" w:eastAsia="宋体" w:cs="宋体"/>
                <w:color w:val="auto"/>
                <w:sz w:val="24"/>
                <w:highlight w:val="none"/>
              </w:rPr>
            </w:pPr>
          </w:p>
        </w:tc>
        <w:tc>
          <w:tcPr>
            <w:tcW w:w="436" w:type="pct"/>
            <w:noWrap w:val="0"/>
            <w:vAlign w:val="center"/>
          </w:tcPr>
          <w:p>
            <w:pPr>
              <w:spacing w:line="360" w:lineRule="auto"/>
              <w:jc w:val="center"/>
              <w:rPr>
                <w:rFonts w:hint="eastAsia" w:ascii="宋体" w:hAnsi="宋体" w:eastAsia="宋体" w:cs="宋体"/>
                <w:color w:val="auto"/>
                <w:sz w:val="24"/>
                <w:highlight w:val="none"/>
              </w:rPr>
            </w:pPr>
          </w:p>
        </w:tc>
        <w:tc>
          <w:tcPr>
            <w:tcW w:w="382" w:type="pct"/>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44" w:type="pct"/>
            <w:noWrap w:val="0"/>
            <w:vAlign w:val="center"/>
          </w:tcPr>
          <w:p>
            <w:pPr>
              <w:spacing w:line="360" w:lineRule="auto"/>
              <w:jc w:val="center"/>
              <w:rPr>
                <w:rFonts w:hint="eastAsia" w:ascii="宋体" w:hAnsi="宋体" w:eastAsia="宋体" w:cs="宋体"/>
                <w:color w:val="auto"/>
                <w:sz w:val="24"/>
                <w:highlight w:val="none"/>
              </w:rPr>
            </w:pPr>
          </w:p>
        </w:tc>
        <w:tc>
          <w:tcPr>
            <w:tcW w:w="376" w:type="pct"/>
            <w:noWrap w:val="0"/>
            <w:vAlign w:val="center"/>
          </w:tcPr>
          <w:p>
            <w:pPr>
              <w:spacing w:line="360" w:lineRule="auto"/>
              <w:jc w:val="center"/>
              <w:rPr>
                <w:rFonts w:hint="eastAsia" w:ascii="宋体" w:hAnsi="宋体" w:eastAsia="宋体" w:cs="宋体"/>
                <w:color w:val="auto"/>
                <w:sz w:val="24"/>
                <w:highlight w:val="none"/>
              </w:rPr>
            </w:pPr>
          </w:p>
        </w:tc>
        <w:tc>
          <w:tcPr>
            <w:tcW w:w="498" w:type="pct"/>
            <w:noWrap w:val="0"/>
            <w:vAlign w:val="center"/>
          </w:tcPr>
          <w:p>
            <w:pPr>
              <w:spacing w:line="360" w:lineRule="auto"/>
              <w:jc w:val="center"/>
              <w:rPr>
                <w:rFonts w:hint="eastAsia" w:ascii="宋体" w:hAnsi="宋体" w:eastAsia="宋体" w:cs="宋体"/>
                <w:color w:val="auto"/>
                <w:sz w:val="24"/>
                <w:highlight w:val="none"/>
              </w:rPr>
            </w:pPr>
          </w:p>
        </w:tc>
        <w:tc>
          <w:tcPr>
            <w:tcW w:w="790"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2"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3" w:type="pct"/>
            <w:noWrap w:val="0"/>
            <w:vAlign w:val="center"/>
          </w:tcPr>
          <w:p>
            <w:pPr>
              <w:spacing w:line="360" w:lineRule="auto"/>
              <w:jc w:val="center"/>
              <w:rPr>
                <w:rFonts w:hint="eastAsia" w:ascii="宋体" w:hAnsi="宋体" w:eastAsia="宋体" w:cs="宋体"/>
                <w:color w:val="auto"/>
                <w:sz w:val="24"/>
                <w:highlight w:val="none"/>
              </w:rPr>
            </w:pPr>
          </w:p>
        </w:tc>
        <w:tc>
          <w:tcPr>
            <w:tcW w:w="436" w:type="pct"/>
            <w:noWrap w:val="0"/>
            <w:vAlign w:val="center"/>
          </w:tcPr>
          <w:p>
            <w:pPr>
              <w:spacing w:line="360" w:lineRule="auto"/>
              <w:jc w:val="center"/>
              <w:rPr>
                <w:rFonts w:hint="eastAsia" w:ascii="宋体" w:hAnsi="宋体" w:eastAsia="宋体" w:cs="宋体"/>
                <w:color w:val="auto"/>
                <w:sz w:val="24"/>
                <w:highlight w:val="none"/>
              </w:rPr>
            </w:pPr>
          </w:p>
        </w:tc>
        <w:tc>
          <w:tcPr>
            <w:tcW w:w="382" w:type="pct"/>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44" w:type="pct"/>
            <w:noWrap w:val="0"/>
            <w:vAlign w:val="center"/>
          </w:tcPr>
          <w:p>
            <w:pPr>
              <w:spacing w:line="360" w:lineRule="auto"/>
              <w:jc w:val="center"/>
              <w:rPr>
                <w:rFonts w:hint="eastAsia" w:ascii="宋体" w:hAnsi="宋体" w:eastAsia="宋体" w:cs="宋体"/>
                <w:color w:val="auto"/>
                <w:sz w:val="24"/>
                <w:highlight w:val="none"/>
              </w:rPr>
            </w:pPr>
          </w:p>
        </w:tc>
        <w:tc>
          <w:tcPr>
            <w:tcW w:w="376" w:type="pct"/>
            <w:noWrap w:val="0"/>
            <w:vAlign w:val="center"/>
          </w:tcPr>
          <w:p>
            <w:pPr>
              <w:spacing w:line="360" w:lineRule="auto"/>
              <w:jc w:val="center"/>
              <w:rPr>
                <w:rFonts w:hint="eastAsia" w:ascii="宋体" w:hAnsi="宋体" w:eastAsia="宋体" w:cs="宋体"/>
                <w:color w:val="auto"/>
                <w:sz w:val="24"/>
                <w:highlight w:val="none"/>
              </w:rPr>
            </w:pPr>
          </w:p>
        </w:tc>
        <w:tc>
          <w:tcPr>
            <w:tcW w:w="498" w:type="pct"/>
            <w:noWrap w:val="0"/>
            <w:vAlign w:val="center"/>
          </w:tcPr>
          <w:p>
            <w:pPr>
              <w:spacing w:line="360" w:lineRule="auto"/>
              <w:jc w:val="center"/>
              <w:rPr>
                <w:rFonts w:hint="eastAsia" w:ascii="宋体" w:hAnsi="宋体" w:eastAsia="宋体" w:cs="宋体"/>
                <w:color w:val="auto"/>
                <w:sz w:val="24"/>
                <w:highlight w:val="none"/>
              </w:rPr>
            </w:pPr>
          </w:p>
        </w:tc>
        <w:tc>
          <w:tcPr>
            <w:tcW w:w="790"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2"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3" w:type="pct"/>
            <w:noWrap w:val="0"/>
            <w:vAlign w:val="center"/>
          </w:tcPr>
          <w:p>
            <w:pPr>
              <w:spacing w:line="360" w:lineRule="auto"/>
              <w:jc w:val="center"/>
              <w:rPr>
                <w:rFonts w:hint="eastAsia" w:ascii="宋体" w:hAnsi="宋体" w:eastAsia="宋体" w:cs="宋体"/>
                <w:color w:val="auto"/>
                <w:sz w:val="24"/>
                <w:highlight w:val="none"/>
              </w:rPr>
            </w:pPr>
          </w:p>
        </w:tc>
        <w:tc>
          <w:tcPr>
            <w:tcW w:w="436" w:type="pct"/>
            <w:noWrap w:val="0"/>
            <w:vAlign w:val="center"/>
          </w:tcPr>
          <w:p>
            <w:pPr>
              <w:spacing w:line="360" w:lineRule="auto"/>
              <w:jc w:val="center"/>
              <w:rPr>
                <w:rFonts w:hint="eastAsia" w:ascii="宋体" w:hAnsi="宋体" w:eastAsia="宋体" w:cs="宋体"/>
                <w:color w:val="auto"/>
                <w:sz w:val="24"/>
                <w:highlight w:val="none"/>
              </w:rPr>
            </w:pPr>
          </w:p>
        </w:tc>
        <w:tc>
          <w:tcPr>
            <w:tcW w:w="382" w:type="pct"/>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644" w:type="pct"/>
            <w:noWrap w:val="0"/>
            <w:vAlign w:val="center"/>
          </w:tcPr>
          <w:p>
            <w:pPr>
              <w:spacing w:line="360" w:lineRule="auto"/>
              <w:jc w:val="center"/>
              <w:rPr>
                <w:rFonts w:hint="eastAsia" w:ascii="宋体" w:hAnsi="宋体" w:eastAsia="宋体" w:cs="宋体"/>
                <w:color w:val="auto"/>
                <w:sz w:val="24"/>
                <w:highlight w:val="none"/>
              </w:rPr>
            </w:pPr>
          </w:p>
        </w:tc>
        <w:tc>
          <w:tcPr>
            <w:tcW w:w="376" w:type="pct"/>
            <w:noWrap w:val="0"/>
            <w:vAlign w:val="center"/>
          </w:tcPr>
          <w:p>
            <w:pPr>
              <w:spacing w:line="360" w:lineRule="auto"/>
              <w:jc w:val="center"/>
              <w:rPr>
                <w:rFonts w:hint="eastAsia" w:ascii="宋体" w:hAnsi="宋体" w:eastAsia="宋体" w:cs="宋体"/>
                <w:color w:val="auto"/>
                <w:sz w:val="24"/>
                <w:highlight w:val="none"/>
              </w:rPr>
            </w:pPr>
          </w:p>
        </w:tc>
        <w:tc>
          <w:tcPr>
            <w:tcW w:w="498" w:type="pct"/>
            <w:noWrap w:val="0"/>
            <w:vAlign w:val="center"/>
          </w:tcPr>
          <w:p>
            <w:pPr>
              <w:spacing w:line="360" w:lineRule="auto"/>
              <w:jc w:val="center"/>
              <w:rPr>
                <w:rFonts w:hint="eastAsia" w:ascii="宋体" w:hAnsi="宋体" w:eastAsia="宋体" w:cs="宋体"/>
                <w:color w:val="auto"/>
                <w:sz w:val="24"/>
                <w:highlight w:val="none"/>
              </w:rPr>
            </w:pPr>
          </w:p>
        </w:tc>
        <w:tc>
          <w:tcPr>
            <w:tcW w:w="790"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2"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3" w:type="pct"/>
            <w:noWrap w:val="0"/>
            <w:vAlign w:val="center"/>
          </w:tcPr>
          <w:p>
            <w:pPr>
              <w:spacing w:line="360" w:lineRule="auto"/>
              <w:jc w:val="center"/>
              <w:rPr>
                <w:rFonts w:hint="eastAsia" w:ascii="宋体" w:hAnsi="宋体" w:eastAsia="宋体" w:cs="宋体"/>
                <w:color w:val="auto"/>
                <w:sz w:val="24"/>
                <w:highlight w:val="none"/>
              </w:rPr>
            </w:pPr>
          </w:p>
        </w:tc>
        <w:tc>
          <w:tcPr>
            <w:tcW w:w="436" w:type="pct"/>
            <w:noWrap w:val="0"/>
            <w:vAlign w:val="center"/>
          </w:tcPr>
          <w:p>
            <w:pPr>
              <w:spacing w:line="360" w:lineRule="auto"/>
              <w:jc w:val="center"/>
              <w:rPr>
                <w:rFonts w:hint="eastAsia" w:ascii="宋体" w:hAnsi="宋体" w:eastAsia="宋体" w:cs="宋体"/>
                <w:color w:val="auto"/>
                <w:sz w:val="24"/>
                <w:highlight w:val="none"/>
              </w:rPr>
            </w:pPr>
          </w:p>
        </w:tc>
        <w:tc>
          <w:tcPr>
            <w:tcW w:w="382" w:type="pct"/>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644" w:type="pct"/>
            <w:noWrap w:val="0"/>
            <w:vAlign w:val="center"/>
          </w:tcPr>
          <w:p>
            <w:pPr>
              <w:spacing w:line="360" w:lineRule="auto"/>
              <w:jc w:val="center"/>
              <w:rPr>
                <w:rFonts w:hint="eastAsia" w:ascii="宋体" w:hAnsi="宋体" w:eastAsia="宋体" w:cs="宋体"/>
                <w:color w:val="auto"/>
                <w:sz w:val="24"/>
                <w:highlight w:val="none"/>
              </w:rPr>
            </w:pPr>
          </w:p>
        </w:tc>
        <w:tc>
          <w:tcPr>
            <w:tcW w:w="376" w:type="pct"/>
            <w:noWrap w:val="0"/>
            <w:vAlign w:val="center"/>
          </w:tcPr>
          <w:p>
            <w:pPr>
              <w:spacing w:line="360" w:lineRule="auto"/>
              <w:jc w:val="center"/>
              <w:rPr>
                <w:rFonts w:hint="eastAsia" w:ascii="宋体" w:hAnsi="宋体" w:eastAsia="宋体" w:cs="宋体"/>
                <w:color w:val="auto"/>
                <w:sz w:val="24"/>
                <w:highlight w:val="none"/>
              </w:rPr>
            </w:pPr>
          </w:p>
        </w:tc>
        <w:tc>
          <w:tcPr>
            <w:tcW w:w="498" w:type="pct"/>
            <w:noWrap w:val="0"/>
            <w:vAlign w:val="center"/>
          </w:tcPr>
          <w:p>
            <w:pPr>
              <w:spacing w:line="360" w:lineRule="auto"/>
              <w:jc w:val="center"/>
              <w:rPr>
                <w:rFonts w:hint="eastAsia" w:ascii="宋体" w:hAnsi="宋体" w:eastAsia="宋体" w:cs="宋体"/>
                <w:color w:val="auto"/>
                <w:sz w:val="24"/>
                <w:highlight w:val="none"/>
              </w:rPr>
            </w:pPr>
          </w:p>
        </w:tc>
        <w:tc>
          <w:tcPr>
            <w:tcW w:w="790"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2"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3" w:type="pct"/>
            <w:noWrap w:val="0"/>
            <w:vAlign w:val="center"/>
          </w:tcPr>
          <w:p>
            <w:pPr>
              <w:spacing w:line="360" w:lineRule="auto"/>
              <w:jc w:val="center"/>
              <w:rPr>
                <w:rFonts w:hint="eastAsia" w:ascii="宋体" w:hAnsi="宋体" w:eastAsia="宋体" w:cs="宋体"/>
                <w:color w:val="auto"/>
                <w:sz w:val="24"/>
                <w:highlight w:val="none"/>
              </w:rPr>
            </w:pPr>
          </w:p>
        </w:tc>
        <w:tc>
          <w:tcPr>
            <w:tcW w:w="436" w:type="pct"/>
            <w:noWrap w:val="0"/>
            <w:vAlign w:val="center"/>
          </w:tcPr>
          <w:p>
            <w:pPr>
              <w:spacing w:line="360" w:lineRule="auto"/>
              <w:jc w:val="center"/>
              <w:rPr>
                <w:rFonts w:hint="eastAsia" w:ascii="宋体" w:hAnsi="宋体" w:eastAsia="宋体" w:cs="宋体"/>
                <w:color w:val="auto"/>
                <w:sz w:val="24"/>
                <w:highlight w:val="none"/>
              </w:rPr>
            </w:pPr>
          </w:p>
        </w:tc>
        <w:tc>
          <w:tcPr>
            <w:tcW w:w="382" w:type="pct"/>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71"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644" w:type="pct"/>
            <w:noWrap w:val="0"/>
            <w:vAlign w:val="center"/>
          </w:tcPr>
          <w:p>
            <w:pPr>
              <w:spacing w:line="360" w:lineRule="auto"/>
              <w:jc w:val="center"/>
              <w:rPr>
                <w:rFonts w:hint="eastAsia" w:ascii="宋体" w:hAnsi="宋体" w:eastAsia="宋体" w:cs="宋体"/>
                <w:color w:val="auto"/>
                <w:sz w:val="24"/>
                <w:highlight w:val="none"/>
              </w:rPr>
            </w:pPr>
          </w:p>
        </w:tc>
        <w:tc>
          <w:tcPr>
            <w:tcW w:w="376" w:type="pct"/>
            <w:noWrap w:val="0"/>
            <w:vAlign w:val="center"/>
          </w:tcPr>
          <w:p>
            <w:pPr>
              <w:spacing w:line="360" w:lineRule="auto"/>
              <w:jc w:val="center"/>
              <w:rPr>
                <w:rFonts w:hint="eastAsia" w:ascii="宋体" w:hAnsi="宋体" w:eastAsia="宋体" w:cs="宋体"/>
                <w:color w:val="auto"/>
                <w:sz w:val="24"/>
                <w:highlight w:val="none"/>
              </w:rPr>
            </w:pPr>
          </w:p>
        </w:tc>
        <w:tc>
          <w:tcPr>
            <w:tcW w:w="498" w:type="pct"/>
            <w:noWrap w:val="0"/>
            <w:vAlign w:val="center"/>
          </w:tcPr>
          <w:p>
            <w:pPr>
              <w:spacing w:line="360" w:lineRule="auto"/>
              <w:jc w:val="center"/>
              <w:rPr>
                <w:rFonts w:hint="eastAsia" w:ascii="宋体" w:hAnsi="宋体" w:eastAsia="宋体" w:cs="宋体"/>
                <w:color w:val="auto"/>
                <w:sz w:val="24"/>
                <w:highlight w:val="none"/>
              </w:rPr>
            </w:pPr>
          </w:p>
        </w:tc>
        <w:tc>
          <w:tcPr>
            <w:tcW w:w="790"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2"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3" w:type="pct"/>
            <w:noWrap w:val="0"/>
            <w:vAlign w:val="center"/>
          </w:tcPr>
          <w:p>
            <w:pPr>
              <w:spacing w:line="360" w:lineRule="auto"/>
              <w:jc w:val="center"/>
              <w:rPr>
                <w:rFonts w:hint="eastAsia" w:ascii="宋体" w:hAnsi="宋体" w:eastAsia="宋体" w:cs="宋体"/>
                <w:color w:val="auto"/>
                <w:sz w:val="24"/>
                <w:highlight w:val="none"/>
              </w:rPr>
            </w:pPr>
          </w:p>
        </w:tc>
        <w:tc>
          <w:tcPr>
            <w:tcW w:w="436" w:type="pct"/>
            <w:noWrap w:val="0"/>
            <w:vAlign w:val="center"/>
          </w:tcPr>
          <w:p>
            <w:pPr>
              <w:spacing w:line="360" w:lineRule="auto"/>
              <w:jc w:val="center"/>
              <w:rPr>
                <w:rFonts w:hint="eastAsia" w:ascii="宋体" w:hAnsi="宋体" w:eastAsia="宋体" w:cs="宋体"/>
                <w:color w:val="auto"/>
                <w:sz w:val="24"/>
                <w:highlight w:val="none"/>
              </w:rPr>
            </w:pPr>
          </w:p>
        </w:tc>
        <w:tc>
          <w:tcPr>
            <w:tcW w:w="382" w:type="pct"/>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644" w:type="pct"/>
            <w:noWrap w:val="0"/>
            <w:vAlign w:val="center"/>
          </w:tcPr>
          <w:p>
            <w:pPr>
              <w:spacing w:line="360" w:lineRule="auto"/>
              <w:jc w:val="center"/>
              <w:rPr>
                <w:rFonts w:hint="eastAsia" w:ascii="宋体" w:hAnsi="宋体" w:eastAsia="宋体" w:cs="宋体"/>
                <w:color w:val="auto"/>
                <w:sz w:val="24"/>
                <w:highlight w:val="none"/>
              </w:rPr>
            </w:pPr>
          </w:p>
        </w:tc>
        <w:tc>
          <w:tcPr>
            <w:tcW w:w="376" w:type="pct"/>
            <w:noWrap w:val="0"/>
            <w:vAlign w:val="center"/>
          </w:tcPr>
          <w:p>
            <w:pPr>
              <w:spacing w:line="360" w:lineRule="auto"/>
              <w:jc w:val="center"/>
              <w:rPr>
                <w:rFonts w:hint="eastAsia" w:ascii="宋体" w:hAnsi="宋体" w:eastAsia="宋体" w:cs="宋体"/>
                <w:color w:val="auto"/>
                <w:sz w:val="24"/>
                <w:highlight w:val="none"/>
              </w:rPr>
            </w:pPr>
          </w:p>
        </w:tc>
        <w:tc>
          <w:tcPr>
            <w:tcW w:w="498" w:type="pct"/>
            <w:noWrap w:val="0"/>
            <w:vAlign w:val="center"/>
          </w:tcPr>
          <w:p>
            <w:pPr>
              <w:spacing w:line="360" w:lineRule="auto"/>
              <w:jc w:val="center"/>
              <w:rPr>
                <w:rFonts w:hint="eastAsia" w:ascii="宋体" w:hAnsi="宋体" w:eastAsia="宋体" w:cs="宋体"/>
                <w:color w:val="auto"/>
                <w:sz w:val="24"/>
                <w:highlight w:val="none"/>
              </w:rPr>
            </w:pPr>
          </w:p>
        </w:tc>
        <w:tc>
          <w:tcPr>
            <w:tcW w:w="790"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2"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3" w:type="pct"/>
            <w:noWrap w:val="0"/>
            <w:vAlign w:val="center"/>
          </w:tcPr>
          <w:p>
            <w:pPr>
              <w:spacing w:line="360" w:lineRule="auto"/>
              <w:jc w:val="center"/>
              <w:rPr>
                <w:rFonts w:hint="eastAsia" w:ascii="宋体" w:hAnsi="宋体" w:eastAsia="宋体" w:cs="宋体"/>
                <w:color w:val="auto"/>
                <w:sz w:val="24"/>
                <w:highlight w:val="none"/>
              </w:rPr>
            </w:pPr>
          </w:p>
        </w:tc>
        <w:tc>
          <w:tcPr>
            <w:tcW w:w="436" w:type="pct"/>
            <w:noWrap w:val="0"/>
            <w:vAlign w:val="center"/>
          </w:tcPr>
          <w:p>
            <w:pPr>
              <w:spacing w:line="360" w:lineRule="auto"/>
              <w:jc w:val="center"/>
              <w:rPr>
                <w:rFonts w:hint="eastAsia" w:ascii="宋体" w:hAnsi="宋体" w:eastAsia="宋体" w:cs="宋体"/>
                <w:color w:val="auto"/>
                <w:sz w:val="24"/>
                <w:highlight w:val="none"/>
              </w:rPr>
            </w:pPr>
          </w:p>
        </w:tc>
        <w:tc>
          <w:tcPr>
            <w:tcW w:w="382" w:type="pct"/>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644" w:type="pct"/>
            <w:noWrap w:val="0"/>
            <w:vAlign w:val="center"/>
          </w:tcPr>
          <w:p>
            <w:pPr>
              <w:spacing w:line="360" w:lineRule="auto"/>
              <w:jc w:val="center"/>
              <w:rPr>
                <w:rFonts w:hint="eastAsia" w:ascii="宋体" w:hAnsi="宋体" w:eastAsia="宋体" w:cs="宋体"/>
                <w:color w:val="auto"/>
                <w:sz w:val="24"/>
                <w:highlight w:val="none"/>
              </w:rPr>
            </w:pPr>
          </w:p>
        </w:tc>
        <w:tc>
          <w:tcPr>
            <w:tcW w:w="376" w:type="pct"/>
            <w:noWrap w:val="0"/>
            <w:vAlign w:val="center"/>
          </w:tcPr>
          <w:p>
            <w:pPr>
              <w:spacing w:line="360" w:lineRule="auto"/>
              <w:jc w:val="center"/>
              <w:rPr>
                <w:rFonts w:hint="eastAsia" w:ascii="宋体" w:hAnsi="宋体" w:eastAsia="宋体" w:cs="宋体"/>
                <w:color w:val="auto"/>
                <w:sz w:val="24"/>
                <w:highlight w:val="none"/>
              </w:rPr>
            </w:pPr>
          </w:p>
        </w:tc>
        <w:tc>
          <w:tcPr>
            <w:tcW w:w="498" w:type="pct"/>
            <w:noWrap w:val="0"/>
            <w:vAlign w:val="center"/>
          </w:tcPr>
          <w:p>
            <w:pPr>
              <w:spacing w:line="360" w:lineRule="auto"/>
              <w:jc w:val="center"/>
              <w:rPr>
                <w:rFonts w:hint="eastAsia" w:ascii="宋体" w:hAnsi="宋体" w:eastAsia="宋体" w:cs="宋体"/>
                <w:color w:val="auto"/>
                <w:sz w:val="24"/>
                <w:highlight w:val="none"/>
              </w:rPr>
            </w:pPr>
          </w:p>
        </w:tc>
        <w:tc>
          <w:tcPr>
            <w:tcW w:w="790"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2"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3" w:type="pct"/>
            <w:noWrap w:val="0"/>
            <w:vAlign w:val="center"/>
          </w:tcPr>
          <w:p>
            <w:pPr>
              <w:spacing w:line="360" w:lineRule="auto"/>
              <w:jc w:val="center"/>
              <w:rPr>
                <w:rFonts w:hint="eastAsia" w:ascii="宋体" w:hAnsi="宋体" w:eastAsia="宋体" w:cs="宋体"/>
                <w:color w:val="auto"/>
                <w:sz w:val="24"/>
                <w:highlight w:val="none"/>
              </w:rPr>
            </w:pPr>
          </w:p>
        </w:tc>
        <w:tc>
          <w:tcPr>
            <w:tcW w:w="436" w:type="pct"/>
            <w:noWrap w:val="0"/>
            <w:vAlign w:val="center"/>
          </w:tcPr>
          <w:p>
            <w:pPr>
              <w:spacing w:line="360" w:lineRule="auto"/>
              <w:jc w:val="center"/>
              <w:rPr>
                <w:rFonts w:hint="eastAsia" w:ascii="宋体" w:hAnsi="宋体" w:eastAsia="宋体" w:cs="宋体"/>
                <w:color w:val="auto"/>
                <w:sz w:val="24"/>
                <w:highlight w:val="none"/>
              </w:rPr>
            </w:pPr>
          </w:p>
        </w:tc>
        <w:tc>
          <w:tcPr>
            <w:tcW w:w="382" w:type="pct"/>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644" w:type="pct"/>
            <w:noWrap w:val="0"/>
            <w:vAlign w:val="center"/>
          </w:tcPr>
          <w:p>
            <w:pPr>
              <w:spacing w:line="360" w:lineRule="auto"/>
              <w:jc w:val="center"/>
              <w:rPr>
                <w:rFonts w:hint="eastAsia" w:ascii="宋体" w:hAnsi="宋体" w:eastAsia="宋体" w:cs="宋体"/>
                <w:color w:val="auto"/>
                <w:sz w:val="24"/>
                <w:highlight w:val="none"/>
              </w:rPr>
            </w:pPr>
          </w:p>
        </w:tc>
        <w:tc>
          <w:tcPr>
            <w:tcW w:w="376" w:type="pct"/>
            <w:noWrap w:val="0"/>
            <w:vAlign w:val="center"/>
          </w:tcPr>
          <w:p>
            <w:pPr>
              <w:spacing w:line="360" w:lineRule="auto"/>
              <w:jc w:val="center"/>
              <w:rPr>
                <w:rFonts w:hint="eastAsia" w:ascii="宋体" w:hAnsi="宋体" w:eastAsia="宋体" w:cs="宋体"/>
                <w:color w:val="auto"/>
                <w:sz w:val="24"/>
                <w:highlight w:val="none"/>
              </w:rPr>
            </w:pPr>
          </w:p>
        </w:tc>
        <w:tc>
          <w:tcPr>
            <w:tcW w:w="498" w:type="pct"/>
            <w:noWrap w:val="0"/>
            <w:vAlign w:val="center"/>
          </w:tcPr>
          <w:p>
            <w:pPr>
              <w:spacing w:line="360" w:lineRule="auto"/>
              <w:jc w:val="center"/>
              <w:rPr>
                <w:rFonts w:hint="eastAsia" w:ascii="宋体" w:hAnsi="宋体" w:eastAsia="宋体" w:cs="宋体"/>
                <w:color w:val="auto"/>
                <w:sz w:val="24"/>
                <w:highlight w:val="none"/>
              </w:rPr>
            </w:pPr>
          </w:p>
        </w:tc>
        <w:tc>
          <w:tcPr>
            <w:tcW w:w="790"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2"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3" w:type="pct"/>
            <w:noWrap w:val="0"/>
            <w:vAlign w:val="center"/>
          </w:tcPr>
          <w:p>
            <w:pPr>
              <w:spacing w:line="360" w:lineRule="auto"/>
              <w:jc w:val="center"/>
              <w:rPr>
                <w:rFonts w:hint="eastAsia" w:ascii="宋体" w:hAnsi="宋体" w:eastAsia="宋体" w:cs="宋体"/>
                <w:color w:val="auto"/>
                <w:sz w:val="24"/>
                <w:highlight w:val="none"/>
              </w:rPr>
            </w:pPr>
          </w:p>
        </w:tc>
        <w:tc>
          <w:tcPr>
            <w:tcW w:w="436" w:type="pct"/>
            <w:noWrap w:val="0"/>
            <w:vAlign w:val="center"/>
          </w:tcPr>
          <w:p>
            <w:pPr>
              <w:spacing w:line="360" w:lineRule="auto"/>
              <w:jc w:val="center"/>
              <w:rPr>
                <w:rFonts w:hint="eastAsia" w:ascii="宋体" w:hAnsi="宋体" w:eastAsia="宋体" w:cs="宋体"/>
                <w:color w:val="auto"/>
                <w:sz w:val="24"/>
                <w:highlight w:val="none"/>
              </w:rPr>
            </w:pPr>
          </w:p>
        </w:tc>
        <w:tc>
          <w:tcPr>
            <w:tcW w:w="382" w:type="pct"/>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644" w:type="pct"/>
            <w:noWrap w:val="0"/>
            <w:vAlign w:val="center"/>
          </w:tcPr>
          <w:p>
            <w:pPr>
              <w:spacing w:line="360" w:lineRule="auto"/>
              <w:jc w:val="center"/>
              <w:rPr>
                <w:rFonts w:hint="eastAsia" w:ascii="宋体" w:hAnsi="宋体" w:eastAsia="宋体" w:cs="宋体"/>
                <w:color w:val="auto"/>
                <w:sz w:val="24"/>
                <w:highlight w:val="none"/>
              </w:rPr>
            </w:pPr>
          </w:p>
        </w:tc>
        <w:tc>
          <w:tcPr>
            <w:tcW w:w="376" w:type="pct"/>
            <w:noWrap w:val="0"/>
            <w:vAlign w:val="center"/>
          </w:tcPr>
          <w:p>
            <w:pPr>
              <w:spacing w:line="360" w:lineRule="auto"/>
              <w:jc w:val="center"/>
              <w:rPr>
                <w:rFonts w:hint="eastAsia" w:ascii="宋体" w:hAnsi="宋体" w:eastAsia="宋体" w:cs="宋体"/>
                <w:color w:val="auto"/>
                <w:sz w:val="24"/>
                <w:highlight w:val="none"/>
              </w:rPr>
            </w:pPr>
          </w:p>
        </w:tc>
        <w:tc>
          <w:tcPr>
            <w:tcW w:w="498" w:type="pct"/>
            <w:noWrap w:val="0"/>
            <w:vAlign w:val="center"/>
          </w:tcPr>
          <w:p>
            <w:pPr>
              <w:spacing w:line="360" w:lineRule="auto"/>
              <w:jc w:val="center"/>
              <w:rPr>
                <w:rFonts w:hint="eastAsia" w:ascii="宋体" w:hAnsi="宋体" w:eastAsia="宋体" w:cs="宋体"/>
                <w:color w:val="auto"/>
                <w:sz w:val="24"/>
                <w:highlight w:val="none"/>
              </w:rPr>
            </w:pPr>
          </w:p>
        </w:tc>
        <w:tc>
          <w:tcPr>
            <w:tcW w:w="790"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2"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3" w:type="pct"/>
            <w:noWrap w:val="0"/>
            <w:vAlign w:val="center"/>
          </w:tcPr>
          <w:p>
            <w:pPr>
              <w:spacing w:line="360" w:lineRule="auto"/>
              <w:jc w:val="center"/>
              <w:rPr>
                <w:rFonts w:hint="eastAsia" w:ascii="宋体" w:hAnsi="宋体" w:eastAsia="宋体" w:cs="宋体"/>
                <w:color w:val="auto"/>
                <w:sz w:val="24"/>
                <w:highlight w:val="none"/>
              </w:rPr>
            </w:pPr>
          </w:p>
        </w:tc>
        <w:tc>
          <w:tcPr>
            <w:tcW w:w="436" w:type="pct"/>
            <w:noWrap w:val="0"/>
            <w:vAlign w:val="center"/>
          </w:tcPr>
          <w:p>
            <w:pPr>
              <w:spacing w:line="360" w:lineRule="auto"/>
              <w:jc w:val="center"/>
              <w:rPr>
                <w:rFonts w:hint="eastAsia" w:ascii="宋体" w:hAnsi="宋体" w:eastAsia="宋体" w:cs="宋体"/>
                <w:color w:val="auto"/>
                <w:sz w:val="24"/>
                <w:highlight w:val="none"/>
              </w:rPr>
            </w:pPr>
          </w:p>
        </w:tc>
        <w:tc>
          <w:tcPr>
            <w:tcW w:w="382" w:type="pct"/>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644" w:type="pct"/>
            <w:noWrap w:val="0"/>
            <w:vAlign w:val="center"/>
          </w:tcPr>
          <w:p>
            <w:pPr>
              <w:spacing w:line="360" w:lineRule="auto"/>
              <w:jc w:val="center"/>
              <w:rPr>
                <w:rFonts w:hint="eastAsia" w:ascii="宋体" w:hAnsi="宋体" w:eastAsia="宋体" w:cs="宋体"/>
                <w:color w:val="auto"/>
                <w:sz w:val="24"/>
                <w:highlight w:val="none"/>
              </w:rPr>
            </w:pPr>
          </w:p>
        </w:tc>
        <w:tc>
          <w:tcPr>
            <w:tcW w:w="376" w:type="pct"/>
            <w:noWrap w:val="0"/>
            <w:vAlign w:val="center"/>
          </w:tcPr>
          <w:p>
            <w:pPr>
              <w:spacing w:line="360" w:lineRule="auto"/>
              <w:jc w:val="center"/>
              <w:rPr>
                <w:rFonts w:hint="eastAsia" w:ascii="宋体" w:hAnsi="宋体" w:eastAsia="宋体" w:cs="宋体"/>
                <w:color w:val="auto"/>
                <w:sz w:val="24"/>
                <w:highlight w:val="none"/>
              </w:rPr>
            </w:pPr>
          </w:p>
        </w:tc>
        <w:tc>
          <w:tcPr>
            <w:tcW w:w="498" w:type="pct"/>
            <w:noWrap w:val="0"/>
            <w:vAlign w:val="center"/>
          </w:tcPr>
          <w:p>
            <w:pPr>
              <w:spacing w:line="360" w:lineRule="auto"/>
              <w:jc w:val="center"/>
              <w:rPr>
                <w:rFonts w:hint="eastAsia" w:ascii="宋体" w:hAnsi="宋体" w:eastAsia="宋体" w:cs="宋体"/>
                <w:color w:val="auto"/>
                <w:sz w:val="24"/>
                <w:highlight w:val="none"/>
              </w:rPr>
            </w:pPr>
          </w:p>
        </w:tc>
        <w:tc>
          <w:tcPr>
            <w:tcW w:w="790"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2"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3" w:type="pct"/>
            <w:noWrap w:val="0"/>
            <w:vAlign w:val="center"/>
          </w:tcPr>
          <w:p>
            <w:pPr>
              <w:spacing w:line="360" w:lineRule="auto"/>
              <w:jc w:val="center"/>
              <w:rPr>
                <w:rFonts w:hint="eastAsia" w:ascii="宋体" w:hAnsi="宋体" w:eastAsia="宋体" w:cs="宋体"/>
                <w:color w:val="auto"/>
                <w:sz w:val="24"/>
                <w:highlight w:val="none"/>
              </w:rPr>
            </w:pPr>
          </w:p>
        </w:tc>
        <w:tc>
          <w:tcPr>
            <w:tcW w:w="436" w:type="pct"/>
            <w:noWrap w:val="0"/>
            <w:vAlign w:val="center"/>
          </w:tcPr>
          <w:p>
            <w:pPr>
              <w:spacing w:line="360" w:lineRule="auto"/>
              <w:jc w:val="center"/>
              <w:rPr>
                <w:rFonts w:hint="eastAsia" w:ascii="宋体" w:hAnsi="宋体" w:eastAsia="宋体" w:cs="宋体"/>
                <w:color w:val="auto"/>
                <w:sz w:val="24"/>
                <w:highlight w:val="none"/>
              </w:rPr>
            </w:pPr>
          </w:p>
        </w:tc>
        <w:tc>
          <w:tcPr>
            <w:tcW w:w="382" w:type="pct"/>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644" w:type="pct"/>
            <w:noWrap w:val="0"/>
            <w:vAlign w:val="center"/>
          </w:tcPr>
          <w:p>
            <w:pPr>
              <w:spacing w:line="360" w:lineRule="auto"/>
              <w:jc w:val="center"/>
              <w:rPr>
                <w:rFonts w:hint="eastAsia" w:ascii="宋体" w:hAnsi="宋体" w:eastAsia="宋体" w:cs="宋体"/>
                <w:color w:val="auto"/>
                <w:sz w:val="24"/>
                <w:highlight w:val="none"/>
              </w:rPr>
            </w:pPr>
          </w:p>
        </w:tc>
        <w:tc>
          <w:tcPr>
            <w:tcW w:w="376" w:type="pct"/>
            <w:noWrap w:val="0"/>
            <w:vAlign w:val="center"/>
          </w:tcPr>
          <w:p>
            <w:pPr>
              <w:spacing w:line="360" w:lineRule="auto"/>
              <w:jc w:val="center"/>
              <w:rPr>
                <w:rFonts w:hint="eastAsia" w:ascii="宋体" w:hAnsi="宋体" w:eastAsia="宋体" w:cs="宋体"/>
                <w:color w:val="auto"/>
                <w:sz w:val="24"/>
                <w:highlight w:val="none"/>
              </w:rPr>
            </w:pPr>
          </w:p>
        </w:tc>
        <w:tc>
          <w:tcPr>
            <w:tcW w:w="498" w:type="pct"/>
            <w:noWrap w:val="0"/>
            <w:vAlign w:val="center"/>
          </w:tcPr>
          <w:p>
            <w:pPr>
              <w:spacing w:line="360" w:lineRule="auto"/>
              <w:jc w:val="center"/>
              <w:rPr>
                <w:rFonts w:hint="eastAsia" w:ascii="宋体" w:hAnsi="宋体" w:eastAsia="宋体" w:cs="宋体"/>
                <w:color w:val="auto"/>
                <w:sz w:val="24"/>
                <w:highlight w:val="none"/>
              </w:rPr>
            </w:pPr>
          </w:p>
        </w:tc>
        <w:tc>
          <w:tcPr>
            <w:tcW w:w="790"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2" w:type="pct"/>
            <w:noWrap w:val="0"/>
            <w:vAlign w:val="center"/>
          </w:tcPr>
          <w:p>
            <w:pPr>
              <w:spacing w:line="360" w:lineRule="auto"/>
              <w:jc w:val="center"/>
              <w:rPr>
                <w:rFonts w:hint="eastAsia" w:ascii="宋体" w:hAnsi="宋体" w:eastAsia="宋体" w:cs="宋体"/>
                <w:color w:val="auto"/>
                <w:sz w:val="24"/>
                <w:highlight w:val="none"/>
              </w:rPr>
            </w:pPr>
          </w:p>
        </w:tc>
        <w:tc>
          <w:tcPr>
            <w:tcW w:w="377" w:type="pct"/>
            <w:noWrap w:val="0"/>
            <w:vAlign w:val="center"/>
          </w:tcPr>
          <w:p>
            <w:pPr>
              <w:spacing w:line="360" w:lineRule="auto"/>
              <w:jc w:val="center"/>
              <w:rPr>
                <w:rFonts w:hint="eastAsia" w:ascii="宋体" w:hAnsi="宋体" w:eastAsia="宋体" w:cs="宋体"/>
                <w:color w:val="auto"/>
                <w:sz w:val="24"/>
                <w:highlight w:val="none"/>
              </w:rPr>
            </w:pPr>
          </w:p>
        </w:tc>
        <w:tc>
          <w:tcPr>
            <w:tcW w:w="373" w:type="pct"/>
            <w:noWrap w:val="0"/>
            <w:vAlign w:val="center"/>
          </w:tcPr>
          <w:p>
            <w:pPr>
              <w:spacing w:line="360" w:lineRule="auto"/>
              <w:jc w:val="center"/>
              <w:rPr>
                <w:rFonts w:hint="eastAsia" w:ascii="宋体" w:hAnsi="宋体" w:eastAsia="宋体" w:cs="宋体"/>
                <w:color w:val="auto"/>
                <w:sz w:val="24"/>
                <w:highlight w:val="none"/>
              </w:rPr>
            </w:pPr>
          </w:p>
        </w:tc>
        <w:tc>
          <w:tcPr>
            <w:tcW w:w="436" w:type="pct"/>
            <w:noWrap w:val="0"/>
            <w:vAlign w:val="center"/>
          </w:tcPr>
          <w:p>
            <w:pPr>
              <w:spacing w:line="360" w:lineRule="auto"/>
              <w:jc w:val="center"/>
              <w:rPr>
                <w:rFonts w:hint="eastAsia" w:ascii="宋体" w:hAnsi="宋体" w:eastAsia="宋体" w:cs="宋体"/>
                <w:color w:val="auto"/>
                <w:sz w:val="24"/>
                <w:highlight w:val="none"/>
              </w:rPr>
            </w:pPr>
          </w:p>
        </w:tc>
        <w:tc>
          <w:tcPr>
            <w:tcW w:w="382" w:type="pct"/>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617" w:type="pct"/>
            <w:gridSpan w:val="10"/>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总价（元）</w:t>
            </w:r>
          </w:p>
        </w:tc>
        <w:tc>
          <w:tcPr>
            <w:tcW w:w="382" w:type="pct"/>
            <w:noWrap w:val="0"/>
            <w:vAlign w:val="center"/>
          </w:tcPr>
          <w:p>
            <w:pPr>
              <w:spacing w:line="360" w:lineRule="auto"/>
              <w:rPr>
                <w:rFonts w:hint="eastAsia" w:ascii="宋体" w:hAnsi="宋体" w:eastAsia="宋体" w:cs="宋体"/>
                <w:color w:val="auto"/>
                <w:sz w:val="24"/>
                <w:highlight w:val="none"/>
              </w:rPr>
            </w:pPr>
          </w:p>
        </w:tc>
      </w:tr>
    </w:tbl>
    <w:p>
      <w:pPr>
        <w:pStyle w:val="15"/>
        <w:spacing w:line="400" w:lineRule="exact"/>
        <w:ind w:left="1080" w:leftChars="257" w:hanging="540"/>
        <w:rPr>
          <w:rFonts w:hint="eastAsia" w:ascii="宋体" w:hAnsi="宋体" w:eastAsia="宋体" w:cs="宋体"/>
          <w:color w:val="auto"/>
          <w:sz w:val="24"/>
          <w:szCs w:val="24"/>
          <w:highlight w:val="none"/>
        </w:rPr>
      </w:pPr>
    </w:p>
    <w:p>
      <w:pPr>
        <w:pStyle w:val="7"/>
        <w:spacing w:line="360" w:lineRule="exact"/>
        <w:ind w:firstLine="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法定代表人或委托代理</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p>
    <w:p>
      <w:pPr>
        <w:pStyle w:val="15"/>
        <w:spacing w:line="400" w:lineRule="exact"/>
        <w:ind w:left="1080" w:leftChars="257" w:hanging="540"/>
        <w:rPr>
          <w:rFonts w:hint="eastAsia" w:ascii="宋体" w:hAnsi="宋体" w:eastAsia="宋体" w:cs="宋体"/>
          <w:color w:val="auto"/>
          <w:sz w:val="24"/>
          <w:szCs w:val="24"/>
          <w:highlight w:val="none"/>
        </w:rPr>
      </w:pPr>
    </w:p>
    <w:p>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注:1.如果供应商认为需要，每种</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填写一份该表。</w:t>
      </w:r>
    </w:p>
    <w:p>
      <w:pPr>
        <w:pStyle w:val="15"/>
        <w:spacing w:line="400" w:lineRule="exact"/>
        <w:ind w:left="1079" w:leftChars="428" w:hanging="180" w:hangingChars="7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2.如果按单价计算的结果与总价不一致,以单价为准修正总价。</w:t>
      </w:r>
    </w:p>
    <w:p>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3.如果不提供详细分项报价将视为没有实质性响应招标文件。</w:t>
      </w:r>
    </w:p>
    <w:p>
      <w:pPr>
        <w:pStyle w:val="15"/>
        <w:spacing w:line="400" w:lineRule="exact"/>
        <w:ind w:left="1080" w:leftChars="257" w:hanging="5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4.上述各项的详细分项报价，应另页描述。</w:t>
      </w:r>
    </w:p>
    <w:p>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5.如果开标一览表（报价表）内容与投标文件中明细表内容不一致的，以开标一览表（报价表）内容为准。</w:t>
      </w:r>
    </w:p>
    <w:p>
      <w:pPr>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9"/>
        <w:rPr>
          <w:rFonts w:hint="eastAsia" w:ascii="宋体" w:hAnsi="宋体" w:eastAsia="宋体" w:cs="宋体"/>
          <w:color w:val="auto"/>
          <w:sz w:val="28"/>
          <w:szCs w:val="28"/>
          <w:highlight w:val="none"/>
          <w:lang w:val="en-US" w:eastAsia="zh-CN"/>
        </w:rPr>
      </w:pPr>
      <w:bookmarkStart w:id="1125" w:name="_Toc16798"/>
      <w:bookmarkStart w:id="1126" w:name="_Toc27975"/>
      <w:bookmarkStart w:id="1127" w:name="_Toc13950"/>
      <w:bookmarkStart w:id="1128" w:name="_Toc29174"/>
      <w:bookmarkStart w:id="1129" w:name="_Toc27721"/>
      <w:bookmarkStart w:id="1130" w:name="_Toc28199"/>
      <w:bookmarkStart w:id="1131" w:name="_Toc6480"/>
      <w:bookmarkStart w:id="1132" w:name="_Toc10486"/>
      <w:bookmarkStart w:id="1133" w:name="_Toc30209"/>
      <w:bookmarkStart w:id="1134" w:name="_Toc3096"/>
      <w:bookmarkStart w:id="1135" w:name="_Toc26185"/>
      <w:bookmarkStart w:id="1136" w:name="_Toc32439"/>
      <w:r>
        <w:rPr>
          <w:rFonts w:hint="eastAsia" w:ascii="宋体" w:hAnsi="宋体" w:eastAsia="宋体" w:cs="宋体"/>
          <w:color w:val="auto"/>
          <w:sz w:val="28"/>
          <w:szCs w:val="28"/>
          <w:highlight w:val="none"/>
          <w:lang w:val="en-US" w:eastAsia="zh-CN"/>
        </w:rPr>
        <w:br w:type="page"/>
      </w:r>
      <w:r>
        <w:rPr>
          <w:rFonts w:hint="eastAsia" w:ascii="宋体" w:hAnsi="宋体" w:eastAsia="宋体" w:cs="宋体"/>
          <w:color w:val="auto"/>
          <w:sz w:val="28"/>
          <w:szCs w:val="28"/>
          <w:highlight w:val="none"/>
          <w:lang w:val="en-US" w:eastAsia="zh-CN"/>
        </w:rPr>
        <w:t>备品备件设备分项报价表</w:t>
      </w:r>
    </w:p>
    <w:p>
      <w:pPr>
        <w:rPr>
          <w:rFonts w:hint="eastAsia" w:ascii="宋体" w:hAnsi="宋体" w:eastAsia="宋体" w:cs="宋体"/>
          <w:color w:val="auto"/>
          <w:sz w:val="28"/>
          <w:szCs w:val="28"/>
          <w:highlight w:val="none"/>
          <w:lang w:val="en-US" w:eastAsia="zh-CN"/>
        </w:rPr>
      </w:pPr>
    </w:p>
    <w:p>
      <w:pPr>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9"/>
        <w:rPr>
          <w:rFonts w:hint="eastAsia" w:ascii="宋体" w:hAnsi="宋体" w:eastAsia="宋体" w:cs="宋体"/>
          <w:color w:val="auto"/>
          <w:sz w:val="28"/>
          <w:szCs w:val="28"/>
          <w:highlight w:val="none"/>
          <w:lang w:val="en-US" w:eastAsia="zh-CN"/>
        </w:rPr>
      </w:pPr>
      <w:bookmarkStart w:id="1137" w:name="_Toc20808"/>
      <w:r>
        <w:rPr>
          <w:rFonts w:hint="eastAsia" w:ascii="宋体" w:hAnsi="宋体" w:cs="宋体"/>
          <w:color w:val="auto"/>
          <w:sz w:val="28"/>
          <w:szCs w:val="28"/>
          <w:highlight w:val="none"/>
          <w:lang w:val="en-US" w:eastAsia="zh-CN"/>
        </w:rPr>
        <w:t xml:space="preserve">     </w:t>
      </w:r>
      <w:bookmarkEnd w:id="1125"/>
      <w:bookmarkEnd w:id="1126"/>
      <w:bookmarkEnd w:id="1127"/>
      <w:bookmarkEnd w:id="1128"/>
      <w:bookmarkEnd w:id="1129"/>
      <w:bookmarkEnd w:id="1130"/>
      <w:bookmarkEnd w:id="1131"/>
      <w:bookmarkEnd w:id="1132"/>
      <w:bookmarkEnd w:id="1133"/>
      <w:bookmarkEnd w:id="1137"/>
    </w:p>
    <w:tbl>
      <w:tblPr>
        <w:tblStyle w:val="27"/>
        <w:tblW w:w="54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052"/>
        <w:gridCol w:w="893"/>
        <w:gridCol w:w="630"/>
        <w:gridCol w:w="893"/>
        <w:gridCol w:w="1033"/>
        <w:gridCol w:w="630"/>
        <w:gridCol w:w="630"/>
        <w:gridCol w:w="630"/>
        <w:gridCol w:w="630"/>
        <w:gridCol w:w="643"/>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6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55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w w:val="100"/>
                <w:sz w:val="24"/>
                <w:szCs w:val="24"/>
                <w:highlight w:val="none"/>
                <w:lang w:val="en-US" w:eastAsia="zh-CN"/>
              </w:rPr>
              <w:t>制造商名称</w:t>
            </w: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345"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c>
          <w:tcPr>
            <w:tcW w:w="346"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restar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质保期外设备报价</w:t>
            </w:r>
          </w:p>
        </w:tc>
        <w:tc>
          <w:tcPr>
            <w:tcW w:w="56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5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5"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6"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6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5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5"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6"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6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5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5"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6"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6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5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5"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6"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4461" w:type="pct"/>
            <w:gridSpan w:val="11"/>
            <w:noWrap w:val="0"/>
            <w:vAlign w:val="center"/>
          </w:tcPr>
          <w:p>
            <w:pPr>
              <w:shd w:val="clear" w:color="auto" w:fill="auto"/>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总价（质保期外设备报价）：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8" w:type="pct"/>
            <w:vMerge w:val="restar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质保期内免费设备</w:t>
            </w:r>
          </w:p>
        </w:tc>
        <w:tc>
          <w:tcPr>
            <w:tcW w:w="56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5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5"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6"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6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5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5"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6"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6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5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5"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6"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38" w:type="pct"/>
            <w:vMerge w:val="continue"/>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6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479"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554"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38"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5"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c>
          <w:tcPr>
            <w:tcW w:w="346" w:type="pct"/>
            <w:noWrap w:val="0"/>
            <w:vAlign w:val="center"/>
          </w:tcPr>
          <w:p>
            <w:pPr>
              <w:shd w:val="clear" w:color="auto" w:fill="auto"/>
              <w:spacing w:line="360" w:lineRule="auto"/>
              <w:jc w:val="center"/>
              <w:outlineLvl w:val="9"/>
              <w:rPr>
                <w:rFonts w:hint="eastAsia" w:ascii="宋体" w:hAnsi="宋体" w:eastAsia="宋体" w:cs="宋体"/>
                <w:color w:val="auto"/>
                <w:sz w:val="24"/>
                <w:szCs w:val="24"/>
                <w:highlight w:val="none"/>
              </w:rPr>
            </w:pPr>
          </w:p>
        </w:tc>
      </w:tr>
    </w:tbl>
    <w:p>
      <w:pPr>
        <w:shd w:val="clear" w:color="auto" w:fill="auto"/>
        <w:spacing w:line="360" w:lineRule="exact"/>
        <w:outlineLvl w:val="9"/>
        <w:rPr>
          <w:rFonts w:hint="eastAsia" w:ascii="宋体" w:hAnsi="宋体" w:eastAsia="宋体" w:cs="宋体"/>
          <w:color w:val="auto"/>
          <w:sz w:val="24"/>
          <w:szCs w:val="24"/>
          <w:highlight w:val="none"/>
        </w:rPr>
      </w:pPr>
    </w:p>
    <w:p>
      <w:pPr>
        <w:pStyle w:val="7"/>
        <w:spacing w:line="360" w:lineRule="exact"/>
        <w:ind w:firstLine="0"/>
        <w:outlineLvl w:val="9"/>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pPr>
        <w:pStyle w:val="7"/>
        <w:spacing w:line="360" w:lineRule="exact"/>
        <w:ind w:firstLine="0"/>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法定代表人或委托代理</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pPr>
        <w:pStyle w:val="7"/>
        <w:spacing w:line="360" w:lineRule="exact"/>
        <w:ind w:firstLine="0"/>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日期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w:t>
      </w:r>
    </w:p>
    <w:p>
      <w:pPr>
        <w:pStyle w:val="7"/>
        <w:spacing w:line="360" w:lineRule="exact"/>
        <w:ind w:firstLine="0"/>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p>
    <w:p>
      <w:pPr>
        <w:keepNext w:val="0"/>
        <w:keepLines w:val="0"/>
        <w:pageBreakBefore w:val="0"/>
        <w:widowControl w:val="0"/>
        <w:shd w:val="clear" w:color="auto" w:fill="auto"/>
        <w:kinsoku/>
        <w:wordWrap/>
        <w:overflowPunct/>
        <w:topLinePunct w:val="0"/>
        <w:bidi w:val="0"/>
        <w:snapToGrid/>
        <w:spacing w:line="32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表格长度方向可做扩展根据需求可补充相关资料，但不可减少。</w:t>
      </w:r>
    </w:p>
    <w:p>
      <w:pPr>
        <w:keepNext w:val="0"/>
        <w:keepLines w:val="0"/>
        <w:pageBreakBefore w:val="0"/>
        <w:widowControl w:val="0"/>
        <w:shd w:val="clear" w:color="auto" w:fill="auto"/>
        <w:kinsoku/>
        <w:wordWrap/>
        <w:overflowPunct/>
        <w:topLinePunct w:val="0"/>
        <w:bidi w:val="0"/>
        <w:snapToGrid/>
        <w:spacing w:line="32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2、备品备件设备分项报价仅供</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 xml:space="preserve">在设备发生故障情况下采用此报价，填写此表时请谨慎。备品备件分为两部分（1、质保期内免费的备品备件、2、质保期外备品备件报价）                 </w:t>
      </w:r>
    </w:p>
    <w:p>
      <w:pPr>
        <w:pStyle w:val="7"/>
        <w:keepNext w:val="0"/>
        <w:keepLines w:val="0"/>
        <w:pageBreakBefore w:val="0"/>
        <w:widowControl w:val="0"/>
        <w:shd w:val="clear" w:color="auto" w:fill="auto"/>
        <w:kinsoku/>
        <w:wordWrap/>
        <w:overflowPunct/>
        <w:topLinePunct w:val="0"/>
        <w:bidi w:val="0"/>
        <w:snapToGrid/>
        <w:spacing w:line="320" w:lineRule="exact"/>
        <w:ind w:firstLine="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3、备品备件设备分项报价不合计于</w:t>
      </w:r>
      <w:r>
        <w:rPr>
          <w:rFonts w:hint="eastAsia" w:ascii="宋体" w:hAnsi="宋体" w:eastAsia="宋体" w:cs="宋体"/>
          <w:color w:val="auto"/>
          <w:kern w:val="2"/>
          <w:sz w:val="24"/>
          <w:szCs w:val="24"/>
          <w:highlight w:val="none"/>
          <w:lang w:eastAsia="zh-CN"/>
        </w:rPr>
        <w:t>投标报价表</w:t>
      </w:r>
      <w:r>
        <w:rPr>
          <w:rFonts w:hint="eastAsia" w:ascii="宋体" w:hAnsi="宋体" w:eastAsia="宋体" w:cs="宋体"/>
          <w:color w:val="auto"/>
          <w:kern w:val="2"/>
          <w:sz w:val="24"/>
          <w:szCs w:val="24"/>
          <w:highlight w:val="none"/>
        </w:rPr>
        <w:t>总价，单独名列即可。</w:t>
      </w:r>
    </w:p>
    <w:p>
      <w:pPr>
        <w:pStyle w:val="7"/>
        <w:keepNext w:val="0"/>
        <w:keepLines w:val="0"/>
        <w:pageBreakBefore w:val="0"/>
        <w:widowControl w:val="0"/>
        <w:shd w:val="clear" w:color="auto" w:fill="auto"/>
        <w:kinsoku/>
        <w:wordWrap/>
        <w:overflowPunct/>
        <w:topLinePunct w:val="0"/>
        <w:bidi w:val="0"/>
        <w:snapToGrid/>
        <w:spacing w:line="320" w:lineRule="exact"/>
        <w:ind w:firstLine="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bookmarkEnd w:id="1134"/>
    <w:bookmarkEnd w:id="1135"/>
    <w:bookmarkEnd w:id="1136"/>
    <w:p>
      <w:pP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宋体" w:hAnsi="宋体" w:eastAsia="宋体" w:cs="宋体"/>
          <w:color w:val="auto"/>
          <w:sz w:val="28"/>
          <w:szCs w:val="28"/>
          <w:highlight w:val="none"/>
          <w:lang w:val="en-US" w:eastAsia="zh-CN"/>
        </w:rPr>
      </w:pPr>
      <w:bookmarkStart w:id="1138" w:name="_Toc1758"/>
      <w:bookmarkStart w:id="1139" w:name="_Toc17348"/>
      <w:r>
        <w:rPr>
          <w:rFonts w:hint="eastAsia" w:ascii="宋体" w:hAnsi="宋体" w:eastAsia="宋体" w:cs="宋体"/>
          <w:color w:val="auto"/>
          <w:sz w:val="28"/>
          <w:szCs w:val="28"/>
          <w:highlight w:val="none"/>
          <w:lang w:val="en-US" w:eastAsia="zh-CN"/>
        </w:rPr>
        <w:t>3.货物说明一览表</w:t>
      </w:r>
      <w:bookmarkEnd w:id="1138"/>
      <w:bookmarkEnd w:id="1139"/>
    </w:p>
    <w:p>
      <w:pPr>
        <w:pStyle w:val="15"/>
        <w:spacing w:line="360" w:lineRule="exact"/>
        <w:ind w:left="1080" w:leftChars="257" w:hanging="5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包号：</w:t>
      </w:r>
      <w:r>
        <w:rPr>
          <w:rFonts w:hint="eastAsia" w:ascii="宋体" w:hAnsi="宋体" w:eastAsia="宋体" w:cs="宋体"/>
          <w:color w:val="auto"/>
          <w:sz w:val="24"/>
          <w:highlight w:val="none"/>
        </w:rPr>
        <w:t xml:space="preserve">                                  </w:t>
      </w:r>
    </w:p>
    <w:tbl>
      <w:tblPr>
        <w:tblStyle w:val="27"/>
        <w:tblW w:w="54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679"/>
        <w:gridCol w:w="1679"/>
        <w:gridCol w:w="991"/>
        <w:gridCol w:w="1333"/>
        <w:gridCol w:w="167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30" w:type="pct"/>
            <w:noWrap w:val="0"/>
            <w:vAlign w:val="top"/>
          </w:tcPr>
          <w:p>
            <w:pPr>
              <w:pStyle w:val="15"/>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98" w:type="pct"/>
            <w:noWrap w:val="0"/>
            <w:vAlign w:val="top"/>
          </w:tcPr>
          <w:p>
            <w:pPr>
              <w:pStyle w:val="15"/>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名称</w:t>
            </w:r>
          </w:p>
        </w:tc>
        <w:tc>
          <w:tcPr>
            <w:tcW w:w="898" w:type="pct"/>
            <w:noWrap w:val="0"/>
            <w:vAlign w:val="top"/>
          </w:tcPr>
          <w:p>
            <w:pPr>
              <w:pStyle w:val="15"/>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主要规格</w:t>
            </w:r>
          </w:p>
        </w:tc>
        <w:tc>
          <w:tcPr>
            <w:tcW w:w="530" w:type="pct"/>
            <w:noWrap w:val="0"/>
            <w:vAlign w:val="top"/>
          </w:tcPr>
          <w:p>
            <w:pPr>
              <w:pStyle w:val="15"/>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13" w:type="pct"/>
            <w:noWrap w:val="0"/>
            <w:vAlign w:val="top"/>
          </w:tcPr>
          <w:p>
            <w:pPr>
              <w:pStyle w:val="15"/>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交货期</w:t>
            </w:r>
          </w:p>
        </w:tc>
        <w:tc>
          <w:tcPr>
            <w:tcW w:w="898" w:type="pct"/>
            <w:noWrap w:val="0"/>
            <w:vAlign w:val="top"/>
          </w:tcPr>
          <w:p>
            <w:pPr>
              <w:pStyle w:val="15"/>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交货地点</w:t>
            </w:r>
          </w:p>
        </w:tc>
        <w:tc>
          <w:tcPr>
            <w:tcW w:w="530" w:type="pct"/>
            <w:noWrap w:val="0"/>
            <w:vAlign w:val="top"/>
          </w:tcPr>
          <w:p>
            <w:pPr>
              <w:pStyle w:val="15"/>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noWrap w:val="0"/>
            <w:vAlign w:val="center"/>
          </w:tcPr>
          <w:p>
            <w:pPr>
              <w:pStyle w:val="15"/>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713"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noWrap w:val="0"/>
            <w:vAlign w:val="center"/>
          </w:tcPr>
          <w:p>
            <w:pPr>
              <w:pStyle w:val="15"/>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713"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noWrap w:val="0"/>
            <w:vAlign w:val="center"/>
          </w:tcPr>
          <w:p>
            <w:pPr>
              <w:pStyle w:val="15"/>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713"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noWrap w:val="0"/>
            <w:vAlign w:val="center"/>
          </w:tcPr>
          <w:p>
            <w:pPr>
              <w:pStyle w:val="15"/>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713"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noWrap w:val="0"/>
            <w:vAlign w:val="center"/>
          </w:tcPr>
          <w:p>
            <w:pPr>
              <w:pStyle w:val="15"/>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713"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noWrap w:val="0"/>
            <w:vAlign w:val="center"/>
          </w:tcPr>
          <w:p>
            <w:pPr>
              <w:pStyle w:val="15"/>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713"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noWrap w:val="0"/>
            <w:vAlign w:val="center"/>
          </w:tcPr>
          <w:p>
            <w:pPr>
              <w:pStyle w:val="15"/>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713"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30" w:type="pct"/>
            <w:noWrap w:val="0"/>
            <w:vAlign w:val="center"/>
          </w:tcPr>
          <w:p>
            <w:pPr>
              <w:pStyle w:val="15"/>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713"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898"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c>
          <w:tcPr>
            <w:tcW w:w="530" w:type="pct"/>
            <w:noWrap w:val="0"/>
            <w:vAlign w:val="top"/>
          </w:tcPr>
          <w:p>
            <w:pPr>
              <w:pStyle w:val="15"/>
              <w:spacing w:line="360" w:lineRule="exact"/>
              <w:ind w:left="1080" w:leftChars="257" w:hanging="540"/>
              <w:rPr>
                <w:rFonts w:hint="eastAsia" w:ascii="宋体" w:hAnsi="宋体" w:eastAsia="宋体" w:cs="宋体"/>
                <w:color w:val="auto"/>
                <w:sz w:val="24"/>
                <w:highlight w:val="none"/>
              </w:rPr>
            </w:pPr>
          </w:p>
        </w:tc>
      </w:tr>
    </w:tbl>
    <w:p>
      <w:pPr>
        <w:pStyle w:val="15"/>
        <w:spacing w:line="360" w:lineRule="exact"/>
        <w:ind w:left="1080" w:leftChars="257" w:hanging="540"/>
        <w:rPr>
          <w:rFonts w:hint="eastAsia" w:ascii="宋体" w:hAnsi="宋体" w:eastAsia="宋体" w:cs="宋体"/>
          <w:color w:val="auto"/>
          <w:sz w:val="24"/>
          <w:highlight w:val="none"/>
        </w:rPr>
      </w:pPr>
    </w:p>
    <w:p>
      <w:pPr>
        <w:pStyle w:val="15"/>
        <w:spacing w:line="400" w:lineRule="exact"/>
        <w:ind w:left="1080" w:leftChars="257" w:hanging="540"/>
        <w:rPr>
          <w:rFonts w:hint="eastAsia" w:ascii="宋体" w:hAnsi="宋体" w:eastAsia="宋体" w:cs="宋体"/>
          <w:color w:val="auto"/>
          <w:sz w:val="24"/>
          <w:szCs w:val="24"/>
          <w:highlight w:val="none"/>
        </w:rPr>
      </w:pPr>
    </w:p>
    <w:p>
      <w:pPr>
        <w:pStyle w:val="7"/>
        <w:spacing w:line="360" w:lineRule="exact"/>
        <w:ind w:firstLine="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法定代表人或委托代理</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p>
    <w:p>
      <w:pPr>
        <w:pStyle w:val="15"/>
        <w:spacing w:line="400" w:lineRule="exact"/>
        <w:ind w:left="1080" w:leftChars="257" w:hanging="540"/>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4"/>
          <w:szCs w:val="24"/>
          <w:highlight w:val="none"/>
        </w:rPr>
        <w:t>注: 各项</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详细技术性能应另页描述</w:t>
      </w:r>
      <w:r>
        <w:rPr>
          <w:rFonts w:hint="eastAsia" w:ascii="宋体" w:hAnsi="宋体" w:eastAsia="宋体" w:cs="宋体"/>
          <w:color w:val="auto"/>
          <w:sz w:val="24"/>
          <w:szCs w:val="24"/>
          <w:highlight w:val="none"/>
          <w:lang w:eastAsia="zh-CN"/>
        </w:rPr>
        <w:t>。</w:t>
      </w:r>
    </w:p>
    <w:p>
      <w:pPr>
        <w:pStyle w:val="15"/>
        <w:spacing w:line="240" w:lineRule="atLeast"/>
        <w:rPr>
          <w:rFonts w:hint="eastAsia" w:ascii="宋体" w:hAnsi="宋体" w:eastAsia="宋体" w:cs="宋体"/>
          <w:b/>
          <w:bCs/>
          <w:color w:val="auto"/>
          <w:sz w:val="22"/>
          <w:szCs w:val="22"/>
          <w:highlight w:val="none"/>
        </w:rPr>
      </w:pPr>
    </w:p>
    <w:p>
      <w:pPr>
        <w:pStyle w:val="15"/>
        <w:spacing w:line="240" w:lineRule="atLeast"/>
        <w:rPr>
          <w:rFonts w:hint="eastAsia" w:ascii="宋体" w:hAnsi="宋体" w:eastAsia="宋体" w:cs="宋体"/>
          <w:b/>
          <w:bCs/>
          <w:color w:val="auto"/>
          <w:sz w:val="22"/>
          <w:szCs w:val="22"/>
          <w:highlight w:val="none"/>
        </w:rPr>
      </w:pPr>
    </w:p>
    <w:p>
      <w:pPr>
        <w:pStyle w:val="15"/>
        <w:spacing w:line="240" w:lineRule="atLeast"/>
        <w:rPr>
          <w:rFonts w:hint="eastAsia" w:ascii="宋体" w:hAnsi="宋体" w:eastAsia="宋体" w:cs="宋体"/>
          <w:b/>
          <w:bCs/>
          <w:color w:val="auto"/>
          <w:sz w:val="22"/>
          <w:szCs w:val="22"/>
          <w:highlight w:val="none"/>
        </w:rPr>
      </w:pPr>
    </w:p>
    <w:p>
      <w:pPr>
        <w:pStyle w:val="15"/>
        <w:spacing w:line="240" w:lineRule="atLeast"/>
        <w:rPr>
          <w:rFonts w:hint="eastAsia" w:ascii="宋体" w:hAnsi="宋体" w:eastAsia="宋体" w:cs="宋体"/>
          <w:b/>
          <w:bCs/>
          <w:color w:val="auto"/>
          <w:sz w:val="22"/>
          <w:szCs w:val="22"/>
          <w:highlight w:val="none"/>
        </w:rPr>
      </w:pPr>
    </w:p>
    <w:p>
      <w:pPr>
        <w:pStyle w:val="15"/>
        <w:spacing w:line="240" w:lineRule="atLeast"/>
        <w:rPr>
          <w:rFonts w:hint="eastAsia" w:ascii="宋体" w:hAnsi="宋体" w:eastAsia="宋体" w:cs="宋体"/>
          <w:b/>
          <w:bCs/>
          <w:color w:val="auto"/>
          <w:sz w:val="22"/>
          <w:szCs w:val="22"/>
          <w:highlight w:val="none"/>
        </w:rPr>
      </w:pPr>
    </w:p>
    <w:p>
      <w:pPr>
        <w:pStyle w:val="15"/>
        <w:spacing w:line="240" w:lineRule="atLeast"/>
        <w:rPr>
          <w:rFonts w:hint="eastAsia" w:ascii="宋体" w:hAnsi="宋体" w:eastAsia="宋体" w:cs="宋体"/>
          <w:b/>
          <w:bCs/>
          <w:color w:val="auto"/>
          <w:sz w:val="22"/>
          <w:szCs w:val="22"/>
          <w:highlight w:val="none"/>
        </w:rPr>
      </w:pPr>
    </w:p>
    <w:p>
      <w:pPr>
        <w:pStyle w:val="15"/>
        <w:spacing w:line="240" w:lineRule="atLeast"/>
        <w:rPr>
          <w:rFonts w:hint="eastAsia" w:ascii="宋体" w:hAnsi="宋体" w:eastAsia="宋体" w:cs="宋体"/>
          <w:b/>
          <w:bCs/>
          <w:color w:val="auto"/>
          <w:sz w:val="22"/>
          <w:szCs w:val="22"/>
          <w:highlight w:val="none"/>
        </w:rPr>
      </w:pPr>
    </w:p>
    <w:p>
      <w:pPr>
        <w:pStyle w:val="15"/>
        <w:spacing w:line="240" w:lineRule="atLeast"/>
        <w:rPr>
          <w:rFonts w:hint="eastAsia" w:ascii="宋体" w:hAnsi="宋体" w:eastAsia="宋体" w:cs="宋体"/>
          <w:b/>
          <w:bCs/>
          <w:color w:val="auto"/>
          <w:sz w:val="22"/>
          <w:szCs w:val="22"/>
          <w:highlight w:val="none"/>
        </w:rPr>
      </w:pPr>
    </w:p>
    <w:p>
      <w:pPr>
        <w:pStyle w:val="15"/>
        <w:spacing w:line="240" w:lineRule="atLeast"/>
        <w:rPr>
          <w:rFonts w:hint="eastAsia" w:ascii="宋体" w:hAnsi="宋体" w:eastAsia="宋体" w:cs="宋体"/>
          <w:b/>
          <w:bCs/>
          <w:color w:val="auto"/>
          <w:sz w:val="22"/>
          <w:szCs w:val="22"/>
          <w:highlight w:val="none"/>
        </w:rPr>
      </w:pPr>
    </w:p>
    <w:p>
      <w:pPr>
        <w:pStyle w:val="15"/>
        <w:spacing w:line="240" w:lineRule="atLeast"/>
        <w:rPr>
          <w:rFonts w:hint="eastAsia" w:ascii="宋体" w:hAnsi="宋体" w:eastAsia="宋体" w:cs="宋体"/>
          <w:b/>
          <w:bCs/>
          <w:color w:val="auto"/>
          <w:sz w:val="22"/>
          <w:szCs w:val="22"/>
          <w:highlight w:val="none"/>
        </w:rPr>
      </w:pPr>
    </w:p>
    <w:p>
      <w:pPr>
        <w:pStyle w:val="15"/>
        <w:spacing w:line="240" w:lineRule="atLeast"/>
        <w:rPr>
          <w:rFonts w:hint="eastAsia" w:ascii="宋体" w:hAnsi="宋体" w:eastAsia="宋体" w:cs="宋体"/>
          <w:b/>
          <w:bCs/>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宋体" w:hAnsi="宋体" w:eastAsia="宋体" w:cs="宋体"/>
          <w:color w:val="auto"/>
          <w:sz w:val="28"/>
          <w:szCs w:val="28"/>
          <w:highlight w:val="none"/>
          <w:lang w:val="en-US" w:eastAsia="zh-CN"/>
        </w:rPr>
      </w:pPr>
      <w:bookmarkStart w:id="1140" w:name="_Toc21982"/>
      <w:bookmarkStart w:id="1141" w:name="_Toc8378"/>
      <w:r>
        <w:rPr>
          <w:rFonts w:hint="eastAsia" w:ascii="宋体" w:hAnsi="宋体" w:eastAsia="宋体" w:cs="宋体"/>
          <w:color w:val="auto"/>
          <w:sz w:val="28"/>
          <w:szCs w:val="28"/>
          <w:highlight w:val="none"/>
          <w:lang w:val="en-US" w:eastAsia="zh-CN"/>
        </w:rPr>
        <w:t>4.技术规格偏离表</w:t>
      </w:r>
      <w:bookmarkEnd w:id="1140"/>
      <w:bookmarkEnd w:id="1141"/>
    </w:p>
    <w:p>
      <w:pPr>
        <w:pStyle w:val="1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r>
        <w:rPr>
          <w:rFonts w:hint="eastAsia" w:ascii="宋体" w:hAnsi="宋体" w:eastAsia="宋体" w:cs="宋体"/>
          <w:color w:val="auto"/>
          <w:sz w:val="24"/>
          <w:szCs w:val="24"/>
          <w:highlight w:val="none"/>
          <w:lang w:val="en-US" w:eastAsia="zh-CN"/>
        </w:rPr>
        <w:t xml:space="preserve">   包号：</w:t>
      </w:r>
      <w:r>
        <w:rPr>
          <w:rFonts w:hint="eastAsia" w:ascii="宋体" w:hAnsi="宋体" w:eastAsia="宋体" w:cs="宋体"/>
          <w:color w:val="auto"/>
          <w:sz w:val="24"/>
          <w:szCs w:val="24"/>
          <w:highlight w:val="none"/>
        </w:rPr>
        <w:t xml:space="preserve">          </w:t>
      </w:r>
    </w:p>
    <w:tbl>
      <w:tblPr>
        <w:tblStyle w:val="27"/>
        <w:tblW w:w="5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423"/>
        <w:gridCol w:w="2623"/>
        <w:gridCol w:w="1423"/>
        <w:gridCol w:w="1423"/>
        <w:gridCol w:w="842"/>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noWrap w:val="0"/>
            <w:vAlign w:val="center"/>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55" w:type="pct"/>
            <w:noWrap w:val="0"/>
            <w:vAlign w:val="center"/>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szCs w:val="24"/>
                <w:highlight w:val="none"/>
              </w:rPr>
              <w:t>名称</w:t>
            </w:r>
          </w:p>
        </w:tc>
        <w:tc>
          <w:tcPr>
            <w:tcW w:w="1392" w:type="pct"/>
            <w:noWrap w:val="0"/>
            <w:vAlign w:val="center"/>
          </w:tcPr>
          <w:p>
            <w:pPr>
              <w:pStyle w:val="15"/>
              <w:spacing w:line="400" w:lineRule="exact"/>
              <w:ind w:left="269" w:leftChars="1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755" w:type="pct"/>
            <w:noWrap w:val="0"/>
            <w:vAlign w:val="center"/>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招标规格</w:t>
            </w:r>
          </w:p>
        </w:tc>
        <w:tc>
          <w:tcPr>
            <w:tcW w:w="755" w:type="pct"/>
            <w:noWrap w:val="0"/>
            <w:vAlign w:val="center"/>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447" w:type="pct"/>
            <w:noWrap w:val="0"/>
            <w:vAlign w:val="center"/>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447" w:type="pct"/>
            <w:noWrap w:val="0"/>
            <w:vAlign w:val="center"/>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noWrap w:val="0"/>
            <w:vAlign w:val="center"/>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39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noWrap w:val="0"/>
            <w:vAlign w:val="center"/>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39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noWrap w:val="0"/>
            <w:vAlign w:val="center"/>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39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noWrap w:val="0"/>
            <w:vAlign w:val="center"/>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39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noWrap w:val="0"/>
            <w:vAlign w:val="center"/>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39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noWrap w:val="0"/>
            <w:vAlign w:val="center"/>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39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47" w:type="pct"/>
            <w:noWrap w:val="0"/>
            <w:vAlign w:val="center"/>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39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bl>
    <w:p>
      <w:pPr>
        <w:pStyle w:val="15"/>
        <w:spacing w:line="400" w:lineRule="exact"/>
        <w:ind w:left="1080" w:leftChars="257" w:hanging="540"/>
        <w:rPr>
          <w:rFonts w:hint="eastAsia" w:ascii="宋体" w:hAnsi="宋体" w:eastAsia="宋体" w:cs="宋体"/>
          <w:color w:val="auto"/>
          <w:sz w:val="24"/>
          <w:szCs w:val="24"/>
          <w:highlight w:val="none"/>
        </w:rPr>
      </w:pPr>
    </w:p>
    <w:p>
      <w:pPr>
        <w:pStyle w:val="15"/>
        <w:spacing w:line="400" w:lineRule="exact"/>
        <w:ind w:left="1080" w:leftChars="257" w:hanging="540"/>
        <w:rPr>
          <w:rFonts w:hint="eastAsia" w:ascii="宋体" w:hAnsi="宋体" w:eastAsia="宋体" w:cs="宋体"/>
          <w:color w:val="auto"/>
          <w:sz w:val="24"/>
          <w:szCs w:val="24"/>
          <w:highlight w:val="none"/>
        </w:rPr>
      </w:pPr>
    </w:p>
    <w:p>
      <w:pPr>
        <w:pStyle w:val="15"/>
        <w:spacing w:line="400" w:lineRule="exact"/>
        <w:ind w:left="1080" w:leftChars="257" w:hanging="540"/>
        <w:rPr>
          <w:rFonts w:hint="eastAsia" w:ascii="宋体" w:hAnsi="宋体" w:eastAsia="宋体" w:cs="宋体"/>
          <w:color w:val="auto"/>
          <w:sz w:val="24"/>
          <w:szCs w:val="24"/>
          <w:highlight w:val="none"/>
        </w:rPr>
      </w:pPr>
    </w:p>
    <w:bookmarkEnd w:id="1121"/>
    <w:bookmarkEnd w:id="1122"/>
    <w:bookmarkEnd w:id="1123"/>
    <w:bookmarkEnd w:id="1124"/>
    <w:p>
      <w:pPr>
        <w:pStyle w:val="7"/>
        <w:spacing w:line="360" w:lineRule="exact"/>
        <w:ind w:firstLine="0"/>
        <w:rPr>
          <w:rFonts w:hint="eastAsia" w:ascii="宋体" w:hAnsi="宋体" w:eastAsia="宋体" w:cs="宋体"/>
          <w:color w:val="auto"/>
          <w:kern w:val="2"/>
          <w:sz w:val="24"/>
          <w:szCs w:val="24"/>
          <w:highlight w:val="none"/>
          <w:u w:val="single"/>
        </w:rPr>
      </w:pPr>
      <w:bookmarkStart w:id="1142" w:name="_Toc31439"/>
      <w:bookmarkStart w:id="1143" w:name="_Toc515647821"/>
      <w:bookmarkStart w:id="1144" w:name="_Toc23"/>
      <w:bookmarkStart w:id="1145" w:name="_Toc216582818"/>
      <w:bookmarkStart w:id="1146" w:name="_Toc1980"/>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法定代表人或委托代理</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p>
    <w:p>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pPr>
        <w:rPr>
          <w:rFonts w:hint="eastAsia" w:ascii="宋体" w:hAnsi="宋体" w:eastAsia="宋体" w:cs="宋体"/>
          <w:color w:val="auto"/>
          <w:sz w:val="28"/>
          <w:szCs w:val="28"/>
          <w:highlight w:val="none"/>
        </w:rPr>
      </w:pPr>
      <w:bookmarkStart w:id="1147" w:name="_Toc14887"/>
      <w:bookmarkStart w:id="1148" w:name="_Toc12914"/>
      <w:bookmarkStart w:id="1149" w:name="_Toc22109"/>
      <w:r>
        <w:rPr>
          <w:rFonts w:hint="eastAsia" w:ascii="宋体" w:hAnsi="宋体" w:eastAsia="宋体" w:cs="宋体"/>
          <w:color w:val="auto"/>
          <w:sz w:val="28"/>
          <w:szCs w:val="28"/>
          <w:highlight w:val="none"/>
        </w:rPr>
        <w:br w:type="page"/>
      </w:r>
    </w:p>
    <w:bookmarkEnd w:id="1142"/>
    <w:bookmarkEnd w:id="1143"/>
    <w:bookmarkEnd w:id="1144"/>
    <w:bookmarkEnd w:id="1145"/>
    <w:bookmarkEnd w:id="1146"/>
    <w:bookmarkEnd w:id="1147"/>
    <w:bookmarkEnd w:id="1148"/>
    <w:bookmarkEnd w:id="1149"/>
    <w:p>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宋体" w:hAnsi="宋体" w:eastAsia="宋体" w:cs="宋体"/>
          <w:color w:val="auto"/>
          <w:sz w:val="28"/>
          <w:szCs w:val="28"/>
          <w:highlight w:val="none"/>
          <w:lang w:val="en-US" w:eastAsia="zh-CN"/>
        </w:rPr>
      </w:pPr>
      <w:bookmarkStart w:id="1150" w:name="_Toc8354"/>
      <w:bookmarkStart w:id="1151" w:name="_Toc26961"/>
      <w:r>
        <w:rPr>
          <w:rFonts w:hint="eastAsia" w:ascii="宋体" w:hAnsi="宋体" w:eastAsia="宋体" w:cs="宋体"/>
          <w:color w:val="auto"/>
          <w:sz w:val="28"/>
          <w:szCs w:val="28"/>
          <w:highlight w:val="none"/>
          <w:lang w:val="en-US" w:eastAsia="zh-CN"/>
        </w:rPr>
        <w:t>5.商务条款偏离表</w:t>
      </w:r>
      <w:bookmarkEnd w:id="1150"/>
      <w:bookmarkEnd w:id="1151"/>
    </w:p>
    <w:p>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r>
        <w:rPr>
          <w:rFonts w:hint="eastAsia" w:ascii="宋体" w:hAnsi="宋体" w:eastAsia="宋体" w:cs="宋体"/>
          <w:color w:val="auto"/>
          <w:sz w:val="24"/>
          <w:szCs w:val="24"/>
          <w:highlight w:val="none"/>
          <w:lang w:eastAsia="zh-CN"/>
        </w:rPr>
        <w:t>包号：</w:t>
      </w:r>
      <w:r>
        <w:rPr>
          <w:rFonts w:hint="eastAsia" w:ascii="宋体" w:hAnsi="宋体" w:eastAsia="宋体" w:cs="宋体"/>
          <w:color w:val="auto"/>
          <w:sz w:val="24"/>
          <w:szCs w:val="24"/>
          <w:highlight w:val="none"/>
        </w:rPr>
        <w:t xml:space="preserve">    </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004"/>
        <w:gridCol w:w="2510"/>
        <w:gridCol w:w="251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79" w:type="pct"/>
            <w:noWrap w:val="0"/>
            <w:vAlign w:val="top"/>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1477" w:type="pct"/>
            <w:noWrap w:val="0"/>
            <w:vAlign w:val="top"/>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1477" w:type="pct"/>
            <w:noWrap w:val="0"/>
            <w:vAlign w:val="top"/>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432" w:type="pct"/>
            <w:noWrap w:val="0"/>
            <w:vAlign w:val="top"/>
          </w:tcPr>
          <w:p>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179"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jc w:val="center"/>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jc w:val="center"/>
              <w:rPr>
                <w:rFonts w:hint="eastAsia" w:ascii="宋体" w:hAnsi="宋体" w:eastAsia="宋体" w:cs="宋体"/>
                <w:color w:val="auto"/>
                <w:sz w:val="24"/>
                <w:szCs w:val="24"/>
                <w:highlight w:val="none"/>
              </w:rPr>
            </w:pPr>
          </w:p>
        </w:tc>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179"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179"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179"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179"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179"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179"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179"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179"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179"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179"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179"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179"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1477"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c>
          <w:tcPr>
            <w:tcW w:w="432" w:type="pct"/>
            <w:noWrap w:val="0"/>
            <w:vAlign w:val="top"/>
          </w:tcPr>
          <w:p>
            <w:pPr>
              <w:pStyle w:val="15"/>
              <w:spacing w:line="400" w:lineRule="exact"/>
              <w:ind w:left="1080" w:leftChars="257" w:hanging="540"/>
              <w:rPr>
                <w:rFonts w:hint="eastAsia" w:ascii="宋体" w:hAnsi="宋体" w:eastAsia="宋体" w:cs="宋体"/>
                <w:color w:val="auto"/>
                <w:sz w:val="24"/>
                <w:szCs w:val="24"/>
                <w:highlight w:val="none"/>
              </w:rPr>
            </w:pPr>
          </w:p>
        </w:tc>
      </w:tr>
    </w:tbl>
    <w:p>
      <w:pPr>
        <w:pStyle w:val="15"/>
        <w:spacing w:line="400" w:lineRule="exact"/>
        <w:ind w:left="1080" w:leftChars="257" w:hanging="540"/>
        <w:rPr>
          <w:rFonts w:hint="eastAsia" w:ascii="宋体" w:hAnsi="宋体" w:eastAsia="宋体" w:cs="宋体"/>
          <w:color w:val="auto"/>
          <w:sz w:val="24"/>
          <w:szCs w:val="24"/>
          <w:highlight w:val="none"/>
        </w:rPr>
      </w:pPr>
    </w:p>
    <w:p>
      <w:pPr>
        <w:pStyle w:val="15"/>
        <w:spacing w:line="400" w:lineRule="exact"/>
        <w:ind w:left="1080" w:leftChars="257" w:hanging="540"/>
        <w:rPr>
          <w:rFonts w:hint="eastAsia" w:ascii="宋体" w:hAnsi="宋体" w:eastAsia="宋体" w:cs="宋体"/>
          <w:color w:val="auto"/>
          <w:sz w:val="24"/>
          <w:szCs w:val="24"/>
          <w:highlight w:val="none"/>
        </w:rPr>
      </w:pPr>
    </w:p>
    <w:p>
      <w:pPr>
        <w:pStyle w:val="15"/>
        <w:spacing w:line="400" w:lineRule="exact"/>
        <w:ind w:left="1080" w:leftChars="257" w:hanging="540"/>
        <w:rPr>
          <w:rFonts w:hint="eastAsia" w:ascii="宋体" w:hAnsi="宋体" w:eastAsia="宋体" w:cs="宋体"/>
          <w:color w:val="auto"/>
          <w:sz w:val="24"/>
          <w:szCs w:val="24"/>
          <w:highlight w:val="none"/>
        </w:rPr>
      </w:pPr>
    </w:p>
    <w:p>
      <w:pPr>
        <w:pStyle w:val="7"/>
        <w:spacing w:line="360" w:lineRule="exact"/>
        <w:ind w:firstLine="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法定代表人或委托代理</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p>
    <w:p>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pPr>
        <w:rPr>
          <w:rFonts w:hint="eastAsia" w:ascii="宋体" w:hAnsi="宋体" w:eastAsia="宋体" w:cs="宋体"/>
          <w:color w:val="auto"/>
          <w:sz w:val="24"/>
          <w:szCs w:val="24"/>
          <w:highlight w:val="none"/>
        </w:rPr>
      </w:pPr>
      <w:bookmarkStart w:id="1152" w:name="_Toc10725"/>
      <w:bookmarkStart w:id="1153" w:name="_Toc31694"/>
      <w:bookmarkStart w:id="1154" w:name="_Toc17820"/>
      <w:bookmarkStart w:id="1155" w:name="_Toc515647823"/>
      <w:bookmarkStart w:id="1156" w:name="_Toc21312"/>
      <w:bookmarkStart w:id="1157" w:name="_Toc25797"/>
      <w:bookmarkStart w:id="1158" w:name="_Toc27043"/>
      <w:r>
        <w:rPr>
          <w:rFonts w:hint="eastAsia" w:ascii="宋体" w:hAnsi="宋体" w:eastAsia="宋体" w:cs="宋体"/>
          <w:color w:val="auto"/>
          <w:sz w:val="24"/>
          <w:szCs w:val="24"/>
          <w:highlight w:val="none"/>
        </w:rPr>
        <w:br w:type="page"/>
      </w:r>
    </w:p>
    <w:bookmarkEnd w:id="1152"/>
    <w:bookmarkEnd w:id="1153"/>
    <w:bookmarkEnd w:id="1154"/>
    <w:bookmarkEnd w:id="1155"/>
    <w:bookmarkEnd w:id="1156"/>
    <w:bookmarkEnd w:id="1157"/>
    <w:bookmarkEnd w:id="1158"/>
    <w:p>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宋体" w:hAnsi="宋体" w:eastAsia="宋体" w:cs="宋体"/>
          <w:color w:val="auto"/>
          <w:sz w:val="28"/>
          <w:szCs w:val="28"/>
          <w:highlight w:val="none"/>
          <w:lang w:val="en-US" w:eastAsia="zh-CN"/>
        </w:rPr>
      </w:pPr>
      <w:bookmarkStart w:id="1159" w:name="_Toc10977"/>
      <w:bookmarkStart w:id="1160" w:name="_Toc9687"/>
      <w:bookmarkStart w:id="1161" w:name="_Toc11803"/>
      <w:bookmarkStart w:id="1162" w:name="_Toc11343"/>
      <w:bookmarkStart w:id="1163" w:name="_Toc515647824"/>
      <w:bookmarkStart w:id="1164" w:name="_Toc2709"/>
      <w:bookmarkStart w:id="1165" w:name="_Toc21610"/>
      <w:r>
        <w:rPr>
          <w:rFonts w:hint="eastAsia" w:ascii="宋体" w:hAnsi="宋体" w:eastAsia="宋体" w:cs="宋体"/>
          <w:color w:val="auto"/>
          <w:sz w:val="28"/>
          <w:szCs w:val="28"/>
          <w:highlight w:val="none"/>
          <w:lang w:val="en-US" w:eastAsia="zh-CN"/>
        </w:rPr>
        <w:t>6-1《中小企业声明函》(货物)</w:t>
      </w:r>
    </w:p>
    <w:p>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（单位名称）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的</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（项目名称）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采购活动，提供的货物全部由符合政策要求的中小企业制造。相关企业（含联合体中的中小企业、签订分包意向协议的中小企业）的具体情况如下：</w:t>
      </w:r>
    </w:p>
    <w:p>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1.</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（标的名称）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行业；制造商为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（企业名称）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，从业人员</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人，营业收入为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万元，资产总额为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w:t>
      </w:r>
    </w:p>
    <w:p>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2.</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（标的名称）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行业；制造商为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（企业名称）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，从业人员</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人，营业收入为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万元，资产总额为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w:t>
      </w:r>
    </w:p>
    <w:p>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w:t>
      </w:r>
    </w:p>
    <w:p>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宋体" w:hAnsi="宋体" w:eastAsia="宋体" w:cs="宋体"/>
          <w:i w:val="0"/>
          <w:iCs w:val="0"/>
          <w:caps w:val="0"/>
          <w:color w:val="auto"/>
          <w:spacing w:val="0"/>
          <w:kern w:val="0"/>
          <w:sz w:val="24"/>
          <w:szCs w:val="24"/>
          <w:highlight w:val="none"/>
          <w:shd w:val="clear" w:color="auto" w:fill="FFFFFF"/>
          <w:lang w:val="en-US" w:eastAsia="zh-CN"/>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以上企业，不属于大企业的分支机构，不存在控股股东为大企业的情形，也不存在与大企业的负责人为同一人的情形。</w:t>
      </w:r>
    </w:p>
    <w:p>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宋体" w:hAnsi="宋体" w:eastAsia="宋体" w:cs="宋体"/>
          <w:i w:val="0"/>
          <w:iCs w:val="0"/>
          <w:caps w:val="0"/>
          <w:color w:val="auto"/>
          <w:spacing w:val="0"/>
          <w:kern w:val="0"/>
          <w:sz w:val="24"/>
          <w:szCs w:val="24"/>
          <w:highlight w:val="none"/>
          <w:shd w:val="clear" w:color="auto" w:fill="FFFFFF"/>
          <w:lang w:val="en-US" w:eastAsia="zh-CN"/>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本投标人已知悉《政府采购促进中小企业发展管理办法》(财库(2020]46号)、《中小企业划型标准规定》(工信部联企〔2011〕300 号)、《统计上大中小微型企业 划分办法(2017)》等规定，承诺提供的声明函内容是真实的 ，并知悉根据《政府采购促 进中小企业发展管理办法》(财库〔2020〕46 号)第二十条规定，投标人按照本办法规 定提供声明函内容不实的，属于提供虚假材料谋取中标，依照《政府采购法》等政府采购 有关法律法规规定追究相应责任。</w:t>
      </w:r>
    </w:p>
    <w:p>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本企业对上述声明内容的真实性负责。如有虚假，将依法承担相应责任。</w:t>
      </w:r>
    </w:p>
    <w:p>
      <w:pPr>
        <w:keepNext w:val="0"/>
        <w:keepLines w:val="0"/>
        <w:widowControl/>
        <w:suppressLineNumbers w:val="0"/>
        <w:shd w:val="clear" w:color="auto" w:fill="auto"/>
        <w:spacing w:before="100" w:beforeAutospacing="1" w:after="100" w:afterAutospacing="1" w:line="348" w:lineRule="atLeast"/>
        <w:ind w:left="0" w:right="0" w:firstLine="4224"/>
        <w:jc w:val="left"/>
        <w:rPr>
          <w:rFonts w:hint="eastAsia" w:ascii="宋体" w:hAnsi="宋体" w:eastAsia="宋体" w:cs="宋体"/>
          <w:i w:val="0"/>
          <w:iCs w:val="0"/>
          <w:caps w:val="0"/>
          <w:color w:val="auto"/>
          <w:spacing w:val="0"/>
          <w:sz w:val="24"/>
          <w:szCs w:val="24"/>
          <w:highlight w:val="none"/>
        </w:rPr>
      </w:pPr>
      <w:r>
        <w:rPr>
          <w:rFonts w:ascii="宋体" w:hAnsi="宋体" w:eastAsia="宋体" w:cs="宋体"/>
          <w:color w:val="auto"/>
          <w:sz w:val="24"/>
          <w:szCs w:val="24"/>
          <w:highlight w:val="none"/>
        </w:rPr>
        <w:t>投标人名称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（盖章）：</w:t>
      </w:r>
    </w:p>
    <w:p>
      <w:pPr>
        <w:keepNext w:val="0"/>
        <w:keepLines w:val="0"/>
        <w:widowControl/>
        <w:suppressLineNumbers w:val="0"/>
        <w:shd w:val="clear" w:color="auto" w:fill="auto"/>
        <w:spacing w:before="100" w:beforeAutospacing="1" w:after="100" w:afterAutospacing="1" w:line="348" w:lineRule="atLeast"/>
        <w:ind w:left="0" w:right="0" w:firstLine="4224"/>
        <w:jc w:val="left"/>
        <w:rPr>
          <w:rFonts w:hint="eastAsia" w:ascii="宋体" w:hAnsi="宋体" w:eastAsia="宋体" w:cs="宋体"/>
          <w:i w:val="0"/>
          <w:iCs w:val="0"/>
          <w:caps w:val="0"/>
          <w:color w:val="auto"/>
          <w:spacing w:val="0"/>
          <w:kern w:val="0"/>
          <w:sz w:val="24"/>
          <w:szCs w:val="24"/>
          <w:highlight w:val="none"/>
          <w:shd w:val="clear" w:color="auto" w:fill="FFFFFF"/>
          <w:lang w:val="en-US" w:eastAsia="zh-CN"/>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日 期：</w:t>
      </w:r>
    </w:p>
    <w:p>
      <w:pPr>
        <w:pStyle w:val="10"/>
        <w:keepNext w:val="0"/>
        <w:keepLines w:val="0"/>
        <w:pageBreakBefore w:val="0"/>
        <w:widowControl w:val="0"/>
        <w:kinsoku/>
        <w:wordWrap/>
        <w:overflowPunct/>
        <w:topLinePunct w:val="0"/>
        <w:autoSpaceDE/>
        <w:autoSpaceDN/>
        <w:bidi w:val="0"/>
        <w:adjustRightInd/>
        <w:snapToGrid/>
        <w:spacing w:line="320" w:lineRule="exact"/>
        <w:ind w:right="374" w:firstLine="420" w:firstLineChars="200"/>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SA"/>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SA"/>
        </w:rPr>
        <w:t>注：对中小企业的认定，由货物制造商或者工程、服务投标人注册登记所在地的县级以上人民政府中小企业主管部门负责。如因投标人提供的《中小企业声明函》引起的质疑、投诉、信访或其他方式情况反映等，投标人须自行清，并提供由中小企业主管部门出具的企业划型证明。对于不能出具企业划型证明的投标人，自行承担由此产生的一切后果，包括声明内容视为无效、不享受相关政府采购优惠政策等。</w:t>
      </w:r>
    </w:p>
    <w:p>
      <w:pPr>
        <w:pStyle w:val="2"/>
        <w:rPr>
          <w:rFonts w:hint="eastAsia" w:ascii="宋体" w:hAnsi="宋体" w:eastAsia="宋体" w:cs="宋体"/>
          <w:b/>
          <w:bCs/>
          <w:color w:val="auto"/>
          <w:kern w:val="0"/>
          <w:sz w:val="21"/>
          <w:szCs w:val="21"/>
          <w:highlight w:val="none"/>
          <w:lang w:val="en-US" w:eastAsia="zh-CN"/>
        </w:rPr>
      </w:pPr>
      <w:r>
        <w:rPr>
          <w:rFonts w:hint="eastAsia" w:ascii="微软雅黑" w:hAnsi="微软雅黑" w:eastAsia="微软雅黑" w:cs="微软雅黑"/>
          <w:b/>
          <w:bCs/>
          <w:color w:val="auto"/>
          <w:kern w:val="0"/>
          <w:sz w:val="32"/>
          <w:szCs w:val="32"/>
          <w:highlight w:val="none"/>
          <w:lang w:val="en-US" w:eastAsia="zh-CN"/>
        </w:rPr>
        <w:t>本项目所属行业为：工业</w:t>
      </w:r>
    </w:p>
    <w:p>
      <w:pPr>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w:t>
      </w:r>
    </w:p>
    <w:p>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中小微企业划型标准</w:t>
      </w:r>
    </w:p>
    <w:tbl>
      <w:tblPr>
        <w:tblStyle w:val="27"/>
        <w:tblW w:w="9938" w:type="dxa"/>
        <w:jc w:val="center"/>
        <w:tblLayout w:type="fixed"/>
        <w:tblCellMar>
          <w:top w:w="0" w:type="dxa"/>
          <w:left w:w="108" w:type="dxa"/>
          <w:bottom w:w="0" w:type="dxa"/>
          <w:right w:w="108" w:type="dxa"/>
        </w:tblCellMar>
      </w:tblPr>
      <w:tblGrid>
        <w:gridCol w:w="1664"/>
        <w:gridCol w:w="1759"/>
        <w:gridCol w:w="1553"/>
        <w:gridCol w:w="2017"/>
        <w:gridCol w:w="1793"/>
        <w:gridCol w:w="1152"/>
      </w:tblGrid>
      <w:tr>
        <w:tblPrEx>
          <w:tblCellMar>
            <w:top w:w="0" w:type="dxa"/>
            <w:left w:w="108" w:type="dxa"/>
            <w:bottom w:w="0" w:type="dxa"/>
            <w:right w:w="108" w:type="dxa"/>
          </w:tblCellMar>
        </w:tblPrEx>
        <w:trPr>
          <w:trHeight w:val="393" w:hRule="atLeast"/>
          <w:jc w:val="center"/>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759"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1553"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2017"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793"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152"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tblPrEx>
          <w:tblCellMar>
            <w:top w:w="0" w:type="dxa"/>
            <w:left w:w="108" w:type="dxa"/>
            <w:bottom w:w="0" w:type="dxa"/>
            <w:right w:w="108" w:type="dxa"/>
          </w:tblCellMar>
        </w:tblPrEx>
        <w:trPr>
          <w:trHeight w:val="560" w:hRule="atLeast"/>
          <w:jc w:val="center"/>
        </w:trPr>
        <w:tc>
          <w:tcPr>
            <w:tcW w:w="1664" w:type="dxa"/>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tblPrEx>
          <w:tblCellMar>
            <w:top w:w="0" w:type="dxa"/>
            <w:left w:w="108" w:type="dxa"/>
            <w:bottom w:w="0" w:type="dxa"/>
            <w:right w:w="108" w:type="dxa"/>
          </w:tblCellMar>
        </w:tblPrEx>
        <w:trPr>
          <w:trHeight w:val="560"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tblPrEx>
          <w:tblCellMar>
            <w:top w:w="0" w:type="dxa"/>
            <w:left w:w="108" w:type="dxa"/>
            <w:bottom w:w="0" w:type="dxa"/>
            <w:right w:w="108" w:type="dxa"/>
          </w:tblCellMar>
        </w:tblPrEx>
        <w:trPr>
          <w:trHeight w:val="560"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tblPrEx>
          <w:tblCellMar>
            <w:top w:w="0" w:type="dxa"/>
            <w:left w:w="108" w:type="dxa"/>
            <w:bottom w:w="0" w:type="dxa"/>
            <w:right w:w="108" w:type="dxa"/>
          </w:tblCellMar>
        </w:tblPrEx>
        <w:trPr>
          <w:trHeight w:val="346"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tblPrEx>
          <w:tblCellMar>
            <w:top w:w="0" w:type="dxa"/>
            <w:left w:w="108" w:type="dxa"/>
            <w:bottom w:w="0" w:type="dxa"/>
            <w:right w:w="108" w:type="dxa"/>
          </w:tblCellMar>
        </w:tblPrEx>
        <w:trPr>
          <w:trHeight w:val="332"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tblPrEx>
          <w:tblCellMar>
            <w:top w:w="0" w:type="dxa"/>
            <w:left w:w="108" w:type="dxa"/>
            <w:bottom w:w="0" w:type="dxa"/>
            <w:right w:w="108" w:type="dxa"/>
          </w:tblCellMar>
        </w:tblPrEx>
        <w:trPr>
          <w:trHeight w:val="560"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tblPrEx>
          <w:tblCellMar>
            <w:top w:w="0" w:type="dxa"/>
            <w:left w:w="108" w:type="dxa"/>
            <w:bottom w:w="0" w:type="dxa"/>
            <w:right w:w="108" w:type="dxa"/>
          </w:tblCellMar>
        </w:tblPrEx>
        <w:trPr>
          <w:trHeight w:val="560"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tblPrEx>
          <w:tblCellMar>
            <w:top w:w="0" w:type="dxa"/>
            <w:left w:w="108" w:type="dxa"/>
            <w:bottom w:w="0" w:type="dxa"/>
            <w:right w:w="108" w:type="dxa"/>
          </w:tblCellMar>
        </w:tblPrEx>
        <w:trPr>
          <w:trHeight w:val="560"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569" w:hRule="atLeast"/>
          <w:jc w:val="center"/>
        </w:trPr>
        <w:tc>
          <w:tcPr>
            <w:tcW w:w="1664" w:type="dxa"/>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75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55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79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52"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pPr>
        <w:spacing w:line="360" w:lineRule="auto"/>
        <w:rPr>
          <w:rFonts w:hint="eastAsia" w:ascii="宋体" w:hAnsi="宋体" w:eastAsia="宋体" w:cs="宋体"/>
          <w:color w:val="auto"/>
          <w:sz w:val="24"/>
          <w:szCs w:val="24"/>
          <w:highlight w:val="none"/>
        </w:rPr>
      </w:pPr>
    </w:p>
    <w:p>
      <w:pPr>
        <w:snapToGrid w:val="0"/>
        <w:spacing w:line="336" w:lineRule="auto"/>
        <w:ind w:firstLine="482"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所称中小企业，是指在中华人民共和国境内依法设立，依据国务院批准的</w:t>
      </w:r>
    </w:p>
    <w:p>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规定的中小企业扶持政策：</w:t>
      </w:r>
    </w:p>
    <w:p>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（2）在工程采购项目中，工程由中小企业承建，即工程施工单位为中小企业，不对其中涉及的货物的制造商和服务的承接商作出要求；</w:t>
      </w:r>
    </w:p>
    <w:p>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规定享受扶持政策获得政府采购合同的，小微企业不得将合同分包给大中型企业，中型企业不得将合同分包给大型企业。</w:t>
      </w:r>
    </w:p>
    <w:p>
      <w:pPr>
        <w:pStyle w:val="2"/>
        <w:rPr>
          <w:rFonts w:hint="eastAsia" w:ascii="宋体" w:hAnsi="宋体" w:eastAsia="宋体" w:cs="宋体"/>
          <w:b/>
          <w:bCs/>
          <w:color w:val="auto"/>
          <w:kern w:val="0"/>
          <w:sz w:val="21"/>
          <w:szCs w:val="21"/>
          <w:highlight w:val="none"/>
          <w:lang w:val="en-US" w:eastAsia="zh-CN"/>
        </w:rPr>
      </w:pPr>
    </w:p>
    <w:bookmarkEnd w:id="1159"/>
    <w:bookmarkEnd w:id="1160"/>
    <w:bookmarkEnd w:id="1161"/>
    <w:bookmarkEnd w:id="1162"/>
    <w:bookmarkEnd w:id="1163"/>
    <w:bookmarkEnd w:id="1164"/>
    <w:bookmarkEnd w:id="1165"/>
    <w:p>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rPr>
          <w:rFonts w:hint="eastAsia" w:ascii="宋体" w:hAnsi="宋体" w:eastAsia="宋体" w:cs="宋体"/>
          <w:color w:val="auto"/>
          <w:sz w:val="28"/>
          <w:szCs w:val="28"/>
          <w:highlight w:val="none"/>
          <w:lang w:val="en-US" w:eastAsia="zh-CN"/>
        </w:rPr>
      </w:pPr>
      <w:bookmarkStart w:id="1166" w:name="_Toc2805"/>
      <w:bookmarkStart w:id="1167" w:name="_Toc4327"/>
      <w:r>
        <w:rPr>
          <w:rFonts w:hint="eastAsia" w:ascii="宋体" w:hAnsi="宋体" w:eastAsia="宋体" w:cs="宋体"/>
          <w:color w:val="auto"/>
          <w:sz w:val="28"/>
          <w:szCs w:val="28"/>
          <w:highlight w:val="none"/>
          <w:lang w:val="en-US" w:eastAsia="zh-CN"/>
        </w:rPr>
        <w:t>6-2 残疾人福利性单位声明函</w:t>
      </w:r>
      <w:bookmarkEnd w:id="1166"/>
      <w:bookmarkEnd w:id="1167"/>
    </w:p>
    <w:p>
      <w:pPr>
        <w:spacing w:line="400" w:lineRule="exact"/>
        <w:ind w:left="1080" w:leftChars="257" w:hanging="540"/>
        <w:jc w:val="center"/>
        <w:rPr>
          <w:rFonts w:hint="eastAsia" w:ascii="宋体" w:hAnsi="宋体" w:eastAsia="宋体" w:cs="宋体"/>
          <w:color w:val="auto"/>
          <w:kern w:val="0"/>
          <w:sz w:val="24"/>
          <w:highlight w:val="none"/>
        </w:rPr>
      </w:pPr>
    </w:p>
    <w:p>
      <w:pPr>
        <w:spacing w:line="400" w:lineRule="exact"/>
        <w:ind w:firstLine="56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宋体" w:hAnsi="宋体" w:eastAsia="宋体" w:cs="宋体"/>
          <w:color w:val="auto"/>
          <w:kern w:val="0"/>
          <w:sz w:val="24"/>
          <w:highlight w:val="none"/>
          <w:lang w:val="en-US" w:eastAsia="zh-CN"/>
        </w:rPr>
        <w:t>货物</w:t>
      </w:r>
      <w:r>
        <w:rPr>
          <w:rFonts w:hint="eastAsia" w:ascii="宋体" w:hAnsi="宋体" w:eastAsia="宋体" w:cs="宋体"/>
          <w:color w:val="auto"/>
          <w:kern w:val="0"/>
          <w:sz w:val="24"/>
          <w:highlight w:val="none"/>
        </w:rPr>
        <w:t>，或者提供其他残疾人福利性单位制造的</w:t>
      </w:r>
      <w:r>
        <w:rPr>
          <w:rFonts w:hint="eastAsia" w:ascii="宋体" w:hAnsi="宋体" w:eastAsia="宋体" w:cs="宋体"/>
          <w:color w:val="auto"/>
          <w:kern w:val="0"/>
          <w:sz w:val="24"/>
          <w:highlight w:val="none"/>
          <w:lang w:val="en-US" w:eastAsia="zh-CN"/>
        </w:rPr>
        <w:t>货物</w:t>
      </w:r>
      <w:r>
        <w:rPr>
          <w:rFonts w:hint="eastAsia" w:ascii="宋体" w:hAnsi="宋体" w:eastAsia="宋体" w:cs="宋体"/>
          <w:color w:val="auto"/>
          <w:kern w:val="0"/>
          <w:sz w:val="24"/>
          <w:highlight w:val="none"/>
        </w:rPr>
        <w:t>（不包括使用非残疾人福利性单位注册商标的</w:t>
      </w:r>
      <w:r>
        <w:rPr>
          <w:rFonts w:hint="eastAsia" w:ascii="宋体" w:hAnsi="宋体" w:eastAsia="宋体" w:cs="宋体"/>
          <w:color w:val="auto"/>
          <w:kern w:val="0"/>
          <w:sz w:val="24"/>
          <w:highlight w:val="none"/>
          <w:lang w:val="en-US" w:eastAsia="zh-CN"/>
        </w:rPr>
        <w:t>货物</w:t>
      </w:r>
      <w:r>
        <w:rPr>
          <w:rFonts w:hint="eastAsia" w:ascii="宋体" w:hAnsi="宋体" w:eastAsia="宋体" w:cs="宋体"/>
          <w:color w:val="auto"/>
          <w:kern w:val="0"/>
          <w:sz w:val="24"/>
          <w:highlight w:val="none"/>
        </w:rPr>
        <w:t>）。</w:t>
      </w:r>
    </w:p>
    <w:p>
      <w:pPr>
        <w:spacing w:line="400" w:lineRule="exact"/>
        <w:ind w:left="1080" w:leftChars="257" w:hanging="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本单位对上述声明的真实性负责。如有虚假，将依法承担相应责任。</w:t>
      </w:r>
    </w:p>
    <w:p>
      <w:pPr>
        <w:spacing w:line="400" w:lineRule="exact"/>
        <w:ind w:left="1080" w:leftChars="257" w:hanging="54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pPr>
        <w:spacing w:line="400" w:lineRule="exact"/>
        <w:ind w:left="1080" w:leftChars="257" w:hanging="54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残疾人福利性单位名称（公章）：______________</w:t>
      </w:r>
    </w:p>
    <w:p>
      <w:pPr>
        <w:spacing w:line="400" w:lineRule="exact"/>
        <w:ind w:left="1080" w:leftChars="257" w:hanging="540"/>
        <w:jc w:val="center"/>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color="FFFFFF"/>
        </w:rPr>
        <w:t xml:space="preserve">       </w:t>
      </w:r>
      <w:r>
        <w:rPr>
          <w:rFonts w:hint="eastAsia" w:ascii="宋体" w:hAnsi="宋体" w:eastAsia="宋体" w:cs="宋体"/>
          <w:color w:val="auto"/>
          <w:kern w:val="0"/>
          <w:sz w:val="24"/>
          <w:highlight w:val="none"/>
        </w:rPr>
        <w:t>日  期：_____________________________________________</w:t>
      </w:r>
    </w:p>
    <w:p>
      <w:pPr>
        <w:pStyle w:val="12"/>
        <w:spacing w:line="400" w:lineRule="exact"/>
        <w:ind w:firstLine="480"/>
        <w:rPr>
          <w:rFonts w:hint="eastAsia" w:ascii="宋体" w:hAnsi="宋体" w:eastAsia="宋体" w:cs="宋体"/>
          <w:color w:val="auto"/>
          <w:highlight w:val="none"/>
        </w:rPr>
      </w:pPr>
    </w:p>
    <w:p>
      <w:pPr>
        <w:pStyle w:val="12"/>
        <w:spacing w:line="400" w:lineRule="exact"/>
        <w:ind w:firstLine="480"/>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color w:val="auto"/>
          <w:highlight w:val="none"/>
        </w:rPr>
      </w:pPr>
    </w:p>
    <w:p>
      <w:pPr>
        <w:pStyle w:val="8"/>
        <w:rPr>
          <w:rFonts w:hint="eastAsia" w:ascii="宋体" w:hAnsi="宋体" w:eastAsia="宋体" w:cs="宋体"/>
          <w:color w:val="auto"/>
          <w:highlight w:val="none"/>
        </w:rPr>
      </w:pPr>
    </w:p>
    <w:p>
      <w:pPr>
        <w:rPr>
          <w:rFonts w:hint="eastAsia"/>
          <w:color w:val="auto"/>
          <w:highlight w:val="none"/>
        </w:rPr>
      </w:pPr>
    </w:p>
    <w:p>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宋体" w:hAnsi="宋体" w:eastAsia="宋体" w:cs="宋体"/>
          <w:color w:val="auto"/>
          <w:sz w:val="28"/>
          <w:szCs w:val="28"/>
          <w:highlight w:val="none"/>
          <w:lang w:val="en-US" w:eastAsia="zh-CN"/>
        </w:rPr>
      </w:pPr>
      <w:bookmarkStart w:id="1168" w:name="_Toc19192"/>
      <w:bookmarkStart w:id="1169" w:name="_Toc5157"/>
      <w:r>
        <w:rPr>
          <w:rFonts w:hint="eastAsia" w:ascii="宋体" w:hAnsi="宋体" w:eastAsia="宋体" w:cs="宋体"/>
          <w:color w:val="auto"/>
          <w:sz w:val="28"/>
          <w:szCs w:val="28"/>
          <w:highlight w:val="none"/>
          <w:lang w:val="en-US" w:eastAsia="zh-CN"/>
        </w:rPr>
        <w:t>7.供应商关联单位的说明（格式自拟）</w:t>
      </w:r>
      <w:bookmarkEnd w:id="1168"/>
      <w:bookmarkEnd w:id="1169"/>
    </w:p>
    <w:p>
      <w:pPr>
        <w:pStyle w:val="7"/>
        <w:spacing w:line="400" w:lineRule="exact"/>
        <w:jc w:val="center"/>
        <w:rPr>
          <w:rFonts w:hint="eastAsia" w:ascii="宋体" w:hAnsi="宋体" w:eastAsia="宋体" w:cs="宋体"/>
          <w:color w:val="auto"/>
          <w:szCs w:val="24"/>
          <w:highlight w:val="none"/>
        </w:rPr>
      </w:pPr>
    </w:p>
    <w:p>
      <w:pPr>
        <w:pStyle w:val="7"/>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说明：供应商应当如实披露与本单位存在下列关联关系的单位名称：</w:t>
      </w:r>
    </w:p>
    <w:p>
      <w:pPr>
        <w:pStyle w:val="7"/>
        <w:spacing w:line="400" w:lineRule="exact"/>
        <w:ind w:firstLine="960" w:firstLineChars="4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（1）与供应商单位负责人为同一人的其他单位；</w:t>
      </w:r>
    </w:p>
    <w:p>
      <w:pPr>
        <w:pStyle w:val="7"/>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（2）与供应商存在直接控股、管理关系的其他单位。</w:t>
      </w:r>
    </w:p>
    <w:p>
      <w:pPr>
        <w:pStyle w:val="8"/>
        <w:rPr>
          <w:rFonts w:hint="eastAsia" w:ascii="宋体" w:hAnsi="宋体" w:eastAsia="宋体" w:cs="宋体"/>
          <w:color w:val="auto"/>
          <w:highlight w:val="none"/>
        </w:rPr>
      </w:pPr>
    </w:p>
    <w:p>
      <w:pPr>
        <w:pStyle w:val="2"/>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pStyle w:val="2"/>
        <w:rPr>
          <w:rFonts w:hint="eastAsia" w:ascii="宋体" w:hAnsi="宋体" w:eastAsia="宋体" w:cs="宋体"/>
          <w:b/>
          <w:color w:val="auto"/>
          <w:kern w:val="0"/>
          <w:sz w:val="24"/>
          <w:highlight w:val="none"/>
        </w:rPr>
      </w:pPr>
    </w:p>
    <w:p>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宋体" w:hAnsi="宋体" w:eastAsia="宋体" w:cs="宋体"/>
          <w:color w:val="auto"/>
          <w:sz w:val="28"/>
          <w:szCs w:val="28"/>
          <w:highlight w:val="none"/>
          <w:lang w:val="en-US" w:eastAsia="zh-CN"/>
        </w:rPr>
      </w:pPr>
      <w:bookmarkStart w:id="1170" w:name="_Toc10519"/>
      <w:bookmarkStart w:id="1171" w:name="_Toc29994"/>
      <w:r>
        <w:rPr>
          <w:rFonts w:hint="eastAsia" w:ascii="宋体" w:hAnsi="宋体" w:eastAsia="宋体" w:cs="宋体"/>
          <w:color w:val="auto"/>
          <w:sz w:val="28"/>
          <w:szCs w:val="28"/>
          <w:highlight w:val="none"/>
          <w:lang w:val="en-US" w:eastAsia="zh-CN"/>
        </w:rPr>
        <w:t>8.供应商可提供有利于投标的其他证明材料</w:t>
      </w:r>
      <w:bookmarkEnd w:id="1170"/>
      <w:bookmarkEnd w:id="1171"/>
    </w:p>
    <w:p>
      <w:pPr>
        <w:pStyle w:val="7"/>
        <w:ind w:left="0" w:leftChars="0" w:firstLine="0" w:firstLineChars="0"/>
        <w:rPr>
          <w:rFonts w:hint="eastAsia" w:ascii="宋体" w:hAnsi="宋体" w:eastAsia="宋体" w:cs="宋体"/>
          <w:color w:val="auto"/>
          <w:sz w:val="24"/>
          <w:highlight w:val="none"/>
        </w:rPr>
      </w:pPr>
    </w:p>
    <w:p>
      <w:pPr>
        <w:pStyle w:val="8"/>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宋体" w:hAnsi="宋体" w:eastAsia="宋体" w:cs="宋体"/>
          <w:color w:val="auto"/>
          <w:sz w:val="28"/>
          <w:szCs w:val="28"/>
          <w:highlight w:val="none"/>
          <w:lang w:val="en-US" w:eastAsia="zh-CN"/>
        </w:rPr>
      </w:pPr>
      <w:bookmarkStart w:id="1172" w:name="_Toc11"/>
      <w:bookmarkStart w:id="1173" w:name="_Toc17398"/>
      <w:r>
        <w:rPr>
          <w:rFonts w:hint="eastAsia" w:ascii="宋体" w:hAnsi="宋体" w:eastAsia="宋体" w:cs="宋体"/>
          <w:color w:val="auto"/>
          <w:sz w:val="28"/>
          <w:szCs w:val="28"/>
          <w:highlight w:val="none"/>
          <w:lang w:val="en-US" w:eastAsia="zh-CN"/>
        </w:rPr>
        <w:t>9.投标文件格式范本</w:t>
      </w:r>
      <w:bookmarkEnd w:id="1172"/>
      <w:bookmarkEnd w:id="1173"/>
    </w:p>
    <w:tbl>
      <w:tblPr>
        <w:tblStyle w:val="27"/>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val="0"/>
            <w:vAlign w:val="top"/>
          </w:tcPr>
          <w:p>
            <w:pPr>
              <w:pStyle w:val="1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pPr>
              <w:pStyle w:val="10"/>
              <w:ind w:firstLine="4216" w:firstLineChars="1500"/>
              <w:rPr>
                <w:rFonts w:hint="eastAsia" w:ascii="宋体" w:hAnsi="宋体" w:eastAsia="宋体" w:cs="宋体"/>
                <w:b/>
                <w:bCs/>
                <w:color w:val="auto"/>
                <w:sz w:val="28"/>
                <w:szCs w:val="28"/>
                <w:highlight w:val="none"/>
              </w:rPr>
            </w:pPr>
          </w:p>
          <w:p>
            <w:pPr>
              <w:pStyle w:val="10"/>
              <w:ind w:firstLine="4216" w:firstLineChars="1500"/>
              <w:rPr>
                <w:rFonts w:hint="eastAsia" w:ascii="宋体" w:hAnsi="宋体" w:eastAsia="宋体" w:cs="宋体"/>
                <w:b/>
                <w:bCs/>
                <w:color w:val="auto"/>
                <w:sz w:val="28"/>
                <w:szCs w:val="28"/>
                <w:highlight w:val="none"/>
              </w:rPr>
            </w:pPr>
          </w:p>
          <w:p>
            <w:pPr>
              <w:pStyle w:val="10"/>
              <w:rPr>
                <w:rFonts w:hint="eastAsia" w:ascii="宋体" w:hAnsi="宋体" w:eastAsia="宋体" w:cs="宋体"/>
                <w:b/>
                <w:bCs/>
                <w:color w:val="auto"/>
                <w:sz w:val="28"/>
                <w:szCs w:val="28"/>
                <w:highlight w:val="none"/>
              </w:rPr>
            </w:pPr>
          </w:p>
          <w:p>
            <w:pPr>
              <w:pStyle w:val="10"/>
              <w:jc w:val="center"/>
              <w:rPr>
                <w:rFonts w:hint="eastAsia" w:ascii="宋体" w:hAnsi="宋体" w:eastAsia="宋体" w:cs="宋体"/>
                <w:b/>
                <w:bCs/>
                <w:color w:val="auto"/>
                <w:sz w:val="48"/>
                <w:highlight w:val="none"/>
                <w:lang w:val="en-US" w:eastAsia="zh-CN"/>
              </w:rPr>
            </w:pPr>
            <w:r>
              <w:rPr>
                <w:rFonts w:hint="eastAsia" w:cs="宋体"/>
                <w:b/>
                <w:bCs/>
                <w:color w:val="auto"/>
                <w:sz w:val="48"/>
                <w:highlight w:val="none"/>
                <w:lang w:val="en-US" w:eastAsia="zh-CN"/>
              </w:rPr>
              <w:t>泽普县2024年消防救援设施建设采购项目</w:t>
            </w:r>
          </w:p>
          <w:p>
            <w:pPr>
              <w:pStyle w:val="10"/>
              <w:ind w:firstLine="3373" w:firstLineChars="1600"/>
              <w:jc w:val="both"/>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编号</w:t>
            </w:r>
            <w:r>
              <w:rPr>
                <w:rFonts w:hint="eastAsia" w:cs="宋体"/>
                <w:b/>
                <w:bCs/>
                <w:color w:val="auto"/>
                <w:sz w:val="21"/>
                <w:szCs w:val="21"/>
                <w:highlight w:val="none"/>
                <w:lang w:eastAsia="zh-CN"/>
              </w:rPr>
              <w:t>：</w:t>
            </w:r>
            <w:r>
              <w:rPr>
                <w:rFonts w:hint="eastAsia" w:cs="宋体"/>
                <w:b/>
                <w:bCs/>
                <w:color w:val="000000" w:themeColor="text1"/>
                <w:sz w:val="21"/>
                <w:szCs w:val="21"/>
                <w:highlight w:val="none"/>
                <w:lang w:eastAsia="zh-CN"/>
                <w14:textFill>
                  <w14:solidFill>
                    <w14:schemeClr w14:val="tx1"/>
                  </w14:solidFill>
                </w14:textFill>
              </w:rPr>
              <w:t>ZPDL(2024)</w:t>
            </w:r>
            <w:r>
              <w:rPr>
                <w:rFonts w:hint="eastAsia" w:cs="宋体"/>
                <w:b/>
                <w:bCs/>
                <w:color w:val="000000" w:themeColor="text1"/>
                <w:sz w:val="21"/>
                <w:szCs w:val="21"/>
                <w:highlight w:val="none"/>
                <w:lang w:val="en-US" w:eastAsia="zh-CN"/>
                <w14:textFill>
                  <w14:solidFill>
                    <w14:schemeClr w14:val="tx1"/>
                  </w14:solidFill>
                </w14:textFill>
              </w:rPr>
              <w:t>037</w:t>
            </w:r>
          </w:p>
          <w:p>
            <w:pPr>
              <w:pStyle w:val="10"/>
              <w:jc w:val="center"/>
              <w:rPr>
                <w:rFonts w:hint="eastAsia" w:ascii="宋体" w:hAnsi="宋体" w:eastAsia="宋体" w:cs="宋体"/>
                <w:b/>
                <w:bCs/>
                <w:color w:val="auto"/>
                <w:sz w:val="48"/>
                <w:highlight w:val="none"/>
              </w:rPr>
            </w:pPr>
          </w:p>
          <w:p>
            <w:pPr>
              <w:pStyle w:val="10"/>
              <w:jc w:val="center"/>
              <w:rPr>
                <w:rFonts w:hint="eastAsia" w:ascii="宋体" w:hAnsi="宋体" w:eastAsia="宋体" w:cs="宋体"/>
                <w:b/>
                <w:bCs/>
                <w:color w:val="auto"/>
                <w:sz w:val="48"/>
                <w:highlight w:val="none"/>
              </w:rPr>
            </w:pPr>
            <w:r>
              <w:rPr>
                <w:rFonts w:hint="eastAsia" w:ascii="宋体" w:hAnsi="宋体" w:eastAsia="宋体" w:cs="宋体"/>
                <w:b/>
                <w:bCs/>
                <w:color w:val="auto"/>
                <w:sz w:val="48"/>
                <w:highlight w:val="none"/>
              </w:rPr>
              <w:t>投 标 文 件</w:t>
            </w:r>
          </w:p>
          <w:p>
            <w:pPr>
              <w:pStyle w:val="7"/>
              <w:ind w:firstLine="0"/>
              <w:rPr>
                <w:rFonts w:hint="eastAsia" w:ascii="宋体" w:hAnsi="宋体" w:eastAsia="宋体" w:cs="宋体"/>
                <w:b/>
                <w:color w:val="auto"/>
                <w:sz w:val="32"/>
                <w:highlight w:val="none"/>
              </w:rPr>
            </w:pPr>
          </w:p>
          <w:p>
            <w:pPr>
              <w:pStyle w:val="7"/>
              <w:rPr>
                <w:rFonts w:hint="eastAsia" w:ascii="宋体" w:hAnsi="宋体" w:eastAsia="宋体" w:cs="宋体"/>
                <w:b/>
                <w:color w:val="auto"/>
                <w:sz w:val="32"/>
                <w:highlight w:val="none"/>
              </w:rPr>
            </w:pPr>
          </w:p>
          <w:p>
            <w:pPr>
              <w:spacing w:line="360" w:lineRule="auto"/>
              <w:ind w:left="176" w:leftChars="84"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应</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pPr>
              <w:spacing w:line="360" w:lineRule="auto"/>
              <w:ind w:left="176" w:leftChars="84" w:firstLine="1260" w:firstLineChars="6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pPr>
              <w:spacing w:line="360" w:lineRule="auto"/>
              <w:ind w:left="176" w:leftChars="84" w:firstLine="1260" w:firstLineChars="6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p>
          <w:p>
            <w:pPr>
              <w:spacing w:line="360" w:lineRule="auto"/>
              <w:ind w:left="176" w:leftChars="84" w:firstLine="1260" w:firstLineChars="6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left="176" w:leftChars="84"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pacing w:line="360" w:lineRule="auto"/>
              <w:ind w:left="176" w:leftChars="84" w:firstLine="1260" w:firstLineChars="600"/>
              <w:rPr>
                <w:rFonts w:hint="eastAsia" w:ascii="宋体" w:hAnsi="宋体" w:eastAsia="宋体" w:cs="宋体"/>
                <w:b/>
                <w:bCs/>
                <w:color w:val="auto"/>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jc w:val="center"/>
              <w:rPr>
                <w:rFonts w:hint="eastAsia" w:ascii="宋体" w:hAnsi="宋体" w:eastAsia="宋体" w:cs="宋体"/>
                <w:b/>
                <w:bCs/>
                <w:color w:val="auto"/>
                <w:highlight w:val="none"/>
              </w:rPr>
            </w:pPr>
          </w:p>
          <w:p>
            <w:pPr>
              <w:pStyle w:val="7"/>
              <w:rPr>
                <w:rFonts w:hint="eastAsia" w:ascii="宋体" w:hAnsi="宋体" w:eastAsia="宋体" w:cs="宋体"/>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注：在202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rPr>
              <w:t>年</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highlight w:val="none"/>
              </w:rPr>
              <w:t>月</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highlight w:val="none"/>
              </w:rPr>
              <w:t>日</w:t>
            </w:r>
            <w:r>
              <w:rPr>
                <w:rFonts w:hint="eastAsia" w:ascii="宋体" w:hAnsi="宋体" w:cs="宋体"/>
                <w:b/>
                <w:bCs/>
                <w:color w:val="auto"/>
                <w:sz w:val="21"/>
                <w:szCs w:val="21"/>
                <w:highlight w:val="none"/>
                <w:lang w:val="en-US" w:eastAsia="zh-CN"/>
              </w:rPr>
              <w:t xml:space="preserve">   时  分</w:t>
            </w:r>
            <w:r>
              <w:rPr>
                <w:rFonts w:hint="eastAsia" w:ascii="宋体" w:hAnsi="宋体" w:eastAsia="宋体" w:cs="宋体"/>
                <w:b/>
                <w:bCs/>
                <w:color w:val="auto"/>
                <w:highlight w:val="none"/>
              </w:rPr>
              <w:t>之前不得启封</w:t>
            </w:r>
          </w:p>
          <w:p>
            <w:pPr>
              <w:jc w:val="center"/>
              <w:rPr>
                <w:rFonts w:hint="eastAsia" w:ascii="宋体" w:hAnsi="宋体" w:eastAsia="宋体" w:cs="宋体"/>
                <w:b/>
                <w:bCs/>
                <w:color w:val="auto"/>
                <w:highlight w:val="none"/>
              </w:rPr>
            </w:pPr>
          </w:p>
        </w:tc>
      </w:tr>
    </w:tbl>
    <w:p>
      <w:pPr>
        <w:spacing w:line="240" w:lineRule="atLeast"/>
        <w:jc w:val="center"/>
        <w:rPr>
          <w:rFonts w:hint="eastAsia" w:ascii="宋体" w:hAnsi="宋体" w:eastAsia="宋体" w:cs="宋体"/>
          <w:b/>
          <w:color w:val="auto"/>
          <w:sz w:val="32"/>
          <w:highlight w:val="none"/>
        </w:rPr>
      </w:pPr>
    </w:p>
    <w:p>
      <w:pPr>
        <w:spacing w:line="240" w:lineRule="atLeast"/>
        <w:jc w:val="center"/>
        <w:rPr>
          <w:rFonts w:hint="eastAsia" w:ascii="宋体" w:hAnsi="宋体" w:eastAsia="宋体" w:cs="宋体"/>
          <w:b/>
          <w:color w:val="auto"/>
          <w:sz w:val="32"/>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rPr>
          <w:rFonts w:hint="eastAsia" w:ascii="宋体" w:hAnsi="宋体" w:eastAsia="宋体" w:cs="宋体"/>
          <w:b/>
          <w:color w:val="auto"/>
          <w:sz w:val="44"/>
          <w:szCs w:val="44"/>
          <w:highlight w:val="none"/>
        </w:rPr>
      </w:pPr>
    </w:p>
    <w:p>
      <w:pPr>
        <w:spacing w:line="240" w:lineRule="atLeast"/>
        <w:jc w:val="center"/>
        <w:outlineLvl w:val="9"/>
        <w:rPr>
          <w:rFonts w:hint="eastAsia" w:ascii="宋体" w:hAnsi="宋体" w:eastAsia="宋体" w:cs="宋体"/>
          <w:b/>
          <w:color w:val="auto"/>
          <w:sz w:val="44"/>
          <w:szCs w:val="44"/>
          <w:highlight w:val="none"/>
        </w:rPr>
      </w:pPr>
    </w:p>
    <w:p>
      <w:pPr>
        <w:pStyle w:val="8"/>
        <w:outlineLvl w:val="9"/>
        <w:rPr>
          <w:rFonts w:hint="eastAsia" w:ascii="宋体" w:hAnsi="宋体" w:eastAsia="宋体" w:cs="宋体"/>
          <w:b/>
          <w:color w:val="auto"/>
          <w:sz w:val="44"/>
          <w:szCs w:val="44"/>
          <w:highlight w:val="none"/>
        </w:rPr>
      </w:pPr>
    </w:p>
    <w:p>
      <w:pPr>
        <w:outlineLvl w:val="9"/>
        <w:rPr>
          <w:rFonts w:hint="eastAsia" w:ascii="宋体" w:hAnsi="宋体" w:eastAsia="宋体" w:cs="宋体"/>
          <w:b/>
          <w:color w:val="auto"/>
          <w:sz w:val="44"/>
          <w:szCs w:val="44"/>
          <w:highlight w:val="none"/>
        </w:rPr>
      </w:pPr>
    </w:p>
    <w:p>
      <w:pPr>
        <w:outlineLvl w:val="9"/>
        <w:rPr>
          <w:rFonts w:hint="eastAsia"/>
          <w:color w:val="auto"/>
          <w:highlight w:val="none"/>
        </w:rPr>
      </w:pPr>
    </w:p>
    <w:p>
      <w:pPr>
        <w:pStyle w:val="2"/>
        <w:rPr>
          <w:rFonts w:hint="eastAsia" w:ascii="宋体" w:hAnsi="宋体" w:eastAsia="宋体" w:cs="宋体"/>
          <w:color w:val="auto"/>
          <w:highlight w:val="none"/>
        </w:rPr>
      </w:pPr>
    </w:p>
    <w:p>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pPr>
        <w:spacing w:line="360" w:lineRule="auto"/>
        <w:rPr>
          <w:rFonts w:hint="eastAsia" w:ascii="宋体" w:hAnsi="宋体" w:eastAsia="宋体" w:cs="宋体"/>
          <w:b/>
          <w:color w:val="auto"/>
          <w:sz w:val="40"/>
          <w:szCs w:val="40"/>
          <w:highlight w:val="none"/>
        </w:rPr>
      </w:pPr>
      <w:bookmarkStart w:id="1174" w:name="_Toc24900_WPSOffice_Level2"/>
    </w:p>
    <w:p>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32"/>
          <w:szCs w:val="32"/>
          <w:highlight w:val="none"/>
        </w:rPr>
        <w:t>项目编号：</w:t>
      </w:r>
      <w:bookmarkEnd w:id="1174"/>
      <w:r>
        <w:rPr>
          <w:rFonts w:hint="eastAsia" w:ascii="宋体" w:hAnsi="宋体" w:cs="宋体"/>
          <w:b/>
          <w:color w:val="000000" w:themeColor="text1"/>
          <w:sz w:val="32"/>
          <w:szCs w:val="32"/>
          <w:highlight w:val="none"/>
          <w:lang w:eastAsia="zh-CN"/>
          <w14:textFill>
            <w14:solidFill>
              <w14:schemeClr w14:val="tx1"/>
            </w14:solidFill>
          </w14:textFill>
        </w:rPr>
        <w:t>ZPDL(2024)</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037 </w:t>
      </w: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第 二 册</w:t>
      </w:r>
    </w:p>
    <w:p>
      <w:pPr>
        <w:spacing w:line="240" w:lineRule="atLeast"/>
        <w:jc w:val="center"/>
        <w:rPr>
          <w:rFonts w:hint="eastAsia" w:ascii="宋体" w:hAnsi="宋体" w:eastAsia="宋体" w:cs="宋体"/>
          <w:b/>
          <w:color w:val="auto"/>
          <w:sz w:val="44"/>
          <w:szCs w:val="44"/>
          <w:highlight w:val="none"/>
        </w:rPr>
      </w:pPr>
    </w:p>
    <w:p>
      <w:pPr>
        <w:pStyle w:val="7"/>
        <w:rPr>
          <w:rFonts w:hint="eastAsia" w:ascii="宋体" w:hAnsi="宋体" w:eastAsia="宋体" w:cs="宋体"/>
          <w:b/>
          <w:color w:val="auto"/>
          <w:sz w:val="44"/>
          <w:szCs w:val="36"/>
          <w:highlight w:val="none"/>
        </w:rPr>
      </w:pPr>
    </w:p>
    <w:p>
      <w:pPr>
        <w:pStyle w:val="8"/>
        <w:rPr>
          <w:rFonts w:hint="eastAsia" w:ascii="宋体" w:hAnsi="宋体" w:eastAsia="宋体" w:cs="宋体"/>
          <w:b/>
          <w:color w:val="auto"/>
          <w:sz w:val="44"/>
          <w:szCs w:val="36"/>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240" w:lineRule="atLeast"/>
        <w:jc w:val="center"/>
        <w:rPr>
          <w:rFonts w:hint="eastAsia" w:ascii="宋体" w:hAnsi="宋体" w:eastAsia="宋体" w:cs="宋体"/>
          <w:b/>
          <w:color w:val="auto"/>
          <w:sz w:val="32"/>
          <w:highlight w:val="none"/>
        </w:rPr>
      </w:pPr>
    </w:p>
    <w:p>
      <w:pPr>
        <w:pStyle w:val="7"/>
        <w:rPr>
          <w:rFonts w:hint="eastAsia" w:ascii="宋体" w:hAnsi="宋体" w:eastAsia="宋体" w:cs="宋体"/>
          <w:b/>
          <w:color w:val="auto"/>
          <w:sz w:val="32"/>
          <w:highlight w:val="none"/>
        </w:rPr>
      </w:pPr>
    </w:p>
    <w:bookmarkEnd w:id="1050"/>
    <w:bookmarkEnd w:id="1051"/>
    <w:bookmarkEnd w:id="1052"/>
    <w:bookmarkEnd w:id="1053"/>
    <w:bookmarkEnd w:id="1096"/>
    <w:bookmarkEnd w:id="1097"/>
    <w:bookmarkEnd w:id="1098"/>
    <w:bookmarkEnd w:id="1099"/>
    <w:bookmarkEnd w:id="1100"/>
    <w:bookmarkEnd w:id="1101"/>
    <w:p>
      <w:pPr>
        <w:pStyle w:val="7"/>
        <w:ind w:left="0" w:leftChars="0" w:firstLine="0" w:firstLineChars="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Style w:val="34"/>
          <w:rFonts w:hint="eastAsia" w:ascii="宋体" w:hAnsi="宋体" w:eastAsia="宋体" w:cs="宋体"/>
          <w:color w:val="auto"/>
          <w:highlight w:val="none"/>
        </w:rPr>
      </w:pPr>
      <w:bookmarkStart w:id="1175" w:name="_Toc22081"/>
      <w:bookmarkStart w:id="1176" w:name="_Toc28765"/>
      <w:bookmarkStart w:id="1177" w:name="_Toc29715"/>
      <w:bookmarkStart w:id="1178" w:name="_Toc218935350"/>
      <w:bookmarkStart w:id="1179" w:name="_Toc219175634"/>
      <w:bookmarkStart w:id="1180" w:name="_Toc16370"/>
      <w:bookmarkStart w:id="1181" w:name="_Toc515647829"/>
      <w:bookmarkStart w:id="1182" w:name="_Toc507399902"/>
      <w:bookmarkStart w:id="1183" w:name="_Toc216582822"/>
      <w:r>
        <w:rPr>
          <w:rStyle w:val="34"/>
          <w:rFonts w:hint="eastAsia" w:ascii="宋体" w:hAnsi="宋体" w:eastAsia="宋体" w:cs="宋体"/>
          <w:color w:val="auto"/>
          <w:highlight w:val="none"/>
        </w:rPr>
        <w:br w:type="page"/>
      </w:r>
    </w:p>
    <w:p>
      <w:pPr>
        <w:widowControl/>
        <w:spacing w:line="440" w:lineRule="exact"/>
        <w:jc w:val="center"/>
        <w:outlineLvl w:val="0"/>
        <w:rPr>
          <w:rFonts w:hint="eastAsia" w:ascii="宋体" w:hAnsi="宋体" w:eastAsia="宋体" w:cs="宋体"/>
          <w:b/>
          <w:bCs/>
          <w:color w:val="auto"/>
          <w:kern w:val="0"/>
          <w:sz w:val="32"/>
          <w:szCs w:val="32"/>
          <w:highlight w:val="none"/>
          <w:lang w:val="en-US" w:eastAsia="zh-CN" w:bidi="ar-SA"/>
        </w:rPr>
      </w:pPr>
      <w:bookmarkStart w:id="1184" w:name="_Toc10889"/>
      <w:bookmarkStart w:id="1185" w:name="_Toc1297"/>
      <w:r>
        <w:rPr>
          <w:rFonts w:hint="eastAsia" w:ascii="宋体" w:hAnsi="宋体" w:eastAsia="宋体" w:cs="宋体"/>
          <w:b/>
          <w:bCs/>
          <w:color w:val="auto"/>
          <w:kern w:val="0"/>
          <w:sz w:val="32"/>
          <w:szCs w:val="32"/>
          <w:highlight w:val="none"/>
          <w:lang w:val="en-US" w:eastAsia="zh-CN" w:bidi="ar-SA"/>
        </w:rPr>
        <w:t>第3章</w:t>
      </w:r>
      <w:r>
        <w:rPr>
          <w:rFonts w:hint="eastAsia" w:ascii="宋体" w:hAnsi="宋体" w:cs="宋体"/>
          <w:b/>
          <w:bCs/>
          <w:color w:val="auto"/>
          <w:kern w:val="0"/>
          <w:sz w:val="32"/>
          <w:szCs w:val="32"/>
          <w:highlight w:val="none"/>
          <w:lang w:val="en-US" w:eastAsia="zh-CN" w:bidi="ar-SA"/>
        </w:rPr>
        <w:t xml:space="preserve">  </w:t>
      </w:r>
      <w:r>
        <w:rPr>
          <w:rFonts w:hint="eastAsia" w:ascii="宋体" w:hAnsi="宋体" w:eastAsia="宋体" w:cs="宋体"/>
          <w:b/>
          <w:bCs/>
          <w:color w:val="auto"/>
          <w:kern w:val="0"/>
          <w:sz w:val="32"/>
          <w:szCs w:val="32"/>
          <w:highlight w:val="none"/>
          <w:lang w:val="en-US" w:eastAsia="zh-CN" w:bidi="ar-SA"/>
        </w:rPr>
        <w:t>投标邀请</w:t>
      </w:r>
      <w:bookmarkEnd w:id="1175"/>
      <w:bookmarkEnd w:id="1176"/>
      <w:bookmarkEnd w:id="1177"/>
      <w:bookmarkEnd w:id="1178"/>
      <w:bookmarkEnd w:id="1179"/>
      <w:bookmarkEnd w:id="1180"/>
      <w:bookmarkEnd w:id="1181"/>
      <w:bookmarkEnd w:id="1182"/>
      <w:bookmarkEnd w:id="1183"/>
      <w:bookmarkEnd w:id="1184"/>
      <w:bookmarkEnd w:id="1185"/>
      <w:bookmarkStart w:id="1186" w:name="_Toc512937850"/>
      <w:bookmarkStart w:id="1187" w:name="_Toc10488"/>
      <w:bookmarkStart w:id="1188" w:name="_Toc507399903"/>
      <w:bookmarkStart w:id="1189" w:name="_Toc216582823"/>
      <w:bookmarkStart w:id="1190" w:name="_Toc515647830"/>
      <w:bookmarkStart w:id="1191" w:name="_Toc5272"/>
      <w:bookmarkStart w:id="1192" w:name="_Toc31583"/>
    </w:p>
    <w:p>
      <w:pPr>
        <w:tabs>
          <w:tab w:val="left" w:pos="0"/>
          <w:tab w:val="left" w:pos="3165"/>
          <w:tab w:val="center" w:pos="4153"/>
        </w:tabs>
        <w:spacing w:before="0" w:after="0" w:line="480" w:lineRule="exact"/>
        <w:jc w:val="center"/>
        <w:outlineLvl w:val="9"/>
        <w:rPr>
          <w:rFonts w:hint="eastAsia" w:ascii="宋体" w:hAnsi="宋体" w:eastAsia="宋体" w:cs="宋体"/>
          <w:b/>
          <w:bCs/>
          <w:color w:val="auto"/>
          <w:sz w:val="28"/>
          <w:szCs w:val="28"/>
          <w:highlight w:val="none"/>
          <w:lang w:eastAsia="zh-CN"/>
        </w:rPr>
      </w:pPr>
      <w:bookmarkStart w:id="1193" w:name="_Toc29132"/>
      <w:r>
        <w:rPr>
          <w:rFonts w:hint="eastAsia" w:ascii="宋体" w:hAnsi="宋体" w:cs="宋体"/>
          <w:b/>
          <w:bCs/>
          <w:color w:val="auto"/>
          <w:sz w:val="32"/>
          <w:szCs w:val="32"/>
          <w:highlight w:val="none"/>
          <w:lang w:eastAsia="zh-CN"/>
        </w:rPr>
        <w:t>泽普县2024年消防救援设施建设</w:t>
      </w:r>
      <w:r>
        <w:rPr>
          <w:rFonts w:hint="eastAsia" w:ascii="宋体" w:hAnsi="宋体" w:cs="宋体"/>
          <w:b/>
          <w:bCs/>
          <w:color w:val="auto"/>
          <w:sz w:val="32"/>
          <w:szCs w:val="32"/>
          <w:highlight w:val="none"/>
          <w:lang w:val="en-US" w:eastAsia="zh-CN"/>
        </w:rPr>
        <w:t>采购</w:t>
      </w:r>
      <w:r>
        <w:rPr>
          <w:rFonts w:hint="eastAsia" w:ascii="宋体" w:hAnsi="宋体" w:cs="宋体"/>
          <w:b/>
          <w:bCs/>
          <w:color w:val="auto"/>
          <w:sz w:val="32"/>
          <w:szCs w:val="32"/>
          <w:highlight w:val="none"/>
          <w:lang w:eastAsia="zh-CN"/>
        </w:rPr>
        <w:t>项目</w:t>
      </w:r>
      <w:r>
        <w:rPr>
          <w:rFonts w:hint="eastAsia" w:ascii="宋体" w:hAnsi="宋体" w:eastAsia="宋体" w:cs="宋体"/>
          <w:b/>
          <w:bCs/>
          <w:color w:val="auto"/>
          <w:sz w:val="32"/>
          <w:szCs w:val="32"/>
          <w:highlight w:val="none"/>
          <w:lang w:eastAsia="zh-CN"/>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textAlignment w:val="auto"/>
        <w:outlineLvl w:val="9"/>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u w:val="single"/>
          <w:lang w:eastAsia="zh-CN"/>
        </w:rPr>
        <w:t>泽普县2024年消防救援设施建设采购项目</w:t>
      </w:r>
      <w:r>
        <w:rPr>
          <w:rFonts w:hint="eastAsia" w:ascii="宋体" w:hAnsi="宋体" w:eastAsia="宋体" w:cs="宋体"/>
          <w:color w:val="auto"/>
          <w:sz w:val="24"/>
          <w:szCs w:val="24"/>
          <w:highlight w:val="none"/>
          <w:u w:val="none"/>
        </w:rPr>
        <w:t>的潜在</w:t>
      </w:r>
      <w:r>
        <w:rPr>
          <w:rFonts w:hint="eastAsia" w:ascii="宋体" w:hAnsi="宋体" w:cs="宋体"/>
          <w:color w:val="auto"/>
          <w:sz w:val="24"/>
          <w:szCs w:val="24"/>
          <w:highlight w:val="none"/>
          <w:u w:val="none"/>
          <w:lang w:val="en-US" w:eastAsia="zh-CN"/>
        </w:rPr>
        <w:t>投标人</w:t>
      </w:r>
      <w:r>
        <w:rPr>
          <w:rFonts w:hint="eastAsia" w:ascii="宋体" w:hAnsi="宋体" w:eastAsia="宋体" w:cs="宋体"/>
          <w:color w:val="auto"/>
          <w:sz w:val="24"/>
          <w:szCs w:val="24"/>
          <w:highlight w:val="none"/>
          <w:u w:val="none"/>
        </w:rPr>
        <w:t>应在</w:t>
      </w:r>
      <w:r>
        <w:rPr>
          <w:rFonts w:hint="eastAsia" w:ascii="宋体" w:hAnsi="宋体" w:eastAsia="宋体" w:cs="宋体"/>
          <w:color w:val="auto"/>
          <w:sz w:val="24"/>
          <w:szCs w:val="24"/>
          <w:highlight w:val="none"/>
          <w:u w:val="none"/>
          <w:lang w:val="en-US" w:eastAsia="zh-CN"/>
        </w:rPr>
        <w:t>政采云平台</w:t>
      </w:r>
      <w:r>
        <w:rPr>
          <w:rFonts w:hint="eastAsia" w:ascii="宋体" w:hAnsi="宋体" w:cs="宋体"/>
          <w:color w:val="auto"/>
          <w:sz w:val="24"/>
          <w:szCs w:val="24"/>
          <w:highlight w:val="none"/>
          <w:u w:val="none"/>
          <w:lang w:val="en-US" w:eastAsia="zh-CN"/>
        </w:rPr>
        <w:t>线上</w:t>
      </w:r>
      <w:r>
        <w:rPr>
          <w:rFonts w:hint="eastAsia" w:ascii="宋体" w:hAnsi="宋体" w:eastAsia="宋体" w:cs="宋体"/>
          <w:color w:val="auto"/>
          <w:sz w:val="24"/>
          <w:szCs w:val="24"/>
          <w:highlight w:val="none"/>
          <w:u w:val="none"/>
        </w:rPr>
        <w:t>获取招标文件，并于</w:t>
      </w:r>
      <w:r>
        <w:rPr>
          <w:rFonts w:hint="eastAsia" w:ascii="宋体" w:hAnsi="宋体" w:cs="宋体"/>
          <w:color w:val="auto"/>
          <w:sz w:val="24"/>
          <w:szCs w:val="24"/>
          <w:highlight w:val="none"/>
          <w:u w:val="none"/>
          <w:lang w:eastAsia="zh-CN"/>
        </w:rPr>
        <w:t>202</w:t>
      </w:r>
      <w:r>
        <w:rPr>
          <w:rFonts w:hint="eastAsia" w:ascii="宋体" w:hAnsi="宋体" w:cs="宋体"/>
          <w:color w:val="auto"/>
          <w:sz w:val="24"/>
          <w:szCs w:val="24"/>
          <w:highlight w:val="none"/>
          <w:u w:val="none"/>
          <w:lang w:val="en-US" w:eastAsia="zh-CN"/>
        </w:rPr>
        <w:t>4</w:t>
      </w:r>
      <w:r>
        <w:rPr>
          <w:rFonts w:hint="eastAsia" w:ascii="宋体" w:hAnsi="宋体" w:cs="宋体"/>
          <w:color w:val="auto"/>
          <w:sz w:val="24"/>
          <w:szCs w:val="24"/>
          <w:highlight w:val="none"/>
          <w:u w:val="none"/>
          <w:lang w:eastAsia="zh-CN"/>
        </w:rPr>
        <w:t>年</w:t>
      </w:r>
      <w:r>
        <w:rPr>
          <w:rFonts w:hint="eastAsia" w:ascii="宋体" w:hAnsi="宋体" w:cs="宋体"/>
          <w:color w:val="auto"/>
          <w:sz w:val="24"/>
          <w:szCs w:val="24"/>
          <w:highlight w:val="none"/>
          <w:u w:val="none"/>
          <w:lang w:val="en-US" w:eastAsia="zh-CN"/>
        </w:rPr>
        <w:t>7月5日16：30</w:t>
      </w:r>
      <w:r>
        <w:rPr>
          <w:rFonts w:hint="eastAsia" w:ascii="宋体" w:hAnsi="宋体" w:eastAsia="宋体" w:cs="宋体"/>
          <w:color w:val="auto"/>
          <w:sz w:val="24"/>
          <w:szCs w:val="24"/>
          <w:highlight w:val="none"/>
          <w:u w:val="none"/>
        </w:rPr>
        <w:t>（北京时间）</w:t>
      </w:r>
      <w:r>
        <w:rPr>
          <w:rFonts w:hint="eastAsia" w:ascii="宋体" w:hAnsi="宋体" w:eastAsia="宋体" w:cs="宋体"/>
          <w:bCs/>
          <w:color w:val="auto"/>
          <w:sz w:val="24"/>
          <w:szCs w:val="24"/>
          <w:highlight w:val="none"/>
          <w:u w:val="none"/>
        </w:rPr>
        <w:t>前递交投标文件</w:t>
      </w:r>
      <w:r>
        <w:rPr>
          <w:rFonts w:hint="eastAsia" w:ascii="宋体" w:hAnsi="宋体" w:eastAsia="宋体" w:cs="宋体"/>
          <w:color w:val="auto"/>
          <w:sz w:val="24"/>
          <w:szCs w:val="24"/>
          <w:highlight w:val="none"/>
          <w:u w:val="none"/>
        </w:rPr>
        <w:t>。</w:t>
      </w:r>
      <w:bookmarkStart w:id="1194" w:name="_Toc28359079"/>
      <w:bookmarkStart w:id="1195" w:name="_Toc28217"/>
      <w:bookmarkStart w:id="1196" w:name="_Toc35393790"/>
      <w:bookmarkStart w:id="1197" w:name="_Toc28359002"/>
      <w:bookmarkStart w:id="1198" w:name="_Toc35393621"/>
      <w:bookmarkStart w:id="1199" w:name="_Hlk24379207"/>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bCs w:val="0"/>
          <w:color w:val="auto"/>
          <w:sz w:val="24"/>
          <w:szCs w:val="24"/>
          <w:highlight w:val="none"/>
        </w:rPr>
      </w:pPr>
      <w:bookmarkStart w:id="1200" w:name="_Toc20970"/>
      <w:bookmarkStart w:id="1201" w:name="_Toc28253"/>
      <w:r>
        <w:rPr>
          <w:rFonts w:hint="eastAsia" w:ascii="宋体" w:hAnsi="宋体" w:eastAsia="宋体" w:cs="宋体"/>
          <w:b/>
          <w:bCs w:val="0"/>
          <w:color w:val="auto"/>
          <w:sz w:val="24"/>
          <w:szCs w:val="24"/>
          <w:highlight w:val="none"/>
        </w:rPr>
        <w:t>一、</w:t>
      </w:r>
      <w:bookmarkEnd w:id="1194"/>
      <w:bookmarkEnd w:id="1195"/>
      <w:bookmarkEnd w:id="1196"/>
      <w:bookmarkEnd w:id="1197"/>
      <w:bookmarkEnd w:id="1198"/>
      <w:r>
        <w:rPr>
          <w:rFonts w:hint="eastAsia" w:ascii="宋体" w:hAnsi="宋体" w:eastAsia="宋体" w:cs="宋体"/>
          <w:b/>
          <w:bCs w:val="0"/>
          <w:color w:val="auto"/>
          <w:sz w:val="24"/>
          <w:szCs w:val="24"/>
          <w:highlight w:val="none"/>
        </w:rPr>
        <w:t>项目基本情况</w:t>
      </w:r>
      <w:bookmarkEnd w:id="1200"/>
      <w:bookmarkEnd w:id="1201"/>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r>
        <w:rPr>
          <w:rFonts w:hint="eastAsia" w:ascii="宋体" w:hAnsi="宋体" w:cs="宋体"/>
          <w:color w:val="000000" w:themeColor="text1"/>
          <w:sz w:val="24"/>
          <w:szCs w:val="24"/>
          <w:highlight w:val="none"/>
          <w:lang w:eastAsia="zh-CN"/>
          <w14:textFill>
            <w14:solidFill>
              <w14:schemeClr w14:val="tx1"/>
            </w14:solidFill>
          </w14:textFill>
        </w:rPr>
        <w:t>ZPDL(2024)</w:t>
      </w:r>
      <w:r>
        <w:rPr>
          <w:rFonts w:hint="eastAsia" w:ascii="宋体" w:hAnsi="宋体" w:cs="宋体"/>
          <w:color w:val="000000" w:themeColor="text1"/>
          <w:sz w:val="24"/>
          <w:szCs w:val="24"/>
          <w:highlight w:val="none"/>
          <w:lang w:val="en-US" w:eastAsia="zh-CN"/>
          <w14:textFill>
            <w14:solidFill>
              <w14:schemeClr w14:val="tx1"/>
            </w14:solidFill>
          </w14:textFill>
        </w:rPr>
        <w:t xml:space="preserve">037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bookmarkEnd w:id="1199"/>
      <w:r>
        <w:rPr>
          <w:rFonts w:hint="eastAsia" w:ascii="宋体" w:hAnsi="宋体" w:cs="宋体"/>
          <w:color w:val="auto"/>
          <w:sz w:val="24"/>
          <w:szCs w:val="24"/>
          <w:highlight w:val="none"/>
          <w:lang w:eastAsia="zh-CN"/>
        </w:rPr>
        <w:t>泽普县2024年消防救援设施建设</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eastAsia="zh-CN"/>
        </w:rPr>
        <w:t>项目</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预算金额（元）：</w:t>
      </w:r>
      <w:r>
        <w:rPr>
          <w:rFonts w:hint="eastAsia" w:ascii="宋体" w:hAnsi="宋体" w:cs="宋体"/>
          <w:color w:val="auto"/>
          <w:sz w:val="24"/>
          <w:szCs w:val="24"/>
          <w:highlight w:val="none"/>
          <w:lang w:val="en-US" w:eastAsia="zh-CN"/>
        </w:rPr>
        <w:t>2000000元</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最高限价（元）：</w:t>
      </w:r>
      <w:r>
        <w:rPr>
          <w:rFonts w:hint="eastAsia" w:ascii="宋体" w:hAnsi="宋体" w:cs="宋体"/>
          <w:color w:val="auto"/>
          <w:sz w:val="24"/>
          <w:szCs w:val="24"/>
          <w:highlight w:val="none"/>
          <w:lang w:val="en-US" w:eastAsia="zh-CN"/>
        </w:rPr>
        <w:t>2000000元</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6.采购需求：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预算金额（元）:</w:t>
      </w:r>
      <w:r>
        <w:rPr>
          <w:rFonts w:hint="eastAsia" w:ascii="宋体" w:hAnsi="宋体" w:cs="宋体"/>
          <w:color w:val="auto"/>
          <w:sz w:val="24"/>
          <w:szCs w:val="24"/>
          <w:highlight w:val="none"/>
          <w:lang w:val="en-US" w:eastAsia="zh-CN"/>
        </w:rPr>
        <w:t>2000000元</w:t>
      </w:r>
      <w:r>
        <w:rPr>
          <w:rFonts w:hint="eastAsia" w:ascii="宋体" w:hAnsi="宋体" w:eastAsia="宋体" w:cs="宋体"/>
          <w:b w:val="0"/>
          <w:bCs w:val="0"/>
          <w:color w:val="auto"/>
          <w:sz w:val="24"/>
          <w:szCs w:val="24"/>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简要规格描述或项目基本概况介绍、用途：</w:t>
      </w:r>
      <w:r>
        <w:rPr>
          <w:rFonts w:hint="eastAsia" w:ascii="宋体" w:hAnsi="宋体" w:cs="宋体"/>
          <w:b w:val="0"/>
          <w:bCs w:val="0"/>
          <w:color w:val="auto"/>
          <w:sz w:val="24"/>
          <w:szCs w:val="24"/>
          <w:highlight w:val="none"/>
          <w:lang w:val="en-US" w:eastAsia="zh-CN"/>
        </w:rPr>
        <w:t>购置消防车、消防员防护装备、消防队基本器材装备及部分应急救灾保障物资等（</w:t>
      </w:r>
      <w:r>
        <w:rPr>
          <w:rFonts w:hint="eastAsia" w:ascii="宋体" w:hAnsi="宋体" w:eastAsia="宋体" w:cs="宋体"/>
          <w:b w:val="0"/>
          <w:bCs w:val="0"/>
          <w:color w:val="auto"/>
          <w:sz w:val="24"/>
          <w:szCs w:val="24"/>
          <w:highlight w:val="none"/>
          <w:lang w:val="en-US" w:eastAsia="zh-CN"/>
        </w:rPr>
        <w:t>具体参数详见招标文件</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 </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合同履约期限：详见招标文件</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w:t>
      </w:r>
      <w:r>
        <w:rPr>
          <w:rFonts w:hint="eastAsia" w:ascii="宋体" w:hAnsi="宋体" w:cs="宋体"/>
          <w:b w:val="0"/>
          <w:bCs w:val="0"/>
          <w:color w:val="auto"/>
          <w:sz w:val="24"/>
          <w:szCs w:val="24"/>
          <w:highlight w:val="none"/>
          <w:lang w:val="en-US" w:eastAsia="zh-CN"/>
        </w:rPr>
        <w:t>(否)</w:t>
      </w:r>
      <w:r>
        <w:rPr>
          <w:rFonts w:hint="eastAsia" w:ascii="宋体" w:hAnsi="宋体" w:eastAsia="宋体" w:cs="宋体"/>
          <w:b w:val="0"/>
          <w:bCs w:val="0"/>
          <w:color w:val="auto"/>
          <w:sz w:val="24"/>
          <w:szCs w:val="24"/>
          <w:highlight w:val="none"/>
        </w:rPr>
        <w:t>接受联合体投标。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color w:val="auto"/>
          <w:sz w:val="24"/>
          <w:szCs w:val="24"/>
          <w:highlight w:val="none"/>
        </w:rPr>
      </w:pPr>
      <w:bookmarkStart w:id="1202" w:name="_Toc35393622"/>
      <w:bookmarkStart w:id="1203" w:name="_Toc13688"/>
      <w:bookmarkStart w:id="1204" w:name="_Toc19260"/>
      <w:bookmarkStart w:id="1205" w:name="_Toc35393791"/>
      <w:bookmarkStart w:id="1206" w:name="_Toc28359080"/>
      <w:bookmarkStart w:id="1207" w:name="_Toc28359003"/>
      <w:bookmarkStart w:id="1208" w:name="_Toc29506"/>
      <w:bookmarkStart w:id="1209" w:name="_Toc1145"/>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申请人的</w:t>
      </w:r>
      <w:r>
        <w:rPr>
          <w:rFonts w:hint="eastAsia" w:ascii="宋体" w:hAnsi="宋体" w:eastAsia="宋体" w:cs="宋体"/>
          <w:b/>
          <w:color w:val="auto"/>
          <w:sz w:val="24"/>
          <w:szCs w:val="24"/>
          <w:highlight w:val="none"/>
        </w:rPr>
        <w:t>资格要求：</w:t>
      </w:r>
      <w:bookmarkEnd w:id="1202"/>
      <w:bookmarkEnd w:id="1203"/>
      <w:bookmarkEnd w:id="1204"/>
      <w:bookmarkEnd w:id="1205"/>
      <w:bookmarkEnd w:id="1206"/>
      <w:bookmarkEnd w:id="1207"/>
      <w:bookmarkEnd w:id="1208"/>
      <w:bookmarkEnd w:id="1209"/>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1、投标人具有有效的营业执照</w:t>
      </w:r>
      <w:r>
        <w:rPr>
          <w:rFonts w:hint="eastAsia" w:ascii="宋体" w:hAnsi="宋体" w:eastAsia="宋体" w:cs="宋体"/>
          <w:b/>
          <w:bCs/>
          <w:color w:val="auto"/>
          <w:kern w:val="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2、法定代表人授权书及被授权人身份证，法人本人参与投标提供法人身份证及法人资格证明；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3、法定代表人或被委托人：法定代表人或被委托人：由社保部门或税务局出具的投标单位缴纳的社保证明和个人缴纳的社保明细表（近半年任意三个月的社保缴费凭证及个人缴费明细）（新成立公司提供近期社保明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4、近两年（2022 年至 2023 年）任意一年度财务审计报告（新成立未满一 年的公司提供有效银行资信证明）；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5、近期（2024 年以来任意一个月）依法缴纳税收的证明（税务部门出具 的完税凭证或缴税证明或银行出具的“银行电子缴税付款凭证 ”）；（原件、 复印件、影印件均可，留存复印件或影印件）注： ①若为零申报企业，需提供 无欠税证明或国家税务总局电子税务局“ 申报结果查询截图 ”。②“税种 ”非 社会保险；</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6、投标人在中国政府采购网（www.ccgp.gov.cn）被列入政府采购严重违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lang w:val="zh-CN" w:eastAsia="zh-CN"/>
        </w:rPr>
        <w:t>参加政府采购活动近3年内，在经营活动中没有重大违法记录的书面声明；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lang w:val="zh-CN" w:eastAsia="zh-CN"/>
        </w:rPr>
        <w:t>针对本次采购项目《反商业贿赂承诺书》的书面声明；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9</w:t>
      </w:r>
      <w:r>
        <w:rPr>
          <w:rFonts w:hint="eastAsia" w:ascii="宋体" w:hAnsi="宋体" w:eastAsia="宋体" w:cs="宋体"/>
          <w:b/>
          <w:bCs/>
          <w:color w:val="auto"/>
          <w:kern w:val="0"/>
          <w:sz w:val="24"/>
          <w:szCs w:val="24"/>
          <w:highlight w:val="none"/>
          <w:lang w:val="zh-CN" w:eastAsia="zh-CN"/>
        </w:rPr>
        <w:t>、本项目不接受联合体；</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日至20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，每天上午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0:00至</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:00，下午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:00至</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（北京时间，法定节假日除外）</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地点：政采云平台</w:t>
      </w:r>
      <w:r>
        <w:rPr>
          <w:rFonts w:hint="eastAsia" w:ascii="宋体" w:hAnsi="宋体" w:cs="宋体"/>
          <w:color w:val="auto"/>
          <w:sz w:val="24"/>
          <w:szCs w:val="24"/>
          <w:highlight w:val="none"/>
          <w:lang w:val="en-US" w:eastAsia="zh-CN"/>
        </w:rPr>
        <w:t>线上</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u w:val="none"/>
          <w:lang w:val="en-US" w:eastAsia="zh-CN"/>
        </w:rPr>
        <w:t>供应商登陆政采云平台http://www.zcygov.cn/，在线申请获取采购文件（进入“项目采购”应用，在获取采购文件菜单中选择项目，申请获取采购文件）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eastAsia="zh-CN"/>
        </w:rPr>
        <w:t>售价（元</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0元</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bCs w:val="0"/>
          <w:color w:val="auto"/>
          <w:sz w:val="24"/>
          <w:szCs w:val="24"/>
          <w:highlight w:val="none"/>
          <w:u w:val="none"/>
        </w:rPr>
      </w:pPr>
      <w:bookmarkStart w:id="1210" w:name="_Toc28359082"/>
      <w:bookmarkStart w:id="1211" w:name="_Toc28359005"/>
      <w:bookmarkStart w:id="1212" w:name="_Toc952"/>
      <w:bookmarkStart w:id="1213" w:name="_Toc9047"/>
      <w:bookmarkStart w:id="1214" w:name="_Toc35393624"/>
      <w:bookmarkStart w:id="1215" w:name="_Toc2532"/>
      <w:bookmarkStart w:id="1216" w:name="_Toc2422"/>
      <w:bookmarkStart w:id="1217" w:name="_Toc35393793"/>
      <w:r>
        <w:rPr>
          <w:rFonts w:hint="eastAsia" w:ascii="宋体" w:hAnsi="宋体" w:eastAsia="宋体" w:cs="宋体"/>
          <w:b/>
          <w:bCs w:val="0"/>
          <w:color w:val="auto"/>
          <w:sz w:val="24"/>
          <w:szCs w:val="24"/>
          <w:highlight w:val="none"/>
          <w:u w:val="none"/>
        </w:rPr>
        <w:t>四、提交投标文件</w:t>
      </w:r>
      <w:bookmarkEnd w:id="1210"/>
      <w:bookmarkEnd w:id="1211"/>
      <w:r>
        <w:rPr>
          <w:rFonts w:hint="eastAsia" w:ascii="宋体" w:hAnsi="宋体" w:eastAsia="宋体" w:cs="宋体"/>
          <w:b/>
          <w:bCs w:val="0"/>
          <w:color w:val="auto"/>
          <w:sz w:val="24"/>
          <w:szCs w:val="24"/>
          <w:highlight w:val="none"/>
          <w:u w:val="none"/>
        </w:rPr>
        <w:t>截止时间、开标时间和地点</w:t>
      </w:r>
      <w:bookmarkEnd w:id="1212"/>
      <w:bookmarkEnd w:id="1213"/>
      <w:bookmarkEnd w:id="1214"/>
      <w:bookmarkEnd w:id="1215"/>
      <w:bookmarkEnd w:id="1216"/>
      <w:bookmarkEnd w:id="1217"/>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lang w:eastAsia="zh-CN"/>
        </w:rPr>
        <w:t>提交投标文件截止</w:t>
      </w:r>
      <w:r>
        <w:rPr>
          <w:rFonts w:hint="eastAsia" w:ascii="宋体" w:hAnsi="宋体" w:eastAsia="宋体" w:cs="宋体"/>
          <w:color w:val="auto"/>
          <w:sz w:val="24"/>
          <w:szCs w:val="24"/>
          <w:highlight w:val="none"/>
          <w:u w:val="none"/>
        </w:rPr>
        <w:t>时间：</w:t>
      </w:r>
      <w:bookmarkStart w:id="1218" w:name="_Toc35393794"/>
      <w:bookmarkStart w:id="1219" w:name="_Toc28359084"/>
      <w:bookmarkStart w:id="1220" w:name="_Toc35393625"/>
      <w:bookmarkStart w:id="1221" w:name="_Toc28359007"/>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7月5日16：30</w:t>
      </w:r>
      <w:r>
        <w:rPr>
          <w:rFonts w:hint="eastAsia" w:ascii="宋体" w:hAnsi="宋体" w:eastAsia="宋体" w:cs="宋体"/>
          <w:color w:val="auto"/>
          <w:sz w:val="24"/>
          <w:szCs w:val="24"/>
          <w:highlight w:val="none"/>
          <w:u w:val="none"/>
        </w:rPr>
        <w:t>（北京时间</w:t>
      </w:r>
      <w:r>
        <w:rPr>
          <w:rFonts w:hint="eastAsia" w:ascii="宋体" w:hAnsi="宋体" w:eastAsia="宋体" w:cs="宋体"/>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投标</w:t>
      </w:r>
      <w:r>
        <w:rPr>
          <w:rFonts w:hint="eastAsia" w:ascii="宋体" w:hAnsi="宋体" w:eastAsia="宋体" w:cs="宋体"/>
          <w:color w:val="auto"/>
          <w:sz w:val="24"/>
          <w:szCs w:val="24"/>
          <w:highlight w:val="none"/>
          <w:u w:val="none"/>
        </w:rPr>
        <w:t>地点：请登录政采云投标客户端投标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开标时间：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7月5日16：30</w:t>
      </w:r>
      <w:r>
        <w:rPr>
          <w:rFonts w:hint="eastAsia" w:ascii="宋体" w:hAnsi="宋体" w:eastAsia="宋体" w:cs="宋体"/>
          <w:color w:val="auto"/>
          <w:sz w:val="24"/>
          <w:szCs w:val="24"/>
          <w:highlight w:val="none"/>
          <w:u w:val="none"/>
          <w:lang w:eastAsia="zh-CN"/>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开标地点：</w:t>
      </w:r>
      <w:bookmarkStart w:id="1222" w:name="_Toc20863"/>
      <w:bookmarkStart w:id="1223" w:name="_Toc32108"/>
      <w:bookmarkStart w:id="1224" w:name="_Toc30400"/>
      <w:bookmarkStart w:id="1225" w:name="_Toc23672"/>
      <w:r>
        <w:rPr>
          <w:rFonts w:hint="eastAsia" w:ascii="宋体" w:hAnsi="宋体" w:eastAsia="宋体" w:cs="宋体"/>
          <w:color w:val="auto"/>
          <w:sz w:val="24"/>
          <w:szCs w:val="24"/>
          <w:highlight w:val="none"/>
          <w:u w:val="none"/>
          <w:lang w:eastAsia="zh-CN"/>
        </w:rPr>
        <w:t>投标人登录政采云平台https://www.zcygov.cn/，进入“项目采购-开标评标-右边选择对应项目点击“进入项目”进入开标大厅。</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sz w:val="24"/>
          <w:szCs w:val="24"/>
          <w:highlight w:val="none"/>
          <w:u w:val="none"/>
        </w:rPr>
        <w:t>五、公告期限</w:t>
      </w:r>
      <w:bookmarkEnd w:id="1218"/>
      <w:bookmarkEnd w:id="1219"/>
      <w:bookmarkEnd w:id="1220"/>
      <w:bookmarkEnd w:id="1221"/>
      <w:bookmarkEnd w:id="1222"/>
      <w:bookmarkEnd w:id="1223"/>
      <w:bookmarkEnd w:id="1224"/>
      <w:bookmarkEnd w:id="1225"/>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六、其它补充事宜</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特别提示：</w:t>
      </w:r>
      <w:bookmarkStart w:id="1226" w:name="_Toc35393795"/>
      <w:bookmarkStart w:id="1227" w:name="_Toc35393626"/>
      <w:bookmarkStart w:id="1228" w:name="_Toc647"/>
      <w:bookmarkStart w:id="1229" w:name="_Toc13675"/>
      <w:bookmarkStart w:id="1230" w:name="_Toc999"/>
      <w:bookmarkStart w:id="1231" w:name="_Toc18258"/>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2、超过200万元的货物和服务采购项目，预留该部分采购项目预算总额的30%以上专门面向中小企业采购，其中预留给小微企业的比例不低于60%。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w:t>
      </w:r>
      <w:bookmarkEnd w:id="1226"/>
      <w:bookmarkEnd w:id="1227"/>
      <w:bookmarkStart w:id="1232" w:name="_Toc35393627"/>
      <w:bookmarkStart w:id="1233" w:name="_Toc35393796"/>
      <w:bookmarkStart w:id="1234" w:name="_Toc28359008"/>
      <w:bookmarkStart w:id="1235" w:name="_Toc28359085"/>
      <w:r>
        <w:rPr>
          <w:rFonts w:hint="eastAsia" w:ascii="宋体" w:hAnsi="宋体" w:eastAsia="宋体" w:cs="宋体"/>
          <w:b/>
          <w:bCs w:val="0"/>
          <w:color w:val="auto"/>
          <w:sz w:val="24"/>
          <w:szCs w:val="24"/>
          <w:highlight w:val="none"/>
        </w:rPr>
        <w:t>对本次采购提出询问，请按以下方式联系。</w:t>
      </w:r>
      <w:bookmarkEnd w:id="1228"/>
      <w:bookmarkEnd w:id="1229"/>
      <w:bookmarkEnd w:id="1230"/>
      <w:bookmarkEnd w:id="1231"/>
      <w:bookmarkEnd w:id="1232"/>
      <w:bookmarkEnd w:id="1233"/>
      <w:bookmarkEnd w:id="1234"/>
      <w:bookmarkEnd w:id="1235"/>
    </w:p>
    <w:p>
      <w:pPr>
        <w:pStyle w:val="23"/>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1.采购人信息</w:t>
      </w:r>
    </w:p>
    <w:p>
      <w:pPr>
        <w:pStyle w:val="23"/>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textAlignment w:val="auto"/>
        <w:outlineLvl w:val="9"/>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 xml:space="preserve">名 称：泽普县应急管理局 </w:t>
      </w:r>
    </w:p>
    <w:p>
      <w:pPr>
        <w:pStyle w:val="23"/>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textAlignment w:val="auto"/>
        <w:outlineLvl w:val="9"/>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联系人：</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周化鹏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联系</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电话</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：17767554119</w:t>
      </w:r>
    </w:p>
    <w:p>
      <w:pPr>
        <w:pStyle w:val="23"/>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2.采购代理机构信息</w:t>
      </w:r>
    </w:p>
    <w:p>
      <w:pPr>
        <w:pStyle w:val="23"/>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w:t>
      </w:r>
      <w:r>
        <w:rPr>
          <w:rFonts w:hint="eastAsia" w:ascii="宋体" w:hAnsi="宋体" w:cs="宋体"/>
          <w:color w:val="auto"/>
          <w:kern w:val="0"/>
          <w:sz w:val="24"/>
          <w:szCs w:val="24"/>
          <w:highlight w:val="none"/>
          <w:lang w:eastAsia="zh-CN"/>
        </w:rPr>
        <w:t>新疆昊泽工程管理有限公司</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bidi="ar"/>
        </w:rPr>
        <w:t>联系方式：19316425111</w:t>
      </w:r>
    </w:p>
    <w:p>
      <w:pPr>
        <w:pStyle w:val="23"/>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3.项目联系方式</w:t>
      </w:r>
    </w:p>
    <w:p>
      <w:pPr>
        <w:pStyle w:val="23"/>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项目联系人：</w:t>
      </w:r>
      <w:r>
        <w:rPr>
          <w:rFonts w:hint="eastAsia" w:ascii="宋体" w:hAnsi="宋体" w:cs="宋体"/>
          <w:color w:val="auto"/>
          <w:kern w:val="0"/>
          <w:sz w:val="24"/>
          <w:szCs w:val="24"/>
          <w:highlight w:val="none"/>
          <w:lang w:val="en-US" w:eastAsia="zh-CN" w:bidi="ar"/>
        </w:rPr>
        <w:t xml:space="preserve">谷超超     </w:t>
      </w:r>
      <w:r>
        <w:rPr>
          <w:rFonts w:hint="eastAsia" w:ascii="宋体" w:hAnsi="宋体" w:eastAsia="宋体" w:cs="宋体"/>
          <w:color w:val="auto"/>
          <w:kern w:val="0"/>
          <w:sz w:val="24"/>
          <w:szCs w:val="24"/>
          <w:highlight w:val="none"/>
          <w:lang w:val="en-US" w:eastAsia="zh-CN" w:bidi="ar"/>
        </w:rPr>
        <w:t>电 话：19316425111</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right"/>
        <w:textAlignment w:val="auto"/>
        <w:outlineLvl w:val="9"/>
        <w:rPr>
          <w:rFonts w:hint="eastAsia" w:ascii="宋体" w:hAnsi="宋体" w:cs="宋体"/>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righ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新疆昊泽工程管理有限公司</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color w:val="auto"/>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日</w:t>
      </w: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outlineLvl w:val="9"/>
        <w:rPr>
          <w:color w:val="auto"/>
          <w:highlight w:val="none"/>
        </w:rPr>
      </w:pPr>
    </w:p>
    <w:p>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pPr>
        <w:pStyle w:val="3"/>
        <w:tabs>
          <w:tab w:val="left" w:pos="0"/>
        </w:tabs>
        <w:spacing w:before="0" w:after="0" w:line="240" w:lineRule="atLeast"/>
        <w:rPr>
          <w:rFonts w:hint="eastAsia" w:ascii="宋体" w:hAnsi="宋体" w:eastAsia="宋体" w:cs="宋体"/>
          <w:b/>
          <w:bCs/>
          <w:color w:val="auto"/>
          <w:szCs w:val="32"/>
          <w:highlight w:val="none"/>
        </w:rPr>
      </w:pPr>
      <w:bookmarkStart w:id="1236" w:name="_Toc2787"/>
      <w:bookmarkStart w:id="1237" w:name="_Toc14411"/>
      <w:r>
        <w:rPr>
          <w:rFonts w:hint="eastAsia" w:ascii="宋体" w:hAnsi="宋体" w:eastAsia="宋体" w:cs="宋体"/>
          <w:b/>
          <w:bCs/>
          <w:color w:val="auto"/>
          <w:kern w:val="0"/>
          <w:sz w:val="32"/>
          <w:szCs w:val="32"/>
          <w:highlight w:val="none"/>
          <w:lang w:val="en-US" w:eastAsia="zh-CN" w:bidi="ar-SA"/>
        </w:rPr>
        <w:t>第4章</w:t>
      </w:r>
      <w:r>
        <w:rPr>
          <w:rFonts w:hint="eastAsia" w:hAnsi="宋体" w:cs="宋体"/>
          <w:b/>
          <w:bCs/>
          <w:color w:val="auto"/>
          <w:kern w:val="0"/>
          <w:sz w:val="32"/>
          <w:szCs w:val="32"/>
          <w:highlight w:val="none"/>
          <w:lang w:val="en-US" w:eastAsia="zh-CN" w:bidi="ar-SA"/>
        </w:rPr>
        <w:t xml:space="preserve">  </w:t>
      </w:r>
      <w:r>
        <w:rPr>
          <w:rFonts w:hint="eastAsia" w:ascii="宋体" w:hAnsi="宋体" w:eastAsia="宋体" w:cs="宋体"/>
          <w:b/>
          <w:bCs/>
          <w:color w:val="auto"/>
          <w:kern w:val="0"/>
          <w:sz w:val="32"/>
          <w:szCs w:val="32"/>
          <w:highlight w:val="none"/>
          <w:lang w:val="en-US" w:eastAsia="zh-CN" w:bidi="ar-SA"/>
        </w:rPr>
        <w:t>供应商须知资料表</w:t>
      </w:r>
      <w:bookmarkEnd w:id="1186"/>
      <w:bookmarkEnd w:id="1187"/>
      <w:bookmarkEnd w:id="1188"/>
      <w:bookmarkEnd w:id="1189"/>
      <w:bookmarkEnd w:id="1190"/>
      <w:bookmarkEnd w:id="1191"/>
      <w:bookmarkEnd w:id="1192"/>
      <w:bookmarkEnd w:id="1193"/>
      <w:bookmarkEnd w:id="1236"/>
      <w:bookmarkEnd w:id="1237"/>
    </w:p>
    <w:p>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本表是本招标项目的具体资料，是对供应商须知的具体补充和修改，如有矛盾，应以本资料表为准。</w:t>
      </w:r>
    </w:p>
    <w:tbl>
      <w:tblPr>
        <w:tblStyle w:val="27"/>
        <w:tblW w:w="9260" w:type="dxa"/>
        <w:tblInd w:w="-3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82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8248" w:type="dxa"/>
            <w:noWrap w:val="0"/>
            <w:vAlign w:val="center"/>
          </w:tcPr>
          <w:p>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248"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u w:val="single"/>
                <w:lang w:eastAsia="zh-CN"/>
              </w:rPr>
              <w:t xml:space="preserve">泽普县应急管理局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000000" w:themeColor="text1"/>
                <w:kern w:val="0"/>
                <w:sz w:val="24"/>
                <w:szCs w:val="24"/>
                <w:highlight w:val="none"/>
                <w:u w:val="single"/>
                <w:lang w:val="en-US" w:eastAsia="zh-CN" w:bidi="ar"/>
                <w14:textFill>
                  <w14:solidFill>
                    <w14:schemeClr w14:val="tx1"/>
                  </w14:solidFill>
                </w14:textFill>
              </w:rPr>
              <w:t>周化鹏</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val="en-US" w:eastAsia="zh-CN"/>
              </w:rPr>
              <w:t>17767554119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248"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cs="宋体"/>
                <w:color w:val="auto"/>
                <w:sz w:val="24"/>
                <w:szCs w:val="24"/>
                <w:highlight w:val="none"/>
                <w:u w:val="single"/>
                <w:lang w:eastAsia="zh-CN"/>
              </w:rPr>
              <w:t>新疆昊泽工程管理有限公司</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谷超超</w:t>
            </w:r>
            <w:r>
              <w:rPr>
                <w:rFonts w:hint="eastAsia" w:ascii="宋体" w:hAnsi="宋体" w:eastAsia="宋体" w:cs="宋体"/>
                <w:color w:val="auto"/>
                <w:sz w:val="24"/>
                <w:szCs w:val="24"/>
                <w:highlight w:val="none"/>
              </w:rPr>
              <w:t>　   联系电话：</w:t>
            </w:r>
            <w:r>
              <w:rPr>
                <w:rFonts w:hint="eastAsia" w:ascii="宋体" w:hAnsi="宋体" w:eastAsia="宋体" w:cs="宋体"/>
                <w:color w:val="auto"/>
                <w:sz w:val="24"/>
                <w:szCs w:val="24"/>
                <w:highlight w:val="none"/>
                <w:lang w:val="en-US" w:eastAsia="zh-CN"/>
              </w:rPr>
              <w:t>19316425111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0"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p>
        </w:tc>
        <w:tc>
          <w:tcPr>
            <w:tcW w:w="8248"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合格投标人的其他资格要求：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1、投标人具有有效的营业执照；</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2、法定代表人身份证明及身份证或法定代表人授权委托书和委托代理人 身份证；</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3、法定代表人或被委托人：由社保部门或税务局出具的投标单位缴纳的社保证明和个人缴纳的社保明细表（近半年任意三个月的社保缴费凭证及个人缴费明细）（新成立公司提供近期社保明细）；</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4、近两年（2022 年至 2023 年）任意一年度财务审计报告（新成立未满 一年的公司提供有效银行资信证明）；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5、近期（2024 年以来任意一个月）依法缴纳税收的证明（税务部门出具 的完税凭证或缴税证明或银行出具的“银行电子缴税付款凭证 ”）；（原 件、复印件、影印件均可，留存复印件或影印件）注： ①若为零申报企  业，需提供无欠税证明或国家税务总局电子税务局“申报结果查询截图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②“税种 ”非社会保险；</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6、投标人在中国政府采购网（www.ccgp.gov.cn）被列入政府采购严重违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7、投标人提供针对本次项目《反商业贿赂承诺书》；</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8、投标人参加政府采购活动前 3 年内在经营活动中没有重大违法违规记 录的书面声明；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9、保证金收据复印件及保证金缴纳凭证加盖公章；或金融机构、担保机构出具的保函；</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10、本项目不接受联合体投标。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 xml:space="preserve">1.3.5   </w:t>
            </w:r>
          </w:p>
        </w:tc>
        <w:tc>
          <w:tcPr>
            <w:tcW w:w="8248"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是否允许采购进口产品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w:t>
            </w:r>
          </w:p>
        </w:tc>
        <w:tc>
          <w:tcPr>
            <w:tcW w:w="8248"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是否为专门面向中小企业采购：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8248"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是否允许联合体投标：</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i w:val="0"/>
                <w:iCs/>
                <w:color w:val="auto"/>
                <w:sz w:val="24"/>
                <w:szCs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w:t>
            </w:r>
          </w:p>
        </w:tc>
        <w:tc>
          <w:tcPr>
            <w:tcW w:w="8248"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8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最高限价</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2000000.00</w:t>
            </w:r>
            <w:r>
              <w:rPr>
                <w:rFonts w:hint="eastAsia" w:ascii="宋体" w:hAnsi="宋体" w:eastAsia="宋体" w:cs="宋体"/>
                <w:b/>
                <w:bCs/>
                <w:color w:val="auto"/>
                <w:kern w:val="2"/>
                <w:sz w:val="24"/>
                <w:szCs w:val="24"/>
                <w:highlight w:val="none"/>
                <w:lang w:val="en-US" w:eastAsia="zh-CN" w:bidi="ar-SA"/>
              </w:rPr>
              <w:t>元</w:t>
            </w:r>
            <w:r>
              <w:rPr>
                <w:rFonts w:hint="eastAsia" w:ascii="宋体" w:hAnsi="宋体" w:cs="宋体"/>
                <w:b/>
                <w:bCs/>
                <w:color w:val="auto"/>
                <w:kern w:val="2"/>
                <w:sz w:val="24"/>
                <w:szCs w:val="24"/>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8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r>
              <w:rPr>
                <w:rFonts w:hint="eastAsia" w:ascii="宋体" w:hAnsi="宋体" w:eastAsia="宋体" w:cs="宋体"/>
                <w:b w:val="0"/>
                <w:bCs w:val="0"/>
                <w:color w:val="auto"/>
                <w:sz w:val="24"/>
                <w:szCs w:val="24"/>
                <w:highlight w:val="none"/>
                <w:lang w:val="en-US" w:eastAsia="zh-CN"/>
              </w:rPr>
              <w:t>形式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☑保函</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电汇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支票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对公转账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保证金金额：</w:t>
            </w:r>
            <w:r>
              <w:rPr>
                <w:rFonts w:hint="eastAsia" w:ascii="宋体" w:hAnsi="宋体" w:eastAsia="宋体" w:cs="宋体"/>
                <w:b/>
                <w:bCs/>
                <w:color w:val="auto"/>
                <w:sz w:val="24"/>
                <w:szCs w:val="24"/>
                <w:highlight w:val="none"/>
              </w:rPr>
              <w:t>小写：</w:t>
            </w:r>
            <w:r>
              <w:rPr>
                <w:rFonts w:hint="eastAsia" w:ascii="宋体" w:hAnsi="宋体" w:cs="宋体"/>
                <w:b/>
                <w:bCs/>
                <w:color w:val="auto"/>
                <w:kern w:val="2"/>
                <w:sz w:val="24"/>
                <w:szCs w:val="24"/>
                <w:highlight w:val="none"/>
                <w:lang w:val="en-US" w:eastAsia="zh-CN" w:bidi="ar-SA"/>
              </w:rPr>
              <w:t>40000</w:t>
            </w:r>
            <w:r>
              <w:rPr>
                <w:rFonts w:hint="eastAsia" w:ascii="宋体" w:hAnsi="宋体" w:eastAsia="宋体" w:cs="宋体"/>
                <w:b/>
                <w:bCs/>
                <w:color w:val="auto"/>
                <w:kern w:val="2"/>
                <w:sz w:val="24"/>
                <w:szCs w:val="24"/>
                <w:highlight w:val="none"/>
                <w:lang w:val="en-US" w:eastAsia="zh-CN" w:bidi="ar-SA"/>
              </w:rPr>
              <w:t>元</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大写：肆万元整</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预算</w:t>
            </w:r>
            <w:r>
              <w:rPr>
                <w:rFonts w:hint="eastAsia" w:ascii="宋体" w:hAnsi="宋体" w:eastAsia="宋体" w:cs="宋体"/>
                <w:color w:val="auto"/>
                <w:sz w:val="24"/>
                <w:szCs w:val="24"/>
                <w:highlight w:val="none"/>
              </w:rPr>
              <w:t>金额2%以内的整数计算）</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保证金收款人：</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单位名称：</w:t>
            </w:r>
            <w:r>
              <w:rPr>
                <w:rFonts w:hint="eastAsia" w:ascii="宋体" w:hAnsi="宋体" w:cs="宋体"/>
                <w:b/>
                <w:bCs/>
                <w:color w:val="auto"/>
                <w:sz w:val="24"/>
                <w:szCs w:val="24"/>
                <w:highlight w:val="none"/>
                <w:lang w:eastAsia="zh-CN"/>
              </w:rPr>
              <w:t>新疆昊泽工程管理有限公司</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 户 行：中国工商银行股份有限公司泽普支行</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   号：3012350009200106913（电汇时请在汇款备注栏注明项目名称及包号（如有），并注明是投标保证金）     </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A:缴纳</w:t>
            </w:r>
            <w:r>
              <w:rPr>
                <w:rFonts w:hint="eastAsia" w:ascii="宋体" w:hAnsi="宋体" w:eastAsia="宋体" w:cs="宋体"/>
                <w:b/>
                <w:bCs/>
                <w:color w:val="auto"/>
                <w:sz w:val="24"/>
                <w:szCs w:val="24"/>
                <w:highlight w:val="none"/>
                <w:lang w:val="en-US" w:eastAsia="zh-CN"/>
              </w:rPr>
              <w:t>投标保证金</w:t>
            </w:r>
            <w:r>
              <w:rPr>
                <w:rFonts w:hint="eastAsia" w:ascii="宋体" w:hAnsi="宋体" w:eastAsia="宋体" w:cs="宋体"/>
                <w:b/>
                <w:bCs/>
                <w:color w:val="auto"/>
                <w:sz w:val="24"/>
                <w:szCs w:val="24"/>
                <w:highlight w:val="none"/>
              </w:rPr>
              <w:t>要求：投标保证金必须在开标前交到</w:t>
            </w:r>
            <w:r>
              <w:rPr>
                <w:rFonts w:hint="eastAsia" w:ascii="宋体" w:hAnsi="宋体" w:cs="宋体"/>
                <w:b/>
                <w:bCs/>
                <w:color w:val="auto"/>
                <w:sz w:val="24"/>
                <w:szCs w:val="24"/>
                <w:highlight w:val="none"/>
                <w:lang w:eastAsia="zh-CN"/>
              </w:rPr>
              <w:t>新疆昊泽工程管理有限公司</w:t>
            </w:r>
            <w:r>
              <w:rPr>
                <w:rFonts w:hint="eastAsia" w:ascii="宋体" w:hAnsi="宋体" w:eastAsia="宋体" w:cs="宋体"/>
                <w:b/>
                <w:bCs/>
                <w:color w:val="auto"/>
                <w:sz w:val="24"/>
                <w:szCs w:val="24"/>
                <w:highlight w:val="none"/>
              </w:rPr>
              <w:t>账户中。不接受现金、支票及任何个人、分公司汇款</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B：退</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保证金：（1）根据《中华人民共和国财政部令第87号--政府采购货物和货物招标投标管理办法》第三十八条</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在投标截止时间前撤回已提交的投标文件的，采购人或者采购代理机构应当自收到</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书面撤回通知之日起５个工作日内，退还已收取的投标保证金，但因</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自身原因导致无法及时退还的除外。采购人或者采购代理机构应当自中标通知书发出之日起5个工作日内退还未</w:t>
            </w:r>
            <w:r>
              <w:rPr>
                <w:rFonts w:hint="eastAsia" w:ascii="宋体" w:hAnsi="宋体" w:cs="宋体"/>
                <w:b/>
                <w:bCs/>
                <w:color w:val="auto"/>
                <w:sz w:val="24"/>
                <w:szCs w:val="24"/>
                <w:highlight w:val="none"/>
                <w:lang w:val="en-US" w:eastAsia="zh-CN"/>
              </w:rPr>
              <w:t>中标供应商</w:t>
            </w:r>
            <w:r>
              <w:rPr>
                <w:rFonts w:hint="eastAsia" w:ascii="宋体" w:hAnsi="宋体" w:eastAsia="宋体" w:cs="宋体"/>
                <w:b/>
                <w:bCs/>
                <w:color w:val="auto"/>
                <w:sz w:val="24"/>
                <w:szCs w:val="24"/>
                <w:highlight w:val="none"/>
              </w:rPr>
              <w:t>的投标保证金，自采购合同签订之日起5个工作日内退还</w:t>
            </w:r>
            <w:r>
              <w:rPr>
                <w:rFonts w:hint="eastAsia" w:ascii="宋体" w:hAnsi="宋体" w:cs="宋体"/>
                <w:b/>
                <w:bCs/>
                <w:color w:val="auto"/>
                <w:sz w:val="24"/>
                <w:szCs w:val="24"/>
                <w:highlight w:val="none"/>
                <w:lang w:val="en-US" w:eastAsia="zh-CN"/>
              </w:rPr>
              <w:t>中标供应商</w:t>
            </w:r>
            <w:r>
              <w:rPr>
                <w:rFonts w:hint="eastAsia" w:ascii="宋体" w:hAnsi="宋体" w:eastAsia="宋体" w:cs="宋体"/>
                <w:b/>
                <w:bCs/>
                <w:color w:val="auto"/>
                <w:sz w:val="24"/>
                <w:szCs w:val="24"/>
                <w:highlight w:val="none"/>
              </w:rPr>
              <w:t>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8248"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投标有效期：</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8248"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（5）供应商在开标时须使用制作加密电子投标文件所使用的CA锁及电脑，电脑须提前配置好浏览器（建议使用360浏览器或谷歌浏览器），以便开标时解锁。</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（6）投标保证金缴纳及确认时间：凡拟参加本次招标项目的供应商，必须在开标前将投标保证金汇入指定账户。否则，届时其投标将被拒绝。</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80" w:lineRule="exact"/>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各供应商须在投标截止时间前完成在系统上递交电子投标文件。投标供应商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80" w:lineRule="exact"/>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9）各供应商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lang w:val="en-US" w:eastAsia="zh-CN"/>
              </w:rPr>
              <w:t>（10）解密时长为30分钟，超出解密时长，作无效投标处理。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5"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824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投标截止时间：</w:t>
            </w:r>
            <w:r>
              <w:rPr>
                <w:rFonts w:hint="eastAsia" w:ascii="宋体" w:hAnsi="宋体" w:cs="宋体"/>
                <w:b/>
                <w:bCs/>
                <w:color w:val="000000" w:themeColor="text1"/>
                <w:sz w:val="24"/>
                <w:szCs w:val="24"/>
                <w:highlight w:val="none"/>
                <w:lang w:eastAsia="zh-CN"/>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lang w:eastAsia="zh-CN"/>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7月5日</w:t>
            </w:r>
            <w:r>
              <w:rPr>
                <w:rFonts w:hint="eastAsia" w:ascii="宋体" w:hAnsi="宋体" w:cs="宋体"/>
                <w:color w:val="000000" w:themeColor="text1"/>
                <w:sz w:val="24"/>
                <w:szCs w:val="24"/>
                <w:highlight w:val="none"/>
                <w:lang w:val="en-US" w:eastAsia="zh-CN"/>
                <w14:textFill>
                  <w14:solidFill>
                    <w14:schemeClr w14:val="tx1"/>
                  </w14:solidFill>
                </w14:textFill>
              </w:rPr>
              <w:t>16：30</w:t>
            </w:r>
            <w:r>
              <w:rPr>
                <w:rFonts w:hint="eastAsia" w:ascii="宋体" w:hAnsi="宋体" w:eastAsia="宋体" w:cs="宋体"/>
                <w:b/>
                <w:bCs/>
                <w:color w:val="000000" w:themeColor="text1"/>
                <w:sz w:val="24"/>
                <w:szCs w:val="24"/>
                <w:highlight w:val="none"/>
                <w:lang w:eastAsia="zh-CN"/>
                <w14:textFill>
                  <w14:solidFill>
                    <w14:schemeClr w14:val="tx1"/>
                  </w14:solidFill>
                </w14:textFill>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824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开标时间：</w:t>
            </w:r>
            <w:r>
              <w:rPr>
                <w:rFonts w:hint="eastAsia" w:ascii="宋体" w:hAnsi="宋体" w:cs="宋体"/>
                <w:b/>
                <w:bCs/>
                <w:color w:val="000000" w:themeColor="text1"/>
                <w:sz w:val="24"/>
                <w:szCs w:val="24"/>
                <w:highlight w:val="none"/>
                <w:lang w:eastAsia="zh-CN"/>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lang w:eastAsia="zh-CN"/>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7月5日</w:t>
            </w:r>
            <w:r>
              <w:rPr>
                <w:rFonts w:hint="eastAsia" w:ascii="宋体" w:hAnsi="宋体" w:cs="宋体"/>
                <w:color w:val="000000" w:themeColor="text1"/>
                <w:sz w:val="24"/>
                <w:szCs w:val="24"/>
                <w:highlight w:val="none"/>
                <w:lang w:val="en-US" w:eastAsia="zh-CN"/>
                <w14:textFill>
                  <w14:solidFill>
                    <w14:schemeClr w14:val="tx1"/>
                  </w14:solidFill>
                </w14:textFill>
              </w:rPr>
              <w:t>16：30</w:t>
            </w:r>
            <w:r>
              <w:rPr>
                <w:rFonts w:hint="eastAsia" w:ascii="宋体" w:hAnsi="宋体" w:eastAsia="宋体" w:cs="宋体"/>
                <w:b/>
                <w:bCs/>
                <w:color w:val="000000" w:themeColor="text1"/>
                <w:sz w:val="24"/>
                <w:szCs w:val="24"/>
                <w:highlight w:val="none"/>
                <w:lang w:eastAsia="zh-CN"/>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b/>
                <w:bCs/>
                <w:color w:val="auto"/>
                <w:sz w:val="24"/>
                <w:szCs w:val="24"/>
                <w:highlight w:val="none"/>
                <w:lang w:eastAsia="zh-CN"/>
              </w:rPr>
              <w:t>政采云平台</w:t>
            </w:r>
            <w:r>
              <w:rPr>
                <w:rFonts w:hint="eastAsia" w:ascii="宋体" w:hAnsi="宋体" w:eastAsia="宋体" w:cs="宋体"/>
                <w:b/>
                <w:bCs/>
                <w:color w:val="auto"/>
                <w:sz w:val="24"/>
                <w:szCs w:val="24"/>
                <w:highlight w:val="none"/>
              </w:rPr>
              <w:t>（https://login.zcygov.cn/user-login/#/login）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24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评标方法：适用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7"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824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推荐中标候选供应商的数量：</w:t>
            </w:r>
            <w:r>
              <w:rPr>
                <w:rFonts w:hint="eastAsia" w:ascii="宋体" w:hAnsi="宋体" w:eastAsia="宋体" w:cs="宋体"/>
                <w:color w:val="auto"/>
                <w:sz w:val="24"/>
                <w:szCs w:val="24"/>
                <w:highlight w:val="none"/>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824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是否委托评标委员会直接确定中标人：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eastAsia="宋体" w:cs="宋体"/>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824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履约保证金金额：合同总价的</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（不得超过政府采购合同金额的10%）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履约保证金形式：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eastAsia="zh-CN"/>
              </w:rPr>
              <w:t>保函</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电汇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支票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对公转账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提交履约保证金的时间：签订合同前打入甲方指定账户</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zh-CN"/>
              </w:rPr>
              <w:t>双方可以通过协商另行约定其他退还时间和方式及用途。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82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代理服务收费标准：按照发改价格【2015】299号文件规定，代理费收费标准协商确定，本项目代理费收费标准参照以下计算方法差额累计收取。以货物招标为例：100万以下按 1.5%收取， 100 万-500 万按1.1%收取，500万-1000万按0.8%收取；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本项目代理费按照收费标准计算金额下浮10％收取。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在中标通知书核发前，中标供应商应当向采购代理机构一次性付清采购代理服务费。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支付形式： 对公转账 、电汇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支付时间：领取中标通知书时一次性支付。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82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本项目是否属于信用担保试点范围：</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 xml:space="preserve"> </w:t>
            </w:r>
            <w:r>
              <w:rPr>
                <w:rFonts w:hint="eastAsia" w:ascii="宋体" w:hAnsi="宋体" w:eastAsia="宋体" w:cs="宋体"/>
                <w:i w:val="0"/>
                <w:iCs/>
                <w:color w:val="auto"/>
                <w:sz w:val="24"/>
                <w:szCs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12"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sz w:val="24"/>
                <w:szCs w:val="24"/>
                <w:highlight w:val="none"/>
                <w:lang w:val="en-US" w:eastAsia="zh-CN"/>
              </w:rPr>
            </w:pPr>
            <w:bookmarkStart w:id="1238" w:name="_Toc27053"/>
            <w:bookmarkStart w:id="1239" w:name="_Toc15092"/>
            <w:bookmarkStart w:id="1240" w:name="_Toc18118"/>
            <w:bookmarkStart w:id="1241" w:name="_Toc512937852"/>
            <w:r>
              <w:rPr>
                <w:rFonts w:hint="eastAsia" w:ascii="宋体" w:hAnsi="宋体" w:cs="宋体"/>
                <w:color w:val="auto"/>
                <w:sz w:val="24"/>
                <w:szCs w:val="24"/>
                <w:highlight w:val="none"/>
                <w:lang w:val="en-US" w:eastAsia="zh-CN"/>
              </w:rPr>
              <w:t>34</w:t>
            </w:r>
          </w:p>
        </w:tc>
        <w:tc>
          <w:tcPr>
            <w:tcW w:w="82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低于成本价不正当竞争预防措施： </w:t>
            </w:r>
            <w:r>
              <w:rPr>
                <w:rFonts w:hint="eastAsia" w:ascii="宋体" w:hAnsi="宋体" w:eastAsia="宋体" w:cs="宋体"/>
                <w:b w:val="0"/>
                <w:bCs w:val="0"/>
                <w:color w:val="auto"/>
                <w:sz w:val="24"/>
                <w:szCs w:val="24"/>
                <w:highlight w:val="none"/>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 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bl>
    <w:p>
      <w:pPr>
        <w:rPr>
          <w:rFonts w:hint="eastAsia" w:ascii="宋体" w:hAnsi="宋体" w:eastAsia="宋体" w:cs="宋体"/>
          <w:b/>
          <w:bCs/>
          <w:color w:val="auto"/>
          <w:kern w:val="0"/>
          <w:sz w:val="32"/>
          <w:szCs w:val="32"/>
          <w:highlight w:val="none"/>
          <w:lang w:val="en-US" w:eastAsia="zh-CN" w:bidi="ar-SA"/>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pPr>
        <w:pStyle w:val="3"/>
        <w:numPr>
          <w:ilvl w:val="0"/>
          <w:numId w:val="10"/>
        </w:numPr>
        <w:tabs>
          <w:tab w:val="left" w:pos="0"/>
        </w:tabs>
        <w:spacing w:before="0" w:after="0" w:line="240" w:lineRule="atLeast"/>
        <w:rPr>
          <w:rFonts w:hint="eastAsia" w:ascii="宋体" w:hAnsi="宋体" w:eastAsia="宋体" w:cs="宋体"/>
          <w:b/>
          <w:bCs/>
          <w:color w:val="auto"/>
          <w:kern w:val="0"/>
          <w:sz w:val="32"/>
          <w:szCs w:val="32"/>
          <w:highlight w:val="none"/>
          <w:lang w:val="en-US" w:eastAsia="zh-CN" w:bidi="ar-SA"/>
        </w:rPr>
      </w:pPr>
      <w:bookmarkStart w:id="1242" w:name="_Toc30701"/>
      <w:r>
        <w:rPr>
          <w:rFonts w:hint="eastAsia" w:ascii="宋体" w:hAnsi="宋体" w:eastAsia="宋体" w:cs="宋体"/>
          <w:b/>
          <w:bCs/>
          <w:color w:val="auto"/>
          <w:kern w:val="0"/>
          <w:sz w:val="32"/>
          <w:szCs w:val="32"/>
          <w:highlight w:val="none"/>
          <w:lang w:val="en-US" w:eastAsia="zh-CN" w:bidi="ar-SA"/>
        </w:rPr>
        <w:t xml:space="preserve"> </w:t>
      </w:r>
      <w:bookmarkEnd w:id="1238"/>
      <w:bookmarkEnd w:id="1239"/>
      <w:bookmarkEnd w:id="1240"/>
      <w:bookmarkEnd w:id="1242"/>
      <w:r>
        <w:rPr>
          <w:rFonts w:hint="eastAsia" w:hAnsi="宋体" w:cs="宋体"/>
          <w:b/>
          <w:bCs/>
          <w:color w:val="auto"/>
          <w:kern w:val="0"/>
          <w:sz w:val="32"/>
          <w:szCs w:val="32"/>
          <w:highlight w:val="none"/>
          <w:lang w:val="en-US" w:eastAsia="zh-CN" w:bidi="ar-SA"/>
        </w:rPr>
        <w:t>采</w:t>
      </w:r>
      <w:r>
        <w:rPr>
          <w:rFonts w:hint="eastAsia" w:ascii="宋体" w:hAnsi="宋体" w:eastAsia="宋体" w:cs="宋体"/>
          <w:b/>
          <w:bCs/>
          <w:color w:val="auto"/>
          <w:kern w:val="0"/>
          <w:sz w:val="32"/>
          <w:szCs w:val="32"/>
          <w:highlight w:val="none"/>
          <w:lang w:val="en-US" w:eastAsia="zh-CN" w:bidi="ar-SA"/>
        </w:rPr>
        <w:t>购需求</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241"/>
    <w:tbl>
      <w:tblPr>
        <w:tblStyle w:val="27"/>
        <w:tblW w:w="6361" w:type="pct"/>
        <w:tblInd w:w="-11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8"/>
        <w:gridCol w:w="1105"/>
        <w:gridCol w:w="1736"/>
        <w:gridCol w:w="2087"/>
        <w:gridCol w:w="3689"/>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1243" w:name="_Toc30525"/>
            <w:bookmarkStart w:id="1244" w:name="_Toc20225"/>
            <w:bookmarkStart w:id="1245" w:name="_Toc31651"/>
            <w:bookmarkStart w:id="1246" w:name="_Toc11259"/>
            <w:r>
              <w:rPr>
                <w:rFonts w:hint="eastAsia" w:ascii="宋体" w:hAnsi="宋体" w:eastAsia="宋体" w:cs="宋体"/>
                <w:b/>
                <w:bCs/>
                <w:i w:val="0"/>
                <w:iCs w:val="0"/>
                <w:color w:val="000000"/>
                <w:kern w:val="0"/>
                <w:sz w:val="18"/>
                <w:szCs w:val="18"/>
                <w:u w:val="none"/>
                <w:lang w:val="en-US" w:eastAsia="zh-CN" w:bidi="ar"/>
              </w:rPr>
              <w:t>序号</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标的名称</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购置单位</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载液量（吨）</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功能</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泡沫消防车</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泽普县应急管理局</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吨，泡沫≥</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吨</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灭火、照明、发电</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技术参数及规格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▲底盘</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1、国产底盘；驱动形式：4*2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2、发动机功率不小于250kw；上车脚踏板全部采用新型鱼鳞式不锈钢材质，且用直径60mm钢管将踏板与底盘连接固定。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3、尾气排放满足国Ⅵ以上标准；轮胎均为钢丝胎，并配有原装、原尺寸备胎。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驾驶室</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1、原装驾驶室，座位数≥6（2+4）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电源总开关安装在驾驶员坐在驾驶位置可以操作的位置，总开关切换时有声音提示；除原车设备外，加装取力器控制开关、液压油泵开关、警报器≥200W、预留北斗和笔记本电脑电源接口、电源接口和大于等于1000千瓦逆变器（12V、24V、220V)等。安装全景式行车记录仪辅助系统，360度全景监控系统可通过车头、两侧及车尾的四个摄像头检测周围环境状态，形成360度全景影像；配备不小于7寸彩色显示屏，支持分屏和单屏，存储卡≥32G；配备倒车雷达、行车记录仪；电动车窗。后排标配4个空呼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▲取力器</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    型：全功率夹心式取力器；电磁阀：气动控制。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2、冷却方式：强制水冷；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3、控制方式：驾驶室设有控制开关及工作指示灯。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▲水液罐 </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1、隐藏式水罐，罐体质保期大于等于十年；载水量≥6吨，载泡沫液（B类）≥2吨；罐体材质使用优质碳钢罐；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2、水罐上方设有人孔，并带有快速锁紧或开启装置，内设纵、横防荡板；水罐设有溢水口及带单向阀的补水口；设有排污口及不锈钢球阀；设有水罐液位指示器。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3、水罐顶部补水口2个（水、泡沫液各1个），带闷盖，闷盖口径不得小于400MM，水罐顶部进行防滑处理（建议橡胶防滑垫）及锚定固定装置。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4、水罐两侧下方安装80MM注水口≥4个，泡沫加注口1个，带单向阀，带闷盖。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5、全车采用内扣式接口，附带4个80转65的异径转换接口。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▲消防泵</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1、国内外知名品牌消防泵，流量：≥60L／s 额定压力≥1.0Mpa，7m吸深引水时间≤35s，</w:t>
            </w:r>
            <w:r>
              <w:rPr>
                <w:rFonts w:hint="eastAsia" w:ascii="宋体" w:hAnsi="宋体" w:cs="宋体"/>
                <w:i w:val="0"/>
                <w:iCs w:val="0"/>
                <w:color w:val="000000"/>
                <w:kern w:val="0"/>
                <w:sz w:val="18"/>
                <w:szCs w:val="18"/>
                <w:u w:val="none"/>
                <w:lang w:val="en-US" w:eastAsia="zh-CN" w:bidi="ar"/>
              </w:rPr>
              <w:t>手动或电动</w:t>
            </w:r>
            <w:bookmarkStart w:id="1323" w:name="_GoBack"/>
            <w:bookmarkEnd w:id="1323"/>
            <w:r>
              <w:rPr>
                <w:rFonts w:hint="eastAsia" w:ascii="宋体" w:hAnsi="宋体" w:eastAsia="宋体" w:cs="宋体"/>
                <w:i w:val="0"/>
                <w:iCs w:val="0"/>
                <w:color w:val="000000"/>
                <w:kern w:val="0"/>
                <w:sz w:val="18"/>
                <w:szCs w:val="18"/>
                <w:u w:val="none"/>
                <w:lang w:val="en-US" w:eastAsia="zh-CN" w:bidi="ar"/>
              </w:rPr>
              <w:t>泡沫比例混合系统，混合比3%或6%可调。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2、泵室加装燃油式暖风机，暖风机功率≥5kw，燃油通过车辆底盘油箱供给，可在驾驶室操作控制。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3、泵室设置电脑控制面板，防护等级IP68，并设中文讲解说明，同时在控制面板上设置，取力器、后启动按键。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4、整车出水口设置泵室左右两侧各2个（DN80、DN65各1)，手动阀或电磁阀。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▲消防炮</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1、国内外知名品牌消防炮，额定流量≥48L/S。分别设有水炮和泡沫炮，射程分别不小于60米。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2、操控方式：炮口回转360°，炮口俯仰-15°-70°。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器材箱</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厢（器材箱、泵室及内骨架）全部采用高强度铝合金型材，内饰板采用光面拉丝氧化铝板。车厢的骨架为全铝合金框架焊接式结构，外蒙皮需采用铝合金板粘接技术；车厢内器材骨架需采用铝合金型材搭接结构，内饰板和底板需采用光面拉丝铝合金板材，内设置照明灯（LED），并设计有箱门开启时照明感应开关。箱内设有器材固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2、车顶护围：铝合金整体拉制成型，外侧安装频闪警灯；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爬梯：车厢设置一架通往车顶的爬梯。帘子门：铝合金材质，顶部设有导流槽，四周装有密封条，具有良好的防水、防尘密封性能。配备拉杆式条锁把手、一点式拉带及两点式固定座；安装有传感器，可通过驾驶室内的指示灯了解帘子门开闭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4、卷帘门下裙部设置外翻式钢材框架，铝合金型材。承重 ≥200kg，优先采用机械弹簧加锁销在内锁紧，开合可靠。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▲电气系统</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驾驶室顶部前端装配有红色长排频闪警灯；车顶后部边角装配两套红色频闪警灯；配有24V、50W照明灯各1只；车辆两侧装有频闪轮廓灯，下方安装安全标志灯，以上均为LED灯，均带防撞保护（宽条不锈钢材质）;全车警灯设为全红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2、警报器、警灯、电台、器材箱照明等上装部分电气为独立式附加电路，控制器件安装在驾驶室内，所有操作按钮有中文防水标识。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▲照明系统</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1、配备升降照明灯组，照明功率不小于1000W，灯头数不少于</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个，LED灯头，照度50米级别，离地举升高度不小于6米，电控气压升缩灯杆，回转角度水平360°。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▲发电系统</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国内外知名品牌发电机，额定功率不小于</w:t>
            </w:r>
            <w:r>
              <w:rPr>
                <w:rFonts w:hint="eastAsia" w:ascii="宋体" w:hAnsi="宋体" w:cs="宋体"/>
                <w:i w:val="0"/>
                <w:iCs w:val="0"/>
                <w:color w:val="000000"/>
                <w:kern w:val="0"/>
                <w:sz w:val="18"/>
                <w:szCs w:val="18"/>
                <w:u w:val="none"/>
                <w:lang w:val="en-US" w:eastAsia="zh-CN" w:bidi="ar"/>
              </w:rPr>
              <w:t>5000</w:t>
            </w:r>
            <w:r>
              <w:rPr>
                <w:rFonts w:hint="eastAsia" w:ascii="宋体" w:hAnsi="宋体" w:eastAsia="宋体" w:cs="宋体"/>
                <w:i w:val="0"/>
                <w:iCs w:val="0"/>
                <w:color w:val="000000"/>
                <w:kern w:val="0"/>
                <w:sz w:val="18"/>
                <w:szCs w:val="18"/>
                <w:u w:val="none"/>
                <w:lang w:val="en-US" w:eastAsia="zh-CN" w:bidi="ar"/>
              </w:rPr>
              <w:t>瓦，配备移动线盘不少于100米，启动方式为电动及手动，配备接地保护装置，安装位置易于操作。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随车器材</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吸水管2根，滤水器1个，集水器1件，三分水器2件，二分水器2件，水带包布6条，地下、地上式消火栓扳手各1把，吸水管扳手1把，消防斧头1把，水带护桥2副，随车灭火器2具。2、80MM水带（内扣式）≥200米。3、65MM水带（内扣式）≥200米。4、异型和异径接口各4个。  5、泡沫枪2支、直流水枪2把。6、轮楔两副。7、其他随车</w:t>
            </w:r>
            <w:r>
              <w:rPr>
                <w:rFonts w:hint="eastAsia" w:ascii="宋体" w:hAnsi="宋体" w:cs="宋体"/>
                <w:i w:val="0"/>
                <w:iCs w:val="0"/>
                <w:color w:val="000000"/>
                <w:kern w:val="0"/>
                <w:sz w:val="18"/>
                <w:szCs w:val="18"/>
                <w:u w:val="none"/>
                <w:lang w:val="en-US" w:eastAsia="zh-CN" w:bidi="ar"/>
              </w:rPr>
              <w:t>的按出厂</w:t>
            </w:r>
            <w:r>
              <w:rPr>
                <w:rFonts w:hint="eastAsia" w:ascii="宋体" w:hAnsi="宋体" w:eastAsia="宋体" w:cs="宋体"/>
                <w:i w:val="0"/>
                <w:iCs w:val="0"/>
                <w:color w:val="000000"/>
                <w:kern w:val="0"/>
                <w:sz w:val="18"/>
                <w:szCs w:val="18"/>
                <w:u w:val="none"/>
                <w:lang w:val="en-US" w:eastAsia="zh-CN" w:bidi="ar"/>
              </w:rPr>
              <w:t>标准配备的器材、易损件、工具等。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随车资料</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工信部认证证书、整车使用说明书、消防车使用说明书及电子版光盘、维修保养手册、整车合格证、消防泵、消防炮使用说明书、合格证，底盘随车工具和随车器材及易损件清单；操作培训视频，消防车VIN码及发动机号拓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总体要求</w:t>
            </w: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1、所有操作开关、仪表、器材架及车辆均有符合规范的中文防水标识铭牌；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2、整车性能符合GB7956.1-2014的规定。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3、车顶设有高度为150mm～200mm的防护栏板，车辆设有铝合金爬梯。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4、车用易损件按照1:2随车配备。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5、整车质保期五年，质保期间免费维修、更换配件，底盘出厂日期不早于2024年1月1日。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6、投标时，投标商要提供整车设计效果图，包括整体结构图、三维效果图等。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7、按照国家消防救援局最新车辆喷涂标识规定对车身进行喷涂，确保喷涂符合标准。</w:t>
            </w:r>
          </w:p>
        </w:tc>
      </w:tr>
    </w:tbl>
    <w:p/>
    <w:p/>
    <w:tbl>
      <w:tblPr>
        <w:tblStyle w:val="27"/>
        <w:tblW w:w="6368" w:type="pct"/>
        <w:tblInd w:w="-1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1091"/>
        <w:gridCol w:w="3030"/>
        <w:gridCol w:w="2684"/>
        <w:gridCol w:w="3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0"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w:t>
            </w:r>
          </w:p>
        </w:tc>
        <w:tc>
          <w:tcPr>
            <w:tcW w:w="140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购置单位</w:t>
            </w:r>
          </w:p>
        </w:tc>
        <w:tc>
          <w:tcPr>
            <w:tcW w:w="1240" w:type="pct"/>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飞行高度</w:t>
            </w:r>
          </w:p>
        </w:tc>
        <w:tc>
          <w:tcPr>
            <w:tcW w:w="1618"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高层灭火无人机系统</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泽普县应急管理局</w:t>
            </w:r>
          </w:p>
        </w:tc>
        <w:tc>
          <w:tcPr>
            <w:tcW w:w="1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 米</w:t>
            </w:r>
          </w:p>
        </w:tc>
        <w:tc>
          <w:tcPr>
            <w:tcW w:w="1618"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w:t>
            </w: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技术参数及规格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基础参数</w:t>
            </w: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▲机身材质：碳纤维+航空铝结构机身，对称轴距（不含桨叶）：≤1800mm对角轴距≤2100mm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▲动力配置：电动</w:t>
            </w:r>
            <w:r>
              <w:rPr>
                <w:rFonts w:hint="eastAsia" w:ascii="宋体" w:hAnsi="宋体" w:cs="宋体"/>
                <w:i w:val="0"/>
                <w:iCs w:val="0"/>
                <w:color w:val="000000"/>
                <w:kern w:val="0"/>
                <w:sz w:val="18"/>
                <w:szCs w:val="18"/>
                <w:u w:val="none"/>
                <w:lang w:val="en-US" w:eastAsia="zh-CN" w:bidi="ar"/>
              </w:rPr>
              <w:t>，高性能锂电池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▲数据通信链路控制半径≥2km；图像视频链路传输距离≥5km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▲空载续航时间: ≥ 40min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▲最大负载能力：≥50kg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▲最大起飞重量： ≥ 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工作温度：-20℃-55℃，工作环境湿度:10%-90%无凝结湿度下能正常工作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无人机展开时间≤1min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▲空载续航≥40min，标准载荷续航时间≥20min。最大载荷续航时间≥15min。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悬停误差; ≤0.5m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▲相对飞行高度：500m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▲安全悬停抗风≥17m/s，抗风等级： ≥6 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防尘防水等级： ≥IP43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最大飞行速度≥15m/s，最大爬升速度≥10m/s，最大降落速度≥5m/s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动力系统</w:t>
            </w: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尼龙桨叶+无刷直流电机，智能锂电池，配备备用电池组一套。智能电池具备电池电量显示、寿命监管、充放电次数统计、可记录电池电压、电流及充放电次数，电池具备通信接口，可与飞行控制系统进行数据交互,并在地面站上显示电池状态数据(电压、电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飞控系统</w:t>
            </w:r>
          </w:p>
        </w:tc>
        <w:tc>
          <w:tcPr>
            <w:tcW w:w="425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飞行模式种类数量≥3种，至少拥有手动/增稳/自主三种飞行模式，飞行过程中能够切换飞行模式。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手持地面站</w:t>
            </w: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▲抗干扰数字无线通信链路，遥控距离 2km，数据距离 5km，图像距离 5km；地面站软件自带地图，且可自定义导入地图，具备轨迹显示功能、无人机导航控制功能，可进行飞行轨迹地图上实时显示、预设飞行轨迹与实时飞行轨迹同步显示;地图数据库管理、导航控制、坐标显示；无人机所使用的图数宽带数据链路的资料，检查其下行的传输速率指标，要求下行数据速率≥8Mbps，延迟≤300ms，视频传输分辨率≥4K。遥控器能安装无人机地面站软件，具备同时显示第一视角实时图像与飞行状态数据的能力；具备一机双控功能。遥控器显示屏尺寸: ≥7寸，分辨率:≥1920*1200，屏幕亮度:≥1000cd/m2，续航时间: ≥6h，重量: ≤1.5Kg，防护等级: ≥IP54。具有警报功能，提示电池电量、通信链路、无人机状态提示。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定位系统</w:t>
            </w: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RTK+双天线测向,定位误差≤0.5m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瞄准、照明装置</w:t>
            </w: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集激光测距、1080P 以上高清可见光、红外热成像摄像头、强光照明以及激光瞄准系统于一体，可辅助操作人员进行精准灭火救援作业，提供的强光照明系统使无人机具备夜间精准作业能力。定点照明状态下照明距离≥100m，通光量≥10000流明，光斑均匀；通过地面控制系统对照明俯仰角度进行控制，控制角度90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抛投功能</w:t>
            </w:r>
          </w:p>
        </w:tc>
        <w:tc>
          <w:tcPr>
            <w:tcW w:w="4259" w:type="pct"/>
            <w:gridSpan w:val="3"/>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具备快挂快换结构、轻质高强度复合材料，采用重力式自动释放装置，拥有软硬件多重保护电控抛投机构，救援物资挂载点不少于 1 个，支持多种救援物资。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3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4259" w:type="pct"/>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机载灭火剂灭火功能</w:t>
            </w: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▲1.配备快速换装灭火剂罐，灌装灭火剂后单个灭火剂罐容量≥30L。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▲2.配备固定式快接喷管，喷管展开长度：≥1.5m，喷射有效射程≥12m。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 可使用灭火剂种类≥2种。4.抛投灭火弹容积≥30L，10m高度释放后有效覆盖半径≥15m。可装填灭火剂种类至少包括水基、干粉。快拆快换装置，具备延时、定高、撞击、热敏等多种方式爆破触发。5.配备灭火剂罐数量不少于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系留消防水带灭火功能</w:t>
            </w: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备系留无人机专用消防救援水带(工作压力:2.5Mpa，口径:40mm)进行系留式灭火救援作业能力;系留作业时系留高度≥80m。设置与泡沫消防车联用接口;标准喷射流量≥100L/min，可配备伸缩式喷管或固定式快接喷管;喷射距离:≥15m。配备专门泡沫发生系统，发泡倍数大于6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▲2.具备水带应急脱落保护功能，紧急状态下可远程遥控分离水带，确保飞行安全。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3.配置可伸缩式喷杆，喷杆长度:≥3m。▲4.作业高度不小于80米。▲5.配备专用水带（DN40）不少于200米。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挂载灭火罐灭火功能</w:t>
            </w: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▲能携带干粉/水基/泡沫灭火罐，向前/向下喷射灭火或抛投灭火；储压式干粉灭火罐 储压 2.0MPA，有效射程:10 米，干粉灭火剂充装净重量不小于20KG，灭火罐储存容积不小于30L，快拆快装装置。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机载辅助救援模块（喊话、破窗）</w:t>
            </w: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▲具备空中喊话功能，喊话器声音传播距离：≥100 米，声音分贝：≥100db，可实时喊话；快拆快装结构。▲10米处可破碎12mm双层中空钢化玻璃；误触发保护，机械+电子双重保护。破窗装置数量≥4枚。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无人机运输车辆</w:t>
            </w: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1.品牌皮卡车车辆，</w:t>
            </w:r>
            <w:r>
              <w:rPr>
                <w:rFonts w:hint="eastAsia" w:ascii="宋体" w:hAnsi="宋体" w:cs="宋体"/>
                <w:i w:val="0"/>
                <w:iCs w:val="0"/>
                <w:color w:val="000000"/>
                <w:kern w:val="0"/>
                <w:sz w:val="18"/>
                <w:szCs w:val="18"/>
                <w:u w:val="none"/>
                <w:lang w:val="en-US" w:eastAsia="zh-CN" w:bidi="ar"/>
              </w:rPr>
              <w:t>乘</w:t>
            </w:r>
            <w:r>
              <w:rPr>
                <w:rFonts w:hint="eastAsia" w:ascii="宋体" w:hAnsi="宋体" w:eastAsia="宋体" w:cs="宋体"/>
                <w:i w:val="0"/>
                <w:iCs w:val="0"/>
                <w:color w:val="000000"/>
                <w:kern w:val="0"/>
                <w:sz w:val="18"/>
                <w:szCs w:val="18"/>
                <w:u w:val="none"/>
                <w:lang w:val="en-US" w:eastAsia="zh-CN" w:bidi="ar"/>
              </w:rPr>
              <w:t>员人数大于等于5，国六排放标准，皮卡后</w:t>
            </w:r>
            <w:r>
              <w:rPr>
                <w:rFonts w:hint="eastAsia" w:ascii="宋体" w:hAnsi="宋体" w:cs="宋体"/>
                <w:i w:val="0"/>
                <w:iCs w:val="0"/>
                <w:color w:val="000000"/>
                <w:kern w:val="0"/>
                <w:sz w:val="18"/>
                <w:szCs w:val="18"/>
                <w:u w:val="none"/>
                <w:lang w:val="en-US" w:eastAsia="zh-CN" w:bidi="ar"/>
              </w:rPr>
              <w:t>车厢</w:t>
            </w:r>
            <w:r>
              <w:rPr>
                <w:rFonts w:hint="eastAsia" w:ascii="宋体" w:hAnsi="宋体" w:eastAsia="宋体" w:cs="宋体"/>
                <w:i w:val="0"/>
                <w:iCs w:val="0"/>
                <w:color w:val="000000"/>
                <w:kern w:val="0"/>
                <w:sz w:val="18"/>
                <w:szCs w:val="18"/>
                <w:u w:val="none"/>
                <w:lang w:val="en-US" w:eastAsia="zh-CN" w:bidi="ar"/>
              </w:rPr>
              <w:t>配备匹配无人机和压缩空气</w:t>
            </w:r>
            <w:r>
              <w:rPr>
                <w:rFonts w:hint="eastAsia" w:ascii="宋体" w:hAnsi="宋体" w:cs="宋体"/>
                <w:i w:val="0"/>
                <w:iCs w:val="0"/>
                <w:color w:val="000000"/>
                <w:kern w:val="0"/>
                <w:sz w:val="18"/>
                <w:szCs w:val="18"/>
                <w:u w:val="none"/>
                <w:lang w:val="en-US" w:eastAsia="zh-CN" w:bidi="ar"/>
              </w:rPr>
              <w:t>泡沫</w:t>
            </w:r>
            <w:r>
              <w:rPr>
                <w:rFonts w:hint="eastAsia" w:ascii="宋体" w:hAnsi="宋体" w:eastAsia="宋体" w:cs="宋体"/>
                <w:i w:val="0"/>
                <w:iCs w:val="0"/>
                <w:color w:val="000000"/>
                <w:kern w:val="0"/>
                <w:sz w:val="18"/>
                <w:szCs w:val="18"/>
                <w:u w:val="none"/>
                <w:lang w:val="en-US" w:eastAsia="zh-CN" w:bidi="ar"/>
              </w:rPr>
              <w:t>系统的托盘，同时布局物资和器材空间。车辆符合工信部认证有关要求，提供有关合格证等证明文件和相关手续。模块箱体采用铝合金或高强度复合材料制作，须能满足动载时强度需求，蒙皮接缝处均须无裂纹和渗漏水出现。减震效果良好，行进过程中对机身无伤害。</w:t>
            </w:r>
            <w:r>
              <w:rPr>
                <w:rFonts w:hint="eastAsia" w:ascii="宋体" w:hAnsi="宋体" w:cs="宋体"/>
                <w:i w:val="0"/>
                <w:iCs w:val="0"/>
                <w:color w:val="000000"/>
                <w:kern w:val="0"/>
                <w:sz w:val="18"/>
                <w:szCs w:val="18"/>
                <w:u w:val="none"/>
                <w:lang w:val="en-US" w:eastAsia="zh-CN" w:bidi="ar"/>
              </w:rPr>
              <w:t>车辆顶部设长排警灯（红色），安装警报系统。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2.箱体空间布局须能方便取放及储存重载大体积设备；结构须重量轻且牢固可靠，动载时应保证不变形、不失效；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3.须在保证强度的同时，使整个模块轻量化</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便于运输和装卸。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4.箱门止口处安装防水防尘胶条；各把手应牢固可靠且美观；每扇门须设置助力限位结构；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5.模块箱尺寸充足，方便放置各种无人机辅件、器材、便携式救援装备等附件；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50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w:t>
            </w:r>
          </w:p>
        </w:tc>
        <w:tc>
          <w:tcPr>
            <w:tcW w:w="4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无人机</w:t>
            </w:r>
            <w:r>
              <w:rPr>
                <w:rFonts w:hint="eastAsia" w:ascii="宋体" w:hAnsi="宋体" w:eastAsia="宋体" w:cs="宋体"/>
                <w:i w:val="0"/>
                <w:iCs w:val="0"/>
                <w:color w:val="000000"/>
                <w:kern w:val="0"/>
                <w:sz w:val="18"/>
                <w:szCs w:val="18"/>
                <w:u w:val="none"/>
                <w:lang w:val="en-US" w:eastAsia="zh-CN" w:bidi="ar"/>
              </w:rPr>
              <w:t>运输车辆和无人机</w:t>
            </w:r>
            <w:r>
              <w:rPr>
                <w:rFonts w:hint="eastAsia" w:ascii="宋体" w:hAnsi="宋体" w:cs="宋体"/>
                <w:i w:val="0"/>
                <w:iCs w:val="0"/>
                <w:color w:val="000000"/>
                <w:kern w:val="0"/>
                <w:sz w:val="18"/>
                <w:szCs w:val="18"/>
                <w:u w:val="none"/>
                <w:lang w:val="en-US" w:eastAsia="zh-CN" w:bidi="ar"/>
              </w:rPr>
              <w:t>要</w:t>
            </w:r>
            <w:r>
              <w:rPr>
                <w:rFonts w:hint="eastAsia" w:ascii="宋体" w:hAnsi="宋体" w:eastAsia="宋体" w:cs="宋体"/>
                <w:i w:val="0"/>
                <w:iCs w:val="0"/>
                <w:color w:val="000000"/>
                <w:kern w:val="0"/>
                <w:sz w:val="18"/>
                <w:szCs w:val="18"/>
                <w:u w:val="none"/>
                <w:lang w:val="en-US" w:eastAsia="zh-CN" w:bidi="ar"/>
              </w:rPr>
              <w:t>提供完整的设备说明书、出厂合格证、检验和认证证书，以及设备相关附件和配件以及其他一切有关设备技术材料（所有材料需为中文）；2.无人机整机质保期限不少于三年；3.提供至少一年的机身险、三责险；4.提供完整的技术培训，提供不少于两人的飞手培训服务，并确保取得国家认可的操作证书。5.若设备出现故障问题24小时内专人到场提供维修维护等服务。6.设备验收、测试时使用的有关灭火、破窗材料不包含在应配备内容中</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由供货方负责提供测验收所用耗材。</w:t>
            </w:r>
            <w:r>
              <w:rPr>
                <w:rFonts w:hint="eastAsia" w:ascii="宋体" w:hAnsi="宋体" w:cs="宋体"/>
                <w:i w:val="0"/>
                <w:iCs w:val="0"/>
                <w:color w:val="000000"/>
                <w:kern w:val="0"/>
                <w:sz w:val="18"/>
                <w:szCs w:val="18"/>
                <w:u w:val="none"/>
                <w:lang w:val="en-US" w:eastAsia="zh-CN" w:bidi="ar"/>
              </w:rPr>
              <w:t>7.车辆颜色按照应急管理部车辆外观标识设置要求规范涂装，整体颜色涂装为消防红。</w:t>
            </w:r>
          </w:p>
        </w:tc>
      </w:tr>
    </w:tbl>
    <w:p/>
    <w:p/>
    <w:p/>
    <w:p/>
    <w:p/>
    <w:p/>
    <w:tbl>
      <w:tblPr>
        <w:tblStyle w:val="27"/>
        <w:tblW w:w="10827" w:type="dxa"/>
        <w:tblInd w:w="-1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5"/>
        <w:gridCol w:w="1104"/>
        <w:gridCol w:w="7500"/>
        <w:gridCol w:w="846"/>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27" w:type="dxa"/>
            <w:gridSpan w:val="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个人防护及应急储备物资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序号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名称</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性能参数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数量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单北斗替代(4G单兵、4G布控球定位模块更换)</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更换现有4G单兵、4G布控球定位模块为北斗定位系统，更换模块后使用北斗定位系统。支持软件关闭GPS，现场更改bd配置，提供手册和升级包，并提供全面技术支持和售后服务。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消防员灭火防护服</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▲满足XF10-2014《消防员灭火防护服》标准要求，提供国家消防质量监督检测中心检测报告和认证证书；标识符合《20式消防员灭火防护服款式标识统型要求》：采用三层结构；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一、颜色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藏蓝色，潘通色号为 PANTONE 19-4013 TCX Dark Navy，色差≥3级（按《纺细品色牢度试验评定变色用灰色样卡》GB/T250-2008 标准评判）。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二、款式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（一）主体结构：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1、上下分体式结构，上衣和裤子间重叠部分应≥200mm；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2、衣领为立领，前部设护领，衣领内侧采用顺色贴肤舒适面料；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3、上衣在胸部、下摆、袖口各设 1 条 360°环形反光标识带，裤子在小腿部各设1条360°环形反光标志带，反光标志带宽度为 50.8mm（2 英寸），颜色为黄银黄；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4、裤子裆部采用一体式设计；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5、裤子背带为 H 型背带，背带应可调节长度，可拆卸；</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6、上衣前门襟拉链≥ 8 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7、背部设有风琴褶。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(二）附属结构：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1、上衣左胸外设电台立体口袋，门襟内侧设防水插袋，下摆设置外贴袋。大腿外侧各设工具袋 1 个。所有外口袋均设置漏水孔；</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2、在左上臂外侧设 90mm×110mm 盾牌型魔术贴并配盾牌型标识；左胸设 19 消防软胸徽同形状魔术贴，并配备19 消防员软胸徽；右胸设90mm×57mm 长方形魔术贴，并配消防指战员胸部标识；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3、袖口处采用圆弧形设计，外层本色布包边，设置收紧调节袢，并配置罗纹防护护腕，罗纹防护护腕开拇指孔，内部设置止水布；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4、上衣门襟：上衣门襟魔术贴为贯通式；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5、上衣下摆：上衣舒适层下摆设置止水布；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6、裤脚口。裤脚口处采用圆弧形设计，内部设置止水布，内侧设置拉链，裤脚设耐磨材料包边；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7、在肩、肘、膝部应采用耐磨层加厚处理，耐磨层应柔软且易于清洗；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8、左右肩部设有两个挂袢；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9、背部设有救生拖拉带，展开时间≤10s，可以拖动80kg假人10m以上。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三、标识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背部印字：各地消防救援队伍配备服装背部居中采用耐火、防水、荧光材料喷涂印制“应急消防”，字体为简粗平黑，颜色为银色，每个字大小 70mm×85mm，字间距 20mm，位置在反光带上方 30mm 处。反光带下方 30mm 处 各地区可结合本地情况印制总队、支队单位信息，字数≤7个，字体为简粗平黑，颜色为银色。四个字和五个字时每个字大小50mm×55mm，字间距15mm；六个字时每个字大小45mm×55mm，字间距10mm；七个字时每个字大小40mm×55mm，字间距8mm。</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灭火防护靴（夏）</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满足XF6-2004标准，提供国家级消防装备检测报告或认证证书；标识符合《17式消防员灭火防护靴（橡胶）款式标识统型要求》：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一、颜色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主体颜色为黑色和黄色，黑色潘通色号为PANTONE Black 6C，黄色潘通色号为PANTONE 7408C，靴跟银色反光标识潘通色号为PANTONE Cool Gray 8C。色差≥3级。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二、款式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1、整体结构。靴帮由外到里分为帮面、防切割层和隔热舒适层三层结构。靴底由上到下分为隔热舒适层、防穿刺层和靴大底三层结构。靴头部位设有保护包头。靴帮顶部设有便于穿戴的提手。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17式消防胶靴从靴内跟底部至靴帮后部筒口最低处的高度为300mm(±5mm)；靴筒口采用倾斜式设计，由前往后向下倾斜，前后高差20mm(±2mm)；靴帮上设有胫骨、踝骨和跖骨保护层，靴后跟部设有反光标识，筒口和靴底各设围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3、靴帮采用筒面和外头皮拼接结构，材质为耐高温阻燃耐酸碱橡胶。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4、靴帮防切割层采用经2纬3棉帆布，经2用21S双股标准全棉，纬3用7S单股标准全棉。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5、靴帮和靴底隔热舒适层（俗称靴内衬）采用棉布和氯丁橡胶发泡海绵复合面料。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6、靴底防穿刺层采用芳香族聚酰胺纤维复合材料。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7、靴大底采用耐高温、阻燃、耐酸碱、耐磨防滑橡胶，啮合止滑纹路设计，提高防滑性能。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8、鞋垫采用减震缓冲、排汗、防臭，抗菌鞋垫。</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9、保护包头采用轻质铝合金或非金属复合材料。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10、反光标识。靴后跟设有在耐高温、阻燃、耐酸碱橡胶块上，复合的银色三角形阻燃反光标志带。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三、标志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1、“执行标准:XF6-2004”</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2、型号、规格；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3、生产厂的名称或商标；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4、生产厂的灭火防护靴识别编号或制造年月；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5、检验合格标记；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四、性能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1、外底耐油性能(%)：-2—10.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2、金属衬垫的耐腐蚀性能：金属衬垫经腐蚀试验后，试样应无腐蚀现象。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3、防砸性能(mm)：≥15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4、抗刺穿性能(N)：≥2250，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5、抗切割性能：靴面经抗切割试验后，不应被割穿。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6、隔热性能(°C)：≤18，</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7、抗辐射热渗透性能(°C)：≤16</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8、击穿电压不小于8000V，且泄漏电压不少于3mA.</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9、总质量不应超过3kg</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灭火防护靴（冬）</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满足XF633-2006标准，提供国家级消防装备检测报告或认证证书；标识符合《17式消防员灭火防护靴（橡胶）款式标识统型要求》：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主体颜色为黑色和黄色，黑色潘通色号为PANTONE Black 6C，黄色潘通色号为PANTONE 7408C，靴跟银色反光标识潘通色号为PANTONE Cool Gray 8C。色差≥3级。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二、款式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1、整体结构。靴帮由外到里分为帮面、防切割层和隔热舒适层三层结构。靴底由上到下分为隔热舒适层、防穿刺层和靴大底三层结构。靴头部位设有保护包头。靴帮顶部设有便于穿戴的提手。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17式消防胶靴从靴内跟底部至靴帮后部筒口最低处的高度为300mm(±5mm)；靴筒口采用倾斜式设计，由前往后向下倾斜，前后高差20mm(±2mm)；靴帮上设有胫骨、踝骨和跖骨保护层，靴后跟部设有反光标识，筒口和靴底各设围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3、靴帮采用筒面和外头皮拼接结构，材质为耐高温阻燃耐酸碱橡胶。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4、靴帮防切割层采用经2纬3棉帆布，经2用21S双股标准全棉，纬3用7S单股标准全棉。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5、靴帮和靴底隔热舒适层（俗称靴内衬）采用棉布和氯丁橡胶发泡海绵复合面料。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6、靴底防穿刺层采用芳香族聚酰胺纤维复合材料。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7、靴大底采用耐高温、阻燃、耐酸碱、耐磨防滑橡胶，啮合止滑纹路设计，提高防滑性能。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8、鞋垫采用减震缓冲、排汗、防臭、抗菌鞋垫。</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9、保护包头采用轻质铝合金或非金属复合材料。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10、反光标识。靴后跟设有在耐高温、阻燃、耐酸碱橡胶块上，复合的银色三角形阻燃反光标志带。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11、抗电压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三、标志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1、“执行标准:XF6-2004”</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2、型号、规格；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3、生产厂的名称或商标；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4、生产厂的灭火防护靴识别编号或制造年月；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5、检验合格标记；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四、性能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1、应在满足技术性能同时透气性好；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2、应满足小腿部及足部的防护需求；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3、应具备防刺、防滑、耐热、防砸等性能，穿着舒适，不磨脚；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4、救援靴的靴帮和外底结合度应满足GB21148-2007的标准要求，防滑性能：始滑角≥15°；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5、阻燃性能：试验后其损毁长度≤11;离火熄灭时间：≤1s，且不应产生熔融，熔滴或者剥离现象。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6、质量：≤ 3kg。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7、鞋内设置棉绒等保暖材质；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8、击穿电压不小于8000V，且泄漏电压不少于3mA.</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消防手套</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▲1、满足XF7-2004标准，提供国家级检测机构（第三方）的检测报告告和认证证书；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2、手套外层采用芳纶材料，并与皮革相配合，增加耐磨性；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3、应采用反光标志带，具有耐火性；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4、隔热层应为芳纶水刺毡；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5、五分钟浸水测试，不渗透；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6、手腕部位具有可调节松紧尼龙粘胶，穿脱时内外层不得脱离；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7、型号分为大、中、小三个型号；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8、颜色为藏蓝色。</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水带（65内扣式）</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20型，消防水带D2（卡式，2.0Mpa,65mm，20m/条）,红色</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异形接口（65/65内扣-快速）</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满足GB6246-2011标准，提供国家级检测机构出具的检测报告，表面无结疤、裂痕、砂眼；铝合金材质，工作压力不低于2.5Mpa；口径：65mm快速/65mm内扣。接口耐压≥2.0Mpa</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异形接口（80/80/内扣-快速）</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满足GB6246-2011标准，提供国家级检测机构出具的检测报告，表面无结疤、裂痕、砂眼；铝合金材质，工作压力不低于2.5Mpa；口径：80mm快速/80mm内扣。接口耐压≥2.0Mpa</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异径接口（80内扣/65快速）</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满足GB6246-2011标准，提供国家级检测机构出具的检测报告，表面无结疤、裂痕、砂眼；铝合金材质，工作压力不低于2.5Mpa；内扣式口径：80/65mm。80mm内扣-65mm町野，接口耐压≥2.0Mpa</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异径接口（80/65内扣）</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满足GB12514-2006标准，提供国家级检测机构出具的检测报告，表面无结疤、裂痕、砂眼；铝合金材质，工作压力不低于2.5Mpa；町野式口径：80/65mm。接口耐压≥2.0Mpa</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异径接口（65/50内扣）</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满足GB12514-2006标准，提供国家级检测机构出具的检测报告，表面无结疤、裂痕、砂眼；铝合金材质，工作压力不低于2.5Mpa；口径：65mm内扣/50mm内扣。接口耐压≥2.0Mpa</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舒适型安全带</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轻量化模块安全带，肩带与腰带可快速分离，变成半身安全带，可用于各类作业和绳索前进系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统。传统的Y形胸部安全带结构，可以让腰带承担更多装备。采用3D Vent 技术极大提高舒适性。内置并可拆卸的胸升可以在绳索系统上高效上升。• 胸部连接点为 金属材质，• 采用一个FORAS 锁扣用于将胸部安全带和腰带进行连接，可快速分离• 四个硬质装备环能挂载最多12 把锁扣（最大承重：25kg）• 3D Vent 技术：通过三维构造带来完美的支撑和舒适性，最大化受力分布和透气性• 腹部连接点符合EN 813 标准，用于连接下降器• 中间配有两个连接座板的环（Air Lounge）• 肩部的魔术贴环能够固定备份系统• 两侧垂直的织物挂点（和传统的金属挂点作用相同）• 可以连接两个SM Clip 大装备架（强度：5kg）• 内置RFID 芯片简化设备管理。认证：EN 361, EN 358, EN813，重量：1600g，适用身高：160-185cm，腰围：68-95cm，腿围：48-65cm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自动制停下降保护器</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没有防恐慌功能的下降器，可双人使用；小巧的自动制停下降器，主要用于有经验的绳索作业人员。带有人体工程学把手，可以舒适地控制下降。其AUTO-LO CK系统可以随时进行工作定位无需操作把手锁定或打止坠结，松手即可锁定。安全开关可以在装备保持与安全带连接的情况下安装绳索，以使通过中间锚点更为容易。加强保护装置由不锈钢製成，安装在绳索摩擦区域，以增强其耐磨性。工作负荷：最大下降200 kg的物体；绳索兼容性：10-11.5 mm；重量：380g</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下降器连接锁（含锁定杆）</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轻型不对称锁扣由铝镁合金制成。它具有D形，特别适合连接到各种设备，例如下降器或定位挂绳。其流畅的内部设计和Keylock系统便于操作，H形锻造横截面，确保更高的强度重量比，保护标记免受磨损，防勾挂锁门设计，避免了登山扣的任何非自愿卡住，</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带有锁定功能的移动止坠器</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符合认证：CE EN 353-2, CE EN 12841 type A, EAC。带有锁定功能，不需要与连接绳分离即可安装。</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带有势能吸收器挽索</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ASAP'SORBER AXESS势能吸收器只能与ASAP或ASAP LOCK移动止坠器配合使用。它可以让 使用者在与绳索保持一定距离处工作，以在作业期间保护绳索。势能吸收器配有撕裂式扁带， 装在一个防磨损的两端皆可开啓的袋子里，同时也方便定期检查。可以用于双人救援，最大负重 250公斤。</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止坠器</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材质：不锈钢 绳索 10.5&lt;12毫米重量：305克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认证：EN12841A 止坠器，可双人使用灵活直列滑动防护装置是高空作业时防止坠落的防护设备。该套件由带自动锁定功能的滑动救生索（EN FORCER) 组成，通过 50厘米柔性延长器 (EX03*) 和两个 Stec 型号（COB*) 钢连接器与柔性救生索连接。EN FORCER 已经过测试，符合 NBR 14626 的要求 ﹣防止高空坠落的个人防护装备﹣带延长器的柔性线引导滑动防坠器。它必须安装在由 11 毫米编织聚酰胺绳（芯和外层 NBR 15986）组成的柔性锚线上。仅适用于连接至较高锚点的合成纤维绳锚线。</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O型自动扣主锁</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型自动扣主锁，三阶自动锁，上提-转-压，锁门按压省力，手感一流。锁鼻防勾挂设计，且流畅度很好。锁鼻和门柱衔接流畅，方便主锁在闭合物体内转向。门柱有排泥沙的小孔，同时可以降低冬季锁门被冰冻结的风险。锁身做了加宽加强处理，更耐用。具有CE和UIAA双认证，功能正常三年质保三年内免费提供相关技术咨询。</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短连接扁带</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重量(15g)长度(11cm)承受拉力(22kN) CE EN 566, UIAA</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脚踏带</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迪尼玛材质，两孔快速调节。</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牛尾绳</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THE MAMBO 10.1mm单绳的大直径适合在室内岩馆和在岩石上都能通用。这款单绳的加厚表皮增加了更好耐用性和控制度。长度规格：50m，60m，70m绳径：10.1mm认证：CE EN 892, UKCA, UIAA，</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每米重量：65克绳皮百分比：37％ 冲坠数：7静态伸长率：8.5％动态伸长率：34％坠落测试：8.5kN 线轴数：40材质：尼龙</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无柄手式上升器</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用于上升或建立提拉系统;宽大的下方孔可同时连接挽索和脚踏环锁扣;带自清洗槽的齿形凸轮在任何情况下(冰冻或泥泞的绳索…)都能优化性能;不锈钢凸轮具有较好的耐腐蚀性;材料:铝合金、不锈钢、尼龙；重量:85g；绳索兼容:8-11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认证：CE EN 567, CE EN 12841 type B, EAC</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防脱脚升</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脚式上升器用于配合CROLL、ASCENSION或ASCENTREE绳索上升器，便于快速的绳索上升并节省体力。有助于在最初的几米处滑动绳索，带有自清洁槽的齿形凸轮可在任何条件下（冻结或肮脏的绳索）优化性能。 凸轮机构完全集成在脚上的主体中，有助于防止钩住绳索等其他物体，脚向后简单的移动即可从绳中释放，系带采用DoubleBack快捷扣，方便快捷调整松紧，不锈钢凸轮具有更好的抗腐蚀能力，适用绳索直径：8-13mm，重量：85g，材料：铝，不锈钢</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膝式上升器</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材质：大力马（UHMWPE）纤维、涤纶、尼龙、铝、不锈钢、硅胶 成品静态长度：90-100cm（可调节） 棘齿凸轮规格：75x102x30mm 凸轮执行标准：XF494-2004 套装重量：≤240g膝式辅助上升器，运用于绳索长距离爬升，配合传统绳索爬升的脚踏绳和脚 式上升器，双腿可分别发力，从而实现快速交替式上升，节省体力，提高速度。．利用不锈钢扣调节，可配合个人身高调节膝升长度。·脚蹬扁带上的防脱橡筋可紧紧的固定鞋子。．弹力绳上连接使用可360度旋转的快挂，下连接为可拆金属扣。</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水成膜泡沫</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1.产品符合《泡沫灭火剂》（GB15308-2006）有关标准；2.6%AFFF,-17°；3.单桶装，单桶质量小于等于100公斤；4.保质期</w:t>
            </w:r>
            <w:r>
              <w:rPr>
                <w:rFonts w:hint="eastAsia" w:ascii="宋体" w:hAnsi="宋体" w:cs="宋体"/>
                <w:i w:val="0"/>
                <w:iCs w:val="0"/>
                <w:color w:val="000000"/>
                <w:kern w:val="0"/>
                <w:sz w:val="18"/>
                <w:szCs w:val="18"/>
                <w:u w:val="none"/>
                <w:lang w:val="en-US" w:eastAsia="zh-CN" w:bidi="ar"/>
              </w:rPr>
              <w:t>不少于</w:t>
            </w:r>
            <w:r>
              <w:rPr>
                <w:rFonts w:hint="eastAsia" w:ascii="宋体" w:hAnsi="宋体" w:eastAsia="宋体" w:cs="宋体"/>
                <w:i w:val="0"/>
                <w:iCs w:val="0"/>
                <w:color w:val="000000"/>
                <w:kern w:val="0"/>
                <w:sz w:val="18"/>
                <w:szCs w:val="18"/>
                <w:u w:val="none"/>
                <w:lang w:val="en-US" w:eastAsia="zh-CN" w:bidi="ar"/>
              </w:rPr>
              <w:t>8年，生产日期2024年3月1日后。</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吨</w:t>
            </w:r>
          </w:p>
        </w:tc>
      </w:tr>
    </w:tbl>
    <w:p>
      <w:pPr>
        <w:pStyle w:val="4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exact"/>
        <w:ind w:leftChars="0"/>
        <w:jc w:val="left"/>
        <w:textAlignment w:val="baseline"/>
        <w:outlineLvl w:val="1"/>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注：1、本项目技术参数均为公共参数，无指向性，投标供应商认为该产品指向某一品牌、某一型号，那么该参数均为参考参数，可以根据技术要求及商务要求自行去选择产品品牌和型号。</w:t>
      </w:r>
    </w:p>
    <w:p>
      <w:pPr>
        <w:pStyle w:val="4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exact"/>
        <w:ind w:leftChars="0"/>
        <w:jc w:val="left"/>
        <w:textAlignment w:val="baseline"/>
        <w:outlineLvl w:val="1"/>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2、标注“▲”的为重要参数，供应商须提供相应有效证明材料（包括但不限于产品彩页、生产厂家出具的加盖生产厂家公章的对应产品的白皮书、由国家认可的第三方检测机构出具完整的检测报告复印件）。</w:t>
      </w:r>
    </w:p>
    <w:p>
      <w:pPr>
        <w:pStyle w:val="4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exact"/>
        <w:ind w:leftChars="0"/>
        <w:jc w:val="left"/>
        <w:textAlignment w:val="baseline"/>
        <w:outlineLvl w:val="1"/>
        <w:rPr>
          <w:rFonts w:hint="default" w:ascii="宋体" w:hAnsi="宋体" w:cs="宋体"/>
          <w:b/>
          <w:bCs/>
          <w:color w:val="FF0000"/>
          <w:sz w:val="24"/>
          <w:szCs w:val="24"/>
          <w:highlight w:val="none"/>
          <w:lang w:val="en-US" w:eastAsia="zh-CN"/>
        </w:rPr>
      </w:pPr>
    </w:p>
    <w:p>
      <w:pPr>
        <w:pStyle w:val="4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exact"/>
        <w:ind w:leftChars="0"/>
        <w:jc w:val="left"/>
        <w:textAlignment w:val="baseline"/>
        <w:outlineLvl w:val="1"/>
        <w:rPr>
          <w:rFonts w:hint="default" w:ascii="宋体" w:hAnsi="宋体" w:cs="宋体"/>
          <w:b/>
          <w:bCs/>
          <w:color w:val="auto"/>
          <w:sz w:val="24"/>
          <w:szCs w:val="24"/>
          <w:highlight w:val="none"/>
          <w:lang w:val="en-US" w:eastAsia="zh-CN"/>
        </w:rPr>
      </w:pPr>
    </w:p>
    <w:p>
      <w:pPr>
        <w:keepNext w:val="0"/>
        <w:keepLines w:val="0"/>
        <w:widowControl/>
        <w:suppressLineNumbers w:val="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二、项目相关要求：</w:t>
      </w:r>
      <w:bookmarkEnd w:id="1243"/>
      <w:bookmarkEnd w:id="1244"/>
    </w:p>
    <w:p>
      <w:pPr>
        <w:pStyle w:val="2"/>
        <w:rPr>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1、投标人所报价格应包车款、税、运费、车辆购置税、保险费、挂牌费、备品备件费等其他一切费用。</w:t>
      </w:r>
    </w:p>
    <w:p>
      <w:pPr>
        <w:pStyle w:val="12"/>
        <w:keepNext w:val="0"/>
        <w:keepLines w:val="0"/>
        <w:pageBreakBefore w:val="0"/>
        <w:kinsoku/>
        <w:wordWrap/>
        <w:overflowPunct/>
        <w:topLinePunct w:val="0"/>
        <w:bidi w:val="0"/>
        <w:spacing w:beforeAutospacing="0" w:afterAutospacing="0" w:line="400" w:lineRule="exact"/>
        <w:ind w:left="0" w:leftChars="0" w:firstLine="0" w:firstLineChars="0"/>
        <w:outlineLvl w:val="9"/>
        <w:rPr>
          <w:rFonts w:hint="eastAsia" w:ascii="宋体" w:hAnsi="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2、</w:t>
      </w:r>
      <w:r>
        <w:rPr>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pPr>
        <w:pStyle w:val="12"/>
        <w:keepNext w:val="0"/>
        <w:keepLines w:val="0"/>
        <w:pageBreakBefore w:val="0"/>
        <w:kinsoku/>
        <w:wordWrap/>
        <w:overflowPunct/>
        <w:topLinePunct w:val="0"/>
        <w:bidi w:val="0"/>
        <w:spacing w:beforeAutospacing="0" w:afterAutospacing="0" w:line="400" w:lineRule="exact"/>
        <w:ind w:left="0" w:leftChars="0" w:firstLine="0" w:firstLineChars="0"/>
        <w:outlineLvl w:val="2"/>
        <w:rPr>
          <w:rFonts w:hint="eastAsia" w:ascii="宋体" w:hAnsi="宋体" w:eastAsia="宋体" w:cs="宋体"/>
          <w:b/>
          <w:bCs/>
          <w:i w:val="0"/>
          <w:caps w:val="0"/>
          <w:color w:val="000000" w:themeColor="text1"/>
          <w:spacing w:val="0"/>
          <w:w w:val="100"/>
          <w:sz w:val="24"/>
          <w:szCs w:val="24"/>
          <w:highlight w:val="none"/>
          <w:lang w:val="en-US" w:eastAsia="zh-CN"/>
          <w14:textFill>
            <w14:solidFill>
              <w14:schemeClr w14:val="tx1"/>
            </w14:solidFill>
          </w14:textFill>
        </w:rPr>
      </w:pPr>
      <w:bookmarkStart w:id="1247" w:name="_Toc9522"/>
      <w:bookmarkStart w:id="1248" w:name="_Toc32054"/>
      <w:r>
        <w:rPr>
          <w:rFonts w:hint="eastAsia" w:ascii="宋体" w:hAnsi="宋体" w:cs="宋体"/>
          <w:b/>
          <w:bCs/>
          <w:i w:val="0"/>
          <w:caps w:val="0"/>
          <w:color w:val="000000" w:themeColor="text1"/>
          <w:spacing w:val="0"/>
          <w:w w:val="100"/>
          <w:sz w:val="24"/>
          <w:szCs w:val="24"/>
          <w:highlight w:val="none"/>
          <w:lang w:val="en-US" w:eastAsia="zh-CN"/>
          <w14:textFill>
            <w14:solidFill>
              <w14:schemeClr w14:val="tx1"/>
            </w14:solidFill>
          </w14:textFill>
        </w:rPr>
        <w:t>3、</w:t>
      </w:r>
      <w:r>
        <w:rPr>
          <w:rFonts w:hint="eastAsia" w:ascii="宋体" w:hAnsi="宋体" w:eastAsia="宋体" w:cs="宋体"/>
          <w:b/>
          <w:bCs/>
          <w:i w:val="0"/>
          <w:caps w:val="0"/>
          <w:color w:val="000000" w:themeColor="text1"/>
          <w:spacing w:val="0"/>
          <w:w w:val="100"/>
          <w:sz w:val="24"/>
          <w:szCs w:val="24"/>
          <w:highlight w:val="none"/>
          <w:lang w:val="en-US" w:eastAsia="zh-CN"/>
          <w14:textFill>
            <w14:solidFill>
              <w14:schemeClr w14:val="tx1"/>
            </w14:solidFill>
          </w14:textFill>
        </w:rPr>
        <w:t>项目的供货期和质保期</w:t>
      </w:r>
      <w:bookmarkEnd w:id="1247"/>
      <w:bookmarkEnd w:id="1248"/>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40" w:firstLineChars="100"/>
        <w:jc w:val="left"/>
        <w:textAlignment w:val="baseline"/>
        <w:rPr>
          <w:rFonts w:hint="eastAsia" w:ascii="宋体" w:hAnsi="宋体" w:eastAsia="宋体" w:cs="宋体"/>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lang w:val="en-US" w:eastAsia="zh-CN"/>
          <w14:textFill>
            <w14:solidFill>
              <w14:schemeClr w14:val="tx1"/>
            </w14:solidFill>
          </w14:textFill>
        </w:rPr>
        <w:t xml:space="preserve">1、供货期：自签订合同之日起 </w:t>
      </w:r>
      <w:r>
        <w:rPr>
          <w:rFonts w:hint="eastAsia" w:ascii="宋体" w:hAnsi="宋体" w:cs="宋体"/>
          <w:b w:val="0"/>
          <w:bCs w:val="0"/>
          <w:i w:val="0"/>
          <w:caps w:val="0"/>
          <w:color w:val="000000" w:themeColor="text1"/>
          <w:spacing w:val="0"/>
          <w:w w:val="100"/>
          <w:sz w:val="24"/>
          <w:szCs w:val="24"/>
          <w:highlight w:val="none"/>
          <w:lang w:val="en-US" w:eastAsia="zh-CN"/>
          <w14:textFill>
            <w14:solidFill>
              <w14:schemeClr w14:val="tx1"/>
            </w14:solidFill>
          </w14:textFill>
        </w:rPr>
        <w:t>60</w:t>
      </w:r>
      <w:r>
        <w:rPr>
          <w:rFonts w:hint="eastAsia" w:ascii="宋体" w:hAnsi="宋体" w:eastAsia="宋体" w:cs="宋体"/>
          <w:b w:val="0"/>
          <w:bCs w:val="0"/>
          <w:i w:val="0"/>
          <w:caps w:val="0"/>
          <w:color w:val="000000" w:themeColor="text1"/>
          <w:spacing w:val="0"/>
          <w:w w:val="100"/>
          <w:sz w:val="24"/>
          <w:szCs w:val="24"/>
          <w:highlight w:val="none"/>
          <w:lang w:val="en-US" w:eastAsia="zh-CN"/>
          <w14:textFill>
            <w14:solidFill>
              <w14:schemeClr w14:val="tx1"/>
            </w14:solidFill>
          </w14:textFill>
        </w:rPr>
        <w:t xml:space="preserve"> 日</w:t>
      </w:r>
      <w:r>
        <w:rPr>
          <w:rFonts w:hint="eastAsia" w:ascii="宋体" w:hAnsi="宋体" w:cs="宋体"/>
          <w:b w:val="0"/>
          <w:bCs w:val="0"/>
          <w:i w:val="0"/>
          <w:caps w:val="0"/>
          <w:color w:val="000000" w:themeColor="text1"/>
          <w:spacing w:val="0"/>
          <w:w w:val="100"/>
          <w:sz w:val="24"/>
          <w:szCs w:val="24"/>
          <w:highlight w:val="none"/>
          <w:lang w:val="en-US" w:eastAsia="zh-CN"/>
          <w14:textFill>
            <w14:solidFill>
              <w14:schemeClr w14:val="tx1"/>
            </w14:solidFill>
          </w14:textFill>
        </w:rPr>
        <w:t>历天</w:t>
      </w:r>
      <w:r>
        <w:rPr>
          <w:rFonts w:hint="eastAsia" w:ascii="宋体" w:hAnsi="宋体" w:eastAsia="宋体" w:cs="宋体"/>
          <w:b w:val="0"/>
          <w:bCs w:val="0"/>
          <w:i w:val="0"/>
          <w:caps w:val="0"/>
          <w:color w:val="000000" w:themeColor="text1"/>
          <w:spacing w:val="0"/>
          <w:w w:val="100"/>
          <w:sz w:val="24"/>
          <w:szCs w:val="24"/>
          <w:highlight w:val="none"/>
          <w:lang w:val="en-US" w:eastAsia="zh-CN"/>
          <w14:textFill>
            <w14:solidFill>
              <w14:schemeClr w14:val="tx1"/>
            </w14:solidFill>
          </w14:textFill>
        </w:rPr>
        <w:t>。</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239" w:leftChars="114" w:firstLine="0" w:firstLineChars="0"/>
        <w:jc w:val="left"/>
        <w:textAlignment w:val="baseline"/>
        <w:rPr>
          <w:rFonts w:hint="default" w:ascii="宋体" w:hAnsi="宋体" w:cs="宋体"/>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lang w:val="en-US" w:eastAsia="zh-CN"/>
          <w14:textFill>
            <w14:solidFill>
              <w14:schemeClr w14:val="tx1"/>
            </w14:solidFill>
          </w14:textFill>
        </w:rPr>
        <w:t>2、质保期：</w:t>
      </w:r>
      <w:r>
        <w:rPr>
          <w:rFonts w:hint="eastAsia" w:ascii="宋体" w:hAnsi="宋体" w:cs="宋体"/>
          <w:b w:val="0"/>
          <w:bCs w:val="0"/>
          <w:i w:val="0"/>
          <w:caps w:val="0"/>
          <w:color w:val="000000" w:themeColor="text1"/>
          <w:spacing w:val="0"/>
          <w:w w:val="100"/>
          <w:sz w:val="24"/>
          <w:szCs w:val="24"/>
          <w:highlight w:val="none"/>
          <w:lang w:val="en-US" w:eastAsia="zh-CN"/>
          <w14:textFill>
            <w14:solidFill>
              <w14:schemeClr w14:val="tx1"/>
            </w14:solidFill>
          </w14:textFill>
        </w:rPr>
        <w:t>（1）泡沫消防车整车质保期五年；（2）无人机整机质保期限三年；（3）个人防护装备质保一年；</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0" w:firstLineChars="0"/>
        <w:jc w:val="left"/>
        <w:textAlignment w:val="baseline"/>
        <w:outlineLvl w:val="2"/>
        <w:rPr>
          <w:rFonts w:hint="eastAsia" w:ascii="宋体" w:hAnsi="宋体" w:eastAsia="宋体" w:cs="宋体"/>
          <w:b/>
          <w:bCs/>
          <w:i w:val="0"/>
          <w:caps w:val="0"/>
          <w:color w:val="000000" w:themeColor="text1"/>
          <w:spacing w:val="0"/>
          <w:w w:val="100"/>
          <w:sz w:val="24"/>
          <w:szCs w:val="24"/>
          <w:highlight w:val="none"/>
          <w:lang w:val="en-US" w:eastAsia="zh-CN"/>
          <w14:textFill>
            <w14:solidFill>
              <w14:schemeClr w14:val="tx1"/>
            </w14:solidFill>
          </w14:textFill>
        </w:rPr>
      </w:pPr>
      <w:bookmarkStart w:id="1249" w:name="_Toc26238"/>
      <w:bookmarkStart w:id="1250" w:name="_Toc25773"/>
      <w:r>
        <w:rPr>
          <w:rFonts w:hint="eastAsia" w:ascii="宋体" w:hAnsi="宋体" w:cs="宋体"/>
          <w:b/>
          <w:bCs/>
          <w:i w:val="0"/>
          <w:caps w:val="0"/>
          <w:color w:val="000000" w:themeColor="text1"/>
          <w:spacing w:val="0"/>
          <w:w w:val="100"/>
          <w:sz w:val="24"/>
          <w:szCs w:val="24"/>
          <w:highlight w:val="none"/>
          <w:lang w:val="en-US" w:eastAsia="zh-CN"/>
          <w14:textFill>
            <w14:solidFill>
              <w14:schemeClr w14:val="tx1"/>
            </w14:solidFill>
          </w14:textFill>
        </w:rPr>
        <w:t>4、</w:t>
      </w:r>
      <w:r>
        <w:rPr>
          <w:rFonts w:hint="eastAsia" w:ascii="宋体" w:hAnsi="宋体" w:eastAsia="宋体" w:cs="宋体"/>
          <w:b/>
          <w:bCs/>
          <w:i w:val="0"/>
          <w:caps w:val="0"/>
          <w:color w:val="000000" w:themeColor="text1"/>
          <w:spacing w:val="0"/>
          <w:w w:val="100"/>
          <w:sz w:val="24"/>
          <w:szCs w:val="24"/>
          <w:highlight w:val="none"/>
          <w:lang w:val="en-US" w:eastAsia="zh-CN"/>
          <w14:textFill>
            <w14:solidFill>
              <w14:schemeClr w14:val="tx1"/>
            </w14:solidFill>
          </w14:textFill>
        </w:rPr>
        <w:t>付款方式和交货地点</w:t>
      </w:r>
      <w:bookmarkEnd w:id="1249"/>
      <w:bookmarkEnd w:id="1250"/>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239" w:leftChars="114" w:firstLine="0" w:firstLineChars="0"/>
        <w:jc w:val="left"/>
        <w:textAlignment w:val="baseline"/>
        <w:outlineLvl w:val="9"/>
        <w:rPr>
          <w:rFonts w:hint="eastAsia" w:ascii="宋体" w:hAnsi="宋体" w:eastAsia="宋体" w:cs="宋体"/>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lang w:val="en-US" w:eastAsia="zh-CN"/>
          <w14:textFill>
            <w14:solidFill>
              <w14:schemeClr w14:val="tx1"/>
            </w14:solidFill>
          </w14:textFill>
        </w:rPr>
        <w:t>1、付款方式：合同签订后，甲方向乙方支付合同总价款的30%预付款，全部货物供应到场后支付合同总价款的50%，配套设施设备安装调试完成且项目验收合格后完成支付</w:t>
      </w:r>
      <w:r>
        <w:rPr>
          <w:rFonts w:hint="eastAsia" w:ascii="宋体" w:hAnsi="宋体" w:cs="宋体"/>
          <w:b w:val="0"/>
          <w:bCs w:val="0"/>
          <w:i w:val="0"/>
          <w:caps w:val="0"/>
          <w:color w:val="000000" w:themeColor="text1"/>
          <w:spacing w:val="0"/>
          <w:w w:val="100"/>
          <w:sz w:val="24"/>
          <w:szCs w:val="24"/>
          <w:highlight w:val="none"/>
          <w:lang w:val="en-US" w:eastAsia="zh-CN"/>
          <w14:textFill>
            <w14:solidFill>
              <w14:schemeClr w14:val="tx1"/>
            </w14:solidFill>
          </w14:textFill>
        </w:rPr>
        <w:t>全部</w:t>
      </w:r>
      <w:r>
        <w:rPr>
          <w:rFonts w:hint="eastAsia" w:ascii="宋体" w:hAnsi="宋体" w:eastAsia="宋体" w:cs="宋体"/>
          <w:b w:val="0"/>
          <w:bCs w:val="0"/>
          <w:i w:val="0"/>
          <w:caps w:val="0"/>
          <w:color w:val="000000" w:themeColor="text1"/>
          <w:spacing w:val="0"/>
          <w:w w:val="100"/>
          <w:sz w:val="24"/>
          <w:szCs w:val="24"/>
          <w:highlight w:val="none"/>
          <w:lang w:val="en-US" w:eastAsia="zh-CN"/>
          <w14:textFill>
            <w14:solidFill>
              <w14:schemeClr w14:val="tx1"/>
            </w14:solidFill>
          </w14:textFill>
        </w:rPr>
        <w:t>合同价款</w:t>
      </w:r>
      <w:r>
        <w:rPr>
          <w:rFonts w:hint="eastAsia" w:ascii="宋体" w:hAnsi="宋体" w:cs="宋体"/>
          <w:b w:val="0"/>
          <w:bCs w:val="0"/>
          <w:i w:val="0"/>
          <w:caps w:val="0"/>
          <w:color w:val="000000" w:themeColor="text1"/>
          <w:spacing w:val="0"/>
          <w:w w:val="100"/>
          <w:sz w:val="24"/>
          <w:szCs w:val="24"/>
          <w:highlight w:val="none"/>
          <w:lang w:val="en-US" w:eastAsia="zh-CN"/>
          <w14:textFill>
            <w14:solidFill>
              <w14:schemeClr w14:val="tx1"/>
            </w14:solidFill>
          </w14:textFill>
        </w:rPr>
        <w:t>（具体以签订合同为准）。</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239" w:leftChars="114" w:firstLine="0" w:firstLineChars="0"/>
        <w:jc w:val="left"/>
        <w:textAlignment w:val="baseline"/>
        <w:outlineLvl w:val="9"/>
        <w:rPr>
          <w:rFonts w:hint="default"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2、交货地点：</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泽普县应急管理局</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指定地点。</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0" w:firstLineChars="0"/>
        <w:jc w:val="left"/>
        <w:textAlignment w:val="baseline"/>
        <w:outlineLvl w:val="2"/>
        <w:rPr>
          <w:rFonts w:hint="eastAsia" w:ascii="宋体" w:hAnsi="宋体" w:eastAsia="宋体" w:cs="宋体"/>
          <w:b/>
          <w:bCs/>
          <w:i w:val="0"/>
          <w:caps w:val="0"/>
          <w:color w:val="000000" w:themeColor="text1"/>
          <w:spacing w:val="0"/>
          <w:w w:val="100"/>
          <w:sz w:val="24"/>
          <w:szCs w:val="24"/>
          <w:highlight w:val="none"/>
          <w:lang w:val="en-US" w:eastAsia="zh-CN"/>
          <w14:textFill>
            <w14:solidFill>
              <w14:schemeClr w14:val="tx1"/>
            </w14:solidFill>
          </w14:textFill>
        </w:rPr>
      </w:pPr>
      <w:bookmarkStart w:id="1251" w:name="_Toc21030"/>
      <w:bookmarkStart w:id="1252" w:name="_Toc9995"/>
      <w:r>
        <w:rPr>
          <w:rFonts w:hint="eastAsia" w:ascii="宋体" w:hAnsi="宋体" w:cs="宋体"/>
          <w:b/>
          <w:bCs/>
          <w:i w:val="0"/>
          <w:caps w:val="0"/>
          <w:color w:val="000000" w:themeColor="text1"/>
          <w:spacing w:val="0"/>
          <w:w w:val="100"/>
          <w:sz w:val="24"/>
          <w:szCs w:val="24"/>
          <w:highlight w:val="none"/>
          <w:lang w:val="en-US" w:eastAsia="zh-CN"/>
          <w14:textFill>
            <w14:solidFill>
              <w14:schemeClr w14:val="tx1"/>
            </w14:solidFill>
          </w14:textFill>
        </w:rPr>
        <w:t>5、</w:t>
      </w:r>
      <w:r>
        <w:rPr>
          <w:rFonts w:hint="eastAsia" w:ascii="宋体" w:hAnsi="宋体" w:eastAsia="宋体" w:cs="宋体"/>
          <w:b/>
          <w:bCs/>
          <w:i w:val="0"/>
          <w:caps w:val="0"/>
          <w:color w:val="000000" w:themeColor="text1"/>
          <w:spacing w:val="0"/>
          <w:w w:val="100"/>
          <w:sz w:val="24"/>
          <w:szCs w:val="24"/>
          <w:highlight w:val="none"/>
          <w:lang w:val="en-US" w:eastAsia="zh-CN"/>
          <w14:textFill>
            <w14:solidFill>
              <w14:schemeClr w14:val="tx1"/>
            </w14:solidFill>
          </w14:textFill>
        </w:rPr>
        <w:t>售后服务</w:t>
      </w:r>
      <w:bookmarkEnd w:id="1251"/>
      <w:bookmarkEnd w:id="1252"/>
    </w:p>
    <w:p>
      <w:pPr>
        <w:numPr>
          <w:ilvl w:val="0"/>
          <w:numId w:val="0"/>
        </w:numPr>
        <w:ind w:firstLine="240" w:firstLineChars="100"/>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1.卖方须到买方提供的现场免费安装、调试设备，进行操作试验，直至运行正常，为仪器操作人员终身免费提供技术服务、技术支持及咨询服务，在任何时候、任何地点均可享受到终生的免费咨询服务。质保期内对产品出现的问题投标人应提供 7*24 小时的技术支持服务；质保期后，按照合同约定提供技术支持服务。</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40" w:firstLineChars="100"/>
        <w:jc w:val="left"/>
        <w:textAlignment w:val="baseline"/>
        <w:outlineLvl w:val="9"/>
        <w:rPr>
          <w:rFonts w:hint="eastAsia" w:ascii="宋体" w:hAnsi="宋体" w:eastAsia="宋体" w:cs="宋体"/>
          <w:b/>
          <w:bCs/>
          <w:i w:val="0"/>
          <w:caps w:val="0"/>
          <w:color w:val="000000" w:themeColor="text1"/>
          <w:spacing w:val="0"/>
          <w:w w:val="100"/>
          <w:sz w:val="24"/>
          <w:szCs w:val="24"/>
          <w:highlight w:val="no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2.为保证设备正常运行，供应商须在疆内有正规完善的维修服务机构，在疆内具有备件库，备件保证10年以上供应期。维修人员应是供应商派出的具有一定专业技术水平的人员，具有供应商的法定代表人授权委托，并提供联系人、联系电话及维修点详细地址。</w:t>
      </w:r>
      <w:r>
        <w:rPr>
          <w:rFonts w:hint="eastAsia" w:ascii="宋体" w:hAnsi="宋体" w:eastAsia="宋体" w:cs="宋体"/>
          <w:b/>
          <w:bCs/>
          <w:i w:val="0"/>
          <w:caps w:val="0"/>
          <w:color w:val="000000" w:themeColor="text1"/>
          <w:spacing w:val="0"/>
          <w:w w:val="100"/>
          <w:sz w:val="24"/>
          <w:szCs w:val="24"/>
          <w:highlight w:val="none"/>
          <w:lang w:val="en-US" w:eastAsia="zh-CN"/>
          <w14:textFill>
            <w14:solidFill>
              <w14:schemeClr w14:val="tx1"/>
            </w14:solidFill>
          </w14:textFill>
        </w:rPr>
        <w:t>（须提供房屋租赁合同或合作协议）</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40" w:firstLineChars="100"/>
        <w:jc w:val="left"/>
        <w:textAlignment w:val="baseline"/>
        <w:outlineLvl w:val="9"/>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3.在质保期内，派遣维修或技术人员巡访设备使用单位，协助并指导运维人员进行日常维护保养工作，并与直接使用人交流设备使用相关事宜。</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40" w:firstLineChars="100"/>
        <w:jc w:val="left"/>
        <w:textAlignment w:val="baseline"/>
        <w:outlineLvl w:val="9"/>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4.</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供应商必须积极配合采购人共同参与项目验收。主动向采购方有关技术人员在使用现场提供全套技术指导及培训。</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40" w:firstLineChars="100"/>
        <w:jc w:val="left"/>
        <w:textAlignment w:val="baseline"/>
        <w:outlineLvl w:val="9"/>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5</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 xml:space="preserve">.供应商应派相关技术人员到现场免费进行安装，解决安装过程中的相关问题。  </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40" w:firstLineChars="100"/>
        <w:jc w:val="left"/>
        <w:textAlignment w:val="baseline"/>
        <w:outlineLvl w:val="9"/>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6.</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售后服务承诺：供应商应对质保期内及其以后的服务做出承诺，并具有切实可行的措施,不能及时兑现服务承诺内容而影响使用方使用，供应商应当给予补偿。</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40" w:firstLineChars="100"/>
        <w:jc w:val="left"/>
        <w:textAlignment w:val="baseline"/>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如收到</w:t>
      </w:r>
      <w:r>
        <w:rPr>
          <w:rFonts w:hint="eastAsia" w:ascii="宋体" w:hAnsi="宋体" w:cs="宋体"/>
          <w:color w:val="000000" w:themeColor="text1"/>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cs="宋体"/>
          <w:color w:val="000000" w:themeColor="text1"/>
          <w:sz w:val="24"/>
          <w:szCs w:val="24"/>
          <w:highlight w:val="none"/>
          <w:lang w:val="en-US" w:eastAsia="zh-CN"/>
          <w14:textFill>
            <w14:solidFill>
              <w14:schemeClr w14:val="tx1"/>
            </w14:solidFill>
          </w14:textFill>
        </w:rPr>
        <w:t>符合</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要求，购买方有权利退回所购买产品。</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40" w:firstLineChars="100"/>
        <w:jc w:val="left"/>
        <w:textAlignment w:val="baseline"/>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人员培训：针对</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本项目</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实际情况指定培训计划，卖方应提供技术培训，保证使用人员正常操作设备的各种功能。</w:t>
      </w:r>
      <w:r>
        <w:rPr>
          <w:rFonts w:hint="eastAsia" w:ascii="宋体" w:hAnsi="宋体" w:eastAsia="宋体" w:cs="宋体"/>
          <w:color w:val="000000" w:themeColor="text1"/>
          <w:sz w:val="24"/>
          <w:szCs w:val="24"/>
          <w:highlight w:val="none"/>
          <w:lang w:val="en-US" w:eastAsia="zh-CN"/>
          <w14:textFill>
            <w14:solidFill>
              <w14:schemeClr w14:val="tx1"/>
            </w14:solidFill>
          </w14:textFill>
        </w:rPr>
        <w:t>在质保期内为采购人提供至少三人的</w:t>
      </w:r>
      <w:r>
        <w:rPr>
          <w:rFonts w:hint="eastAsia" w:ascii="宋体" w:hAnsi="宋体" w:cs="宋体"/>
          <w:color w:val="000000" w:themeColor="text1"/>
          <w:sz w:val="24"/>
          <w:szCs w:val="24"/>
          <w:highlight w:val="none"/>
          <w:lang w:val="en-US" w:eastAsia="zh-CN"/>
          <w14:textFill>
            <w14:solidFill>
              <w14:schemeClr w14:val="tx1"/>
            </w14:solidFill>
          </w14:textFill>
        </w:rPr>
        <w:t>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培训服务，无人机运输车辆和无人机提供完整的技术培训，提供不少于两人的飞手培训服务，并确保取得国家认可的操作证书。培训配备受过专业培训的售后服务人员、技术支持人员及咨询服务、在任何时候、任何地点均可享受到终生的免费咨询服务。供应商投标时应提供详细的培训方案。</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outlineLvl w:val="2"/>
        <w:rPr>
          <w:rFonts w:hint="eastAsia" w:ascii="宋体" w:hAnsi="宋体" w:eastAsia="宋体" w:cs="宋体"/>
          <w:b/>
          <w:bCs/>
          <w:i w:val="0"/>
          <w:caps w:val="0"/>
          <w:color w:val="000000" w:themeColor="text1"/>
          <w:spacing w:val="0"/>
          <w:w w:val="100"/>
          <w:sz w:val="24"/>
          <w:szCs w:val="24"/>
          <w:highlight w:val="none"/>
          <w:lang w:val="en-US" w:eastAsia="zh-CN"/>
          <w14:textFill>
            <w14:solidFill>
              <w14:schemeClr w14:val="tx1"/>
            </w14:solidFill>
          </w14:textFill>
        </w:rPr>
      </w:pPr>
      <w:bookmarkStart w:id="1253" w:name="_Toc21768"/>
      <w:bookmarkStart w:id="1254" w:name="_Toc7872"/>
      <w:r>
        <w:rPr>
          <w:rFonts w:hint="eastAsia" w:ascii="宋体" w:hAnsi="宋体" w:cs="宋体"/>
          <w:b/>
          <w:bCs/>
          <w:i w:val="0"/>
          <w:caps w:val="0"/>
          <w:color w:val="000000" w:themeColor="text1"/>
          <w:spacing w:val="0"/>
          <w:w w:val="100"/>
          <w:sz w:val="24"/>
          <w:szCs w:val="24"/>
          <w:highlight w:val="none"/>
          <w:lang w:val="en-US" w:eastAsia="zh-CN"/>
          <w14:textFill>
            <w14:solidFill>
              <w14:schemeClr w14:val="tx1"/>
            </w14:solidFill>
          </w14:textFill>
        </w:rPr>
        <w:t>6、</w:t>
      </w:r>
      <w:r>
        <w:rPr>
          <w:rFonts w:hint="eastAsia" w:ascii="宋体" w:hAnsi="宋体" w:eastAsia="宋体" w:cs="宋体"/>
          <w:b/>
          <w:bCs/>
          <w:i w:val="0"/>
          <w:caps w:val="0"/>
          <w:color w:val="000000" w:themeColor="text1"/>
          <w:spacing w:val="0"/>
          <w:w w:val="100"/>
          <w:sz w:val="24"/>
          <w:szCs w:val="24"/>
          <w:highlight w:val="none"/>
          <w:lang w:val="en-US" w:eastAsia="zh-CN"/>
          <w14:textFill>
            <w14:solidFill>
              <w14:schemeClr w14:val="tx1"/>
            </w14:solidFill>
          </w14:textFill>
        </w:rPr>
        <w:t>验收</w:t>
      </w:r>
      <w:bookmarkEnd w:id="1253"/>
      <w:bookmarkEnd w:id="1254"/>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40" w:firstLineChars="100"/>
        <w:jc w:val="left"/>
        <w:textAlignment w:val="baseline"/>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验收程序：货物包装应符合国家标准，以保证货物在运输过程中不受损伤。货物在运输或邮寄途中发生毁损或丢失，由乙方负责。在运输途中、交货前、卸货中发生人身伤害或货物受损的，由乙方负责承担。货物到达后，甲乙双方均须在场确认包装完好后，安装后由甲方验货，并对货物进行清点验收，共同签字确认。如验收不合格，一切损失由乙方自行承担。</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40" w:firstLineChars="100"/>
        <w:jc w:val="left"/>
        <w:textAlignment w:val="baseline"/>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验收内容：采购清单内设备、装备数量进行验收。</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40" w:firstLineChars="100"/>
        <w:jc w:val="left"/>
        <w:textAlignment w:val="baseline"/>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验收标准：严格按照采购合同开展履约验收。采购人或者采购代理机构</w:t>
      </w:r>
      <w:r>
        <w:rPr>
          <w:rFonts w:hint="eastAsia" w:ascii="宋体" w:hAnsi="宋体" w:cs="宋体"/>
          <w:color w:val="000000" w:themeColor="text1"/>
          <w:sz w:val="24"/>
          <w:szCs w:val="24"/>
          <w:highlight w:val="none"/>
          <w:lang w:val="en-US" w:eastAsia="zh-CN"/>
          <w14:textFill>
            <w14:solidFill>
              <w14:schemeClr w14:val="tx1"/>
            </w14:solidFill>
          </w14:textFill>
        </w:rPr>
        <w:t>组织相关专家进行验收</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40" w:firstLineChars="100"/>
        <w:jc w:val="left"/>
        <w:textAlignment w:val="baseline"/>
        <w:outlineLvl w:val="9"/>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4.货物及其各部件应为全新，未曾使用过之优质产品，与规定的质量、规格和性能相符，并保证该产品确系原厂制造，同时提供产品的质量保证书、技术性能说明书、有关部门的检测测试报告、质量标准认证证书等相关材料。</w:t>
      </w:r>
    </w:p>
    <w:p>
      <w:pPr>
        <w:pStyle w:val="48"/>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40" w:firstLineChars="100"/>
        <w:jc w:val="left"/>
        <w:textAlignment w:val="baseline"/>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jc w:val="center"/>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br w:type="page"/>
      </w:r>
      <w:bookmarkStart w:id="1255" w:name="_Toc26305"/>
      <w:bookmarkStart w:id="1256" w:name="_Toc21856"/>
      <w:r>
        <w:rPr>
          <w:rFonts w:hint="eastAsia" w:ascii="宋体" w:hAnsi="宋体" w:eastAsia="宋体" w:cs="宋体"/>
          <w:b/>
          <w:bCs/>
          <w:color w:val="auto"/>
          <w:kern w:val="0"/>
          <w:sz w:val="32"/>
          <w:szCs w:val="32"/>
          <w:highlight w:val="none"/>
          <w:lang w:val="en-US" w:eastAsia="zh-CN" w:bidi="ar-SA"/>
        </w:rPr>
        <w:t>第6章  评标方法和标准</w:t>
      </w:r>
      <w:bookmarkEnd w:id="14"/>
      <w:bookmarkEnd w:id="15"/>
      <w:bookmarkEnd w:id="16"/>
      <w:bookmarkEnd w:id="17"/>
      <w:bookmarkEnd w:id="18"/>
      <w:bookmarkEnd w:id="19"/>
      <w:bookmarkEnd w:id="20"/>
      <w:bookmarkEnd w:id="1245"/>
      <w:bookmarkEnd w:id="1246"/>
      <w:bookmarkEnd w:id="1255"/>
      <w:bookmarkEnd w:id="1256"/>
    </w:p>
    <w:p>
      <w:pPr>
        <w:pStyle w:val="10"/>
        <w:keepNext w:val="0"/>
        <w:keepLines w:val="0"/>
        <w:pageBreakBefore w:val="0"/>
        <w:tabs>
          <w:tab w:val="clear" w:pos="567"/>
        </w:tabs>
        <w:kinsoku/>
        <w:wordWrap/>
        <w:overflowPunct/>
        <w:topLinePunct w:val="0"/>
        <w:autoSpaceDE/>
        <w:autoSpaceDN/>
        <w:bidi w:val="0"/>
        <w:adjustRightInd/>
        <w:spacing w:before="0" w:line="380" w:lineRule="exact"/>
        <w:ind w:firstLine="540" w:firstLineChars="225"/>
        <w:outlineLvl w:val="9"/>
        <w:rPr>
          <w:rFonts w:hint="eastAsia" w:ascii="宋体" w:hAnsi="宋体" w:eastAsia="宋体" w:cs="宋体"/>
          <w:color w:val="auto"/>
          <w:highlight w:val="none"/>
        </w:rPr>
      </w:pPr>
      <w:r>
        <w:rPr>
          <w:rFonts w:hint="eastAsia" w:ascii="宋体" w:hAnsi="宋体" w:eastAsia="宋体" w:cs="宋体"/>
          <w:color w:val="auto"/>
          <w:highlight w:val="none"/>
        </w:rPr>
        <w:t>本项目将按照招标文件第一章供应商须知中“五 开标及评标”、“六 确定中标”及本章的规定评标。</w:t>
      </w:r>
    </w:p>
    <w:p>
      <w:pPr>
        <w:keepNext w:val="0"/>
        <w:keepLines w:val="0"/>
        <w:pageBreakBefore w:val="0"/>
        <w:widowControl/>
        <w:kinsoku/>
        <w:wordWrap/>
        <w:overflowPunct/>
        <w:topLinePunct w:val="0"/>
        <w:autoSpaceDE/>
        <w:autoSpaceDN/>
        <w:bidi w:val="0"/>
        <w:adjustRightInd/>
        <w:spacing w:line="380" w:lineRule="exac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1.投标无效的情形：</w:t>
      </w:r>
    </w:p>
    <w:p>
      <w:pPr>
        <w:keepNext w:val="0"/>
        <w:keepLines w:val="0"/>
        <w:pageBreakBefore w:val="0"/>
        <w:widowControl/>
        <w:kinsoku/>
        <w:wordWrap/>
        <w:overflowPunct/>
        <w:topLinePunct w:val="0"/>
        <w:autoSpaceDE/>
        <w:autoSpaceDN/>
        <w:bidi w:val="0"/>
        <w:adjustRightInd/>
        <w:spacing w:line="3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（1）单位负责人为同一人或者存在直接控股、管理关系的不同供应商，其相关投标将被认定为投标无效。</w:t>
      </w:r>
    </w:p>
    <w:p>
      <w:pPr>
        <w:keepNext w:val="0"/>
        <w:keepLines w:val="0"/>
        <w:pageBreakBefore w:val="0"/>
        <w:widowControl/>
        <w:kinsoku/>
        <w:wordWrap/>
        <w:overflowPunct/>
        <w:topLinePunct w:val="0"/>
        <w:autoSpaceDE/>
        <w:autoSpaceDN/>
        <w:bidi w:val="0"/>
        <w:adjustRightInd/>
        <w:spacing w:line="3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（2）供应商报价超过招标文件规定的预算金额或者分项、分包最高限价的，其投标将被认定为投标无效。</w:t>
      </w:r>
    </w:p>
    <w:p>
      <w:pPr>
        <w:keepNext w:val="0"/>
        <w:keepLines w:val="0"/>
        <w:pageBreakBefore w:val="0"/>
        <w:widowControl/>
        <w:kinsoku/>
        <w:wordWrap/>
        <w:overflowPunct/>
        <w:topLinePunct w:val="0"/>
        <w:autoSpaceDE/>
        <w:autoSpaceDN/>
        <w:bidi w:val="0"/>
        <w:adjustRightInd/>
        <w:spacing w:line="3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应认真阅读招标文件所有的事项、格式、条款和技术规范等。如供应商没有按照招标文件要求提交全部资料，或者投标文件没有对投标文件在各方面都做出实质性响应，可能导致其投标将被认定为投标无效。</w:t>
      </w:r>
    </w:p>
    <w:p>
      <w:pPr>
        <w:keepNext w:val="0"/>
        <w:keepLines w:val="0"/>
        <w:pageBreakBefore w:val="0"/>
        <w:widowControl/>
        <w:kinsoku/>
        <w:wordWrap/>
        <w:overflowPunct/>
        <w:topLinePunct w:val="0"/>
        <w:autoSpaceDE/>
        <w:autoSpaceDN/>
        <w:bidi w:val="0"/>
        <w:adjustRightInd/>
        <w:spacing w:line="3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）供应商应当对所投分包投标文件中“</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内容”所列的所有内容进行投标，如仅响应某一包中的部分内容，其该包投标将被认定为投标无效。</w:t>
      </w:r>
    </w:p>
    <w:p>
      <w:pPr>
        <w:keepNext w:val="0"/>
        <w:keepLines w:val="0"/>
        <w:pageBreakBefore w:val="0"/>
        <w:widowControl/>
        <w:kinsoku/>
        <w:wordWrap/>
        <w:overflowPunct/>
        <w:topLinePunct w:val="0"/>
        <w:autoSpaceDE/>
        <w:autoSpaceDN/>
        <w:bidi w:val="0"/>
        <w:adjustRightInd/>
        <w:spacing w:line="3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）供应商未按本须知第12.1和12.3条规定提交投标保证金的，其投标资格将被认定为投标无效。</w:t>
      </w:r>
    </w:p>
    <w:p>
      <w:pPr>
        <w:keepNext w:val="0"/>
        <w:keepLines w:val="0"/>
        <w:pageBreakBefore w:val="0"/>
        <w:widowControl/>
        <w:kinsoku/>
        <w:wordWrap/>
        <w:overflowPunct/>
        <w:topLinePunct w:val="0"/>
        <w:autoSpaceDE/>
        <w:autoSpaceDN/>
        <w:bidi w:val="0"/>
        <w:adjustRightInd/>
        <w:spacing w:line="3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）所有投标均以人民币报价。供应商的投标报价应遵守《中华人民共和国价格法》。同时，根据《中华人民共和国政府采购法》第二条的规定，为保证公平竞争，如有</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主体部分的赠与行为，其投标将被认定为投标无效。</w:t>
      </w:r>
    </w:p>
    <w:p>
      <w:pPr>
        <w:keepNext w:val="0"/>
        <w:keepLines w:val="0"/>
        <w:pageBreakBefore w:val="0"/>
        <w:widowControl/>
        <w:kinsoku/>
        <w:wordWrap/>
        <w:overflowPunct/>
        <w:topLinePunct w:val="0"/>
        <w:autoSpaceDE/>
        <w:autoSpaceDN/>
        <w:bidi w:val="0"/>
        <w:adjustRightInd/>
        <w:spacing w:line="3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）供应商所报的各分项投标单价在合同履行过程中是固定不变的，不得以任何理由予以变更。任何包含价格调整要求的投标，其投标将被认定为投标无效。</w:t>
      </w:r>
    </w:p>
    <w:p>
      <w:pPr>
        <w:keepNext w:val="0"/>
        <w:keepLines w:val="0"/>
        <w:pageBreakBefore w:val="0"/>
        <w:widowControl/>
        <w:kinsoku/>
        <w:wordWrap/>
        <w:overflowPunct/>
        <w:topLinePunct w:val="0"/>
        <w:autoSpaceDE/>
        <w:autoSpaceDN/>
        <w:bidi w:val="0"/>
        <w:adjustRightInd/>
        <w:spacing w:line="3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）投标应在供应商须知资料表中规定时间内保持有效。投标有效期不满足要求的投标，其投标将被认定为投标无效。</w:t>
      </w:r>
    </w:p>
    <w:p>
      <w:pPr>
        <w:keepNext w:val="0"/>
        <w:keepLines w:val="0"/>
        <w:pageBreakBefore w:val="0"/>
        <w:widowControl/>
        <w:kinsoku/>
        <w:wordWrap/>
        <w:overflowPunct/>
        <w:topLinePunct w:val="0"/>
        <w:autoSpaceDE/>
        <w:autoSpaceDN/>
        <w:bidi w:val="0"/>
        <w:adjustRightInd/>
        <w:spacing w:line="3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）采购人或采购代理机构将在开标前1个工作日至投标截止后1小时的期间内查询供应商的信用记录。供应商存在不良信用记录的，其投标将被认定为投标无效。</w:t>
      </w:r>
    </w:p>
    <w:p>
      <w:pPr>
        <w:keepNext w:val="0"/>
        <w:keepLines w:val="0"/>
        <w:pageBreakBefore w:val="0"/>
        <w:widowControl/>
        <w:kinsoku/>
        <w:wordWrap/>
        <w:overflowPunct/>
        <w:topLinePunct w:val="0"/>
        <w:autoSpaceDE/>
        <w:autoSpaceDN/>
        <w:bidi w:val="0"/>
        <w:adjustRightInd/>
        <w:spacing w:line="3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keepNext w:val="0"/>
        <w:keepLines w:val="0"/>
        <w:pageBreakBefore w:val="0"/>
        <w:widowControl/>
        <w:kinsoku/>
        <w:wordWrap/>
        <w:overflowPunct/>
        <w:topLinePunct w:val="0"/>
        <w:autoSpaceDE/>
        <w:autoSpaceDN/>
        <w:bidi w:val="0"/>
        <w:adjustRightInd/>
        <w:spacing w:line="3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pPr>
        <w:keepNext w:val="0"/>
        <w:keepLines w:val="0"/>
        <w:pageBreakBefore w:val="0"/>
        <w:widowControl/>
        <w:kinsoku/>
        <w:wordWrap/>
        <w:overflowPunct/>
        <w:topLinePunct w:val="0"/>
        <w:autoSpaceDE/>
        <w:autoSpaceDN/>
        <w:bidi w:val="0"/>
        <w:adjustRightInd/>
        <w:spacing w:line="3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如发现下列情况之一的，其投标将被认定为投标无效：未按招标文件规定的形式和金额提交投标保证金的；未按照招标文件规定要求签署、盖章的；未满足招标文件中技术条款的实质性要求；与其他供应商串通投标，或者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pPr>
        <w:keepNext w:val="0"/>
        <w:keepLines w:val="0"/>
        <w:pageBreakBefore w:val="0"/>
        <w:widowControl/>
        <w:kinsoku/>
        <w:wordWrap/>
        <w:overflowPunct/>
        <w:topLinePunct w:val="0"/>
        <w:autoSpaceDE/>
        <w:autoSpaceDN/>
        <w:bidi w:val="0"/>
        <w:adjustRightInd/>
        <w:spacing w:line="380" w:lineRule="exact"/>
        <w:jc w:val="left"/>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eastAsia="zh-CN"/>
        </w:rPr>
        <w:t>根据《财政部关于进一步加大政府采购支持中小企业力度的通知》财库〔2022〕19号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宋体" w:hAnsi="宋体" w:eastAsia="宋体" w:cs="宋体"/>
          <w:b/>
          <w:bCs/>
          <w:color w:val="auto"/>
          <w:sz w:val="24"/>
          <w:highlight w:val="none"/>
          <w:u w:val="single"/>
          <w:lang w:eastAsia="zh-CN"/>
        </w:rPr>
        <w:t xml:space="preserve">  10  %</w:t>
      </w:r>
      <w:r>
        <w:rPr>
          <w:rFonts w:hint="eastAsia" w:ascii="宋体" w:hAnsi="宋体" w:eastAsia="宋体" w:cs="宋体"/>
          <w:b/>
          <w:bCs/>
          <w:color w:val="auto"/>
          <w:sz w:val="24"/>
          <w:highlight w:val="none"/>
          <w:lang w:eastAsia="zh-CN"/>
        </w:rPr>
        <w:t>后参与评审。对于同时属于小型、微型及小微企业、监狱企业或残疾人福利性单位的，不重复进行报价扣除。</w:t>
      </w:r>
    </w:p>
    <w:p>
      <w:pPr>
        <w:keepNext w:val="0"/>
        <w:keepLines w:val="0"/>
        <w:pageBreakBefore w:val="0"/>
        <w:widowControl/>
        <w:kinsoku/>
        <w:wordWrap/>
        <w:overflowPunct/>
        <w:topLinePunct w:val="0"/>
        <w:autoSpaceDE/>
        <w:autoSpaceDN/>
        <w:bidi w:val="0"/>
        <w:adjustRightInd/>
        <w:spacing w:line="380" w:lineRule="exact"/>
        <w:jc w:val="left"/>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3.联合协议中约定</w:t>
      </w:r>
      <w:r>
        <w:rPr>
          <w:rFonts w:hint="eastAsia" w:ascii="宋体" w:hAnsi="宋体" w:eastAsia="宋体" w:cs="宋体"/>
          <w:color w:val="auto"/>
          <w:sz w:val="24"/>
          <w:highlight w:val="none"/>
        </w:rPr>
        <w:t>，小型、微型企业和监狱企业的协议合同金额占到联合体协议合同总金额30%以上的，可给予联合体</w:t>
      </w:r>
      <w:r>
        <w:rPr>
          <w:rFonts w:hint="eastAsia" w:ascii="宋体" w:hAnsi="宋体" w:eastAsia="宋体" w:cs="宋体"/>
          <w:color w:val="auto"/>
          <w:sz w:val="24"/>
          <w:highlight w:val="none"/>
          <w:u w:val="single"/>
        </w:rPr>
        <w:t xml:space="preserve"> 2%-3%</w:t>
      </w:r>
      <w:r>
        <w:rPr>
          <w:rFonts w:hint="eastAsia" w:ascii="宋体" w:hAnsi="宋体" w:eastAsia="宋体" w:cs="宋体"/>
          <w:color w:val="auto"/>
          <w:sz w:val="24"/>
          <w:highlight w:val="none"/>
        </w:rPr>
        <w:t>的价格扣除。</w:t>
      </w:r>
      <w:r>
        <w:rPr>
          <w:rFonts w:hint="eastAsia" w:ascii="宋体" w:hAnsi="宋体" w:eastAsia="宋体" w:cs="宋体"/>
          <w:b/>
          <w:bCs/>
          <w:color w:val="auto"/>
          <w:sz w:val="24"/>
          <w:highlight w:val="none"/>
        </w:rPr>
        <w:t>（本项目不适用）</w:t>
      </w:r>
    </w:p>
    <w:p>
      <w:pPr>
        <w:keepNext w:val="0"/>
        <w:keepLines w:val="0"/>
        <w:pageBreakBefore w:val="0"/>
        <w:widowControl/>
        <w:kinsoku/>
        <w:wordWrap/>
        <w:overflowPunct/>
        <w:topLinePunct w:val="0"/>
        <w:autoSpaceDE/>
        <w:autoSpaceDN/>
        <w:bidi w:val="0"/>
        <w:adjustRightInd/>
        <w:spacing w:line="380" w:lineRule="exact"/>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联合体各方均为小型、微型企业和监狱企业的，联合体视同为小型、微型企业和监狱企业。</w:t>
      </w:r>
    </w:p>
    <w:p>
      <w:pPr>
        <w:pStyle w:val="10"/>
        <w:keepNext w:val="0"/>
        <w:keepLines w:val="0"/>
        <w:pageBreakBefore w:val="0"/>
        <w:tabs>
          <w:tab w:val="clear" w:pos="567"/>
        </w:tabs>
        <w:kinsoku/>
        <w:wordWrap/>
        <w:overflowPunct/>
        <w:topLinePunct w:val="0"/>
        <w:autoSpaceDE/>
        <w:autoSpaceDN/>
        <w:bidi w:val="0"/>
        <w:adjustRightInd/>
        <w:spacing w:before="0" w:line="380" w:lineRule="exact"/>
        <w:outlineLvl w:val="9"/>
        <w:rPr>
          <w:rFonts w:hint="eastAsia" w:ascii="宋体" w:hAnsi="宋体" w:eastAsia="宋体" w:cs="宋体"/>
          <w:color w:val="auto"/>
          <w:highlight w:val="none"/>
        </w:rPr>
      </w:pPr>
      <w:r>
        <w:rPr>
          <w:rFonts w:hint="eastAsia" w:ascii="宋体" w:hAnsi="宋体" w:eastAsia="宋体" w:cs="宋体"/>
          <w:b/>
          <w:bCs/>
          <w:color w:val="auto"/>
          <w:highlight w:val="none"/>
        </w:rPr>
        <w:t>4.供应商</w:t>
      </w:r>
      <w:r>
        <w:rPr>
          <w:rFonts w:hint="eastAsia" w:ascii="宋体" w:hAnsi="宋体" w:eastAsia="宋体" w:cs="宋体"/>
          <w:color w:val="auto"/>
          <w:highlight w:val="none"/>
        </w:rPr>
        <w:t>为提供服务需求在投标中伴随投标的产品如被列入财政部与国家主管部门颁发的节能产品目录或环境标志产品目录或无线局域网产品目录，应提供相关证明，在评标时予以优先采购，具体优惠措施为：</w:t>
      </w:r>
      <w:r>
        <w:rPr>
          <w:rFonts w:hint="eastAsia" w:ascii="宋体" w:hAnsi="宋体" w:eastAsia="宋体" w:cs="宋体"/>
          <w:color w:val="auto"/>
          <w:highlight w:val="none"/>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ascii="宋体" w:hAnsi="宋体" w:eastAsia="宋体" w:cs="宋体"/>
          <w:color w:val="auto"/>
          <w:highlight w:val="none"/>
        </w:rPr>
        <w:t>。</w:t>
      </w:r>
    </w:p>
    <w:p>
      <w:pPr>
        <w:pStyle w:val="10"/>
        <w:keepNext w:val="0"/>
        <w:keepLines w:val="0"/>
        <w:pageBreakBefore w:val="0"/>
        <w:tabs>
          <w:tab w:val="clear" w:pos="567"/>
        </w:tabs>
        <w:kinsoku/>
        <w:wordWrap/>
        <w:overflowPunct/>
        <w:topLinePunct w:val="0"/>
        <w:autoSpaceDE/>
        <w:autoSpaceDN/>
        <w:bidi w:val="0"/>
        <w:adjustRightInd/>
        <w:spacing w:before="0" w:line="380" w:lineRule="exact"/>
        <w:outlineLvl w:val="9"/>
        <w:rPr>
          <w:rFonts w:hint="eastAsia" w:ascii="宋体" w:hAnsi="宋体" w:eastAsia="宋体" w:cs="宋体"/>
          <w:color w:val="auto"/>
          <w:highlight w:val="none"/>
          <w:u w:val="single"/>
        </w:rPr>
      </w:pPr>
      <w:r>
        <w:rPr>
          <w:rFonts w:hint="eastAsia" w:ascii="宋体" w:hAnsi="宋体" w:eastAsia="宋体" w:cs="宋体"/>
          <w:b/>
          <w:bCs/>
          <w:color w:val="auto"/>
          <w:highlight w:val="none"/>
        </w:rPr>
        <w:t>5.对创新产</w:t>
      </w:r>
      <w:r>
        <w:rPr>
          <w:rFonts w:hint="eastAsia" w:ascii="宋体" w:hAnsi="宋体" w:eastAsia="宋体" w:cs="宋体"/>
          <w:color w:val="auto"/>
          <w:highlight w:val="none"/>
        </w:rPr>
        <w:t>品或创新性企业的优惠措施为：</w:t>
      </w:r>
      <w:r>
        <w:rPr>
          <w:rFonts w:hint="eastAsia" w:ascii="宋体" w:hAnsi="宋体" w:eastAsia="宋体" w:cs="宋体"/>
          <w:color w:val="auto"/>
          <w:highlight w:val="none"/>
          <w:u w:val="single"/>
        </w:rPr>
        <w:t xml:space="preserve">     /      </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6.开标：</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供应商按照须知资料表中规定的开标时间和地点，在规定时间内上传投标文件。</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到投标截止时间，对供应商上传的投标文件进行解密，解密时长为30分钟。供应商须在规定时间内使用CA锁在政采云平台解密，解密失败或未在规定时间内解密，将无法参加下一阶段的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 xml:space="preserve">，将被认定为无效投标。请供应商提前调试好CA锁，确定在操作时能正常使用。  </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在开标记录时，代理机构开启签字时段，须供应商使用CA锁在政采云平台进行签字确认报价。</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采购人登录政采云平台对供应商的资格证明材料进行审查。</w:t>
      </w:r>
    </w:p>
    <w:p>
      <w:pPr>
        <w:pStyle w:val="2"/>
        <w:keepNext w:val="0"/>
        <w:keepLines w:val="0"/>
        <w:pageBreakBefore w:val="0"/>
        <w:kinsoku/>
        <w:wordWrap/>
        <w:overflowPunct/>
        <w:topLinePunct w:val="0"/>
        <w:autoSpaceDE/>
        <w:autoSpaceDN/>
        <w:bidi w:val="0"/>
        <w:adjustRightInd/>
        <w:spacing w:line="380" w:lineRule="exact"/>
        <w:outlineLvl w:val="9"/>
        <w:rPr>
          <w:rFonts w:hint="eastAsia" w:ascii="宋体" w:hAnsi="宋体" w:eastAsia="宋体" w:cs="宋体"/>
          <w:b/>
          <w:bCs/>
          <w:i w:val="0"/>
          <w:caps w:val="0"/>
          <w:color w:val="auto"/>
          <w:spacing w:val="0"/>
          <w:w w:val="100"/>
          <w:sz w:val="24"/>
          <w:highlight w:val="none"/>
          <w:lang w:val="en-US" w:eastAsia="zh-CN"/>
        </w:rPr>
      </w:pPr>
      <w:r>
        <w:rPr>
          <w:rFonts w:hint="eastAsia" w:ascii="宋体" w:hAnsi="宋体" w:eastAsia="宋体" w:cs="宋体"/>
          <w:b/>
          <w:bCs/>
          <w:i w:val="0"/>
          <w:caps w:val="0"/>
          <w:color w:val="auto"/>
          <w:spacing w:val="0"/>
          <w:w w:val="100"/>
          <w:sz w:val="24"/>
          <w:highlight w:val="none"/>
          <w:lang w:val="en-US" w:eastAsia="zh-CN"/>
        </w:rPr>
        <w:t>7.评标：</w:t>
      </w:r>
    </w:p>
    <w:p>
      <w:pPr>
        <w:pStyle w:val="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（1）在</w:t>
      </w:r>
      <w:r>
        <w:rPr>
          <w:rFonts w:hint="eastAsia" w:ascii="宋体" w:hAnsi="宋体" w:eastAsia="宋体" w:cs="宋体"/>
          <w:b/>
          <w:bCs/>
          <w:color w:val="auto"/>
          <w:sz w:val="24"/>
          <w:highlight w:val="none"/>
          <w:lang w:eastAsia="zh-CN"/>
        </w:rPr>
        <w:t>政采云平台上随机抽取</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名</w:t>
      </w:r>
      <w:r>
        <w:rPr>
          <w:rFonts w:hint="eastAsia" w:ascii="宋体" w:hAnsi="宋体" w:eastAsia="宋体" w:cs="宋体"/>
          <w:b/>
          <w:bCs/>
          <w:color w:val="auto"/>
          <w:sz w:val="24"/>
          <w:highlight w:val="none"/>
          <w:lang w:eastAsia="zh-CN"/>
        </w:rPr>
        <w:t>专家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采购单位出0名专家，共计5名专家</w:t>
      </w:r>
      <w:r>
        <w:rPr>
          <w:rFonts w:hint="eastAsia" w:ascii="宋体" w:hAnsi="宋体" w:eastAsia="宋体" w:cs="宋体"/>
          <w:color w:val="auto"/>
          <w:sz w:val="24"/>
          <w:highlight w:val="none"/>
        </w:rPr>
        <w:t>负责评标工作。</w:t>
      </w:r>
    </w:p>
    <w:p>
      <w:pPr>
        <w:pStyle w:val="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（2）评标前，工作人员收取所有参会人员的手机，主持人宣读评标纪律。</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对采购单位的纪律要求：采购单位不得泄露招投标活动中应当保密的情况和资料，不得与供应商串通损害国家利益、社会公共利益或者他人合法权益</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对与开标大会活动有关的工作人员的纪律要求：与开标大会活动有关的工作人员不得收受他人的财物或者其他好处，不得向他人透露对中标候选人的推荐情况以及评标有关的其他情况。</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对评标专家的评标纪律及注意事项：</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①与本次评标工作无关的人员不得进入评标现场；</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②在评标过程中评标委员会以外人员不得干预或影响正常评标工作，不得明示或暗示其倾向性、引导性言论；</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③评标委员会成员要严格遵守政府采购法、政府采购法实施条例、政府采购货物和服务招标投标管理办法及评标专家管理办法，要求公正、公平的参与评标工作；</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⑦评标专家与供应商有下列利害关系之一的人员，应当回避</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参加采购活动前3年内与供应商存在劳动关系；</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参加采购活动前3年内担任供应商的董事、监事；</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参加采购活动前3年内是供应商的控股股东或者实际控制人；</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与供应商的法定代表人或者负责人有夫妻、直系血亲、三代以内旁系血亲或者近姻亲关系。</w:t>
      </w:r>
    </w:p>
    <w:p>
      <w:pPr>
        <w:pStyle w:val="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（3）评标委员会应当按照招标文件中规定的评标方法和标准，对所有投标文件进行资格性审查，再对符合资格要求的供应商的投标文件进行符合性审查，以确定其是否满足招标文件的实质性要求。</w:t>
      </w:r>
    </w:p>
    <w:p>
      <w:pPr>
        <w:pStyle w:val="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pPr>
        <w:pStyle w:val="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pPr>
        <w:pStyle w:val="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（6）评标委员会成员对需要共同认定的事项存在争议的，应当按照少数服从多数的原则作出结论。持不同意见的评标委员会成员应当在评标报告上签署不同意见及理由，否则视为同意评标报告。</w:t>
      </w:r>
    </w:p>
    <w:p>
      <w:pPr>
        <w:pStyle w:val="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注：现场所有参会人员均要对开标内容进行保密。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宋体" w:hAnsi="宋体" w:eastAsia="宋体" w:cs="宋体"/>
          <w:b/>
          <w:bCs/>
          <w:i w:val="0"/>
          <w:caps w:val="0"/>
          <w:color w:val="auto"/>
          <w:spacing w:val="0"/>
          <w:w w:val="100"/>
          <w:sz w:val="24"/>
          <w:highlight w:val="none"/>
          <w:lang w:val="en-US" w:eastAsia="zh-CN"/>
        </w:rPr>
      </w:pPr>
      <w:r>
        <w:rPr>
          <w:rFonts w:hint="eastAsia" w:ascii="宋体" w:hAnsi="宋体" w:eastAsia="宋体" w:cs="宋体"/>
          <w:b/>
          <w:bCs/>
          <w:i w:val="0"/>
          <w:caps w:val="0"/>
          <w:color w:val="auto"/>
          <w:spacing w:val="0"/>
          <w:w w:val="100"/>
          <w:sz w:val="24"/>
          <w:highlight w:val="none"/>
          <w:lang w:val="en-US" w:eastAsia="zh-CN"/>
        </w:rPr>
        <w:t>8.答疑澄清：</w:t>
      </w:r>
    </w:p>
    <w:p>
      <w:pPr>
        <w:pStyle w:val="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（1）评标委员会对于投标文件中含义不明确、同类问题表述不一致或者有明显文字和计算错误的内容，要求供应商以书面形式现场作出必要的澄清、说明或者补正。</w:t>
      </w:r>
    </w:p>
    <w:p>
      <w:pPr>
        <w:pStyle w:val="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（2）供应商的澄清、说明或者补正应当采用书面形式，并加盖公章，或者由法定代表人或其授权的代表签字。供应商的澄清、说明或者补正不得超出投标文件的范围或者改变投标文件的实质性内容。</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宋体" w:hAnsi="宋体" w:eastAsia="宋体" w:cs="宋体"/>
          <w:b/>
          <w:bCs/>
          <w:i w:val="0"/>
          <w:caps w:val="0"/>
          <w:color w:val="auto"/>
          <w:spacing w:val="0"/>
          <w:w w:val="100"/>
          <w:sz w:val="24"/>
          <w:highlight w:val="none"/>
          <w:lang w:val="en-US" w:eastAsia="zh-CN"/>
        </w:rPr>
      </w:pPr>
      <w:r>
        <w:rPr>
          <w:rFonts w:hint="eastAsia" w:ascii="宋体" w:hAnsi="宋体" w:eastAsia="宋体" w:cs="宋体"/>
          <w:b/>
          <w:bCs/>
          <w:i w:val="0"/>
          <w:caps w:val="0"/>
          <w:color w:val="auto"/>
          <w:spacing w:val="0"/>
          <w:w w:val="100"/>
          <w:sz w:val="24"/>
          <w:highlight w:val="none"/>
          <w:lang w:val="en-US" w:eastAsia="zh-CN"/>
        </w:rPr>
        <w:t>9.定标：</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（1）采购代理机构应当在评标结束后2个工作日内将评标报告送采购人。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（2）采购人应当自收到评标报告之日起５个工作日内，在评标报告确定的中标候选人名单中按顺序确定中标人。中标候选人并列的，由采购人按照招标文件规定的方式确定中标人。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（3）采购人在收到评标报告5个工作日内未按评标报告推荐的中标候选人顺序确定中标人，又不能说明合法理由的，视同按评标报告推荐的顺序确定排名第一的中标候选人为中标人。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default" w:ascii="宋体" w:hAnsi="宋体" w:eastAsia="宋体" w:cs="宋体"/>
          <w:b/>
          <w:bCs/>
          <w:i w:val="0"/>
          <w:caps w:val="0"/>
          <w:color w:val="auto"/>
          <w:spacing w:val="0"/>
          <w:w w:val="100"/>
          <w:sz w:val="24"/>
          <w:highlight w:val="none"/>
          <w:lang w:val="en-US" w:eastAsia="zh-CN"/>
        </w:rPr>
      </w:pPr>
      <w:r>
        <w:rPr>
          <w:rFonts w:hint="eastAsia" w:ascii="宋体" w:hAnsi="宋体" w:eastAsia="宋体" w:cs="宋体"/>
          <w:b/>
          <w:bCs/>
          <w:i w:val="0"/>
          <w:caps w:val="0"/>
          <w:color w:val="auto"/>
          <w:spacing w:val="0"/>
          <w:w w:val="100"/>
          <w:sz w:val="24"/>
          <w:highlight w:val="none"/>
          <w:lang w:val="en-US" w:eastAsia="zh-CN"/>
        </w:rPr>
        <w:t>10.评标标准：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宋体" w:hAnsi="宋体" w:eastAsia="宋体" w:cs="宋体"/>
          <w:b w:val="0"/>
          <w:i w:val="0"/>
          <w:caps w:val="0"/>
          <w:color w:val="auto"/>
          <w:spacing w:val="0"/>
          <w:w w:val="100"/>
          <w:sz w:val="24"/>
          <w:highlight w:val="none"/>
          <w:lang w:val="en-US" w:eastAsia="zh-CN"/>
        </w:rPr>
      </w:pPr>
      <w:bookmarkStart w:id="1257" w:name="_Toc5776"/>
      <w:bookmarkStart w:id="1258" w:name="_Toc19412"/>
      <w:bookmarkStart w:id="1259" w:name="_Toc9835"/>
      <w:bookmarkStart w:id="1260" w:name="_Toc25901"/>
      <w:bookmarkStart w:id="1261" w:name="_Toc10419"/>
      <w:bookmarkStart w:id="1262" w:name="_Toc7467"/>
      <w:bookmarkStart w:id="1263" w:name="_Toc5986"/>
      <w:bookmarkStart w:id="1264" w:name="_Toc23103"/>
      <w:bookmarkStart w:id="1265" w:name="_Toc6128"/>
      <w:bookmarkStart w:id="1266" w:name="_Toc9116"/>
      <w:bookmarkStart w:id="1267" w:name="_Toc5478"/>
      <w:bookmarkStart w:id="1268" w:name="_Toc1327"/>
      <w:bookmarkStart w:id="1269" w:name="_Toc28782"/>
      <w:bookmarkStart w:id="1270" w:name="_Toc21578"/>
      <w:bookmarkStart w:id="1271" w:name="_Toc29085"/>
      <w:bookmarkStart w:id="1272" w:name="_Toc5578"/>
      <w:bookmarkStart w:id="1273" w:name="_Toc21866"/>
      <w:r>
        <w:rPr>
          <w:rFonts w:hint="eastAsia" w:ascii="宋体" w:hAnsi="宋体" w:eastAsia="宋体" w:cs="宋体"/>
          <w:b w:val="0"/>
          <w:i w:val="0"/>
          <w:caps w:val="0"/>
          <w:color w:val="auto"/>
          <w:spacing w:val="0"/>
          <w:w w:val="100"/>
          <w:sz w:val="24"/>
          <w:highlight w:val="none"/>
          <w:lang w:val="en-US" w:eastAsia="zh-CN"/>
        </w:rPr>
        <w:t>（1）价格评分占30%，完全满足招标文件参数的投标报价中的最低价为评标基准价，按照下列公式计算每个供应商的投标价格得分。投标报价得分＝（基准价/投标报价）×价格权重×100。</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（2）商务</w:t>
      </w:r>
      <w:r>
        <w:rPr>
          <w:rFonts w:hint="eastAsia" w:ascii="宋体" w:hAnsi="宋体" w:cs="宋体"/>
          <w:b w:val="0"/>
          <w:i w:val="0"/>
          <w:caps w:val="0"/>
          <w:color w:val="auto"/>
          <w:spacing w:val="0"/>
          <w:w w:val="100"/>
          <w:sz w:val="24"/>
          <w:highlight w:val="none"/>
          <w:lang w:val="en-US" w:eastAsia="zh-CN"/>
        </w:rPr>
        <w:t>、</w:t>
      </w:r>
      <w:r>
        <w:rPr>
          <w:rFonts w:hint="eastAsia" w:ascii="宋体" w:hAnsi="宋体" w:eastAsia="宋体" w:cs="宋体"/>
          <w:b w:val="0"/>
          <w:i w:val="0"/>
          <w:caps w:val="0"/>
          <w:color w:val="auto"/>
          <w:spacing w:val="0"/>
          <w:w w:val="100"/>
          <w:sz w:val="24"/>
          <w:highlight w:val="none"/>
          <w:lang w:val="en-US" w:eastAsia="zh-CN"/>
        </w:rPr>
        <w:t>技术评分占</w:t>
      </w:r>
      <w:r>
        <w:rPr>
          <w:rFonts w:hint="eastAsia" w:ascii="宋体" w:hAnsi="宋体" w:cs="宋体"/>
          <w:b w:val="0"/>
          <w:i w:val="0"/>
          <w:caps w:val="0"/>
          <w:color w:val="auto"/>
          <w:spacing w:val="0"/>
          <w:w w:val="100"/>
          <w:sz w:val="24"/>
          <w:highlight w:val="none"/>
          <w:lang w:val="en-US" w:eastAsia="zh-CN"/>
        </w:rPr>
        <w:t>70</w:t>
      </w:r>
      <w:r>
        <w:rPr>
          <w:rFonts w:hint="eastAsia" w:ascii="宋体" w:hAnsi="宋体" w:eastAsia="宋体" w:cs="宋体"/>
          <w:b w:val="0"/>
          <w:i w:val="0"/>
          <w:caps w:val="0"/>
          <w:color w:val="auto"/>
          <w:spacing w:val="0"/>
          <w:w w:val="100"/>
          <w:sz w:val="24"/>
          <w:highlight w:val="none"/>
          <w:lang w:val="en-US" w:eastAsia="zh-CN"/>
        </w:rPr>
        <w:t>%，包含标书制作</w:t>
      </w:r>
      <w:r>
        <w:rPr>
          <w:rFonts w:hint="eastAsia" w:ascii="宋体" w:hAnsi="宋体" w:cs="宋体"/>
          <w:b w:val="0"/>
          <w:i w:val="0"/>
          <w:caps w:val="0"/>
          <w:color w:val="auto"/>
          <w:spacing w:val="0"/>
          <w:w w:val="100"/>
          <w:sz w:val="24"/>
          <w:highlight w:val="none"/>
          <w:lang w:val="en-US" w:eastAsia="zh-CN"/>
        </w:rPr>
        <w:t>、</w:t>
      </w:r>
      <w:r>
        <w:rPr>
          <w:rFonts w:hint="eastAsia" w:ascii="宋体" w:hAnsi="宋体" w:eastAsia="宋体" w:cs="宋体"/>
          <w:b w:val="0"/>
          <w:i w:val="0"/>
          <w:caps w:val="0"/>
          <w:color w:val="auto"/>
          <w:spacing w:val="0"/>
          <w:w w:val="100"/>
          <w:sz w:val="24"/>
          <w:highlight w:val="none"/>
          <w:lang w:val="en-US" w:eastAsia="zh-CN"/>
        </w:rPr>
        <w:t>技术参数、实施方案、培训方案、售后服务</w:t>
      </w:r>
      <w:r>
        <w:rPr>
          <w:rFonts w:hint="eastAsia" w:ascii="宋体" w:hAnsi="宋体" w:cs="宋体"/>
          <w:b w:val="0"/>
          <w:i w:val="0"/>
          <w:caps w:val="0"/>
          <w:color w:val="auto"/>
          <w:spacing w:val="0"/>
          <w:w w:val="100"/>
          <w:sz w:val="24"/>
          <w:highlight w:val="none"/>
          <w:lang w:val="en-US" w:eastAsia="zh-CN"/>
        </w:rPr>
        <w:t>、备品备件等</w:t>
      </w:r>
      <w:r>
        <w:rPr>
          <w:rFonts w:hint="eastAsia" w:ascii="宋体" w:hAnsi="宋体" w:eastAsia="宋体" w:cs="宋体"/>
          <w:b w:val="0"/>
          <w:i w:val="0"/>
          <w:caps w:val="0"/>
          <w:color w:val="auto"/>
          <w:spacing w:val="0"/>
          <w:w w:val="100"/>
          <w:sz w:val="24"/>
          <w:highlight w:val="none"/>
          <w:lang w:val="en-US" w:eastAsia="zh-CN"/>
        </w:rPr>
        <w:t>。</w:t>
      </w:r>
    </w:p>
    <w:p>
      <w:pPr>
        <w:outlineLvl w:val="9"/>
        <w:rPr>
          <w:rFonts w:hint="eastAsia" w:ascii="宋体" w:hAnsi="宋体" w:eastAsia="宋体" w:cs="宋体"/>
          <w:b w:val="0"/>
          <w:i w:val="0"/>
          <w:caps w:val="0"/>
          <w:color w:val="auto"/>
          <w:spacing w:val="0"/>
          <w:w w:val="100"/>
          <w:sz w:val="24"/>
          <w:highlight w:val="none"/>
          <w:lang w:val="en-US" w:eastAsia="zh-CN"/>
        </w:rPr>
      </w:pPr>
    </w:p>
    <w:p>
      <w:pPr>
        <w:pStyle w:val="7"/>
        <w:outlineLvl w:val="9"/>
        <w:rPr>
          <w:rFonts w:hint="eastAsia" w:ascii="宋体" w:hAnsi="宋体" w:eastAsia="宋体" w:cs="宋体"/>
          <w:b w:val="0"/>
          <w:i w:val="0"/>
          <w:caps w:val="0"/>
          <w:color w:val="auto"/>
          <w:spacing w:val="0"/>
          <w:w w:val="100"/>
          <w:sz w:val="24"/>
          <w:highlight w:val="none"/>
          <w:lang w:val="en-US" w:eastAsia="zh-CN"/>
        </w:rPr>
      </w:pPr>
    </w:p>
    <w:p>
      <w:pPr>
        <w:pStyle w:val="8"/>
        <w:outlineLvl w:val="9"/>
        <w:rPr>
          <w:rFonts w:hint="eastAsia" w:ascii="宋体" w:hAnsi="宋体" w:eastAsia="宋体" w:cs="宋体"/>
          <w:b w:val="0"/>
          <w:i w:val="0"/>
          <w:caps w:val="0"/>
          <w:color w:val="auto"/>
          <w:spacing w:val="0"/>
          <w:w w:val="100"/>
          <w:sz w:val="24"/>
          <w:highlight w:val="none"/>
          <w:lang w:val="en-US" w:eastAsia="zh-CN"/>
        </w:rPr>
      </w:pPr>
    </w:p>
    <w:p>
      <w:pPr>
        <w:outlineLvl w:val="9"/>
        <w:rPr>
          <w:rFonts w:hint="eastAsia" w:ascii="宋体" w:hAnsi="宋体" w:eastAsia="宋体" w:cs="宋体"/>
          <w:b w:val="0"/>
          <w:i w:val="0"/>
          <w:caps w:val="0"/>
          <w:color w:val="auto"/>
          <w:spacing w:val="0"/>
          <w:w w:val="100"/>
          <w:sz w:val="24"/>
          <w:highlight w:val="none"/>
          <w:lang w:val="en-US" w:eastAsia="zh-CN"/>
        </w:rPr>
      </w:pPr>
    </w:p>
    <w:p>
      <w:pPr>
        <w:outlineLvl w:val="9"/>
        <w:rPr>
          <w:rFonts w:hint="eastAsia" w:ascii="宋体" w:hAnsi="宋体" w:eastAsia="宋体" w:cs="宋体"/>
          <w:b w:val="0"/>
          <w:i w:val="0"/>
          <w:caps w:val="0"/>
          <w:color w:val="auto"/>
          <w:spacing w:val="0"/>
          <w:w w:val="100"/>
          <w:sz w:val="24"/>
          <w:highlight w:val="none"/>
          <w:lang w:val="en-US" w:eastAsia="zh-CN"/>
        </w:rPr>
      </w:pPr>
    </w:p>
    <w:p>
      <w:pPr>
        <w:pStyle w:val="7"/>
        <w:outlineLvl w:val="9"/>
        <w:rPr>
          <w:rFonts w:hint="eastAsia" w:ascii="宋体" w:hAnsi="宋体" w:eastAsia="宋体" w:cs="宋体"/>
          <w:b w:val="0"/>
          <w:i w:val="0"/>
          <w:caps w:val="0"/>
          <w:color w:val="auto"/>
          <w:spacing w:val="0"/>
          <w:w w:val="100"/>
          <w:sz w:val="24"/>
          <w:highlight w:val="none"/>
          <w:lang w:val="en-US" w:eastAsia="zh-CN"/>
        </w:rPr>
      </w:pPr>
    </w:p>
    <w:p>
      <w:pPr>
        <w:pStyle w:val="8"/>
        <w:rPr>
          <w:rFonts w:hint="eastAsia" w:ascii="宋体" w:hAnsi="宋体" w:eastAsia="宋体" w:cs="宋体"/>
          <w:b w:val="0"/>
          <w:i w:val="0"/>
          <w:caps w:val="0"/>
          <w:color w:val="auto"/>
          <w:spacing w:val="0"/>
          <w:w w:val="100"/>
          <w:sz w:val="24"/>
          <w:highlight w:val="none"/>
          <w:lang w:val="en-US" w:eastAsia="zh-CN"/>
        </w:rPr>
      </w:pPr>
    </w:p>
    <w:p>
      <w:pPr>
        <w:rPr>
          <w:rFonts w:hint="eastAsia" w:ascii="宋体" w:hAnsi="宋体" w:eastAsia="宋体" w:cs="宋体"/>
          <w:b w:val="0"/>
          <w:i w:val="0"/>
          <w:caps w:val="0"/>
          <w:color w:val="auto"/>
          <w:spacing w:val="0"/>
          <w:w w:val="100"/>
          <w:sz w:val="24"/>
          <w:highlight w:val="none"/>
          <w:lang w:val="en-US" w:eastAsia="zh-CN"/>
        </w:rPr>
      </w:pPr>
    </w:p>
    <w:p>
      <w:pPr>
        <w:outlineLvl w:val="9"/>
        <w:rPr>
          <w:rFonts w:hint="eastAsia" w:ascii="宋体" w:hAnsi="宋体" w:eastAsia="宋体" w:cs="宋体"/>
          <w:b w:val="0"/>
          <w:i w:val="0"/>
          <w:caps w:val="0"/>
          <w:color w:val="auto"/>
          <w:spacing w:val="0"/>
          <w:w w:val="100"/>
          <w:sz w:val="24"/>
          <w:highlight w:val="none"/>
          <w:lang w:val="en-US" w:eastAsia="zh-CN"/>
        </w:rPr>
      </w:pPr>
    </w:p>
    <w:p>
      <w:pPr>
        <w:pStyle w:val="7"/>
        <w:rPr>
          <w:rFonts w:hint="eastAsia" w:ascii="宋体" w:hAnsi="宋体" w:eastAsia="宋体" w:cs="宋体"/>
          <w:b w:val="0"/>
          <w:i w:val="0"/>
          <w:caps w:val="0"/>
          <w:color w:val="auto"/>
          <w:spacing w:val="0"/>
          <w:w w:val="100"/>
          <w:sz w:val="24"/>
          <w:highlight w:val="none"/>
          <w:lang w:val="en-US" w:eastAsia="zh-CN"/>
        </w:rPr>
      </w:pPr>
    </w:p>
    <w:p>
      <w:pPr>
        <w:pStyle w:val="8"/>
        <w:rPr>
          <w:rFonts w:hint="eastAsia"/>
          <w:color w:val="auto"/>
          <w:highlight w:val="none"/>
          <w:lang w:val="en-US" w:eastAsia="zh-CN"/>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1274" w:name="_Toc19552"/>
      <w:bookmarkStart w:id="1275" w:name="_Toc30954"/>
      <w:r>
        <w:rPr>
          <w:rFonts w:hint="eastAsia" w:ascii="宋体" w:hAnsi="宋体" w:eastAsia="宋体" w:cs="宋体"/>
          <w:color w:val="auto"/>
          <w:highlight w:val="none"/>
        </w:rPr>
        <w:br w:type="page"/>
      </w:r>
    </w:p>
    <w:p>
      <w:pPr>
        <w:pStyle w:val="4"/>
        <w:outlineLvl w:val="1"/>
        <w:rPr>
          <w:rFonts w:hint="eastAsia" w:ascii="宋体" w:hAnsi="宋体" w:eastAsia="宋体" w:cs="宋体"/>
          <w:color w:val="auto"/>
          <w:highlight w:val="none"/>
        </w:rPr>
      </w:pPr>
      <w:r>
        <w:rPr>
          <w:rFonts w:hint="eastAsia" w:ascii="宋体" w:hAnsi="宋体" w:eastAsia="宋体" w:cs="宋体"/>
          <w:color w:val="auto"/>
          <w:highlight w:val="none"/>
        </w:rPr>
        <w:t>初步评审—资格性审查表</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tbl>
      <w:tblPr>
        <w:tblStyle w:val="27"/>
        <w:tblW w:w="5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6759"/>
        <w:gridCol w:w="544"/>
        <w:gridCol w:w="566"/>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4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序号</w:t>
            </w:r>
          </w:p>
        </w:tc>
        <w:tc>
          <w:tcPr>
            <w:tcW w:w="371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评审内容</w:t>
            </w:r>
          </w:p>
        </w:tc>
        <w:tc>
          <w:tcPr>
            <w:tcW w:w="93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4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0"/>
                <w:szCs w:val="20"/>
                <w:highlight w:val="none"/>
              </w:rPr>
            </w:pPr>
          </w:p>
        </w:tc>
        <w:tc>
          <w:tcPr>
            <w:tcW w:w="371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0"/>
                <w:szCs w:val="20"/>
                <w:highlight w:val="none"/>
              </w:rPr>
            </w:pPr>
          </w:p>
        </w:tc>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是否合格</w:t>
            </w:r>
          </w:p>
        </w:tc>
        <w:tc>
          <w:tcPr>
            <w:tcW w:w="31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是否合格</w:t>
            </w:r>
          </w:p>
        </w:tc>
        <w:tc>
          <w:tcPr>
            <w:tcW w:w="32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sz w:val="18"/>
                <w:szCs w:val="18"/>
                <w:highlight w:val="none"/>
              </w:rPr>
            </w:pPr>
            <w:r>
              <w:rPr>
                <w:rFonts w:hint="eastAsia" w:ascii="宋体" w:hAnsi="宋体" w:eastAsia="宋体" w:cs="宋体"/>
                <w:color w:val="auto"/>
                <w:spacing w:val="-2"/>
                <w:sz w:val="18"/>
                <w:szCs w:val="18"/>
                <w:highlight w:val="none"/>
              </w:rPr>
              <w:t>1</w:t>
            </w:r>
          </w:p>
        </w:tc>
        <w:tc>
          <w:tcPr>
            <w:tcW w:w="371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具有有效的营业执照；</w:t>
            </w:r>
          </w:p>
        </w:tc>
        <w:tc>
          <w:tcPr>
            <w:tcW w:w="299"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11"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23"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18"/>
                <w:szCs w:val="18"/>
                <w:highlight w:val="none"/>
                <w:lang w:val="en-US" w:eastAsia="zh-CN" w:bidi="ar-SA"/>
              </w:rPr>
            </w:pPr>
            <w:r>
              <w:rPr>
                <w:rFonts w:hint="eastAsia" w:ascii="宋体" w:hAnsi="宋体" w:cs="宋体"/>
                <w:color w:val="auto"/>
                <w:spacing w:val="-2"/>
                <w:sz w:val="18"/>
                <w:szCs w:val="18"/>
                <w:highlight w:val="none"/>
                <w:lang w:val="en-US" w:eastAsia="zh-CN"/>
              </w:rPr>
              <w:t>2</w:t>
            </w:r>
          </w:p>
        </w:tc>
        <w:tc>
          <w:tcPr>
            <w:tcW w:w="371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Cs w:val="21"/>
                <w:highlight w:val="none"/>
                <w:lang w:eastAsia="zh-CN"/>
              </w:rPr>
            </w:pPr>
            <w:r>
              <w:rPr>
                <w:rFonts w:hint="eastAsia" w:ascii="宋体" w:hAnsi="宋体" w:eastAsia="宋体" w:cs="宋体"/>
                <w:color w:val="auto"/>
                <w:spacing w:val="-2"/>
                <w:szCs w:val="21"/>
                <w:highlight w:val="none"/>
                <w:lang w:eastAsia="zh-CN"/>
              </w:rPr>
              <w:t>法定代表人身份证明及身份证或法定代表人授权委托书和委托代理 人身份证；</w:t>
            </w:r>
          </w:p>
        </w:tc>
        <w:tc>
          <w:tcPr>
            <w:tcW w:w="299"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11"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23"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18"/>
                <w:szCs w:val="18"/>
                <w:highlight w:val="none"/>
                <w:lang w:val="en-US" w:eastAsia="zh-CN" w:bidi="ar-SA"/>
              </w:rPr>
            </w:pPr>
            <w:r>
              <w:rPr>
                <w:rFonts w:hint="eastAsia" w:ascii="宋体" w:hAnsi="宋体" w:cs="宋体"/>
                <w:color w:val="auto"/>
                <w:spacing w:val="-2"/>
                <w:sz w:val="18"/>
                <w:szCs w:val="18"/>
                <w:highlight w:val="none"/>
                <w:lang w:val="en-US" w:eastAsia="zh-CN"/>
              </w:rPr>
              <w:t>3</w:t>
            </w:r>
          </w:p>
        </w:tc>
        <w:tc>
          <w:tcPr>
            <w:tcW w:w="371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法定代表人或被委托人：由社保部门或税务局出具的投标单位缴纳的社保证明和个人缴纳的社保明细表（近半年任意三个月的社保缴费凭证及个人缴费明细）（新成立公司提供近期社保明细）；</w:t>
            </w:r>
          </w:p>
        </w:tc>
        <w:tc>
          <w:tcPr>
            <w:tcW w:w="299"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11"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23"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18"/>
                <w:szCs w:val="18"/>
                <w:highlight w:val="none"/>
                <w:lang w:val="en-US" w:eastAsia="zh-CN" w:bidi="ar-SA"/>
              </w:rPr>
            </w:pPr>
            <w:r>
              <w:rPr>
                <w:rFonts w:hint="eastAsia" w:ascii="宋体" w:hAnsi="宋体" w:cs="宋体"/>
                <w:color w:val="auto"/>
                <w:spacing w:val="-2"/>
                <w:sz w:val="18"/>
                <w:szCs w:val="18"/>
                <w:highlight w:val="none"/>
                <w:lang w:val="en-US" w:eastAsia="zh-CN"/>
              </w:rPr>
              <w:t>4</w:t>
            </w:r>
          </w:p>
        </w:tc>
        <w:tc>
          <w:tcPr>
            <w:tcW w:w="371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近两年（2022 年至 2023 年）任意一年度财务审计报告（新成立未 满一年的公司提供有效银行资信证明）；</w:t>
            </w:r>
          </w:p>
        </w:tc>
        <w:tc>
          <w:tcPr>
            <w:tcW w:w="299"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11"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23"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18"/>
                <w:szCs w:val="18"/>
                <w:highlight w:val="none"/>
                <w:lang w:val="en-US" w:eastAsia="zh-CN" w:bidi="ar-SA"/>
              </w:rPr>
            </w:pPr>
            <w:r>
              <w:rPr>
                <w:rFonts w:hint="eastAsia" w:ascii="宋体" w:hAnsi="宋体" w:cs="宋体"/>
                <w:color w:val="auto"/>
                <w:spacing w:val="-2"/>
                <w:sz w:val="18"/>
                <w:szCs w:val="18"/>
                <w:highlight w:val="none"/>
                <w:lang w:val="en-US" w:eastAsia="zh-CN"/>
              </w:rPr>
              <w:t>5</w:t>
            </w:r>
          </w:p>
        </w:tc>
        <w:tc>
          <w:tcPr>
            <w:tcW w:w="371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近期（2024 年以来任意一个月）依法缴纳税收的证明（税务部门出 具的完税凭证或缴税证明或银行出具的“银行电子缴税付款凭证 ”）； （原件、复印件、影印件均可， 留存复印件或影印件）注：①若为 零申报企业，需提供无欠税证明或国家税务总局电子税务局“ 申报 结果查询截图 ”。②“税种 ”非社会保险；</w:t>
            </w:r>
          </w:p>
        </w:tc>
        <w:tc>
          <w:tcPr>
            <w:tcW w:w="299"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11"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23"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18"/>
                <w:szCs w:val="18"/>
                <w:highlight w:val="none"/>
                <w:lang w:val="en-US" w:eastAsia="zh-CN" w:bidi="ar-SA"/>
              </w:rPr>
            </w:pPr>
            <w:r>
              <w:rPr>
                <w:rFonts w:hint="eastAsia" w:ascii="宋体" w:hAnsi="宋体" w:cs="宋体"/>
                <w:color w:val="auto"/>
                <w:spacing w:val="-2"/>
                <w:sz w:val="18"/>
                <w:szCs w:val="18"/>
                <w:highlight w:val="none"/>
                <w:lang w:val="en-US" w:eastAsia="zh-CN"/>
              </w:rPr>
              <w:t>6</w:t>
            </w:r>
          </w:p>
        </w:tc>
        <w:tc>
          <w:tcPr>
            <w:tcW w:w="3716"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投标人提供针对本次项目《反商业贿赂承诺书》；</w:t>
            </w:r>
          </w:p>
        </w:tc>
        <w:tc>
          <w:tcPr>
            <w:tcW w:w="299"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11"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23"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18"/>
                <w:szCs w:val="18"/>
                <w:highlight w:val="none"/>
                <w:lang w:val="en-US" w:eastAsia="zh-CN" w:bidi="ar-SA"/>
              </w:rPr>
            </w:pPr>
            <w:r>
              <w:rPr>
                <w:rFonts w:hint="eastAsia" w:ascii="宋体" w:hAnsi="宋体" w:cs="宋体"/>
                <w:color w:val="auto"/>
                <w:spacing w:val="-2"/>
                <w:sz w:val="18"/>
                <w:szCs w:val="18"/>
                <w:highlight w:val="none"/>
                <w:lang w:val="en-US" w:eastAsia="zh-CN"/>
              </w:rPr>
              <w:t>7</w:t>
            </w:r>
          </w:p>
        </w:tc>
        <w:tc>
          <w:tcPr>
            <w:tcW w:w="371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投标人参加政府采购活动前 3 年内在经营活动中没有重大违法违规记录的书面声明；</w:t>
            </w:r>
          </w:p>
        </w:tc>
        <w:tc>
          <w:tcPr>
            <w:tcW w:w="299"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11"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23"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18"/>
                <w:szCs w:val="18"/>
                <w:highlight w:val="none"/>
                <w:lang w:val="en-US" w:eastAsia="zh-CN" w:bidi="ar-SA"/>
              </w:rPr>
            </w:pPr>
            <w:r>
              <w:rPr>
                <w:rFonts w:hint="eastAsia" w:ascii="宋体" w:hAnsi="宋体" w:cs="宋体"/>
                <w:color w:val="auto"/>
                <w:spacing w:val="-2"/>
                <w:sz w:val="18"/>
                <w:szCs w:val="18"/>
                <w:highlight w:val="none"/>
                <w:lang w:val="en-US" w:eastAsia="zh-CN"/>
              </w:rPr>
              <w:t>8</w:t>
            </w:r>
          </w:p>
        </w:tc>
        <w:tc>
          <w:tcPr>
            <w:tcW w:w="371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投标人在中国政府采购网（www.ccgp.gov.cn）被列入政府采购严重违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tc>
        <w:tc>
          <w:tcPr>
            <w:tcW w:w="299"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11"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23"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2"/>
                <w:kern w:val="2"/>
                <w:sz w:val="18"/>
                <w:szCs w:val="18"/>
                <w:highlight w:val="none"/>
                <w:lang w:val="en-US" w:eastAsia="zh-CN" w:bidi="ar-SA"/>
              </w:rPr>
            </w:pPr>
            <w:r>
              <w:rPr>
                <w:rFonts w:hint="eastAsia" w:ascii="宋体" w:hAnsi="宋体" w:cs="宋体"/>
                <w:color w:val="auto"/>
                <w:spacing w:val="-2"/>
                <w:kern w:val="2"/>
                <w:sz w:val="18"/>
                <w:szCs w:val="18"/>
                <w:highlight w:val="none"/>
                <w:lang w:val="en-US" w:eastAsia="zh-CN" w:bidi="ar-SA"/>
              </w:rPr>
              <w:t>9</w:t>
            </w:r>
          </w:p>
        </w:tc>
        <w:tc>
          <w:tcPr>
            <w:tcW w:w="371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缴纳投标保证金收据复印件及保证金缴纳凭证加盖公章；或金融机构、担保机构出具的保函；</w:t>
            </w:r>
          </w:p>
        </w:tc>
        <w:tc>
          <w:tcPr>
            <w:tcW w:w="299"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11"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23"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0"/>
                <w:szCs w:val="20"/>
                <w:highlight w:val="none"/>
                <w:lang w:val="en-US" w:eastAsia="zh-CN"/>
              </w:rPr>
            </w:pPr>
          </w:p>
        </w:tc>
        <w:tc>
          <w:tcPr>
            <w:tcW w:w="371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结论</w:t>
            </w:r>
          </w:p>
        </w:tc>
        <w:tc>
          <w:tcPr>
            <w:tcW w:w="299"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11"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c>
          <w:tcPr>
            <w:tcW w:w="323"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p>
        </w:tc>
      </w:tr>
    </w:tbl>
    <w:p>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未通过资格审查的供应商不进入评标；通过资格审查的供应商少于不足三家的，不得评标。</w:t>
      </w:r>
    </w:p>
    <w:p>
      <w:pPr>
        <w:pStyle w:val="2"/>
        <w:rPr>
          <w:rFonts w:hint="eastAsia" w:ascii="宋体" w:hAnsi="宋体" w:eastAsia="宋体" w:cs="宋体"/>
          <w:b/>
          <w:bCs/>
          <w:color w:val="auto"/>
          <w:szCs w:val="21"/>
          <w:highlight w:val="none"/>
        </w:rPr>
      </w:pPr>
    </w:p>
    <w:p>
      <w:pPr>
        <w:rPr>
          <w:rFonts w:hint="eastAsia" w:ascii="宋体" w:hAnsi="宋体" w:eastAsia="宋体" w:cs="宋体"/>
          <w:color w:val="auto"/>
          <w:highlight w:val="none"/>
        </w:rPr>
      </w:pPr>
      <w:bookmarkStart w:id="1276" w:name="_Toc14007"/>
      <w:bookmarkStart w:id="1277" w:name="_Toc30395"/>
      <w:bookmarkStart w:id="1278" w:name="_Toc31983"/>
      <w:bookmarkStart w:id="1279" w:name="_Toc3062"/>
      <w:bookmarkStart w:id="1280" w:name="_Toc18094"/>
      <w:bookmarkStart w:id="1281" w:name="_Toc8382"/>
      <w:bookmarkStart w:id="1282" w:name="_Toc27246"/>
      <w:bookmarkStart w:id="1283" w:name="_Toc8255"/>
      <w:bookmarkStart w:id="1284" w:name="_Toc3927"/>
      <w:bookmarkStart w:id="1285" w:name="_Toc10492"/>
      <w:bookmarkStart w:id="1286" w:name="_Toc16022"/>
      <w:bookmarkStart w:id="1287" w:name="_Toc21850"/>
      <w:bookmarkStart w:id="1288" w:name="_Toc273"/>
      <w:bookmarkStart w:id="1289" w:name="_Toc13854"/>
      <w:bookmarkStart w:id="1290" w:name="_Toc12108"/>
      <w:bookmarkStart w:id="1291" w:name="_Toc26642"/>
      <w:bookmarkStart w:id="1292" w:name="_Toc28858"/>
      <w:r>
        <w:rPr>
          <w:rFonts w:hint="eastAsia" w:ascii="宋体" w:hAnsi="宋体" w:eastAsia="宋体" w:cs="宋体"/>
          <w:color w:val="auto"/>
          <w:highlight w:val="none"/>
        </w:rPr>
        <w:br w:type="page"/>
      </w:r>
    </w:p>
    <w:p>
      <w:pPr>
        <w:pStyle w:val="4"/>
        <w:rPr>
          <w:rFonts w:hint="eastAsia" w:ascii="宋体" w:hAnsi="宋体" w:eastAsia="宋体" w:cs="宋体"/>
          <w:color w:val="auto"/>
          <w:highlight w:val="none"/>
        </w:rPr>
      </w:pPr>
      <w:bookmarkStart w:id="1293" w:name="_Toc6970"/>
      <w:bookmarkStart w:id="1294" w:name="_Toc27518"/>
      <w:r>
        <w:rPr>
          <w:rFonts w:hint="eastAsia" w:ascii="宋体" w:hAnsi="宋体" w:eastAsia="宋体" w:cs="宋体"/>
          <w:color w:val="auto"/>
          <w:highlight w:val="none"/>
        </w:rPr>
        <w:t>初步评审—符合性审查表</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tbl>
      <w:tblPr>
        <w:tblStyle w:val="27"/>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7176"/>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61" w:type="dxa"/>
            <w:gridSpan w:val="2"/>
            <w:noWrap w:val="0"/>
            <w:vAlign w:val="top"/>
          </w:tcPr>
          <w:p>
            <w:pPr>
              <w:pStyle w:val="100"/>
              <w:spacing w:before="233" w:line="231" w:lineRule="auto"/>
              <w:ind w:left="3555"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评审内容</w:t>
            </w:r>
          </w:p>
        </w:tc>
        <w:tc>
          <w:tcPr>
            <w:tcW w:w="766" w:type="dxa"/>
            <w:noWrap w:val="0"/>
            <w:vAlign w:val="top"/>
          </w:tcPr>
          <w:p>
            <w:pPr>
              <w:pStyle w:val="100"/>
              <w:spacing w:before="39" w:line="296" w:lineRule="auto"/>
              <w:ind w:left="405" w:leftChars="0" w:right="145" w:rightChars="0" w:hanging="240" w:firstLine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评审意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noWrap w:val="0"/>
            <w:vAlign w:val="top"/>
          </w:tcPr>
          <w:p>
            <w:pPr>
              <w:pStyle w:val="100"/>
              <w:spacing w:before="228" w:line="231" w:lineRule="auto"/>
              <w:ind w:left="199"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序号</w:t>
            </w:r>
          </w:p>
        </w:tc>
        <w:tc>
          <w:tcPr>
            <w:tcW w:w="7384" w:type="dxa"/>
            <w:noWrap w:val="0"/>
            <w:vAlign w:val="top"/>
          </w:tcPr>
          <w:p>
            <w:pPr>
              <w:rPr>
                <w:rFonts w:hint="eastAsia" w:ascii="宋体" w:hAnsi="宋体" w:eastAsia="宋体" w:cs="宋体"/>
                <w:color w:val="auto"/>
                <w:spacing w:val="-2"/>
                <w:kern w:val="2"/>
                <w:sz w:val="21"/>
                <w:szCs w:val="21"/>
                <w:highlight w:val="none"/>
                <w:lang w:val="en-US" w:eastAsia="zh-CN" w:bidi="ar-SA"/>
              </w:rPr>
            </w:pPr>
          </w:p>
        </w:tc>
        <w:tc>
          <w:tcPr>
            <w:tcW w:w="766" w:type="dxa"/>
            <w:noWrap w:val="0"/>
            <w:vAlign w:val="top"/>
          </w:tcPr>
          <w:p>
            <w:pPr>
              <w:pStyle w:val="100"/>
              <w:spacing w:before="36" w:line="295" w:lineRule="auto"/>
              <w:ind w:left="403" w:leftChars="0" w:right="149" w:rightChars="0" w:hanging="233" w:firstLine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是否合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noWrap w:val="0"/>
            <w:vAlign w:val="top"/>
          </w:tcPr>
          <w:p>
            <w:pPr>
              <w:pStyle w:val="100"/>
              <w:spacing w:before="153" w:line="187" w:lineRule="auto"/>
              <w:ind w:left="389"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1</w:t>
            </w:r>
          </w:p>
        </w:tc>
        <w:tc>
          <w:tcPr>
            <w:tcW w:w="7384" w:type="dxa"/>
            <w:noWrap w:val="0"/>
            <w:vAlign w:val="top"/>
          </w:tcPr>
          <w:p>
            <w:pPr>
              <w:pStyle w:val="100"/>
              <w:spacing w:before="113" w:line="230" w:lineRule="auto"/>
              <w:ind w:left="119"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投标报价高于设定的预算招标控制价（最高限价）的；</w:t>
            </w:r>
          </w:p>
        </w:tc>
        <w:tc>
          <w:tcPr>
            <w:tcW w:w="766" w:type="dxa"/>
            <w:noWrap w:val="0"/>
            <w:vAlign w:val="top"/>
          </w:tcPr>
          <w:p>
            <w:pPr>
              <w:rPr>
                <w:rFonts w:hint="eastAsia" w:ascii="宋体" w:hAnsi="宋体" w:eastAsia="宋体" w:cs="宋体"/>
                <w:color w:val="auto"/>
                <w:spacing w:val="-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7" w:type="dxa"/>
            <w:noWrap w:val="0"/>
            <w:vAlign w:val="top"/>
          </w:tcPr>
          <w:p>
            <w:pPr>
              <w:pStyle w:val="100"/>
              <w:spacing w:before="134" w:line="186" w:lineRule="auto"/>
              <w:ind w:left="374"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2</w:t>
            </w:r>
          </w:p>
        </w:tc>
        <w:tc>
          <w:tcPr>
            <w:tcW w:w="7384" w:type="dxa"/>
            <w:noWrap w:val="0"/>
            <w:vAlign w:val="top"/>
          </w:tcPr>
          <w:p>
            <w:pPr>
              <w:pStyle w:val="100"/>
              <w:spacing w:before="93" w:line="228" w:lineRule="auto"/>
              <w:ind w:left="119"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投标人之间或者投标人与采购人串通投标的；</w:t>
            </w:r>
          </w:p>
        </w:tc>
        <w:tc>
          <w:tcPr>
            <w:tcW w:w="766" w:type="dxa"/>
            <w:noWrap w:val="0"/>
            <w:vAlign w:val="top"/>
          </w:tcPr>
          <w:p>
            <w:pPr>
              <w:rPr>
                <w:rFonts w:hint="eastAsia" w:ascii="宋体" w:hAnsi="宋体" w:eastAsia="宋体" w:cs="宋体"/>
                <w:color w:val="auto"/>
                <w:spacing w:val="-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77" w:type="dxa"/>
            <w:noWrap w:val="0"/>
            <w:vAlign w:val="top"/>
          </w:tcPr>
          <w:p>
            <w:pPr>
              <w:pStyle w:val="100"/>
              <w:spacing w:before="223" w:line="186" w:lineRule="auto"/>
              <w:ind w:left="376"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3</w:t>
            </w:r>
          </w:p>
        </w:tc>
        <w:tc>
          <w:tcPr>
            <w:tcW w:w="7384" w:type="dxa"/>
            <w:noWrap w:val="0"/>
            <w:vAlign w:val="top"/>
          </w:tcPr>
          <w:p>
            <w:pPr>
              <w:pStyle w:val="100"/>
              <w:spacing w:before="182" w:line="228" w:lineRule="auto"/>
              <w:ind w:left="144"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以行贿手段谋取中标或者以其他弄虚作假方式投标的；</w:t>
            </w:r>
          </w:p>
        </w:tc>
        <w:tc>
          <w:tcPr>
            <w:tcW w:w="766" w:type="dxa"/>
            <w:noWrap w:val="0"/>
            <w:vAlign w:val="top"/>
          </w:tcPr>
          <w:p>
            <w:pPr>
              <w:rPr>
                <w:rFonts w:hint="eastAsia" w:ascii="宋体" w:hAnsi="宋体" w:eastAsia="宋体" w:cs="宋体"/>
                <w:color w:val="auto"/>
                <w:spacing w:val="-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7" w:type="dxa"/>
            <w:noWrap w:val="0"/>
            <w:vAlign w:val="top"/>
          </w:tcPr>
          <w:p>
            <w:pPr>
              <w:pStyle w:val="100"/>
              <w:spacing w:before="155" w:line="186" w:lineRule="auto"/>
              <w:ind w:left="370"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4</w:t>
            </w:r>
          </w:p>
        </w:tc>
        <w:tc>
          <w:tcPr>
            <w:tcW w:w="7384" w:type="dxa"/>
            <w:noWrap w:val="0"/>
            <w:vAlign w:val="top"/>
          </w:tcPr>
          <w:p>
            <w:pPr>
              <w:pStyle w:val="100"/>
              <w:spacing w:before="113" w:line="231" w:lineRule="auto"/>
              <w:ind w:left="120"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评标委员会共同确定有实质上不响应招标文件要求的；</w:t>
            </w:r>
          </w:p>
        </w:tc>
        <w:tc>
          <w:tcPr>
            <w:tcW w:w="766" w:type="dxa"/>
            <w:noWrap w:val="0"/>
            <w:vAlign w:val="top"/>
          </w:tcPr>
          <w:p>
            <w:pPr>
              <w:rPr>
                <w:rFonts w:hint="eastAsia" w:ascii="宋体" w:hAnsi="宋体" w:eastAsia="宋体" w:cs="宋体"/>
                <w:color w:val="auto"/>
                <w:spacing w:val="-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noWrap w:val="0"/>
            <w:vAlign w:val="top"/>
          </w:tcPr>
          <w:p>
            <w:pPr>
              <w:pStyle w:val="100"/>
              <w:spacing w:before="298" w:line="184" w:lineRule="auto"/>
              <w:ind w:left="376"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5</w:t>
            </w:r>
          </w:p>
        </w:tc>
        <w:tc>
          <w:tcPr>
            <w:tcW w:w="7384" w:type="dxa"/>
            <w:noWrap w:val="0"/>
            <w:vAlign w:val="top"/>
          </w:tcPr>
          <w:p>
            <w:pPr>
              <w:pStyle w:val="100"/>
              <w:spacing w:before="61" w:line="295" w:lineRule="auto"/>
              <w:ind w:left="119" w:leftChars="0" w:right="103" w:rightChars="0" w:firstLine="8" w:firstLine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响应文件没有投标单位法定代表人或其授权代表签字（章）和加盖投标单位公章的；</w:t>
            </w:r>
          </w:p>
        </w:tc>
        <w:tc>
          <w:tcPr>
            <w:tcW w:w="766" w:type="dxa"/>
            <w:noWrap w:val="0"/>
            <w:vAlign w:val="top"/>
          </w:tcPr>
          <w:p>
            <w:pPr>
              <w:rPr>
                <w:rFonts w:hint="eastAsia" w:ascii="宋体" w:hAnsi="宋体" w:eastAsia="宋体" w:cs="宋体"/>
                <w:color w:val="auto"/>
                <w:spacing w:val="-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noWrap w:val="0"/>
            <w:vAlign w:val="top"/>
          </w:tcPr>
          <w:p>
            <w:pPr>
              <w:pStyle w:val="100"/>
              <w:spacing w:before="154" w:line="186" w:lineRule="auto"/>
              <w:ind w:left="373"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6</w:t>
            </w:r>
          </w:p>
        </w:tc>
        <w:tc>
          <w:tcPr>
            <w:tcW w:w="7384" w:type="dxa"/>
            <w:noWrap w:val="0"/>
            <w:vAlign w:val="top"/>
          </w:tcPr>
          <w:p>
            <w:pPr>
              <w:pStyle w:val="100"/>
              <w:spacing w:before="93" w:line="228" w:lineRule="auto"/>
              <w:ind w:left="119"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投标的政府采购项目完成期限超过招标文件规定期限的；</w:t>
            </w:r>
          </w:p>
        </w:tc>
        <w:tc>
          <w:tcPr>
            <w:tcW w:w="766" w:type="dxa"/>
            <w:noWrap w:val="0"/>
            <w:vAlign w:val="top"/>
          </w:tcPr>
          <w:p>
            <w:pPr>
              <w:rPr>
                <w:rFonts w:hint="eastAsia" w:ascii="宋体" w:hAnsi="宋体" w:eastAsia="宋体" w:cs="宋体"/>
                <w:color w:val="auto"/>
                <w:spacing w:val="-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77" w:type="dxa"/>
            <w:noWrap w:val="0"/>
            <w:vAlign w:val="top"/>
          </w:tcPr>
          <w:p>
            <w:pPr>
              <w:pStyle w:val="100"/>
              <w:spacing w:before="154" w:line="186" w:lineRule="auto"/>
              <w:ind w:left="373"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7</w:t>
            </w:r>
          </w:p>
        </w:tc>
        <w:tc>
          <w:tcPr>
            <w:tcW w:w="7384" w:type="dxa"/>
            <w:noWrap w:val="0"/>
            <w:vAlign w:val="top"/>
          </w:tcPr>
          <w:p>
            <w:pPr>
              <w:pStyle w:val="100"/>
              <w:spacing w:before="93" w:line="228" w:lineRule="auto"/>
              <w:ind w:left="119" w:leftChars="0"/>
              <w:rPr>
                <w:rFonts w:hint="default"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是否投标文件载明的技术规格、技术标准等，不符合招标文件要求的；</w:t>
            </w:r>
          </w:p>
        </w:tc>
        <w:tc>
          <w:tcPr>
            <w:tcW w:w="76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noWrap w:val="0"/>
            <w:vAlign w:val="top"/>
          </w:tcPr>
          <w:p>
            <w:pPr>
              <w:pStyle w:val="100"/>
              <w:spacing w:before="154" w:line="186" w:lineRule="auto"/>
              <w:ind w:left="373"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8</w:t>
            </w:r>
          </w:p>
        </w:tc>
        <w:tc>
          <w:tcPr>
            <w:tcW w:w="7384" w:type="dxa"/>
            <w:noWrap w:val="0"/>
            <w:vAlign w:val="top"/>
          </w:tcPr>
          <w:p>
            <w:pPr>
              <w:pStyle w:val="100"/>
              <w:spacing w:before="114" w:line="230" w:lineRule="auto"/>
              <w:ind w:left="127"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响应文件附有采购人不能接受条件的；</w:t>
            </w:r>
          </w:p>
        </w:tc>
        <w:tc>
          <w:tcPr>
            <w:tcW w:w="766" w:type="dxa"/>
            <w:noWrap w:val="0"/>
            <w:vAlign w:val="top"/>
          </w:tcPr>
          <w:p>
            <w:pPr>
              <w:rPr>
                <w:rFonts w:hint="eastAsia" w:ascii="宋体" w:hAnsi="宋体" w:eastAsia="宋体" w:cs="宋体"/>
                <w:color w:val="auto"/>
                <w:spacing w:val="-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noWrap w:val="0"/>
            <w:vAlign w:val="top"/>
          </w:tcPr>
          <w:p>
            <w:pPr>
              <w:pStyle w:val="100"/>
              <w:spacing w:before="154" w:line="186" w:lineRule="auto"/>
              <w:ind w:left="373"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9</w:t>
            </w:r>
          </w:p>
        </w:tc>
        <w:tc>
          <w:tcPr>
            <w:tcW w:w="7384" w:type="dxa"/>
            <w:noWrap w:val="0"/>
            <w:vAlign w:val="top"/>
          </w:tcPr>
          <w:p>
            <w:pPr>
              <w:pStyle w:val="100"/>
              <w:spacing w:before="150" w:line="228" w:lineRule="auto"/>
              <w:ind w:left="125"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不满足招标文件实质性要求的其他情形。</w:t>
            </w:r>
          </w:p>
        </w:tc>
        <w:tc>
          <w:tcPr>
            <w:tcW w:w="766" w:type="dxa"/>
            <w:noWrap w:val="0"/>
            <w:vAlign w:val="top"/>
          </w:tcPr>
          <w:p>
            <w:pPr>
              <w:rPr>
                <w:rFonts w:hint="eastAsia" w:ascii="宋体" w:hAnsi="宋体" w:eastAsia="宋体" w:cs="宋体"/>
                <w:color w:val="auto"/>
                <w:spacing w:val="-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61" w:type="dxa"/>
            <w:gridSpan w:val="2"/>
            <w:noWrap w:val="0"/>
            <w:vAlign w:val="top"/>
          </w:tcPr>
          <w:p>
            <w:pPr>
              <w:pStyle w:val="100"/>
              <w:spacing w:before="110" w:line="231" w:lineRule="auto"/>
              <w:ind w:left="554" w:leftChars="0"/>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结论：通过评审打“ √ ”，未通过评审打“×”</w:t>
            </w:r>
          </w:p>
        </w:tc>
        <w:tc>
          <w:tcPr>
            <w:tcW w:w="766" w:type="dxa"/>
            <w:noWrap w:val="0"/>
            <w:vAlign w:val="top"/>
          </w:tcPr>
          <w:p>
            <w:pPr>
              <w:rPr>
                <w:rFonts w:hint="eastAsia" w:ascii="宋体" w:hAnsi="宋体" w:eastAsia="宋体" w:cs="宋体"/>
                <w:color w:val="auto"/>
                <w:spacing w:val="-2"/>
                <w:kern w:val="2"/>
                <w:sz w:val="21"/>
                <w:szCs w:val="21"/>
                <w:highlight w:val="none"/>
                <w:lang w:val="en-US" w:eastAsia="zh-CN" w:bidi="ar-SA"/>
              </w:rPr>
            </w:pPr>
          </w:p>
        </w:tc>
      </w:tr>
    </w:tbl>
    <w:p>
      <w:pPr>
        <w:keepNext w:val="0"/>
        <w:keepLines w:val="0"/>
        <w:pageBreakBefore w:val="0"/>
        <w:widowControl w:val="0"/>
        <w:kinsoku/>
        <w:wordWrap/>
        <w:overflowPunct/>
        <w:topLinePunct w:val="0"/>
        <w:bidi w:val="0"/>
        <w:snapToGrid/>
        <w:spacing w:line="400" w:lineRule="exact"/>
        <w:ind w:left="6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keepNext w:val="0"/>
        <w:keepLines w:val="0"/>
        <w:pageBreakBefore w:val="0"/>
        <w:widowControl w:val="0"/>
        <w:kinsoku/>
        <w:wordWrap/>
        <w:overflowPunct/>
        <w:topLinePunct w:val="0"/>
        <w:bidi w:val="0"/>
        <w:snapToGrid/>
        <w:spacing w:line="400" w:lineRule="exact"/>
        <w:ind w:left="6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（1）上述各项中用“√”表示合格，“×”表示不合格；</w:t>
      </w:r>
    </w:p>
    <w:p>
      <w:pPr>
        <w:keepNext w:val="0"/>
        <w:keepLines w:val="0"/>
        <w:pageBreakBefore w:val="0"/>
        <w:widowControl w:val="0"/>
        <w:kinsoku/>
        <w:wordWrap/>
        <w:overflowPunct/>
        <w:topLinePunct w:val="0"/>
        <w:bidi w:val="0"/>
        <w:snapToGrid/>
        <w:spacing w:line="400" w:lineRule="exact"/>
        <w:ind w:left="689" w:leftChars="28" w:hanging="630" w:hanging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（2）上述各项中如有一项为“×”，则结论为“×”，表示该投标文件中存在重大偏差，不能通过初步评审；评委对某一分项评审认为不合格时，必须要写明原因。</w:t>
      </w:r>
    </w:p>
    <w:p>
      <w:pPr>
        <w:pStyle w:val="7"/>
        <w:keepNext w:val="0"/>
        <w:keepLines w:val="0"/>
        <w:pageBreakBefore w:val="0"/>
        <w:widowControl w:val="0"/>
        <w:kinsoku/>
        <w:wordWrap/>
        <w:overflowPunct/>
        <w:topLinePunct w:val="0"/>
        <w:bidi w:val="0"/>
        <w:snapToGrid/>
        <w:spacing w:line="400" w:lineRule="exact"/>
        <w:ind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（3）投标文件最终合格与否，以所有评委的评审意见中少数服从多数为原则定论。</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未通过资格审查的供应商不进入评标；通过资格审查的供应商少于不足三家的，不得评标。</w:t>
      </w:r>
    </w:p>
    <w:p>
      <w:pPr>
        <w:pStyle w:val="8"/>
        <w:ind w:left="0" w:leftChars="0" w:firstLine="0" w:firstLineChars="0"/>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pStyle w:val="12"/>
        <w:outlineLvl w:val="9"/>
        <w:rPr>
          <w:rFonts w:hint="eastAsia" w:ascii="宋体" w:hAnsi="宋体" w:eastAsia="宋体" w:cs="宋体"/>
          <w:color w:val="auto"/>
          <w:highlight w:val="none"/>
        </w:rPr>
      </w:pPr>
    </w:p>
    <w:p>
      <w:pPr>
        <w:jc w:val="center"/>
        <w:rPr>
          <w:rFonts w:hint="eastAsia" w:ascii="微软雅黑" w:hAnsi="微软雅黑" w:eastAsia="微软雅黑" w:cs="微软雅黑"/>
          <w:b/>
          <w:bCs/>
          <w:color w:val="auto"/>
          <w:szCs w:val="21"/>
          <w:highlight w:val="none"/>
          <w:lang w:eastAsia="zh-CN"/>
        </w:rPr>
      </w:pPr>
      <w:r>
        <w:rPr>
          <w:rFonts w:hint="eastAsia" w:ascii="宋体" w:hAnsi="宋体" w:eastAsia="宋体" w:cs="宋体"/>
          <w:color w:val="auto"/>
          <w:highlight w:val="none"/>
        </w:rPr>
        <w:br w:type="page"/>
      </w:r>
      <w:bookmarkStart w:id="1295" w:name="_Toc3259"/>
      <w:bookmarkStart w:id="1296" w:name="_Toc21392"/>
      <w:bookmarkStart w:id="1297" w:name="_Toc21350"/>
      <w:bookmarkStart w:id="1298" w:name="_Toc4034"/>
      <w:bookmarkStart w:id="1299" w:name="_Toc31042"/>
      <w:bookmarkStart w:id="1300" w:name="_Toc31737"/>
      <w:bookmarkStart w:id="1301" w:name="_Toc19967"/>
      <w:bookmarkStart w:id="1302" w:name="_Toc5375"/>
      <w:bookmarkStart w:id="1303" w:name="_Toc359"/>
      <w:bookmarkStart w:id="1304" w:name="_Toc26924"/>
      <w:bookmarkStart w:id="1305" w:name="_Toc4748"/>
      <w:bookmarkStart w:id="1306" w:name="_Toc17586"/>
      <w:bookmarkStart w:id="1307" w:name="_Toc29006"/>
      <w:bookmarkStart w:id="1308" w:name="_Toc11449"/>
      <w:bookmarkStart w:id="1309" w:name="_Toc3812"/>
      <w:bookmarkStart w:id="1310" w:name="_Toc20505"/>
      <w:bookmarkStart w:id="1311" w:name="_Toc507399904"/>
      <w:r>
        <w:rPr>
          <w:rFonts w:hint="eastAsia" w:ascii="微软雅黑" w:hAnsi="微软雅黑" w:eastAsia="微软雅黑" w:cs="微软雅黑"/>
          <w:b/>
          <w:bCs/>
          <w:color w:val="auto"/>
          <w:szCs w:val="21"/>
          <w:highlight w:val="none"/>
        </w:rPr>
        <w:t>综合评分表</w:t>
      </w:r>
      <w:bookmarkEnd w:id="1295"/>
    </w:p>
    <w:tbl>
      <w:tblPr>
        <w:tblStyle w:val="27"/>
        <w:tblpPr w:leftFromText="180" w:rightFromText="180" w:vertAnchor="text" w:horzAnchor="page" w:tblpX="1316" w:tblpY="349"/>
        <w:tblOverlap w:val="never"/>
        <w:tblW w:w="52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727"/>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default" w:ascii="宋体" w:hAnsi="宋体" w:eastAsia="宋体" w:cs="宋体"/>
                <w:b/>
                <w:color w:val="auto"/>
                <w:sz w:val="21"/>
                <w:szCs w:val="21"/>
                <w:highlight w:val="none"/>
                <w:lang w:val="en-US" w:eastAsia="zh-CN"/>
              </w:rPr>
            </w:pPr>
            <w:r>
              <w:rPr>
                <w:rFonts w:hint="default" w:ascii="宋体" w:hAnsi="宋体" w:eastAsia="宋体" w:cs="宋体"/>
                <w:b/>
                <w:color w:val="auto"/>
                <w:sz w:val="21"/>
                <w:szCs w:val="21"/>
                <w:highlight w:val="none"/>
                <w:lang w:val="en-US" w:eastAsia="zh-CN"/>
              </w:rPr>
              <w:t>类型</w:t>
            </w:r>
          </w:p>
        </w:tc>
        <w:tc>
          <w:tcPr>
            <w:tcW w:w="40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1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p>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价格：30分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商务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技术：</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trPr>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价格评分标准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30分</w:t>
            </w:r>
            <w:r>
              <w:rPr>
                <w:rFonts w:hint="eastAsia" w:ascii="宋体" w:hAnsi="宋体" w:cs="宋体"/>
                <w:color w:val="auto"/>
                <w:sz w:val="21"/>
                <w:szCs w:val="21"/>
                <w:highlight w:val="none"/>
                <w:lang w:eastAsia="zh-CN"/>
              </w:rPr>
              <w:t>）</w:t>
            </w:r>
          </w:p>
        </w:tc>
        <w:tc>
          <w:tcPr>
            <w:tcW w:w="40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41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完全满足招标文件参数的投标报价中的最低价为评标基准价，按照下列公式计算每个供应商的投标价格得分。投标报价得分＝（</w:t>
            </w:r>
            <w:r>
              <w:rPr>
                <w:rFonts w:hint="eastAsia" w:ascii="宋体" w:hAnsi="宋体" w:eastAsia="宋体" w:cs="宋体"/>
                <w:color w:val="auto"/>
                <w:sz w:val="21"/>
                <w:szCs w:val="21"/>
                <w:highlight w:val="none"/>
                <w:lang w:val="en-US" w:eastAsia="zh-CN"/>
              </w:rPr>
              <w:t>评标</w:t>
            </w:r>
            <w:r>
              <w:rPr>
                <w:rFonts w:hint="eastAsia" w:ascii="宋体" w:hAnsi="宋体" w:eastAsia="宋体" w:cs="宋体"/>
                <w:color w:val="auto"/>
                <w:sz w:val="21"/>
                <w:szCs w:val="21"/>
                <w:highlight w:val="none"/>
              </w:rPr>
              <w:t>基准价/投标报价）×价格权重×100。计算分数时四舍五入取小数点后两位,分数最高不超过30分。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46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技术因素</w:t>
            </w:r>
            <w:r>
              <w:rPr>
                <w:rFonts w:hint="eastAsia" w:ascii="宋体" w:hAnsi="宋体" w:eastAsia="宋体" w:cs="宋体"/>
                <w:color w:val="auto"/>
                <w:sz w:val="21"/>
                <w:szCs w:val="21"/>
                <w:highlight w:val="none"/>
              </w:rPr>
              <w:t>评分标</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70分</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p>
        </w:tc>
        <w:tc>
          <w:tcPr>
            <w:tcW w:w="40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30</w:t>
            </w:r>
          </w:p>
        </w:tc>
        <w:tc>
          <w:tcPr>
            <w:tcW w:w="41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技术指标、参数完全符合招标文件技术指标、参数要求的得</w:t>
            </w:r>
            <w:r>
              <w:rPr>
                <w:rFonts w:hint="eastAsia" w:ascii="宋体" w:hAnsi="宋体" w:cs="宋体"/>
                <w:color w:val="000000" w:themeColor="text1"/>
                <w:kern w:val="0"/>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分，以此为基础，投标人技术指标、参数高于招标文件规定的相应技术指标、参数的，每有一项加</w:t>
            </w:r>
            <w:r>
              <w:rPr>
                <w:rFonts w:hint="eastAsia" w:ascii="宋体" w:hAnsi="宋体" w:cs="宋体"/>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分，最高加</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注：参数偏离以投标人须提供相应有效证明材料</w:t>
            </w:r>
            <w:r>
              <w:rPr>
                <w:rFonts w:hint="eastAsia" w:ascii="宋体" w:hAnsi="宋体" w:cs="宋体"/>
                <w:color w:val="000000" w:themeColor="text1"/>
                <w:sz w:val="21"/>
                <w:szCs w:val="21"/>
                <w:highlight w:val="none"/>
                <w:lang w:val="en-US" w:eastAsia="zh-CN"/>
                <w14:textFill>
                  <w14:solidFill>
                    <w14:schemeClr w14:val="tx1"/>
                  </w14:solidFill>
                </w14:textFill>
              </w:rPr>
              <w:t>为依据</w:t>
            </w:r>
            <w:r>
              <w:rPr>
                <w:rFonts w:hint="default" w:ascii="宋体" w:hAnsi="宋体" w:eastAsia="宋体" w:cs="宋体"/>
                <w:color w:val="000000" w:themeColor="text1"/>
                <w:sz w:val="21"/>
                <w:szCs w:val="21"/>
                <w:highlight w:val="none"/>
                <w:lang w:val="en-US" w:eastAsia="zh-CN"/>
                <w14:textFill>
                  <w14:solidFill>
                    <w14:schemeClr w14:val="tx1"/>
                  </w14:solidFill>
                </w14:textFill>
              </w:rPr>
              <w:t>（包括但不限于产品彩页、生产厂家出具的加盖生产厂家公章的对应产品的白皮书、由国家认可的第三方检测机构出具完整的检测报告复印件），否则，评委将不予认可。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4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c>
          <w:tcPr>
            <w:tcW w:w="40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p>
        </w:tc>
        <w:tc>
          <w:tcPr>
            <w:tcW w:w="41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实施方案：</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实施方案中设备质量、供货安装、项目安全措施、应急处理、进度安排完全满足项目实际要求的得</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分；方案描述不清晰或有缺失内容的每一项扣</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分，扣完为止；未提供的不得分。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color w:val="000000" w:themeColor="text1"/>
                <w:highlight w:val="none"/>
                <w:lang w:val="en-US"/>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有明确的项目质量管理方案和制度，项目管理机构及职责分配合理，符合项目实际，具有操作性；完全满足项目实际要求的得</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分；方案描述不清晰或</w:t>
            </w:r>
            <w:r>
              <w:rPr>
                <w:rFonts w:hint="eastAsia" w:ascii="宋体" w:hAnsi="宋体" w:cs="宋体"/>
                <w:color w:val="000000" w:themeColor="text1"/>
                <w:kern w:val="0"/>
                <w:sz w:val="21"/>
                <w:szCs w:val="21"/>
                <w:highlight w:val="none"/>
                <w:lang w:val="en-US" w:eastAsia="zh-CN"/>
                <w14:textFill>
                  <w14:solidFill>
                    <w14:schemeClr w14:val="tx1"/>
                  </w14:solidFill>
                </w14:textFill>
              </w:rPr>
              <w:t>可行性低</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的每一项扣1分，扣完为止；未提供的不得分。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4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c>
          <w:tcPr>
            <w:tcW w:w="40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41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应急策略及方案：根据项目实际情况投标人从采购货物或生产货物、运输、配送、安装、人员安排等各方面的整体方案。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针对本项目制定切实可行的供货方案，条理清晰，符合实际情况，分工明确，时间安排合理，有详细的应急保障方案得</w:t>
            </w:r>
            <w:r>
              <w:rPr>
                <w:rFonts w:hint="eastAsia" w:ascii="宋体" w:hAnsi="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本项目制有的供货方案，条理一般，分工明确，时间安排、应急保障方案一般，得</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分；有可行性方案，条理混乱，分工不详</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时间安排、应急保障方案</w:t>
            </w:r>
            <w:r>
              <w:rPr>
                <w:rFonts w:hint="eastAsia" w:ascii="宋体" w:hAnsi="宋体" w:cs="宋体"/>
                <w:color w:val="000000" w:themeColor="text1"/>
                <w:kern w:val="0"/>
                <w:sz w:val="21"/>
                <w:szCs w:val="21"/>
                <w:highlight w:val="none"/>
                <w:lang w:val="en-US" w:eastAsia="zh-CN"/>
                <w14:textFill>
                  <w14:solidFill>
                    <w14:schemeClr w14:val="tx1"/>
                  </w14:solidFill>
                </w14:textFill>
              </w:rPr>
              <w:t>不合理得2分；未提供的不得分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trPr>
        <w:tc>
          <w:tcPr>
            <w:tcW w:w="4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c>
          <w:tcPr>
            <w:tcW w:w="40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w:t>
            </w:r>
          </w:p>
        </w:tc>
        <w:tc>
          <w:tcPr>
            <w:tcW w:w="41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保证及售后服务：1、根据投标人针对本项目的售后服务方案进行评分，方案内容至少包括①服务承诺及服务条款，②服务及响应方案，③备件（易耗品）供应方案，④服务人员配备⑤应急措施，⑥质保外服务措施等售后服务等。提供完整售后服务方案且完全满足本项目需求的得</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分；每有一项内容缺失扣2分，直至本项扣完为止。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 w:hRule="atLeast"/>
        </w:trPr>
        <w:tc>
          <w:tcPr>
            <w:tcW w:w="4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c>
          <w:tcPr>
            <w:tcW w:w="40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p>
        </w:tc>
        <w:tc>
          <w:tcPr>
            <w:tcW w:w="41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培训方案：培训计划情况，应含详细合理的培训方案（包含：①培训时间；②培训地点；③培训产品基本原理；④操作使用和保养维修；⑤培训方式；培训方案中包含以上每项内容，且方案切实可行，满足采购方需求得10分，每有一项内容缺失的扣2 分，扣完为止。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p>
        </w:tc>
      </w:tr>
    </w:tbl>
    <w:p>
      <w:pPr>
        <w:pStyle w:val="8"/>
        <w:ind w:left="0" w:leftChars="0" w:firstLine="0" w:firstLineChars="0"/>
        <w:rPr>
          <w:rFonts w:hint="eastAsia" w:ascii="宋体" w:hAnsi="宋体" w:eastAsia="宋体" w:cs="宋体"/>
          <w:color w:val="auto"/>
          <w:highlight w:val="none"/>
        </w:rPr>
      </w:pPr>
    </w:p>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Pr>
        <w:spacing w:line="240" w:lineRule="atLeast"/>
        <w:jc w:val="center"/>
        <w:rPr>
          <w:rFonts w:hint="eastAsia" w:ascii="宋体" w:hAnsi="宋体" w:eastAsia="宋体" w:cs="宋体"/>
          <w:b/>
          <w:color w:val="auto"/>
          <w:sz w:val="44"/>
          <w:szCs w:val="44"/>
          <w:highlight w:val="none"/>
        </w:rPr>
      </w:pPr>
    </w:p>
    <w:p>
      <w:pPr>
        <w:spacing w:line="240" w:lineRule="atLeast"/>
        <w:jc w:val="center"/>
        <w:outlineLvl w:val="9"/>
        <w:rPr>
          <w:rFonts w:hint="eastAsia" w:ascii="宋体" w:hAnsi="宋体" w:eastAsia="宋体" w:cs="宋体"/>
          <w:b/>
          <w:color w:val="auto"/>
          <w:sz w:val="44"/>
          <w:szCs w:val="44"/>
          <w:highlight w:val="none"/>
        </w:rPr>
      </w:pPr>
    </w:p>
    <w:p>
      <w:pPr>
        <w:spacing w:line="240" w:lineRule="atLeast"/>
        <w:jc w:val="both"/>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pPr>
        <w:spacing w:line="240" w:lineRule="atLeast"/>
        <w:jc w:val="center"/>
        <w:rPr>
          <w:rFonts w:hint="eastAsia" w:ascii="宋体" w:hAnsi="宋体" w:eastAsia="宋体" w:cs="宋体"/>
          <w:b/>
          <w:color w:val="auto"/>
          <w:sz w:val="40"/>
          <w:szCs w:val="40"/>
          <w:highlight w:val="none"/>
        </w:rPr>
      </w:pPr>
    </w:p>
    <w:p>
      <w:pPr>
        <w:spacing w:line="240" w:lineRule="atLeast"/>
        <w:jc w:val="center"/>
        <w:rPr>
          <w:rFonts w:hint="default" w:ascii="宋体" w:hAnsi="宋体" w:eastAsia="宋体" w:cs="宋体"/>
          <w:b/>
          <w:color w:val="auto"/>
          <w:sz w:val="32"/>
          <w:szCs w:val="32"/>
          <w:highlight w:val="none"/>
          <w:lang w:val="en-US" w:eastAsia="zh-CN"/>
        </w:rPr>
      </w:pPr>
      <w:bookmarkStart w:id="1312" w:name="_Toc13284_WPSOffice_Level2"/>
      <w:r>
        <w:rPr>
          <w:rFonts w:hint="eastAsia" w:ascii="宋体" w:hAnsi="宋体" w:eastAsia="宋体" w:cs="宋体"/>
          <w:b/>
          <w:color w:val="auto"/>
          <w:sz w:val="32"/>
          <w:szCs w:val="32"/>
          <w:highlight w:val="none"/>
        </w:rPr>
        <w:t>项目编号：</w:t>
      </w:r>
      <w:bookmarkEnd w:id="1312"/>
      <w:r>
        <w:rPr>
          <w:rFonts w:hint="eastAsia" w:ascii="宋体" w:hAnsi="宋体" w:cs="宋体"/>
          <w:b/>
          <w:color w:val="000000" w:themeColor="text1"/>
          <w:sz w:val="32"/>
          <w:szCs w:val="32"/>
          <w:highlight w:val="none"/>
          <w:lang w:eastAsia="zh-CN"/>
          <w14:textFill>
            <w14:solidFill>
              <w14:schemeClr w14:val="tx1"/>
            </w14:solidFill>
          </w14:textFill>
        </w:rPr>
        <w:t>ZPDL(2024)</w:t>
      </w:r>
      <w:r>
        <w:rPr>
          <w:rFonts w:hint="eastAsia" w:ascii="宋体" w:hAnsi="宋体" w:cs="宋体"/>
          <w:b/>
          <w:color w:val="000000" w:themeColor="text1"/>
          <w:sz w:val="32"/>
          <w:szCs w:val="32"/>
          <w:highlight w:val="none"/>
          <w:lang w:val="en-US" w:eastAsia="zh-CN"/>
          <w14:textFill>
            <w14:solidFill>
              <w14:schemeClr w14:val="tx1"/>
            </w14:solidFill>
          </w14:textFill>
        </w:rPr>
        <w:t>037</w:t>
      </w:r>
    </w:p>
    <w:p>
      <w:pPr>
        <w:pStyle w:val="5"/>
        <w:rPr>
          <w:rFonts w:hint="eastAsia"/>
          <w:color w:val="auto"/>
          <w:highlight w:val="none"/>
        </w:rPr>
      </w:pPr>
    </w:p>
    <w:p>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第 三 册</w:t>
      </w: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52"/>
          <w:highlight w:val="none"/>
        </w:rPr>
      </w:pPr>
    </w:p>
    <w:p>
      <w:pPr>
        <w:pStyle w:val="12"/>
        <w:rPr>
          <w:rFonts w:hint="eastAsia" w:ascii="宋体" w:hAnsi="宋体" w:eastAsia="宋体" w:cs="宋体"/>
          <w:b/>
          <w:color w:val="auto"/>
          <w:sz w:val="52"/>
          <w:highlight w:val="none"/>
        </w:rPr>
      </w:pPr>
    </w:p>
    <w:p>
      <w:pPr>
        <w:pStyle w:val="12"/>
        <w:rPr>
          <w:rFonts w:hint="eastAsia" w:ascii="宋体" w:hAnsi="宋体" w:eastAsia="宋体" w:cs="宋体"/>
          <w:b/>
          <w:color w:val="auto"/>
          <w:sz w:val="52"/>
          <w:highlight w:val="none"/>
        </w:rPr>
      </w:pPr>
    </w:p>
    <w:p>
      <w:pPr>
        <w:rPr>
          <w:rFonts w:hint="eastAsia" w:ascii="宋体" w:hAnsi="宋体" w:eastAsia="宋体" w:cs="宋体"/>
          <w:color w:val="auto"/>
          <w:highlight w:val="none"/>
        </w:rPr>
      </w:pPr>
      <w:bookmarkStart w:id="1313" w:name="_Toc515647833"/>
      <w:bookmarkStart w:id="1314" w:name="_Toc6865"/>
      <w:bookmarkStart w:id="1315" w:name="_Toc4796"/>
      <w:bookmarkStart w:id="1316" w:name="_Toc23920"/>
      <w:bookmarkStart w:id="1317" w:name="_Toc28085"/>
      <w:r>
        <w:rPr>
          <w:rFonts w:hint="eastAsia" w:ascii="宋体" w:hAnsi="宋体" w:eastAsia="宋体" w:cs="宋体"/>
          <w:color w:val="auto"/>
          <w:highlight w:val="none"/>
        </w:rPr>
        <w:br w:type="page"/>
      </w:r>
    </w:p>
    <w:bookmarkEnd w:id="1311"/>
    <w:bookmarkEnd w:id="1313"/>
    <w:bookmarkEnd w:id="1314"/>
    <w:bookmarkEnd w:id="1315"/>
    <w:bookmarkEnd w:id="1316"/>
    <w:bookmarkEnd w:id="1317"/>
    <w:p>
      <w:pPr>
        <w:widowControl/>
        <w:spacing w:line="440" w:lineRule="exact"/>
        <w:jc w:val="center"/>
        <w:outlineLvl w:val="0"/>
        <w:rPr>
          <w:rFonts w:hint="eastAsia" w:ascii="宋体" w:hAnsi="宋体" w:eastAsia="宋体" w:cs="宋体"/>
          <w:b/>
          <w:bCs/>
          <w:color w:val="auto"/>
          <w:kern w:val="0"/>
          <w:sz w:val="32"/>
          <w:szCs w:val="32"/>
          <w:highlight w:val="none"/>
          <w:lang w:val="en-US" w:eastAsia="zh-CN" w:bidi="ar-SA"/>
        </w:rPr>
      </w:pPr>
      <w:bookmarkStart w:id="1318" w:name="_Toc4781"/>
      <w:bookmarkStart w:id="1319" w:name="_Toc18042"/>
    </w:p>
    <w:p>
      <w:pPr>
        <w:widowControl/>
        <w:spacing w:line="440" w:lineRule="exact"/>
        <w:jc w:val="center"/>
        <w:outlineLvl w:val="0"/>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第7章  政府采购合同</w:t>
      </w:r>
      <w:bookmarkEnd w:id="1318"/>
      <w:bookmarkEnd w:id="1319"/>
      <w:bookmarkStart w:id="1320" w:name="_Toc216513788"/>
      <w:bookmarkEnd w:id="1320"/>
      <w:bookmarkStart w:id="1321" w:name="_Hlt487972895"/>
      <w:bookmarkEnd w:id="1321"/>
      <w:bookmarkStart w:id="1322" w:name="_Toc487900382"/>
      <w:bookmarkEnd w:id="1322"/>
    </w:p>
    <w:p>
      <w:pPr>
        <w:spacing w:line="240" w:lineRule="atLeast"/>
        <w:rPr>
          <w:rFonts w:hint="eastAsia" w:ascii="宋体" w:hAnsi="宋体" w:eastAsia="宋体" w:cs="宋体"/>
          <w:b/>
          <w:color w:val="auto"/>
          <w:kern w:val="44"/>
          <w:sz w:val="28"/>
          <w:szCs w:val="28"/>
          <w:highlight w:val="none"/>
        </w:rPr>
      </w:pPr>
    </w:p>
    <w:p>
      <w:pPr>
        <w:autoSpaceDE w:val="0"/>
        <w:autoSpaceDN w:val="0"/>
        <w:spacing w:before="0" w:after="0" w:line="360" w:lineRule="auto"/>
        <w:ind w:left="0" w:right="0"/>
        <w:jc w:val="center"/>
        <w:rPr>
          <w:rFonts w:hint="eastAsia" w:ascii="仿宋" w:hAnsi="仿宋" w:eastAsia="仿宋" w:cs="宋体"/>
          <w:color w:val="auto"/>
          <w:kern w:val="0"/>
          <w:sz w:val="32"/>
          <w:szCs w:val="32"/>
          <w:highlight w:val="none"/>
          <w:u w:val="single"/>
          <w:lang w:val="zh-CN" w:bidi="zh-CN"/>
        </w:rPr>
      </w:pPr>
      <w:r>
        <w:rPr>
          <w:rFonts w:hint="eastAsia" w:ascii="仿宋" w:hAnsi="仿宋" w:eastAsia="仿宋" w:cs="宋体"/>
          <w:color w:val="auto"/>
          <w:kern w:val="0"/>
          <w:sz w:val="32"/>
          <w:szCs w:val="32"/>
          <w:highlight w:val="none"/>
          <w:lang w:val="zh-CN" w:bidi="zh-CN"/>
        </w:rPr>
        <w:t>泽普县2024年消防救援设施建设采购项目合同</w:t>
      </w:r>
    </w:p>
    <w:p>
      <w:pPr>
        <w:autoSpaceDE w:val="0"/>
        <w:autoSpaceDN w:val="0"/>
        <w:spacing w:before="0" w:after="0" w:line="360" w:lineRule="auto"/>
        <w:ind w:left="0" w:right="0"/>
        <w:jc w:val="left"/>
        <w:rPr>
          <w:rFonts w:hint="eastAsia" w:ascii="仿宋" w:hAnsi="仿宋" w:eastAsia="仿宋" w:cs="宋体"/>
          <w:color w:val="auto"/>
          <w:kern w:val="0"/>
          <w:sz w:val="32"/>
          <w:szCs w:val="32"/>
          <w:highlight w:val="none"/>
          <w:lang w:val="zh-CN" w:bidi="zh-CN"/>
        </w:rPr>
      </w:pPr>
    </w:p>
    <w:p>
      <w:pPr>
        <w:autoSpaceDE w:val="0"/>
        <w:autoSpaceDN w:val="0"/>
        <w:spacing w:before="0" w:after="0" w:line="360" w:lineRule="auto"/>
        <w:ind w:left="0" w:right="0"/>
        <w:jc w:val="left"/>
        <w:rPr>
          <w:rFonts w:hint="eastAsia" w:ascii="仿宋" w:hAnsi="仿宋" w:eastAsia="仿宋" w:cs="宋体"/>
          <w:color w:val="auto"/>
          <w:kern w:val="0"/>
          <w:sz w:val="32"/>
          <w:szCs w:val="32"/>
          <w:highlight w:val="none"/>
          <w:lang w:val="zh-CN" w:bidi="zh-CN"/>
        </w:rPr>
      </w:pPr>
    </w:p>
    <w:p>
      <w:pPr>
        <w:autoSpaceDE w:val="0"/>
        <w:autoSpaceDN w:val="0"/>
        <w:spacing w:before="0" w:after="0" w:line="360" w:lineRule="auto"/>
        <w:ind w:left="0" w:right="0"/>
        <w:jc w:val="left"/>
        <w:rPr>
          <w:rFonts w:hint="eastAsia" w:ascii="仿宋" w:hAnsi="仿宋" w:eastAsia="仿宋" w:cs="宋体"/>
          <w:color w:val="auto"/>
          <w:kern w:val="0"/>
          <w:sz w:val="32"/>
          <w:szCs w:val="32"/>
          <w:highlight w:val="none"/>
          <w:lang w:val="zh-CN" w:bidi="zh-CN"/>
        </w:rPr>
      </w:pPr>
      <w:r>
        <w:rPr>
          <w:rFonts w:hint="eastAsia" w:ascii="仿宋" w:hAnsi="仿宋" w:eastAsia="仿宋" w:cs="宋体"/>
          <w:color w:val="auto"/>
          <w:kern w:val="0"/>
          <w:sz w:val="32"/>
          <w:szCs w:val="32"/>
          <w:highlight w:val="none"/>
          <w:lang w:val="zh-CN" w:bidi="zh-CN"/>
        </w:rPr>
        <w:t>项目名称：泽普县2024年消防救援设施建设</w:t>
      </w:r>
      <w:r>
        <w:rPr>
          <w:rFonts w:hint="eastAsia" w:ascii="仿宋" w:hAnsi="仿宋" w:eastAsia="仿宋" w:cs="宋体"/>
          <w:color w:val="auto"/>
          <w:kern w:val="0"/>
          <w:sz w:val="32"/>
          <w:szCs w:val="32"/>
          <w:highlight w:val="none"/>
          <w:lang w:val="en-US" w:bidi="zh-CN"/>
        </w:rPr>
        <w:t>采购</w:t>
      </w:r>
      <w:r>
        <w:rPr>
          <w:rFonts w:hint="eastAsia" w:ascii="仿宋" w:hAnsi="仿宋" w:eastAsia="仿宋" w:cs="宋体"/>
          <w:color w:val="auto"/>
          <w:kern w:val="0"/>
          <w:sz w:val="32"/>
          <w:szCs w:val="32"/>
          <w:highlight w:val="none"/>
          <w:lang w:val="zh-CN" w:bidi="zh-CN"/>
        </w:rPr>
        <w:t>项目</w:t>
      </w:r>
    </w:p>
    <w:p>
      <w:pPr>
        <w:autoSpaceDE w:val="0"/>
        <w:autoSpaceDN w:val="0"/>
        <w:spacing w:before="0" w:after="0" w:line="360" w:lineRule="auto"/>
        <w:ind w:left="0" w:right="0"/>
        <w:jc w:val="left"/>
        <w:rPr>
          <w:rFonts w:ascii="仿宋" w:hAnsi="仿宋" w:eastAsia="仿宋" w:cs="宋体"/>
          <w:color w:val="auto"/>
          <w:kern w:val="0"/>
          <w:sz w:val="32"/>
          <w:szCs w:val="32"/>
          <w:highlight w:val="none"/>
          <w:lang w:val="zh-CN" w:bidi="zh-CN"/>
        </w:rPr>
      </w:pPr>
    </w:p>
    <w:p>
      <w:pPr>
        <w:autoSpaceDE w:val="0"/>
        <w:autoSpaceDN w:val="0"/>
        <w:spacing w:before="0" w:after="0" w:line="360" w:lineRule="auto"/>
        <w:ind w:left="0" w:right="0"/>
        <w:jc w:val="left"/>
        <w:rPr>
          <w:rFonts w:hint="eastAsia" w:ascii="仿宋" w:hAnsi="仿宋" w:eastAsia="仿宋" w:cs="宋体"/>
          <w:color w:val="auto"/>
          <w:kern w:val="0"/>
          <w:sz w:val="32"/>
          <w:szCs w:val="32"/>
          <w:highlight w:val="none"/>
          <w:lang w:val="zh-CN" w:bidi="zh-CN"/>
        </w:rPr>
      </w:pPr>
      <w:r>
        <w:rPr>
          <w:rFonts w:hint="eastAsia" w:ascii="仿宋" w:hAnsi="仿宋" w:eastAsia="仿宋" w:cs="宋体"/>
          <w:color w:val="auto"/>
          <w:kern w:val="0"/>
          <w:sz w:val="32"/>
          <w:szCs w:val="32"/>
          <w:highlight w:val="none"/>
          <w:lang w:val="zh-CN" w:bidi="zh-CN"/>
        </w:rPr>
        <w:t>甲方:</w:t>
      </w:r>
      <w:r>
        <w:rPr>
          <w:rFonts w:hint="eastAsia" w:ascii="宋体" w:hAnsi="宋体" w:eastAsia="仿宋" w:cs="宋体"/>
          <w:color w:val="auto"/>
          <w:kern w:val="0"/>
          <w:sz w:val="32"/>
          <w:szCs w:val="32"/>
          <w:highlight w:val="none"/>
          <w:lang w:val="zh-CN" w:bidi="zh-CN"/>
        </w:rPr>
        <w:t> </w:t>
      </w:r>
      <w:r>
        <w:rPr>
          <w:rFonts w:hint="eastAsia" w:ascii="仿宋" w:hAnsi="仿宋" w:eastAsia="仿宋" w:cs="宋体"/>
          <w:color w:val="auto"/>
          <w:kern w:val="0"/>
          <w:sz w:val="32"/>
          <w:szCs w:val="32"/>
          <w:highlight w:val="none"/>
          <w:lang w:val="zh-CN" w:bidi="zh-CN"/>
        </w:rPr>
        <w:t xml:space="preserve">泽普县应急管理局 </w:t>
      </w:r>
    </w:p>
    <w:p>
      <w:pPr>
        <w:autoSpaceDE w:val="0"/>
        <w:autoSpaceDN w:val="0"/>
        <w:spacing w:before="0" w:after="0" w:line="360" w:lineRule="auto"/>
        <w:ind w:left="0" w:right="0"/>
        <w:jc w:val="left"/>
        <w:rPr>
          <w:rFonts w:hint="eastAsia" w:ascii="仿宋" w:hAnsi="仿宋" w:eastAsia="仿宋" w:cs="宋体"/>
          <w:color w:val="auto"/>
          <w:kern w:val="0"/>
          <w:sz w:val="32"/>
          <w:szCs w:val="32"/>
          <w:highlight w:val="none"/>
          <w:lang w:val="zh-CN" w:bidi="zh-CN"/>
        </w:rPr>
      </w:pPr>
    </w:p>
    <w:p>
      <w:pPr>
        <w:autoSpaceDE w:val="0"/>
        <w:autoSpaceDN w:val="0"/>
        <w:spacing w:before="0" w:after="0" w:line="360" w:lineRule="auto"/>
        <w:ind w:left="0" w:right="0"/>
        <w:jc w:val="left"/>
        <w:rPr>
          <w:rFonts w:hint="default" w:ascii="仿宋" w:hAnsi="仿宋" w:eastAsia="仿宋" w:cs="宋体"/>
          <w:color w:val="auto"/>
          <w:kern w:val="0"/>
          <w:sz w:val="32"/>
          <w:szCs w:val="32"/>
          <w:highlight w:val="none"/>
          <w:u w:val="none"/>
          <w:lang w:val="en-US" w:eastAsia="zh-CN" w:bidi="zh-CN"/>
        </w:rPr>
      </w:pPr>
      <w:r>
        <w:rPr>
          <w:rFonts w:hint="eastAsia" w:ascii="仿宋" w:hAnsi="仿宋" w:eastAsia="仿宋" w:cs="宋体"/>
          <w:color w:val="auto"/>
          <w:kern w:val="0"/>
          <w:sz w:val="32"/>
          <w:szCs w:val="32"/>
          <w:highlight w:val="none"/>
          <w:lang w:val="zh-CN" w:bidi="zh-CN"/>
        </w:rPr>
        <w:t>乙方:</w:t>
      </w:r>
      <w:r>
        <w:rPr>
          <w:rFonts w:hint="eastAsia" w:ascii="宋体" w:hAnsi="宋体" w:eastAsia="仿宋" w:cs="宋体"/>
          <w:color w:val="auto"/>
          <w:kern w:val="0"/>
          <w:sz w:val="32"/>
          <w:szCs w:val="32"/>
          <w:highlight w:val="none"/>
          <w:u w:val="none"/>
          <w:lang w:val="zh-CN" w:bidi="zh-CN"/>
        </w:rPr>
        <w:t> </w:t>
      </w:r>
      <w:r>
        <w:rPr>
          <w:rFonts w:hint="eastAsia" w:ascii="仿宋" w:hAnsi="仿宋" w:eastAsia="仿宋" w:cs="宋体"/>
          <w:color w:val="auto"/>
          <w:kern w:val="0"/>
          <w:sz w:val="32"/>
          <w:szCs w:val="32"/>
          <w:highlight w:val="none"/>
          <w:u w:val="none"/>
          <w:lang w:val="en-US" w:eastAsia="zh-CN" w:bidi="zh-CN"/>
        </w:rPr>
        <w:t xml:space="preserve">                        </w:t>
      </w:r>
    </w:p>
    <w:p>
      <w:pPr>
        <w:autoSpaceDE w:val="0"/>
        <w:autoSpaceDN w:val="0"/>
        <w:spacing w:before="0" w:after="0" w:line="360" w:lineRule="auto"/>
        <w:ind w:left="0" w:right="0"/>
        <w:jc w:val="left"/>
        <w:rPr>
          <w:rFonts w:hint="eastAsia" w:ascii="仿宋" w:hAnsi="仿宋" w:eastAsia="仿宋" w:cs="宋体"/>
          <w:color w:val="auto"/>
          <w:kern w:val="0"/>
          <w:sz w:val="32"/>
          <w:szCs w:val="32"/>
          <w:highlight w:val="none"/>
          <w:lang w:val="zh-CN" w:bidi="zh-CN"/>
        </w:rPr>
      </w:pPr>
    </w:p>
    <w:p>
      <w:pPr>
        <w:autoSpaceDE w:val="0"/>
        <w:autoSpaceDN w:val="0"/>
        <w:spacing w:before="0" w:after="0" w:line="360" w:lineRule="auto"/>
        <w:ind w:left="0" w:right="0"/>
        <w:jc w:val="left"/>
        <w:rPr>
          <w:rFonts w:hint="eastAsia" w:ascii="仿宋" w:hAnsi="仿宋" w:eastAsia="仿宋" w:cs="宋体"/>
          <w:color w:val="auto"/>
          <w:kern w:val="0"/>
          <w:sz w:val="32"/>
          <w:szCs w:val="32"/>
          <w:highlight w:val="none"/>
          <w:u w:val="single"/>
          <w:lang w:val="zh-CN" w:bidi="zh-CN"/>
        </w:rPr>
      </w:pPr>
      <w:r>
        <w:rPr>
          <w:rFonts w:hint="eastAsia" w:ascii="仿宋" w:hAnsi="仿宋" w:eastAsia="仿宋" w:cs="宋体"/>
          <w:color w:val="auto"/>
          <w:kern w:val="0"/>
          <w:sz w:val="32"/>
          <w:szCs w:val="32"/>
          <w:highlight w:val="none"/>
          <w:lang w:val="zh-CN" w:bidi="zh-CN"/>
        </w:rPr>
        <w:t>签订地：</w:t>
      </w:r>
      <w:r>
        <w:rPr>
          <w:rFonts w:hint="eastAsia" w:ascii="仿宋" w:hAnsi="仿宋" w:eastAsia="仿宋" w:cs="宋体"/>
          <w:color w:val="auto"/>
          <w:kern w:val="0"/>
          <w:sz w:val="32"/>
          <w:szCs w:val="32"/>
          <w:highlight w:val="none"/>
          <w:u w:val="single"/>
          <w:lang w:val="zh-CN" w:bidi="zh-CN"/>
        </w:rPr>
        <w:t xml:space="preserve">  泽普县应急管理局     </w:t>
      </w:r>
    </w:p>
    <w:p>
      <w:pPr>
        <w:autoSpaceDE w:val="0"/>
        <w:autoSpaceDN w:val="0"/>
        <w:spacing w:before="0" w:after="0" w:line="360" w:lineRule="auto"/>
        <w:ind w:left="0" w:right="0"/>
        <w:jc w:val="left"/>
        <w:rPr>
          <w:rFonts w:hint="eastAsia" w:ascii="仿宋" w:hAnsi="仿宋" w:eastAsia="仿宋" w:cs="宋体"/>
          <w:color w:val="auto"/>
          <w:kern w:val="0"/>
          <w:sz w:val="32"/>
          <w:szCs w:val="32"/>
          <w:highlight w:val="none"/>
          <w:u w:val="single"/>
          <w:lang w:val="zh-CN" w:bidi="zh-CN"/>
        </w:rPr>
      </w:pPr>
    </w:p>
    <w:p>
      <w:pPr>
        <w:autoSpaceDE w:val="0"/>
        <w:autoSpaceDN w:val="0"/>
        <w:spacing w:before="0" w:after="0" w:line="360" w:lineRule="auto"/>
        <w:ind w:left="0" w:right="0"/>
        <w:jc w:val="left"/>
        <w:rPr>
          <w:rFonts w:hint="eastAsia" w:ascii="仿宋" w:hAnsi="仿宋" w:eastAsia="仿宋" w:cs="宋体"/>
          <w:color w:val="auto"/>
          <w:kern w:val="0"/>
          <w:sz w:val="32"/>
          <w:szCs w:val="32"/>
          <w:highlight w:val="none"/>
          <w:lang w:val="zh-CN" w:bidi="zh-CN"/>
        </w:rPr>
      </w:pPr>
      <w:r>
        <w:rPr>
          <w:rFonts w:hint="eastAsia" w:ascii="仿宋" w:hAnsi="仿宋" w:eastAsia="仿宋" w:cs="宋体"/>
          <w:color w:val="auto"/>
          <w:kern w:val="0"/>
          <w:sz w:val="32"/>
          <w:szCs w:val="32"/>
          <w:highlight w:val="none"/>
          <w:lang w:val="zh-CN" w:bidi="zh-CN"/>
        </w:rPr>
        <w:t>签订日期：</w:t>
      </w:r>
      <w:r>
        <w:rPr>
          <w:rFonts w:hint="eastAsia" w:ascii="仿宋" w:hAnsi="仿宋" w:eastAsia="仿宋" w:cs="宋体"/>
          <w:color w:val="auto"/>
          <w:kern w:val="0"/>
          <w:sz w:val="32"/>
          <w:szCs w:val="32"/>
          <w:highlight w:val="none"/>
          <w:u w:val="single"/>
          <w:lang w:val="zh-CN" w:bidi="zh-CN"/>
        </w:rPr>
        <w:t xml:space="preserve">          </w:t>
      </w:r>
      <w:r>
        <w:rPr>
          <w:rFonts w:hint="eastAsia" w:ascii="仿宋" w:hAnsi="仿宋" w:eastAsia="仿宋" w:cs="宋体"/>
          <w:color w:val="auto"/>
          <w:kern w:val="0"/>
          <w:sz w:val="32"/>
          <w:szCs w:val="32"/>
          <w:highlight w:val="none"/>
          <w:lang w:val="zh-CN" w:bidi="zh-CN"/>
        </w:rPr>
        <w:t>年</w:t>
      </w:r>
      <w:r>
        <w:rPr>
          <w:rFonts w:hint="eastAsia" w:ascii="仿宋" w:hAnsi="仿宋" w:eastAsia="仿宋" w:cs="宋体"/>
          <w:color w:val="auto"/>
          <w:kern w:val="0"/>
          <w:sz w:val="32"/>
          <w:szCs w:val="32"/>
          <w:highlight w:val="none"/>
          <w:u w:val="single"/>
          <w:lang w:val="zh-CN" w:bidi="zh-CN"/>
        </w:rPr>
        <w:t xml:space="preserve">       </w:t>
      </w:r>
      <w:r>
        <w:rPr>
          <w:rFonts w:hint="eastAsia" w:ascii="仿宋" w:hAnsi="仿宋" w:eastAsia="仿宋" w:cs="宋体"/>
          <w:color w:val="auto"/>
          <w:kern w:val="0"/>
          <w:sz w:val="32"/>
          <w:szCs w:val="32"/>
          <w:highlight w:val="none"/>
          <w:lang w:val="zh-CN" w:bidi="zh-CN"/>
        </w:rPr>
        <w:t>月</w:t>
      </w:r>
      <w:r>
        <w:rPr>
          <w:rFonts w:hint="eastAsia" w:ascii="仿宋" w:hAnsi="仿宋" w:eastAsia="仿宋" w:cs="宋体"/>
          <w:color w:val="auto"/>
          <w:kern w:val="0"/>
          <w:sz w:val="32"/>
          <w:szCs w:val="32"/>
          <w:highlight w:val="none"/>
          <w:u w:val="single"/>
          <w:lang w:val="zh-CN" w:bidi="zh-CN"/>
        </w:rPr>
        <w:t xml:space="preserve">       </w:t>
      </w:r>
      <w:r>
        <w:rPr>
          <w:rFonts w:hint="eastAsia" w:ascii="仿宋" w:hAnsi="仿宋" w:eastAsia="仿宋" w:cs="宋体"/>
          <w:color w:val="auto"/>
          <w:kern w:val="0"/>
          <w:sz w:val="32"/>
          <w:szCs w:val="32"/>
          <w:highlight w:val="none"/>
          <w:lang w:val="zh-CN" w:bidi="zh-CN"/>
        </w:rPr>
        <w:t>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宋体" w:hAnsi="宋体" w:eastAsia="宋体" w:cs="宋体"/>
          <w:b/>
          <w:bCs/>
          <w:color w:val="auto"/>
          <w:w w:val="95"/>
          <w:kern w:val="0"/>
          <w:sz w:val="36"/>
          <w:szCs w:val="36"/>
          <w:highlight w:val="none"/>
          <w:lang w:val="en-US" w:eastAsia="zh-CN" w:bidi="zh-CN"/>
        </w:rPr>
      </w:pPr>
      <w:r>
        <w:rPr>
          <w:rFonts w:hint="eastAsia" w:ascii="仿宋" w:hAnsi="仿宋" w:eastAsia="仿宋" w:cs="宋体"/>
          <w:color w:val="auto"/>
          <w:kern w:val="0"/>
          <w:sz w:val="32"/>
          <w:szCs w:val="32"/>
          <w:highlight w:val="none"/>
          <w:lang w:val="zh-CN" w:bidi="zh-CN"/>
        </w:rPr>
        <w:br w:type="page"/>
      </w:r>
      <w:r>
        <w:rPr>
          <w:rFonts w:ascii="宋体" w:hAnsi="宋体" w:eastAsia="宋体" w:cs="宋体"/>
          <w:b/>
          <w:bCs/>
          <w:color w:val="auto"/>
          <w:w w:val="95"/>
          <w:kern w:val="0"/>
          <w:sz w:val="36"/>
          <w:szCs w:val="36"/>
          <w:highlight w:val="none"/>
          <w:lang w:val="zh-CN" w:bidi="zh-CN"/>
        </w:rPr>
        <w:t>设备</w:t>
      </w:r>
      <w:r>
        <w:rPr>
          <w:rFonts w:hint="eastAsia" w:ascii="宋体" w:hAnsi="宋体" w:eastAsia="宋体" w:cs="宋体"/>
          <w:b/>
          <w:bCs/>
          <w:color w:val="auto"/>
          <w:w w:val="95"/>
          <w:kern w:val="0"/>
          <w:sz w:val="36"/>
          <w:szCs w:val="36"/>
          <w:highlight w:val="none"/>
          <w:lang w:val="en-US" w:eastAsia="zh-CN" w:bidi="zh-CN"/>
        </w:rPr>
        <w:t>采购合同</w:t>
      </w:r>
    </w:p>
    <w:p>
      <w:pPr>
        <w:keepNext/>
        <w:keepLines/>
        <w:widowControl w:val="0"/>
        <w:autoSpaceDE w:val="0"/>
        <w:autoSpaceDN w:val="0"/>
        <w:adjustRightInd w:val="0"/>
        <w:spacing w:before="120" w:after="120" w:line="240" w:lineRule="auto"/>
        <w:ind w:left="0" w:right="0"/>
        <w:jc w:val="center"/>
        <w:outlineLvl w:val="2"/>
        <w:rPr>
          <w:rFonts w:hint="default" w:ascii="宋体" w:hAnsi="宋体" w:eastAsia="宋体" w:cs="宋体"/>
          <w:b/>
          <w:color w:val="auto"/>
          <w:kern w:val="0"/>
          <w:sz w:val="24"/>
          <w:szCs w:val="20"/>
          <w:highlight w:val="none"/>
          <w:u w:val="single"/>
          <w:lang w:val="en-US" w:eastAsia="zh-CN" w:bidi="zh-CN"/>
        </w:rPr>
      </w:pPr>
      <w:r>
        <w:rPr>
          <w:rFonts w:hint="eastAsia" w:ascii="宋体" w:hAnsi="宋体" w:eastAsia="宋体" w:cs="宋体"/>
          <w:b/>
          <w:color w:val="auto"/>
          <w:kern w:val="0"/>
          <w:sz w:val="24"/>
          <w:szCs w:val="20"/>
          <w:highlight w:val="none"/>
          <w:lang w:val="en-US" w:eastAsia="zh-CN" w:bidi="zh-CN"/>
        </w:rPr>
        <w:t xml:space="preserve">                                 </w:t>
      </w:r>
      <w:r>
        <w:rPr>
          <w:rFonts w:hint="default" w:ascii="宋体" w:hAnsi="宋体" w:eastAsia="宋体" w:cs="宋体"/>
          <w:b/>
          <w:color w:val="auto"/>
          <w:kern w:val="0"/>
          <w:sz w:val="24"/>
          <w:szCs w:val="20"/>
          <w:highlight w:val="none"/>
          <w:lang w:val="en-US" w:eastAsia="zh-CN" w:bidi="zh-CN"/>
        </w:rPr>
        <w:t>合同编号：</w:t>
      </w:r>
      <w:r>
        <w:rPr>
          <w:rFonts w:hint="eastAsia" w:ascii="宋体" w:hAnsi="宋体" w:eastAsia="宋体" w:cs="宋体"/>
          <w:b/>
          <w:color w:val="auto"/>
          <w:kern w:val="0"/>
          <w:sz w:val="24"/>
          <w:szCs w:val="20"/>
          <w:highlight w:val="none"/>
          <w:lang w:val="en-US" w:eastAsia="zh-CN" w:bidi="zh-CN"/>
        </w:rPr>
        <w:t xml:space="preserve"> </w:t>
      </w:r>
      <w:r>
        <w:rPr>
          <w:rFonts w:hint="eastAsia" w:ascii="宋体" w:hAnsi="宋体" w:eastAsia="宋体" w:cs="宋体"/>
          <w:b/>
          <w:color w:val="auto"/>
          <w:kern w:val="0"/>
          <w:sz w:val="24"/>
          <w:szCs w:val="20"/>
          <w:highlight w:val="none"/>
          <w:u w:val="single"/>
          <w:lang w:val="en-US" w:eastAsia="zh-CN" w:bidi="zh-CN"/>
        </w:rPr>
        <w:t xml:space="preserve">            </w:t>
      </w:r>
    </w:p>
    <w:p>
      <w:pPr>
        <w:keepNext/>
        <w:keepLines/>
        <w:widowControl w:val="0"/>
        <w:autoSpaceDE w:val="0"/>
        <w:autoSpaceDN w:val="0"/>
        <w:adjustRightInd w:val="0"/>
        <w:spacing w:before="120" w:after="120" w:line="240" w:lineRule="auto"/>
        <w:ind w:left="0" w:right="0"/>
        <w:jc w:val="right"/>
        <w:outlineLvl w:val="2"/>
        <w:rPr>
          <w:rFonts w:hint="default" w:ascii="宋体" w:hAnsi="宋体" w:eastAsia="宋体" w:cs="宋体"/>
          <w:b/>
          <w:color w:val="auto"/>
          <w:kern w:val="0"/>
          <w:sz w:val="24"/>
          <w:szCs w:val="20"/>
          <w:highlight w:val="none"/>
          <w:lang w:val="en-US" w:eastAsia="zh-CN" w:bidi="zh-CN"/>
        </w:rPr>
      </w:pPr>
    </w:p>
    <w:p>
      <w:pPr>
        <w:widowControl w:val="0"/>
        <w:autoSpaceDE w:val="0"/>
        <w:autoSpaceDN w:val="0"/>
        <w:spacing w:before="265" w:after="0" w:line="360" w:lineRule="auto"/>
        <w:ind w:left="0" w:leftChars="0" w:right="0" w:firstLine="480" w:firstLineChars="200"/>
        <w:jc w:val="left"/>
        <w:rPr>
          <w:rFonts w:ascii="宋体" w:hAnsi="宋体" w:eastAsia="宋体" w:cs="宋体"/>
          <w:color w:val="auto"/>
          <w:sz w:val="24"/>
          <w:szCs w:val="24"/>
          <w:highlight w:val="none"/>
          <w:u w:val="single"/>
          <w:lang w:val="zh-CN" w:eastAsia="zh-CN" w:bidi="zh-CN"/>
        </w:rPr>
      </w:pPr>
      <w:r>
        <w:rPr>
          <w:rFonts w:hint="eastAsia" w:ascii="宋体" w:hAnsi="宋体" w:eastAsia="宋体" w:cs="宋体"/>
          <w:color w:val="auto"/>
          <w:sz w:val="24"/>
          <w:szCs w:val="24"/>
          <w:highlight w:val="none"/>
          <w:lang w:val="zh-CN" w:eastAsia="zh-CN" w:bidi="zh-CN"/>
        </w:rPr>
        <w:t>甲方</w:t>
      </w:r>
      <w:r>
        <w:rPr>
          <w:rFonts w:ascii="宋体" w:hAnsi="宋体" w:eastAsia="宋体" w:cs="宋体"/>
          <w:color w:val="auto"/>
          <w:sz w:val="24"/>
          <w:szCs w:val="24"/>
          <w:highlight w:val="none"/>
          <w:lang w:val="zh-CN" w:eastAsia="zh-CN" w:bidi="zh-CN"/>
        </w:rPr>
        <w:t>:</w:t>
      </w:r>
      <w:r>
        <w:rPr>
          <w:rFonts w:hint="eastAsia" w:ascii="仿宋" w:hAnsi="仿宋" w:eastAsia="仿宋" w:cs="仿宋"/>
          <w:color w:val="auto"/>
          <w:kern w:val="0"/>
          <w:sz w:val="30"/>
          <w:szCs w:val="30"/>
          <w:highlight w:val="none"/>
          <w:u w:val="single"/>
          <w:lang w:val="zh-CN" w:bidi="zh-CN"/>
        </w:rPr>
        <w:t xml:space="preserve">泽普县应急管理局 </w:t>
      </w:r>
    </w:p>
    <w:p>
      <w:pPr>
        <w:widowControl w:val="0"/>
        <w:autoSpaceDE w:val="0"/>
        <w:autoSpaceDN w:val="0"/>
        <w:spacing w:before="265" w:after="0" w:line="360" w:lineRule="auto"/>
        <w:ind w:left="0" w:leftChars="0" w:right="0" w:firstLine="480" w:firstLineChars="200"/>
        <w:jc w:val="left"/>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乙方</w:t>
      </w:r>
      <w:r>
        <w:rPr>
          <w:rFonts w:ascii="宋体" w:hAnsi="宋体" w:eastAsia="宋体" w:cs="宋体"/>
          <w:color w:val="auto"/>
          <w:sz w:val="24"/>
          <w:szCs w:val="24"/>
          <w:highlight w:val="none"/>
          <w:lang w:val="zh-CN" w:eastAsia="zh-CN" w:bidi="zh-CN"/>
        </w:rPr>
        <w:t>：</w:t>
      </w:r>
      <w:r>
        <w:rPr>
          <w:rFonts w:hint="eastAsia" w:ascii="宋体" w:hAnsi="宋体" w:eastAsia="宋体" w:cs="宋体"/>
          <w:color w:val="auto"/>
          <w:sz w:val="24"/>
          <w:szCs w:val="24"/>
          <w:highlight w:val="none"/>
          <w:u w:val="single"/>
          <w:lang w:val="en-US" w:eastAsia="zh-CN" w:bidi="zh-CN"/>
        </w:rPr>
        <w:t xml:space="preserve">                  </w:t>
      </w:r>
      <w:r>
        <w:rPr>
          <w:rFonts w:ascii="宋体" w:hAnsi="宋体" w:eastAsia="宋体" w:cs="宋体"/>
          <w:color w:val="auto"/>
          <w:sz w:val="24"/>
          <w:szCs w:val="24"/>
          <w:highlight w:val="none"/>
          <w:u w:val="single"/>
          <w:lang w:val="zh-CN" w:eastAsia="zh-CN" w:bidi="zh-CN"/>
        </w:rPr>
        <w:t xml:space="preserve"> </w:t>
      </w:r>
      <w:r>
        <w:rPr>
          <w:rFonts w:ascii="宋体" w:hAnsi="宋体" w:eastAsia="宋体" w:cs="宋体"/>
          <w:color w:val="auto"/>
          <w:sz w:val="24"/>
          <w:szCs w:val="24"/>
          <w:highlight w:val="none"/>
          <w:lang w:val="zh-CN" w:eastAsia="zh-CN" w:bidi="zh-CN"/>
        </w:rPr>
        <w:t xml:space="preserve"> </w:t>
      </w:r>
    </w:p>
    <w:p>
      <w:pPr>
        <w:widowControl w:val="0"/>
        <w:autoSpaceDE w:val="0"/>
        <w:autoSpaceDN w:val="0"/>
        <w:spacing w:before="7" w:after="0" w:line="360" w:lineRule="auto"/>
        <w:ind w:left="0" w:right="0"/>
        <w:jc w:val="left"/>
        <w:rPr>
          <w:rFonts w:ascii="宋体" w:hAnsi="宋体" w:eastAsia="宋体" w:cs="宋体"/>
          <w:color w:val="auto"/>
          <w:sz w:val="19"/>
          <w:szCs w:val="24"/>
          <w:highlight w:val="none"/>
          <w:lang w:val="zh-CN" w:eastAsia="zh-CN" w:bidi="zh-CN"/>
        </w:rPr>
      </w:pPr>
    </w:p>
    <w:p>
      <w:pPr>
        <w:autoSpaceDE w:val="0"/>
        <w:autoSpaceDN w:val="0"/>
        <w:spacing w:before="0" w:after="0" w:line="240" w:lineRule="auto"/>
        <w:ind w:left="210" w:leftChars="100" w:right="0" w:firstLine="300" w:firstLineChars="100"/>
        <w:jc w:val="left"/>
        <w:rPr>
          <w:rFonts w:hint="eastAsia" w:ascii="仿宋" w:hAnsi="仿宋" w:eastAsia="仿宋" w:cs="仿宋"/>
          <w:color w:val="auto"/>
          <w:kern w:val="0"/>
          <w:sz w:val="30"/>
          <w:szCs w:val="30"/>
          <w:highlight w:val="none"/>
          <w:lang w:val="zh-CN" w:bidi="zh-CN"/>
        </w:rPr>
      </w:pPr>
      <w:r>
        <w:rPr>
          <w:rFonts w:hint="eastAsia" w:ascii="仿宋" w:hAnsi="仿宋" w:eastAsia="仿宋" w:cs="仿宋"/>
          <w:color w:val="auto"/>
          <w:kern w:val="0"/>
          <w:sz w:val="30"/>
          <w:szCs w:val="30"/>
          <w:highlight w:val="none"/>
          <w:lang w:val="zh-CN" w:bidi="zh-CN"/>
        </w:rPr>
        <w:t>根据《中华人民共和国民法典》及</w:t>
      </w:r>
      <w:r>
        <w:rPr>
          <w:rFonts w:hint="eastAsia" w:ascii="仿宋" w:hAnsi="仿宋" w:eastAsia="仿宋" w:cs="仿宋"/>
          <w:color w:val="auto"/>
          <w:kern w:val="0"/>
          <w:sz w:val="30"/>
          <w:szCs w:val="30"/>
          <w:highlight w:val="none"/>
          <w:u w:val="single"/>
          <w:lang w:val="zh-CN" w:bidi="zh-CN"/>
        </w:rPr>
        <w:t xml:space="preserve"> </w:t>
      </w:r>
      <w:r>
        <w:rPr>
          <w:rFonts w:ascii="仿宋" w:hAnsi="仿宋" w:eastAsia="仿宋" w:cs="仿宋"/>
          <w:color w:val="auto"/>
          <w:kern w:val="0"/>
          <w:sz w:val="30"/>
          <w:szCs w:val="30"/>
          <w:highlight w:val="none"/>
          <w:u w:val="single"/>
          <w:lang w:val="zh-CN" w:bidi="zh-CN"/>
        </w:rPr>
        <w:t xml:space="preserve">                     </w:t>
      </w:r>
      <w:r>
        <w:rPr>
          <w:rFonts w:hint="eastAsia" w:ascii="仿宋" w:hAnsi="仿宋" w:eastAsia="仿宋" w:cs="仿宋"/>
          <w:color w:val="auto"/>
          <w:kern w:val="0"/>
          <w:sz w:val="30"/>
          <w:szCs w:val="30"/>
          <w:highlight w:val="none"/>
          <w:lang w:val="zh-CN" w:bidi="zh-CN"/>
        </w:rPr>
        <w:t>公司招标编号：</w:t>
      </w:r>
      <w:r>
        <w:rPr>
          <w:rFonts w:ascii="仿宋" w:hAnsi="仿宋" w:eastAsia="仿宋" w:cs="仿宋"/>
          <w:color w:val="auto"/>
          <w:kern w:val="0"/>
          <w:sz w:val="30"/>
          <w:szCs w:val="30"/>
          <w:highlight w:val="none"/>
          <w:u w:val="single"/>
          <w:lang w:val="zh-CN" w:bidi="zh-CN"/>
        </w:rPr>
        <w:t xml:space="preserve">                    </w:t>
      </w:r>
      <w:r>
        <w:rPr>
          <w:rFonts w:hint="eastAsia" w:ascii="仿宋" w:hAnsi="仿宋" w:eastAsia="仿宋" w:cs="仿宋"/>
          <w:color w:val="auto"/>
          <w:kern w:val="0"/>
          <w:sz w:val="30"/>
          <w:szCs w:val="30"/>
          <w:highlight w:val="none"/>
          <w:lang w:val="zh-CN" w:bidi="zh-CN"/>
        </w:rPr>
        <w:t>对</w:t>
      </w:r>
      <w:r>
        <w:rPr>
          <w:rFonts w:hint="eastAsia" w:ascii="仿宋" w:hAnsi="仿宋" w:eastAsia="仿宋" w:cs="仿宋"/>
          <w:color w:val="auto"/>
          <w:kern w:val="0"/>
          <w:sz w:val="30"/>
          <w:szCs w:val="30"/>
          <w:highlight w:val="none"/>
          <w:u w:val="single"/>
          <w:lang w:val="zh-CN" w:bidi="zh-CN"/>
        </w:rPr>
        <w:t xml:space="preserve"> </w:t>
      </w:r>
      <w:r>
        <w:rPr>
          <w:rFonts w:ascii="仿宋" w:hAnsi="仿宋" w:eastAsia="仿宋" w:cs="仿宋"/>
          <w:color w:val="auto"/>
          <w:kern w:val="0"/>
          <w:sz w:val="30"/>
          <w:szCs w:val="30"/>
          <w:highlight w:val="none"/>
          <w:u w:val="single"/>
          <w:lang w:val="zh-CN" w:bidi="zh-CN"/>
        </w:rPr>
        <w:t xml:space="preserve">                    </w:t>
      </w:r>
      <w:r>
        <w:rPr>
          <w:rFonts w:hint="eastAsia" w:ascii="仿宋" w:hAnsi="仿宋" w:eastAsia="仿宋" w:cs="仿宋"/>
          <w:color w:val="auto"/>
          <w:kern w:val="0"/>
          <w:sz w:val="30"/>
          <w:szCs w:val="30"/>
          <w:highlight w:val="none"/>
          <w:lang w:val="zh-CN" w:bidi="zh-CN"/>
        </w:rPr>
        <w:t>项目招标文件要求，甲、乙双方经协商确定，甲方向乙方订购下列设备及其服务，为明确双方责任和</w:t>
      </w:r>
      <w:r>
        <w:rPr>
          <w:rFonts w:hint="eastAsia" w:ascii="仿宋" w:hAnsi="仿宋" w:eastAsia="仿宋" w:cs="仿宋"/>
          <w:color w:val="auto"/>
          <w:kern w:val="0"/>
          <w:sz w:val="30"/>
          <w:szCs w:val="30"/>
          <w:highlight w:val="none"/>
          <w:lang w:val="en-US" w:bidi="zh-CN"/>
        </w:rPr>
        <w:t>权利</w:t>
      </w:r>
      <w:r>
        <w:rPr>
          <w:rFonts w:hint="eastAsia" w:ascii="仿宋" w:hAnsi="仿宋" w:eastAsia="仿宋" w:cs="仿宋"/>
          <w:color w:val="auto"/>
          <w:kern w:val="0"/>
          <w:sz w:val="30"/>
          <w:szCs w:val="30"/>
          <w:highlight w:val="none"/>
          <w:lang w:val="zh-CN" w:bidi="zh-CN"/>
        </w:rPr>
        <w:t>，特签订本合同，共同遵守。具体条款如下：</w:t>
      </w:r>
    </w:p>
    <w:tbl>
      <w:tblPr>
        <w:tblStyle w:val="27"/>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b/>
                <w:bCs/>
                <w:color w:val="auto"/>
                <w:spacing w:val="-14"/>
                <w:sz w:val="24"/>
                <w:szCs w:val="24"/>
                <w:highlight w:val="none"/>
                <w:lang w:val="zh-CN" w:eastAsia="zh-CN" w:bidi="zh-CN"/>
              </w:rPr>
            </w:pPr>
            <w:r>
              <w:rPr>
                <w:rFonts w:ascii="宋体" w:hAnsi="宋体" w:eastAsia="宋体" w:cs="宋体"/>
                <w:b/>
                <w:bCs/>
                <w:color w:val="auto"/>
                <w:spacing w:val="-14"/>
                <w:sz w:val="24"/>
                <w:szCs w:val="24"/>
                <w:highlight w:val="none"/>
                <w:lang w:val="zh-CN" w:eastAsia="zh-CN" w:bidi="zh-CN"/>
              </w:rPr>
              <w:t xml:space="preserve">设备名称 </w:t>
            </w:r>
          </w:p>
        </w:tc>
        <w:tc>
          <w:tcPr>
            <w:tcW w:w="993"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b/>
                <w:bCs/>
                <w:color w:val="auto"/>
                <w:spacing w:val="-14"/>
                <w:sz w:val="24"/>
                <w:szCs w:val="24"/>
                <w:highlight w:val="none"/>
                <w:lang w:val="zh-CN" w:eastAsia="zh-CN" w:bidi="zh-CN"/>
              </w:rPr>
            </w:pPr>
            <w:r>
              <w:rPr>
                <w:rFonts w:ascii="宋体" w:hAnsi="宋体" w:eastAsia="宋体" w:cs="宋体"/>
                <w:b/>
                <w:bCs/>
                <w:color w:val="auto"/>
                <w:spacing w:val="-14"/>
                <w:sz w:val="24"/>
                <w:szCs w:val="24"/>
                <w:highlight w:val="none"/>
                <w:lang w:val="zh-CN" w:eastAsia="zh-CN" w:bidi="zh-CN"/>
              </w:rPr>
              <w:t>计量单位</w:t>
            </w:r>
          </w:p>
        </w:tc>
        <w:tc>
          <w:tcPr>
            <w:tcW w:w="849"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b/>
                <w:bCs/>
                <w:color w:val="auto"/>
                <w:spacing w:val="-14"/>
                <w:sz w:val="24"/>
                <w:szCs w:val="24"/>
                <w:highlight w:val="none"/>
                <w:lang w:val="zh-CN" w:eastAsia="zh-CN" w:bidi="zh-CN"/>
              </w:rPr>
            </w:pPr>
            <w:r>
              <w:rPr>
                <w:rFonts w:ascii="宋体" w:hAnsi="宋体" w:eastAsia="宋体" w:cs="宋体"/>
                <w:b/>
                <w:bCs/>
                <w:color w:val="auto"/>
                <w:spacing w:val="-14"/>
                <w:sz w:val="24"/>
                <w:szCs w:val="24"/>
                <w:highlight w:val="none"/>
                <w:lang w:val="zh-CN" w:eastAsia="zh-CN" w:bidi="zh-CN"/>
              </w:rPr>
              <w:t xml:space="preserve">数量 </w:t>
            </w:r>
          </w:p>
        </w:tc>
        <w:tc>
          <w:tcPr>
            <w:tcW w:w="1842"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b/>
                <w:bCs/>
                <w:color w:val="auto"/>
                <w:spacing w:val="-14"/>
                <w:sz w:val="24"/>
                <w:szCs w:val="24"/>
                <w:highlight w:val="none"/>
                <w:lang w:val="zh-CN" w:eastAsia="zh-CN" w:bidi="zh-CN"/>
              </w:rPr>
            </w:pPr>
            <w:r>
              <w:rPr>
                <w:rFonts w:ascii="宋体" w:hAnsi="宋体" w:eastAsia="宋体" w:cs="宋体"/>
                <w:b/>
                <w:bCs/>
                <w:color w:val="auto"/>
                <w:spacing w:val="-14"/>
                <w:sz w:val="24"/>
                <w:szCs w:val="24"/>
                <w:highlight w:val="none"/>
                <w:lang w:val="zh-CN" w:eastAsia="zh-CN" w:bidi="zh-CN"/>
              </w:rPr>
              <w:t xml:space="preserve">单价含税（元） </w:t>
            </w:r>
          </w:p>
        </w:tc>
        <w:tc>
          <w:tcPr>
            <w:tcW w:w="2126"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b/>
                <w:bCs/>
                <w:color w:val="auto"/>
                <w:spacing w:val="-14"/>
                <w:sz w:val="24"/>
                <w:szCs w:val="24"/>
                <w:highlight w:val="none"/>
                <w:lang w:val="zh-CN" w:eastAsia="zh-CN" w:bidi="zh-CN"/>
              </w:rPr>
            </w:pPr>
            <w:r>
              <w:rPr>
                <w:rFonts w:ascii="宋体" w:hAnsi="宋体" w:eastAsia="宋体" w:cs="宋体"/>
                <w:b/>
                <w:bCs/>
                <w:color w:val="auto"/>
                <w:spacing w:val="-14"/>
                <w:sz w:val="24"/>
                <w:szCs w:val="24"/>
                <w:highlight w:val="none"/>
                <w:lang w:val="zh-CN" w:eastAsia="zh-CN" w:bidi="zh-CN"/>
              </w:rPr>
              <w:t xml:space="preserve">总金额含税（元）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pacing w:val="-14"/>
                <w:sz w:val="24"/>
                <w:szCs w:val="24"/>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color w:val="auto"/>
                <w:spacing w:val="-14"/>
                <w:sz w:val="24"/>
                <w:szCs w:val="24"/>
                <w:highlight w:val="none"/>
                <w:lang w:val="zh-CN" w:eastAsia="zh-CN" w:bidi="zh-CN"/>
              </w:rPr>
            </w:pPr>
          </w:p>
        </w:tc>
        <w:tc>
          <w:tcPr>
            <w:tcW w:w="993"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pacing w:val="-14"/>
                <w:sz w:val="24"/>
                <w:szCs w:val="24"/>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color w:val="auto"/>
                <w:spacing w:val="-14"/>
                <w:sz w:val="24"/>
                <w:szCs w:val="24"/>
                <w:highlight w:val="none"/>
                <w:lang w:val="zh-CN" w:eastAsia="zh-CN" w:bidi="zh-CN"/>
              </w:rPr>
            </w:pPr>
          </w:p>
        </w:tc>
        <w:tc>
          <w:tcPr>
            <w:tcW w:w="849"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pacing w:val="-14"/>
                <w:sz w:val="24"/>
                <w:szCs w:val="24"/>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color w:val="auto"/>
                <w:spacing w:val="-14"/>
                <w:sz w:val="24"/>
                <w:szCs w:val="24"/>
                <w:highlight w:val="none"/>
                <w:lang w:val="zh-CN" w:eastAsia="zh-CN" w:bidi="zh-CN"/>
              </w:rPr>
            </w:pPr>
          </w:p>
        </w:tc>
        <w:tc>
          <w:tcPr>
            <w:tcW w:w="1842"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pacing w:val="-14"/>
                <w:sz w:val="24"/>
                <w:szCs w:val="24"/>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color w:val="auto"/>
                <w:spacing w:val="-14"/>
                <w:sz w:val="24"/>
                <w:szCs w:val="24"/>
                <w:highlight w:val="none"/>
                <w:lang w:val="zh-CN" w:eastAsia="zh-CN" w:bidi="zh-CN"/>
              </w:rPr>
            </w:pPr>
            <w:r>
              <w:rPr>
                <w:rFonts w:ascii="宋体" w:hAnsi="宋体" w:eastAsia="宋体" w:cs="宋体"/>
                <w:color w:val="auto"/>
                <w:spacing w:val="-14"/>
                <w:sz w:val="24"/>
                <w:szCs w:val="24"/>
                <w:highlight w:val="none"/>
                <w:lang w:val="zh-CN" w:eastAsia="zh-CN" w:bidi="zh-CN"/>
              </w:rPr>
              <w:t xml:space="preserve">¥ </w:t>
            </w:r>
          </w:p>
        </w:tc>
        <w:tc>
          <w:tcPr>
            <w:tcW w:w="2126"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pacing w:val="-14"/>
                <w:sz w:val="24"/>
                <w:szCs w:val="24"/>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color w:val="auto"/>
                <w:spacing w:val="-14"/>
                <w:sz w:val="24"/>
                <w:szCs w:val="24"/>
                <w:highlight w:val="none"/>
                <w:lang w:val="zh-CN" w:eastAsia="zh-CN" w:bidi="zh-CN"/>
              </w:rPr>
            </w:pPr>
            <w:r>
              <w:rPr>
                <w:rFonts w:ascii="宋体" w:hAnsi="宋体" w:eastAsia="宋体" w:cs="宋体"/>
                <w:color w:val="auto"/>
                <w:spacing w:val="-14"/>
                <w:sz w:val="24"/>
                <w:szCs w:val="24"/>
                <w:highlight w:val="none"/>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color w:val="auto"/>
                <w:spacing w:val="-14"/>
                <w:sz w:val="24"/>
                <w:szCs w:val="24"/>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color w:val="auto"/>
                <w:spacing w:val="-14"/>
                <w:sz w:val="24"/>
                <w:szCs w:val="24"/>
                <w:highlight w:val="none"/>
                <w:lang w:val="zh-CN" w:eastAsia="zh-CN" w:bidi="zh-CN"/>
              </w:rPr>
            </w:pPr>
            <w:r>
              <w:rPr>
                <w:rFonts w:ascii="宋体" w:hAnsi="宋体" w:eastAsia="宋体" w:cs="宋体"/>
                <w:color w:val="auto"/>
                <w:spacing w:val="-14"/>
                <w:sz w:val="24"/>
                <w:szCs w:val="24"/>
                <w:highlight w:val="none"/>
                <w:lang w:val="zh-CN" w:eastAsia="zh-CN" w:bidi="zh-CN"/>
              </w:rPr>
              <w:t>合计</w:t>
            </w:r>
            <w:r>
              <w:rPr>
                <w:rFonts w:hint="eastAsia" w:ascii="宋体" w:hAnsi="宋体" w:eastAsia="宋体" w:cs="宋体"/>
                <w:color w:val="auto"/>
                <w:spacing w:val="-14"/>
                <w:sz w:val="24"/>
                <w:szCs w:val="24"/>
                <w:highlight w:val="none"/>
                <w:lang w:val="zh-CN" w:eastAsia="zh-CN" w:bidi="zh-CN"/>
              </w:rPr>
              <w:t>（</w:t>
            </w:r>
            <w:r>
              <w:rPr>
                <w:rFonts w:hint="eastAsia" w:ascii="宋体" w:hAnsi="宋体" w:eastAsia="宋体" w:cs="宋体"/>
                <w:color w:val="auto"/>
                <w:spacing w:val="-14"/>
                <w:sz w:val="24"/>
                <w:szCs w:val="24"/>
                <w:highlight w:val="none"/>
                <w:lang w:val="en-US" w:eastAsia="zh-CN" w:bidi="zh-CN"/>
              </w:rPr>
              <w:t>含税</w:t>
            </w:r>
            <w:r>
              <w:rPr>
                <w:rFonts w:hint="eastAsia" w:ascii="宋体" w:hAnsi="宋体" w:eastAsia="宋体" w:cs="宋体"/>
                <w:color w:val="auto"/>
                <w:spacing w:val="-14"/>
                <w:sz w:val="24"/>
                <w:szCs w:val="24"/>
                <w:highlight w:val="none"/>
                <w:lang w:val="zh-CN" w:eastAsia="zh-CN" w:bidi="zh-CN"/>
              </w:rPr>
              <w:t>）</w:t>
            </w:r>
          </w:p>
        </w:tc>
        <w:tc>
          <w:tcPr>
            <w:tcW w:w="2126"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color w:val="auto"/>
                <w:spacing w:val="-14"/>
                <w:sz w:val="24"/>
                <w:szCs w:val="24"/>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ascii="宋体" w:hAnsi="宋体" w:eastAsia="宋体" w:cs="宋体"/>
                <w:color w:val="auto"/>
                <w:spacing w:val="-14"/>
                <w:sz w:val="24"/>
                <w:szCs w:val="24"/>
                <w:highlight w:val="none"/>
                <w:lang w:val="zh-CN" w:eastAsia="zh-CN" w:bidi="zh-CN"/>
              </w:rPr>
            </w:pPr>
            <w:r>
              <w:rPr>
                <w:rFonts w:ascii="宋体" w:hAnsi="宋体" w:eastAsia="宋体" w:cs="宋体"/>
                <w:color w:val="auto"/>
                <w:spacing w:val="-14"/>
                <w:sz w:val="24"/>
                <w:szCs w:val="24"/>
                <w:highlight w:val="none"/>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rPr>
                <w:rFonts w:hint="default" w:ascii="宋体" w:hAnsi="宋体" w:eastAsia="宋体" w:cs="宋体"/>
                <w:color w:val="auto"/>
                <w:spacing w:val="-14"/>
                <w:kern w:val="0"/>
                <w:sz w:val="24"/>
                <w:szCs w:val="24"/>
                <w:highlight w:val="none"/>
                <w:lang w:val="en-US" w:eastAsia="zh-CN" w:bidi="zh-CN"/>
              </w:rPr>
            </w:pPr>
            <w:r>
              <w:rPr>
                <w:rFonts w:hint="eastAsia" w:ascii="宋体" w:hAnsi="宋体" w:eastAsia="宋体" w:cs="宋体"/>
                <w:b/>
                <w:bCs/>
                <w:color w:val="auto"/>
                <w:spacing w:val="-14"/>
                <w:kern w:val="0"/>
                <w:sz w:val="24"/>
                <w:szCs w:val="24"/>
                <w:highlight w:val="none"/>
                <w:lang w:val="en-US" w:eastAsia="zh-CN" w:bidi="zh-CN"/>
              </w:rPr>
              <w:t>注：此价格包含为履行本合同所涵盖的一切费用（包括但不限于</w:t>
            </w:r>
            <w:r>
              <w:rPr>
                <w:rFonts w:hint="eastAsia" w:ascii="宋体" w:hAnsi="宋体" w:eastAsia="宋体" w:cs="宋体"/>
                <w:b/>
                <w:bCs/>
                <w:color w:val="auto"/>
                <w:spacing w:val="-14"/>
                <w:kern w:val="0"/>
                <w:sz w:val="24"/>
                <w:szCs w:val="24"/>
                <w:highlight w:val="none"/>
                <w:lang w:val="zh-CN" w:eastAsia="zh-CN" w:bidi="zh-CN"/>
              </w:rPr>
              <w:t>乙方</w:t>
            </w:r>
            <w:r>
              <w:rPr>
                <w:rFonts w:ascii="宋体" w:hAnsi="宋体" w:eastAsia="宋体" w:cs="宋体"/>
                <w:b/>
                <w:bCs/>
                <w:color w:val="auto"/>
                <w:spacing w:val="-14"/>
                <w:kern w:val="0"/>
                <w:sz w:val="24"/>
                <w:szCs w:val="24"/>
                <w:highlight w:val="none"/>
                <w:lang w:val="zh-CN" w:eastAsia="zh-CN" w:bidi="zh-CN"/>
              </w:rPr>
              <w:t>保证</w:t>
            </w:r>
            <w:r>
              <w:rPr>
                <w:rFonts w:hint="eastAsia" w:ascii="宋体" w:hAnsi="宋体" w:eastAsia="宋体" w:cs="宋体"/>
                <w:b/>
                <w:bCs/>
                <w:color w:val="auto"/>
                <w:spacing w:val="-14"/>
                <w:kern w:val="0"/>
                <w:sz w:val="24"/>
                <w:szCs w:val="24"/>
                <w:highlight w:val="none"/>
                <w:lang w:val="en-US" w:eastAsia="zh-CN" w:bidi="zh-CN"/>
              </w:rPr>
              <w:t>设备</w:t>
            </w:r>
            <w:r>
              <w:rPr>
                <w:rFonts w:ascii="宋体" w:hAnsi="宋体" w:eastAsia="宋体" w:cs="宋体"/>
                <w:b/>
                <w:bCs/>
                <w:color w:val="auto"/>
                <w:spacing w:val="-14"/>
                <w:kern w:val="0"/>
                <w:sz w:val="24"/>
                <w:szCs w:val="24"/>
                <w:highlight w:val="none"/>
                <w:lang w:val="zh-CN" w:eastAsia="zh-CN" w:bidi="zh-CN"/>
              </w:rPr>
              <w:t>正确安装、合理操作和维护保养</w:t>
            </w:r>
            <w:r>
              <w:rPr>
                <w:rFonts w:hint="eastAsia" w:ascii="宋体" w:hAnsi="宋体" w:eastAsia="宋体" w:cs="宋体"/>
                <w:b/>
                <w:bCs/>
                <w:color w:val="auto"/>
                <w:spacing w:val="-14"/>
                <w:kern w:val="0"/>
                <w:sz w:val="24"/>
                <w:szCs w:val="24"/>
                <w:highlight w:val="none"/>
                <w:lang w:val="en-US" w:eastAsia="zh-CN" w:bidi="zh-CN"/>
              </w:rPr>
              <w:t>的费用</w:t>
            </w:r>
            <w:r>
              <w:rPr>
                <w:rFonts w:hint="eastAsia" w:ascii="宋体" w:hAnsi="宋体" w:eastAsia="宋体" w:cs="宋体"/>
                <w:b/>
                <w:bCs/>
                <w:color w:val="auto"/>
                <w:spacing w:val="-14"/>
                <w:kern w:val="0"/>
                <w:sz w:val="24"/>
                <w:szCs w:val="24"/>
                <w:highlight w:val="none"/>
                <w:lang w:val="zh-CN" w:eastAsia="zh-CN" w:bidi="zh-CN"/>
              </w:rPr>
              <w:t>）</w:t>
            </w:r>
            <w:r>
              <w:rPr>
                <w:rFonts w:hint="eastAsia" w:ascii="宋体" w:hAnsi="宋体" w:eastAsia="宋体" w:cs="宋体"/>
                <w:b/>
                <w:bCs/>
                <w:color w:val="auto"/>
                <w:spacing w:val="-14"/>
                <w:kern w:val="0"/>
                <w:sz w:val="24"/>
                <w:szCs w:val="24"/>
                <w:highlight w:val="none"/>
                <w:lang w:val="en-US" w:eastAsia="zh-CN" w:bidi="zh-CN"/>
              </w:rPr>
              <w:t>，除此费用外甲方无需再行向乙方支付任何价款。</w:t>
            </w: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 xml:space="preserve">第一条 设备规格型号、单位、数量、单价、总价款： </w:t>
      </w:r>
    </w:p>
    <w:p>
      <w:pPr>
        <w:rPr>
          <w:rFonts w:ascii="宋体" w:hAnsi="宋体" w:eastAsia="宋体" w:cs="宋体"/>
          <w:b/>
          <w:bCs/>
          <w:color w:val="auto"/>
          <w:spacing w:val="-7"/>
          <w:sz w:val="24"/>
          <w:szCs w:val="24"/>
          <w:highlight w:val="none"/>
          <w:lang w:val="zh-CN" w:eastAsia="zh-CN" w:bidi="zh-CN"/>
        </w:rPr>
      </w:pPr>
      <w:r>
        <w:rPr>
          <w:rFonts w:hint="eastAsia" w:ascii="宋体" w:hAnsi="宋体" w:eastAsia="宋体" w:cs="宋体"/>
          <w:b/>
          <w:bCs/>
          <w:color w:val="auto"/>
          <w:spacing w:val="-7"/>
          <w:sz w:val="24"/>
          <w:szCs w:val="24"/>
          <w:highlight w:val="none"/>
          <w:lang w:val="en-US" w:eastAsia="zh-CN" w:bidi="zh-CN"/>
        </w:rPr>
        <w:br w:type="page"/>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b/>
          <w:bCs/>
          <w:color w:val="auto"/>
          <w:spacing w:val="-7"/>
          <w:sz w:val="24"/>
          <w:szCs w:val="24"/>
          <w:highlight w:val="none"/>
          <w:lang w:val="zh-CN" w:eastAsia="zh-CN" w:bidi="zh-CN"/>
        </w:rPr>
      </w:pPr>
      <w:r>
        <w:rPr>
          <w:rFonts w:hint="eastAsia" w:ascii="宋体" w:hAnsi="宋体" w:eastAsia="宋体" w:cs="宋体"/>
          <w:b/>
          <w:bCs/>
          <w:color w:val="auto"/>
          <w:spacing w:val="-7"/>
          <w:sz w:val="24"/>
          <w:szCs w:val="24"/>
          <w:highlight w:val="none"/>
          <w:lang w:val="en-US" w:eastAsia="zh-CN" w:bidi="zh-CN"/>
        </w:rPr>
        <w:t>付款时间及方式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48" w:firstLineChars="200"/>
        <w:jc w:val="both"/>
        <w:textAlignment w:val="auto"/>
        <w:rPr>
          <w:rFonts w:ascii="宋体" w:hAnsi="宋体" w:eastAsia="宋体" w:cs="宋体"/>
          <w:color w:val="auto"/>
          <w:spacing w:val="-8"/>
          <w:sz w:val="24"/>
          <w:szCs w:val="24"/>
          <w:highlight w:val="none"/>
          <w:lang w:val="zh-CN" w:eastAsia="zh-CN" w:bidi="zh-CN"/>
        </w:rPr>
      </w:pPr>
      <w:r>
        <w:rPr>
          <w:rFonts w:hint="eastAsia" w:ascii="宋体" w:hAnsi="宋体" w:eastAsia="宋体" w:cs="宋体"/>
          <w:color w:val="auto"/>
          <w:spacing w:val="-8"/>
          <w:sz w:val="24"/>
          <w:szCs w:val="24"/>
          <w:highlight w:val="none"/>
          <w:lang w:val="en-US" w:eastAsia="zh-CN" w:bidi="zh-CN"/>
        </w:rPr>
        <w:t>1.甲方每次付款前，乙方均应向甲方开具等额有效的增值税发票，</w:t>
      </w:r>
      <w:r>
        <w:rPr>
          <w:rFonts w:hint="eastAsia" w:ascii="宋体" w:hAnsi="宋体" w:eastAsia="宋体" w:cs="宋体"/>
          <w:b/>
          <w:bCs/>
          <w:color w:val="auto"/>
          <w:spacing w:val="-8"/>
          <w:sz w:val="24"/>
          <w:szCs w:val="24"/>
          <w:highlight w:val="none"/>
          <w:u w:val="single"/>
          <w:lang w:val="en-US" w:eastAsia="zh-CN" w:bidi="zh-CN"/>
        </w:rPr>
        <w:t>甲方未收到发票的，有权不予支付相应款项直至乙方提供合格发票，且不承担延迟付款责任。发票认证通过是付款的必要前提之一。</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宋体" w:hAnsi="宋体" w:eastAsia="宋体" w:cs="宋体"/>
          <w:color w:val="auto"/>
          <w:spacing w:val="-6"/>
          <w:sz w:val="24"/>
          <w:szCs w:val="24"/>
          <w:highlight w:val="none"/>
          <w:lang w:val="zh-CN" w:eastAsia="zh-CN" w:bidi="zh-CN"/>
        </w:rPr>
      </w:pPr>
      <w:r>
        <w:rPr>
          <w:rFonts w:hint="eastAsia" w:ascii="宋体" w:hAnsi="宋体" w:eastAsia="宋体" w:cs="宋体"/>
          <w:color w:val="auto"/>
          <w:spacing w:val="-6"/>
          <w:sz w:val="24"/>
          <w:szCs w:val="24"/>
          <w:highlight w:val="none"/>
          <w:lang w:val="en-US" w:eastAsia="zh-CN" w:bidi="zh-CN"/>
        </w:rPr>
        <w:t>2.</w:t>
      </w:r>
      <w:r>
        <w:rPr>
          <w:rFonts w:hint="eastAsia" w:ascii="宋体" w:hAnsi="宋体" w:eastAsia="宋体" w:cs="宋体"/>
          <w:b w:val="0"/>
          <w:bCs w:val="0"/>
          <w:i w:val="0"/>
          <w:caps w:val="0"/>
          <w:color w:val="auto"/>
          <w:spacing w:val="0"/>
          <w:w w:val="100"/>
          <w:sz w:val="24"/>
          <w:szCs w:val="24"/>
          <w:highlight w:val="none"/>
          <w:lang w:val="en-US" w:eastAsia="zh-CN"/>
        </w:rPr>
        <w:t>签订合同后且到货</w:t>
      </w:r>
      <w:r>
        <w:rPr>
          <w:rFonts w:hint="eastAsia" w:ascii="宋体" w:hAnsi="宋体" w:cs="宋体"/>
          <w:b w:val="0"/>
          <w:bCs w:val="0"/>
          <w:i w:val="0"/>
          <w:caps w:val="0"/>
          <w:color w:val="auto"/>
          <w:spacing w:val="0"/>
          <w:w w:val="100"/>
          <w:sz w:val="24"/>
          <w:szCs w:val="24"/>
          <w:highlight w:val="none"/>
          <w:lang w:val="en-US" w:eastAsia="zh-CN"/>
        </w:rPr>
        <w:t>初验合格后支付</w:t>
      </w:r>
      <w:r>
        <w:rPr>
          <w:rFonts w:hint="eastAsia" w:ascii="宋体" w:hAnsi="宋体" w:cs="宋体"/>
          <w:b w:val="0"/>
          <w:bCs w:val="0"/>
          <w:i w:val="0"/>
          <w:caps w:val="0"/>
          <w:color w:val="auto"/>
          <w:spacing w:val="0"/>
          <w:w w:val="100"/>
          <w:sz w:val="24"/>
          <w:szCs w:val="24"/>
          <w:highlight w:val="none"/>
          <w:u w:val="single"/>
          <w:lang w:val="en-US" w:eastAsia="zh-CN"/>
        </w:rPr>
        <w:t xml:space="preserve">   </w:t>
      </w:r>
      <w:r>
        <w:rPr>
          <w:rFonts w:hint="eastAsia" w:ascii="宋体" w:hAnsi="宋体" w:cs="宋体"/>
          <w:b w:val="0"/>
          <w:bCs w:val="0"/>
          <w:i w:val="0"/>
          <w:caps w:val="0"/>
          <w:color w:val="auto"/>
          <w:spacing w:val="0"/>
          <w:w w:val="100"/>
          <w:sz w:val="24"/>
          <w:szCs w:val="24"/>
          <w:highlight w:val="none"/>
          <w:lang w:val="en-US" w:eastAsia="zh-CN"/>
        </w:rPr>
        <w:t>%，安装</w:t>
      </w:r>
      <w:r>
        <w:rPr>
          <w:rFonts w:hint="eastAsia" w:ascii="宋体" w:hAnsi="宋体" w:eastAsia="宋体" w:cs="宋体"/>
          <w:b w:val="0"/>
          <w:bCs w:val="0"/>
          <w:i w:val="0"/>
          <w:caps w:val="0"/>
          <w:color w:val="auto"/>
          <w:spacing w:val="0"/>
          <w:w w:val="100"/>
          <w:sz w:val="24"/>
          <w:szCs w:val="24"/>
          <w:highlight w:val="none"/>
          <w:lang w:val="en-US" w:eastAsia="zh-CN"/>
        </w:rPr>
        <w:t>验收完毕后</w:t>
      </w:r>
      <w:r>
        <w:rPr>
          <w:rFonts w:hint="eastAsia" w:ascii="宋体" w:hAnsi="宋体" w:cs="宋体"/>
          <w:b w:val="0"/>
          <w:bCs w:val="0"/>
          <w:i w:val="0"/>
          <w:caps w:val="0"/>
          <w:color w:val="auto"/>
          <w:spacing w:val="0"/>
          <w:w w:val="100"/>
          <w:sz w:val="24"/>
          <w:szCs w:val="24"/>
          <w:highlight w:val="none"/>
          <w:lang w:val="en-US" w:eastAsia="zh-CN"/>
        </w:rPr>
        <w:t>支付至</w:t>
      </w:r>
      <w:r>
        <w:rPr>
          <w:rFonts w:hint="eastAsia" w:ascii="宋体" w:hAnsi="宋体" w:cs="宋体"/>
          <w:b w:val="0"/>
          <w:bCs w:val="0"/>
          <w:i w:val="0"/>
          <w:caps w:val="0"/>
          <w:color w:val="auto"/>
          <w:spacing w:val="0"/>
          <w:w w:val="100"/>
          <w:sz w:val="24"/>
          <w:szCs w:val="24"/>
          <w:highlight w:val="none"/>
          <w:u w:val="single"/>
          <w:lang w:val="en-US" w:eastAsia="zh-CN"/>
        </w:rPr>
        <w:t xml:space="preserve">   </w:t>
      </w:r>
      <w:r>
        <w:rPr>
          <w:rFonts w:hint="eastAsia" w:ascii="宋体" w:hAnsi="宋体" w:cs="宋体"/>
          <w:b w:val="0"/>
          <w:bCs w:val="0"/>
          <w:i w:val="0"/>
          <w:caps w:val="0"/>
          <w:color w:val="auto"/>
          <w:spacing w:val="0"/>
          <w:w w:val="100"/>
          <w:sz w:val="24"/>
          <w:szCs w:val="24"/>
          <w:highlight w:val="none"/>
          <w:lang w:val="en-US" w:eastAsia="zh-CN"/>
        </w:rPr>
        <w:t>%，最终审计完成后支付至</w:t>
      </w:r>
      <w:r>
        <w:rPr>
          <w:rFonts w:hint="eastAsia" w:ascii="宋体" w:hAnsi="宋体" w:cs="宋体"/>
          <w:b w:val="0"/>
          <w:bCs w:val="0"/>
          <w:i w:val="0"/>
          <w:caps w:val="0"/>
          <w:color w:val="auto"/>
          <w:spacing w:val="0"/>
          <w:w w:val="100"/>
          <w:sz w:val="24"/>
          <w:szCs w:val="24"/>
          <w:highlight w:val="none"/>
          <w:u w:val="single"/>
          <w:lang w:val="en-US" w:eastAsia="zh-CN"/>
        </w:rPr>
        <w:t xml:space="preserve">   </w:t>
      </w:r>
      <w:r>
        <w:rPr>
          <w:rFonts w:hint="eastAsia" w:ascii="宋体" w:hAnsi="宋体" w:cs="宋体"/>
          <w:b w:val="0"/>
          <w:bCs w:val="0"/>
          <w:i w:val="0"/>
          <w:caps w:val="0"/>
          <w:color w:val="auto"/>
          <w:spacing w:val="0"/>
          <w:w w:val="100"/>
          <w:sz w:val="24"/>
          <w:szCs w:val="24"/>
          <w:highlight w:val="none"/>
          <w:lang w:val="en-US" w:eastAsia="zh-CN"/>
        </w:rPr>
        <w:t>%（以最终审计价格为准）。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default" w:ascii="宋体" w:hAnsi="宋体" w:eastAsia="宋体" w:cs="宋体"/>
          <w:color w:val="auto"/>
          <w:spacing w:val="-6"/>
          <w:sz w:val="24"/>
          <w:szCs w:val="24"/>
          <w:highlight w:val="none"/>
          <w:lang w:val="en-US" w:eastAsia="zh-CN" w:bidi="zh-CN"/>
        </w:rPr>
      </w:pPr>
      <w:r>
        <w:rPr>
          <w:rFonts w:hint="eastAsia" w:ascii="宋体" w:hAnsi="宋体" w:eastAsia="宋体" w:cs="宋体"/>
          <w:color w:val="auto"/>
          <w:spacing w:val="-6"/>
          <w:sz w:val="24"/>
          <w:szCs w:val="24"/>
          <w:highlight w:val="none"/>
          <w:lang w:val="en-US" w:eastAsia="zh-CN" w:bidi="zh-CN"/>
        </w:rPr>
        <w:t>3.乙方应对其所提供的账户信息的准确性、安全性、可靠性负责，因账户信息错误造成的损失，由乙方自行承担。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default" w:ascii="宋体" w:hAnsi="宋体" w:eastAsia="宋体" w:cs="宋体"/>
          <w:color w:val="auto"/>
          <w:spacing w:val="-6"/>
          <w:sz w:val="24"/>
          <w:szCs w:val="24"/>
          <w:highlight w:val="none"/>
          <w:lang w:val="en-US" w:eastAsia="zh-CN" w:bidi="zh-CN"/>
        </w:rPr>
      </w:pPr>
      <w:r>
        <w:rPr>
          <w:rFonts w:hint="eastAsia" w:ascii="宋体" w:hAnsi="宋体" w:eastAsia="宋体" w:cs="宋体"/>
          <w:color w:val="auto"/>
          <w:spacing w:val="-6"/>
          <w:sz w:val="24"/>
          <w:szCs w:val="24"/>
          <w:highlight w:val="none"/>
          <w:lang w:val="en-US" w:eastAsia="zh-CN" w:bidi="zh-CN"/>
        </w:rPr>
        <w:t>账户名：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default" w:ascii="宋体" w:hAnsi="宋体" w:eastAsia="宋体" w:cs="宋体"/>
          <w:color w:val="auto"/>
          <w:spacing w:val="-6"/>
          <w:sz w:val="24"/>
          <w:szCs w:val="24"/>
          <w:highlight w:val="none"/>
          <w:lang w:val="en-US" w:eastAsia="zh-CN" w:bidi="zh-CN"/>
        </w:rPr>
      </w:pPr>
      <w:r>
        <w:rPr>
          <w:rFonts w:hint="eastAsia" w:ascii="宋体" w:hAnsi="宋体" w:eastAsia="宋体" w:cs="宋体"/>
          <w:color w:val="auto"/>
          <w:spacing w:val="-6"/>
          <w:sz w:val="24"/>
          <w:szCs w:val="24"/>
          <w:highlight w:val="none"/>
          <w:lang w:val="en-US" w:eastAsia="zh-CN" w:bidi="zh-CN"/>
        </w:rPr>
        <w:t>开户行：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default" w:ascii="宋体" w:hAnsi="宋体" w:eastAsia="宋体" w:cs="宋体"/>
          <w:color w:val="auto"/>
          <w:spacing w:val="-6"/>
          <w:sz w:val="24"/>
          <w:szCs w:val="24"/>
          <w:highlight w:val="none"/>
          <w:lang w:val="en-US" w:eastAsia="zh-CN" w:bidi="zh-CN"/>
        </w:rPr>
      </w:pPr>
      <w:r>
        <w:rPr>
          <w:rFonts w:hint="eastAsia" w:ascii="宋体" w:hAnsi="宋体" w:eastAsia="宋体" w:cs="宋体"/>
          <w:color w:val="auto"/>
          <w:spacing w:val="-6"/>
          <w:sz w:val="24"/>
          <w:szCs w:val="24"/>
          <w:highlight w:val="none"/>
          <w:lang w:val="en-US" w:eastAsia="zh-CN" w:bidi="zh-CN"/>
        </w:rPr>
        <w:t>银行账号：</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宋体" w:hAnsi="宋体" w:eastAsia="宋体" w:cs="宋体"/>
          <w:color w:val="auto"/>
          <w:spacing w:val="-6"/>
          <w:sz w:val="24"/>
          <w:szCs w:val="24"/>
          <w:highlight w:val="none"/>
          <w:lang w:val="en-US" w:eastAsia="zh-CN" w:bidi="zh-CN"/>
        </w:rPr>
      </w:pPr>
      <w:r>
        <w:rPr>
          <w:rFonts w:hint="eastAsia" w:ascii="宋体" w:hAnsi="宋体" w:eastAsia="宋体" w:cs="宋体"/>
          <w:color w:val="auto"/>
          <w:spacing w:val="-6"/>
          <w:sz w:val="24"/>
          <w:szCs w:val="24"/>
          <w:highlight w:val="none"/>
          <w:lang w:val="en-US" w:eastAsia="zh-CN" w:bidi="zh-CN"/>
        </w:rPr>
        <w:t>如乙方有任何违约行为或造成任何损失，甲方有权从合同价款中直接扣除违约金或损失。</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宋体" w:hAnsi="宋体" w:eastAsia="宋体" w:cs="宋体"/>
          <w:b w:val="0"/>
          <w:bCs w:val="0"/>
          <w:color w:val="auto"/>
          <w:spacing w:val="-6"/>
          <w:sz w:val="24"/>
          <w:szCs w:val="24"/>
          <w:highlight w:val="none"/>
          <w:u w:val="single"/>
          <w:lang w:val="en-US" w:eastAsia="zh-CN" w:bidi="zh-CN"/>
        </w:rPr>
      </w:pPr>
      <w:r>
        <w:rPr>
          <w:rFonts w:hint="eastAsia" w:ascii="宋体" w:hAnsi="宋体" w:eastAsia="宋体" w:cs="宋体"/>
          <w:b w:val="0"/>
          <w:bCs w:val="0"/>
          <w:color w:val="auto"/>
          <w:spacing w:val="-6"/>
          <w:sz w:val="24"/>
          <w:szCs w:val="24"/>
          <w:highlight w:val="none"/>
          <w:u w:val="single"/>
          <w:lang w:val="en-US" w:eastAsia="zh-CN" w:bidi="zh-CN"/>
        </w:rPr>
        <w:t>履约保证金的支付：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宋体" w:hAnsi="宋体" w:eastAsia="宋体" w:cs="宋体"/>
          <w:color w:val="auto"/>
          <w:spacing w:val="-6"/>
          <w:sz w:val="24"/>
          <w:szCs w:val="24"/>
          <w:highlight w:val="none"/>
          <w:lang w:val="en-US" w:eastAsia="zh-CN" w:bidi="zh-CN"/>
        </w:rPr>
      </w:pPr>
      <w:r>
        <w:rPr>
          <w:rFonts w:hint="eastAsia" w:ascii="宋体" w:hAnsi="宋体" w:eastAsia="宋体" w:cs="宋体"/>
          <w:color w:val="auto"/>
          <w:spacing w:val="-6"/>
          <w:sz w:val="24"/>
          <w:szCs w:val="24"/>
          <w:highlight w:val="none"/>
          <w:lang w:val="en-US" w:eastAsia="zh-CN" w:bidi="zh-CN"/>
        </w:rPr>
        <w:t>签订合同前，乙方以保函或银行转账的方式向甲方提供合同总价</w:t>
      </w:r>
      <w:r>
        <w:rPr>
          <w:rFonts w:hint="eastAsia" w:ascii="宋体" w:hAnsi="宋体" w:eastAsia="宋体" w:cs="宋体"/>
          <w:color w:val="auto"/>
          <w:spacing w:val="-6"/>
          <w:sz w:val="24"/>
          <w:szCs w:val="24"/>
          <w:highlight w:val="none"/>
          <w:u w:val="single"/>
          <w:lang w:val="en-US" w:eastAsia="zh-CN" w:bidi="zh-CN"/>
        </w:rPr>
        <w:t xml:space="preserve">  </w:t>
      </w:r>
      <w:r>
        <w:rPr>
          <w:rFonts w:hint="eastAsia" w:ascii="宋体" w:hAnsi="宋体" w:cs="宋体"/>
          <w:color w:val="auto"/>
          <w:spacing w:val="-6"/>
          <w:sz w:val="24"/>
          <w:szCs w:val="24"/>
          <w:highlight w:val="none"/>
          <w:u w:val="single"/>
          <w:lang w:val="en-US" w:eastAsia="zh-CN" w:bidi="zh-CN"/>
        </w:rPr>
        <w:t>10</w:t>
      </w:r>
      <w:r>
        <w:rPr>
          <w:rFonts w:hint="eastAsia" w:ascii="宋体" w:hAnsi="宋体" w:eastAsia="宋体" w:cs="宋体"/>
          <w:color w:val="auto"/>
          <w:spacing w:val="-6"/>
          <w:sz w:val="24"/>
          <w:szCs w:val="24"/>
          <w:highlight w:val="none"/>
          <w:u w:val="single"/>
          <w:lang w:val="en-US" w:eastAsia="zh-CN" w:bidi="zh-CN"/>
        </w:rPr>
        <w:t>%</w:t>
      </w:r>
      <w:r>
        <w:rPr>
          <w:rFonts w:hint="eastAsia" w:ascii="宋体" w:hAnsi="宋体" w:eastAsia="宋体" w:cs="宋体"/>
          <w:color w:val="auto"/>
          <w:spacing w:val="-6"/>
          <w:sz w:val="24"/>
          <w:szCs w:val="24"/>
          <w:highlight w:val="none"/>
          <w:lang w:val="en-US" w:eastAsia="zh-CN" w:bidi="zh-CN"/>
        </w:rPr>
        <w:t>的履约保证金。</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宋体" w:hAnsi="宋体" w:eastAsia="宋体" w:cs="宋体"/>
          <w:color w:val="auto"/>
          <w:spacing w:val="-6"/>
          <w:sz w:val="24"/>
          <w:szCs w:val="24"/>
          <w:highlight w:val="none"/>
          <w:u w:val="single"/>
          <w:lang w:val="en-US" w:eastAsia="zh-CN" w:bidi="zh-CN"/>
        </w:rPr>
      </w:pPr>
      <w:r>
        <w:rPr>
          <w:rFonts w:hint="eastAsia" w:ascii="宋体" w:hAnsi="宋体" w:eastAsia="宋体" w:cs="宋体"/>
          <w:color w:val="auto"/>
          <w:spacing w:val="-6"/>
          <w:sz w:val="24"/>
          <w:szCs w:val="24"/>
          <w:highlight w:val="none"/>
          <w:u w:val="single"/>
          <w:lang w:val="en-US" w:eastAsia="zh-CN" w:bidi="zh-CN"/>
        </w:rPr>
        <w:t>履约保证金的退还方式：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宋体" w:hAnsi="宋体" w:eastAsia="宋体" w:cs="宋体"/>
          <w:color w:val="auto"/>
          <w:spacing w:val="-6"/>
          <w:sz w:val="24"/>
          <w:szCs w:val="24"/>
          <w:highlight w:val="none"/>
          <w:u w:val="single"/>
          <w:lang w:val="en-US" w:eastAsia="zh-CN" w:bidi="zh-CN"/>
        </w:rPr>
      </w:pPr>
      <w:r>
        <w:rPr>
          <w:rFonts w:hint="eastAsia" w:ascii="宋体" w:hAnsi="宋体" w:eastAsia="宋体" w:cs="宋体"/>
          <w:color w:val="auto"/>
          <w:spacing w:val="-6"/>
          <w:sz w:val="24"/>
          <w:szCs w:val="24"/>
          <w:highlight w:val="none"/>
          <w:u w:val="single"/>
          <w:lang w:val="en-US" w:eastAsia="zh-CN" w:bidi="zh-CN"/>
        </w:rPr>
        <w:t>该履约保证金在完成最终验收合格且收到乙方的退还申请后</w:t>
      </w:r>
      <w:r>
        <w:rPr>
          <w:rFonts w:hint="eastAsia" w:ascii="宋体" w:hAnsi="宋体" w:eastAsia="宋体" w:cs="宋体"/>
          <w:b/>
          <w:bCs/>
          <w:color w:val="auto"/>
          <w:spacing w:val="-6"/>
          <w:sz w:val="24"/>
          <w:szCs w:val="24"/>
          <w:highlight w:val="none"/>
          <w:u w:val="single"/>
          <w:lang w:val="en-US" w:eastAsia="zh-CN" w:bidi="zh-CN"/>
        </w:rPr>
        <w:t xml:space="preserve">    日内无息返还</w:t>
      </w:r>
      <w:r>
        <w:rPr>
          <w:rFonts w:hint="eastAsia" w:ascii="宋体" w:hAnsi="宋体" w:eastAsia="宋体" w:cs="宋体"/>
          <w:color w:val="auto"/>
          <w:spacing w:val="-6"/>
          <w:sz w:val="24"/>
          <w:szCs w:val="24"/>
          <w:highlight w:val="none"/>
          <w:u w:val="single"/>
          <w:lang w:val="en-US" w:eastAsia="zh-CN" w:bidi="zh-CN"/>
        </w:rPr>
        <w:t>（采用保函形式的，在验收合格后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合同价款中扣除；当该履约保证金有剩余的，则由甲方退还剩余的履约保证金。</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right="0" w:rightChars="0"/>
        <w:jc w:val="left"/>
        <w:textAlignment w:val="auto"/>
        <w:rPr>
          <w:rFonts w:ascii="宋体" w:hAnsi="宋体" w:eastAsia="宋体" w:cs="宋体"/>
          <w:b/>
          <w:bCs/>
          <w:color w:val="auto"/>
          <w:spacing w:val="-7"/>
          <w:sz w:val="24"/>
          <w:szCs w:val="24"/>
          <w:highlight w:val="none"/>
          <w:lang w:val="zh-CN" w:eastAsia="zh-CN" w:bidi="zh-CN"/>
        </w:rPr>
      </w:pP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b/>
          <w:bCs/>
          <w:color w:val="auto"/>
          <w:spacing w:val="-7"/>
          <w:sz w:val="24"/>
          <w:szCs w:val="24"/>
          <w:highlight w:val="none"/>
          <w:lang w:val="zh-CN" w:eastAsia="zh-CN" w:bidi="zh-CN"/>
        </w:rPr>
      </w:pPr>
      <w:r>
        <w:rPr>
          <w:rFonts w:ascii="宋体" w:hAnsi="宋体" w:eastAsia="宋体" w:cs="宋体"/>
          <w:b/>
          <w:bCs/>
          <w:color w:val="auto"/>
          <w:spacing w:val="-7"/>
          <w:sz w:val="24"/>
          <w:szCs w:val="24"/>
          <w:highlight w:val="none"/>
          <w:lang w:val="zh-CN" w:eastAsia="zh-CN" w:bidi="zh-CN"/>
        </w:rPr>
        <w:t>质量标准：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宋体" w:hAnsi="宋体" w:eastAsia="宋体" w:cs="宋体"/>
          <w:color w:val="auto"/>
          <w:spacing w:val="-7"/>
          <w:sz w:val="24"/>
          <w:szCs w:val="24"/>
          <w:highlight w:val="none"/>
          <w:lang w:val="en-US" w:eastAsia="zh-CN" w:bidi="zh-CN"/>
        </w:rPr>
      </w:pPr>
      <w:r>
        <w:rPr>
          <w:rFonts w:hint="eastAsia" w:ascii="宋体" w:hAnsi="宋体" w:eastAsia="宋体" w:cs="宋体"/>
          <w:color w:val="auto"/>
          <w:spacing w:val="-7"/>
          <w:sz w:val="24"/>
          <w:szCs w:val="24"/>
          <w:highlight w:val="none"/>
          <w:lang w:val="en-US" w:eastAsia="zh-CN" w:bidi="zh-CN"/>
        </w:rPr>
        <w:t>1.乙方所提供</w:t>
      </w:r>
      <w:r>
        <w:rPr>
          <w:rFonts w:ascii="宋体" w:hAnsi="宋体" w:eastAsia="宋体" w:cs="宋体"/>
          <w:color w:val="auto"/>
          <w:spacing w:val="-7"/>
          <w:sz w:val="24"/>
          <w:szCs w:val="24"/>
          <w:highlight w:val="none"/>
          <w:lang w:val="zh-CN" w:eastAsia="zh-CN" w:bidi="zh-CN"/>
        </w:rPr>
        <w:t>设备</w:t>
      </w:r>
      <w:r>
        <w:rPr>
          <w:rFonts w:hint="eastAsia" w:ascii="宋体" w:hAnsi="宋体" w:eastAsia="宋体" w:cs="宋体"/>
          <w:color w:val="auto"/>
          <w:spacing w:val="-7"/>
          <w:sz w:val="24"/>
          <w:szCs w:val="24"/>
          <w:highlight w:val="none"/>
          <w:lang w:val="zh-CN" w:eastAsia="zh-CN" w:bidi="zh-CN"/>
        </w:rPr>
        <w:t>（</w:t>
      </w:r>
      <w:r>
        <w:rPr>
          <w:rFonts w:hint="eastAsia" w:ascii="宋体" w:hAnsi="宋体" w:eastAsia="宋体" w:cs="宋体"/>
          <w:color w:val="auto"/>
          <w:spacing w:val="-7"/>
          <w:sz w:val="24"/>
          <w:szCs w:val="24"/>
          <w:highlight w:val="none"/>
          <w:lang w:val="en-US" w:eastAsia="zh-CN" w:bidi="zh-CN"/>
        </w:rPr>
        <w:t>以下所称的“设备”均含随机备品及零、配件</w:t>
      </w:r>
      <w:r>
        <w:rPr>
          <w:rFonts w:hint="eastAsia" w:ascii="宋体" w:hAnsi="宋体" w:eastAsia="宋体" w:cs="宋体"/>
          <w:color w:val="auto"/>
          <w:spacing w:val="-7"/>
          <w:sz w:val="24"/>
          <w:szCs w:val="24"/>
          <w:highlight w:val="none"/>
          <w:lang w:val="zh-CN" w:eastAsia="zh-CN" w:bidi="zh-CN"/>
        </w:rPr>
        <w:t>）</w:t>
      </w:r>
      <w:r>
        <w:rPr>
          <w:rFonts w:hint="eastAsia" w:ascii="宋体" w:hAnsi="宋体" w:eastAsia="宋体" w:cs="宋体"/>
          <w:color w:val="auto"/>
          <w:spacing w:val="-7"/>
          <w:sz w:val="24"/>
          <w:szCs w:val="24"/>
          <w:highlight w:val="none"/>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宋体" w:hAnsi="宋体" w:eastAsia="宋体" w:cs="宋体"/>
          <w:color w:val="auto"/>
          <w:spacing w:val="-6"/>
          <w:sz w:val="24"/>
          <w:szCs w:val="24"/>
          <w:highlight w:val="none"/>
          <w:lang w:val="zh-CN" w:eastAsia="zh-CN" w:bidi="zh-CN"/>
        </w:rPr>
      </w:pPr>
      <w:r>
        <w:rPr>
          <w:rFonts w:hint="eastAsia" w:ascii="宋体" w:hAnsi="宋体" w:eastAsia="宋体" w:cs="宋体"/>
          <w:color w:val="auto"/>
          <w:spacing w:val="-7"/>
          <w:sz w:val="24"/>
          <w:szCs w:val="24"/>
          <w:highlight w:val="none"/>
          <w:lang w:val="en-US" w:eastAsia="zh-CN" w:bidi="zh-CN"/>
        </w:rPr>
        <w:t>2.</w:t>
      </w:r>
      <w:r>
        <w:rPr>
          <w:rFonts w:hint="eastAsia" w:ascii="宋体" w:hAnsi="宋体" w:eastAsia="宋体" w:cs="宋体"/>
          <w:color w:val="auto"/>
          <w:spacing w:val="-7"/>
          <w:sz w:val="24"/>
          <w:szCs w:val="24"/>
          <w:highlight w:val="none"/>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r>
        <w:rPr>
          <w:rFonts w:hint="eastAsia" w:ascii="宋体" w:hAnsi="宋体" w:cs="宋体"/>
          <w:color w:val="auto"/>
          <w:spacing w:val="-7"/>
          <w:sz w:val="24"/>
          <w:szCs w:val="24"/>
          <w:highlight w:val="none"/>
          <w:u w:val="single"/>
          <w:lang w:val="en-US" w:eastAsia="zh-CN" w:bidi="zh-CN"/>
        </w:rPr>
        <w:t>，造成甲方损失的乙方应承担赔偿责任，具体按照本合同违约责任条款执行。</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ascii="宋体" w:hAnsi="宋体" w:eastAsia="宋体" w:cs="宋体"/>
          <w:b/>
          <w:bCs/>
          <w:color w:val="auto"/>
          <w:spacing w:val="-7"/>
          <w:kern w:val="0"/>
          <w:sz w:val="24"/>
          <w:szCs w:val="24"/>
          <w:highlight w:val="none"/>
          <w:lang w:val="zh-CN" w:eastAsia="zh-CN" w:bidi="zh-CN"/>
        </w:rPr>
      </w:pPr>
      <w:r>
        <w:rPr>
          <w:rFonts w:ascii="宋体" w:hAnsi="宋体" w:eastAsia="宋体" w:cs="宋体"/>
          <w:b/>
          <w:bCs/>
          <w:color w:val="auto"/>
          <w:spacing w:val="-7"/>
          <w:kern w:val="0"/>
          <w:sz w:val="24"/>
          <w:szCs w:val="24"/>
          <w:highlight w:val="none"/>
          <w:lang w:val="zh-CN" w:eastAsia="zh-CN" w:bidi="zh-CN"/>
        </w:rPr>
        <w:t>包装标准、包装物的供应与回收：</w:t>
      </w:r>
    </w:p>
    <w:p>
      <w:pPr>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宋体" w:hAnsi="宋体" w:eastAsia="宋体" w:cs="宋体"/>
          <w:color w:val="auto"/>
          <w:spacing w:val="-6"/>
          <w:kern w:val="0"/>
          <w:sz w:val="24"/>
          <w:szCs w:val="24"/>
          <w:highlight w:val="none"/>
          <w:lang w:val="en-US" w:eastAsia="zh-CN" w:bidi="zh-CN"/>
        </w:rPr>
      </w:pPr>
      <w:r>
        <w:rPr>
          <w:rFonts w:hint="eastAsia" w:ascii="宋体" w:hAnsi="宋体" w:eastAsia="宋体" w:cs="宋体"/>
          <w:color w:val="auto"/>
          <w:spacing w:val="-6"/>
          <w:kern w:val="0"/>
          <w:sz w:val="24"/>
          <w:szCs w:val="24"/>
          <w:highlight w:val="none"/>
          <w:lang w:val="en-US" w:eastAsia="zh-CN" w:bidi="zh-CN"/>
        </w:rPr>
        <w:t>设备的包装</w:t>
      </w:r>
      <w:r>
        <w:rPr>
          <w:rFonts w:hint="eastAsia" w:ascii="宋体" w:hAnsi="宋体" w:eastAsia="宋体" w:cs="宋体"/>
          <w:color w:val="auto"/>
          <w:spacing w:val="-6"/>
          <w:kern w:val="0"/>
          <w:sz w:val="24"/>
          <w:szCs w:val="24"/>
          <w:highlight w:val="none"/>
          <w:lang w:val="zh-CN" w:eastAsia="zh-CN" w:bidi="zh-CN"/>
        </w:rPr>
        <w:t>按原厂包装</w:t>
      </w:r>
      <w:r>
        <w:rPr>
          <w:rFonts w:hint="eastAsia" w:ascii="宋体" w:hAnsi="宋体" w:eastAsia="宋体" w:cs="宋体"/>
          <w:color w:val="auto"/>
          <w:spacing w:val="-6"/>
          <w:kern w:val="0"/>
          <w:sz w:val="24"/>
          <w:szCs w:val="24"/>
          <w:highlight w:val="none"/>
          <w:lang w:val="en-US" w:eastAsia="zh-CN" w:bidi="zh-CN"/>
        </w:rPr>
        <w:t>的同时均应有良好的防湿、防锈、防潮、防雨、防腐及防碰撞的措施。凡由于包装不良造成损失和由此产生的费用均由乙方承担（包括但不限于运输费、卸车费、安装费等费用）。</w:t>
      </w:r>
    </w:p>
    <w:p>
      <w:pPr>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ascii="宋体" w:hAnsi="宋体" w:eastAsia="宋体" w:cs="宋体"/>
          <w:color w:val="auto"/>
          <w:kern w:val="0"/>
          <w:sz w:val="22"/>
          <w:szCs w:val="22"/>
          <w:highlight w:val="none"/>
          <w:lang w:val="zh-CN" w:bidi="zh-CN"/>
        </w:rPr>
      </w:pPr>
      <w:r>
        <w:rPr>
          <w:rFonts w:hint="eastAsia" w:ascii="宋体" w:hAnsi="宋体" w:eastAsia="宋体" w:cs="宋体"/>
          <w:color w:val="auto"/>
          <w:spacing w:val="-6"/>
          <w:kern w:val="0"/>
          <w:sz w:val="24"/>
          <w:szCs w:val="24"/>
          <w:highlight w:val="none"/>
          <w:lang w:val="zh-CN" w:eastAsia="zh-CN" w:bidi="zh-CN"/>
        </w:rPr>
        <w:t>随机备品、</w:t>
      </w:r>
      <w:r>
        <w:rPr>
          <w:rFonts w:hint="eastAsia" w:ascii="宋体" w:hAnsi="宋体" w:eastAsia="宋体" w:cs="宋体"/>
          <w:color w:val="auto"/>
          <w:spacing w:val="-6"/>
          <w:kern w:val="0"/>
          <w:sz w:val="24"/>
          <w:szCs w:val="24"/>
          <w:highlight w:val="none"/>
          <w:lang w:val="en-US" w:eastAsia="zh-CN" w:bidi="zh-CN"/>
        </w:rPr>
        <w:t>配件等</w:t>
      </w:r>
      <w:r>
        <w:rPr>
          <w:rFonts w:hint="eastAsia" w:ascii="宋体" w:hAnsi="宋体" w:eastAsia="宋体" w:cs="宋体"/>
          <w:color w:val="auto"/>
          <w:spacing w:val="-6"/>
          <w:kern w:val="0"/>
          <w:sz w:val="24"/>
          <w:szCs w:val="24"/>
          <w:highlight w:val="none"/>
          <w:lang w:val="zh-CN" w:eastAsia="zh-CN" w:bidi="zh-CN"/>
        </w:rPr>
        <w:t>按所附标准配置，</w:t>
      </w:r>
      <w:r>
        <w:rPr>
          <w:rFonts w:hint="eastAsia" w:ascii="宋体" w:hAnsi="宋体" w:eastAsia="宋体" w:cs="宋体"/>
          <w:color w:val="auto"/>
          <w:spacing w:val="-6"/>
          <w:kern w:val="0"/>
          <w:sz w:val="24"/>
          <w:szCs w:val="24"/>
          <w:highlight w:val="none"/>
          <w:lang w:val="en-US" w:eastAsia="zh-CN" w:bidi="zh-CN"/>
        </w:rPr>
        <w:t>随设备一同移交甲方。如随机备品未与设备一并提供，则视为乙方未完全履行基于本合同项下义务，甲方有权延期付款直至乙方提供，甲方不因此承担任何责任。</w:t>
      </w:r>
    </w:p>
    <w:p>
      <w:pPr>
        <w:keepNext/>
        <w:keepLines/>
        <w:widowControl w:val="0"/>
        <w:autoSpaceDE w:val="0"/>
        <w:autoSpaceDN w:val="0"/>
        <w:adjustRightInd w:val="0"/>
        <w:spacing w:before="120" w:after="120" w:line="240" w:lineRule="auto"/>
        <w:ind w:left="0" w:right="0"/>
        <w:jc w:val="left"/>
        <w:outlineLvl w:val="2"/>
        <w:rPr>
          <w:rFonts w:ascii="宋体" w:hAnsi="宋体" w:eastAsia="宋体" w:cs="宋体"/>
          <w:b/>
          <w:color w:val="auto"/>
          <w:kern w:val="0"/>
          <w:sz w:val="24"/>
          <w:szCs w:val="20"/>
          <w:highlight w:val="none"/>
          <w:lang w:val="zh-CN" w:eastAsia="zh-CN" w:bidi="zh-CN"/>
        </w:rPr>
      </w:pP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ascii="宋体" w:hAnsi="宋体" w:eastAsia="宋体" w:cs="宋体"/>
          <w:b/>
          <w:bCs/>
          <w:color w:val="auto"/>
          <w:kern w:val="0"/>
          <w:sz w:val="24"/>
          <w:szCs w:val="24"/>
          <w:highlight w:val="none"/>
          <w:lang w:val="zh-CN" w:eastAsia="zh-CN" w:bidi="zh-CN"/>
        </w:rPr>
      </w:pPr>
      <w:r>
        <w:rPr>
          <w:rFonts w:ascii="宋体" w:hAnsi="宋体" w:eastAsia="宋体" w:cs="宋体"/>
          <w:b/>
          <w:bCs/>
          <w:color w:val="auto"/>
          <w:kern w:val="0"/>
          <w:sz w:val="24"/>
          <w:szCs w:val="24"/>
          <w:highlight w:val="none"/>
          <w:lang w:val="zh-CN" w:eastAsia="zh-CN" w:bidi="zh-CN"/>
        </w:rPr>
        <w:t>交（提）货时间、地点：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ascii="宋体" w:hAnsi="宋体" w:eastAsia="宋体" w:cs="宋体"/>
          <w:color w:val="auto"/>
          <w:kern w:val="0"/>
          <w:sz w:val="24"/>
          <w:szCs w:val="24"/>
          <w:highlight w:val="none"/>
          <w:lang w:val="zh-CN" w:eastAsia="zh-CN" w:bidi="zh-CN"/>
        </w:rPr>
      </w:pPr>
      <w:r>
        <w:rPr>
          <w:rFonts w:hint="eastAsia" w:ascii="宋体" w:hAnsi="宋体" w:eastAsia="宋体" w:cs="宋体"/>
          <w:color w:val="auto"/>
          <w:kern w:val="0"/>
          <w:sz w:val="24"/>
          <w:szCs w:val="24"/>
          <w:highlight w:val="none"/>
          <w:lang w:val="en-US" w:eastAsia="zh-CN" w:bidi="zh-CN"/>
        </w:rPr>
        <w:t>1.</w:t>
      </w:r>
      <w:r>
        <w:rPr>
          <w:rFonts w:ascii="宋体" w:hAnsi="宋体" w:eastAsia="宋体" w:cs="宋体"/>
          <w:color w:val="auto"/>
          <w:kern w:val="0"/>
          <w:sz w:val="24"/>
          <w:szCs w:val="24"/>
          <w:highlight w:val="none"/>
          <w:lang w:val="zh-CN" w:eastAsia="zh-CN" w:bidi="zh-CN"/>
        </w:rPr>
        <w:t>交货时间：合同签订后</w:t>
      </w:r>
      <w:r>
        <w:rPr>
          <w:rFonts w:hint="eastAsia" w:ascii="宋体" w:hAnsi="宋体" w:eastAsia="宋体" w:cs="宋体"/>
          <w:color w:val="auto"/>
          <w:kern w:val="0"/>
          <w:sz w:val="24"/>
          <w:szCs w:val="24"/>
          <w:highlight w:val="none"/>
          <w:u w:val="single"/>
          <w:lang w:val="en-US" w:eastAsia="zh-CN" w:bidi="zh-CN"/>
        </w:rPr>
        <w:t xml:space="preserve">   </w:t>
      </w:r>
      <w:r>
        <w:rPr>
          <w:rFonts w:ascii="宋体" w:hAnsi="宋体" w:eastAsia="宋体" w:cs="宋体"/>
          <w:color w:val="auto"/>
          <w:kern w:val="0"/>
          <w:sz w:val="24"/>
          <w:szCs w:val="24"/>
          <w:highlight w:val="none"/>
          <w:lang w:val="zh-CN" w:eastAsia="zh-CN" w:bidi="zh-CN"/>
        </w:rPr>
        <w:t>工作日内</w:t>
      </w:r>
      <w:r>
        <w:rPr>
          <w:rFonts w:hint="eastAsia" w:ascii="宋体" w:hAnsi="宋体" w:eastAsia="宋体" w:cs="宋体"/>
          <w:color w:val="auto"/>
          <w:kern w:val="0"/>
          <w:sz w:val="24"/>
          <w:szCs w:val="24"/>
          <w:highlight w:val="none"/>
          <w:lang w:val="zh-CN" w:eastAsia="zh-CN" w:bidi="zh-CN"/>
        </w:rPr>
        <w:t>，</w:t>
      </w:r>
      <w:r>
        <w:rPr>
          <w:rFonts w:hint="eastAsia" w:ascii="宋体" w:hAnsi="宋体" w:eastAsia="宋体" w:cs="宋体"/>
          <w:color w:val="auto"/>
          <w:kern w:val="0"/>
          <w:sz w:val="24"/>
          <w:szCs w:val="24"/>
          <w:highlight w:val="none"/>
          <w:lang w:val="en-US" w:eastAsia="zh-CN" w:bidi="zh-CN"/>
        </w:rPr>
        <w:t>乙方</w:t>
      </w:r>
      <w:r>
        <w:rPr>
          <w:rFonts w:ascii="宋体" w:hAnsi="宋体" w:eastAsia="宋体" w:cs="宋体"/>
          <w:color w:val="auto"/>
          <w:kern w:val="0"/>
          <w:sz w:val="24"/>
          <w:szCs w:val="24"/>
          <w:highlight w:val="none"/>
          <w:lang w:val="zh-CN" w:eastAsia="zh-CN" w:bidi="zh-CN"/>
        </w:rPr>
        <w:t>将</w:t>
      </w:r>
      <w:r>
        <w:rPr>
          <w:rFonts w:hint="eastAsia" w:ascii="宋体" w:hAnsi="宋体" w:eastAsia="宋体" w:cs="宋体"/>
          <w:color w:val="auto"/>
          <w:kern w:val="0"/>
          <w:sz w:val="24"/>
          <w:szCs w:val="24"/>
          <w:highlight w:val="none"/>
          <w:u w:val="single"/>
          <w:lang w:val="en-US" w:eastAsia="zh-CN" w:bidi="zh-CN"/>
        </w:rPr>
        <w:t xml:space="preserve">设备 </w:t>
      </w:r>
      <w:r>
        <w:rPr>
          <w:rFonts w:ascii="宋体" w:hAnsi="宋体" w:eastAsia="宋体" w:cs="宋体"/>
          <w:color w:val="auto"/>
          <w:kern w:val="0"/>
          <w:sz w:val="24"/>
          <w:szCs w:val="24"/>
          <w:highlight w:val="none"/>
          <w:lang w:val="zh-CN" w:eastAsia="zh-CN" w:bidi="zh-CN"/>
        </w:rPr>
        <w:t>送到交货地点。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zh-CN" w:eastAsia="zh-CN" w:bidi="zh-CN"/>
        </w:rPr>
      </w:pPr>
      <w:r>
        <w:rPr>
          <w:rFonts w:hint="eastAsia" w:ascii="宋体" w:hAnsi="宋体" w:eastAsia="宋体" w:cs="宋体"/>
          <w:color w:val="auto"/>
          <w:kern w:val="0"/>
          <w:sz w:val="24"/>
          <w:szCs w:val="24"/>
          <w:highlight w:val="none"/>
          <w:lang w:val="en-US" w:eastAsia="zh-CN" w:bidi="zh-CN"/>
        </w:rPr>
        <w:t>2.</w:t>
      </w:r>
      <w:r>
        <w:rPr>
          <w:rFonts w:hint="eastAsia" w:ascii="宋体" w:hAnsi="宋体" w:eastAsia="宋体" w:cs="宋体"/>
          <w:color w:val="auto"/>
          <w:kern w:val="0"/>
          <w:sz w:val="24"/>
          <w:szCs w:val="24"/>
          <w:highlight w:val="none"/>
          <w:lang w:val="zh-CN" w:eastAsia="zh-CN" w:bidi="zh-CN"/>
        </w:rPr>
        <w:t>甲方</w:t>
      </w:r>
      <w:r>
        <w:rPr>
          <w:rFonts w:ascii="宋体" w:hAnsi="宋体" w:eastAsia="宋体" w:cs="宋体"/>
          <w:color w:val="auto"/>
          <w:kern w:val="0"/>
          <w:sz w:val="24"/>
          <w:szCs w:val="24"/>
          <w:highlight w:val="none"/>
          <w:lang w:val="zh-CN" w:eastAsia="zh-CN" w:bidi="zh-CN"/>
        </w:rPr>
        <w:t>指定</w:t>
      </w:r>
      <w:r>
        <w:rPr>
          <w:rFonts w:hint="eastAsia" w:ascii="宋体" w:hAnsi="宋体" w:eastAsia="宋体" w:cs="宋体"/>
          <w:color w:val="auto"/>
          <w:kern w:val="0"/>
          <w:sz w:val="24"/>
          <w:szCs w:val="24"/>
          <w:highlight w:val="none"/>
          <w:lang w:val="en-US" w:eastAsia="zh-CN" w:bidi="zh-CN"/>
        </w:rPr>
        <w:t>交货及安装</w:t>
      </w:r>
      <w:r>
        <w:rPr>
          <w:rFonts w:ascii="宋体" w:hAnsi="宋体" w:eastAsia="宋体" w:cs="宋体"/>
          <w:color w:val="auto"/>
          <w:kern w:val="0"/>
          <w:sz w:val="24"/>
          <w:szCs w:val="24"/>
          <w:highlight w:val="none"/>
          <w:lang w:val="zh-CN" w:eastAsia="zh-CN" w:bidi="zh-CN"/>
        </w:rPr>
        <w:t>地点：</w:t>
      </w:r>
      <w:r>
        <w:rPr>
          <w:rFonts w:hint="eastAsia" w:ascii="宋体" w:hAnsi="宋体" w:eastAsia="宋体" w:cs="宋体"/>
          <w:color w:val="auto"/>
          <w:kern w:val="0"/>
          <w:sz w:val="24"/>
          <w:szCs w:val="24"/>
          <w:highlight w:val="none"/>
          <w:u w:val="single"/>
          <w:lang w:val="en-US" w:eastAsia="zh-CN" w:bidi="zh-CN"/>
        </w:rPr>
        <w:t xml:space="preserve"> </w:t>
      </w:r>
      <w:r>
        <w:rPr>
          <w:rFonts w:hint="eastAsia" w:ascii="宋体" w:hAnsi="宋体" w:cs="宋体"/>
          <w:color w:val="auto"/>
          <w:kern w:val="0"/>
          <w:sz w:val="24"/>
          <w:szCs w:val="24"/>
          <w:highlight w:val="none"/>
          <w:u w:val="single"/>
          <w:lang w:val="en-US" w:eastAsia="zh-CN" w:bidi="zh-CN"/>
        </w:rPr>
        <w:t>泽普县应急管理局 指定地点</w:t>
      </w:r>
      <w:r>
        <w:rPr>
          <w:rFonts w:hint="eastAsia" w:ascii="宋体" w:hAnsi="宋体" w:eastAsia="宋体" w:cs="宋体"/>
          <w:color w:val="auto"/>
          <w:kern w:val="0"/>
          <w:sz w:val="24"/>
          <w:szCs w:val="24"/>
          <w:highlight w:val="none"/>
          <w:u w:val="single"/>
          <w:lang w:val="en-US" w:eastAsia="zh-CN" w:bidi="zh-CN"/>
        </w:rPr>
        <w:t xml:space="preserve">       </w:t>
      </w:r>
      <w:r>
        <w:rPr>
          <w:rFonts w:hint="eastAsia" w:ascii="宋体" w:hAnsi="宋体" w:eastAsia="宋体" w:cs="宋体"/>
          <w:color w:val="auto"/>
          <w:kern w:val="0"/>
          <w:sz w:val="24"/>
          <w:szCs w:val="24"/>
          <w:highlight w:val="none"/>
          <w:lang w:val="zh-CN" w:eastAsia="zh-CN" w:bidi="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zh-CN" w:eastAsia="zh-CN" w:bidi="zh-CN"/>
        </w:rPr>
      </w:pPr>
      <w:r>
        <w:rPr>
          <w:rFonts w:hint="eastAsia" w:ascii="宋体" w:hAnsi="宋体" w:eastAsia="宋体" w:cs="宋体"/>
          <w:color w:val="auto"/>
          <w:kern w:val="0"/>
          <w:sz w:val="24"/>
          <w:szCs w:val="24"/>
          <w:highlight w:val="none"/>
          <w:lang w:val="en-US" w:eastAsia="zh-CN" w:bidi="zh-CN"/>
        </w:rPr>
        <w:t>甲方对交货地点有变更的，可以在送货前</w:t>
      </w:r>
      <w:r>
        <w:rPr>
          <w:rFonts w:hint="eastAsia" w:ascii="宋体" w:hAnsi="宋体" w:eastAsia="宋体" w:cs="宋体"/>
          <w:color w:val="auto"/>
          <w:kern w:val="0"/>
          <w:sz w:val="24"/>
          <w:szCs w:val="24"/>
          <w:highlight w:val="none"/>
          <w:u w:val="single"/>
          <w:lang w:val="en-US" w:eastAsia="zh-CN" w:bidi="zh-CN"/>
        </w:rPr>
        <w:t xml:space="preserve"> 15 </w:t>
      </w:r>
      <w:r>
        <w:rPr>
          <w:rFonts w:hint="eastAsia" w:ascii="宋体" w:hAnsi="宋体" w:eastAsia="宋体" w:cs="宋体"/>
          <w:color w:val="auto"/>
          <w:kern w:val="0"/>
          <w:sz w:val="24"/>
          <w:szCs w:val="24"/>
          <w:highlight w:val="none"/>
          <w:lang w:val="en-US" w:eastAsia="zh-CN" w:bidi="zh-CN"/>
        </w:rPr>
        <w:t>日内通知乙方，乙方应当按照甲方最后一次通知的地点完成交货。非甲方原因导致乙方错送地点，由乙方承担逾期交货的责任及一切损失。</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3.风险转移：设备的毁损、灭失的风险在实际交付甲方，经甲方初步验收合格之前由</w:t>
      </w:r>
      <w:r>
        <w:rPr>
          <w:rFonts w:hint="eastAsia" w:ascii="宋体" w:hAnsi="宋体" w:eastAsia="宋体" w:cs="宋体"/>
          <w:color w:val="auto"/>
          <w:kern w:val="0"/>
          <w:sz w:val="24"/>
          <w:szCs w:val="24"/>
          <w:highlight w:val="none"/>
          <w:u w:val="single"/>
          <w:lang w:val="en-US" w:eastAsia="zh-CN" w:bidi="zh-CN"/>
        </w:rPr>
        <w:t>乙方</w:t>
      </w:r>
      <w:r>
        <w:rPr>
          <w:rFonts w:hint="eastAsia" w:ascii="宋体" w:hAnsi="宋体" w:eastAsia="宋体" w:cs="宋体"/>
          <w:color w:val="auto"/>
          <w:kern w:val="0"/>
          <w:sz w:val="24"/>
          <w:szCs w:val="24"/>
          <w:highlight w:val="none"/>
          <w:lang w:val="en-US" w:eastAsia="zh-CN" w:bidi="zh-CN"/>
        </w:rPr>
        <w:t>承担。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宋体" w:hAnsi="宋体" w:eastAsia="宋体" w:cs="宋体"/>
          <w:color w:val="auto"/>
          <w:kern w:val="0"/>
          <w:sz w:val="22"/>
          <w:szCs w:val="22"/>
          <w:highlight w:val="none"/>
          <w:lang w:val="en-US" w:eastAsia="zh-CN" w:bidi="zh-CN"/>
        </w:rPr>
      </w:pPr>
      <w:r>
        <w:rPr>
          <w:rFonts w:hint="eastAsia" w:ascii="宋体" w:hAnsi="宋体" w:eastAsia="宋体" w:cs="宋体"/>
          <w:color w:val="auto"/>
          <w:kern w:val="0"/>
          <w:sz w:val="24"/>
          <w:szCs w:val="24"/>
          <w:highlight w:val="none"/>
          <w:lang w:val="en-US" w:eastAsia="zh-CN" w:bidi="zh-CN"/>
        </w:rPr>
        <w:t>4.甲方指定收货人：（姓名：</w:t>
      </w:r>
      <w:r>
        <w:rPr>
          <w:rFonts w:hint="eastAsia" w:ascii="宋体" w:hAnsi="宋体" w:eastAsia="宋体" w:cs="宋体"/>
          <w:color w:val="auto"/>
          <w:kern w:val="0"/>
          <w:sz w:val="24"/>
          <w:szCs w:val="24"/>
          <w:highlight w:val="none"/>
          <w:u w:val="single"/>
          <w:lang w:val="en-US" w:eastAsia="zh-CN" w:bidi="zh-CN"/>
        </w:rPr>
        <w:t xml:space="preserve">         </w:t>
      </w:r>
      <w:r>
        <w:rPr>
          <w:rFonts w:hint="eastAsia" w:ascii="宋体" w:hAnsi="宋体" w:eastAsia="宋体" w:cs="宋体"/>
          <w:color w:val="auto"/>
          <w:kern w:val="0"/>
          <w:sz w:val="24"/>
          <w:szCs w:val="24"/>
          <w:highlight w:val="none"/>
          <w:lang w:val="en-US" w:eastAsia="zh-CN" w:bidi="zh-CN"/>
        </w:rPr>
        <w:t>；联系方式：</w:t>
      </w:r>
      <w:r>
        <w:rPr>
          <w:rFonts w:hint="eastAsia" w:ascii="宋体" w:hAnsi="宋体" w:eastAsia="宋体" w:cs="宋体"/>
          <w:color w:val="auto"/>
          <w:kern w:val="0"/>
          <w:sz w:val="24"/>
          <w:szCs w:val="24"/>
          <w:highlight w:val="none"/>
          <w:u w:val="single"/>
          <w:lang w:val="en-US" w:eastAsia="zh-CN" w:bidi="zh-CN"/>
        </w:rPr>
        <w:t xml:space="preserve">            </w:t>
      </w:r>
      <w:r>
        <w:rPr>
          <w:rFonts w:hint="eastAsia" w:ascii="宋体" w:hAnsi="宋体" w:eastAsia="宋体" w:cs="宋体"/>
          <w:color w:val="auto"/>
          <w:kern w:val="0"/>
          <w:sz w:val="24"/>
          <w:szCs w:val="24"/>
          <w:highlight w:val="none"/>
          <w:lang w:val="en-US" w:eastAsia="zh-CN" w:bidi="zh-CN"/>
        </w:rPr>
        <w:t>）。乙方应当在送货前以及货物到达指定地点前</w:t>
      </w:r>
      <w:r>
        <w:rPr>
          <w:rFonts w:hint="eastAsia" w:ascii="宋体" w:hAnsi="宋体" w:eastAsia="宋体" w:cs="宋体"/>
          <w:color w:val="auto"/>
          <w:spacing w:val="-6"/>
          <w:kern w:val="0"/>
          <w:sz w:val="22"/>
          <w:szCs w:val="22"/>
          <w:highlight w:val="none"/>
          <w:u w:val="single"/>
          <w:lang w:val="en-US" w:eastAsia="zh-CN" w:bidi="zh-CN"/>
        </w:rPr>
        <w:t xml:space="preserve">   </w:t>
      </w:r>
      <w:r>
        <w:rPr>
          <w:rFonts w:hint="eastAsia" w:ascii="宋体" w:hAnsi="宋体" w:eastAsia="宋体" w:cs="宋体"/>
          <w:color w:val="auto"/>
          <w:kern w:val="0"/>
          <w:sz w:val="24"/>
          <w:szCs w:val="24"/>
          <w:highlight w:val="none"/>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ascii="宋体" w:hAnsi="宋体" w:eastAsia="宋体" w:cs="宋体"/>
          <w:b/>
          <w:bCs/>
          <w:color w:val="auto"/>
          <w:spacing w:val="-7"/>
          <w:kern w:val="0"/>
          <w:sz w:val="24"/>
          <w:szCs w:val="24"/>
          <w:highlight w:val="none"/>
          <w:lang w:val="zh-CN" w:eastAsia="zh-CN" w:bidi="zh-CN"/>
        </w:rPr>
      </w:pPr>
      <w:r>
        <w:rPr>
          <w:rFonts w:hint="eastAsia" w:ascii="宋体" w:hAnsi="宋体" w:eastAsia="宋体" w:cs="宋体"/>
          <w:b/>
          <w:bCs/>
          <w:color w:val="auto"/>
          <w:kern w:val="0"/>
          <w:sz w:val="24"/>
          <w:szCs w:val="24"/>
          <w:highlight w:val="none"/>
          <w:lang w:val="en-US" w:eastAsia="zh-CN" w:bidi="zh-CN"/>
        </w:rPr>
        <w:t>安装及验收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1.合同标的物的安装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（1）乙方应在合同签署后</w:t>
      </w:r>
      <w:r>
        <w:rPr>
          <w:rFonts w:hint="eastAsia" w:ascii="宋体" w:hAnsi="宋体" w:eastAsia="宋体" w:cs="宋体"/>
          <w:color w:val="auto"/>
          <w:spacing w:val="-6"/>
          <w:kern w:val="0"/>
          <w:sz w:val="22"/>
          <w:szCs w:val="22"/>
          <w:highlight w:val="none"/>
          <w:u w:val="single"/>
          <w:lang w:val="en-US" w:eastAsia="zh-CN" w:bidi="zh-CN"/>
        </w:rPr>
        <w:t xml:space="preserve">   </w:t>
      </w:r>
      <w:r>
        <w:rPr>
          <w:rFonts w:hint="eastAsia" w:ascii="宋体" w:hAnsi="宋体" w:eastAsia="宋体" w:cs="宋体"/>
          <w:color w:val="auto"/>
          <w:kern w:val="0"/>
          <w:sz w:val="24"/>
          <w:szCs w:val="24"/>
          <w:highlight w:val="none"/>
          <w:lang w:val="en-US" w:eastAsia="zh-CN" w:bidi="zh-CN"/>
        </w:rPr>
        <w:t>日内完成设备的安装工作，确保设备达到预定可使用状态。设备安装测试完毕，由乙方工程师</w:t>
      </w:r>
      <w:r>
        <w:rPr>
          <w:rFonts w:hint="eastAsia" w:ascii="宋体" w:hAnsi="宋体" w:eastAsia="宋体" w:cs="宋体"/>
          <w:color w:val="auto"/>
          <w:kern w:val="0"/>
          <w:sz w:val="24"/>
          <w:szCs w:val="24"/>
          <w:highlight w:val="none"/>
          <w:u w:val="single"/>
          <w:lang w:val="en-US" w:eastAsia="zh-CN" w:bidi="zh-CN"/>
        </w:rPr>
        <w:t>免费对甲方人员</w:t>
      </w:r>
      <w:r>
        <w:rPr>
          <w:rFonts w:hint="eastAsia" w:ascii="宋体" w:hAnsi="宋体" w:eastAsia="宋体" w:cs="宋体"/>
          <w:color w:val="auto"/>
          <w:kern w:val="0"/>
          <w:sz w:val="24"/>
          <w:szCs w:val="24"/>
          <w:highlight w:val="none"/>
          <w:lang w:val="en-US" w:eastAsia="zh-CN" w:bidi="zh-CN"/>
        </w:rPr>
        <w:t>做操作使用及维护的培训服务。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（2）乙方负责合同项下设备的安装，一切费用由乙方负责。</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（3）乙方安装时须对各安装场地内的其他设备、设施有良好保护措施。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2.</w:t>
      </w:r>
      <w:r>
        <w:rPr>
          <w:rFonts w:hint="eastAsia" w:ascii="宋体" w:hAnsi="宋体" w:eastAsia="宋体" w:cs="宋体"/>
          <w:color w:val="auto"/>
          <w:kern w:val="0"/>
          <w:sz w:val="24"/>
          <w:szCs w:val="24"/>
          <w:highlight w:val="none"/>
          <w:lang w:val="zh-CN" w:eastAsia="zh-CN" w:bidi="zh-CN"/>
        </w:rPr>
        <w:t>检验标准、方法：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default" w:ascii="宋体" w:hAnsi="宋体" w:eastAsia="宋体" w:cs="宋体"/>
          <w:color w:val="auto"/>
          <w:sz w:val="24"/>
          <w:szCs w:val="24"/>
          <w:highlight w:val="none"/>
          <w:u w:val="single"/>
          <w:lang w:val="en-US" w:eastAsia="zh-CN" w:bidi="zh-CN"/>
        </w:rPr>
      </w:pPr>
      <w:r>
        <w:rPr>
          <w:rFonts w:hint="eastAsia" w:ascii="宋体" w:hAnsi="宋体" w:eastAsia="宋体" w:cs="宋体"/>
          <w:color w:val="auto"/>
          <w:sz w:val="24"/>
          <w:szCs w:val="24"/>
          <w:highlight w:val="none"/>
          <w:lang w:val="zh-CN" w:eastAsia="zh-CN" w:bidi="zh-CN"/>
        </w:rPr>
        <w:t>乙方</w:t>
      </w:r>
      <w:r>
        <w:rPr>
          <w:rFonts w:ascii="宋体" w:hAnsi="宋体" w:eastAsia="宋体" w:cs="宋体"/>
          <w:color w:val="auto"/>
          <w:sz w:val="24"/>
          <w:szCs w:val="24"/>
          <w:highlight w:val="none"/>
          <w:lang w:val="zh-CN" w:eastAsia="zh-CN" w:bidi="zh-CN"/>
        </w:rPr>
        <w:t>交货时，应同时提供加盖公章的《随货同行单》等单据材料，确保核查、签验工作的顺利进行。货到</w:t>
      </w:r>
      <w:r>
        <w:rPr>
          <w:rFonts w:hint="eastAsia" w:ascii="宋体" w:hAnsi="宋体" w:eastAsia="宋体" w:cs="宋体"/>
          <w:color w:val="auto"/>
          <w:sz w:val="24"/>
          <w:szCs w:val="24"/>
          <w:highlight w:val="none"/>
          <w:lang w:val="zh-CN" w:eastAsia="zh-CN" w:bidi="zh-CN"/>
        </w:rPr>
        <w:t>甲方</w:t>
      </w:r>
      <w:r>
        <w:rPr>
          <w:rFonts w:ascii="宋体" w:hAnsi="宋体" w:eastAsia="宋体" w:cs="宋体"/>
          <w:color w:val="auto"/>
          <w:sz w:val="24"/>
          <w:szCs w:val="24"/>
          <w:highlight w:val="none"/>
          <w:lang w:val="zh-CN" w:eastAsia="zh-CN" w:bidi="zh-CN"/>
        </w:rPr>
        <w:t>指定点后，</w:t>
      </w:r>
      <w:r>
        <w:rPr>
          <w:rFonts w:hint="eastAsia" w:ascii="宋体" w:hAnsi="宋体" w:eastAsia="宋体" w:cs="宋体"/>
          <w:color w:val="auto"/>
          <w:sz w:val="24"/>
          <w:szCs w:val="24"/>
          <w:highlight w:val="none"/>
          <w:lang w:val="zh-CN" w:eastAsia="zh-CN" w:bidi="zh-CN"/>
        </w:rPr>
        <w:t>甲方</w:t>
      </w:r>
      <w:r>
        <w:rPr>
          <w:rFonts w:ascii="宋体" w:hAnsi="宋体" w:eastAsia="宋体" w:cs="宋体"/>
          <w:color w:val="auto"/>
          <w:sz w:val="24"/>
          <w:szCs w:val="24"/>
          <w:highlight w:val="none"/>
          <w:lang w:val="zh-CN" w:eastAsia="zh-CN" w:bidi="zh-CN"/>
        </w:rPr>
        <w:t>应在货到当天对产品外包装、产品数量、外观等进行</w:t>
      </w:r>
      <w:r>
        <w:rPr>
          <w:rFonts w:hint="eastAsia" w:ascii="宋体" w:hAnsi="宋体" w:eastAsia="宋体" w:cs="宋体"/>
          <w:color w:val="auto"/>
          <w:sz w:val="24"/>
          <w:szCs w:val="24"/>
          <w:highlight w:val="none"/>
          <w:lang w:val="en-US" w:eastAsia="zh-CN" w:bidi="zh-CN"/>
        </w:rPr>
        <w:t>初步</w:t>
      </w:r>
      <w:r>
        <w:rPr>
          <w:rFonts w:ascii="宋体" w:hAnsi="宋体" w:eastAsia="宋体" w:cs="宋体"/>
          <w:color w:val="auto"/>
          <w:sz w:val="24"/>
          <w:szCs w:val="24"/>
          <w:highlight w:val="none"/>
          <w:lang w:val="zh-CN" w:eastAsia="zh-CN" w:bidi="zh-CN"/>
        </w:rPr>
        <w:t>验收。</w:t>
      </w:r>
      <w:r>
        <w:rPr>
          <w:rFonts w:hint="eastAsia" w:ascii="宋体" w:hAnsi="宋体" w:eastAsia="宋体" w:cs="宋体"/>
          <w:color w:val="auto"/>
          <w:sz w:val="24"/>
          <w:szCs w:val="24"/>
          <w:highlight w:val="none"/>
          <w:lang w:val="zh-CN" w:eastAsia="zh-CN" w:bidi="zh-CN"/>
        </w:rPr>
        <w:t>甲方</w:t>
      </w:r>
      <w:r>
        <w:rPr>
          <w:rFonts w:hint="eastAsia" w:ascii="宋体" w:hAnsi="宋体" w:eastAsia="宋体" w:cs="宋体"/>
          <w:color w:val="auto"/>
          <w:sz w:val="24"/>
          <w:szCs w:val="24"/>
          <w:highlight w:val="none"/>
          <w:lang w:val="en-US" w:eastAsia="zh-CN" w:bidi="zh-CN"/>
        </w:rPr>
        <w:t>于交货后</w:t>
      </w:r>
      <w:r>
        <w:rPr>
          <w:rFonts w:hint="eastAsia" w:ascii="宋体" w:hAnsi="宋体" w:eastAsia="宋体" w:cs="宋体"/>
          <w:color w:val="auto"/>
          <w:spacing w:val="-6"/>
          <w:sz w:val="24"/>
          <w:szCs w:val="24"/>
          <w:highlight w:val="none"/>
          <w:u w:val="single"/>
          <w:lang w:val="en-US" w:eastAsia="zh-CN" w:bidi="zh-CN"/>
        </w:rPr>
        <w:t xml:space="preserve">   </w:t>
      </w:r>
      <w:r>
        <w:rPr>
          <w:rFonts w:hint="eastAsia" w:ascii="宋体" w:hAnsi="宋体" w:eastAsia="宋体" w:cs="宋体"/>
          <w:color w:val="auto"/>
          <w:sz w:val="24"/>
          <w:szCs w:val="24"/>
          <w:highlight w:val="none"/>
          <w:lang w:val="en-US" w:eastAsia="zh-CN" w:bidi="zh-CN"/>
        </w:rPr>
        <w:t>工作日内</w:t>
      </w:r>
      <w:r>
        <w:rPr>
          <w:rFonts w:ascii="宋体" w:hAnsi="宋体" w:eastAsia="宋体" w:cs="宋体"/>
          <w:color w:val="auto"/>
          <w:sz w:val="24"/>
          <w:szCs w:val="24"/>
          <w:highlight w:val="none"/>
          <w:lang w:val="zh-CN" w:eastAsia="zh-CN" w:bidi="zh-CN"/>
        </w:rPr>
        <w:t>未验收自动视为验收合格。</w:t>
      </w:r>
      <w:r>
        <w:rPr>
          <w:rFonts w:hint="eastAsia" w:ascii="宋体" w:hAnsi="宋体" w:eastAsia="宋体" w:cs="宋体"/>
          <w:color w:val="auto"/>
          <w:sz w:val="24"/>
          <w:szCs w:val="24"/>
          <w:highlight w:val="none"/>
          <w:u w:val="single"/>
          <w:lang w:val="en-US" w:eastAsia="zh-CN" w:bidi="zh-CN"/>
        </w:rPr>
        <w:t>同时，乙方明确初步验收结果并不代表着最终验收合格，只有甲方最终验收通过方视为甲方对设备质量的认可。</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b/>
          <w:bCs/>
          <w:color w:val="auto"/>
          <w:kern w:val="0"/>
          <w:sz w:val="24"/>
          <w:szCs w:val="24"/>
          <w:highlight w:val="none"/>
          <w:lang w:val="en-US" w:eastAsia="zh-CN" w:bidi="zh-CN"/>
        </w:rPr>
        <w:t>（1）初步验收：</w:t>
      </w:r>
      <w:r>
        <w:rPr>
          <w:rFonts w:hint="eastAsia" w:ascii="宋体" w:hAnsi="宋体" w:eastAsia="宋体" w:cs="宋体"/>
          <w:color w:val="auto"/>
          <w:kern w:val="0"/>
          <w:sz w:val="24"/>
          <w:szCs w:val="24"/>
          <w:highlight w:val="none"/>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b/>
          <w:bCs/>
          <w:color w:val="auto"/>
          <w:kern w:val="0"/>
          <w:sz w:val="24"/>
          <w:szCs w:val="24"/>
          <w:highlight w:val="none"/>
          <w:lang w:val="en-US" w:eastAsia="zh-CN" w:bidi="zh-CN"/>
        </w:rPr>
        <w:t>（2）最终验收：</w:t>
      </w:r>
      <w:r>
        <w:rPr>
          <w:rFonts w:hint="eastAsia" w:ascii="宋体" w:hAnsi="宋体" w:eastAsia="宋体" w:cs="宋体"/>
          <w:color w:val="auto"/>
          <w:kern w:val="0"/>
          <w:sz w:val="24"/>
          <w:szCs w:val="24"/>
          <w:highlight w:val="none"/>
          <w:lang w:val="en-US" w:eastAsia="zh-CN" w:bidi="zh-CN"/>
        </w:rPr>
        <w:t>合同项目安装完成后达到预定可使用状态后进入</w:t>
      </w:r>
      <w:r>
        <w:rPr>
          <w:rFonts w:hint="eastAsia" w:ascii="宋体" w:hAnsi="宋体" w:eastAsia="宋体" w:cs="宋体"/>
          <w:color w:val="auto"/>
          <w:kern w:val="0"/>
          <w:sz w:val="24"/>
          <w:szCs w:val="24"/>
          <w:highlight w:val="none"/>
          <w:u w:val="single"/>
          <w:lang w:val="en-US" w:eastAsia="zh-CN" w:bidi="zh-CN"/>
        </w:rPr>
        <w:t xml:space="preserve">    </w:t>
      </w:r>
      <w:r>
        <w:rPr>
          <w:rFonts w:hint="eastAsia" w:ascii="宋体" w:hAnsi="宋体" w:eastAsia="宋体" w:cs="宋体"/>
          <w:color w:val="auto"/>
          <w:kern w:val="0"/>
          <w:sz w:val="24"/>
          <w:szCs w:val="24"/>
          <w:highlight w:val="none"/>
          <w:lang w:val="en-US" w:eastAsia="zh-CN" w:bidi="zh-CN"/>
        </w:rPr>
        <w:t>日的</w:t>
      </w:r>
      <w:r>
        <w:rPr>
          <w:rFonts w:hint="eastAsia" w:ascii="宋体" w:hAnsi="宋体" w:eastAsia="宋体" w:cs="宋体"/>
          <w:color w:val="auto"/>
          <w:kern w:val="0"/>
          <w:sz w:val="24"/>
          <w:szCs w:val="24"/>
          <w:highlight w:val="none"/>
          <w:u w:val="single"/>
          <w:lang w:val="en-US" w:eastAsia="zh-CN" w:bidi="zh-CN"/>
        </w:rPr>
        <w:t>试用期</w:t>
      </w:r>
      <w:r>
        <w:rPr>
          <w:rFonts w:hint="eastAsia" w:ascii="宋体" w:hAnsi="宋体" w:eastAsia="宋体" w:cs="宋体"/>
          <w:color w:val="auto"/>
          <w:kern w:val="0"/>
          <w:sz w:val="24"/>
          <w:szCs w:val="24"/>
          <w:highlight w:val="none"/>
          <w:lang w:val="en-US" w:eastAsia="zh-CN" w:bidi="zh-CN"/>
        </w:rPr>
        <w:t>，乙方</w:t>
      </w:r>
      <w:r>
        <w:rPr>
          <w:rFonts w:hint="eastAsia" w:ascii="宋体" w:hAnsi="宋体" w:eastAsia="宋体" w:cs="宋体"/>
          <w:color w:val="auto"/>
          <w:kern w:val="0"/>
          <w:sz w:val="24"/>
          <w:szCs w:val="24"/>
          <w:highlight w:val="none"/>
          <w:lang w:val="zh-CN" w:eastAsia="zh-CN" w:bidi="zh-CN"/>
        </w:rPr>
        <w:t>保障甲方在</w:t>
      </w:r>
      <w:r>
        <w:rPr>
          <w:rFonts w:hint="eastAsia" w:ascii="宋体" w:hAnsi="宋体" w:eastAsia="宋体" w:cs="宋体"/>
          <w:color w:val="auto"/>
          <w:kern w:val="0"/>
          <w:sz w:val="24"/>
          <w:szCs w:val="24"/>
          <w:highlight w:val="none"/>
          <w:lang w:val="en-US" w:eastAsia="zh-CN" w:bidi="zh-CN"/>
        </w:rPr>
        <w:t>此期间</w:t>
      </w:r>
      <w:r>
        <w:rPr>
          <w:rFonts w:hint="eastAsia" w:ascii="宋体" w:hAnsi="宋体" w:eastAsia="宋体" w:cs="宋体"/>
          <w:color w:val="auto"/>
          <w:kern w:val="0"/>
          <w:sz w:val="24"/>
          <w:szCs w:val="24"/>
          <w:highlight w:val="none"/>
          <w:lang w:val="zh-CN" w:eastAsia="zh-CN" w:bidi="zh-CN"/>
        </w:rPr>
        <w:t>连续稳定运转</w:t>
      </w:r>
      <w:r>
        <w:rPr>
          <w:rFonts w:hint="eastAsia" w:ascii="宋体" w:hAnsi="宋体" w:eastAsia="宋体" w:cs="宋体"/>
          <w:color w:val="auto"/>
          <w:kern w:val="0"/>
          <w:sz w:val="24"/>
          <w:szCs w:val="24"/>
          <w:highlight w:val="none"/>
          <w:lang w:val="en-US" w:eastAsia="zh-CN" w:bidi="zh-CN"/>
        </w:rPr>
        <w:t>，试用期满后</w:t>
      </w:r>
      <w:r>
        <w:rPr>
          <w:rFonts w:hint="eastAsia" w:ascii="宋体" w:hAnsi="宋体" w:eastAsia="宋体" w:cs="宋体"/>
          <w:color w:val="auto"/>
          <w:kern w:val="0"/>
          <w:sz w:val="24"/>
          <w:szCs w:val="24"/>
          <w:highlight w:val="none"/>
          <w:u w:val="single"/>
          <w:lang w:val="en-US" w:eastAsia="zh-CN" w:bidi="zh-CN"/>
        </w:rPr>
        <w:t xml:space="preserve">      日内</w:t>
      </w:r>
      <w:r>
        <w:rPr>
          <w:rFonts w:hint="eastAsia" w:ascii="宋体" w:hAnsi="宋体" w:eastAsia="宋体" w:cs="宋体"/>
          <w:color w:val="auto"/>
          <w:kern w:val="0"/>
          <w:sz w:val="24"/>
          <w:szCs w:val="24"/>
          <w:highlight w:val="none"/>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宋体" w:hAnsi="宋体" w:eastAsia="宋体" w:cs="宋体"/>
          <w:color w:val="auto"/>
          <w:spacing w:val="-6"/>
          <w:kern w:val="0"/>
          <w:sz w:val="22"/>
          <w:szCs w:val="22"/>
          <w:highlight w:val="none"/>
          <w:u w:val="single"/>
          <w:lang w:val="en-US" w:eastAsia="zh-CN" w:bidi="zh-CN"/>
        </w:rPr>
        <w:t xml:space="preserve">   </w:t>
      </w:r>
      <w:r>
        <w:rPr>
          <w:rFonts w:hint="eastAsia" w:ascii="宋体" w:hAnsi="宋体" w:eastAsia="宋体" w:cs="宋体"/>
          <w:color w:val="auto"/>
          <w:kern w:val="0"/>
          <w:sz w:val="24"/>
          <w:szCs w:val="24"/>
          <w:highlight w:val="none"/>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4.如果合同设备运输和安装过程中因事故造成货物短缺、损坏，乙方应于事故发生后</w:t>
      </w:r>
      <w:r>
        <w:rPr>
          <w:rFonts w:hint="eastAsia" w:ascii="宋体" w:hAnsi="宋体" w:eastAsia="宋体" w:cs="宋体"/>
          <w:color w:val="auto"/>
          <w:spacing w:val="-6"/>
          <w:kern w:val="0"/>
          <w:sz w:val="22"/>
          <w:szCs w:val="22"/>
          <w:highlight w:val="none"/>
          <w:u w:val="single"/>
          <w:lang w:val="en-US" w:eastAsia="zh-CN" w:bidi="zh-CN"/>
        </w:rPr>
        <w:t xml:space="preserve">   </w:t>
      </w:r>
      <w:r>
        <w:rPr>
          <w:rFonts w:hint="eastAsia" w:ascii="宋体" w:hAnsi="宋体" w:eastAsia="宋体" w:cs="宋体"/>
          <w:color w:val="auto"/>
          <w:kern w:val="0"/>
          <w:sz w:val="24"/>
          <w:szCs w:val="24"/>
          <w:highlight w:val="none"/>
          <w:lang w:val="en-US" w:eastAsia="zh-CN" w:bidi="zh-CN"/>
        </w:rPr>
        <w:t>日内完成换装，以保证合同设备安装的成功完成。换货的相关费用由乙方承担。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5.如有需退换货情形，乙方应在收到甲方通知后</w:t>
      </w:r>
      <w:r>
        <w:rPr>
          <w:rFonts w:hint="eastAsia" w:ascii="宋体" w:hAnsi="宋体" w:eastAsia="宋体" w:cs="宋体"/>
          <w:color w:val="auto"/>
          <w:kern w:val="0"/>
          <w:sz w:val="24"/>
          <w:szCs w:val="24"/>
          <w:highlight w:val="none"/>
          <w:u w:val="single"/>
          <w:lang w:val="en-US" w:eastAsia="zh-CN" w:bidi="zh-CN"/>
        </w:rPr>
        <w:t>7日内</w:t>
      </w:r>
      <w:r>
        <w:rPr>
          <w:rFonts w:hint="eastAsia" w:ascii="宋体" w:hAnsi="宋体" w:eastAsia="宋体" w:cs="宋体"/>
          <w:color w:val="auto"/>
          <w:kern w:val="0"/>
          <w:sz w:val="24"/>
          <w:szCs w:val="24"/>
          <w:highlight w:val="none"/>
          <w:lang w:val="en-US" w:eastAsia="zh-CN" w:bidi="zh-CN"/>
        </w:rPr>
        <w:t>将相关货物自行带离甲方指定区域，</w:t>
      </w:r>
      <w:r>
        <w:rPr>
          <w:rFonts w:hint="eastAsia" w:ascii="宋体" w:hAnsi="宋体" w:eastAsia="宋体" w:cs="宋体"/>
          <w:color w:val="auto"/>
          <w:kern w:val="0"/>
          <w:sz w:val="24"/>
          <w:szCs w:val="24"/>
          <w:highlight w:val="none"/>
          <w:u w:val="single"/>
          <w:lang w:val="en-US" w:eastAsia="zh-CN" w:bidi="zh-CN"/>
        </w:rPr>
        <w:t>否则视为乙方对相关货物的遗弃，甲方有权自行处理且不承担任何责任</w:t>
      </w:r>
      <w:r>
        <w:rPr>
          <w:rFonts w:hint="eastAsia" w:ascii="宋体" w:hAnsi="宋体" w:eastAsia="宋体" w:cs="宋体"/>
          <w:color w:val="auto"/>
          <w:kern w:val="0"/>
          <w:sz w:val="24"/>
          <w:szCs w:val="24"/>
          <w:highlight w:val="none"/>
          <w:lang w:val="en-US" w:eastAsia="zh-CN" w:bidi="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6.因设备质量问题发生争议时，由</w:t>
      </w:r>
      <w:r>
        <w:rPr>
          <w:rFonts w:hint="eastAsia" w:ascii="宋体" w:hAnsi="宋体" w:eastAsia="宋体" w:cs="宋体"/>
          <w:color w:val="auto"/>
          <w:kern w:val="0"/>
          <w:sz w:val="24"/>
          <w:szCs w:val="24"/>
          <w:highlight w:val="none"/>
          <w:u w:val="single"/>
          <w:lang w:val="en-US" w:eastAsia="zh-CN" w:bidi="zh-CN"/>
        </w:rPr>
        <w:t>甲方所在地</w:t>
      </w:r>
      <w:r>
        <w:rPr>
          <w:rFonts w:hint="eastAsia" w:ascii="宋体" w:hAnsi="宋体" w:eastAsia="宋体" w:cs="宋体"/>
          <w:color w:val="auto"/>
          <w:kern w:val="0"/>
          <w:sz w:val="24"/>
          <w:szCs w:val="24"/>
          <w:highlight w:val="none"/>
          <w:lang w:val="en-US" w:eastAsia="zh-CN" w:bidi="zh-CN"/>
        </w:rPr>
        <w:t>的质量技术监督部门或质量检测机构进行鉴定。项目符合质量技术标准的，鉴定费由</w:t>
      </w:r>
      <w:r>
        <w:rPr>
          <w:rFonts w:hint="eastAsia" w:ascii="宋体" w:hAnsi="宋体" w:eastAsia="宋体" w:cs="宋体"/>
          <w:color w:val="auto"/>
          <w:kern w:val="0"/>
          <w:sz w:val="24"/>
          <w:szCs w:val="24"/>
          <w:highlight w:val="none"/>
          <w:u w:val="single"/>
          <w:lang w:val="en-US" w:eastAsia="zh-CN" w:bidi="zh-CN"/>
        </w:rPr>
        <w:t>甲方</w:t>
      </w:r>
      <w:r>
        <w:rPr>
          <w:rFonts w:hint="eastAsia" w:ascii="宋体" w:hAnsi="宋体" w:eastAsia="宋体" w:cs="宋体"/>
          <w:color w:val="auto"/>
          <w:kern w:val="0"/>
          <w:sz w:val="24"/>
          <w:szCs w:val="24"/>
          <w:highlight w:val="none"/>
          <w:lang w:val="en-US" w:eastAsia="zh-CN" w:bidi="zh-CN"/>
        </w:rPr>
        <w:t>承担；否则鉴定费由</w:t>
      </w:r>
      <w:r>
        <w:rPr>
          <w:rFonts w:hint="eastAsia" w:ascii="宋体" w:hAnsi="宋体" w:eastAsia="宋体" w:cs="宋体"/>
          <w:color w:val="auto"/>
          <w:kern w:val="0"/>
          <w:sz w:val="24"/>
          <w:szCs w:val="24"/>
          <w:highlight w:val="none"/>
          <w:u w:val="single"/>
          <w:lang w:val="en-US" w:eastAsia="zh-CN" w:bidi="zh-CN"/>
        </w:rPr>
        <w:t>乙方</w:t>
      </w:r>
      <w:r>
        <w:rPr>
          <w:rFonts w:hint="eastAsia" w:ascii="宋体" w:hAnsi="宋体" w:eastAsia="宋体" w:cs="宋体"/>
          <w:color w:val="auto"/>
          <w:kern w:val="0"/>
          <w:sz w:val="24"/>
          <w:szCs w:val="24"/>
          <w:highlight w:val="none"/>
          <w:lang w:val="en-US" w:eastAsia="zh-CN" w:bidi="zh-CN"/>
        </w:rPr>
        <w:t>承担。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7.乙方所提供设备权属清楚，不得侵害他人的知识产权,如产生纠纷则全部责任由</w:t>
      </w:r>
      <w:r>
        <w:rPr>
          <w:rFonts w:hint="eastAsia" w:ascii="宋体" w:hAnsi="宋体" w:eastAsia="宋体" w:cs="宋体"/>
          <w:color w:val="auto"/>
          <w:kern w:val="0"/>
          <w:sz w:val="24"/>
          <w:szCs w:val="24"/>
          <w:highlight w:val="none"/>
          <w:u w:val="single"/>
          <w:lang w:val="en-US" w:eastAsia="zh-CN" w:bidi="zh-CN"/>
        </w:rPr>
        <w:t>乙方</w:t>
      </w:r>
      <w:r>
        <w:rPr>
          <w:rFonts w:hint="eastAsia" w:ascii="宋体" w:hAnsi="宋体" w:eastAsia="宋体" w:cs="宋体"/>
          <w:color w:val="auto"/>
          <w:kern w:val="0"/>
          <w:sz w:val="24"/>
          <w:szCs w:val="24"/>
          <w:highlight w:val="none"/>
          <w:lang w:val="en-US" w:eastAsia="zh-CN" w:bidi="zh-CN"/>
        </w:rPr>
        <w:t>自行承担，如因此给甲方造成损害的，甲方可向乙方进行追偿，追</w:t>
      </w:r>
      <w:r>
        <w:rPr>
          <w:rFonts w:hint="eastAsia" w:ascii="宋体" w:hAnsi="宋体" w:eastAsia="宋体" w:cs="宋体"/>
          <w:color w:val="auto"/>
          <w:kern w:val="0"/>
          <w:sz w:val="24"/>
          <w:szCs w:val="24"/>
          <w:highlight w:val="none"/>
          <w:u w:val="single"/>
          <w:lang w:val="en-US" w:eastAsia="zh-CN" w:bidi="zh-CN"/>
        </w:rPr>
        <w:t>偿费用包括但不限于甲方实际垫付的费用、</w:t>
      </w:r>
      <w:r>
        <w:rPr>
          <w:rFonts w:hint="eastAsia" w:ascii="宋体" w:hAnsi="宋体" w:cs="宋体"/>
          <w:color w:val="auto"/>
          <w:kern w:val="0"/>
          <w:sz w:val="24"/>
          <w:szCs w:val="24"/>
          <w:highlight w:val="none"/>
          <w:u w:val="single"/>
          <w:lang w:val="en-US" w:eastAsia="zh-CN" w:bidi="zh-CN"/>
        </w:rPr>
        <w:t>诉讼费、保全保险费、</w:t>
      </w:r>
      <w:r>
        <w:rPr>
          <w:rFonts w:hint="eastAsia" w:ascii="宋体" w:hAnsi="宋体" w:eastAsia="宋体" w:cs="宋体"/>
          <w:color w:val="auto"/>
          <w:kern w:val="0"/>
          <w:sz w:val="24"/>
          <w:szCs w:val="24"/>
          <w:highlight w:val="none"/>
          <w:u w:val="single"/>
          <w:lang w:val="en-US" w:eastAsia="zh-CN" w:bidi="zh-CN"/>
        </w:rPr>
        <w:t>律师费、交通费等费用</w:t>
      </w:r>
      <w:r>
        <w:rPr>
          <w:rFonts w:hint="eastAsia" w:ascii="宋体" w:hAnsi="宋体" w:eastAsia="宋体" w:cs="宋体"/>
          <w:color w:val="auto"/>
          <w:kern w:val="0"/>
          <w:sz w:val="24"/>
          <w:szCs w:val="24"/>
          <w:highlight w:val="none"/>
          <w:lang w:val="en-US" w:eastAsia="zh-CN" w:bidi="zh-CN"/>
        </w:rPr>
        <w:t>。</w:t>
      </w:r>
    </w:p>
    <w:p>
      <w:pPr>
        <w:keepNext/>
        <w:keepLines/>
        <w:widowControl w:val="0"/>
        <w:autoSpaceDE w:val="0"/>
        <w:autoSpaceDN w:val="0"/>
        <w:adjustRightInd w:val="0"/>
        <w:spacing w:before="120" w:after="120" w:line="240" w:lineRule="auto"/>
        <w:ind w:left="0" w:right="0"/>
        <w:jc w:val="left"/>
        <w:outlineLvl w:val="2"/>
        <w:rPr>
          <w:rFonts w:hint="eastAsia" w:ascii="宋体" w:hAnsi="宋体" w:eastAsia="宋体" w:cs="宋体"/>
          <w:b/>
          <w:color w:val="auto"/>
          <w:kern w:val="0"/>
          <w:sz w:val="24"/>
          <w:szCs w:val="20"/>
          <w:highlight w:val="none"/>
          <w:lang w:val="zh-CN" w:eastAsia="zh-CN" w:bidi="zh-CN"/>
        </w:rPr>
      </w:pP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ascii="宋体" w:hAnsi="宋体" w:eastAsia="宋体" w:cs="宋体"/>
          <w:b/>
          <w:bCs/>
          <w:color w:val="auto"/>
          <w:spacing w:val="-7"/>
          <w:kern w:val="0"/>
          <w:sz w:val="24"/>
          <w:szCs w:val="24"/>
          <w:highlight w:val="none"/>
          <w:lang w:val="zh-CN" w:eastAsia="zh-CN" w:bidi="zh-CN"/>
        </w:rPr>
      </w:pPr>
      <w:r>
        <w:rPr>
          <w:rFonts w:ascii="宋体" w:hAnsi="宋体" w:eastAsia="宋体" w:cs="宋体"/>
          <w:b/>
          <w:bCs/>
          <w:color w:val="auto"/>
          <w:spacing w:val="-7"/>
          <w:kern w:val="0"/>
          <w:sz w:val="24"/>
          <w:szCs w:val="24"/>
          <w:highlight w:val="none"/>
          <w:lang w:val="zh-CN" w:eastAsia="zh-CN" w:bidi="zh-CN"/>
        </w:rPr>
        <w:t>质保条件及期限：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zh-CN" w:eastAsia="zh-CN" w:bidi="zh-CN"/>
        </w:rPr>
        <w:t>质保期</w:t>
      </w:r>
      <w:r>
        <w:rPr>
          <w:rFonts w:hint="eastAsia" w:ascii="宋体" w:hAnsi="宋体" w:eastAsia="宋体" w:cs="宋体"/>
          <w:color w:val="auto"/>
          <w:kern w:val="0"/>
          <w:sz w:val="24"/>
          <w:szCs w:val="24"/>
          <w:highlight w:val="none"/>
          <w:lang w:val="en-US" w:eastAsia="zh-CN" w:bidi="zh-CN"/>
        </w:rPr>
        <w:t>为自设备最终验收合格之次日起</w:t>
      </w:r>
      <w:r>
        <w:rPr>
          <w:rFonts w:hint="eastAsia" w:ascii="宋体" w:hAnsi="宋体" w:eastAsia="宋体" w:cs="宋体"/>
          <w:color w:val="auto"/>
          <w:kern w:val="0"/>
          <w:sz w:val="24"/>
          <w:szCs w:val="24"/>
          <w:highlight w:val="none"/>
          <w:u w:val="single"/>
          <w:lang w:val="en-US" w:eastAsia="zh-CN" w:bidi="zh-CN"/>
        </w:rPr>
        <w:t xml:space="preserve">   日</w:t>
      </w:r>
      <w:r>
        <w:rPr>
          <w:rFonts w:hint="eastAsia" w:ascii="宋体" w:hAnsi="宋体" w:eastAsia="宋体" w:cs="宋体"/>
          <w:color w:val="auto"/>
          <w:kern w:val="0"/>
          <w:sz w:val="24"/>
          <w:szCs w:val="24"/>
          <w:highlight w:val="none"/>
          <w:lang w:val="en-US" w:eastAsia="zh-CN" w:bidi="zh-CN"/>
        </w:rPr>
        <w:t>内</w:t>
      </w:r>
      <w:r>
        <w:rPr>
          <w:rFonts w:hint="eastAsia" w:ascii="宋体" w:hAnsi="宋体" w:eastAsia="宋体" w:cs="宋体"/>
          <w:color w:val="auto"/>
          <w:kern w:val="0"/>
          <w:sz w:val="24"/>
          <w:szCs w:val="24"/>
          <w:highlight w:val="none"/>
          <w:lang w:val="zh-CN" w:eastAsia="zh-CN" w:bidi="zh-CN"/>
        </w:rPr>
        <w:t>，</w:t>
      </w:r>
      <w:r>
        <w:rPr>
          <w:rFonts w:hint="eastAsia" w:ascii="宋体" w:hAnsi="宋体" w:eastAsia="宋体" w:cs="宋体"/>
          <w:color w:val="auto"/>
          <w:kern w:val="0"/>
          <w:sz w:val="24"/>
          <w:szCs w:val="24"/>
          <w:highlight w:val="none"/>
          <w:lang w:val="en-US" w:eastAsia="zh-CN" w:bidi="zh-CN"/>
        </w:rPr>
        <w:t>主要内容为：对</w:t>
      </w:r>
      <w:r>
        <w:rPr>
          <w:rFonts w:hint="eastAsia" w:ascii="宋体" w:hAnsi="宋体" w:eastAsia="宋体" w:cs="宋体"/>
          <w:color w:val="auto"/>
          <w:kern w:val="0"/>
          <w:sz w:val="24"/>
          <w:szCs w:val="24"/>
          <w:highlight w:val="none"/>
          <w:lang w:val="zh-CN" w:eastAsia="zh-CN" w:bidi="zh-CN"/>
        </w:rPr>
        <w:t>因产品设计、工艺或者材料缺陷而导致的问题免费</w:t>
      </w:r>
      <w:r>
        <w:rPr>
          <w:rFonts w:hint="eastAsia" w:ascii="宋体" w:hAnsi="宋体" w:eastAsia="宋体" w:cs="宋体"/>
          <w:color w:val="auto"/>
          <w:kern w:val="0"/>
          <w:sz w:val="24"/>
          <w:szCs w:val="24"/>
          <w:highlight w:val="none"/>
          <w:lang w:val="en-US" w:eastAsia="zh-CN" w:bidi="zh-CN"/>
        </w:rPr>
        <w:t>包修、包换、包退、包维护保养</w:t>
      </w:r>
      <w:r>
        <w:rPr>
          <w:rFonts w:hint="eastAsia" w:ascii="宋体" w:hAnsi="宋体" w:eastAsia="宋体" w:cs="宋体"/>
          <w:color w:val="auto"/>
          <w:kern w:val="0"/>
          <w:sz w:val="24"/>
          <w:szCs w:val="24"/>
          <w:highlight w:val="none"/>
          <w:lang w:val="zh-CN" w:eastAsia="zh-CN" w:bidi="zh-CN"/>
        </w:rPr>
        <w:t>。</w:t>
      </w:r>
      <w:r>
        <w:rPr>
          <w:rFonts w:hint="eastAsia" w:ascii="宋体" w:hAnsi="宋体" w:eastAsia="宋体" w:cs="宋体"/>
          <w:color w:val="auto"/>
          <w:kern w:val="0"/>
          <w:sz w:val="24"/>
          <w:szCs w:val="24"/>
          <w:highlight w:val="none"/>
          <w:lang w:val="en-US" w:eastAsia="zh-CN" w:bidi="zh-CN"/>
        </w:rPr>
        <w:t>质保期满，乙方保证为设备终身供应零备件和正常的售后服务，不计人工费用。质保期满，如需更换配件和材料，费用另计，但不能超过</w:t>
      </w:r>
      <w:r>
        <w:rPr>
          <w:rFonts w:hint="eastAsia" w:ascii="宋体" w:hAnsi="宋体" w:eastAsia="宋体" w:cs="宋体"/>
          <w:color w:val="auto"/>
          <w:kern w:val="0"/>
          <w:sz w:val="24"/>
          <w:szCs w:val="24"/>
          <w:highlight w:val="none"/>
          <w:u w:val="single"/>
          <w:lang w:val="en-US" w:eastAsia="zh-CN" w:bidi="zh-CN"/>
        </w:rPr>
        <w:t>甲方所在地</w:t>
      </w:r>
      <w:r>
        <w:rPr>
          <w:rFonts w:hint="eastAsia" w:ascii="宋体" w:hAnsi="宋体" w:eastAsia="宋体" w:cs="宋体"/>
          <w:color w:val="auto"/>
          <w:kern w:val="0"/>
          <w:sz w:val="24"/>
          <w:szCs w:val="24"/>
          <w:highlight w:val="none"/>
          <w:lang w:val="en-US" w:eastAsia="zh-CN" w:bidi="zh-CN"/>
        </w:rPr>
        <w:t>市场成本价格。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zh-CN" w:eastAsia="zh-CN" w:bidi="zh-CN"/>
        </w:rPr>
      </w:pPr>
      <w:r>
        <w:rPr>
          <w:rFonts w:hint="eastAsia" w:ascii="宋体" w:hAnsi="宋体" w:eastAsia="宋体" w:cs="宋体"/>
          <w:color w:val="auto"/>
          <w:kern w:val="0"/>
          <w:sz w:val="24"/>
          <w:szCs w:val="24"/>
          <w:highlight w:val="none"/>
          <w:lang w:val="en-US" w:eastAsia="zh-CN" w:bidi="zh-CN"/>
        </w:rPr>
        <w:t>2.乙方每次为进行维护工作后，需对维护情况及所发现的问题出具书面报告，该报告需甲乙双方签字，作为维护工作的凭据。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3.质保期内，如设备因非人为因素出现故障而造成短期停用时（“短期”指2日以内，不满1日的按1日计算），则质保期和免费维护期相应顺延，如停用时间累计超过</w:t>
      </w:r>
      <w:r>
        <w:rPr>
          <w:rFonts w:hint="eastAsia" w:ascii="宋体" w:hAnsi="宋体" w:eastAsia="宋体" w:cs="宋体"/>
          <w:color w:val="auto"/>
          <w:kern w:val="0"/>
          <w:sz w:val="24"/>
          <w:szCs w:val="24"/>
          <w:highlight w:val="none"/>
          <w:u w:val="single"/>
          <w:lang w:val="en-US" w:eastAsia="zh-CN" w:bidi="zh-CN"/>
        </w:rPr>
        <w:t>60天</w:t>
      </w:r>
      <w:r>
        <w:rPr>
          <w:rFonts w:hint="eastAsia" w:ascii="宋体" w:hAnsi="宋体" w:eastAsia="宋体" w:cs="宋体"/>
          <w:color w:val="auto"/>
          <w:kern w:val="0"/>
          <w:sz w:val="24"/>
          <w:szCs w:val="24"/>
          <w:highlight w:val="none"/>
          <w:lang w:val="en-US" w:eastAsia="zh-CN" w:bidi="zh-CN"/>
        </w:rPr>
        <w:t>则质保期和免费维护期重新计算。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4.质保期内所有因货物质量问题而产生的费用（包括但不限于维护过程中更换配件的费用）均由</w:t>
      </w:r>
      <w:r>
        <w:rPr>
          <w:rFonts w:hint="eastAsia" w:ascii="宋体" w:hAnsi="宋体" w:eastAsia="宋体" w:cs="宋体"/>
          <w:color w:val="auto"/>
          <w:kern w:val="0"/>
          <w:sz w:val="24"/>
          <w:szCs w:val="24"/>
          <w:highlight w:val="none"/>
          <w:u w:val="single"/>
          <w:lang w:val="en-US" w:eastAsia="zh-CN" w:bidi="zh-CN"/>
        </w:rPr>
        <w:t>乙方</w:t>
      </w:r>
      <w:r>
        <w:rPr>
          <w:rFonts w:hint="eastAsia" w:ascii="宋体" w:hAnsi="宋体" w:eastAsia="宋体" w:cs="宋体"/>
          <w:color w:val="auto"/>
          <w:kern w:val="0"/>
          <w:sz w:val="24"/>
          <w:szCs w:val="24"/>
          <w:highlight w:val="none"/>
          <w:lang w:val="en-US" w:eastAsia="zh-CN" w:bidi="zh-CN"/>
        </w:rPr>
        <w:t>负责</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5.质保期内，乙方为甲方提供专业的售后服务。质保期内设备发生故障，乙方在接到通知后</w:t>
      </w:r>
      <w:r>
        <w:rPr>
          <w:rFonts w:hint="eastAsia" w:ascii="宋体" w:hAnsi="宋体" w:cs="宋体"/>
          <w:color w:val="auto"/>
          <w:kern w:val="0"/>
          <w:sz w:val="24"/>
          <w:szCs w:val="24"/>
          <w:highlight w:val="none"/>
          <w:u w:val="single"/>
          <w:lang w:val="en-US" w:eastAsia="zh-CN" w:bidi="zh-CN"/>
        </w:rPr>
        <w:t>1</w:t>
      </w:r>
      <w:r>
        <w:rPr>
          <w:rFonts w:hint="eastAsia" w:ascii="宋体" w:hAnsi="宋体" w:eastAsia="宋体" w:cs="宋体"/>
          <w:color w:val="auto"/>
          <w:kern w:val="0"/>
          <w:sz w:val="24"/>
          <w:szCs w:val="24"/>
          <w:highlight w:val="none"/>
          <w:u w:val="single"/>
          <w:lang w:val="en-US" w:eastAsia="zh-CN" w:bidi="zh-CN"/>
        </w:rPr>
        <w:t>小时内</w:t>
      </w:r>
      <w:r>
        <w:rPr>
          <w:rFonts w:hint="eastAsia" w:ascii="宋体" w:hAnsi="宋体" w:eastAsia="宋体" w:cs="宋体"/>
          <w:color w:val="auto"/>
          <w:kern w:val="0"/>
          <w:sz w:val="24"/>
          <w:szCs w:val="24"/>
          <w:highlight w:val="none"/>
          <w:lang w:val="en-US" w:eastAsia="zh-CN" w:bidi="zh-CN"/>
        </w:rPr>
        <w:t>维修响应，自接到通知后</w:t>
      </w:r>
      <w:r>
        <w:rPr>
          <w:rFonts w:hint="eastAsia" w:ascii="宋体" w:hAnsi="宋体" w:eastAsia="宋体" w:cs="宋体"/>
          <w:color w:val="auto"/>
          <w:kern w:val="0"/>
          <w:sz w:val="24"/>
          <w:szCs w:val="24"/>
          <w:highlight w:val="none"/>
          <w:u w:val="single"/>
          <w:lang w:val="en-US" w:eastAsia="zh-CN" w:bidi="zh-CN"/>
        </w:rPr>
        <w:t>12小时内</w:t>
      </w:r>
      <w:r>
        <w:rPr>
          <w:rFonts w:hint="eastAsia" w:ascii="宋体" w:hAnsi="宋体" w:eastAsia="宋体" w:cs="宋体"/>
          <w:color w:val="auto"/>
          <w:kern w:val="0"/>
          <w:sz w:val="24"/>
          <w:szCs w:val="24"/>
          <w:highlight w:val="none"/>
          <w:lang w:val="en-US" w:eastAsia="zh-CN" w:bidi="zh-CN"/>
        </w:rPr>
        <w:t>到位检修，并在到位检修后</w:t>
      </w:r>
      <w:r>
        <w:rPr>
          <w:rFonts w:hint="eastAsia" w:ascii="宋体" w:hAnsi="宋体" w:cs="宋体"/>
          <w:color w:val="auto"/>
          <w:kern w:val="0"/>
          <w:sz w:val="24"/>
          <w:szCs w:val="24"/>
          <w:highlight w:val="none"/>
          <w:lang w:val="en-US" w:eastAsia="zh-CN" w:bidi="zh-CN"/>
        </w:rPr>
        <w:t>12</w:t>
      </w:r>
      <w:r>
        <w:rPr>
          <w:rFonts w:hint="eastAsia" w:ascii="宋体" w:hAnsi="宋体" w:eastAsia="宋体" w:cs="宋体"/>
          <w:color w:val="auto"/>
          <w:kern w:val="0"/>
          <w:sz w:val="24"/>
          <w:szCs w:val="24"/>
          <w:highlight w:val="none"/>
          <w:lang w:val="en-US" w:eastAsia="zh-CN" w:bidi="zh-CN"/>
        </w:rPr>
        <w:t>小时内处理完毕，否则乙方应于48小时内为甲方提供同等规格的备用设备。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宋体" w:hAnsi="宋体" w:eastAsia="宋体" w:cs="宋体"/>
          <w:color w:val="auto"/>
          <w:kern w:val="0"/>
          <w:sz w:val="22"/>
          <w:szCs w:val="22"/>
          <w:highlight w:val="none"/>
          <w:u w:val="single"/>
          <w:lang w:val="en-US" w:eastAsia="zh-CN" w:bidi="zh-CN"/>
        </w:rPr>
      </w:pPr>
      <w:r>
        <w:rPr>
          <w:rFonts w:hint="eastAsia" w:ascii="宋体" w:hAnsi="宋体" w:eastAsia="宋体" w:cs="宋体"/>
          <w:color w:val="auto"/>
          <w:kern w:val="0"/>
          <w:sz w:val="24"/>
          <w:szCs w:val="24"/>
          <w:highlight w:val="none"/>
          <w:lang w:val="en-US" w:eastAsia="zh-CN" w:bidi="zh-CN"/>
        </w:rPr>
        <w:t>6.质保期内的其他约定：</w:t>
      </w:r>
      <w:r>
        <w:rPr>
          <w:rFonts w:hint="eastAsia" w:ascii="宋体" w:hAnsi="宋体" w:eastAsia="宋体" w:cs="宋体"/>
          <w:color w:val="auto"/>
          <w:kern w:val="0"/>
          <w:sz w:val="24"/>
          <w:szCs w:val="24"/>
          <w:highlight w:val="none"/>
          <w:u w:val="single"/>
          <w:lang w:val="en-US" w:eastAsia="zh-CN" w:bidi="zh-CN"/>
        </w:rPr>
        <w:t xml:space="preserve">              </w:t>
      </w:r>
      <w:r>
        <w:rPr>
          <w:rFonts w:hint="eastAsia" w:ascii="宋体" w:hAnsi="宋体" w:eastAsia="宋体" w:cs="宋体"/>
          <w:color w:val="auto"/>
          <w:kern w:val="0"/>
          <w:sz w:val="24"/>
          <w:szCs w:val="24"/>
          <w:highlight w:val="none"/>
          <w:u w:val="none"/>
          <w:lang w:val="en-US" w:eastAsia="zh-CN" w:bidi="zh-CN"/>
        </w:rPr>
        <w:t>。</w:t>
      </w:r>
    </w:p>
    <w:p>
      <w:pPr>
        <w:keepNext/>
        <w:keepLines/>
        <w:widowControl w:val="0"/>
        <w:autoSpaceDE w:val="0"/>
        <w:autoSpaceDN w:val="0"/>
        <w:adjustRightInd w:val="0"/>
        <w:spacing w:before="120" w:after="120" w:line="240" w:lineRule="auto"/>
        <w:ind w:left="0" w:right="0"/>
        <w:jc w:val="left"/>
        <w:outlineLvl w:val="2"/>
        <w:rPr>
          <w:rFonts w:hint="eastAsia" w:ascii="宋体" w:hAnsi="宋体" w:eastAsia="宋体" w:cs="宋体"/>
          <w:b/>
          <w:color w:val="auto"/>
          <w:kern w:val="0"/>
          <w:sz w:val="24"/>
          <w:szCs w:val="20"/>
          <w:highlight w:val="none"/>
          <w:lang w:val="zh-CN" w:eastAsia="zh-CN" w:bidi="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default" w:ascii="宋体" w:hAnsi="宋体" w:eastAsia="宋体" w:cs="宋体"/>
          <w:b/>
          <w:bCs/>
          <w:color w:val="auto"/>
          <w:kern w:val="0"/>
          <w:sz w:val="24"/>
          <w:szCs w:val="24"/>
          <w:highlight w:val="none"/>
          <w:lang w:val="en-US" w:eastAsia="zh-CN" w:bidi="zh-CN"/>
        </w:rPr>
      </w:pPr>
      <w:r>
        <w:rPr>
          <w:rFonts w:hint="eastAsia" w:ascii="宋体" w:hAnsi="宋体" w:eastAsia="宋体" w:cs="宋体"/>
          <w:b/>
          <w:bCs/>
          <w:color w:val="auto"/>
          <w:kern w:val="0"/>
          <w:sz w:val="24"/>
          <w:szCs w:val="24"/>
          <w:highlight w:val="none"/>
          <w:lang w:val="en-US" w:eastAsia="zh-CN" w:bidi="zh-CN"/>
        </w:rPr>
        <w:t>第八条 违约责任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1.如甲方逾期付款，乙方</w:t>
      </w:r>
      <w:r>
        <w:rPr>
          <w:rFonts w:hint="eastAsia" w:ascii="宋体" w:hAnsi="宋体" w:cs="宋体"/>
          <w:color w:val="auto"/>
          <w:kern w:val="0"/>
          <w:sz w:val="24"/>
          <w:szCs w:val="24"/>
          <w:highlight w:val="none"/>
          <w:lang w:val="en-US" w:eastAsia="zh-CN" w:bidi="zh-CN"/>
        </w:rPr>
        <w:t>应书面催告并提出合理宽限期，如甲方任不履行的，</w:t>
      </w:r>
      <w:r>
        <w:rPr>
          <w:rFonts w:hint="eastAsia" w:ascii="宋体" w:hAnsi="宋体" w:eastAsia="宋体" w:cs="宋体"/>
          <w:color w:val="auto"/>
          <w:kern w:val="0"/>
          <w:sz w:val="24"/>
          <w:szCs w:val="24"/>
          <w:highlight w:val="none"/>
          <w:lang w:val="en-US" w:eastAsia="zh-CN" w:bidi="zh-CN"/>
        </w:rPr>
        <w:t>可要求甲方支付违约金，自逾期之日起，甲方以逾期付款金额为基数，按</w:t>
      </w:r>
      <w:r>
        <w:rPr>
          <w:rFonts w:hint="eastAsia" w:ascii="宋体" w:hAnsi="宋体" w:cs="宋体"/>
          <w:color w:val="auto"/>
          <w:kern w:val="0"/>
          <w:sz w:val="24"/>
          <w:szCs w:val="24"/>
          <w:highlight w:val="none"/>
          <w:lang w:val="en-US" w:eastAsia="zh-CN" w:bidi="zh-CN"/>
        </w:rPr>
        <w:t>日万分之五</w:t>
      </w:r>
      <w:r>
        <w:rPr>
          <w:rFonts w:hint="eastAsia" w:ascii="宋体" w:hAnsi="宋体" w:eastAsia="宋体" w:cs="宋体"/>
          <w:color w:val="auto"/>
          <w:kern w:val="0"/>
          <w:sz w:val="24"/>
          <w:szCs w:val="24"/>
          <w:highlight w:val="none"/>
          <w:lang w:val="en-US" w:eastAsia="zh-CN" w:bidi="zh-CN"/>
        </w:rPr>
        <w:t>向乙方支付违约金至实际支付之日。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2、如乙方未按合同约定完成供货或安装的，每逾期一日乙方应以合同总价款为基数</w:t>
      </w:r>
      <w:r>
        <w:rPr>
          <w:rFonts w:hint="eastAsia" w:ascii="宋体" w:hAnsi="宋体" w:cs="宋体"/>
          <w:color w:val="auto"/>
          <w:kern w:val="0"/>
          <w:sz w:val="24"/>
          <w:szCs w:val="24"/>
          <w:highlight w:val="none"/>
          <w:lang w:val="en-US" w:eastAsia="zh-CN" w:bidi="zh-CN"/>
        </w:rPr>
        <w:t>，</w:t>
      </w:r>
      <w:r>
        <w:rPr>
          <w:rFonts w:hint="eastAsia" w:ascii="宋体" w:hAnsi="宋体" w:eastAsia="宋体" w:cs="宋体"/>
          <w:color w:val="auto"/>
          <w:kern w:val="0"/>
          <w:sz w:val="24"/>
          <w:szCs w:val="24"/>
          <w:highlight w:val="none"/>
          <w:lang w:val="en-US" w:eastAsia="zh-CN" w:bidi="zh-CN"/>
        </w:rPr>
        <w:t>按</w:t>
      </w:r>
      <w:r>
        <w:rPr>
          <w:rFonts w:hint="eastAsia" w:ascii="宋体" w:hAnsi="宋体" w:cs="宋体"/>
          <w:color w:val="auto"/>
          <w:kern w:val="0"/>
          <w:sz w:val="24"/>
          <w:szCs w:val="24"/>
          <w:highlight w:val="none"/>
          <w:lang w:val="en-US" w:eastAsia="zh-CN" w:bidi="zh-CN"/>
        </w:rPr>
        <w:t>日万分之五向</w:t>
      </w:r>
      <w:r>
        <w:rPr>
          <w:rFonts w:hint="eastAsia" w:ascii="宋体" w:hAnsi="宋体" w:eastAsia="宋体" w:cs="宋体"/>
          <w:color w:val="auto"/>
          <w:kern w:val="0"/>
          <w:sz w:val="24"/>
          <w:szCs w:val="24"/>
          <w:highlight w:val="none"/>
          <w:lang w:val="en-US" w:eastAsia="zh-CN" w:bidi="zh-CN"/>
        </w:rPr>
        <w:t>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3.乙方所供设备达不到约定的技术标准的，则甲方有权拒收，由此产生的一切不利后果均由乙方承担。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w:t>
      </w:r>
      <w:r>
        <w:rPr>
          <w:rFonts w:hint="eastAsia" w:ascii="宋体" w:hAnsi="宋体" w:cs="宋体"/>
          <w:color w:val="auto"/>
          <w:kern w:val="0"/>
          <w:sz w:val="24"/>
          <w:szCs w:val="24"/>
          <w:highlight w:val="none"/>
          <w:lang w:val="en-US" w:eastAsia="zh-CN" w:bidi="zh-CN"/>
        </w:rPr>
        <w:t>诉讼费、保全费、保全保险费、</w:t>
      </w:r>
      <w:r>
        <w:rPr>
          <w:rFonts w:hint="eastAsia" w:ascii="宋体" w:hAnsi="宋体" w:eastAsia="宋体" w:cs="宋体"/>
          <w:color w:val="auto"/>
          <w:kern w:val="0"/>
          <w:sz w:val="24"/>
          <w:szCs w:val="24"/>
          <w:highlight w:val="none"/>
          <w:lang w:val="en-US" w:eastAsia="zh-CN" w:bidi="zh-CN"/>
        </w:rPr>
        <w:t>律师费、交通费等费用），且每违约一次，乙方应向甲方支付合同总价款5%的违约金。累计达到三次的，甲方有权单方解除合同，乙方应按本合同价款总额的30%向甲方支付违约金。</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诉讼费、保全保险费、律师费、交通费等费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诉讼费、保全保险费、律师费、交通费等费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7.未经甲方书面同意，乙方不得将本合同项下全部或部分义务转让给任何第三方，否则甲方有权单方解除本合同</w:t>
      </w:r>
      <w:r>
        <w:rPr>
          <w:rFonts w:hint="eastAsia" w:ascii="宋体" w:hAnsi="宋体" w:cs="宋体"/>
          <w:color w:val="auto"/>
          <w:kern w:val="0"/>
          <w:sz w:val="24"/>
          <w:szCs w:val="24"/>
          <w:highlight w:val="none"/>
          <w:lang w:val="en-US" w:eastAsia="zh-CN" w:bidi="zh-CN"/>
        </w:rPr>
        <w:t>不予退还已履行的合同标的</w:t>
      </w:r>
      <w:r>
        <w:rPr>
          <w:rFonts w:hint="eastAsia" w:ascii="宋体" w:hAnsi="宋体" w:eastAsia="宋体" w:cs="宋体"/>
          <w:color w:val="auto"/>
          <w:kern w:val="0"/>
          <w:sz w:val="24"/>
          <w:szCs w:val="24"/>
          <w:highlight w:val="none"/>
          <w:lang w:val="en-US" w:eastAsia="zh-CN" w:bidi="zh-CN"/>
        </w:rPr>
        <w:t>，</w:t>
      </w:r>
      <w:r>
        <w:rPr>
          <w:rFonts w:hint="eastAsia" w:ascii="宋体" w:hAnsi="宋体" w:cs="宋体"/>
          <w:color w:val="auto"/>
          <w:kern w:val="0"/>
          <w:sz w:val="24"/>
          <w:szCs w:val="24"/>
          <w:highlight w:val="none"/>
          <w:lang w:val="en-US" w:eastAsia="zh-CN" w:bidi="zh-CN"/>
        </w:rPr>
        <w:t>且</w:t>
      </w:r>
      <w:r>
        <w:rPr>
          <w:rFonts w:hint="eastAsia" w:ascii="宋体" w:hAnsi="宋体" w:eastAsia="宋体" w:cs="宋体"/>
          <w:color w:val="auto"/>
          <w:kern w:val="0"/>
          <w:sz w:val="24"/>
          <w:szCs w:val="24"/>
          <w:highlight w:val="none"/>
          <w:lang w:val="en-US" w:eastAsia="zh-CN" w:bidi="zh-CN"/>
        </w:rPr>
        <w:t>乙方应按本合同价款总额的30%向甲方支付违约金。</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pPr>
        <w:keepNext/>
        <w:keepLines/>
        <w:widowControl w:val="0"/>
        <w:autoSpaceDE w:val="0"/>
        <w:autoSpaceDN w:val="0"/>
        <w:adjustRightInd w:val="0"/>
        <w:spacing w:before="120" w:after="120" w:line="240" w:lineRule="auto"/>
        <w:ind w:left="0" w:right="0"/>
        <w:jc w:val="left"/>
        <w:outlineLvl w:val="2"/>
        <w:rPr>
          <w:rFonts w:hint="eastAsia" w:ascii="宋体" w:hAnsi="宋体" w:eastAsia="宋体" w:cs="宋体"/>
          <w:b/>
          <w:color w:val="auto"/>
          <w:kern w:val="0"/>
          <w:sz w:val="24"/>
          <w:szCs w:val="20"/>
          <w:highlight w:val="none"/>
          <w:lang w:val="en-US" w:eastAsia="zh-CN" w:bidi="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ascii="宋体" w:hAnsi="宋体" w:eastAsia="宋体" w:cs="宋体"/>
          <w:b/>
          <w:bCs/>
          <w:color w:val="auto"/>
          <w:spacing w:val="-5"/>
          <w:sz w:val="24"/>
          <w:szCs w:val="24"/>
          <w:highlight w:val="none"/>
          <w:lang w:val="zh-CN" w:eastAsia="zh-CN" w:bidi="zh-CN"/>
        </w:rPr>
      </w:pPr>
      <w:r>
        <w:rPr>
          <w:rFonts w:hint="eastAsia" w:ascii="宋体" w:hAnsi="宋体" w:eastAsia="宋体" w:cs="宋体"/>
          <w:b/>
          <w:bCs/>
          <w:color w:val="auto"/>
          <w:spacing w:val="-5"/>
          <w:sz w:val="24"/>
          <w:szCs w:val="24"/>
          <w:highlight w:val="none"/>
          <w:lang w:val="en-US" w:eastAsia="zh-CN" w:bidi="zh-CN"/>
        </w:rPr>
        <w:t xml:space="preserve">第九条 </w:t>
      </w:r>
      <w:r>
        <w:rPr>
          <w:rFonts w:ascii="宋体" w:hAnsi="宋体" w:eastAsia="宋体" w:cs="宋体"/>
          <w:b/>
          <w:bCs/>
          <w:color w:val="auto"/>
          <w:spacing w:val="-5"/>
          <w:sz w:val="24"/>
          <w:szCs w:val="24"/>
          <w:highlight w:val="none"/>
          <w:lang w:val="zh-CN" w:eastAsia="zh-CN" w:bidi="zh-CN"/>
        </w:rPr>
        <w:t>争议解决方式：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u w:val="single"/>
          <w:lang w:val="en-US" w:eastAsia="zh-CN" w:bidi="zh-CN"/>
        </w:rPr>
      </w:pPr>
      <w:r>
        <w:rPr>
          <w:rFonts w:hint="eastAsia" w:ascii="宋体" w:hAnsi="宋体" w:eastAsia="宋体" w:cs="宋体"/>
          <w:color w:val="auto"/>
          <w:kern w:val="0"/>
          <w:sz w:val="24"/>
          <w:szCs w:val="24"/>
          <w:highlight w:val="none"/>
          <w:u w:val="single"/>
          <w:lang w:val="en-US" w:eastAsia="zh-CN" w:bidi="zh-CN"/>
        </w:rPr>
        <w:t>因本合同的履行如有争议，可协商解决，协商不成的，甲乙双方均有权向</w:t>
      </w:r>
      <w:r>
        <w:rPr>
          <w:rFonts w:hint="eastAsia" w:ascii="宋体" w:hAnsi="宋体" w:cs="宋体"/>
          <w:b/>
          <w:bCs/>
          <w:color w:val="auto"/>
          <w:kern w:val="0"/>
          <w:sz w:val="24"/>
          <w:szCs w:val="24"/>
          <w:highlight w:val="none"/>
          <w:u w:val="single"/>
          <w:lang w:val="en-US" w:eastAsia="zh-CN" w:bidi="zh-CN"/>
        </w:rPr>
        <w:t>泽普县</w:t>
      </w:r>
      <w:r>
        <w:rPr>
          <w:rFonts w:hint="eastAsia" w:ascii="宋体" w:hAnsi="宋体" w:eastAsia="宋体" w:cs="宋体"/>
          <w:b/>
          <w:bCs/>
          <w:color w:val="auto"/>
          <w:kern w:val="0"/>
          <w:sz w:val="24"/>
          <w:szCs w:val="24"/>
          <w:highlight w:val="none"/>
          <w:u w:val="single"/>
          <w:lang w:val="en-US" w:eastAsia="zh-CN" w:bidi="zh-CN"/>
        </w:rPr>
        <w:t>人民法院</w:t>
      </w:r>
      <w:r>
        <w:rPr>
          <w:rFonts w:hint="eastAsia" w:ascii="宋体" w:hAnsi="宋体" w:eastAsia="宋体" w:cs="宋体"/>
          <w:color w:val="auto"/>
          <w:kern w:val="0"/>
          <w:sz w:val="24"/>
          <w:szCs w:val="24"/>
          <w:highlight w:val="none"/>
          <w:u w:val="single"/>
          <w:lang w:val="en-US" w:eastAsia="zh-CN" w:bidi="zh-CN"/>
        </w:rPr>
        <w:t>提起诉讼。守约方为维护基于本合同项下约定的合法权益，通过司法程序而产生的相关费用（包括但不限于诉讼费、保全费、律师费、鉴定费等）由</w:t>
      </w:r>
      <w:r>
        <w:rPr>
          <w:rFonts w:hint="eastAsia" w:ascii="宋体" w:hAnsi="宋体" w:cs="宋体"/>
          <w:color w:val="auto"/>
          <w:kern w:val="0"/>
          <w:sz w:val="24"/>
          <w:szCs w:val="24"/>
          <w:highlight w:val="none"/>
          <w:u w:val="single"/>
          <w:lang w:val="en-US" w:eastAsia="zh-CN" w:bidi="zh-CN"/>
        </w:rPr>
        <w:t>败诉</w:t>
      </w:r>
      <w:r>
        <w:rPr>
          <w:rFonts w:hint="eastAsia" w:ascii="宋体" w:hAnsi="宋体" w:eastAsia="宋体" w:cs="宋体"/>
          <w:color w:val="auto"/>
          <w:kern w:val="0"/>
          <w:sz w:val="24"/>
          <w:szCs w:val="24"/>
          <w:highlight w:val="none"/>
          <w:u w:val="single"/>
          <w:lang w:val="en-US" w:eastAsia="zh-CN" w:bidi="zh-CN"/>
        </w:rPr>
        <w:t xml:space="preserve">方承担。 </w:t>
      </w:r>
    </w:p>
    <w:p>
      <w:pPr>
        <w:keepNext/>
        <w:keepLines/>
        <w:widowControl w:val="0"/>
        <w:autoSpaceDE w:val="0"/>
        <w:autoSpaceDN w:val="0"/>
        <w:adjustRightInd w:val="0"/>
        <w:spacing w:before="120" w:after="120" w:line="240" w:lineRule="auto"/>
        <w:ind w:left="0" w:right="0"/>
        <w:jc w:val="left"/>
        <w:outlineLvl w:val="2"/>
        <w:rPr>
          <w:rFonts w:hint="eastAsia" w:ascii="宋体" w:hAnsi="宋体" w:eastAsia="宋体" w:cs="宋体"/>
          <w:b/>
          <w:color w:val="auto"/>
          <w:kern w:val="0"/>
          <w:sz w:val="24"/>
          <w:szCs w:val="20"/>
          <w:highlight w:val="none"/>
          <w:lang w:val="en-US" w:eastAsia="zh-CN" w:bidi="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宋体" w:hAnsi="宋体" w:eastAsia="宋体" w:cs="宋体"/>
          <w:b/>
          <w:bCs/>
          <w:color w:val="auto"/>
          <w:kern w:val="0"/>
          <w:sz w:val="24"/>
          <w:szCs w:val="24"/>
          <w:highlight w:val="none"/>
          <w:lang w:val="zh-CN" w:eastAsia="zh-CN" w:bidi="zh-CN"/>
        </w:rPr>
      </w:pPr>
      <w:r>
        <w:rPr>
          <w:rFonts w:hint="eastAsia" w:ascii="宋体" w:hAnsi="宋体" w:eastAsia="宋体" w:cs="宋体"/>
          <w:b/>
          <w:bCs/>
          <w:color w:val="auto"/>
          <w:kern w:val="0"/>
          <w:sz w:val="24"/>
          <w:szCs w:val="24"/>
          <w:highlight w:val="none"/>
          <w:lang w:val="en-US" w:eastAsia="zh-CN" w:bidi="zh-CN"/>
        </w:rPr>
        <w:t>第十条 不可抗力：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宋体" w:hAnsi="宋体" w:eastAsia="宋体" w:cs="宋体"/>
          <w:color w:val="auto"/>
          <w:kern w:val="0"/>
          <w:sz w:val="24"/>
          <w:szCs w:val="24"/>
          <w:highlight w:val="none"/>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宋体" w:hAnsi="宋体" w:eastAsia="宋体" w:cs="宋体"/>
          <w:color w:val="auto"/>
          <w:kern w:val="0"/>
          <w:sz w:val="24"/>
          <w:szCs w:val="24"/>
          <w:highlight w:val="none"/>
          <w:lang w:val="en-US" w:eastAsia="zh-CN" w:bidi="zh-CN"/>
        </w:rPr>
        <w:t>同时双方可按照不可抗力对合同的影响程度，由双方协商确定是否变更或解除合同。</w:t>
      </w:r>
    </w:p>
    <w:p>
      <w:pPr>
        <w:keepNext/>
        <w:keepLines/>
        <w:widowControl w:val="0"/>
        <w:autoSpaceDE w:val="0"/>
        <w:autoSpaceDN w:val="0"/>
        <w:adjustRightInd w:val="0"/>
        <w:spacing w:before="120" w:after="120" w:line="240" w:lineRule="auto"/>
        <w:ind w:left="0" w:right="0"/>
        <w:jc w:val="left"/>
        <w:outlineLvl w:val="2"/>
        <w:rPr>
          <w:rFonts w:hint="eastAsia" w:ascii="宋体" w:hAnsi="宋体" w:eastAsia="宋体" w:cs="宋体"/>
          <w:b/>
          <w:color w:val="auto"/>
          <w:kern w:val="0"/>
          <w:sz w:val="24"/>
          <w:szCs w:val="20"/>
          <w:highlight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default" w:ascii="宋体" w:hAnsi="宋体" w:eastAsia="宋体" w:cs="宋体"/>
          <w:b/>
          <w:bCs/>
          <w:color w:val="auto"/>
          <w:sz w:val="24"/>
          <w:szCs w:val="24"/>
          <w:highlight w:val="none"/>
          <w:lang w:val="en-US" w:eastAsia="zh-CN" w:bidi="zh-CN"/>
        </w:rPr>
      </w:pPr>
      <w:r>
        <w:rPr>
          <w:rFonts w:hint="eastAsia" w:ascii="宋体" w:hAnsi="宋体" w:eastAsia="宋体" w:cs="宋体"/>
          <w:b/>
          <w:bCs/>
          <w:color w:val="auto"/>
          <w:sz w:val="24"/>
          <w:szCs w:val="24"/>
          <w:highlight w:val="none"/>
          <w:lang w:val="en-US" w:eastAsia="zh-CN" w:bidi="zh-CN"/>
        </w:rPr>
        <w:t>第十一条  送达条款：</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u w:val="single"/>
          <w:lang w:val="en-US" w:eastAsia="zh-CN" w:bidi="zh-CN"/>
        </w:rPr>
      </w:pPr>
      <w:r>
        <w:rPr>
          <w:rFonts w:hint="eastAsia" w:ascii="宋体" w:hAnsi="宋体" w:eastAsia="宋体" w:cs="宋体"/>
          <w:color w:val="auto"/>
          <w:sz w:val="24"/>
          <w:szCs w:val="24"/>
          <w:highlight w:val="none"/>
          <w:u w:val="single"/>
          <w:lang w:val="en-US" w:eastAsia="zh-CN" w:bidi="zh-CN"/>
        </w:rPr>
        <w:t>本合同签署处载明的地址</w:t>
      </w:r>
      <w:r>
        <w:rPr>
          <w:rFonts w:hint="eastAsia" w:ascii="宋体" w:hAnsi="宋体" w:cs="宋体"/>
          <w:color w:val="auto"/>
          <w:sz w:val="24"/>
          <w:szCs w:val="24"/>
          <w:highlight w:val="none"/>
          <w:u w:val="single"/>
          <w:lang w:val="en-US" w:eastAsia="zh-CN" w:bidi="zh-CN"/>
        </w:rPr>
        <w:t>及联系方式（包括双方指定人员）</w:t>
      </w:r>
      <w:r>
        <w:rPr>
          <w:rFonts w:hint="eastAsia" w:ascii="宋体" w:hAnsi="宋体" w:eastAsia="宋体" w:cs="宋体"/>
          <w:color w:val="auto"/>
          <w:sz w:val="24"/>
          <w:szCs w:val="24"/>
          <w:highlight w:val="none"/>
          <w:u w:val="single"/>
          <w:lang w:val="en-US" w:eastAsia="zh-CN" w:bidi="zh-CN"/>
        </w:rPr>
        <w:t>系双方文件往来、法院送达诉讼文书的地址</w:t>
      </w:r>
      <w:r>
        <w:rPr>
          <w:rFonts w:hint="eastAsia" w:ascii="宋体" w:hAnsi="宋体" w:cs="宋体"/>
          <w:color w:val="auto"/>
          <w:sz w:val="24"/>
          <w:szCs w:val="24"/>
          <w:highlight w:val="none"/>
          <w:u w:val="single"/>
          <w:lang w:val="en-US" w:eastAsia="zh-CN" w:bidi="zh-CN"/>
        </w:rPr>
        <w:t>及电子送达的指定号码</w:t>
      </w:r>
      <w:r>
        <w:rPr>
          <w:rFonts w:hint="eastAsia" w:ascii="宋体" w:hAnsi="宋体" w:eastAsia="宋体" w:cs="宋体"/>
          <w:color w:val="auto"/>
          <w:sz w:val="24"/>
          <w:szCs w:val="24"/>
          <w:highlight w:val="none"/>
          <w:u w:val="single"/>
          <w:lang w:val="en-US" w:eastAsia="zh-CN" w:bidi="zh-CN"/>
        </w:rPr>
        <w:t>，在履行本合同期间，甲乙双方的文件往来均应送达至本合同签署处载明的地址</w:t>
      </w:r>
      <w:r>
        <w:rPr>
          <w:rFonts w:hint="eastAsia" w:ascii="宋体" w:hAnsi="宋体" w:cs="宋体"/>
          <w:color w:val="auto"/>
          <w:sz w:val="24"/>
          <w:szCs w:val="24"/>
          <w:highlight w:val="none"/>
          <w:u w:val="single"/>
          <w:lang w:val="en-US" w:eastAsia="zh-CN" w:bidi="zh-CN"/>
        </w:rPr>
        <w:t>或联系电话（包括短信、微信、彩信的方式）</w:t>
      </w:r>
      <w:r>
        <w:rPr>
          <w:rFonts w:hint="eastAsia" w:ascii="宋体" w:hAnsi="宋体" w:eastAsia="宋体" w:cs="宋体"/>
          <w:color w:val="auto"/>
          <w:sz w:val="24"/>
          <w:szCs w:val="24"/>
          <w:highlight w:val="none"/>
          <w:u w:val="single"/>
          <w:lang w:val="en-US" w:eastAsia="zh-CN" w:bidi="zh-CN"/>
        </w:rPr>
        <w:t>，任何一方如变更地址</w:t>
      </w:r>
      <w:r>
        <w:rPr>
          <w:rFonts w:hint="eastAsia" w:ascii="宋体" w:hAnsi="宋体" w:cs="宋体"/>
          <w:color w:val="auto"/>
          <w:sz w:val="24"/>
          <w:szCs w:val="24"/>
          <w:highlight w:val="none"/>
          <w:u w:val="single"/>
          <w:lang w:val="en-US" w:eastAsia="zh-CN" w:bidi="zh-CN"/>
        </w:rPr>
        <w:t>及联系方式</w:t>
      </w:r>
      <w:r>
        <w:rPr>
          <w:rFonts w:hint="eastAsia" w:ascii="宋体" w:hAnsi="宋体" w:eastAsia="宋体" w:cs="宋体"/>
          <w:color w:val="auto"/>
          <w:sz w:val="24"/>
          <w:szCs w:val="24"/>
          <w:highlight w:val="none"/>
          <w:u w:val="single"/>
          <w:lang w:val="en-US" w:eastAsia="zh-CN" w:bidi="zh-CN"/>
        </w:rPr>
        <w:t>，均需以书面形式于三日内告知对方，如因载明的地址</w:t>
      </w:r>
      <w:r>
        <w:rPr>
          <w:rFonts w:hint="eastAsia" w:ascii="宋体" w:hAnsi="宋体" w:cs="宋体"/>
          <w:color w:val="auto"/>
          <w:sz w:val="24"/>
          <w:szCs w:val="24"/>
          <w:highlight w:val="none"/>
          <w:u w:val="single"/>
          <w:lang w:val="en-US" w:eastAsia="zh-CN" w:bidi="zh-CN"/>
        </w:rPr>
        <w:t>及联系方式</w:t>
      </w:r>
      <w:r>
        <w:rPr>
          <w:rFonts w:hint="eastAsia" w:ascii="宋体" w:hAnsi="宋体" w:eastAsia="宋体" w:cs="宋体"/>
          <w:color w:val="auto"/>
          <w:sz w:val="24"/>
          <w:szCs w:val="24"/>
          <w:highlight w:val="none"/>
          <w:u w:val="single"/>
          <w:lang w:val="en-US" w:eastAsia="zh-CN" w:bidi="zh-CN"/>
        </w:rPr>
        <w:t>有误或未及时告知变更后的地址</w:t>
      </w:r>
      <w:r>
        <w:rPr>
          <w:rFonts w:hint="eastAsia" w:ascii="宋体" w:hAnsi="宋体" w:cs="宋体"/>
          <w:color w:val="auto"/>
          <w:sz w:val="24"/>
          <w:szCs w:val="24"/>
          <w:highlight w:val="none"/>
          <w:u w:val="single"/>
          <w:lang w:val="en-US" w:eastAsia="zh-CN" w:bidi="zh-CN"/>
        </w:rPr>
        <w:t>及联系方式</w:t>
      </w:r>
      <w:r>
        <w:rPr>
          <w:rFonts w:hint="eastAsia" w:ascii="宋体" w:hAnsi="宋体" w:eastAsia="宋体" w:cs="宋体"/>
          <w:color w:val="auto"/>
          <w:sz w:val="24"/>
          <w:szCs w:val="24"/>
          <w:highlight w:val="none"/>
          <w:u w:val="single"/>
          <w:lang w:val="en-US" w:eastAsia="zh-CN" w:bidi="zh-CN"/>
        </w:rPr>
        <w:t>，导致相关文书及诉讼文书未能实际被接收的、邮寄送达的，相关文书及诉讼文书退回之日即视为送达之日。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宋体" w:hAnsi="宋体" w:eastAsia="宋体" w:cs="宋体"/>
          <w:b/>
          <w:bCs/>
          <w:color w:val="auto"/>
          <w:sz w:val="24"/>
          <w:szCs w:val="24"/>
          <w:highlight w:val="none"/>
          <w:lang w:val="en-US" w:eastAsia="zh-CN" w:bidi="zh-CN"/>
        </w:rPr>
      </w:pPr>
      <w:r>
        <w:rPr>
          <w:rFonts w:ascii="宋体" w:hAnsi="宋体" w:eastAsia="宋体" w:cs="宋体"/>
          <w:b/>
          <w:bCs/>
          <w:color w:val="auto"/>
          <w:sz w:val="24"/>
          <w:szCs w:val="24"/>
          <w:highlight w:val="none"/>
          <w:lang w:val="zh-CN" w:eastAsia="zh-CN" w:bidi="zh-CN"/>
        </w:rPr>
        <w:t>第十</w:t>
      </w:r>
      <w:r>
        <w:rPr>
          <w:rFonts w:hint="eastAsia" w:ascii="宋体" w:hAnsi="宋体" w:eastAsia="宋体" w:cs="宋体"/>
          <w:b/>
          <w:bCs/>
          <w:color w:val="auto"/>
          <w:sz w:val="24"/>
          <w:szCs w:val="24"/>
          <w:highlight w:val="none"/>
          <w:lang w:val="en-US" w:eastAsia="zh-CN" w:bidi="zh-CN"/>
        </w:rPr>
        <w:t>二</w:t>
      </w:r>
      <w:r>
        <w:rPr>
          <w:rFonts w:ascii="宋体" w:hAnsi="宋体" w:eastAsia="宋体" w:cs="宋体"/>
          <w:b/>
          <w:bCs/>
          <w:color w:val="auto"/>
          <w:sz w:val="24"/>
          <w:szCs w:val="24"/>
          <w:highlight w:val="none"/>
          <w:lang w:val="zh-CN" w:eastAsia="zh-CN" w:bidi="zh-CN"/>
        </w:rPr>
        <w:t xml:space="preserve">条 </w:t>
      </w:r>
      <w:r>
        <w:rPr>
          <w:rFonts w:hint="eastAsia" w:ascii="宋体" w:hAnsi="宋体" w:eastAsia="宋体" w:cs="宋体"/>
          <w:b/>
          <w:bCs/>
          <w:color w:val="auto"/>
          <w:sz w:val="24"/>
          <w:szCs w:val="24"/>
          <w:highlight w:val="none"/>
          <w:lang w:val="en-US" w:eastAsia="zh-CN" w:bidi="zh-CN"/>
        </w:rPr>
        <w:t>其他：</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1.本合同一式</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val="en-US" w:eastAsia="zh-CN" w:bidi="zh-CN"/>
        </w:rPr>
        <w:t>份，甲方</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val="en-US" w:eastAsia="zh-CN" w:bidi="zh-CN"/>
        </w:rPr>
        <w:t>份,乙方</w:t>
      </w:r>
      <w:r>
        <w:rPr>
          <w:rFonts w:hint="eastAsia" w:ascii="宋体" w:hAnsi="宋体" w:eastAsia="宋体" w:cs="宋体"/>
          <w:color w:val="auto"/>
          <w:sz w:val="24"/>
          <w:szCs w:val="24"/>
          <w:highlight w:val="none"/>
          <w:u w:val="single"/>
          <w:lang w:val="en-US" w:eastAsia="zh-CN" w:bidi="zh-CN"/>
        </w:rPr>
        <w:t xml:space="preserve">  份</w:t>
      </w:r>
      <w:r>
        <w:rPr>
          <w:rFonts w:hint="eastAsia" w:ascii="宋体" w:hAnsi="宋体" w:eastAsia="宋体" w:cs="宋体"/>
          <w:color w:val="auto"/>
          <w:sz w:val="24"/>
          <w:szCs w:val="24"/>
          <w:highlight w:val="none"/>
          <w:lang w:val="en-US" w:eastAsia="zh-CN" w:bidi="zh-CN"/>
        </w:rPr>
        <w:t>。本合同自签订之日起生效，如系授权代表人签署合同需出示有法律效力的书面委托书和身份证明。</w:t>
      </w:r>
    </w:p>
    <w:p>
      <w:pPr>
        <w:autoSpaceDE w:val="0"/>
        <w:autoSpaceDN w:val="0"/>
        <w:spacing w:before="0" w:after="0" w:line="240" w:lineRule="auto"/>
        <w:ind w:left="0" w:right="0" w:firstLine="480" w:firstLineChars="200"/>
        <w:jc w:val="lef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2.本合同正文不详之处，以招标文件、投标文件及招标会议上的答疑记录为准。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3.本合同未尽事宜，双方可以另行签署书面协议或者附件，另行签署的相关文件或附件与本合同具有同等效力。（注：打印前需完善“</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val="en-US" w:eastAsia="zh-CN" w:bidi="zh-CN"/>
        </w:rPr>
        <w:t>”中内容，否则将本条款删除）</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4.本合同为清洁打印文本，任何修改和补充、任何非打印的文字或图形均须经甲乙双方书面确认，否则不产生约束力。</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5.甲方指定</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val="en-US" w:eastAsia="zh-CN" w:bidi="zh-CN"/>
        </w:rPr>
        <w:t>（联系方式：</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val="en-US" w:eastAsia="zh-CN" w:bidi="zh-CN"/>
        </w:rPr>
        <w:t>）为联络人；乙方指定</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val="en-US" w:eastAsia="zh-CN" w:bidi="zh-CN"/>
        </w:rPr>
        <w:t>（联系方式：</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w:t>
      </w:r>
      <w:r>
        <w:rPr>
          <w:rFonts w:hint="eastAsia" w:ascii="宋体" w:hAnsi="宋体" w:eastAsia="宋体" w:cs="宋体"/>
          <w:b/>
          <w:bCs/>
          <w:color w:val="auto"/>
          <w:sz w:val="24"/>
          <w:szCs w:val="24"/>
          <w:highlight w:val="none"/>
          <w:u w:val="single"/>
          <w:lang w:val="en-US" w:eastAsia="zh-CN" w:bidi="zh-CN"/>
        </w:rPr>
        <w:t>当双方发生争议时，以有利于</w:t>
      </w:r>
      <w:r>
        <w:rPr>
          <w:rFonts w:hint="eastAsia" w:ascii="宋体" w:hAnsi="宋体" w:cs="宋体"/>
          <w:b/>
          <w:bCs/>
          <w:color w:val="auto"/>
          <w:sz w:val="24"/>
          <w:szCs w:val="24"/>
          <w:highlight w:val="none"/>
          <w:u w:val="single"/>
          <w:lang w:val="en-US" w:eastAsia="zh-CN" w:bidi="zh-CN"/>
        </w:rPr>
        <w:t>甲方</w:t>
      </w:r>
      <w:r>
        <w:rPr>
          <w:rFonts w:hint="eastAsia" w:ascii="宋体" w:hAnsi="宋体" w:eastAsia="宋体" w:cs="宋体"/>
          <w:b/>
          <w:bCs/>
          <w:color w:val="auto"/>
          <w:sz w:val="24"/>
          <w:szCs w:val="24"/>
          <w:highlight w:val="none"/>
          <w:u w:val="single"/>
          <w:lang w:val="en-US" w:eastAsia="zh-CN" w:bidi="zh-CN"/>
        </w:rPr>
        <w:t>的原则进行解释。</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 xml:space="preserve">7.其他补充约定： </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b/>
          <w:bCs/>
          <w:color w:val="auto"/>
          <w:sz w:val="24"/>
          <w:szCs w:val="24"/>
          <w:highlight w:val="none"/>
          <w:u w:val="none"/>
          <w:lang w:val="en-US" w:eastAsia="zh-CN" w:bidi="zh-CN"/>
        </w:rPr>
        <w:t>（本条款之约定与其他约定不一致的，以本条款之约定为准）。注：若无补充约定，则建议在下滑线处载明“/”或“无”。</w:t>
      </w:r>
      <w:r>
        <w:rPr>
          <w:rFonts w:hint="eastAsia" w:ascii="宋体" w:hAnsi="宋体" w:eastAsia="宋体" w:cs="宋体"/>
          <w:color w:val="auto"/>
          <w:sz w:val="24"/>
          <w:szCs w:val="24"/>
          <w:highlight w:val="none"/>
          <w:lang w:val="en-US" w:eastAsia="zh-CN" w:bidi="zh-CN"/>
        </w:rPr>
        <w:t>（以下为本合同签署处及合同附件）</w:t>
      </w:r>
    </w:p>
    <w:tbl>
      <w:tblPr>
        <w:tblStyle w:val="27"/>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default" w:ascii="宋体" w:hAnsi="宋体" w:eastAsia="宋体" w:cs="宋体"/>
                <w:color w:val="auto"/>
                <w:sz w:val="21"/>
                <w:szCs w:val="22"/>
                <w:highlight w:val="none"/>
                <w:lang w:val="en-US" w:eastAsia="zh-CN" w:bidi="zh-CN"/>
              </w:rPr>
            </w:pPr>
            <w:r>
              <w:rPr>
                <w:rFonts w:hint="eastAsia" w:ascii="宋体" w:hAnsi="宋体" w:eastAsia="宋体" w:cs="宋体"/>
                <w:color w:val="auto"/>
                <w:spacing w:val="-26"/>
                <w:sz w:val="21"/>
                <w:szCs w:val="22"/>
                <w:highlight w:val="none"/>
                <w:lang w:val="en-US" w:eastAsia="zh-CN" w:bidi="zh-CN"/>
              </w:rPr>
              <w:t>甲</w:t>
            </w:r>
            <w:r>
              <w:rPr>
                <w:rFonts w:hint="eastAsia" w:ascii="宋体" w:hAnsi="宋体" w:eastAsia="宋体" w:cs="宋体"/>
                <w:color w:val="auto"/>
                <w:spacing w:val="-26"/>
                <w:sz w:val="21"/>
                <w:szCs w:val="22"/>
                <w:highlight w:val="none"/>
                <w:lang w:val="zh-CN" w:eastAsia="zh-CN" w:bidi="zh-CN"/>
              </w:rPr>
              <w:t>方</w:t>
            </w:r>
            <w:r>
              <w:rPr>
                <w:rFonts w:ascii="宋体" w:hAnsi="宋体" w:eastAsia="宋体" w:cs="宋体"/>
                <w:color w:val="auto"/>
                <w:spacing w:val="-3"/>
                <w:sz w:val="21"/>
                <w:szCs w:val="22"/>
                <w:highlight w:val="none"/>
                <w:lang w:val="zh-CN" w:eastAsia="zh-CN" w:bidi="zh-CN"/>
              </w:rPr>
              <w:t>（</w:t>
            </w:r>
            <w:r>
              <w:rPr>
                <w:rFonts w:ascii="宋体" w:hAnsi="宋体" w:eastAsia="宋体" w:cs="宋体"/>
                <w:color w:val="auto"/>
                <w:sz w:val="21"/>
                <w:szCs w:val="22"/>
                <w:highlight w:val="none"/>
                <w:lang w:val="zh-CN" w:eastAsia="zh-CN" w:bidi="zh-CN"/>
              </w:rPr>
              <w:t>章</w:t>
            </w:r>
            <w:r>
              <w:rPr>
                <w:rFonts w:ascii="宋体" w:hAnsi="宋体" w:eastAsia="宋体" w:cs="宋体"/>
                <w:color w:val="auto"/>
                <w:spacing w:val="-52"/>
                <w:sz w:val="21"/>
                <w:szCs w:val="22"/>
                <w:highlight w:val="none"/>
                <w:lang w:val="zh-CN" w:eastAsia="zh-CN" w:bidi="zh-CN"/>
              </w:rPr>
              <w:t>）</w:t>
            </w:r>
            <w:r>
              <w:rPr>
                <w:rFonts w:ascii="宋体" w:hAnsi="宋体" w:eastAsia="宋体" w:cs="宋体"/>
                <w:color w:val="auto"/>
                <w:spacing w:val="-8"/>
                <w:sz w:val="21"/>
                <w:szCs w:val="22"/>
                <w:highlight w:val="none"/>
                <w:lang w:val="zh-CN" w:eastAsia="zh-CN" w:bidi="zh-CN"/>
              </w:rPr>
              <w:t>：</w:t>
            </w:r>
            <w:r>
              <w:rPr>
                <w:rFonts w:hint="eastAsia" w:ascii="宋体" w:hAnsi="宋体" w:cs="宋体"/>
                <w:color w:val="auto"/>
                <w:spacing w:val="-8"/>
                <w:sz w:val="21"/>
                <w:szCs w:val="22"/>
                <w:highlight w:val="none"/>
                <w:lang w:val="zh-CN" w:eastAsia="zh-CN" w:bidi="zh-CN"/>
              </w:rPr>
              <w:t xml:space="preserve">泽普县应急管理局 </w:t>
            </w:r>
          </w:p>
        </w:tc>
        <w:tc>
          <w:tcPr>
            <w:tcW w:w="4118"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en-US" w:eastAsia="zh-CN" w:bidi="zh-CN"/>
              </w:rPr>
              <w:t>乙</w:t>
            </w:r>
            <w:r>
              <w:rPr>
                <w:rFonts w:hint="eastAsia" w:ascii="宋体" w:hAnsi="宋体" w:eastAsia="宋体" w:cs="宋体"/>
                <w:color w:val="auto"/>
                <w:sz w:val="21"/>
                <w:szCs w:val="22"/>
                <w:highlight w:val="none"/>
                <w:lang w:val="zh-CN" w:eastAsia="zh-CN" w:bidi="zh-CN"/>
              </w:rPr>
              <w:t>方</w:t>
            </w:r>
            <w:r>
              <w:rPr>
                <w:rFonts w:ascii="宋体" w:hAnsi="宋体" w:eastAsia="宋体" w:cs="宋体"/>
                <w:color w:val="auto"/>
                <w:sz w:val="21"/>
                <w:szCs w:val="22"/>
                <w:highlight w:val="none"/>
                <w:lang w:val="zh-CN" w:eastAsia="zh-CN" w:bidi="zh-CN"/>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地址：</w:t>
            </w:r>
            <w:r>
              <w:rPr>
                <w:rFonts w:hint="eastAsia" w:ascii="宋体" w:hAnsi="宋体" w:eastAsia="宋体" w:cs="宋体"/>
                <w:color w:val="auto"/>
                <w:sz w:val="21"/>
                <w:szCs w:val="22"/>
                <w:highlight w:val="none"/>
                <w:lang w:val="zh-CN" w:eastAsia="zh-CN" w:bidi="zh-CN"/>
              </w:rPr>
              <w:t>泽普县</w:t>
            </w:r>
          </w:p>
        </w:tc>
        <w:tc>
          <w:tcPr>
            <w:tcW w:w="4118" w:type="dxa"/>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 xml:space="preserve">地址：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default" w:ascii="宋体" w:hAnsi="宋体" w:eastAsia="宋体" w:cs="宋体"/>
                <w:color w:val="auto"/>
                <w:sz w:val="21"/>
                <w:szCs w:val="22"/>
                <w:highlight w:val="none"/>
                <w:lang w:val="en-US" w:eastAsia="zh-CN" w:bidi="zh-CN"/>
              </w:rPr>
            </w:pPr>
          </w:p>
        </w:tc>
        <w:tc>
          <w:tcPr>
            <w:tcW w:w="4118" w:type="dxa"/>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宋体" w:hAnsi="宋体" w:eastAsia="宋体" w:cs="宋体"/>
                <w:color w:val="auto"/>
                <w:sz w:val="21"/>
                <w:szCs w:val="22"/>
                <w:highlight w:val="none"/>
                <w:lang w:val="en-US" w:eastAsia="zh-CN" w:bidi="zh-CN"/>
              </w:rPr>
            </w:pPr>
            <w:r>
              <w:rPr>
                <w:rFonts w:hint="eastAsia" w:ascii="宋体" w:hAnsi="宋体" w:eastAsia="宋体" w:cs="宋体"/>
                <w:color w:val="auto"/>
                <w:sz w:val="21"/>
                <w:szCs w:val="22"/>
                <w:highlight w:val="none"/>
                <w:lang w:val="en-US" w:eastAsia="zh-CN" w:bidi="zh-CN"/>
              </w:rPr>
              <w:t>法定代表人或委托代理人（签字）：</w:t>
            </w:r>
          </w:p>
        </w:tc>
        <w:tc>
          <w:tcPr>
            <w:tcW w:w="4118" w:type="dxa"/>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en-US" w:eastAsia="zh-CN" w:bidi="zh-CN"/>
              </w:rPr>
              <w:t>法定代表人或</w:t>
            </w:r>
            <w:r>
              <w:rPr>
                <w:rFonts w:ascii="宋体" w:hAnsi="宋体" w:eastAsia="宋体" w:cs="宋体"/>
                <w:color w:val="auto"/>
                <w:sz w:val="21"/>
                <w:szCs w:val="22"/>
                <w:highlight w:val="none"/>
                <w:lang w:val="zh-CN" w:eastAsia="zh-CN" w:bidi="zh-CN"/>
              </w:rPr>
              <w:t>委托代理人</w:t>
            </w:r>
            <w:r>
              <w:rPr>
                <w:rFonts w:hint="eastAsia" w:ascii="宋体" w:hAnsi="宋体" w:eastAsia="宋体" w:cs="宋体"/>
                <w:color w:val="auto"/>
                <w:sz w:val="21"/>
                <w:szCs w:val="22"/>
                <w:highlight w:val="none"/>
                <w:lang w:val="en-US" w:eastAsia="zh-CN" w:bidi="zh-CN"/>
              </w:rPr>
              <w:t>（签字）</w:t>
            </w:r>
            <w:r>
              <w:rPr>
                <w:rFonts w:ascii="宋体" w:hAnsi="宋体" w:eastAsia="宋体" w:cs="宋体"/>
                <w:color w:val="auto"/>
                <w:sz w:val="21"/>
                <w:szCs w:val="22"/>
                <w:highlight w:val="none"/>
                <w:lang w:val="zh-CN" w:eastAsia="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电话：</w:t>
            </w:r>
            <w:r>
              <w:rPr>
                <w:rFonts w:hint="eastAsia" w:ascii="仿宋" w:hAnsi="仿宋" w:eastAsia="仿宋" w:cs="仿宋"/>
                <w:color w:val="auto"/>
                <w:sz w:val="30"/>
                <w:szCs w:val="30"/>
                <w:highlight w:val="none"/>
                <w:lang w:val="zh-CN" w:eastAsia="zh-CN" w:bidi="zh-CN"/>
              </w:rPr>
              <w:t xml:space="preserve"> </w:t>
            </w:r>
          </w:p>
        </w:tc>
        <w:tc>
          <w:tcPr>
            <w:tcW w:w="4118" w:type="dxa"/>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开户银行：</w:t>
            </w:r>
            <w:r>
              <w:rPr>
                <w:rFonts w:hint="eastAsia" w:ascii="宋体" w:hAnsi="宋体" w:cs="宋体"/>
                <w:color w:val="auto"/>
                <w:sz w:val="21"/>
                <w:szCs w:val="22"/>
                <w:highlight w:val="none"/>
                <w:lang w:val="en-US" w:eastAsia="zh-CN" w:bidi="zh-CN"/>
              </w:rPr>
              <w:t xml:space="preserve"> </w:t>
            </w:r>
          </w:p>
        </w:tc>
        <w:tc>
          <w:tcPr>
            <w:tcW w:w="4118" w:type="dxa"/>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523" w:type="dxa"/>
            <w:tcBorders>
              <w:top w:val="nil"/>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帐号：</w:t>
            </w:r>
            <w:r>
              <w:rPr>
                <w:rFonts w:hint="eastAsia" w:ascii="宋体" w:hAnsi="宋体" w:cs="宋体"/>
                <w:color w:val="auto"/>
                <w:sz w:val="21"/>
                <w:szCs w:val="22"/>
                <w:highlight w:val="none"/>
                <w:lang w:val="en-US" w:eastAsia="zh-CN" w:bidi="zh-CN"/>
              </w:rPr>
              <w:t xml:space="preserve"> </w:t>
            </w:r>
            <w:r>
              <w:rPr>
                <w:rFonts w:hint="eastAsia" w:ascii="仿宋" w:hAnsi="仿宋" w:eastAsia="仿宋" w:cs="仿宋"/>
                <w:color w:val="auto"/>
                <w:sz w:val="30"/>
                <w:szCs w:val="30"/>
                <w:highlight w:val="none"/>
                <w:lang w:val="zh-CN" w:eastAsia="zh-CN" w:bidi="zh-CN"/>
              </w:rPr>
              <w:t xml:space="preserve"> </w:t>
            </w:r>
          </w:p>
        </w:tc>
        <w:tc>
          <w:tcPr>
            <w:tcW w:w="4118"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帐号：</w:t>
            </w:r>
          </w:p>
        </w:tc>
      </w:tr>
    </w:tbl>
    <w:p>
      <w:pPr>
        <w:outlineLvl w:val="9"/>
        <w:rPr>
          <w:rFonts w:hint="eastAsia" w:ascii="宋体" w:hAnsi="宋体" w:eastAsia="宋体" w:cs="宋体"/>
          <w:color w:val="auto"/>
          <w:sz w:val="24"/>
          <w:szCs w:val="24"/>
          <w:highlight w:val="none"/>
        </w:rPr>
      </w:pPr>
    </w:p>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086"/>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087"/>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087"/>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left"/>
    </w:pPr>
  </w:p>
  <w:p>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77FE"/>
    <w:multiLevelType w:val="singleLevel"/>
    <w:tmpl w:val="93CB77FE"/>
    <w:lvl w:ilvl="0" w:tentative="0">
      <w:start w:val="2"/>
      <w:numFmt w:val="chineseCounting"/>
      <w:suff w:val="space"/>
      <w:lvlText w:val="第%1条"/>
      <w:lvlJc w:val="left"/>
      <w:rPr>
        <w:rFonts w:hint="eastAsia"/>
      </w:rPr>
    </w:lvl>
  </w:abstractNum>
  <w:abstractNum w:abstractNumId="1">
    <w:nsid w:val="9A3734F7"/>
    <w:multiLevelType w:val="singleLevel"/>
    <w:tmpl w:val="9A3734F7"/>
    <w:lvl w:ilvl="0" w:tentative="0">
      <w:start w:val="2"/>
      <w:numFmt w:val="decimal"/>
      <w:lvlText w:val="%1."/>
      <w:lvlJc w:val="left"/>
      <w:pPr>
        <w:tabs>
          <w:tab w:val="left" w:pos="312"/>
        </w:tabs>
      </w:pPr>
    </w:lvl>
  </w:abstractNum>
  <w:abstractNum w:abstractNumId="2">
    <w:nsid w:val="9E9EED5D"/>
    <w:multiLevelType w:val="singleLevel"/>
    <w:tmpl w:val="9E9EED5D"/>
    <w:lvl w:ilvl="0" w:tentative="0">
      <w:start w:val="1"/>
      <w:numFmt w:val="decimal"/>
      <w:lvlText w:val="%1."/>
      <w:lvlJc w:val="left"/>
      <w:pPr>
        <w:tabs>
          <w:tab w:val="left" w:pos="312"/>
        </w:tabs>
      </w:pPr>
    </w:lvl>
  </w:abstractNum>
  <w:abstractNum w:abstractNumId="3">
    <w:nsid w:val="C286C5A0"/>
    <w:multiLevelType w:val="singleLevel"/>
    <w:tmpl w:val="C286C5A0"/>
    <w:lvl w:ilvl="0" w:tentative="0">
      <w:start w:val="6"/>
      <w:numFmt w:val="decimal"/>
      <w:suff w:val="nothing"/>
      <w:lvlText w:val="（%1）"/>
      <w:lvlJc w:val="left"/>
    </w:lvl>
  </w:abstractNum>
  <w:abstractNum w:abstractNumId="4">
    <w:nsid w:val="C84D0D1C"/>
    <w:multiLevelType w:val="singleLevel"/>
    <w:tmpl w:val="C84D0D1C"/>
    <w:lvl w:ilvl="0" w:tentative="0">
      <w:start w:val="4"/>
      <w:numFmt w:val="decimal"/>
      <w:lvlText w:val="%1."/>
      <w:lvlJc w:val="left"/>
      <w:pPr>
        <w:tabs>
          <w:tab w:val="left" w:pos="312"/>
        </w:tabs>
      </w:pPr>
    </w:lvl>
  </w:abstractNum>
  <w:abstractNum w:abstractNumId="5">
    <w:nsid w:val="E3218590"/>
    <w:multiLevelType w:val="singleLevel"/>
    <w:tmpl w:val="E3218590"/>
    <w:lvl w:ilvl="0" w:tentative="0">
      <w:start w:val="5"/>
      <w:numFmt w:val="decimal"/>
      <w:suff w:val="space"/>
      <w:lvlText w:val="第%1章"/>
      <w:lvlJc w:val="left"/>
    </w:lvl>
  </w:abstractNum>
  <w:abstractNum w:abstractNumId="6">
    <w:nsid w:val="E898E9B5"/>
    <w:multiLevelType w:val="singleLevel"/>
    <w:tmpl w:val="E898E9B5"/>
    <w:lvl w:ilvl="0" w:tentative="0">
      <w:start w:val="1"/>
      <w:numFmt w:val="decimal"/>
      <w:suff w:val="nothing"/>
      <w:lvlText w:val="（%1）"/>
      <w:lvlJc w:val="left"/>
    </w:lvl>
  </w:abstractNum>
  <w:abstractNum w:abstractNumId="7">
    <w:nsid w:val="F31847AB"/>
    <w:multiLevelType w:val="singleLevel"/>
    <w:tmpl w:val="F31847AB"/>
    <w:lvl w:ilvl="0" w:tentative="0">
      <w:start w:val="7"/>
      <w:numFmt w:val="decimal"/>
      <w:lvlText w:val="%1."/>
      <w:lvlJc w:val="left"/>
      <w:pPr>
        <w:tabs>
          <w:tab w:val="left" w:pos="312"/>
        </w:tabs>
      </w:pPr>
    </w:lvl>
  </w:abstractNum>
  <w:abstractNum w:abstractNumId="8">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9">
    <w:nsid w:val="00000006"/>
    <w:multiLevelType w:val="multilevel"/>
    <w:tmpl w:val="00000006"/>
    <w:lvl w:ilvl="0" w:tentative="0">
      <w:start w:val="1"/>
      <w:numFmt w:val="upperLetter"/>
      <w:pStyle w:val="41"/>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10">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78"/>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86"/>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rPr>
    </w:lvl>
    <w:lvl w:ilvl="3" w:tentative="0">
      <w:start w:val="1"/>
      <w:numFmt w:val="decimal"/>
      <w:pStyle w:val="87"/>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11"/>
  </w:num>
  <w:num w:numId="2">
    <w:abstractNumId w:val="9"/>
  </w:num>
  <w:num w:numId="3">
    <w:abstractNumId w:val="10"/>
  </w:num>
  <w:num w:numId="4">
    <w:abstractNumId w:val="12"/>
  </w:num>
  <w:num w:numId="5">
    <w:abstractNumId w:val="8"/>
  </w:num>
  <w:num w:numId="6">
    <w:abstractNumId w:val="3"/>
  </w:num>
  <w:num w:numId="7">
    <w:abstractNumId w:val="1"/>
  </w:num>
  <w:num w:numId="8">
    <w:abstractNumId w:val="7"/>
  </w:num>
  <w:num w:numId="9">
    <w:abstractNumId w:val="6"/>
  </w:num>
  <w:num w:numId="10">
    <w:abstractNumId w:val="5"/>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FmOTAwZmQxODAwNzU3MThkZDU1ZWEwZjQ4NzcifQ=="/>
  </w:docVars>
  <w:rsids>
    <w:rsidRoot w:val="00000000"/>
    <w:rsid w:val="00081654"/>
    <w:rsid w:val="00186BF0"/>
    <w:rsid w:val="00281F65"/>
    <w:rsid w:val="00290CE2"/>
    <w:rsid w:val="00320039"/>
    <w:rsid w:val="003A4DB8"/>
    <w:rsid w:val="00417EF4"/>
    <w:rsid w:val="004D6899"/>
    <w:rsid w:val="005F037B"/>
    <w:rsid w:val="006360BD"/>
    <w:rsid w:val="0073763C"/>
    <w:rsid w:val="008E53B2"/>
    <w:rsid w:val="009E5347"/>
    <w:rsid w:val="00A010BF"/>
    <w:rsid w:val="00A20AC9"/>
    <w:rsid w:val="00A34580"/>
    <w:rsid w:val="00AE30B0"/>
    <w:rsid w:val="00B22F90"/>
    <w:rsid w:val="00B40FC0"/>
    <w:rsid w:val="00B5443F"/>
    <w:rsid w:val="00B71F65"/>
    <w:rsid w:val="00CA58C6"/>
    <w:rsid w:val="00CB77BE"/>
    <w:rsid w:val="00DE5743"/>
    <w:rsid w:val="00E80370"/>
    <w:rsid w:val="00F51708"/>
    <w:rsid w:val="010C0502"/>
    <w:rsid w:val="01101596"/>
    <w:rsid w:val="01113BE8"/>
    <w:rsid w:val="014632E9"/>
    <w:rsid w:val="014C3926"/>
    <w:rsid w:val="014E721F"/>
    <w:rsid w:val="01621A8C"/>
    <w:rsid w:val="0172557B"/>
    <w:rsid w:val="017B2BE6"/>
    <w:rsid w:val="017B7CDB"/>
    <w:rsid w:val="0192652E"/>
    <w:rsid w:val="01AC75F0"/>
    <w:rsid w:val="01B36BD0"/>
    <w:rsid w:val="01D60B10"/>
    <w:rsid w:val="01E24E4B"/>
    <w:rsid w:val="023F0464"/>
    <w:rsid w:val="02445A7A"/>
    <w:rsid w:val="0247556A"/>
    <w:rsid w:val="02714395"/>
    <w:rsid w:val="02775E4F"/>
    <w:rsid w:val="0281282A"/>
    <w:rsid w:val="029C025E"/>
    <w:rsid w:val="02A00FF1"/>
    <w:rsid w:val="02A418D7"/>
    <w:rsid w:val="02BD2F28"/>
    <w:rsid w:val="02C933CD"/>
    <w:rsid w:val="02CB1CF7"/>
    <w:rsid w:val="02CD36F4"/>
    <w:rsid w:val="02DD1F30"/>
    <w:rsid w:val="02E44052"/>
    <w:rsid w:val="02E86A9C"/>
    <w:rsid w:val="02ED10CC"/>
    <w:rsid w:val="030D2310"/>
    <w:rsid w:val="032338E1"/>
    <w:rsid w:val="0328714A"/>
    <w:rsid w:val="032923D9"/>
    <w:rsid w:val="032D29B2"/>
    <w:rsid w:val="03557E34"/>
    <w:rsid w:val="03635BA2"/>
    <w:rsid w:val="036A59B4"/>
    <w:rsid w:val="0370464D"/>
    <w:rsid w:val="037C7496"/>
    <w:rsid w:val="038325D2"/>
    <w:rsid w:val="039B2F0B"/>
    <w:rsid w:val="039B6747"/>
    <w:rsid w:val="03A17621"/>
    <w:rsid w:val="03AF4EB5"/>
    <w:rsid w:val="03B15391"/>
    <w:rsid w:val="03B24C65"/>
    <w:rsid w:val="03BB1D6C"/>
    <w:rsid w:val="03D60954"/>
    <w:rsid w:val="03E00F19"/>
    <w:rsid w:val="03F139E0"/>
    <w:rsid w:val="04071455"/>
    <w:rsid w:val="040C0819"/>
    <w:rsid w:val="0418202A"/>
    <w:rsid w:val="041B6CAE"/>
    <w:rsid w:val="042042C5"/>
    <w:rsid w:val="0422003D"/>
    <w:rsid w:val="042647B4"/>
    <w:rsid w:val="0431202E"/>
    <w:rsid w:val="043F0538"/>
    <w:rsid w:val="0442248D"/>
    <w:rsid w:val="045B52FD"/>
    <w:rsid w:val="048E7480"/>
    <w:rsid w:val="04926F71"/>
    <w:rsid w:val="04956A61"/>
    <w:rsid w:val="049E5B69"/>
    <w:rsid w:val="04C335CE"/>
    <w:rsid w:val="04C64E6C"/>
    <w:rsid w:val="04DA0DAB"/>
    <w:rsid w:val="04E11CA6"/>
    <w:rsid w:val="04E946B7"/>
    <w:rsid w:val="05151950"/>
    <w:rsid w:val="05241B93"/>
    <w:rsid w:val="052A61F4"/>
    <w:rsid w:val="052B035A"/>
    <w:rsid w:val="052E222C"/>
    <w:rsid w:val="052F3EAF"/>
    <w:rsid w:val="05A401A4"/>
    <w:rsid w:val="05B13426"/>
    <w:rsid w:val="05B178CA"/>
    <w:rsid w:val="05B918D7"/>
    <w:rsid w:val="05E74AEF"/>
    <w:rsid w:val="05F0727E"/>
    <w:rsid w:val="05F9301F"/>
    <w:rsid w:val="06043E9E"/>
    <w:rsid w:val="060A6FDB"/>
    <w:rsid w:val="062513A7"/>
    <w:rsid w:val="065169B7"/>
    <w:rsid w:val="065232F6"/>
    <w:rsid w:val="066E1317"/>
    <w:rsid w:val="067F4A0F"/>
    <w:rsid w:val="068B1EC9"/>
    <w:rsid w:val="068C3E93"/>
    <w:rsid w:val="068E1EF6"/>
    <w:rsid w:val="069D39AB"/>
    <w:rsid w:val="06A27213"/>
    <w:rsid w:val="06A905A2"/>
    <w:rsid w:val="06B331CE"/>
    <w:rsid w:val="06B82B89"/>
    <w:rsid w:val="06BF5690"/>
    <w:rsid w:val="06C4362D"/>
    <w:rsid w:val="06CD0C1A"/>
    <w:rsid w:val="06DF40C1"/>
    <w:rsid w:val="06E460DC"/>
    <w:rsid w:val="06ED4932"/>
    <w:rsid w:val="070677A2"/>
    <w:rsid w:val="070E48A8"/>
    <w:rsid w:val="07155A8F"/>
    <w:rsid w:val="072A6B99"/>
    <w:rsid w:val="072B55B7"/>
    <w:rsid w:val="07407ED7"/>
    <w:rsid w:val="074A2532"/>
    <w:rsid w:val="075304F3"/>
    <w:rsid w:val="07577514"/>
    <w:rsid w:val="07582919"/>
    <w:rsid w:val="07593D76"/>
    <w:rsid w:val="07623E5D"/>
    <w:rsid w:val="07666493"/>
    <w:rsid w:val="07764A4C"/>
    <w:rsid w:val="077A1B80"/>
    <w:rsid w:val="078F1CCE"/>
    <w:rsid w:val="079E161D"/>
    <w:rsid w:val="07A11524"/>
    <w:rsid w:val="07A44D2D"/>
    <w:rsid w:val="07C1191B"/>
    <w:rsid w:val="07C92D30"/>
    <w:rsid w:val="07D459E5"/>
    <w:rsid w:val="07F25F78"/>
    <w:rsid w:val="080B2B96"/>
    <w:rsid w:val="080F6B2A"/>
    <w:rsid w:val="084B1AA8"/>
    <w:rsid w:val="08573CD6"/>
    <w:rsid w:val="086C1BEB"/>
    <w:rsid w:val="08752E31"/>
    <w:rsid w:val="088F0C53"/>
    <w:rsid w:val="08C1200F"/>
    <w:rsid w:val="08D349DA"/>
    <w:rsid w:val="08D60107"/>
    <w:rsid w:val="08D833C0"/>
    <w:rsid w:val="08E12275"/>
    <w:rsid w:val="08E13DC4"/>
    <w:rsid w:val="08E458C1"/>
    <w:rsid w:val="08E55999"/>
    <w:rsid w:val="08E873D7"/>
    <w:rsid w:val="08EE04EE"/>
    <w:rsid w:val="08F024B8"/>
    <w:rsid w:val="08F32F05"/>
    <w:rsid w:val="08FF2615"/>
    <w:rsid w:val="09016473"/>
    <w:rsid w:val="09033A4F"/>
    <w:rsid w:val="090441B5"/>
    <w:rsid w:val="090B72F2"/>
    <w:rsid w:val="090D0669"/>
    <w:rsid w:val="091B4EA8"/>
    <w:rsid w:val="091C0C95"/>
    <w:rsid w:val="0922048F"/>
    <w:rsid w:val="09325A83"/>
    <w:rsid w:val="09532A47"/>
    <w:rsid w:val="095347F5"/>
    <w:rsid w:val="095C0648"/>
    <w:rsid w:val="096125FF"/>
    <w:rsid w:val="097E5D15"/>
    <w:rsid w:val="0989582F"/>
    <w:rsid w:val="099A0675"/>
    <w:rsid w:val="09A03C4E"/>
    <w:rsid w:val="09A07FFE"/>
    <w:rsid w:val="09C6272F"/>
    <w:rsid w:val="09CD1222"/>
    <w:rsid w:val="09E029B5"/>
    <w:rsid w:val="09F61AD0"/>
    <w:rsid w:val="09FD66D9"/>
    <w:rsid w:val="0A3B1EE1"/>
    <w:rsid w:val="0A3D172D"/>
    <w:rsid w:val="0A546A76"/>
    <w:rsid w:val="0A5627EE"/>
    <w:rsid w:val="0A7333A0"/>
    <w:rsid w:val="0A8458B6"/>
    <w:rsid w:val="0A960E3D"/>
    <w:rsid w:val="0AA00E18"/>
    <w:rsid w:val="0AA636AE"/>
    <w:rsid w:val="0ACE4448"/>
    <w:rsid w:val="0ADA0003"/>
    <w:rsid w:val="0AF04068"/>
    <w:rsid w:val="0AF50259"/>
    <w:rsid w:val="0B0C55A3"/>
    <w:rsid w:val="0B2A165F"/>
    <w:rsid w:val="0B3D1979"/>
    <w:rsid w:val="0B432F08"/>
    <w:rsid w:val="0B5A00BC"/>
    <w:rsid w:val="0B6E381F"/>
    <w:rsid w:val="0B7A075E"/>
    <w:rsid w:val="0B8909A2"/>
    <w:rsid w:val="0B894DF9"/>
    <w:rsid w:val="0B8B2DEC"/>
    <w:rsid w:val="0BBC2B25"/>
    <w:rsid w:val="0BC07AD2"/>
    <w:rsid w:val="0BE27694"/>
    <w:rsid w:val="0C063DA0"/>
    <w:rsid w:val="0C1D5661"/>
    <w:rsid w:val="0C1E558E"/>
    <w:rsid w:val="0C291FD0"/>
    <w:rsid w:val="0C300E1D"/>
    <w:rsid w:val="0C405504"/>
    <w:rsid w:val="0C4D19CF"/>
    <w:rsid w:val="0C522904"/>
    <w:rsid w:val="0C601702"/>
    <w:rsid w:val="0C742BCF"/>
    <w:rsid w:val="0C7D0506"/>
    <w:rsid w:val="0C7F4408"/>
    <w:rsid w:val="0C8A49D1"/>
    <w:rsid w:val="0CA77552"/>
    <w:rsid w:val="0CCF6888"/>
    <w:rsid w:val="0CED6F2A"/>
    <w:rsid w:val="0CF84031"/>
    <w:rsid w:val="0D065FC8"/>
    <w:rsid w:val="0D0E1995"/>
    <w:rsid w:val="0D1310E7"/>
    <w:rsid w:val="0D194694"/>
    <w:rsid w:val="0D4E3C51"/>
    <w:rsid w:val="0D5648B3"/>
    <w:rsid w:val="0D5A43A4"/>
    <w:rsid w:val="0D61479C"/>
    <w:rsid w:val="0D7F708F"/>
    <w:rsid w:val="0D837D9E"/>
    <w:rsid w:val="0D896A37"/>
    <w:rsid w:val="0D957AD2"/>
    <w:rsid w:val="0D9D2C7A"/>
    <w:rsid w:val="0DB42460"/>
    <w:rsid w:val="0DCD726B"/>
    <w:rsid w:val="0DDA54E4"/>
    <w:rsid w:val="0DE849A2"/>
    <w:rsid w:val="0DEB3DC7"/>
    <w:rsid w:val="0DF91E0E"/>
    <w:rsid w:val="0E043EE4"/>
    <w:rsid w:val="0E0F38A2"/>
    <w:rsid w:val="0E166EC6"/>
    <w:rsid w:val="0E2956A2"/>
    <w:rsid w:val="0E7C47EE"/>
    <w:rsid w:val="0EAA4EB7"/>
    <w:rsid w:val="0EB16245"/>
    <w:rsid w:val="0EC5310D"/>
    <w:rsid w:val="0EEF72C3"/>
    <w:rsid w:val="0EF90F11"/>
    <w:rsid w:val="0EFE3455"/>
    <w:rsid w:val="0F0C791F"/>
    <w:rsid w:val="0F113188"/>
    <w:rsid w:val="0F143C29"/>
    <w:rsid w:val="0F3853C5"/>
    <w:rsid w:val="0F4075C9"/>
    <w:rsid w:val="0F4935D9"/>
    <w:rsid w:val="0F501F02"/>
    <w:rsid w:val="0F5E2A0F"/>
    <w:rsid w:val="0F7617CD"/>
    <w:rsid w:val="0F9F2542"/>
    <w:rsid w:val="0FB32592"/>
    <w:rsid w:val="0FC54741"/>
    <w:rsid w:val="0FD14C8B"/>
    <w:rsid w:val="0FD64CFF"/>
    <w:rsid w:val="0FF652C6"/>
    <w:rsid w:val="10000D77"/>
    <w:rsid w:val="10120F66"/>
    <w:rsid w:val="10162528"/>
    <w:rsid w:val="10246EEB"/>
    <w:rsid w:val="10280789"/>
    <w:rsid w:val="10321608"/>
    <w:rsid w:val="104574EA"/>
    <w:rsid w:val="105D6D13"/>
    <w:rsid w:val="10616D58"/>
    <w:rsid w:val="106745D6"/>
    <w:rsid w:val="107B505A"/>
    <w:rsid w:val="108300B5"/>
    <w:rsid w:val="108D7DC6"/>
    <w:rsid w:val="10901321"/>
    <w:rsid w:val="109149C6"/>
    <w:rsid w:val="10950831"/>
    <w:rsid w:val="10961B97"/>
    <w:rsid w:val="10993435"/>
    <w:rsid w:val="10A27F79"/>
    <w:rsid w:val="10A34A6C"/>
    <w:rsid w:val="10B84B6F"/>
    <w:rsid w:val="10BE4C49"/>
    <w:rsid w:val="10C7057C"/>
    <w:rsid w:val="10E020BE"/>
    <w:rsid w:val="10EA3C90"/>
    <w:rsid w:val="112A6783"/>
    <w:rsid w:val="112F74B4"/>
    <w:rsid w:val="11375FBE"/>
    <w:rsid w:val="113B1DB1"/>
    <w:rsid w:val="11503189"/>
    <w:rsid w:val="115F151F"/>
    <w:rsid w:val="116C28F7"/>
    <w:rsid w:val="11806BCC"/>
    <w:rsid w:val="119245C3"/>
    <w:rsid w:val="11A91ED2"/>
    <w:rsid w:val="11AB78C4"/>
    <w:rsid w:val="11C50105"/>
    <w:rsid w:val="11CE678B"/>
    <w:rsid w:val="11CF74C4"/>
    <w:rsid w:val="11D30BC8"/>
    <w:rsid w:val="11DA00E3"/>
    <w:rsid w:val="11FF376C"/>
    <w:rsid w:val="123C676E"/>
    <w:rsid w:val="12492972"/>
    <w:rsid w:val="12525F91"/>
    <w:rsid w:val="12592360"/>
    <w:rsid w:val="12644BFF"/>
    <w:rsid w:val="126637EB"/>
    <w:rsid w:val="12810624"/>
    <w:rsid w:val="128937E3"/>
    <w:rsid w:val="128B14A3"/>
    <w:rsid w:val="129A24FA"/>
    <w:rsid w:val="12A460C1"/>
    <w:rsid w:val="12AC5303"/>
    <w:rsid w:val="12BB3B36"/>
    <w:rsid w:val="12DD1CFF"/>
    <w:rsid w:val="12E12E71"/>
    <w:rsid w:val="12ED5CBA"/>
    <w:rsid w:val="12EF37E0"/>
    <w:rsid w:val="12F11306"/>
    <w:rsid w:val="12FC31D3"/>
    <w:rsid w:val="130D010A"/>
    <w:rsid w:val="131905E4"/>
    <w:rsid w:val="133631BD"/>
    <w:rsid w:val="13373D29"/>
    <w:rsid w:val="135F0966"/>
    <w:rsid w:val="136E0BA9"/>
    <w:rsid w:val="1377365B"/>
    <w:rsid w:val="13785584"/>
    <w:rsid w:val="13857617"/>
    <w:rsid w:val="138D4967"/>
    <w:rsid w:val="1393060F"/>
    <w:rsid w:val="139A6651"/>
    <w:rsid w:val="13A16876"/>
    <w:rsid w:val="13A520F1"/>
    <w:rsid w:val="13B16CE7"/>
    <w:rsid w:val="13B642FE"/>
    <w:rsid w:val="13BA2040"/>
    <w:rsid w:val="13BB1914"/>
    <w:rsid w:val="13C44C6D"/>
    <w:rsid w:val="13DB225F"/>
    <w:rsid w:val="13E1581F"/>
    <w:rsid w:val="13EB21F9"/>
    <w:rsid w:val="13EF73B4"/>
    <w:rsid w:val="13F866C4"/>
    <w:rsid w:val="14027543"/>
    <w:rsid w:val="140530B1"/>
    <w:rsid w:val="141C5039"/>
    <w:rsid w:val="142A5FDC"/>
    <w:rsid w:val="142B2A40"/>
    <w:rsid w:val="142E0338"/>
    <w:rsid w:val="143B3D82"/>
    <w:rsid w:val="146E4BD8"/>
    <w:rsid w:val="14700951"/>
    <w:rsid w:val="148651F0"/>
    <w:rsid w:val="149169E7"/>
    <w:rsid w:val="14AD5701"/>
    <w:rsid w:val="14B41868"/>
    <w:rsid w:val="14D329F2"/>
    <w:rsid w:val="14D37E91"/>
    <w:rsid w:val="150B2427"/>
    <w:rsid w:val="150F074F"/>
    <w:rsid w:val="151B6B0E"/>
    <w:rsid w:val="15290693"/>
    <w:rsid w:val="15325C06"/>
    <w:rsid w:val="153D570D"/>
    <w:rsid w:val="15431BC1"/>
    <w:rsid w:val="156F0C08"/>
    <w:rsid w:val="157334D1"/>
    <w:rsid w:val="15825156"/>
    <w:rsid w:val="158E5532"/>
    <w:rsid w:val="15973CBB"/>
    <w:rsid w:val="159A283B"/>
    <w:rsid w:val="15A44D56"/>
    <w:rsid w:val="15B900D5"/>
    <w:rsid w:val="15B905DD"/>
    <w:rsid w:val="15C727F2"/>
    <w:rsid w:val="15D078F9"/>
    <w:rsid w:val="15EF58A5"/>
    <w:rsid w:val="15FF069F"/>
    <w:rsid w:val="161B48EC"/>
    <w:rsid w:val="16421E79"/>
    <w:rsid w:val="16552373"/>
    <w:rsid w:val="166626C1"/>
    <w:rsid w:val="166B7621"/>
    <w:rsid w:val="1679118E"/>
    <w:rsid w:val="1683496B"/>
    <w:rsid w:val="16A00DA8"/>
    <w:rsid w:val="16A13043"/>
    <w:rsid w:val="16B02706"/>
    <w:rsid w:val="16D57BCB"/>
    <w:rsid w:val="170D15F4"/>
    <w:rsid w:val="171037CA"/>
    <w:rsid w:val="17123F41"/>
    <w:rsid w:val="17131521"/>
    <w:rsid w:val="17384C14"/>
    <w:rsid w:val="17393C13"/>
    <w:rsid w:val="173C56DA"/>
    <w:rsid w:val="175B20CB"/>
    <w:rsid w:val="176A116E"/>
    <w:rsid w:val="176F6C9D"/>
    <w:rsid w:val="17793FC0"/>
    <w:rsid w:val="177D47A8"/>
    <w:rsid w:val="178A7F7B"/>
    <w:rsid w:val="179018DD"/>
    <w:rsid w:val="17961E8F"/>
    <w:rsid w:val="17A65C04"/>
    <w:rsid w:val="17C82214"/>
    <w:rsid w:val="17C972FA"/>
    <w:rsid w:val="18023FB5"/>
    <w:rsid w:val="180A4C18"/>
    <w:rsid w:val="1820443C"/>
    <w:rsid w:val="187A3B4C"/>
    <w:rsid w:val="187C5B16"/>
    <w:rsid w:val="188B14FF"/>
    <w:rsid w:val="18955D2D"/>
    <w:rsid w:val="189E70DE"/>
    <w:rsid w:val="189F33C8"/>
    <w:rsid w:val="18A1732B"/>
    <w:rsid w:val="18AF6446"/>
    <w:rsid w:val="18CB43A7"/>
    <w:rsid w:val="18D13587"/>
    <w:rsid w:val="18D46B77"/>
    <w:rsid w:val="18DF7E53"/>
    <w:rsid w:val="18F51424"/>
    <w:rsid w:val="190A28AF"/>
    <w:rsid w:val="19110CBB"/>
    <w:rsid w:val="19172397"/>
    <w:rsid w:val="19203773"/>
    <w:rsid w:val="19282810"/>
    <w:rsid w:val="194505FE"/>
    <w:rsid w:val="19483C4A"/>
    <w:rsid w:val="195A1EDE"/>
    <w:rsid w:val="196F6835"/>
    <w:rsid w:val="19856C4C"/>
    <w:rsid w:val="19866520"/>
    <w:rsid w:val="19940C3D"/>
    <w:rsid w:val="1998697F"/>
    <w:rsid w:val="19A03A86"/>
    <w:rsid w:val="19A0795C"/>
    <w:rsid w:val="19D92AF4"/>
    <w:rsid w:val="19F35C26"/>
    <w:rsid w:val="1A0538E9"/>
    <w:rsid w:val="1A084B70"/>
    <w:rsid w:val="1A163D48"/>
    <w:rsid w:val="1A19736B"/>
    <w:rsid w:val="1A203775"/>
    <w:rsid w:val="1A383B94"/>
    <w:rsid w:val="1A3D7527"/>
    <w:rsid w:val="1A46462D"/>
    <w:rsid w:val="1A554870"/>
    <w:rsid w:val="1A662169"/>
    <w:rsid w:val="1A705133"/>
    <w:rsid w:val="1AD0039B"/>
    <w:rsid w:val="1AD03EF7"/>
    <w:rsid w:val="1ADA6B24"/>
    <w:rsid w:val="1AE254F2"/>
    <w:rsid w:val="1AEB0D31"/>
    <w:rsid w:val="1B121D3A"/>
    <w:rsid w:val="1B1B5E81"/>
    <w:rsid w:val="1B222DFA"/>
    <w:rsid w:val="1B2435A0"/>
    <w:rsid w:val="1B254CC7"/>
    <w:rsid w:val="1B274760"/>
    <w:rsid w:val="1B497395"/>
    <w:rsid w:val="1B4D19EC"/>
    <w:rsid w:val="1B50328A"/>
    <w:rsid w:val="1B614635"/>
    <w:rsid w:val="1B6D1746"/>
    <w:rsid w:val="1B9B00A9"/>
    <w:rsid w:val="1BB630C1"/>
    <w:rsid w:val="1BC17CE4"/>
    <w:rsid w:val="1BE0267C"/>
    <w:rsid w:val="1C2C1601"/>
    <w:rsid w:val="1C2F2E9F"/>
    <w:rsid w:val="1C38492A"/>
    <w:rsid w:val="1C485D0F"/>
    <w:rsid w:val="1C4F0B8B"/>
    <w:rsid w:val="1C5F46E4"/>
    <w:rsid w:val="1C60574F"/>
    <w:rsid w:val="1C6276B3"/>
    <w:rsid w:val="1C662D65"/>
    <w:rsid w:val="1C753007"/>
    <w:rsid w:val="1C9A2A0F"/>
    <w:rsid w:val="1CA92C5C"/>
    <w:rsid w:val="1CD87093"/>
    <w:rsid w:val="1CF07981"/>
    <w:rsid w:val="1CF87BD9"/>
    <w:rsid w:val="1CFB5A88"/>
    <w:rsid w:val="1D01040A"/>
    <w:rsid w:val="1D012A8E"/>
    <w:rsid w:val="1D230C56"/>
    <w:rsid w:val="1D285447"/>
    <w:rsid w:val="1D38412F"/>
    <w:rsid w:val="1D5E4D92"/>
    <w:rsid w:val="1D632E00"/>
    <w:rsid w:val="1D7A5D3C"/>
    <w:rsid w:val="1D8965DF"/>
    <w:rsid w:val="1D8D4321"/>
    <w:rsid w:val="1D954F84"/>
    <w:rsid w:val="1D9C6BA7"/>
    <w:rsid w:val="1DC85359"/>
    <w:rsid w:val="1DD95F2A"/>
    <w:rsid w:val="1DDC3E11"/>
    <w:rsid w:val="1DE2466D"/>
    <w:rsid w:val="1DEF0B38"/>
    <w:rsid w:val="1DFE521F"/>
    <w:rsid w:val="1E081BFA"/>
    <w:rsid w:val="1E14234D"/>
    <w:rsid w:val="1E154EB3"/>
    <w:rsid w:val="1E1965DF"/>
    <w:rsid w:val="1E360515"/>
    <w:rsid w:val="1E3C6860"/>
    <w:rsid w:val="1E5E3995"/>
    <w:rsid w:val="1E613D0C"/>
    <w:rsid w:val="1E6A65D5"/>
    <w:rsid w:val="1E81738D"/>
    <w:rsid w:val="1E8618AA"/>
    <w:rsid w:val="1E8E65A3"/>
    <w:rsid w:val="1E982F7E"/>
    <w:rsid w:val="1E9A6CF6"/>
    <w:rsid w:val="1ED27475"/>
    <w:rsid w:val="1ED3045A"/>
    <w:rsid w:val="1ED45E22"/>
    <w:rsid w:val="1ED61CF8"/>
    <w:rsid w:val="1EE879B6"/>
    <w:rsid w:val="1EF503D0"/>
    <w:rsid w:val="1F073C5F"/>
    <w:rsid w:val="1F0B3750"/>
    <w:rsid w:val="1F4153C3"/>
    <w:rsid w:val="1F444276"/>
    <w:rsid w:val="1F585820"/>
    <w:rsid w:val="1F5E658E"/>
    <w:rsid w:val="1F7B107E"/>
    <w:rsid w:val="1F833C2E"/>
    <w:rsid w:val="1F8E4D0D"/>
    <w:rsid w:val="1F8E612F"/>
    <w:rsid w:val="1F933265"/>
    <w:rsid w:val="1F933745"/>
    <w:rsid w:val="1F941997"/>
    <w:rsid w:val="1F9C6A9E"/>
    <w:rsid w:val="1FA83694"/>
    <w:rsid w:val="1FB65DB1"/>
    <w:rsid w:val="1FC2498B"/>
    <w:rsid w:val="1FFC578E"/>
    <w:rsid w:val="1FFE1506"/>
    <w:rsid w:val="1FFE5062"/>
    <w:rsid w:val="201C198C"/>
    <w:rsid w:val="203767C6"/>
    <w:rsid w:val="2039253E"/>
    <w:rsid w:val="203C020F"/>
    <w:rsid w:val="2043516B"/>
    <w:rsid w:val="207D68CF"/>
    <w:rsid w:val="20923F96"/>
    <w:rsid w:val="2096528F"/>
    <w:rsid w:val="209B4FA7"/>
    <w:rsid w:val="209B6D55"/>
    <w:rsid w:val="209F6845"/>
    <w:rsid w:val="20A42F05"/>
    <w:rsid w:val="20A774A8"/>
    <w:rsid w:val="20AB6760"/>
    <w:rsid w:val="20C067BC"/>
    <w:rsid w:val="20CF69FF"/>
    <w:rsid w:val="21134B3E"/>
    <w:rsid w:val="215533A8"/>
    <w:rsid w:val="215E22A9"/>
    <w:rsid w:val="215E79BE"/>
    <w:rsid w:val="216E2542"/>
    <w:rsid w:val="21821CC3"/>
    <w:rsid w:val="21863561"/>
    <w:rsid w:val="21983295"/>
    <w:rsid w:val="219A0DBB"/>
    <w:rsid w:val="21A734D8"/>
    <w:rsid w:val="21A80E9D"/>
    <w:rsid w:val="21C8620E"/>
    <w:rsid w:val="21CB2917"/>
    <w:rsid w:val="21CB7152"/>
    <w:rsid w:val="21DA1AFF"/>
    <w:rsid w:val="21E169EA"/>
    <w:rsid w:val="21F506E7"/>
    <w:rsid w:val="2207555D"/>
    <w:rsid w:val="222D7D43"/>
    <w:rsid w:val="225B49EE"/>
    <w:rsid w:val="22675C42"/>
    <w:rsid w:val="227E06DD"/>
    <w:rsid w:val="22813E3B"/>
    <w:rsid w:val="229E48DB"/>
    <w:rsid w:val="22A923AC"/>
    <w:rsid w:val="22D4654E"/>
    <w:rsid w:val="22E907A2"/>
    <w:rsid w:val="22EE3A71"/>
    <w:rsid w:val="22F17100"/>
    <w:rsid w:val="23137077"/>
    <w:rsid w:val="23261B35"/>
    <w:rsid w:val="23330577"/>
    <w:rsid w:val="2338088B"/>
    <w:rsid w:val="233F31F6"/>
    <w:rsid w:val="234A6048"/>
    <w:rsid w:val="23573852"/>
    <w:rsid w:val="235A75F8"/>
    <w:rsid w:val="235E2BD1"/>
    <w:rsid w:val="235F22BC"/>
    <w:rsid w:val="235F2990"/>
    <w:rsid w:val="2378337E"/>
    <w:rsid w:val="239179D6"/>
    <w:rsid w:val="23BC3AB0"/>
    <w:rsid w:val="23F67FA6"/>
    <w:rsid w:val="240069B4"/>
    <w:rsid w:val="241035B6"/>
    <w:rsid w:val="2429545C"/>
    <w:rsid w:val="244D3098"/>
    <w:rsid w:val="246F2824"/>
    <w:rsid w:val="24773F32"/>
    <w:rsid w:val="249441E7"/>
    <w:rsid w:val="24997A50"/>
    <w:rsid w:val="249C4BBB"/>
    <w:rsid w:val="24AE5C38"/>
    <w:rsid w:val="24C745BD"/>
    <w:rsid w:val="24D6035C"/>
    <w:rsid w:val="25267DED"/>
    <w:rsid w:val="252E056F"/>
    <w:rsid w:val="25361296"/>
    <w:rsid w:val="2536529E"/>
    <w:rsid w:val="25381017"/>
    <w:rsid w:val="253F23A5"/>
    <w:rsid w:val="254B5DAB"/>
    <w:rsid w:val="254D531C"/>
    <w:rsid w:val="256421C0"/>
    <w:rsid w:val="256A1D55"/>
    <w:rsid w:val="256C6F12"/>
    <w:rsid w:val="257A162F"/>
    <w:rsid w:val="258E20A6"/>
    <w:rsid w:val="25902676"/>
    <w:rsid w:val="25A42208"/>
    <w:rsid w:val="25B244A0"/>
    <w:rsid w:val="25D20C73"/>
    <w:rsid w:val="25DA0320"/>
    <w:rsid w:val="25DE2665"/>
    <w:rsid w:val="25E116AE"/>
    <w:rsid w:val="25E91C5D"/>
    <w:rsid w:val="25F0544D"/>
    <w:rsid w:val="25F34F3E"/>
    <w:rsid w:val="25F82554"/>
    <w:rsid w:val="26061B44"/>
    <w:rsid w:val="26192BF6"/>
    <w:rsid w:val="262275D1"/>
    <w:rsid w:val="26345C82"/>
    <w:rsid w:val="263C68E5"/>
    <w:rsid w:val="265026DD"/>
    <w:rsid w:val="267B565F"/>
    <w:rsid w:val="267C3185"/>
    <w:rsid w:val="267E514F"/>
    <w:rsid w:val="268A7650"/>
    <w:rsid w:val="26997893"/>
    <w:rsid w:val="26AA4381"/>
    <w:rsid w:val="26AB7EF8"/>
    <w:rsid w:val="26B20955"/>
    <w:rsid w:val="26CA4055"/>
    <w:rsid w:val="26CC5EBA"/>
    <w:rsid w:val="2700271D"/>
    <w:rsid w:val="2721701E"/>
    <w:rsid w:val="27277595"/>
    <w:rsid w:val="27286E18"/>
    <w:rsid w:val="2758774E"/>
    <w:rsid w:val="276C144B"/>
    <w:rsid w:val="27750300"/>
    <w:rsid w:val="277D0F63"/>
    <w:rsid w:val="27A6670B"/>
    <w:rsid w:val="27A75FE0"/>
    <w:rsid w:val="27A97FAA"/>
    <w:rsid w:val="27B8643F"/>
    <w:rsid w:val="27C13545"/>
    <w:rsid w:val="27F2140A"/>
    <w:rsid w:val="27F932B3"/>
    <w:rsid w:val="2803474D"/>
    <w:rsid w:val="28093045"/>
    <w:rsid w:val="280B47C0"/>
    <w:rsid w:val="281776AC"/>
    <w:rsid w:val="282D5367"/>
    <w:rsid w:val="2835183D"/>
    <w:rsid w:val="284B3BC6"/>
    <w:rsid w:val="28645A37"/>
    <w:rsid w:val="287700A8"/>
    <w:rsid w:val="288527C5"/>
    <w:rsid w:val="28893937"/>
    <w:rsid w:val="28A07901"/>
    <w:rsid w:val="28A16ED3"/>
    <w:rsid w:val="28A94DC4"/>
    <w:rsid w:val="28BF680B"/>
    <w:rsid w:val="28CA642A"/>
    <w:rsid w:val="28D67A7C"/>
    <w:rsid w:val="28DB4EF1"/>
    <w:rsid w:val="29011C0D"/>
    <w:rsid w:val="29020F68"/>
    <w:rsid w:val="29213387"/>
    <w:rsid w:val="29315676"/>
    <w:rsid w:val="29336BF5"/>
    <w:rsid w:val="293715E5"/>
    <w:rsid w:val="29515CEB"/>
    <w:rsid w:val="29521364"/>
    <w:rsid w:val="295403E9"/>
    <w:rsid w:val="295D5ECC"/>
    <w:rsid w:val="29681708"/>
    <w:rsid w:val="29763724"/>
    <w:rsid w:val="2984482A"/>
    <w:rsid w:val="29961D73"/>
    <w:rsid w:val="2996630C"/>
    <w:rsid w:val="29B64C00"/>
    <w:rsid w:val="29CC1191"/>
    <w:rsid w:val="29D82DC8"/>
    <w:rsid w:val="29DD78B8"/>
    <w:rsid w:val="2A112973"/>
    <w:rsid w:val="2A135BAE"/>
    <w:rsid w:val="2A1C2CB5"/>
    <w:rsid w:val="2A1D0A4A"/>
    <w:rsid w:val="2A241B69"/>
    <w:rsid w:val="2A2B114A"/>
    <w:rsid w:val="2A391AB9"/>
    <w:rsid w:val="2A4915D0"/>
    <w:rsid w:val="2A522E74"/>
    <w:rsid w:val="2A573CED"/>
    <w:rsid w:val="2A720B27"/>
    <w:rsid w:val="2A742AF1"/>
    <w:rsid w:val="2A7A3E7F"/>
    <w:rsid w:val="2A950CB9"/>
    <w:rsid w:val="2A9A007E"/>
    <w:rsid w:val="2AA07B14"/>
    <w:rsid w:val="2AAF7153"/>
    <w:rsid w:val="2AD43590"/>
    <w:rsid w:val="2AD510B6"/>
    <w:rsid w:val="2AF53506"/>
    <w:rsid w:val="2B0F51B9"/>
    <w:rsid w:val="2B1240B8"/>
    <w:rsid w:val="2B1716CE"/>
    <w:rsid w:val="2B2A31B0"/>
    <w:rsid w:val="2B3109E2"/>
    <w:rsid w:val="2B6352AF"/>
    <w:rsid w:val="2B69403C"/>
    <w:rsid w:val="2B7F0A04"/>
    <w:rsid w:val="2B8D1CAE"/>
    <w:rsid w:val="2BC5112A"/>
    <w:rsid w:val="2BE45A54"/>
    <w:rsid w:val="2BFE65D6"/>
    <w:rsid w:val="2BFF63EA"/>
    <w:rsid w:val="2C1A1476"/>
    <w:rsid w:val="2C1F4CDE"/>
    <w:rsid w:val="2C333511"/>
    <w:rsid w:val="2C477D91"/>
    <w:rsid w:val="2C6F1ADB"/>
    <w:rsid w:val="2C9337FC"/>
    <w:rsid w:val="2C9A25B7"/>
    <w:rsid w:val="2CAB0E29"/>
    <w:rsid w:val="2CAB6572"/>
    <w:rsid w:val="2CAE39BA"/>
    <w:rsid w:val="2CB573F1"/>
    <w:rsid w:val="2CEB696E"/>
    <w:rsid w:val="2CED26E7"/>
    <w:rsid w:val="2CF0667B"/>
    <w:rsid w:val="2D18318D"/>
    <w:rsid w:val="2D300EFC"/>
    <w:rsid w:val="2D3F513B"/>
    <w:rsid w:val="2D6A3D37"/>
    <w:rsid w:val="2D742E08"/>
    <w:rsid w:val="2D895C4C"/>
    <w:rsid w:val="2DA57465"/>
    <w:rsid w:val="2DB11400"/>
    <w:rsid w:val="2DC97D1C"/>
    <w:rsid w:val="2DD41AF8"/>
    <w:rsid w:val="2DD85145"/>
    <w:rsid w:val="2DEB5BE1"/>
    <w:rsid w:val="2DF14458"/>
    <w:rsid w:val="2DF45CF7"/>
    <w:rsid w:val="2E0B376C"/>
    <w:rsid w:val="2E1B4BAE"/>
    <w:rsid w:val="2E254102"/>
    <w:rsid w:val="2E2C7253"/>
    <w:rsid w:val="2E304F81"/>
    <w:rsid w:val="2E312AA7"/>
    <w:rsid w:val="2E316A88"/>
    <w:rsid w:val="2E3879E0"/>
    <w:rsid w:val="2E4A2DDA"/>
    <w:rsid w:val="2E5721D6"/>
    <w:rsid w:val="2E592537"/>
    <w:rsid w:val="2E870919"/>
    <w:rsid w:val="2E9F5C62"/>
    <w:rsid w:val="2EA8315E"/>
    <w:rsid w:val="2EB1632E"/>
    <w:rsid w:val="2EB57CA5"/>
    <w:rsid w:val="2EBE07DF"/>
    <w:rsid w:val="2EDE49DD"/>
    <w:rsid w:val="2EED10C4"/>
    <w:rsid w:val="2EF3743D"/>
    <w:rsid w:val="2F0106CB"/>
    <w:rsid w:val="2F1777F0"/>
    <w:rsid w:val="2F19499B"/>
    <w:rsid w:val="2F2A7575"/>
    <w:rsid w:val="2F3445FD"/>
    <w:rsid w:val="2F4E399B"/>
    <w:rsid w:val="2F4E73B6"/>
    <w:rsid w:val="2F4F1437"/>
    <w:rsid w:val="2F633F94"/>
    <w:rsid w:val="2F6E42FA"/>
    <w:rsid w:val="2F8108E2"/>
    <w:rsid w:val="2F972DDE"/>
    <w:rsid w:val="2FA06136"/>
    <w:rsid w:val="2FB35E69"/>
    <w:rsid w:val="2FC16BFF"/>
    <w:rsid w:val="2FF40284"/>
    <w:rsid w:val="301D32E3"/>
    <w:rsid w:val="3049232A"/>
    <w:rsid w:val="305603A6"/>
    <w:rsid w:val="30654D09"/>
    <w:rsid w:val="306A22A0"/>
    <w:rsid w:val="3086532C"/>
    <w:rsid w:val="308B51BC"/>
    <w:rsid w:val="30936FF5"/>
    <w:rsid w:val="30963095"/>
    <w:rsid w:val="309C45E7"/>
    <w:rsid w:val="30A12166"/>
    <w:rsid w:val="30A13BD7"/>
    <w:rsid w:val="30B71989"/>
    <w:rsid w:val="30CA0702"/>
    <w:rsid w:val="30D51E0F"/>
    <w:rsid w:val="310F320C"/>
    <w:rsid w:val="311D630A"/>
    <w:rsid w:val="31313A34"/>
    <w:rsid w:val="315C0D08"/>
    <w:rsid w:val="317F1A54"/>
    <w:rsid w:val="31B3446B"/>
    <w:rsid w:val="31C364EC"/>
    <w:rsid w:val="31CC4FC0"/>
    <w:rsid w:val="31D41044"/>
    <w:rsid w:val="31D64091"/>
    <w:rsid w:val="31D976DD"/>
    <w:rsid w:val="31EE6F31"/>
    <w:rsid w:val="31F77B64"/>
    <w:rsid w:val="31FB5844"/>
    <w:rsid w:val="31FB7654"/>
    <w:rsid w:val="31FD1366"/>
    <w:rsid w:val="32153953"/>
    <w:rsid w:val="32186458"/>
    <w:rsid w:val="32195D2C"/>
    <w:rsid w:val="321E77E6"/>
    <w:rsid w:val="32236BAB"/>
    <w:rsid w:val="3243731A"/>
    <w:rsid w:val="32780945"/>
    <w:rsid w:val="32894E5A"/>
    <w:rsid w:val="328E591A"/>
    <w:rsid w:val="32B1065A"/>
    <w:rsid w:val="32BF4B25"/>
    <w:rsid w:val="32C74EEE"/>
    <w:rsid w:val="32D0288E"/>
    <w:rsid w:val="32F02F31"/>
    <w:rsid w:val="32F26CA9"/>
    <w:rsid w:val="330469DC"/>
    <w:rsid w:val="332E1CAB"/>
    <w:rsid w:val="3341378C"/>
    <w:rsid w:val="33490375"/>
    <w:rsid w:val="336456CD"/>
    <w:rsid w:val="336C4791"/>
    <w:rsid w:val="337F6063"/>
    <w:rsid w:val="339733AC"/>
    <w:rsid w:val="33A13E34"/>
    <w:rsid w:val="33BB353F"/>
    <w:rsid w:val="33D44600"/>
    <w:rsid w:val="33EA7980"/>
    <w:rsid w:val="33EB3806"/>
    <w:rsid w:val="33F94067"/>
    <w:rsid w:val="33FD557F"/>
    <w:rsid w:val="34082B44"/>
    <w:rsid w:val="341669C7"/>
    <w:rsid w:val="341A3513"/>
    <w:rsid w:val="342D2461"/>
    <w:rsid w:val="342F1837"/>
    <w:rsid w:val="344F012B"/>
    <w:rsid w:val="347C7A35"/>
    <w:rsid w:val="34931DC5"/>
    <w:rsid w:val="349B3370"/>
    <w:rsid w:val="34A02734"/>
    <w:rsid w:val="34B41D3C"/>
    <w:rsid w:val="34D04DC8"/>
    <w:rsid w:val="34DA3F60"/>
    <w:rsid w:val="34E24AFB"/>
    <w:rsid w:val="34F226A3"/>
    <w:rsid w:val="34FC3E0F"/>
    <w:rsid w:val="34FC447A"/>
    <w:rsid w:val="351C2BB8"/>
    <w:rsid w:val="352E7D40"/>
    <w:rsid w:val="353802ED"/>
    <w:rsid w:val="35380BBF"/>
    <w:rsid w:val="3538296D"/>
    <w:rsid w:val="353A713F"/>
    <w:rsid w:val="35513922"/>
    <w:rsid w:val="356E0679"/>
    <w:rsid w:val="357F059C"/>
    <w:rsid w:val="357F575F"/>
    <w:rsid w:val="357F5BD0"/>
    <w:rsid w:val="358D3C5A"/>
    <w:rsid w:val="3592002F"/>
    <w:rsid w:val="35AA397D"/>
    <w:rsid w:val="35BF4E3C"/>
    <w:rsid w:val="35F43F4A"/>
    <w:rsid w:val="35F63E63"/>
    <w:rsid w:val="36056CF3"/>
    <w:rsid w:val="36472C31"/>
    <w:rsid w:val="365C3BAD"/>
    <w:rsid w:val="366072AB"/>
    <w:rsid w:val="366150EE"/>
    <w:rsid w:val="366A4DA8"/>
    <w:rsid w:val="36703DC4"/>
    <w:rsid w:val="3676199F"/>
    <w:rsid w:val="367F7DF8"/>
    <w:rsid w:val="36941E25"/>
    <w:rsid w:val="36AB243C"/>
    <w:rsid w:val="36BB0808"/>
    <w:rsid w:val="36BF3346"/>
    <w:rsid w:val="36C031C8"/>
    <w:rsid w:val="36C33AFE"/>
    <w:rsid w:val="36C95B54"/>
    <w:rsid w:val="36D30B9F"/>
    <w:rsid w:val="36DA1F2E"/>
    <w:rsid w:val="36E508D2"/>
    <w:rsid w:val="36F037DC"/>
    <w:rsid w:val="37133692"/>
    <w:rsid w:val="37140E86"/>
    <w:rsid w:val="37206361"/>
    <w:rsid w:val="3728009E"/>
    <w:rsid w:val="374A67D1"/>
    <w:rsid w:val="376E08C8"/>
    <w:rsid w:val="378F1341"/>
    <w:rsid w:val="3790083E"/>
    <w:rsid w:val="37914E1C"/>
    <w:rsid w:val="379876F3"/>
    <w:rsid w:val="37995670"/>
    <w:rsid w:val="37B02C8E"/>
    <w:rsid w:val="37B7401D"/>
    <w:rsid w:val="37B81B43"/>
    <w:rsid w:val="380958D5"/>
    <w:rsid w:val="381C6576"/>
    <w:rsid w:val="3825367C"/>
    <w:rsid w:val="384B0C09"/>
    <w:rsid w:val="38530FF4"/>
    <w:rsid w:val="38575DB5"/>
    <w:rsid w:val="385F3BBA"/>
    <w:rsid w:val="386E183D"/>
    <w:rsid w:val="387168C2"/>
    <w:rsid w:val="388243D6"/>
    <w:rsid w:val="38AE5AAE"/>
    <w:rsid w:val="38AF73EA"/>
    <w:rsid w:val="38BE211F"/>
    <w:rsid w:val="38C232C9"/>
    <w:rsid w:val="38C5558A"/>
    <w:rsid w:val="38CB4FA9"/>
    <w:rsid w:val="38DD71EC"/>
    <w:rsid w:val="38EA0422"/>
    <w:rsid w:val="39115111"/>
    <w:rsid w:val="391334D5"/>
    <w:rsid w:val="391978EF"/>
    <w:rsid w:val="39364146"/>
    <w:rsid w:val="3950297B"/>
    <w:rsid w:val="3962620A"/>
    <w:rsid w:val="396C52DB"/>
    <w:rsid w:val="397A17A6"/>
    <w:rsid w:val="39830DE6"/>
    <w:rsid w:val="39891B3E"/>
    <w:rsid w:val="398A1150"/>
    <w:rsid w:val="39C60B71"/>
    <w:rsid w:val="39D0617D"/>
    <w:rsid w:val="39FF1E0A"/>
    <w:rsid w:val="3A0A0D7C"/>
    <w:rsid w:val="3A0D43C8"/>
    <w:rsid w:val="3A105C66"/>
    <w:rsid w:val="3A135A35"/>
    <w:rsid w:val="3A1C460B"/>
    <w:rsid w:val="3A2B6F44"/>
    <w:rsid w:val="3A347BA7"/>
    <w:rsid w:val="3A445910"/>
    <w:rsid w:val="3A573895"/>
    <w:rsid w:val="3A613026"/>
    <w:rsid w:val="3A886145"/>
    <w:rsid w:val="3AA36ADA"/>
    <w:rsid w:val="3AB17012"/>
    <w:rsid w:val="3ABB3136"/>
    <w:rsid w:val="3ABF22C1"/>
    <w:rsid w:val="3ACA050B"/>
    <w:rsid w:val="3AFB60DC"/>
    <w:rsid w:val="3B286FE0"/>
    <w:rsid w:val="3B2F65C0"/>
    <w:rsid w:val="3B583D69"/>
    <w:rsid w:val="3B5D2AB7"/>
    <w:rsid w:val="3B6B615A"/>
    <w:rsid w:val="3B7B3C9E"/>
    <w:rsid w:val="3B7F22D6"/>
    <w:rsid w:val="3B9A1EA4"/>
    <w:rsid w:val="3B9A52EF"/>
    <w:rsid w:val="3BB15227"/>
    <w:rsid w:val="3BBC42F8"/>
    <w:rsid w:val="3BBF7944"/>
    <w:rsid w:val="3BC523B7"/>
    <w:rsid w:val="3BE54A14"/>
    <w:rsid w:val="3BE55A49"/>
    <w:rsid w:val="3BE86E9B"/>
    <w:rsid w:val="3BF750E1"/>
    <w:rsid w:val="3C0C4D5B"/>
    <w:rsid w:val="3C293BC2"/>
    <w:rsid w:val="3C2B4FD9"/>
    <w:rsid w:val="3C2F4ACA"/>
    <w:rsid w:val="3C3F6EED"/>
    <w:rsid w:val="3C495460"/>
    <w:rsid w:val="3C6F3118"/>
    <w:rsid w:val="3C74613C"/>
    <w:rsid w:val="3C7E2B25"/>
    <w:rsid w:val="3C8B3CCA"/>
    <w:rsid w:val="3CA01012"/>
    <w:rsid w:val="3CAA05F4"/>
    <w:rsid w:val="3CAD3C40"/>
    <w:rsid w:val="3CB202D6"/>
    <w:rsid w:val="3CB4035B"/>
    <w:rsid w:val="3CB52AF5"/>
    <w:rsid w:val="3CBF48A4"/>
    <w:rsid w:val="3CD613E9"/>
    <w:rsid w:val="3CE401C5"/>
    <w:rsid w:val="3CE91981"/>
    <w:rsid w:val="3CEB3E3A"/>
    <w:rsid w:val="3CF3655B"/>
    <w:rsid w:val="3CFA5F40"/>
    <w:rsid w:val="3D163594"/>
    <w:rsid w:val="3D207281"/>
    <w:rsid w:val="3D2C2DB7"/>
    <w:rsid w:val="3D303A6E"/>
    <w:rsid w:val="3D672041"/>
    <w:rsid w:val="3D6A7D83"/>
    <w:rsid w:val="3D7B789B"/>
    <w:rsid w:val="3DB00D18"/>
    <w:rsid w:val="3DC9653B"/>
    <w:rsid w:val="3DC96858"/>
    <w:rsid w:val="3DD1395F"/>
    <w:rsid w:val="3DD31EFC"/>
    <w:rsid w:val="3DEB4E28"/>
    <w:rsid w:val="3DF6111A"/>
    <w:rsid w:val="3DF94B88"/>
    <w:rsid w:val="3E1C2E2C"/>
    <w:rsid w:val="3E444130"/>
    <w:rsid w:val="3E45258B"/>
    <w:rsid w:val="3E5C18F5"/>
    <w:rsid w:val="3E8F7AA2"/>
    <w:rsid w:val="3EAC433E"/>
    <w:rsid w:val="3ECA2888"/>
    <w:rsid w:val="3EDA1E89"/>
    <w:rsid w:val="3EE55332"/>
    <w:rsid w:val="3EF47905"/>
    <w:rsid w:val="3EFC4A0B"/>
    <w:rsid w:val="3F1B7587"/>
    <w:rsid w:val="3F2006FA"/>
    <w:rsid w:val="3F2432A9"/>
    <w:rsid w:val="3F2C3542"/>
    <w:rsid w:val="3F2F6685"/>
    <w:rsid w:val="3F316DAB"/>
    <w:rsid w:val="3F367F1D"/>
    <w:rsid w:val="3F4C7741"/>
    <w:rsid w:val="3F514D57"/>
    <w:rsid w:val="3F520ACF"/>
    <w:rsid w:val="3F6F38B1"/>
    <w:rsid w:val="3F815597"/>
    <w:rsid w:val="3F8C0675"/>
    <w:rsid w:val="3F963654"/>
    <w:rsid w:val="3FA53259"/>
    <w:rsid w:val="3FB65236"/>
    <w:rsid w:val="3FBE071F"/>
    <w:rsid w:val="3FFA0F65"/>
    <w:rsid w:val="400E7381"/>
    <w:rsid w:val="40104C12"/>
    <w:rsid w:val="403B61BE"/>
    <w:rsid w:val="403C77B5"/>
    <w:rsid w:val="403D6568"/>
    <w:rsid w:val="404C2CAF"/>
    <w:rsid w:val="40552625"/>
    <w:rsid w:val="406B6A21"/>
    <w:rsid w:val="40784565"/>
    <w:rsid w:val="408745C2"/>
    <w:rsid w:val="40A62E81"/>
    <w:rsid w:val="40AF442B"/>
    <w:rsid w:val="40BD01A1"/>
    <w:rsid w:val="40C94DC1"/>
    <w:rsid w:val="40CD3FF4"/>
    <w:rsid w:val="40D47F63"/>
    <w:rsid w:val="40D6411C"/>
    <w:rsid w:val="40E565CA"/>
    <w:rsid w:val="40EB2F89"/>
    <w:rsid w:val="40F77B80"/>
    <w:rsid w:val="4105337E"/>
    <w:rsid w:val="4108613C"/>
    <w:rsid w:val="411F101A"/>
    <w:rsid w:val="412532A9"/>
    <w:rsid w:val="413C5593"/>
    <w:rsid w:val="41511589"/>
    <w:rsid w:val="41593DF8"/>
    <w:rsid w:val="415957F8"/>
    <w:rsid w:val="41670862"/>
    <w:rsid w:val="41760AA5"/>
    <w:rsid w:val="41993698"/>
    <w:rsid w:val="419E624E"/>
    <w:rsid w:val="41AA4BF2"/>
    <w:rsid w:val="41CA7043"/>
    <w:rsid w:val="41E35FAA"/>
    <w:rsid w:val="41F3622B"/>
    <w:rsid w:val="41F6443A"/>
    <w:rsid w:val="41FF65A5"/>
    <w:rsid w:val="42067245"/>
    <w:rsid w:val="42336996"/>
    <w:rsid w:val="42417305"/>
    <w:rsid w:val="42472441"/>
    <w:rsid w:val="424B0183"/>
    <w:rsid w:val="424C6071"/>
    <w:rsid w:val="425773AB"/>
    <w:rsid w:val="426B6130"/>
    <w:rsid w:val="42816EC0"/>
    <w:rsid w:val="42B62EBF"/>
    <w:rsid w:val="42BF13A8"/>
    <w:rsid w:val="42C73FA3"/>
    <w:rsid w:val="42CB7F02"/>
    <w:rsid w:val="42D303DE"/>
    <w:rsid w:val="42D81D62"/>
    <w:rsid w:val="42DC004C"/>
    <w:rsid w:val="42E1242C"/>
    <w:rsid w:val="42E163F2"/>
    <w:rsid w:val="42F92679"/>
    <w:rsid w:val="42FB3958"/>
    <w:rsid w:val="42FD6AEA"/>
    <w:rsid w:val="43066BB7"/>
    <w:rsid w:val="430F26D4"/>
    <w:rsid w:val="43170066"/>
    <w:rsid w:val="432A251A"/>
    <w:rsid w:val="432A61EE"/>
    <w:rsid w:val="436239D7"/>
    <w:rsid w:val="43714A4A"/>
    <w:rsid w:val="4372194D"/>
    <w:rsid w:val="43A01E09"/>
    <w:rsid w:val="43BD0C0D"/>
    <w:rsid w:val="43D30AB1"/>
    <w:rsid w:val="43E04ECE"/>
    <w:rsid w:val="43FB34E3"/>
    <w:rsid w:val="4416031D"/>
    <w:rsid w:val="44224F14"/>
    <w:rsid w:val="44242A3A"/>
    <w:rsid w:val="44242BF2"/>
    <w:rsid w:val="44295A18"/>
    <w:rsid w:val="443600D1"/>
    <w:rsid w:val="44422052"/>
    <w:rsid w:val="4446213C"/>
    <w:rsid w:val="444E4E5B"/>
    <w:rsid w:val="44501A81"/>
    <w:rsid w:val="44557097"/>
    <w:rsid w:val="445B0426"/>
    <w:rsid w:val="447A4D50"/>
    <w:rsid w:val="448C0A90"/>
    <w:rsid w:val="44915BF6"/>
    <w:rsid w:val="44A1052F"/>
    <w:rsid w:val="44A775E9"/>
    <w:rsid w:val="44B85878"/>
    <w:rsid w:val="44D0671E"/>
    <w:rsid w:val="44E16B7D"/>
    <w:rsid w:val="44E560B2"/>
    <w:rsid w:val="44EA2F34"/>
    <w:rsid w:val="44F57952"/>
    <w:rsid w:val="44F763A1"/>
    <w:rsid w:val="44F86CE1"/>
    <w:rsid w:val="44FB67ED"/>
    <w:rsid w:val="45097E82"/>
    <w:rsid w:val="45162B00"/>
    <w:rsid w:val="451A5BEB"/>
    <w:rsid w:val="452254A5"/>
    <w:rsid w:val="45380515"/>
    <w:rsid w:val="453942C3"/>
    <w:rsid w:val="453F3F6E"/>
    <w:rsid w:val="4541177A"/>
    <w:rsid w:val="454C6212"/>
    <w:rsid w:val="455870C9"/>
    <w:rsid w:val="455A248C"/>
    <w:rsid w:val="455C26A8"/>
    <w:rsid w:val="455E01CE"/>
    <w:rsid w:val="45682DFA"/>
    <w:rsid w:val="45701CAF"/>
    <w:rsid w:val="4586275D"/>
    <w:rsid w:val="45A100BA"/>
    <w:rsid w:val="45CC4274"/>
    <w:rsid w:val="45D35BB2"/>
    <w:rsid w:val="45D64208"/>
    <w:rsid w:val="45DE620E"/>
    <w:rsid w:val="45E958C2"/>
    <w:rsid w:val="45EB67D2"/>
    <w:rsid w:val="4609638B"/>
    <w:rsid w:val="46144D30"/>
    <w:rsid w:val="46160AA8"/>
    <w:rsid w:val="461B1C1B"/>
    <w:rsid w:val="463B406B"/>
    <w:rsid w:val="46412573"/>
    <w:rsid w:val="464F7B16"/>
    <w:rsid w:val="46525488"/>
    <w:rsid w:val="46554453"/>
    <w:rsid w:val="465B1E84"/>
    <w:rsid w:val="46804174"/>
    <w:rsid w:val="468C64C8"/>
    <w:rsid w:val="46A75BA4"/>
    <w:rsid w:val="46B9431C"/>
    <w:rsid w:val="46D83FB0"/>
    <w:rsid w:val="46DC584E"/>
    <w:rsid w:val="46DD15C6"/>
    <w:rsid w:val="46DF0E9A"/>
    <w:rsid w:val="46F069CC"/>
    <w:rsid w:val="46FD0452"/>
    <w:rsid w:val="46FE1EC1"/>
    <w:rsid w:val="46FF24EF"/>
    <w:rsid w:val="46FF32EA"/>
    <w:rsid w:val="47173339"/>
    <w:rsid w:val="471D19C3"/>
    <w:rsid w:val="4726180B"/>
    <w:rsid w:val="473A2575"/>
    <w:rsid w:val="473B6AF6"/>
    <w:rsid w:val="473F1CAF"/>
    <w:rsid w:val="47631ACB"/>
    <w:rsid w:val="47681176"/>
    <w:rsid w:val="476D22CC"/>
    <w:rsid w:val="477C0DDF"/>
    <w:rsid w:val="478B23DE"/>
    <w:rsid w:val="47905353"/>
    <w:rsid w:val="479271AB"/>
    <w:rsid w:val="479903C6"/>
    <w:rsid w:val="479B74B7"/>
    <w:rsid w:val="47AF0CB0"/>
    <w:rsid w:val="47C14A44"/>
    <w:rsid w:val="47ED5839"/>
    <w:rsid w:val="47EE3876"/>
    <w:rsid w:val="47FC0C33"/>
    <w:rsid w:val="482B052A"/>
    <w:rsid w:val="482F19AD"/>
    <w:rsid w:val="48321BFE"/>
    <w:rsid w:val="483B2A48"/>
    <w:rsid w:val="483D40CA"/>
    <w:rsid w:val="4840005F"/>
    <w:rsid w:val="484F2050"/>
    <w:rsid w:val="487A3570"/>
    <w:rsid w:val="487F60CE"/>
    <w:rsid w:val="48A25013"/>
    <w:rsid w:val="48AB372A"/>
    <w:rsid w:val="48D24757"/>
    <w:rsid w:val="48DF1625"/>
    <w:rsid w:val="48E71DE0"/>
    <w:rsid w:val="48E955FE"/>
    <w:rsid w:val="48F50E49"/>
    <w:rsid w:val="49184B37"/>
    <w:rsid w:val="49331BA1"/>
    <w:rsid w:val="49341590"/>
    <w:rsid w:val="494476DB"/>
    <w:rsid w:val="49494CF1"/>
    <w:rsid w:val="49583186"/>
    <w:rsid w:val="49650D95"/>
    <w:rsid w:val="49775F25"/>
    <w:rsid w:val="49830203"/>
    <w:rsid w:val="498875C7"/>
    <w:rsid w:val="499A72FA"/>
    <w:rsid w:val="49A81A17"/>
    <w:rsid w:val="49B900C8"/>
    <w:rsid w:val="49B948C6"/>
    <w:rsid w:val="49C36851"/>
    <w:rsid w:val="49C86EBE"/>
    <w:rsid w:val="4A143551"/>
    <w:rsid w:val="4A394D65"/>
    <w:rsid w:val="4A3B4F46"/>
    <w:rsid w:val="4A47274A"/>
    <w:rsid w:val="4A58168F"/>
    <w:rsid w:val="4A5971B6"/>
    <w:rsid w:val="4A5C2802"/>
    <w:rsid w:val="4A857FAB"/>
    <w:rsid w:val="4A871F75"/>
    <w:rsid w:val="4A9457E6"/>
    <w:rsid w:val="4A9F72BE"/>
    <w:rsid w:val="4AAC5537"/>
    <w:rsid w:val="4AC16991"/>
    <w:rsid w:val="4AC24D5B"/>
    <w:rsid w:val="4ACB602B"/>
    <w:rsid w:val="4ACE1952"/>
    <w:rsid w:val="4AE44CD1"/>
    <w:rsid w:val="4AEC1DD8"/>
    <w:rsid w:val="4AEC6DA7"/>
    <w:rsid w:val="4B0F4B86"/>
    <w:rsid w:val="4B200A28"/>
    <w:rsid w:val="4B4E4840"/>
    <w:rsid w:val="4B582164"/>
    <w:rsid w:val="4B585BB2"/>
    <w:rsid w:val="4B6E6C91"/>
    <w:rsid w:val="4B7324F9"/>
    <w:rsid w:val="4B8137BE"/>
    <w:rsid w:val="4B814C16"/>
    <w:rsid w:val="4B8169C4"/>
    <w:rsid w:val="4B8270B7"/>
    <w:rsid w:val="4B863FDA"/>
    <w:rsid w:val="4B882CCA"/>
    <w:rsid w:val="4B897627"/>
    <w:rsid w:val="4B9009B5"/>
    <w:rsid w:val="4BA803F5"/>
    <w:rsid w:val="4BB9615E"/>
    <w:rsid w:val="4BC06985"/>
    <w:rsid w:val="4BD9235C"/>
    <w:rsid w:val="4BEF63DD"/>
    <w:rsid w:val="4C1710D6"/>
    <w:rsid w:val="4C172E84"/>
    <w:rsid w:val="4C177328"/>
    <w:rsid w:val="4C266B6F"/>
    <w:rsid w:val="4C3C0B3D"/>
    <w:rsid w:val="4C417533"/>
    <w:rsid w:val="4C493FB8"/>
    <w:rsid w:val="4C4A14AC"/>
    <w:rsid w:val="4C545E87"/>
    <w:rsid w:val="4CAF54B5"/>
    <w:rsid w:val="4CCB5621"/>
    <w:rsid w:val="4CD6614F"/>
    <w:rsid w:val="4CD945DE"/>
    <w:rsid w:val="4CDB65A8"/>
    <w:rsid w:val="4CDE39A2"/>
    <w:rsid w:val="4CFC5D7C"/>
    <w:rsid w:val="4D021466"/>
    <w:rsid w:val="4D147D15"/>
    <w:rsid w:val="4D203FBB"/>
    <w:rsid w:val="4D2C6E03"/>
    <w:rsid w:val="4D3D7270"/>
    <w:rsid w:val="4D491763"/>
    <w:rsid w:val="4D5E6D65"/>
    <w:rsid w:val="4D626BB3"/>
    <w:rsid w:val="4D6537ED"/>
    <w:rsid w:val="4D7A191D"/>
    <w:rsid w:val="4D7C3266"/>
    <w:rsid w:val="4D840509"/>
    <w:rsid w:val="4D8F5115"/>
    <w:rsid w:val="4D926C66"/>
    <w:rsid w:val="4D9B2972"/>
    <w:rsid w:val="4D9F75D5"/>
    <w:rsid w:val="4DAB7D28"/>
    <w:rsid w:val="4DB43081"/>
    <w:rsid w:val="4DC87D7D"/>
    <w:rsid w:val="4DDD1EDB"/>
    <w:rsid w:val="4DE80F7C"/>
    <w:rsid w:val="4DEB1F11"/>
    <w:rsid w:val="4DFD3E60"/>
    <w:rsid w:val="4E015B9A"/>
    <w:rsid w:val="4E0E622C"/>
    <w:rsid w:val="4E1B3100"/>
    <w:rsid w:val="4E1C0C26"/>
    <w:rsid w:val="4E1C52A3"/>
    <w:rsid w:val="4E230DF5"/>
    <w:rsid w:val="4E2D698F"/>
    <w:rsid w:val="4E330B17"/>
    <w:rsid w:val="4E7074C0"/>
    <w:rsid w:val="4E807407"/>
    <w:rsid w:val="4E8F15CF"/>
    <w:rsid w:val="4E8F36DE"/>
    <w:rsid w:val="4E9B5FEF"/>
    <w:rsid w:val="4EA330F5"/>
    <w:rsid w:val="4EA8070C"/>
    <w:rsid w:val="4EB470B0"/>
    <w:rsid w:val="4EB84449"/>
    <w:rsid w:val="4EB87B5E"/>
    <w:rsid w:val="4EC866B8"/>
    <w:rsid w:val="4ECE7984"/>
    <w:rsid w:val="4ED137BE"/>
    <w:rsid w:val="4EDD3D64"/>
    <w:rsid w:val="4EE81AFA"/>
    <w:rsid w:val="4EF63225"/>
    <w:rsid w:val="4F0F2539"/>
    <w:rsid w:val="4F1869D4"/>
    <w:rsid w:val="4F26273B"/>
    <w:rsid w:val="4F2F0FF2"/>
    <w:rsid w:val="4F3B1C29"/>
    <w:rsid w:val="4F440434"/>
    <w:rsid w:val="4F561F16"/>
    <w:rsid w:val="4F565CBB"/>
    <w:rsid w:val="4F6E725F"/>
    <w:rsid w:val="4F740E0E"/>
    <w:rsid w:val="4F7C7BCE"/>
    <w:rsid w:val="4F845501"/>
    <w:rsid w:val="4F894099"/>
    <w:rsid w:val="4F8A253C"/>
    <w:rsid w:val="4F950C90"/>
    <w:rsid w:val="4F9667B6"/>
    <w:rsid w:val="4FA16D29"/>
    <w:rsid w:val="4FCC21D8"/>
    <w:rsid w:val="4FD572DE"/>
    <w:rsid w:val="4FDC066D"/>
    <w:rsid w:val="4FE5334A"/>
    <w:rsid w:val="4FE70E6E"/>
    <w:rsid w:val="4FE87012"/>
    <w:rsid w:val="4FF9723D"/>
    <w:rsid w:val="4FFF25AD"/>
    <w:rsid w:val="50077ED7"/>
    <w:rsid w:val="500A32CB"/>
    <w:rsid w:val="502142D2"/>
    <w:rsid w:val="502E0831"/>
    <w:rsid w:val="502F155F"/>
    <w:rsid w:val="50354221"/>
    <w:rsid w:val="504A0F22"/>
    <w:rsid w:val="504A72AE"/>
    <w:rsid w:val="50726BE2"/>
    <w:rsid w:val="50870E47"/>
    <w:rsid w:val="50977777"/>
    <w:rsid w:val="50B11AF9"/>
    <w:rsid w:val="50EF2A55"/>
    <w:rsid w:val="50F24D94"/>
    <w:rsid w:val="50FE4613"/>
    <w:rsid w:val="51404C2B"/>
    <w:rsid w:val="51711289"/>
    <w:rsid w:val="517174DB"/>
    <w:rsid w:val="51840FBC"/>
    <w:rsid w:val="51856C95"/>
    <w:rsid w:val="51864D34"/>
    <w:rsid w:val="51894824"/>
    <w:rsid w:val="518E3BE9"/>
    <w:rsid w:val="51A11B6E"/>
    <w:rsid w:val="51B00003"/>
    <w:rsid w:val="51B11685"/>
    <w:rsid w:val="51C836E8"/>
    <w:rsid w:val="51D84E64"/>
    <w:rsid w:val="521F2A93"/>
    <w:rsid w:val="5227392D"/>
    <w:rsid w:val="522B58DB"/>
    <w:rsid w:val="52397FF8"/>
    <w:rsid w:val="523C53F3"/>
    <w:rsid w:val="524E0305"/>
    <w:rsid w:val="524F15CA"/>
    <w:rsid w:val="525D5FEF"/>
    <w:rsid w:val="526D37FE"/>
    <w:rsid w:val="5288688A"/>
    <w:rsid w:val="528C45CC"/>
    <w:rsid w:val="529841B0"/>
    <w:rsid w:val="52AB2578"/>
    <w:rsid w:val="52AB64C9"/>
    <w:rsid w:val="52AC3333"/>
    <w:rsid w:val="52C04276"/>
    <w:rsid w:val="52C534B2"/>
    <w:rsid w:val="52D63A99"/>
    <w:rsid w:val="52E71802"/>
    <w:rsid w:val="52F65D6E"/>
    <w:rsid w:val="52F91536"/>
    <w:rsid w:val="52FF4DD7"/>
    <w:rsid w:val="530C1269"/>
    <w:rsid w:val="530D6D8F"/>
    <w:rsid w:val="5311478A"/>
    <w:rsid w:val="53193986"/>
    <w:rsid w:val="53206AC2"/>
    <w:rsid w:val="532A7941"/>
    <w:rsid w:val="533A0733"/>
    <w:rsid w:val="534559D2"/>
    <w:rsid w:val="534A3F4B"/>
    <w:rsid w:val="535F1BF4"/>
    <w:rsid w:val="536410A5"/>
    <w:rsid w:val="53AB6CD4"/>
    <w:rsid w:val="53B25492"/>
    <w:rsid w:val="53EE096F"/>
    <w:rsid w:val="540D34EB"/>
    <w:rsid w:val="54181E8F"/>
    <w:rsid w:val="541C1980"/>
    <w:rsid w:val="541C54DC"/>
    <w:rsid w:val="542919A7"/>
    <w:rsid w:val="542E2280"/>
    <w:rsid w:val="543071D9"/>
    <w:rsid w:val="54336424"/>
    <w:rsid w:val="5438608E"/>
    <w:rsid w:val="543C5B7E"/>
    <w:rsid w:val="543D5452"/>
    <w:rsid w:val="54436F0C"/>
    <w:rsid w:val="54493DF7"/>
    <w:rsid w:val="544C75C8"/>
    <w:rsid w:val="544F0695"/>
    <w:rsid w:val="54B020C8"/>
    <w:rsid w:val="54BF40B9"/>
    <w:rsid w:val="54CD67D6"/>
    <w:rsid w:val="54D14506"/>
    <w:rsid w:val="54D33745"/>
    <w:rsid w:val="54E3249D"/>
    <w:rsid w:val="54EB4EAE"/>
    <w:rsid w:val="55056B6F"/>
    <w:rsid w:val="550B72FE"/>
    <w:rsid w:val="55342CF9"/>
    <w:rsid w:val="55564A1D"/>
    <w:rsid w:val="5562015C"/>
    <w:rsid w:val="5563538C"/>
    <w:rsid w:val="5578712F"/>
    <w:rsid w:val="55801A9A"/>
    <w:rsid w:val="55992B5C"/>
    <w:rsid w:val="55A21A11"/>
    <w:rsid w:val="55B300C2"/>
    <w:rsid w:val="55BD1A84"/>
    <w:rsid w:val="55C135BF"/>
    <w:rsid w:val="55E711DA"/>
    <w:rsid w:val="55EC5382"/>
    <w:rsid w:val="55EF275F"/>
    <w:rsid w:val="55F67FAE"/>
    <w:rsid w:val="56026815"/>
    <w:rsid w:val="5606673C"/>
    <w:rsid w:val="5627460C"/>
    <w:rsid w:val="56412FBE"/>
    <w:rsid w:val="56503B63"/>
    <w:rsid w:val="565079AB"/>
    <w:rsid w:val="566118CC"/>
    <w:rsid w:val="566B5F8F"/>
    <w:rsid w:val="566D200C"/>
    <w:rsid w:val="567A473C"/>
    <w:rsid w:val="567E3100"/>
    <w:rsid w:val="56A63783"/>
    <w:rsid w:val="56A812A9"/>
    <w:rsid w:val="56A874FB"/>
    <w:rsid w:val="56B75990"/>
    <w:rsid w:val="56CF66C5"/>
    <w:rsid w:val="56D54068"/>
    <w:rsid w:val="56EF512A"/>
    <w:rsid w:val="56F36D7A"/>
    <w:rsid w:val="57234DD3"/>
    <w:rsid w:val="5725579B"/>
    <w:rsid w:val="5726041F"/>
    <w:rsid w:val="57405985"/>
    <w:rsid w:val="574134AB"/>
    <w:rsid w:val="574376B4"/>
    <w:rsid w:val="57500440"/>
    <w:rsid w:val="57560D05"/>
    <w:rsid w:val="575907F5"/>
    <w:rsid w:val="575D5EE9"/>
    <w:rsid w:val="576C4B27"/>
    <w:rsid w:val="577B69BD"/>
    <w:rsid w:val="578421FC"/>
    <w:rsid w:val="579E08FE"/>
    <w:rsid w:val="57B62A48"/>
    <w:rsid w:val="57B9742D"/>
    <w:rsid w:val="57C71229"/>
    <w:rsid w:val="57C873E9"/>
    <w:rsid w:val="57DA0C4C"/>
    <w:rsid w:val="57E02CC4"/>
    <w:rsid w:val="57FB5D50"/>
    <w:rsid w:val="5814296E"/>
    <w:rsid w:val="5815081C"/>
    <w:rsid w:val="582726A1"/>
    <w:rsid w:val="582901C7"/>
    <w:rsid w:val="58731BEA"/>
    <w:rsid w:val="58824ECF"/>
    <w:rsid w:val="588540F9"/>
    <w:rsid w:val="5886386C"/>
    <w:rsid w:val="588854DF"/>
    <w:rsid w:val="58A27F7A"/>
    <w:rsid w:val="58DA5965"/>
    <w:rsid w:val="58E6255C"/>
    <w:rsid w:val="58F5279F"/>
    <w:rsid w:val="59071FB3"/>
    <w:rsid w:val="590F1AB3"/>
    <w:rsid w:val="59164907"/>
    <w:rsid w:val="591744C4"/>
    <w:rsid w:val="591764DD"/>
    <w:rsid w:val="591A1FE8"/>
    <w:rsid w:val="593E7CA2"/>
    <w:rsid w:val="59433CDD"/>
    <w:rsid w:val="59480B21"/>
    <w:rsid w:val="594A4ECB"/>
    <w:rsid w:val="595C45CC"/>
    <w:rsid w:val="5967369D"/>
    <w:rsid w:val="596B480F"/>
    <w:rsid w:val="597E2795"/>
    <w:rsid w:val="598558D1"/>
    <w:rsid w:val="598D29D8"/>
    <w:rsid w:val="598D6C40"/>
    <w:rsid w:val="599124C8"/>
    <w:rsid w:val="5999137D"/>
    <w:rsid w:val="599D70BF"/>
    <w:rsid w:val="59A85A64"/>
    <w:rsid w:val="59C4289D"/>
    <w:rsid w:val="59C70328"/>
    <w:rsid w:val="59EF71EF"/>
    <w:rsid w:val="5A117165"/>
    <w:rsid w:val="5A1E1882"/>
    <w:rsid w:val="5A1F7AD4"/>
    <w:rsid w:val="5A5B4884"/>
    <w:rsid w:val="5A663955"/>
    <w:rsid w:val="5A6951F3"/>
    <w:rsid w:val="5A6A06F6"/>
    <w:rsid w:val="5A731BCE"/>
    <w:rsid w:val="5A7E7F78"/>
    <w:rsid w:val="5A80128B"/>
    <w:rsid w:val="5A851901"/>
    <w:rsid w:val="5A955FE8"/>
    <w:rsid w:val="5AA1673B"/>
    <w:rsid w:val="5AD51B54"/>
    <w:rsid w:val="5ADE4336"/>
    <w:rsid w:val="5AE623A0"/>
    <w:rsid w:val="5AE67453"/>
    <w:rsid w:val="5AFE2B5B"/>
    <w:rsid w:val="5B0E7B48"/>
    <w:rsid w:val="5B101B12"/>
    <w:rsid w:val="5B275E78"/>
    <w:rsid w:val="5B286E5C"/>
    <w:rsid w:val="5B3752F1"/>
    <w:rsid w:val="5B3A12E0"/>
    <w:rsid w:val="5B3C43F9"/>
    <w:rsid w:val="5B411CCC"/>
    <w:rsid w:val="5B455011"/>
    <w:rsid w:val="5B4F689D"/>
    <w:rsid w:val="5B7C4AB2"/>
    <w:rsid w:val="5B871A54"/>
    <w:rsid w:val="5B8E1F77"/>
    <w:rsid w:val="5B953D21"/>
    <w:rsid w:val="5BA30291"/>
    <w:rsid w:val="5BA32FE0"/>
    <w:rsid w:val="5BC528FD"/>
    <w:rsid w:val="5BDB3ECE"/>
    <w:rsid w:val="5BE14181"/>
    <w:rsid w:val="5BE508A9"/>
    <w:rsid w:val="5C0B088A"/>
    <w:rsid w:val="5C0E31E0"/>
    <w:rsid w:val="5C0F5926"/>
    <w:rsid w:val="5C2515ED"/>
    <w:rsid w:val="5C294C3A"/>
    <w:rsid w:val="5C2E6C46"/>
    <w:rsid w:val="5C371101"/>
    <w:rsid w:val="5C6C6ABA"/>
    <w:rsid w:val="5C892ACE"/>
    <w:rsid w:val="5CCB7A9F"/>
    <w:rsid w:val="5CE9261B"/>
    <w:rsid w:val="5D03088A"/>
    <w:rsid w:val="5D373386"/>
    <w:rsid w:val="5D3B0DA5"/>
    <w:rsid w:val="5D4B0BE0"/>
    <w:rsid w:val="5D6D6DA8"/>
    <w:rsid w:val="5D6F0D72"/>
    <w:rsid w:val="5D7C348F"/>
    <w:rsid w:val="5D812854"/>
    <w:rsid w:val="5D814602"/>
    <w:rsid w:val="5DA721EE"/>
    <w:rsid w:val="5DDA44C4"/>
    <w:rsid w:val="5DDC5CDC"/>
    <w:rsid w:val="5DE828D3"/>
    <w:rsid w:val="5DED1C97"/>
    <w:rsid w:val="5E036058"/>
    <w:rsid w:val="5E0771FD"/>
    <w:rsid w:val="5E0D4729"/>
    <w:rsid w:val="5E0D5F05"/>
    <w:rsid w:val="5E225DE5"/>
    <w:rsid w:val="5E27164D"/>
    <w:rsid w:val="5E4541A5"/>
    <w:rsid w:val="5E581806"/>
    <w:rsid w:val="5E622188"/>
    <w:rsid w:val="5E6A0C09"/>
    <w:rsid w:val="5E7D301B"/>
    <w:rsid w:val="5E841F66"/>
    <w:rsid w:val="5E850121"/>
    <w:rsid w:val="5E8C325E"/>
    <w:rsid w:val="5EA902B4"/>
    <w:rsid w:val="5ECF75EF"/>
    <w:rsid w:val="5ED846F5"/>
    <w:rsid w:val="5ED864A3"/>
    <w:rsid w:val="5EF157B7"/>
    <w:rsid w:val="5F014280"/>
    <w:rsid w:val="5F021772"/>
    <w:rsid w:val="5F04373C"/>
    <w:rsid w:val="5F0B4ACB"/>
    <w:rsid w:val="5F0C5367"/>
    <w:rsid w:val="5F1F2324"/>
    <w:rsid w:val="5F36189D"/>
    <w:rsid w:val="5F3833E6"/>
    <w:rsid w:val="5F4E6765"/>
    <w:rsid w:val="5F555D46"/>
    <w:rsid w:val="5F571ABE"/>
    <w:rsid w:val="5F583601"/>
    <w:rsid w:val="5F5F0972"/>
    <w:rsid w:val="5F61742A"/>
    <w:rsid w:val="5F9871DA"/>
    <w:rsid w:val="5F9F3465"/>
    <w:rsid w:val="5FB00017"/>
    <w:rsid w:val="5FD21144"/>
    <w:rsid w:val="5FD255E8"/>
    <w:rsid w:val="5FD96977"/>
    <w:rsid w:val="5FE57916"/>
    <w:rsid w:val="5FF67EAC"/>
    <w:rsid w:val="5FFE018B"/>
    <w:rsid w:val="60013D7F"/>
    <w:rsid w:val="60213E7A"/>
    <w:rsid w:val="60363DC9"/>
    <w:rsid w:val="603C56C2"/>
    <w:rsid w:val="603E4B8A"/>
    <w:rsid w:val="604A2DD9"/>
    <w:rsid w:val="604E1113"/>
    <w:rsid w:val="6058765C"/>
    <w:rsid w:val="606A75CF"/>
    <w:rsid w:val="60804663"/>
    <w:rsid w:val="608C39E9"/>
    <w:rsid w:val="60917251"/>
    <w:rsid w:val="6098238E"/>
    <w:rsid w:val="609B1E7E"/>
    <w:rsid w:val="60BF4EB3"/>
    <w:rsid w:val="60E27AAD"/>
    <w:rsid w:val="60E539A3"/>
    <w:rsid w:val="60E6759D"/>
    <w:rsid w:val="60F17F09"/>
    <w:rsid w:val="60F33A68"/>
    <w:rsid w:val="60FD0443"/>
    <w:rsid w:val="61047A23"/>
    <w:rsid w:val="611D0AE5"/>
    <w:rsid w:val="612F525A"/>
    <w:rsid w:val="61364C91"/>
    <w:rsid w:val="613A1697"/>
    <w:rsid w:val="613F2589"/>
    <w:rsid w:val="6151138E"/>
    <w:rsid w:val="61581B1D"/>
    <w:rsid w:val="61883922"/>
    <w:rsid w:val="61907509"/>
    <w:rsid w:val="61994610"/>
    <w:rsid w:val="619A2136"/>
    <w:rsid w:val="619E75CA"/>
    <w:rsid w:val="61D355A0"/>
    <w:rsid w:val="61DC62AA"/>
    <w:rsid w:val="61E403FB"/>
    <w:rsid w:val="61F47A98"/>
    <w:rsid w:val="61FE4473"/>
    <w:rsid w:val="62001846"/>
    <w:rsid w:val="620140DF"/>
    <w:rsid w:val="620F042E"/>
    <w:rsid w:val="622A170C"/>
    <w:rsid w:val="623A42B8"/>
    <w:rsid w:val="625C50B7"/>
    <w:rsid w:val="62620EA5"/>
    <w:rsid w:val="626647B3"/>
    <w:rsid w:val="627E55B4"/>
    <w:rsid w:val="62970423"/>
    <w:rsid w:val="62BD1642"/>
    <w:rsid w:val="62C54E4A"/>
    <w:rsid w:val="62D1763C"/>
    <w:rsid w:val="62D376AD"/>
    <w:rsid w:val="62F12229"/>
    <w:rsid w:val="630261E5"/>
    <w:rsid w:val="631C1015"/>
    <w:rsid w:val="6329551F"/>
    <w:rsid w:val="632A16A7"/>
    <w:rsid w:val="63302D52"/>
    <w:rsid w:val="6345051E"/>
    <w:rsid w:val="63471D15"/>
    <w:rsid w:val="634C4DBD"/>
    <w:rsid w:val="63622FF5"/>
    <w:rsid w:val="636B26DB"/>
    <w:rsid w:val="63784A9C"/>
    <w:rsid w:val="637E4F24"/>
    <w:rsid w:val="637F15E3"/>
    <w:rsid w:val="63956756"/>
    <w:rsid w:val="63B147CB"/>
    <w:rsid w:val="63B55005"/>
    <w:rsid w:val="63BA086D"/>
    <w:rsid w:val="63CC3CF3"/>
    <w:rsid w:val="63CF41AF"/>
    <w:rsid w:val="63DC6A36"/>
    <w:rsid w:val="64124205"/>
    <w:rsid w:val="64145061"/>
    <w:rsid w:val="64165252"/>
    <w:rsid w:val="64191A38"/>
    <w:rsid w:val="64264155"/>
    <w:rsid w:val="64357EF4"/>
    <w:rsid w:val="64416899"/>
    <w:rsid w:val="644F5459"/>
    <w:rsid w:val="6456039C"/>
    <w:rsid w:val="64570C2A"/>
    <w:rsid w:val="64713622"/>
    <w:rsid w:val="64715A0E"/>
    <w:rsid w:val="64721DC1"/>
    <w:rsid w:val="64763F71"/>
    <w:rsid w:val="6490508C"/>
    <w:rsid w:val="649E4375"/>
    <w:rsid w:val="64A137DB"/>
    <w:rsid w:val="64DB0657"/>
    <w:rsid w:val="64E558BE"/>
    <w:rsid w:val="651E4E2C"/>
    <w:rsid w:val="6530704D"/>
    <w:rsid w:val="654C1999"/>
    <w:rsid w:val="655A60B2"/>
    <w:rsid w:val="655B7737"/>
    <w:rsid w:val="656E2178"/>
    <w:rsid w:val="658514DA"/>
    <w:rsid w:val="658E3D60"/>
    <w:rsid w:val="65AC2438"/>
    <w:rsid w:val="65B71508"/>
    <w:rsid w:val="65B85CAD"/>
    <w:rsid w:val="65BA4B55"/>
    <w:rsid w:val="65BA6903"/>
    <w:rsid w:val="65C638F5"/>
    <w:rsid w:val="65CE6852"/>
    <w:rsid w:val="65ED4F48"/>
    <w:rsid w:val="65F71905"/>
    <w:rsid w:val="65F938CF"/>
    <w:rsid w:val="66081D64"/>
    <w:rsid w:val="66124586"/>
    <w:rsid w:val="6616725E"/>
    <w:rsid w:val="66187ACD"/>
    <w:rsid w:val="661B13ED"/>
    <w:rsid w:val="662465C8"/>
    <w:rsid w:val="665A1CA4"/>
    <w:rsid w:val="665F56FC"/>
    <w:rsid w:val="666C4676"/>
    <w:rsid w:val="66737EE4"/>
    <w:rsid w:val="668141DE"/>
    <w:rsid w:val="66815B76"/>
    <w:rsid w:val="66C24F70"/>
    <w:rsid w:val="66CB4350"/>
    <w:rsid w:val="66ED4AB6"/>
    <w:rsid w:val="66FE4F15"/>
    <w:rsid w:val="67006EDF"/>
    <w:rsid w:val="6712451C"/>
    <w:rsid w:val="67284C27"/>
    <w:rsid w:val="673715D0"/>
    <w:rsid w:val="675C1FE7"/>
    <w:rsid w:val="67670D0C"/>
    <w:rsid w:val="676D68B5"/>
    <w:rsid w:val="6771220F"/>
    <w:rsid w:val="67864576"/>
    <w:rsid w:val="678E6299"/>
    <w:rsid w:val="67A96C2F"/>
    <w:rsid w:val="67C021CA"/>
    <w:rsid w:val="67D8681C"/>
    <w:rsid w:val="67EB36EB"/>
    <w:rsid w:val="67ED1A09"/>
    <w:rsid w:val="67F02AB0"/>
    <w:rsid w:val="680700DC"/>
    <w:rsid w:val="68126ECA"/>
    <w:rsid w:val="6820259D"/>
    <w:rsid w:val="6821710D"/>
    <w:rsid w:val="68251ED3"/>
    <w:rsid w:val="682C4C72"/>
    <w:rsid w:val="682E35D8"/>
    <w:rsid w:val="68490412"/>
    <w:rsid w:val="685064D1"/>
    <w:rsid w:val="685C6397"/>
    <w:rsid w:val="685D03F9"/>
    <w:rsid w:val="685F7C35"/>
    <w:rsid w:val="686C6B6B"/>
    <w:rsid w:val="68813268"/>
    <w:rsid w:val="68BC6E36"/>
    <w:rsid w:val="68BE1741"/>
    <w:rsid w:val="68BF71FB"/>
    <w:rsid w:val="68C82C22"/>
    <w:rsid w:val="6905258B"/>
    <w:rsid w:val="69273E73"/>
    <w:rsid w:val="693115D2"/>
    <w:rsid w:val="693B7D5A"/>
    <w:rsid w:val="694A2693"/>
    <w:rsid w:val="694C1F68"/>
    <w:rsid w:val="696C085C"/>
    <w:rsid w:val="69794D27"/>
    <w:rsid w:val="698E07D2"/>
    <w:rsid w:val="69916223"/>
    <w:rsid w:val="69951B60"/>
    <w:rsid w:val="69BA15C7"/>
    <w:rsid w:val="69C55155"/>
    <w:rsid w:val="69F30635"/>
    <w:rsid w:val="6A042842"/>
    <w:rsid w:val="6A097E59"/>
    <w:rsid w:val="6A465C5D"/>
    <w:rsid w:val="6A51640E"/>
    <w:rsid w:val="6A6B466F"/>
    <w:rsid w:val="6A786D8C"/>
    <w:rsid w:val="6A835E5D"/>
    <w:rsid w:val="6A863A05"/>
    <w:rsid w:val="6A883473"/>
    <w:rsid w:val="6AA67D9D"/>
    <w:rsid w:val="6AB9187F"/>
    <w:rsid w:val="6ABB4EF4"/>
    <w:rsid w:val="6AC344AB"/>
    <w:rsid w:val="6AC55036"/>
    <w:rsid w:val="6ACE4BFE"/>
    <w:rsid w:val="6ADF1E70"/>
    <w:rsid w:val="6AE13432"/>
    <w:rsid w:val="6AEB2C75"/>
    <w:rsid w:val="6AFE3735"/>
    <w:rsid w:val="6B014FD4"/>
    <w:rsid w:val="6B050FEE"/>
    <w:rsid w:val="6B252A70"/>
    <w:rsid w:val="6B2667E8"/>
    <w:rsid w:val="6B421874"/>
    <w:rsid w:val="6B460C38"/>
    <w:rsid w:val="6B482C03"/>
    <w:rsid w:val="6B531AB3"/>
    <w:rsid w:val="6B560266"/>
    <w:rsid w:val="6B5B7BB3"/>
    <w:rsid w:val="6B5C220A"/>
    <w:rsid w:val="6B647ACE"/>
    <w:rsid w:val="6B7834E8"/>
    <w:rsid w:val="6B9051F9"/>
    <w:rsid w:val="6B9876E6"/>
    <w:rsid w:val="6B991B92"/>
    <w:rsid w:val="6BC71D79"/>
    <w:rsid w:val="6BC7621D"/>
    <w:rsid w:val="6BCA055A"/>
    <w:rsid w:val="6BCE6D20"/>
    <w:rsid w:val="6BD34BC2"/>
    <w:rsid w:val="6BE75F78"/>
    <w:rsid w:val="6BF012D0"/>
    <w:rsid w:val="6C045D80"/>
    <w:rsid w:val="6C0C513D"/>
    <w:rsid w:val="6C1A459F"/>
    <w:rsid w:val="6C1B3E73"/>
    <w:rsid w:val="6C347ED9"/>
    <w:rsid w:val="6C360CAD"/>
    <w:rsid w:val="6C445178"/>
    <w:rsid w:val="6C4B378C"/>
    <w:rsid w:val="6C4C0AD1"/>
    <w:rsid w:val="6C4D758C"/>
    <w:rsid w:val="6C597133"/>
    <w:rsid w:val="6C8B724B"/>
    <w:rsid w:val="6C8E5108"/>
    <w:rsid w:val="6C937EAD"/>
    <w:rsid w:val="6C944351"/>
    <w:rsid w:val="6C9E6F7E"/>
    <w:rsid w:val="6CCF0D79"/>
    <w:rsid w:val="6CDA3D2E"/>
    <w:rsid w:val="6CEE1E7E"/>
    <w:rsid w:val="6CF3576D"/>
    <w:rsid w:val="6D0226C3"/>
    <w:rsid w:val="6D0F5D7A"/>
    <w:rsid w:val="6D10372C"/>
    <w:rsid w:val="6D146255"/>
    <w:rsid w:val="6D166445"/>
    <w:rsid w:val="6D203E37"/>
    <w:rsid w:val="6D226B5A"/>
    <w:rsid w:val="6D3452D3"/>
    <w:rsid w:val="6D4E1FD9"/>
    <w:rsid w:val="6D605FE2"/>
    <w:rsid w:val="6D745F31"/>
    <w:rsid w:val="6D8018C0"/>
    <w:rsid w:val="6D9143ED"/>
    <w:rsid w:val="6D960677"/>
    <w:rsid w:val="6D9E6CE0"/>
    <w:rsid w:val="6DA77C55"/>
    <w:rsid w:val="6DAA54AF"/>
    <w:rsid w:val="6DB14A8F"/>
    <w:rsid w:val="6DCA36D7"/>
    <w:rsid w:val="6DCE4C80"/>
    <w:rsid w:val="6DFA4688"/>
    <w:rsid w:val="6DFA6436"/>
    <w:rsid w:val="6E0472B5"/>
    <w:rsid w:val="6E1119D2"/>
    <w:rsid w:val="6E166FE8"/>
    <w:rsid w:val="6E1B63AC"/>
    <w:rsid w:val="6E1D0376"/>
    <w:rsid w:val="6E213562"/>
    <w:rsid w:val="6E3A4A84"/>
    <w:rsid w:val="6E511637"/>
    <w:rsid w:val="6E535B46"/>
    <w:rsid w:val="6E557448"/>
    <w:rsid w:val="6E637434"/>
    <w:rsid w:val="6E7A6C72"/>
    <w:rsid w:val="6E7F2DDF"/>
    <w:rsid w:val="6E7F3A9C"/>
    <w:rsid w:val="6ED24CBD"/>
    <w:rsid w:val="6ED870F8"/>
    <w:rsid w:val="6EE20FB0"/>
    <w:rsid w:val="6EE5266B"/>
    <w:rsid w:val="6EE77A8D"/>
    <w:rsid w:val="6F0C75E9"/>
    <w:rsid w:val="6F0F1F10"/>
    <w:rsid w:val="6F127BBD"/>
    <w:rsid w:val="6F1C23DC"/>
    <w:rsid w:val="6F235519"/>
    <w:rsid w:val="6F34175B"/>
    <w:rsid w:val="6F343BCA"/>
    <w:rsid w:val="6F413BF1"/>
    <w:rsid w:val="6F60676D"/>
    <w:rsid w:val="6F82139A"/>
    <w:rsid w:val="6F8A37EA"/>
    <w:rsid w:val="6F9603E0"/>
    <w:rsid w:val="6F9D4143"/>
    <w:rsid w:val="6FA7614A"/>
    <w:rsid w:val="6FC860C0"/>
    <w:rsid w:val="6FD41ABE"/>
    <w:rsid w:val="6FE13847"/>
    <w:rsid w:val="6FE173AF"/>
    <w:rsid w:val="701127EE"/>
    <w:rsid w:val="701F6C1E"/>
    <w:rsid w:val="702A0B29"/>
    <w:rsid w:val="7034110A"/>
    <w:rsid w:val="70347EC5"/>
    <w:rsid w:val="7037325E"/>
    <w:rsid w:val="70386C15"/>
    <w:rsid w:val="704C0A9F"/>
    <w:rsid w:val="705362D1"/>
    <w:rsid w:val="705636CC"/>
    <w:rsid w:val="70716758"/>
    <w:rsid w:val="70756248"/>
    <w:rsid w:val="707D6EAA"/>
    <w:rsid w:val="70877D29"/>
    <w:rsid w:val="70BA5135"/>
    <w:rsid w:val="70C865BA"/>
    <w:rsid w:val="70D0347E"/>
    <w:rsid w:val="70E37655"/>
    <w:rsid w:val="70EE5FFA"/>
    <w:rsid w:val="710359C7"/>
    <w:rsid w:val="7104581E"/>
    <w:rsid w:val="710C4F64"/>
    <w:rsid w:val="712832BA"/>
    <w:rsid w:val="712E7CE0"/>
    <w:rsid w:val="7141684A"/>
    <w:rsid w:val="71494FDF"/>
    <w:rsid w:val="714B2F5B"/>
    <w:rsid w:val="714D518E"/>
    <w:rsid w:val="715B3690"/>
    <w:rsid w:val="716342F2"/>
    <w:rsid w:val="719B7F30"/>
    <w:rsid w:val="719E532A"/>
    <w:rsid w:val="71A306A7"/>
    <w:rsid w:val="71A37C91"/>
    <w:rsid w:val="71BB56FA"/>
    <w:rsid w:val="72247F25"/>
    <w:rsid w:val="72281098"/>
    <w:rsid w:val="722858A8"/>
    <w:rsid w:val="723B0DCB"/>
    <w:rsid w:val="724F424E"/>
    <w:rsid w:val="7250385E"/>
    <w:rsid w:val="72677E12"/>
    <w:rsid w:val="727F572A"/>
    <w:rsid w:val="728B1D53"/>
    <w:rsid w:val="729C3F60"/>
    <w:rsid w:val="72A44BC2"/>
    <w:rsid w:val="72BD5C84"/>
    <w:rsid w:val="72D54D7C"/>
    <w:rsid w:val="72D66D46"/>
    <w:rsid w:val="72EB27F1"/>
    <w:rsid w:val="72EB459F"/>
    <w:rsid w:val="72EC51B3"/>
    <w:rsid w:val="72ED34B8"/>
    <w:rsid w:val="72FA32DB"/>
    <w:rsid w:val="73010267"/>
    <w:rsid w:val="730758BC"/>
    <w:rsid w:val="730B69EF"/>
    <w:rsid w:val="73123B97"/>
    <w:rsid w:val="73136182"/>
    <w:rsid w:val="73221F8B"/>
    <w:rsid w:val="73281C56"/>
    <w:rsid w:val="733028FA"/>
    <w:rsid w:val="733046A8"/>
    <w:rsid w:val="73315854"/>
    <w:rsid w:val="7349146F"/>
    <w:rsid w:val="73571C35"/>
    <w:rsid w:val="735E2268"/>
    <w:rsid w:val="735F0AE9"/>
    <w:rsid w:val="73657957"/>
    <w:rsid w:val="737C6D64"/>
    <w:rsid w:val="73834F73"/>
    <w:rsid w:val="73B01345"/>
    <w:rsid w:val="73B47087"/>
    <w:rsid w:val="73C3551C"/>
    <w:rsid w:val="73CA68AB"/>
    <w:rsid w:val="73D9089C"/>
    <w:rsid w:val="73DE4A8A"/>
    <w:rsid w:val="73FE6554"/>
    <w:rsid w:val="740C67A8"/>
    <w:rsid w:val="74235FBB"/>
    <w:rsid w:val="74244BBD"/>
    <w:rsid w:val="7491438D"/>
    <w:rsid w:val="74961CFE"/>
    <w:rsid w:val="749F246B"/>
    <w:rsid w:val="74AF784E"/>
    <w:rsid w:val="74B02D01"/>
    <w:rsid w:val="74BF0D5E"/>
    <w:rsid w:val="74D37CCA"/>
    <w:rsid w:val="74DC2D7E"/>
    <w:rsid w:val="74F0721D"/>
    <w:rsid w:val="74FD680C"/>
    <w:rsid w:val="750162FC"/>
    <w:rsid w:val="75267B11"/>
    <w:rsid w:val="752E2E69"/>
    <w:rsid w:val="75387844"/>
    <w:rsid w:val="75395ED0"/>
    <w:rsid w:val="753C330D"/>
    <w:rsid w:val="75457333"/>
    <w:rsid w:val="757E794D"/>
    <w:rsid w:val="758B02BC"/>
    <w:rsid w:val="75901BFB"/>
    <w:rsid w:val="75970A0E"/>
    <w:rsid w:val="75A4312B"/>
    <w:rsid w:val="75A46F31"/>
    <w:rsid w:val="75A8117E"/>
    <w:rsid w:val="75C24936"/>
    <w:rsid w:val="75CB04F2"/>
    <w:rsid w:val="75E55C1E"/>
    <w:rsid w:val="75E83018"/>
    <w:rsid w:val="75F24464"/>
    <w:rsid w:val="75FA70B8"/>
    <w:rsid w:val="76197675"/>
    <w:rsid w:val="761E2EDE"/>
    <w:rsid w:val="761E6A3A"/>
    <w:rsid w:val="762A2599"/>
    <w:rsid w:val="7641097A"/>
    <w:rsid w:val="76465CA4"/>
    <w:rsid w:val="76527883"/>
    <w:rsid w:val="76593F16"/>
    <w:rsid w:val="76676633"/>
    <w:rsid w:val="76742AFE"/>
    <w:rsid w:val="767A147A"/>
    <w:rsid w:val="767D5E56"/>
    <w:rsid w:val="76967AE3"/>
    <w:rsid w:val="76AF3B36"/>
    <w:rsid w:val="76C07F60"/>
    <w:rsid w:val="76C53359"/>
    <w:rsid w:val="76CC293A"/>
    <w:rsid w:val="76DB2B7D"/>
    <w:rsid w:val="76E01F41"/>
    <w:rsid w:val="76F77172"/>
    <w:rsid w:val="771852A8"/>
    <w:rsid w:val="77312D10"/>
    <w:rsid w:val="77471AC4"/>
    <w:rsid w:val="77587D9F"/>
    <w:rsid w:val="77664B3C"/>
    <w:rsid w:val="77737259"/>
    <w:rsid w:val="778E31B0"/>
    <w:rsid w:val="779A47E6"/>
    <w:rsid w:val="77A711E5"/>
    <w:rsid w:val="77B27D81"/>
    <w:rsid w:val="77B75C63"/>
    <w:rsid w:val="77BF1197"/>
    <w:rsid w:val="77D0645A"/>
    <w:rsid w:val="77DC095A"/>
    <w:rsid w:val="77EC380F"/>
    <w:rsid w:val="77F122C3"/>
    <w:rsid w:val="77FA431C"/>
    <w:rsid w:val="78000AED"/>
    <w:rsid w:val="78006D3F"/>
    <w:rsid w:val="78153E6C"/>
    <w:rsid w:val="782347DB"/>
    <w:rsid w:val="784F3822"/>
    <w:rsid w:val="78542BE7"/>
    <w:rsid w:val="785B6A4B"/>
    <w:rsid w:val="78700AEC"/>
    <w:rsid w:val="78720118"/>
    <w:rsid w:val="78817E80"/>
    <w:rsid w:val="78881314"/>
    <w:rsid w:val="78BB0EB8"/>
    <w:rsid w:val="78E81581"/>
    <w:rsid w:val="78E937B9"/>
    <w:rsid w:val="78FE4D5E"/>
    <w:rsid w:val="792425B9"/>
    <w:rsid w:val="794970F6"/>
    <w:rsid w:val="794A0ECC"/>
    <w:rsid w:val="7950774B"/>
    <w:rsid w:val="795A13EC"/>
    <w:rsid w:val="796C5667"/>
    <w:rsid w:val="79752E15"/>
    <w:rsid w:val="797D616D"/>
    <w:rsid w:val="798F3A5E"/>
    <w:rsid w:val="799F634B"/>
    <w:rsid w:val="79AC0800"/>
    <w:rsid w:val="79B25E17"/>
    <w:rsid w:val="79BD47BC"/>
    <w:rsid w:val="79CB512B"/>
    <w:rsid w:val="79DC7F7E"/>
    <w:rsid w:val="79EB30D7"/>
    <w:rsid w:val="79FF3026"/>
    <w:rsid w:val="7A146E06"/>
    <w:rsid w:val="7A1532E7"/>
    <w:rsid w:val="7A2D36EF"/>
    <w:rsid w:val="7A3B04B4"/>
    <w:rsid w:val="7A41010A"/>
    <w:rsid w:val="7A4A15A8"/>
    <w:rsid w:val="7A4C5587"/>
    <w:rsid w:val="7A552488"/>
    <w:rsid w:val="7A6335B5"/>
    <w:rsid w:val="7A635363"/>
    <w:rsid w:val="7A733E1E"/>
    <w:rsid w:val="7A862E00"/>
    <w:rsid w:val="7A8D0632"/>
    <w:rsid w:val="7A9C77AE"/>
    <w:rsid w:val="7AB73F37"/>
    <w:rsid w:val="7ABE2599"/>
    <w:rsid w:val="7AD43DCB"/>
    <w:rsid w:val="7ADE09A6"/>
    <w:rsid w:val="7AE51608"/>
    <w:rsid w:val="7AE53FCA"/>
    <w:rsid w:val="7AEE7323"/>
    <w:rsid w:val="7AF8058E"/>
    <w:rsid w:val="7AF81F4F"/>
    <w:rsid w:val="7B1F693E"/>
    <w:rsid w:val="7B2A7C2F"/>
    <w:rsid w:val="7B486307"/>
    <w:rsid w:val="7B611683"/>
    <w:rsid w:val="7B684125"/>
    <w:rsid w:val="7B7A2964"/>
    <w:rsid w:val="7B7D31C4"/>
    <w:rsid w:val="7B8E776C"/>
    <w:rsid w:val="7B9375BF"/>
    <w:rsid w:val="7B9E0996"/>
    <w:rsid w:val="7BDC53CD"/>
    <w:rsid w:val="7BE97AEA"/>
    <w:rsid w:val="7BEB7BB7"/>
    <w:rsid w:val="7C013085"/>
    <w:rsid w:val="7C057E14"/>
    <w:rsid w:val="7C1253BC"/>
    <w:rsid w:val="7C1B1A99"/>
    <w:rsid w:val="7C1D1CA8"/>
    <w:rsid w:val="7C224DAA"/>
    <w:rsid w:val="7C370855"/>
    <w:rsid w:val="7C423191"/>
    <w:rsid w:val="7C4D1E27"/>
    <w:rsid w:val="7C6113AE"/>
    <w:rsid w:val="7C61562B"/>
    <w:rsid w:val="7C792C1C"/>
    <w:rsid w:val="7C8C718A"/>
    <w:rsid w:val="7C961A20"/>
    <w:rsid w:val="7C9B6DD9"/>
    <w:rsid w:val="7C9E2B82"/>
    <w:rsid w:val="7CB1685A"/>
    <w:rsid w:val="7CCC5441"/>
    <w:rsid w:val="7CDB7433"/>
    <w:rsid w:val="7D0746CC"/>
    <w:rsid w:val="7D0A5F6A"/>
    <w:rsid w:val="7D0C35D2"/>
    <w:rsid w:val="7D0C3A90"/>
    <w:rsid w:val="7D3157E6"/>
    <w:rsid w:val="7D340266"/>
    <w:rsid w:val="7D741635"/>
    <w:rsid w:val="7D750078"/>
    <w:rsid w:val="7D7A4E9D"/>
    <w:rsid w:val="7D837FCA"/>
    <w:rsid w:val="7D9B1B0D"/>
    <w:rsid w:val="7DAE0FEB"/>
    <w:rsid w:val="7DCC76C3"/>
    <w:rsid w:val="7DD1096F"/>
    <w:rsid w:val="7DD56578"/>
    <w:rsid w:val="7DE10D4F"/>
    <w:rsid w:val="7DEA19F0"/>
    <w:rsid w:val="7DEF65D0"/>
    <w:rsid w:val="7E124581"/>
    <w:rsid w:val="7E176B90"/>
    <w:rsid w:val="7E1F77F3"/>
    <w:rsid w:val="7E2272E3"/>
    <w:rsid w:val="7E3A287F"/>
    <w:rsid w:val="7E3A378D"/>
    <w:rsid w:val="7E406D3B"/>
    <w:rsid w:val="7E703D97"/>
    <w:rsid w:val="7EAC1F50"/>
    <w:rsid w:val="7EE06F82"/>
    <w:rsid w:val="7EF651B9"/>
    <w:rsid w:val="7EF97A8A"/>
    <w:rsid w:val="7F067F7C"/>
    <w:rsid w:val="7F0A2251"/>
    <w:rsid w:val="7F1B26B0"/>
    <w:rsid w:val="7F2E0730"/>
    <w:rsid w:val="7F3B7D0E"/>
    <w:rsid w:val="7F3C2229"/>
    <w:rsid w:val="7F3D0A9C"/>
    <w:rsid w:val="7F4365A6"/>
    <w:rsid w:val="7F4A7452"/>
    <w:rsid w:val="7F6000C3"/>
    <w:rsid w:val="7F601E71"/>
    <w:rsid w:val="7F686F78"/>
    <w:rsid w:val="7F767868"/>
    <w:rsid w:val="7F8E2E82"/>
    <w:rsid w:val="7F8E4463"/>
    <w:rsid w:val="7F912972"/>
    <w:rsid w:val="7FA53B5B"/>
    <w:rsid w:val="7FCB5E84"/>
    <w:rsid w:val="7FD34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4"/>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autoRedefine/>
    <w:qFormat/>
    <w:uiPriority w:val="0"/>
    <w:pPr>
      <w:spacing w:before="360" w:after="120"/>
      <w:jc w:val="left"/>
      <w:outlineLvl w:val="2"/>
    </w:pPr>
    <w:rPr>
      <w:rFonts w:ascii="宋体" w:hAnsi="Times New Roman" w:eastAsia="宋体"/>
      <w:sz w:val="24"/>
      <w:u w:val="single"/>
    </w:rPr>
  </w:style>
  <w:style w:type="paragraph" w:styleId="6">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9">
    <w:name w:val="Default Paragraph Font"/>
    <w:autoRedefine/>
    <w:qFormat/>
    <w:uiPriority w:val="1"/>
  </w:style>
  <w:style w:type="table" w:default="1" w:styleId="27">
    <w:name w:val="Normal Table"/>
    <w:autoRedefine/>
    <w:qFormat/>
    <w:uiPriority w:val="99"/>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rFonts w:ascii="Times New Roman" w:hAnsi="Times New Roman"/>
      <w:sz w:val="18"/>
    </w:r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35"/>
    <w:autoRedefine/>
    <w:qFormat/>
    <w:uiPriority w:val="0"/>
    <w:pPr>
      <w:jc w:val="left"/>
    </w:pPr>
  </w:style>
  <w:style w:type="paragraph" w:styleId="10">
    <w:name w:val="Body Text"/>
    <w:basedOn w:val="1"/>
    <w:autoRedefine/>
    <w:qFormat/>
    <w:uiPriority w:val="0"/>
    <w:pPr>
      <w:tabs>
        <w:tab w:val="left" w:pos="567"/>
      </w:tabs>
      <w:spacing w:before="120" w:line="22" w:lineRule="atLeast"/>
    </w:pPr>
    <w:rPr>
      <w:rFonts w:ascii="宋体" w:hAnsi="宋体"/>
      <w:sz w:val="24"/>
    </w:rPr>
  </w:style>
  <w:style w:type="paragraph" w:styleId="11">
    <w:name w:val="Body Text Indent"/>
    <w:basedOn w:val="1"/>
    <w:next w:val="12"/>
    <w:autoRedefine/>
    <w:qFormat/>
    <w:uiPriority w:val="0"/>
    <w:pPr>
      <w:spacing w:line="360" w:lineRule="auto"/>
      <w:ind w:firstLine="570"/>
    </w:pPr>
    <w:rPr>
      <w:rFonts w:ascii="Times New Roman" w:hAnsi="Times New Roman"/>
      <w:sz w:val="24"/>
    </w:rPr>
  </w:style>
  <w:style w:type="paragraph" w:styleId="12">
    <w:name w:val="Body Text First Indent 2"/>
    <w:basedOn w:val="11"/>
    <w:next w:val="7"/>
    <w:autoRedefine/>
    <w:qFormat/>
    <w:uiPriority w:val="0"/>
    <w:pPr>
      <w:ind w:firstLine="420" w:firstLineChars="200"/>
    </w:pPr>
  </w:style>
  <w:style w:type="paragraph" w:styleId="13">
    <w:name w:val="List 2"/>
    <w:basedOn w:val="1"/>
    <w:autoRedefine/>
    <w:qFormat/>
    <w:uiPriority w:val="0"/>
    <w:pPr>
      <w:ind w:left="100" w:leftChars="200" w:hanging="200" w:hangingChars="200"/>
      <w:contextualSpacing/>
    </w:p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ind w:left="100" w:leftChars="2500"/>
    </w:pPr>
    <w:rPr>
      <w:rFonts w:ascii="仿宋_GB2312" w:hAnsi="Courier New" w:eastAsia="仿宋_GB2312"/>
      <w:kern w:val="0"/>
      <w:sz w:val="24"/>
    </w:rPr>
  </w:style>
  <w:style w:type="paragraph" w:styleId="17">
    <w:name w:val="Balloon Text"/>
    <w:basedOn w:val="1"/>
    <w:link w:val="36"/>
    <w:autoRedefine/>
    <w:qFormat/>
    <w:uiPriority w:val="0"/>
    <w:rPr>
      <w:sz w:val="18"/>
      <w:szCs w:val="18"/>
    </w:rPr>
  </w:style>
  <w:style w:type="paragraph" w:styleId="18">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0">
    <w:name w:val="toc 1"/>
    <w:basedOn w:val="1"/>
    <w:next w:val="1"/>
    <w:autoRedefine/>
    <w:qFormat/>
    <w:uiPriority w:val="0"/>
    <w:rPr>
      <w:rFonts w:ascii="Times New Roman" w:hAnsi="Times New Roman"/>
    </w:rPr>
  </w:style>
  <w:style w:type="paragraph" w:styleId="21">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2">
    <w:name w:val="toc 2"/>
    <w:basedOn w:val="1"/>
    <w:next w:val="1"/>
    <w:autoRedefine/>
    <w:qFormat/>
    <w:uiPriority w:val="0"/>
    <w:pPr>
      <w:ind w:left="420" w:leftChars="200"/>
    </w:pPr>
    <w:rPr>
      <w:rFonts w:ascii="Times New Roman" w:hAnsi="Times New Roman"/>
    </w:rPr>
  </w:style>
  <w:style w:type="paragraph" w:styleId="23">
    <w:name w:val="Normal (Web)"/>
    <w:basedOn w:val="1"/>
    <w:autoRedefine/>
    <w:qFormat/>
    <w:uiPriority w:val="0"/>
    <w:pPr>
      <w:spacing w:beforeAutospacing="1" w:afterAutospacing="1"/>
      <w:jc w:val="left"/>
    </w:pPr>
    <w:rPr>
      <w:kern w:val="0"/>
      <w:sz w:val="24"/>
    </w:rPr>
  </w:style>
  <w:style w:type="paragraph" w:styleId="24">
    <w:name w:val="Title"/>
    <w:basedOn w:val="13"/>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5">
    <w:name w:val="annotation subject"/>
    <w:basedOn w:val="9"/>
    <w:next w:val="9"/>
    <w:link w:val="37"/>
    <w:autoRedefine/>
    <w:qFormat/>
    <w:uiPriority w:val="0"/>
    <w:rPr>
      <w:b/>
      <w:bCs/>
    </w:rPr>
  </w:style>
  <w:style w:type="paragraph" w:styleId="26">
    <w:name w:val="Body Text First Indent"/>
    <w:basedOn w:val="10"/>
    <w:next w:val="1"/>
    <w:autoRedefine/>
    <w:qFormat/>
    <w:uiPriority w:val="0"/>
    <w:pPr>
      <w:spacing w:after="120" w:line="240" w:lineRule="auto"/>
      <w:ind w:firstLine="420" w:firstLineChars="100"/>
    </w:pPr>
    <w:rPr>
      <w:rFonts w:ascii="Calibri" w:hAnsi="Calibri"/>
      <w:sz w:val="18"/>
      <w:szCs w:val="18"/>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page number"/>
    <w:basedOn w:val="29"/>
    <w:autoRedefine/>
    <w:qFormat/>
    <w:uiPriority w:val="0"/>
    <w:rPr>
      <w:rFonts w:ascii="Times New Roman" w:hAnsi="Times New Roman" w:eastAsia="宋体" w:cs="Times New Roman"/>
    </w:rPr>
  </w:style>
  <w:style w:type="character" w:styleId="32">
    <w:name w:val="Hyperlink"/>
    <w:basedOn w:val="29"/>
    <w:autoRedefine/>
    <w:qFormat/>
    <w:uiPriority w:val="0"/>
    <w:rPr>
      <w:color w:val="0000FF"/>
      <w:u w:val="single"/>
    </w:rPr>
  </w:style>
  <w:style w:type="character" w:styleId="33">
    <w:name w:val="annotation reference"/>
    <w:basedOn w:val="29"/>
    <w:autoRedefine/>
    <w:qFormat/>
    <w:uiPriority w:val="0"/>
    <w:rPr>
      <w:sz w:val="21"/>
      <w:szCs w:val="21"/>
    </w:rPr>
  </w:style>
  <w:style w:type="character" w:customStyle="1" w:styleId="34">
    <w:name w:val="标题 1 Char"/>
    <w:link w:val="3"/>
    <w:autoRedefine/>
    <w:qFormat/>
    <w:uiPriority w:val="0"/>
    <w:rPr>
      <w:rFonts w:ascii="宋体"/>
      <w:b/>
      <w:kern w:val="44"/>
      <w:sz w:val="32"/>
      <w:szCs w:val="20"/>
    </w:rPr>
  </w:style>
  <w:style w:type="character" w:customStyle="1" w:styleId="35">
    <w:name w:val="批注文字 Char"/>
    <w:basedOn w:val="29"/>
    <w:link w:val="9"/>
    <w:autoRedefine/>
    <w:qFormat/>
    <w:uiPriority w:val="0"/>
    <w:rPr>
      <w:kern w:val="2"/>
      <w:sz w:val="21"/>
      <w:szCs w:val="24"/>
    </w:rPr>
  </w:style>
  <w:style w:type="character" w:customStyle="1" w:styleId="36">
    <w:name w:val="批注框文本 Char"/>
    <w:basedOn w:val="29"/>
    <w:link w:val="17"/>
    <w:autoRedefine/>
    <w:qFormat/>
    <w:uiPriority w:val="0"/>
    <w:rPr>
      <w:kern w:val="2"/>
      <w:sz w:val="18"/>
      <w:szCs w:val="18"/>
    </w:rPr>
  </w:style>
  <w:style w:type="character" w:customStyle="1" w:styleId="37">
    <w:name w:val="批注主题 Char"/>
    <w:basedOn w:val="35"/>
    <w:link w:val="25"/>
    <w:autoRedefine/>
    <w:qFormat/>
    <w:uiPriority w:val="0"/>
    <w:rPr>
      <w:b/>
      <w:bCs/>
      <w:kern w:val="2"/>
      <w:sz w:val="21"/>
      <w:szCs w:val="24"/>
    </w:rPr>
  </w:style>
  <w:style w:type="paragraph" w:customStyle="1" w:styleId="38">
    <w:name w:val="标题 5（有编号）（绿盟科技）"/>
    <w:basedOn w:val="1"/>
    <w:next w:val="1"/>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9">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40">
    <w:name w:val="List2"/>
    <w:basedOn w:val="1"/>
    <w:autoRedefine/>
    <w:qFormat/>
    <w:uiPriority w:val="0"/>
    <w:pPr>
      <w:widowControl/>
      <w:ind w:left="100" w:leftChars="200" w:hanging="200" w:hangingChars="200"/>
      <w:contextualSpacing/>
      <w:textAlignment w:val="baseline"/>
    </w:pPr>
  </w:style>
  <w:style w:type="paragraph" w:customStyle="1" w:styleId="41">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2">
    <w:name w:val="BodyText"/>
    <w:basedOn w:val="1"/>
    <w:autoRedefine/>
    <w:qFormat/>
    <w:uiPriority w:val="0"/>
    <w:pPr>
      <w:spacing w:after="120"/>
    </w:pPr>
  </w:style>
  <w:style w:type="paragraph" w:customStyle="1" w:styleId="43">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44">
    <w:name w:val="No Spacing_3b93350b-94da-44fa-8143-641484b951a0"/>
    <w:link w:val="45"/>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5">
    <w:name w:val="无间隔 Char"/>
    <w:link w:val="44"/>
    <w:autoRedefine/>
    <w:qFormat/>
    <w:uiPriority w:val="1"/>
    <w:rPr>
      <w:rFonts w:ascii="Calibri" w:hAnsi="Calibri" w:eastAsia="宋体" w:cs="Times New Roman"/>
      <w:kern w:val="2"/>
      <w:sz w:val="21"/>
      <w:szCs w:val="24"/>
      <w:lang w:val="en-US" w:eastAsia="zh-CN" w:bidi="ar-SA"/>
    </w:rPr>
  </w:style>
  <w:style w:type="character" w:customStyle="1" w:styleId="46">
    <w:name w:val="NormalCharacter"/>
    <w:autoRedefine/>
    <w:qFormat/>
    <w:uiPriority w:val="0"/>
    <w:rPr>
      <w:rFonts w:ascii="Calibri" w:hAnsi="Calibri" w:eastAsia="宋体" w:cs="Times New Roman"/>
      <w:kern w:val="2"/>
      <w:sz w:val="21"/>
      <w:szCs w:val="24"/>
      <w:lang w:val="en-US" w:eastAsia="zh-CN" w:bidi="ar-SA"/>
    </w:rPr>
  </w:style>
  <w:style w:type="paragraph" w:customStyle="1" w:styleId="47">
    <w:name w:val="图例"/>
    <w:basedOn w:val="1"/>
    <w:autoRedefine/>
    <w:qFormat/>
    <w:uiPriority w:val="0"/>
    <w:pPr>
      <w:spacing w:before="120" w:after="120" w:line="360" w:lineRule="auto"/>
      <w:jc w:val="center"/>
    </w:pPr>
    <w:rPr>
      <w:rFonts w:eastAsia="仿宋_GB2312"/>
      <w:b/>
      <w:sz w:val="24"/>
    </w:rPr>
  </w:style>
  <w:style w:type="paragraph" w:customStyle="1" w:styleId="48">
    <w:name w:val="列出段落1"/>
    <w:basedOn w:val="1"/>
    <w:autoRedefine/>
    <w:qFormat/>
    <w:uiPriority w:val="0"/>
    <w:pPr>
      <w:ind w:firstLine="420" w:firstLineChars="200"/>
    </w:pPr>
  </w:style>
  <w:style w:type="paragraph" w:customStyle="1" w:styleId="49">
    <w:name w:val="List Paragraph_7aecd6e6-fc70-4df6-be05-ef790174fbad"/>
    <w:basedOn w:val="1"/>
    <w:autoRedefine/>
    <w:qFormat/>
    <w:uiPriority w:val="34"/>
    <w:pPr>
      <w:ind w:firstLine="420" w:firstLineChars="200"/>
    </w:pPr>
  </w:style>
  <w:style w:type="paragraph" w:customStyle="1" w:styleId="50">
    <w:name w:val="正文-manu"/>
    <w:basedOn w:val="1"/>
    <w:autoRedefine/>
    <w:qFormat/>
    <w:uiPriority w:val="0"/>
    <w:pPr>
      <w:spacing w:line="300" w:lineRule="auto"/>
    </w:pPr>
    <w:rPr>
      <w:b/>
      <w:snapToGrid w:val="0"/>
      <w:kern w:val="0"/>
      <w:sz w:val="24"/>
      <w:szCs w:val="20"/>
    </w:rPr>
  </w:style>
  <w:style w:type="character" w:customStyle="1" w:styleId="51">
    <w:name w:val="font01"/>
    <w:basedOn w:val="29"/>
    <w:autoRedefine/>
    <w:qFormat/>
    <w:uiPriority w:val="0"/>
    <w:rPr>
      <w:rFonts w:hint="default" w:ascii="Arial" w:hAnsi="Arial" w:cs="Arial"/>
      <w:color w:val="000000"/>
      <w:sz w:val="22"/>
      <w:szCs w:val="22"/>
      <w:u w:val="none"/>
    </w:rPr>
  </w:style>
  <w:style w:type="character" w:customStyle="1" w:styleId="52">
    <w:name w:val="font41"/>
    <w:basedOn w:val="29"/>
    <w:autoRedefine/>
    <w:qFormat/>
    <w:uiPriority w:val="0"/>
    <w:rPr>
      <w:rFonts w:hint="eastAsia" w:ascii="宋体" w:hAnsi="宋体" w:eastAsia="宋体" w:cs="宋体"/>
      <w:color w:val="000000"/>
      <w:sz w:val="22"/>
      <w:szCs w:val="22"/>
      <w:u w:val="none"/>
    </w:rPr>
  </w:style>
  <w:style w:type="character" w:customStyle="1" w:styleId="53">
    <w:name w:val="font51"/>
    <w:basedOn w:val="29"/>
    <w:autoRedefine/>
    <w:qFormat/>
    <w:uiPriority w:val="0"/>
    <w:rPr>
      <w:rFonts w:hint="eastAsia" w:ascii="宋体" w:hAnsi="宋体" w:eastAsia="宋体" w:cs="宋体"/>
      <w:color w:val="000000"/>
      <w:sz w:val="22"/>
      <w:szCs w:val="22"/>
      <w:u w:val="none"/>
    </w:rPr>
  </w:style>
  <w:style w:type="character" w:customStyle="1" w:styleId="54">
    <w:name w:val="font31"/>
    <w:basedOn w:val="29"/>
    <w:autoRedefine/>
    <w:qFormat/>
    <w:uiPriority w:val="0"/>
    <w:rPr>
      <w:rFonts w:hint="default" w:ascii="Arial" w:hAnsi="Arial" w:cs="Arial"/>
      <w:b/>
      <w:color w:val="000000"/>
      <w:sz w:val="22"/>
      <w:szCs w:val="22"/>
      <w:u w:val="none"/>
    </w:rPr>
  </w:style>
  <w:style w:type="character" w:customStyle="1" w:styleId="55">
    <w:name w:val="font91"/>
    <w:basedOn w:val="29"/>
    <w:autoRedefine/>
    <w:qFormat/>
    <w:uiPriority w:val="0"/>
    <w:rPr>
      <w:rFonts w:hint="default" w:ascii="Arial" w:hAnsi="Arial" w:cs="Arial"/>
      <w:color w:val="000000"/>
      <w:sz w:val="22"/>
      <w:szCs w:val="22"/>
      <w:u w:val="none"/>
    </w:rPr>
  </w:style>
  <w:style w:type="character" w:customStyle="1" w:styleId="56">
    <w:name w:val="font81"/>
    <w:basedOn w:val="29"/>
    <w:autoRedefine/>
    <w:qFormat/>
    <w:uiPriority w:val="0"/>
    <w:rPr>
      <w:rFonts w:hint="eastAsia" w:ascii="宋体" w:hAnsi="宋体" w:eastAsia="宋体" w:cs="宋体"/>
      <w:color w:val="000000"/>
      <w:sz w:val="22"/>
      <w:szCs w:val="22"/>
      <w:u w:val="none"/>
    </w:rPr>
  </w:style>
  <w:style w:type="character" w:customStyle="1" w:styleId="57">
    <w:name w:val="font21"/>
    <w:basedOn w:val="29"/>
    <w:qFormat/>
    <w:uiPriority w:val="0"/>
    <w:rPr>
      <w:rFonts w:ascii="微软雅黑" w:hAnsi="微软雅黑" w:eastAsia="微软雅黑" w:cs="微软雅黑"/>
      <w:b/>
      <w:color w:val="000000"/>
      <w:sz w:val="24"/>
      <w:szCs w:val="24"/>
      <w:u w:val="none"/>
    </w:rPr>
  </w:style>
  <w:style w:type="character" w:customStyle="1" w:styleId="58">
    <w:name w:val="font61"/>
    <w:basedOn w:val="29"/>
    <w:qFormat/>
    <w:uiPriority w:val="0"/>
    <w:rPr>
      <w:rFonts w:hint="default" w:ascii="Times New Roman" w:hAnsi="Times New Roman" w:cs="Times New Roman"/>
      <w:b/>
      <w:color w:val="000000"/>
      <w:sz w:val="24"/>
      <w:szCs w:val="24"/>
      <w:u w:val="none"/>
    </w:rPr>
  </w:style>
  <w:style w:type="character" w:customStyle="1" w:styleId="59">
    <w:name w:val="font71"/>
    <w:basedOn w:val="29"/>
    <w:autoRedefine/>
    <w:qFormat/>
    <w:uiPriority w:val="0"/>
    <w:rPr>
      <w:rFonts w:hint="eastAsia" w:ascii="微软雅黑" w:hAnsi="微软雅黑" w:eastAsia="微软雅黑" w:cs="微软雅黑"/>
      <w:color w:val="000000"/>
      <w:sz w:val="24"/>
      <w:szCs w:val="24"/>
      <w:u w:val="none"/>
    </w:rPr>
  </w:style>
  <w:style w:type="character" w:customStyle="1" w:styleId="60">
    <w:name w:val="font101"/>
    <w:basedOn w:val="29"/>
    <w:autoRedefine/>
    <w:qFormat/>
    <w:uiPriority w:val="0"/>
    <w:rPr>
      <w:rFonts w:hint="default" w:ascii="Times New Roman" w:hAnsi="Times New Roman" w:cs="Times New Roman"/>
      <w:color w:val="000000"/>
      <w:sz w:val="24"/>
      <w:szCs w:val="24"/>
      <w:u w:val="none"/>
    </w:rPr>
  </w:style>
  <w:style w:type="paragraph" w:customStyle="1" w:styleId="61">
    <w:name w:val="_Style 1"/>
    <w:basedOn w:val="1"/>
    <w:autoRedefine/>
    <w:qFormat/>
    <w:uiPriority w:val="34"/>
    <w:pPr>
      <w:ind w:firstLine="420" w:firstLineChars="200"/>
    </w:pPr>
  </w:style>
  <w:style w:type="paragraph" w:customStyle="1" w:styleId="62">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3">
    <w:name w:val="索引 11"/>
    <w:basedOn w:val="1"/>
    <w:next w:val="1"/>
    <w:autoRedefine/>
    <w:qFormat/>
    <w:uiPriority w:val="0"/>
    <w:pPr>
      <w:spacing w:line="360" w:lineRule="auto"/>
    </w:pPr>
    <w:rPr>
      <w:rFonts w:ascii="仿宋_GB2312" w:eastAsia="仿宋_GB2312"/>
      <w:sz w:val="24"/>
      <w:szCs w:val="20"/>
    </w:rPr>
  </w:style>
  <w:style w:type="paragraph" w:customStyle="1" w:styleId="64">
    <w:name w:val="纯文本1"/>
    <w:basedOn w:val="1"/>
    <w:qFormat/>
    <w:uiPriority w:val="0"/>
    <w:rPr>
      <w:rFonts w:ascii="宋体" w:hAnsi="Courier New"/>
      <w:kern w:val="0"/>
      <w:sz w:val="20"/>
      <w:szCs w:val="20"/>
    </w:rPr>
  </w:style>
  <w:style w:type="paragraph" w:customStyle="1" w:styleId="65">
    <w:name w:val="段"/>
    <w:next w:val="1"/>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6">
    <w:name w:val="石墨文档正文"/>
    <w:autoRedefine/>
    <w:qFormat/>
    <w:uiPriority w:val="0"/>
    <w:rPr>
      <w:rFonts w:ascii="微软雅黑" w:hAnsi="微软雅黑" w:eastAsia="微软雅黑" w:cs="微软雅黑"/>
      <w:sz w:val="24"/>
      <w:szCs w:val="24"/>
      <w:lang w:val="en-US" w:eastAsia="zh-CN" w:bidi="ar-SA"/>
    </w:rPr>
  </w:style>
  <w:style w:type="paragraph" w:customStyle="1" w:styleId="67">
    <w:name w:val="CL标准正文首行缩进2字"/>
    <w:qFormat/>
    <w:uiPriority w:val="0"/>
    <w:pPr>
      <w:widowControl w:val="0"/>
      <w:spacing w:line="360" w:lineRule="auto"/>
      <w:ind w:firstLine="200"/>
      <w:jc w:val="both"/>
    </w:pPr>
    <w:rPr>
      <w:rFonts w:ascii="Arial" w:hAnsi="Arial" w:eastAsia="宋体" w:cs="Arial Unicode MS"/>
      <w:color w:val="000000"/>
      <w:kern w:val="2"/>
      <w:sz w:val="21"/>
      <w:szCs w:val="21"/>
      <w:lang w:val="en-US" w:eastAsia="zh-CN" w:bidi="ar-SA"/>
    </w:rPr>
  </w:style>
  <w:style w:type="table" w:customStyle="1" w:styleId="68">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69">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0">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1">
    <w:name w:val="s1"/>
    <w:basedOn w:val="29"/>
    <w:autoRedefine/>
    <w:qFormat/>
    <w:uiPriority w:val="0"/>
    <w:rPr>
      <w:rFonts w:ascii="pingfang sc" w:hAnsi="pingfang sc" w:eastAsia="pingfang sc" w:cs="pingfang sc"/>
      <w:sz w:val="40"/>
      <w:szCs w:val="40"/>
    </w:rPr>
  </w:style>
  <w:style w:type="character" w:customStyle="1" w:styleId="72">
    <w:name w:val="trans"/>
    <w:autoRedefine/>
    <w:qFormat/>
    <w:uiPriority w:val="99"/>
  </w:style>
  <w:style w:type="paragraph" w:customStyle="1" w:styleId="73">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74">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75">
    <w:name w:val="PageNumber"/>
    <w:qFormat/>
    <w:uiPriority w:val="99"/>
    <w:rPr>
      <w:rFonts w:cs="Times New Roman"/>
    </w:rPr>
  </w:style>
  <w:style w:type="paragraph" w:customStyle="1" w:styleId="76">
    <w:name w:val="样式1"/>
    <w:basedOn w:val="4"/>
    <w:autoRedefine/>
    <w:qFormat/>
    <w:uiPriority w:val="0"/>
    <w:pPr>
      <w:spacing w:before="100" w:beforeAutospacing="1" w:after="100" w:afterAutospacing="1"/>
      <w:ind w:right="100" w:rightChars="100"/>
    </w:pPr>
    <w:rPr>
      <w:sz w:val="21"/>
    </w:rPr>
  </w:style>
  <w:style w:type="paragraph" w:customStyle="1" w:styleId="77">
    <w:name w:val="UserStyle_15"/>
    <w:basedOn w:val="78"/>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78">
    <w:name w:val="Heading2"/>
    <w:basedOn w:val="1"/>
    <w:next w:val="1"/>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79">
    <w:name w:val="UserStyle_2"/>
    <w:link w:val="80"/>
    <w:autoRedefine/>
    <w:qFormat/>
    <w:uiPriority w:val="0"/>
    <w:rPr>
      <w:kern w:val="0"/>
      <w:sz w:val="20"/>
      <w:szCs w:val="24"/>
      <w:lang w:val="en-US" w:eastAsia="zh-CN" w:bidi="ar-SA"/>
    </w:rPr>
  </w:style>
  <w:style w:type="paragraph" w:customStyle="1" w:styleId="80">
    <w:name w:val="UserStyle_3"/>
    <w:basedOn w:val="1"/>
    <w:link w:val="79"/>
    <w:autoRedefine/>
    <w:qFormat/>
    <w:uiPriority w:val="0"/>
    <w:pPr>
      <w:jc w:val="both"/>
      <w:textAlignment w:val="baseline"/>
    </w:pPr>
    <w:rPr>
      <w:kern w:val="0"/>
      <w:sz w:val="20"/>
      <w:szCs w:val="24"/>
      <w:lang w:val="en-US" w:eastAsia="zh-CN" w:bidi="ar-SA"/>
    </w:rPr>
  </w:style>
  <w:style w:type="paragraph" w:customStyle="1" w:styleId="81">
    <w:name w:val="List Paragraph1"/>
    <w:basedOn w:val="1"/>
    <w:autoRedefine/>
    <w:qFormat/>
    <w:uiPriority w:val="0"/>
    <w:pPr>
      <w:ind w:firstLine="420" w:firstLineChars="200"/>
    </w:pPr>
  </w:style>
  <w:style w:type="paragraph" w:customStyle="1" w:styleId="82">
    <w:name w:val="List Paragraph"/>
    <w:basedOn w:val="1"/>
    <w:autoRedefine/>
    <w:qFormat/>
    <w:uiPriority w:val="34"/>
    <w:pPr>
      <w:ind w:firstLine="420" w:firstLineChars="200"/>
    </w:p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85">
    <w:name w:val="TOC Heading"/>
    <w:basedOn w:val="3"/>
    <w:next w:val="1"/>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86">
    <w:name w:val="标题33"/>
    <w:basedOn w:val="5"/>
    <w:next w:val="39"/>
    <w:autoRedefine/>
    <w:qFormat/>
    <w:uiPriority w:val="0"/>
    <w:pPr>
      <w:numPr>
        <w:ilvl w:val="2"/>
        <w:numId w:val="4"/>
      </w:numPr>
      <w:tabs>
        <w:tab w:val="clear" w:pos="720"/>
      </w:tabs>
    </w:pPr>
    <w:rPr>
      <w:rFonts w:hAnsi="黑体" w:eastAsia="黑体"/>
      <w:sz w:val="30"/>
      <w:szCs w:val="30"/>
    </w:rPr>
  </w:style>
  <w:style w:type="paragraph" w:customStyle="1" w:styleId="87">
    <w:name w:val="标题44"/>
    <w:basedOn w:val="6"/>
    <w:next w:val="39"/>
    <w:qFormat/>
    <w:uiPriority w:val="0"/>
    <w:pPr>
      <w:numPr>
        <w:ilvl w:val="3"/>
        <w:numId w:val="4"/>
      </w:numPr>
    </w:pPr>
    <w:rPr>
      <w:sz w:val="30"/>
      <w:szCs w:val="30"/>
    </w:rPr>
  </w:style>
  <w:style w:type="paragraph" w:customStyle="1" w:styleId="88">
    <w:name w:val="表格文字"/>
    <w:basedOn w:val="1"/>
    <w:autoRedefine/>
    <w:qFormat/>
    <w:uiPriority w:val="0"/>
    <w:pPr>
      <w:spacing w:before="25" w:after="25"/>
      <w:jc w:val="left"/>
    </w:pPr>
    <w:rPr>
      <w:bCs/>
      <w:spacing w:val="10"/>
      <w:kern w:val="0"/>
      <w:sz w:val="24"/>
    </w:rPr>
  </w:style>
  <w:style w:type="paragraph" w:customStyle="1" w:styleId="89">
    <w:name w:val="p0"/>
    <w:basedOn w:val="1"/>
    <w:qFormat/>
    <w:uiPriority w:val="0"/>
    <w:pPr>
      <w:widowControl/>
    </w:pPr>
    <w:rPr>
      <w:kern w:val="0"/>
      <w:szCs w:val="21"/>
    </w:rPr>
  </w:style>
  <w:style w:type="character" w:customStyle="1" w:styleId="90">
    <w:name w:val="font11"/>
    <w:basedOn w:val="29"/>
    <w:qFormat/>
    <w:uiPriority w:val="0"/>
    <w:rPr>
      <w:rFonts w:hint="eastAsia" w:ascii="宋体" w:hAnsi="宋体" w:eastAsia="宋体" w:cs="宋体"/>
      <w:color w:val="333333"/>
      <w:sz w:val="24"/>
      <w:szCs w:val="24"/>
      <w:u w:val="none"/>
    </w:rPr>
  </w:style>
  <w:style w:type="table" w:customStyle="1" w:styleId="91">
    <w:name w:val="Table Normal"/>
    <w:autoRedefine/>
    <w:unhideWhenUsed/>
    <w:qFormat/>
    <w:uiPriority w:val="0"/>
    <w:tblPr>
      <w:tblCellMar>
        <w:top w:w="0" w:type="dxa"/>
        <w:left w:w="0" w:type="dxa"/>
        <w:bottom w:w="0" w:type="dxa"/>
        <w:right w:w="0" w:type="dxa"/>
      </w:tblCellMar>
    </w:tblPr>
  </w:style>
  <w:style w:type="paragraph" w:customStyle="1" w:styleId="92">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3">
    <w:name w:val="CharAttribute0"/>
    <w:autoRedefine/>
    <w:qFormat/>
    <w:uiPriority w:val="0"/>
    <w:rPr>
      <w:rFonts w:ascii="Times New Roman" w:eastAsia="宋体"/>
      <w:sz w:val="21"/>
    </w:rPr>
  </w:style>
  <w:style w:type="paragraph" w:customStyle="1" w:styleId="94">
    <w:name w:val="普通(网站)1"/>
    <w:basedOn w:val="1"/>
    <w:qFormat/>
    <w:uiPriority w:val="2"/>
    <w:pPr>
      <w:spacing w:before="75" w:after="75"/>
      <w:ind w:left="0" w:right="0" w:firstLine="0"/>
      <w:jc w:val="left"/>
    </w:pPr>
    <w:rPr>
      <w:kern w:val="0"/>
      <w:sz w:val="24"/>
      <w:lang w:val="en-US" w:eastAsia="zh-CN" w:bidi="ar"/>
    </w:rPr>
  </w:style>
  <w:style w:type="character" w:customStyle="1" w:styleId="95">
    <w:name w:val="font121"/>
    <w:basedOn w:val="29"/>
    <w:autoRedefine/>
    <w:qFormat/>
    <w:uiPriority w:val="0"/>
    <w:rPr>
      <w:rFonts w:hint="default" w:ascii="Times New Roman" w:hAnsi="Times New Roman" w:cs="Times New Roman"/>
      <w:b/>
      <w:bCs/>
      <w:color w:val="000000"/>
      <w:sz w:val="22"/>
      <w:szCs w:val="22"/>
      <w:u w:val="none"/>
    </w:rPr>
  </w:style>
  <w:style w:type="character" w:customStyle="1" w:styleId="96">
    <w:name w:val="font131"/>
    <w:basedOn w:val="29"/>
    <w:autoRedefine/>
    <w:qFormat/>
    <w:uiPriority w:val="0"/>
    <w:rPr>
      <w:rFonts w:hint="eastAsia" w:ascii="宋体" w:hAnsi="宋体" w:eastAsia="宋体" w:cs="宋体"/>
      <w:b/>
      <w:bCs/>
      <w:color w:val="FF0000"/>
      <w:sz w:val="22"/>
      <w:szCs w:val="22"/>
      <w:u w:val="none"/>
    </w:rPr>
  </w:style>
  <w:style w:type="paragraph" w:customStyle="1" w:styleId="97">
    <w:name w:val="Table Paragraph"/>
    <w:basedOn w:val="1"/>
    <w:qFormat/>
    <w:uiPriority w:val="1"/>
    <w:pPr>
      <w:spacing w:before="85"/>
      <w:jc w:val="center"/>
    </w:pPr>
    <w:rPr>
      <w:rFonts w:ascii="宋体" w:hAnsi="宋体" w:eastAsia="宋体" w:cs="宋体"/>
      <w:lang w:val="zh-CN" w:eastAsia="zh-CN" w:bidi="zh-CN"/>
    </w:rPr>
  </w:style>
  <w:style w:type="paragraph" w:customStyle="1" w:styleId="98">
    <w:name w:val="Body text|1"/>
    <w:basedOn w:val="1"/>
    <w:autoRedefine/>
    <w:qFormat/>
    <w:uiPriority w:val="0"/>
    <w:pPr>
      <w:widowControl w:val="0"/>
      <w:shd w:val="clear" w:color="auto" w:fill="auto"/>
      <w:spacing w:line="413" w:lineRule="auto"/>
    </w:pPr>
    <w:rPr>
      <w:rFonts w:ascii="宋体" w:hAnsi="宋体" w:eastAsia="宋体" w:cs="宋体"/>
      <w:sz w:val="20"/>
      <w:szCs w:val="20"/>
      <w:u w:val="none"/>
      <w:shd w:val="clear" w:color="auto" w:fill="auto"/>
      <w:lang w:val="zh-TW" w:eastAsia="zh-TW" w:bidi="zh-TW"/>
    </w:rPr>
  </w:style>
  <w:style w:type="paragraph" w:customStyle="1" w:styleId="99">
    <w:name w:val="Body text|2"/>
    <w:basedOn w:val="1"/>
    <w:autoRedefine/>
    <w:qFormat/>
    <w:uiPriority w:val="0"/>
    <w:pPr>
      <w:widowControl w:val="0"/>
      <w:shd w:val="clear" w:color="auto" w:fill="auto"/>
      <w:spacing w:line="406" w:lineRule="exact"/>
    </w:pPr>
    <w:rPr>
      <w:sz w:val="20"/>
      <w:szCs w:val="20"/>
      <w:u w:val="none"/>
      <w:shd w:val="clear" w:color="auto" w:fill="auto"/>
    </w:rPr>
  </w:style>
  <w:style w:type="paragraph" w:customStyle="1" w:styleId="100">
    <w:name w:val="Table Text"/>
    <w:basedOn w:val="1"/>
    <w:autoRedefine/>
    <w:semiHidden/>
    <w:qFormat/>
    <w:uiPriority w:val="0"/>
    <w:rPr>
      <w:rFonts w:ascii="仿宋" w:hAnsi="仿宋" w:eastAsia="仿宋" w:cs="仿宋"/>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48977</Words>
  <Characters>52840</Characters>
  <Paragraphs>2159</Paragraphs>
  <TotalTime>254</TotalTime>
  <ScaleCrop>false</ScaleCrop>
  <LinksUpToDate>false</LinksUpToDate>
  <CharactersWithSpaces>57534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Lenovo</cp:lastModifiedBy>
  <cp:lastPrinted>2024-04-20T04:19:00Z</cp:lastPrinted>
  <dcterms:modified xsi:type="dcterms:W3CDTF">2024-06-20T03:44:32Z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B30871F4CCA54B8B98092315C7B443D6_13</vt:lpwstr>
  </property>
</Properties>
</file>