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0AC4F">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31"/>
          <w:szCs w:val="31"/>
          <w:lang w:val="en-US" w:eastAsia="zh-CN" w:bidi="ar"/>
        </w:rPr>
        <w:t xml:space="preserve">一、工程概况： </w:t>
      </w:r>
    </w:p>
    <w:p w14:paraId="2ED80FD7">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项目名称：塔什库尔干县乡村振兴示范特色小镇建设项目-托格伦夏村旅游文化美食街项目。</w:t>
      </w:r>
    </w:p>
    <w:p w14:paraId="49B20824">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建设地点：喀什地区塔什库尔干县</w:t>
      </w:r>
    </w:p>
    <w:p w14:paraId="5A8EA77A">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建设规模：</w:t>
      </w:r>
    </w:p>
    <w:p w14:paraId="6CAE4CCD">
      <w:pPr>
        <w:keepNext w:val="0"/>
        <w:keepLines w:val="0"/>
        <w:widowControl/>
        <w:suppressLineNumbers w:val="0"/>
        <w:jc w:val="left"/>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1.新建单层公共建筑，框架结构、总建筑面积199.36平方米，地上1层，层高4.5米，地下0层，及其配套附属设施。</w:t>
      </w:r>
    </w:p>
    <w:p w14:paraId="61C9E673">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31"/>
          <w:szCs w:val="31"/>
          <w:lang w:val="en-US" w:eastAsia="zh-CN" w:bidi="ar"/>
        </w:rPr>
        <w:t xml:space="preserve">二、编制依据： </w:t>
      </w:r>
    </w:p>
    <w:p w14:paraId="4DA500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eastAsia" w:ascii="宋体" w:hAnsi="宋体" w:eastAsia="宋体" w:cs="宋体"/>
          <w:b w:val="0"/>
          <w:bCs/>
          <w:color w:val="000000"/>
          <w:kern w:val="0"/>
          <w:sz w:val="28"/>
          <w:szCs w:val="28"/>
          <w:highlight w:val="none"/>
          <w:lang w:val="en-US" w:eastAsia="zh-CN"/>
        </w:rPr>
      </w:pPr>
      <w:r>
        <w:rPr>
          <w:rFonts w:hint="eastAsia" w:ascii="宋体" w:hAnsi="宋体" w:eastAsia="宋体" w:cs="宋体"/>
          <w:b w:val="0"/>
          <w:bCs/>
          <w:color w:val="000000"/>
          <w:kern w:val="0"/>
          <w:sz w:val="28"/>
          <w:szCs w:val="28"/>
          <w:highlight w:val="none"/>
          <w:lang w:val="en-US" w:eastAsia="zh-CN"/>
        </w:rPr>
        <w:t>1.</w:t>
      </w:r>
      <w:r>
        <w:rPr>
          <w:rFonts w:hint="eastAsia" w:ascii="宋体" w:hAnsi="宋体" w:eastAsia="宋体" w:cs="宋体"/>
          <w:color w:val="auto"/>
          <w:kern w:val="0"/>
          <w:sz w:val="28"/>
          <w:szCs w:val="28"/>
          <w:shd w:val="clear" w:color="auto" w:fill="auto"/>
          <w:lang w:eastAsia="zh-CN"/>
        </w:rPr>
        <w:t>《建设工程工程量清单计价规范》</w:t>
      </w:r>
      <w:r>
        <w:rPr>
          <w:rFonts w:hint="eastAsia" w:ascii="宋体" w:hAnsi="宋体" w:eastAsia="宋体" w:cs="宋体"/>
          <w:color w:val="auto"/>
          <w:kern w:val="0"/>
          <w:sz w:val="28"/>
          <w:szCs w:val="28"/>
          <w:shd w:val="clear" w:color="auto" w:fill="auto"/>
          <w:lang w:val="en-US" w:eastAsia="zh-CN"/>
        </w:rPr>
        <w:t>GB50500-2013</w:t>
      </w:r>
      <w:r>
        <w:rPr>
          <w:rFonts w:hint="eastAsia" w:ascii="宋体" w:hAnsi="宋体" w:eastAsia="宋体" w:cs="宋体"/>
          <w:b w:val="0"/>
          <w:bCs/>
          <w:color w:val="000000"/>
          <w:kern w:val="0"/>
          <w:sz w:val="28"/>
          <w:szCs w:val="28"/>
          <w:highlight w:val="none"/>
          <w:lang w:val="en-US" w:eastAsia="zh-CN"/>
        </w:rPr>
        <w:t xml:space="preserve">； </w:t>
      </w:r>
    </w:p>
    <w:p w14:paraId="1A874E4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60" w:firstLineChars="200"/>
        <w:textAlignment w:val="auto"/>
        <w:rPr>
          <w:rFonts w:hint="eastAsia" w:ascii="宋体" w:hAnsi="宋体" w:eastAsia="宋体" w:cs="宋体"/>
          <w:color w:val="auto"/>
          <w:kern w:val="0"/>
          <w:sz w:val="28"/>
          <w:szCs w:val="28"/>
          <w:shd w:val="clear" w:color="auto" w:fill="auto"/>
          <w:lang w:val="en-US" w:eastAsia="zh-CN" w:bidi="ar-SA"/>
        </w:rPr>
      </w:pPr>
      <w:r>
        <w:rPr>
          <w:rFonts w:hint="eastAsia" w:ascii="宋体" w:hAnsi="宋体" w:eastAsia="宋体" w:cs="宋体"/>
          <w:b w:val="0"/>
          <w:bCs/>
          <w:color w:val="000000"/>
          <w:kern w:val="0"/>
          <w:sz w:val="28"/>
          <w:szCs w:val="28"/>
          <w:highlight w:val="none"/>
          <w:lang w:val="en-US" w:eastAsia="zh-CN"/>
        </w:rPr>
        <w:t>2.</w:t>
      </w:r>
      <w:r>
        <w:rPr>
          <w:rFonts w:hint="eastAsia" w:ascii="宋体" w:hAnsi="宋体" w:eastAsia="宋体" w:cs="宋体"/>
          <w:color w:val="auto"/>
          <w:kern w:val="0"/>
          <w:sz w:val="28"/>
          <w:szCs w:val="28"/>
          <w:shd w:val="clear" w:color="auto" w:fill="auto"/>
          <w:lang w:val="en-US" w:eastAsia="zh-CN" w:bidi="ar-SA"/>
        </w:rPr>
        <w:t>住房城乡建设行政主管部门发布</w:t>
      </w:r>
      <w:r>
        <w:rPr>
          <w:rFonts w:hint="eastAsia" w:ascii="宋体" w:hAnsi="宋体" w:eastAsia="宋体" w:cs="宋体"/>
          <w:color w:val="auto"/>
          <w:kern w:val="0"/>
          <w:sz w:val="28"/>
          <w:szCs w:val="28"/>
          <w:shd w:val="clear" w:color="auto" w:fill="auto"/>
          <w:lang w:val="en-US" w:eastAsia="zh-CN"/>
        </w:rPr>
        <w:t>的计价定额和计价办法；新疆房屋建筑与装饰工程消耗量定额喀什估价表(2022)、全统安装工程消耗量定额喀什估价汇总表(2022)、新疆市政工程消耗量定额喀什估价汇总表(2022)；</w:t>
      </w:r>
    </w:p>
    <w:p w14:paraId="4BD5B2C8">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color w:val="auto"/>
          <w:kern w:val="0"/>
          <w:sz w:val="28"/>
          <w:szCs w:val="28"/>
          <w:shd w:val="clear" w:color="auto" w:fill="auto"/>
          <w:lang w:val="en-US" w:eastAsia="zh-CN" w:bidi="ar-SA"/>
        </w:rPr>
      </w:pPr>
      <w:r>
        <w:rPr>
          <w:rFonts w:hint="eastAsia" w:ascii="宋体" w:hAnsi="宋体" w:eastAsia="宋体" w:cs="宋体"/>
          <w:color w:val="auto"/>
          <w:kern w:val="0"/>
          <w:sz w:val="28"/>
          <w:szCs w:val="28"/>
          <w:shd w:val="clear" w:color="auto" w:fill="auto"/>
          <w:lang w:val="en-US" w:eastAsia="zh-CN" w:bidi="ar-SA"/>
        </w:rPr>
        <w:t>3.建设工程设计文件、标准图集及相关资料；</w:t>
      </w:r>
    </w:p>
    <w:p w14:paraId="7DD5B278">
      <w:pPr>
        <w:pStyle w:val="2"/>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b w:val="0"/>
          <w:bCs/>
          <w:color w:val="000000"/>
          <w:kern w:val="0"/>
          <w:sz w:val="28"/>
          <w:szCs w:val="28"/>
          <w:highlight w:val="none"/>
          <w:lang w:val="en-US" w:eastAsia="zh-CN"/>
        </w:rPr>
      </w:pPr>
      <w:r>
        <w:rPr>
          <w:rFonts w:hint="eastAsia" w:ascii="宋体" w:hAnsi="宋体" w:eastAsia="宋体" w:cs="宋体"/>
          <w:color w:val="auto"/>
          <w:kern w:val="0"/>
          <w:sz w:val="28"/>
          <w:szCs w:val="28"/>
          <w:shd w:val="clear" w:color="auto" w:fill="auto"/>
          <w:lang w:val="en-US" w:eastAsia="zh-CN" w:bidi="ar-SA"/>
        </w:rPr>
        <w:t>4.工程造价管理机构发布的工程造价信息；</w:t>
      </w:r>
    </w:p>
    <w:p w14:paraId="6BBF020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rPr>
          <w:rFonts w:hint="eastAsia" w:ascii="宋体" w:hAnsi="宋体" w:eastAsia="宋体" w:cs="宋体"/>
          <w:b w:val="0"/>
          <w:bCs/>
          <w:color w:val="000000"/>
          <w:kern w:val="0"/>
          <w:sz w:val="28"/>
          <w:szCs w:val="28"/>
          <w:highlight w:val="none"/>
          <w:lang w:val="en-US" w:eastAsia="zh-CN"/>
        </w:rPr>
      </w:pPr>
      <w:r>
        <w:rPr>
          <w:rFonts w:hint="eastAsia" w:ascii="宋体" w:hAnsi="宋体" w:eastAsia="宋体" w:cs="宋体"/>
          <w:b w:val="0"/>
          <w:bCs/>
          <w:color w:val="000000"/>
          <w:kern w:val="0"/>
          <w:sz w:val="28"/>
          <w:szCs w:val="28"/>
          <w:highlight w:val="none"/>
          <w:lang w:val="en-US" w:eastAsia="zh-CN"/>
        </w:rPr>
        <w:t>5.设计图纸及甲方说明、设计答疑回复等；</w:t>
      </w:r>
    </w:p>
    <w:p w14:paraId="64E4F89E">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31"/>
          <w:szCs w:val="31"/>
          <w:lang w:val="en-US" w:eastAsia="zh-CN" w:bidi="ar"/>
        </w:rPr>
        <w:t xml:space="preserve">三、工程量清单投标报价规定： </w:t>
      </w:r>
    </w:p>
    <w:p w14:paraId="79DFB47C">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1、工程量清单应与投标人须知、合同通用条款、合同专用条款、设 </w:t>
      </w:r>
    </w:p>
    <w:p w14:paraId="7D35AF91">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计图纸、规范要求、图纸答疑、设计变更等文件及中华人民共和国国 </w:t>
      </w:r>
    </w:p>
    <w:p w14:paraId="6E2E2116">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家标准 GB50500-2013《建设工程工程量清单计价规范》结合理解或解释； </w:t>
      </w:r>
    </w:p>
    <w:p w14:paraId="7CEADC24">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2、投标人报价时不允许对工程项目、数量进行调整和改动，结算时 </w:t>
      </w:r>
    </w:p>
    <w:p w14:paraId="31C24B8A">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按中标的综合单价进行结算与支付。其他变更项目，按合同条款确定 </w:t>
      </w:r>
    </w:p>
    <w:p w14:paraId="2C5EAB4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的单价进行结算与支付； </w:t>
      </w:r>
    </w:p>
    <w:p w14:paraId="308BD1DA">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3、工程量清单中所填入的综合单价为按技术规范与技术要求完成一个规定计量单位的工程所需的人工费、材料费、机械使用费、管理费 </w:t>
      </w:r>
    </w:p>
    <w:p w14:paraId="31FF3BAA">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和利润，按技术规范要求完成一个规定计量单位的工程量所需的其他 </w:t>
      </w:r>
    </w:p>
    <w:p w14:paraId="108AF23D">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一切费用，并包括工程量清单项目中没有体现的但施工过程中又必须 </w:t>
      </w:r>
    </w:p>
    <w:p w14:paraId="35542EC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发生的工程内容所需的费用。除非投标人在清单中列出，否则视为已包含在工程量清单各项目的综合单价中； </w:t>
      </w:r>
    </w:p>
    <w:p w14:paraId="3E77437E">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4、工程量清单中的每一项目必须填入综合单价和合价，投标人没有 </w:t>
      </w:r>
    </w:p>
    <w:p w14:paraId="12454EA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填入综合单价和合价的项目，其费用均视为已包含在工程量清单的其 </w:t>
      </w:r>
    </w:p>
    <w:p w14:paraId="5D2754A2">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他单价和合价中； </w:t>
      </w:r>
    </w:p>
    <w:p w14:paraId="373FCFF4">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5、措施项目费是为完成工程项目施工，发生于该工程施工前和施工 </w:t>
      </w:r>
    </w:p>
    <w:p w14:paraId="02B7867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过程中技术、生活、安全等方面的非工程实体项目所产生的全部措施 </w:t>
      </w:r>
    </w:p>
    <w:p w14:paraId="79C770D5">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费用。清单中所列措施项目是招标人根据一般情况所列的项目，投标 </w:t>
      </w:r>
    </w:p>
    <w:p w14:paraId="57860622">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人根据实际措施不同时，可根据具体列项内容自行报价。中标后，除 </w:t>
      </w:r>
    </w:p>
    <w:p w14:paraId="13C4E262">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合同条款没有明确约定的，工程措施项目费将以总价包干，结算时不 </w:t>
      </w:r>
    </w:p>
    <w:p w14:paraId="468ECB8A">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再进行调整； </w:t>
      </w:r>
    </w:p>
    <w:p w14:paraId="2E6F77B5">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6、招标人提供的工程量清单，是投标人投标报价的基础，投标人所 </w:t>
      </w:r>
    </w:p>
    <w:p w14:paraId="4FE8AD67">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填写的工程量清单中的综合单价作为签订合同、拨付工程进度款和工 </w:t>
      </w:r>
    </w:p>
    <w:p w14:paraId="375A28D8">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程结算的依据。中标人由于自身原因造成工程量的增加，均不予以调 </w:t>
      </w:r>
    </w:p>
    <w:p w14:paraId="4A4C8FA0">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增； </w:t>
      </w:r>
    </w:p>
    <w:p w14:paraId="1CB3056A">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7、工程量清单中的项目名称、项目特征所描述内容为主要内容，投 </w:t>
      </w:r>
    </w:p>
    <w:p w14:paraId="2BE5DAB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标人投标报价时应详细阅读施工图纸及根据有关规范的要求等，综合 </w:t>
      </w:r>
    </w:p>
    <w:p w14:paraId="7A1B94C1">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单价为完成该项目的全部工作内容。本工程量清单叙述不到位的，由 </w:t>
      </w:r>
    </w:p>
    <w:p w14:paraId="492FD51F">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投标人根据施工图纸、施工组织设计和相关施工规范等内容考虑在报价中； </w:t>
      </w:r>
    </w:p>
    <w:p w14:paraId="1337297B">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8、投标人必须依据施工图纸及相关规范认真核对清单项目和工程量。 </w:t>
      </w:r>
    </w:p>
    <w:p w14:paraId="2B4AC30C">
      <w:pPr>
        <w:keepNext w:val="0"/>
        <w:keepLines w:val="0"/>
        <w:widowControl/>
        <w:suppressLineNumbers w:val="0"/>
        <w:jc w:val="left"/>
        <w:rPr>
          <w:rFonts w:hint="eastAsia" w:ascii="宋体" w:hAnsi="宋体" w:eastAsia="宋体" w:cs="宋体"/>
        </w:rPr>
      </w:pPr>
      <w:r>
        <w:rPr>
          <w:rFonts w:hint="eastAsia" w:ascii="宋体" w:hAnsi="宋体" w:eastAsia="宋体" w:cs="宋体"/>
          <w:color w:val="000000"/>
          <w:kern w:val="0"/>
          <w:sz w:val="28"/>
          <w:szCs w:val="28"/>
          <w:lang w:val="en-US" w:eastAsia="zh-CN" w:bidi="ar"/>
        </w:rPr>
        <w:t xml:space="preserve">如有疑问，图纸答疑时应及时提出，并与清单编制单位核对。若未提 </w:t>
      </w:r>
    </w:p>
    <w:p w14:paraId="08CF0001">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出疑问或不与清单编制单位核对，视为接受，结算时一律不予调整。</w:t>
      </w:r>
    </w:p>
    <w:p w14:paraId="31EC6E3A">
      <w:pPr>
        <w:keepNext w:val="0"/>
        <w:keepLines w:val="0"/>
        <w:widowControl/>
        <w:suppressLineNumbers w:val="0"/>
        <w:jc w:val="left"/>
        <w:rPr>
          <w:rFonts w:hint="eastAsia" w:ascii="宋体" w:hAnsi="宋体" w:eastAsia="宋体" w:cs="宋体"/>
          <w:b/>
          <w:bCs/>
          <w:color w:val="000000"/>
          <w:kern w:val="0"/>
          <w:sz w:val="31"/>
          <w:szCs w:val="31"/>
          <w:lang w:val="en-US" w:eastAsia="zh-CN" w:bidi="ar"/>
        </w:rPr>
      </w:pPr>
      <w:r>
        <w:rPr>
          <w:rFonts w:hint="eastAsia" w:ascii="宋体" w:hAnsi="宋体" w:eastAsia="宋体" w:cs="宋体"/>
          <w:b/>
          <w:bCs/>
          <w:color w:val="000000"/>
          <w:kern w:val="0"/>
          <w:sz w:val="31"/>
          <w:szCs w:val="31"/>
          <w:lang w:val="en-US" w:eastAsia="zh-CN" w:bidi="ar"/>
        </w:rPr>
        <w:t xml:space="preserve">四、其他需要说明的问题 </w:t>
      </w:r>
      <w:bookmarkStart w:id="0" w:name="_GoBack"/>
      <w:bookmarkEnd w:id="0"/>
    </w:p>
    <w:p w14:paraId="34FAA217">
      <w:pPr>
        <w:keepNext w:val="0"/>
        <w:keepLines w:val="0"/>
        <w:widowControl/>
        <w:suppressLineNumbers w:val="0"/>
        <w:jc w:val="left"/>
        <w:rPr>
          <w:rFonts w:hint="default" w:ascii="宋体" w:hAnsi="宋体" w:eastAsia="宋体" w:cs="宋体"/>
          <w:color w:val="000000"/>
          <w:kern w:val="0"/>
          <w:sz w:val="28"/>
          <w:szCs w:val="28"/>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hYmFiMmQ3MmM5ODViMmYxNjExMWZjNzlhMWE4MjkifQ=="/>
  </w:docVars>
  <w:rsids>
    <w:rsidRoot w:val="6A650CCC"/>
    <w:rsid w:val="024E7C57"/>
    <w:rsid w:val="04B67ABA"/>
    <w:rsid w:val="09367BAA"/>
    <w:rsid w:val="2A383E60"/>
    <w:rsid w:val="2A9515D7"/>
    <w:rsid w:val="30B0739A"/>
    <w:rsid w:val="53E55918"/>
    <w:rsid w:val="596824E2"/>
    <w:rsid w:val="6A650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1209</Words>
  <Characters>1263</Characters>
  <Lines>0</Lines>
  <Paragraphs>0</Paragraphs>
  <TotalTime>6</TotalTime>
  <ScaleCrop>false</ScaleCrop>
  <LinksUpToDate>false</LinksUpToDate>
  <CharactersWithSpaces>1298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2024-06-14T13:53:00Z</dcterms:created>
  <dc:creator>Administrator</dc:creator>
  <cp:lastModifiedBy>郭  静</cp:lastModifiedBy>
  <dcterms:modified xsi:type="dcterms:W3CDTF">2024-10-18T06:56:42Z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41FD94CC874C4E95A684912950B54F5C_13</vt:lpwstr>
  </property>
</Properties>
</file>