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E597">
      <w:pPr>
        <w:spacing w:line="760" w:lineRule="exact"/>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40"/>
          <w:szCs w:val="40"/>
          <w:highlight w:val="none"/>
          <w:lang w:eastAsia="zh-CN"/>
        </w:rPr>
        <w:t>克孜勒苏柯尔克孜自治州公共资源交易平台电子档案管理系统建设项目</w:t>
      </w:r>
    </w:p>
    <w:p w14:paraId="2EAB18DC">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项目编号：KZZB-20</w:t>
      </w:r>
      <w:r>
        <w:rPr>
          <w:rFonts w:hint="eastAsia" w:ascii="仿宋" w:hAnsi="仿宋" w:eastAsia="仿宋" w:cs="仿宋"/>
          <w:b/>
          <w:bCs/>
          <w:color w:val="auto"/>
          <w:sz w:val="36"/>
          <w:szCs w:val="36"/>
          <w:highlight w:val="none"/>
          <w:lang w:val="en-US" w:eastAsia="zh-CN"/>
        </w:rPr>
        <w:t>24238</w:t>
      </w:r>
    </w:p>
    <w:p w14:paraId="13A7D367">
      <w:pPr>
        <w:pStyle w:val="34"/>
        <w:rPr>
          <w:rFonts w:ascii="仿宋" w:hAnsi="仿宋" w:eastAsia="仿宋" w:cs="仿宋"/>
          <w:color w:val="auto"/>
          <w:highlight w:val="none"/>
        </w:rPr>
      </w:pPr>
    </w:p>
    <w:p w14:paraId="1D1BED8E">
      <w:pPr>
        <w:pStyle w:val="34"/>
        <w:rPr>
          <w:rFonts w:ascii="仿宋" w:hAnsi="仿宋" w:eastAsia="仿宋" w:cs="仿宋"/>
          <w:color w:val="auto"/>
          <w:highlight w:val="none"/>
        </w:rPr>
      </w:pPr>
    </w:p>
    <w:p w14:paraId="79A2E2CC">
      <w:pPr>
        <w:pStyle w:val="34"/>
        <w:rPr>
          <w:rFonts w:ascii="仿宋" w:hAnsi="仿宋" w:eastAsia="仿宋" w:cs="仿宋"/>
          <w:color w:val="auto"/>
          <w:highlight w:val="none"/>
        </w:rPr>
      </w:pPr>
    </w:p>
    <w:p w14:paraId="2F3CAA6D">
      <w:pPr>
        <w:pStyle w:val="34"/>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1572895</wp:posOffset>
            </wp:positionH>
            <wp:positionV relativeFrom="page">
              <wp:posOffset>3424555</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1C33D9CC">
      <w:pPr>
        <w:pStyle w:val="34"/>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5E27A867">
      <w:pPr>
        <w:pStyle w:val="34"/>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36304C22">
      <w:pPr>
        <w:pStyle w:val="34"/>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5194B097">
      <w:pPr>
        <w:pStyle w:val="34"/>
        <w:rPr>
          <w:rFonts w:ascii="仿宋" w:hAnsi="仿宋" w:eastAsia="仿宋" w:cs="仿宋"/>
          <w:color w:val="auto"/>
          <w:highlight w:val="none"/>
        </w:rPr>
      </w:pPr>
    </w:p>
    <w:p w14:paraId="25ACB7C2">
      <w:pPr>
        <w:spacing w:line="70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采购单位：</w:t>
      </w:r>
      <w:r>
        <w:rPr>
          <w:rFonts w:hint="eastAsia" w:ascii="仿宋" w:hAnsi="仿宋" w:eastAsia="仿宋" w:cs="仿宋"/>
          <w:color w:val="auto"/>
          <w:sz w:val="30"/>
          <w:szCs w:val="30"/>
          <w:highlight w:val="none"/>
          <w:lang w:val="en-US" w:eastAsia="zh-CN"/>
        </w:rPr>
        <w:t>克孜勒苏柯尔克孜自治州政务服务和公共资源交易中心</w:t>
      </w:r>
    </w:p>
    <w:p w14:paraId="0B19E2A1">
      <w:pPr>
        <w:spacing w:line="700" w:lineRule="exact"/>
        <w:rPr>
          <w:rFonts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联 系 人: 张先生</w:t>
      </w:r>
    </w:p>
    <w:p w14:paraId="626AAED2">
      <w:pPr>
        <w:spacing w:line="700" w:lineRule="exac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联系电话：</w:t>
      </w:r>
      <w:r>
        <w:rPr>
          <w:rFonts w:hint="eastAsia" w:ascii="仿宋" w:hAnsi="仿宋" w:eastAsia="仿宋" w:cs="仿宋"/>
          <w:color w:val="auto"/>
          <w:sz w:val="30"/>
          <w:szCs w:val="30"/>
          <w:highlight w:val="none"/>
          <w:lang w:val="en-US" w:eastAsia="zh-CN"/>
        </w:rPr>
        <w:t>18099089933</w:t>
      </w:r>
    </w:p>
    <w:p w14:paraId="68F45D7C">
      <w:pPr>
        <w:spacing w:line="700" w:lineRule="exact"/>
        <w:rPr>
          <w:rFonts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代理机构：鼎建项目管理有限公司</w:t>
      </w:r>
    </w:p>
    <w:p w14:paraId="05ACDE0E">
      <w:pPr>
        <w:spacing w:line="700" w:lineRule="exact"/>
        <w:rPr>
          <w:rFonts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联 系 人：朱先生</w:t>
      </w:r>
    </w:p>
    <w:p w14:paraId="6CD5E529">
      <w:pPr>
        <w:spacing w:line="700" w:lineRule="exact"/>
        <w:rPr>
          <w:rFonts w:hint="default" w:ascii="仿宋" w:hAnsi="仿宋" w:eastAsia="仿宋" w:cs="仿宋"/>
          <w:b/>
          <w:color w:val="auto"/>
          <w:sz w:val="30"/>
          <w:szCs w:val="30"/>
          <w:highlight w:val="none"/>
          <w:lang w:val="en-US" w:eastAsia="zh-CN"/>
        </w:rPr>
      </w:pPr>
      <w:r>
        <w:rPr>
          <w:rFonts w:hint="eastAsia" w:ascii="仿宋" w:hAnsi="仿宋" w:eastAsia="仿宋" w:cs="仿宋"/>
          <w:color w:val="auto"/>
          <w:sz w:val="30"/>
          <w:szCs w:val="30"/>
          <w:highlight w:val="none"/>
          <w:lang w:eastAsia="zh-CN"/>
        </w:rPr>
        <w:t>联系电话:</w:t>
      </w:r>
      <w:r>
        <w:rPr>
          <w:rFonts w:ascii="仿宋" w:hAnsi="仿宋" w:eastAsia="仿宋" w:cs="仿宋"/>
          <w:color w:val="auto"/>
          <w:sz w:val="30"/>
          <w:szCs w:val="30"/>
          <w:highlight w:val="none"/>
          <w:lang w:eastAsia="zh-CN"/>
        </w:rPr>
        <w:t xml:space="preserve"> </w:t>
      </w:r>
      <w:r>
        <w:rPr>
          <w:rFonts w:hint="eastAsia" w:ascii="仿宋" w:hAnsi="仿宋" w:eastAsia="仿宋" w:cs="仿宋"/>
          <w:color w:val="auto"/>
          <w:sz w:val="30"/>
          <w:szCs w:val="30"/>
          <w:highlight w:val="none"/>
          <w:lang w:val="en-US" w:eastAsia="zh-CN"/>
        </w:rPr>
        <w:t>18609088999</w:t>
      </w:r>
    </w:p>
    <w:p w14:paraId="6EEC5EA5">
      <w:pPr>
        <w:pStyle w:val="35"/>
        <w:rPr>
          <w:rFonts w:ascii="仿宋" w:hAnsi="仿宋" w:eastAsia="仿宋" w:cs="仿宋"/>
          <w:b/>
          <w:color w:val="auto"/>
          <w:sz w:val="36"/>
          <w:szCs w:val="36"/>
          <w:highlight w:val="none"/>
          <w:lang w:eastAsia="zh-CN"/>
        </w:rPr>
      </w:pPr>
    </w:p>
    <w:p w14:paraId="65EE4C4C">
      <w:pPr>
        <w:jc w:val="center"/>
        <w:rPr>
          <w:rFonts w:hint="eastAsia" w:ascii="仿宋" w:hAnsi="仿宋" w:eastAsia="仿宋" w:cs="仿宋"/>
          <w:b/>
          <w:color w:val="auto"/>
          <w:sz w:val="36"/>
          <w:szCs w:val="36"/>
          <w:highlight w:val="none"/>
          <w:lang w:eastAsia="zh-CN"/>
        </w:rPr>
      </w:pPr>
    </w:p>
    <w:p w14:paraId="427ED731">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02C6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3EA38B2B">
            <w:pPr>
              <w:spacing w:line="500" w:lineRule="exact"/>
              <w:jc w:val="both"/>
              <w:rPr>
                <w:rFonts w:ascii="仿宋" w:hAnsi="仿宋" w:eastAsia="仿宋" w:cs="仿宋"/>
                <w:color w:val="auto"/>
                <w:highlight w:val="none"/>
                <w:lang w:eastAsia="zh-CN"/>
              </w:rPr>
            </w:pPr>
          </w:p>
          <w:p w14:paraId="09163934">
            <w:pPr>
              <w:spacing w:line="500" w:lineRule="exact"/>
              <w:jc w:val="both"/>
              <w:rPr>
                <w:rFonts w:ascii="仿宋" w:hAnsi="仿宋" w:eastAsia="仿宋" w:cs="仿宋"/>
                <w:color w:val="auto"/>
                <w:sz w:val="32"/>
                <w:szCs w:val="32"/>
                <w:highlight w:val="none"/>
                <w:lang w:eastAsia="zh-CN"/>
              </w:rPr>
            </w:pPr>
          </w:p>
          <w:p w14:paraId="03EC7E55">
            <w:pPr>
              <w:spacing w:line="500" w:lineRule="exact"/>
              <w:jc w:val="both"/>
              <w:rPr>
                <w:rFonts w:ascii="仿宋" w:hAnsi="仿宋" w:eastAsia="仿宋" w:cs="仿宋"/>
                <w:color w:val="auto"/>
                <w:sz w:val="32"/>
                <w:szCs w:val="32"/>
                <w:highlight w:val="none"/>
                <w:lang w:eastAsia="zh-CN"/>
              </w:rPr>
            </w:pPr>
          </w:p>
          <w:p w14:paraId="7E9D2446">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w:t>
            </w:r>
            <w:r>
              <w:rPr>
                <w:rFonts w:hint="eastAsia" w:ascii="仿宋" w:hAnsi="仿宋" w:eastAsia="仿宋" w:cs="仿宋"/>
                <w:color w:val="auto"/>
                <w:sz w:val="32"/>
                <w:szCs w:val="32"/>
                <w:highlight w:val="none"/>
                <w:lang w:val="en-US" w:eastAsia="zh-CN"/>
              </w:rPr>
              <w:t xml:space="preserve">克孜勒苏柯尔克孜自治州政务服务和公共资源交易中心  </w:t>
            </w:r>
            <w:r>
              <w:rPr>
                <w:rFonts w:hint="eastAsia" w:ascii="仿宋" w:hAnsi="仿宋" w:eastAsia="仿宋" w:cs="仿宋"/>
                <w:color w:val="auto"/>
                <w:w w:val="95"/>
                <w:sz w:val="32"/>
                <w:szCs w:val="32"/>
                <w:highlight w:val="none"/>
                <w:lang w:eastAsia="zh-CN"/>
              </w:rPr>
              <w:t>（盖章）</w:t>
            </w:r>
          </w:p>
          <w:p w14:paraId="54C55191">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3C585AC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744A948A">
            <w:pPr>
              <w:spacing w:line="500" w:lineRule="exact"/>
              <w:jc w:val="both"/>
              <w:rPr>
                <w:rFonts w:ascii="仿宋" w:hAnsi="仿宋" w:eastAsia="仿宋" w:cs="仿宋"/>
                <w:color w:val="auto"/>
                <w:sz w:val="32"/>
                <w:szCs w:val="32"/>
                <w:highlight w:val="none"/>
                <w:lang w:eastAsia="zh-CN"/>
              </w:rPr>
            </w:pPr>
          </w:p>
          <w:p w14:paraId="14A79F39">
            <w:pPr>
              <w:spacing w:line="500" w:lineRule="exact"/>
              <w:jc w:val="both"/>
              <w:rPr>
                <w:rFonts w:ascii="仿宋" w:hAnsi="仿宋" w:eastAsia="仿宋" w:cs="仿宋"/>
                <w:color w:val="auto"/>
                <w:sz w:val="32"/>
                <w:szCs w:val="32"/>
                <w:highlight w:val="none"/>
                <w:lang w:eastAsia="zh-CN"/>
              </w:rPr>
            </w:pPr>
          </w:p>
          <w:p w14:paraId="5C0400F2">
            <w:pPr>
              <w:spacing w:line="500" w:lineRule="exact"/>
              <w:ind w:left="3520" w:hanging="3520" w:hangingChars="1100"/>
              <w:jc w:val="both"/>
              <w:rPr>
                <w:rFonts w:ascii="仿宋" w:hAnsi="仿宋" w:eastAsia="仿宋" w:cs="仿宋"/>
                <w:color w:val="auto"/>
                <w:sz w:val="32"/>
                <w:szCs w:val="32"/>
                <w:highlight w:val="none"/>
                <w:lang w:eastAsia="zh-CN"/>
              </w:rPr>
            </w:pPr>
          </w:p>
          <w:p w14:paraId="19DB2569">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采购项目名称：克孜勒苏柯尔克孜自治州公共资源交易平台电子档案管理系统建设项目</w:t>
            </w:r>
            <w:r>
              <w:rPr>
                <w:rFonts w:hint="eastAsia" w:ascii="仿宋" w:hAnsi="仿宋" w:eastAsia="仿宋" w:cs="仿宋"/>
                <w:color w:val="auto"/>
                <w:sz w:val="32"/>
                <w:szCs w:val="32"/>
                <w:highlight w:val="none"/>
                <w:lang w:val="en-US" w:eastAsia="zh-CN"/>
              </w:rPr>
              <w:t xml:space="preserve">       </w:t>
            </w:r>
          </w:p>
          <w:p w14:paraId="1DB6DDDA">
            <w:pPr>
              <w:spacing w:line="500" w:lineRule="exact"/>
              <w:jc w:val="both"/>
              <w:rPr>
                <w:rFonts w:ascii="仿宋" w:hAnsi="仿宋" w:eastAsia="仿宋" w:cs="仿宋"/>
                <w:color w:val="auto"/>
                <w:sz w:val="32"/>
                <w:szCs w:val="32"/>
                <w:highlight w:val="none"/>
                <w:lang w:eastAsia="zh-CN"/>
              </w:rPr>
            </w:pPr>
          </w:p>
          <w:p w14:paraId="0BAB2934">
            <w:pPr>
              <w:spacing w:line="500" w:lineRule="exact"/>
              <w:jc w:val="both"/>
              <w:rPr>
                <w:rFonts w:ascii="仿宋" w:hAnsi="仿宋" w:eastAsia="仿宋" w:cs="仿宋"/>
                <w:color w:val="auto"/>
                <w:sz w:val="32"/>
                <w:szCs w:val="32"/>
                <w:highlight w:val="none"/>
                <w:lang w:eastAsia="zh-CN"/>
              </w:rPr>
            </w:pPr>
          </w:p>
          <w:p w14:paraId="2EB767F3">
            <w:pPr>
              <w:pStyle w:val="35"/>
              <w:jc w:val="both"/>
              <w:rPr>
                <w:rFonts w:ascii="仿宋" w:hAnsi="仿宋" w:eastAsia="仿宋" w:cs="仿宋"/>
                <w:color w:val="auto"/>
                <w:sz w:val="32"/>
                <w:szCs w:val="32"/>
                <w:highlight w:val="none"/>
                <w:lang w:eastAsia="zh-CN"/>
              </w:rPr>
            </w:pPr>
          </w:p>
          <w:p w14:paraId="56D085A6">
            <w:pPr>
              <w:pStyle w:val="35"/>
              <w:jc w:val="both"/>
              <w:rPr>
                <w:rFonts w:ascii="仿宋" w:hAnsi="仿宋" w:eastAsia="仿宋" w:cs="仿宋"/>
                <w:color w:val="auto"/>
                <w:sz w:val="32"/>
                <w:szCs w:val="32"/>
                <w:highlight w:val="none"/>
                <w:lang w:eastAsia="zh-CN"/>
              </w:rPr>
            </w:pPr>
          </w:p>
          <w:p w14:paraId="33C24BB6">
            <w:pPr>
              <w:pStyle w:val="35"/>
              <w:jc w:val="both"/>
              <w:rPr>
                <w:rFonts w:ascii="仿宋" w:hAnsi="仿宋" w:eastAsia="仿宋" w:cs="仿宋"/>
                <w:color w:val="auto"/>
                <w:sz w:val="32"/>
                <w:szCs w:val="32"/>
                <w:highlight w:val="none"/>
                <w:lang w:eastAsia="zh-CN"/>
              </w:rPr>
            </w:pPr>
          </w:p>
          <w:p w14:paraId="4FA840D0">
            <w:pPr>
              <w:pStyle w:val="35"/>
              <w:jc w:val="both"/>
              <w:rPr>
                <w:rFonts w:ascii="仿宋" w:hAnsi="仿宋" w:eastAsia="仿宋" w:cs="仿宋"/>
                <w:color w:val="auto"/>
                <w:sz w:val="32"/>
                <w:szCs w:val="32"/>
                <w:highlight w:val="none"/>
                <w:lang w:eastAsia="zh-CN"/>
              </w:rPr>
            </w:pPr>
          </w:p>
          <w:p w14:paraId="10C65A8E">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1E15B8C4">
            <w:pPr>
              <w:pStyle w:val="5"/>
              <w:jc w:val="both"/>
              <w:outlineLvl w:val="2"/>
              <w:rPr>
                <w:rFonts w:ascii="仿宋" w:hAnsi="仿宋" w:eastAsia="仿宋" w:cs="仿宋"/>
                <w:color w:val="auto"/>
                <w:highlight w:val="none"/>
                <w:lang w:eastAsia="zh-CN"/>
              </w:rPr>
            </w:pPr>
          </w:p>
          <w:p w14:paraId="490D35BF">
            <w:pPr>
              <w:jc w:val="both"/>
              <w:rPr>
                <w:color w:val="auto"/>
                <w:highlight w:val="none"/>
                <w:lang w:eastAsia="zh-CN"/>
              </w:rPr>
            </w:pPr>
          </w:p>
          <w:p w14:paraId="1A7A160D">
            <w:pPr>
              <w:pStyle w:val="5"/>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p>
          <w:p w14:paraId="52AFE32D">
            <w:pPr>
              <w:pStyle w:val="5"/>
              <w:jc w:val="both"/>
              <w:outlineLvl w:val="2"/>
              <w:rPr>
                <w:rFonts w:ascii="仿宋" w:hAnsi="仿宋" w:eastAsia="仿宋" w:cs="仿宋"/>
                <w:color w:val="auto"/>
                <w:highlight w:val="none"/>
              </w:rPr>
            </w:pPr>
          </w:p>
        </w:tc>
      </w:tr>
    </w:tbl>
    <w:p w14:paraId="04F5CBF3">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76478127">
      <w:pPr>
        <w:pStyle w:val="37"/>
        <w:spacing w:before="0" w:line="360" w:lineRule="auto"/>
        <w:jc w:val="both"/>
        <w:rPr>
          <w:rFonts w:ascii="仿宋" w:hAnsi="仿宋" w:eastAsia="仿宋" w:cs="仿宋"/>
          <w:color w:val="auto"/>
          <w:sz w:val="44"/>
          <w:szCs w:val="44"/>
          <w:highlight w:val="none"/>
          <w:lang w:val="zh-CN"/>
        </w:rPr>
      </w:pPr>
    </w:p>
    <w:p w14:paraId="025B2524">
      <w:pPr>
        <w:pStyle w:val="37"/>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0F5EAF49">
      <w:pPr>
        <w:widowControl/>
        <w:rPr>
          <w:rFonts w:ascii="仿宋" w:hAnsi="仿宋" w:eastAsia="仿宋" w:cs="仿宋"/>
          <w:color w:val="auto"/>
          <w:sz w:val="30"/>
          <w:szCs w:val="30"/>
          <w:highlight w:val="none"/>
        </w:rPr>
      </w:pPr>
    </w:p>
    <w:p w14:paraId="300A0A42">
      <w:pPr>
        <w:numPr>
          <w:ilvl w:val="0"/>
          <w:numId w:val="0"/>
        </w:numPr>
        <w:spacing w:line="600" w:lineRule="auto"/>
        <w:ind w:firstLine="900" w:firstLineChars="300"/>
        <w:jc w:val="both"/>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 xml:space="preserve">第一章 </w:t>
      </w:r>
      <w:r>
        <w:rPr>
          <w:rFonts w:hint="eastAsia" w:ascii="仿宋" w:hAnsi="仿宋" w:eastAsia="仿宋" w:cs="仿宋"/>
          <w:b/>
          <w:color w:val="auto"/>
          <w:sz w:val="30"/>
          <w:szCs w:val="30"/>
          <w:highlight w:val="none"/>
          <w:lang w:eastAsia="zh-CN"/>
        </w:rPr>
        <w:t>招标公告</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eastAsia="zh-CN"/>
        </w:rPr>
        <w:t>1</w:t>
      </w:r>
    </w:p>
    <w:p w14:paraId="7485F900">
      <w:pPr>
        <w:numPr>
          <w:ilvl w:val="0"/>
          <w:numId w:val="0"/>
        </w:numPr>
        <w:spacing w:line="600" w:lineRule="auto"/>
        <w:ind w:firstLine="900" w:firstLineChars="300"/>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val="en-US" w:eastAsia="zh-CN"/>
        </w:rPr>
        <w:t xml:space="preserve">第二章 </w:t>
      </w:r>
      <w:r>
        <w:rPr>
          <w:rFonts w:hint="eastAsia" w:ascii="仿宋" w:hAnsi="仿宋" w:eastAsia="仿宋" w:cs="仿宋"/>
          <w:b/>
          <w:color w:val="auto"/>
          <w:sz w:val="30"/>
          <w:szCs w:val="30"/>
          <w:highlight w:val="none"/>
          <w:lang w:eastAsia="zh-CN"/>
        </w:rPr>
        <w:t>供应商须知</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p>
    <w:p w14:paraId="6A5A22D2">
      <w:pPr>
        <w:numPr>
          <w:ilvl w:val="0"/>
          <w:numId w:val="0"/>
        </w:numPr>
        <w:spacing w:line="600" w:lineRule="auto"/>
        <w:ind w:firstLine="900" w:firstLineChars="300"/>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val="en-US" w:eastAsia="zh-CN"/>
        </w:rPr>
        <w:t xml:space="preserve">第三章 </w:t>
      </w:r>
      <w:r>
        <w:rPr>
          <w:rFonts w:hint="eastAsia" w:ascii="仿宋" w:hAnsi="仿宋" w:eastAsia="仿宋" w:cs="仿宋"/>
          <w:b/>
          <w:color w:val="auto"/>
          <w:sz w:val="30"/>
          <w:szCs w:val="30"/>
          <w:highlight w:val="none"/>
          <w:lang w:eastAsia="zh-CN"/>
        </w:rPr>
        <w:t>评标办法</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37</w:t>
      </w:r>
    </w:p>
    <w:p w14:paraId="57AC5EAB">
      <w:pPr>
        <w:numPr>
          <w:ilvl w:val="0"/>
          <w:numId w:val="0"/>
        </w:numPr>
        <w:spacing w:line="600" w:lineRule="auto"/>
        <w:ind w:firstLine="900" w:firstLineChars="300"/>
        <w:jc w:val="both"/>
        <w:rPr>
          <w:rFonts w:ascii="Arial" w:hAnsi="Arial" w:eastAsia="仿宋" w:cs="Arial"/>
          <w:b/>
          <w:color w:val="auto"/>
          <w:sz w:val="30"/>
          <w:szCs w:val="30"/>
          <w:highlight w:val="none"/>
          <w:lang w:eastAsia="zh-CN"/>
        </w:rPr>
      </w:pPr>
      <w:r>
        <w:rPr>
          <w:rFonts w:hint="eastAsia" w:ascii="仿宋" w:hAnsi="仿宋" w:eastAsia="仿宋" w:cs="仿宋"/>
          <w:b/>
          <w:color w:val="auto"/>
          <w:sz w:val="30"/>
          <w:szCs w:val="30"/>
          <w:highlight w:val="none"/>
          <w:lang w:val="en-US" w:eastAsia="zh-CN"/>
        </w:rPr>
        <w:t>第四章 建设内容及服务要求</w:t>
      </w:r>
      <w:r>
        <w:rPr>
          <w:rFonts w:ascii="Arial" w:hAnsi="Arial" w:eastAsia="仿宋" w:cs="Arial"/>
          <w:b/>
          <w:color w:val="auto"/>
          <w:sz w:val="30"/>
          <w:szCs w:val="30"/>
          <w:highlight w:val="none"/>
          <w:lang w:eastAsia="zh-CN"/>
        </w:rPr>
        <w:t>………………………</w:t>
      </w:r>
      <w:r>
        <w:rPr>
          <w:rFonts w:hint="eastAsia" w:ascii="Arial" w:hAnsi="Arial" w:eastAsia="仿宋" w:cs="Arial"/>
          <w:b/>
          <w:color w:val="auto"/>
          <w:sz w:val="30"/>
          <w:szCs w:val="30"/>
          <w:highlight w:val="none"/>
          <w:lang w:val="en-US" w:eastAsia="zh-CN"/>
        </w:rPr>
        <w:t>.......</w:t>
      </w:r>
      <w:r>
        <w:rPr>
          <w:rFonts w:hint="eastAsia" w:ascii="仿宋" w:hAnsi="仿宋" w:eastAsia="仿宋" w:cs="仿宋"/>
          <w:b/>
          <w:color w:val="auto"/>
          <w:sz w:val="30"/>
          <w:szCs w:val="30"/>
          <w:highlight w:val="none"/>
          <w:lang w:val="en-US" w:eastAsia="zh-CN"/>
        </w:rPr>
        <w:t>47</w:t>
      </w:r>
    </w:p>
    <w:p w14:paraId="33DBF25F">
      <w:pPr>
        <w:spacing w:line="600" w:lineRule="auto"/>
        <w:ind w:firstLine="900" w:firstLineChars="300"/>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val="en-US" w:eastAsia="zh-CN"/>
        </w:rPr>
        <w:t>第五章</w:t>
      </w:r>
      <w:r>
        <w:rPr>
          <w:rFonts w:hint="eastAsia" w:ascii="仿宋" w:hAnsi="仿宋" w:eastAsia="仿宋" w:cs="仿宋"/>
          <w:b/>
          <w:color w:val="auto"/>
          <w:sz w:val="30"/>
          <w:szCs w:val="30"/>
          <w:highlight w:val="none"/>
          <w:lang w:eastAsia="zh-CN"/>
        </w:rPr>
        <w:t xml:space="preserve"> 合同（参考）</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71</w:t>
      </w:r>
    </w:p>
    <w:p w14:paraId="52FB11AF">
      <w:pPr>
        <w:spacing w:line="600" w:lineRule="auto"/>
        <w:ind w:firstLine="900" w:firstLineChars="300"/>
        <w:jc w:val="both"/>
        <w:rPr>
          <w:rFonts w:hint="default" w:ascii="仿宋" w:hAnsi="仿宋" w:eastAsia="仿宋" w:cs="仿宋"/>
          <w:color w:val="auto"/>
          <w:highlight w:val="none"/>
          <w:lang w:val="en-US" w:eastAsia="zh-CN"/>
        </w:rPr>
      </w:pPr>
      <w:r>
        <w:rPr>
          <w:rFonts w:hint="eastAsia" w:ascii="仿宋" w:hAnsi="仿宋" w:eastAsia="仿宋" w:cs="仿宋"/>
          <w:b/>
          <w:color w:val="auto"/>
          <w:sz w:val="30"/>
          <w:szCs w:val="30"/>
          <w:highlight w:val="none"/>
          <w:lang w:val="en-US" w:eastAsia="zh-CN"/>
        </w:rPr>
        <w:t xml:space="preserve">第六章 </w:t>
      </w:r>
      <w:r>
        <w:rPr>
          <w:rFonts w:hint="eastAsia" w:ascii="仿宋" w:hAnsi="仿宋" w:eastAsia="仿宋" w:cs="仿宋"/>
          <w:b/>
          <w:color w:val="auto"/>
          <w:sz w:val="30"/>
          <w:szCs w:val="30"/>
          <w:highlight w:val="none"/>
          <w:lang w:eastAsia="zh-CN"/>
        </w:rPr>
        <w:t>投标文件格式</w:t>
      </w:r>
      <w:r>
        <w:rPr>
          <w:rFonts w:ascii="Arial" w:hAnsi="Arial" w:eastAsia="仿宋" w:cs="Arial"/>
          <w:b/>
          <w:color w:val="auto"/>
          <w:sz w:val="30"/>
          <w:szCs w:val="30"/>
          <w:highlight w:val="none"/>
          <w:lang w:eastAsia="zh-CN"/>
        </w:rPr>
        <w:t>……………………………………</w:t>
      </w:r>
      <w:r>
        <w:rPr>
          <w:rFonts w:hint="eastAsia" w:ascii="仿宋" w:hAnsi="仿宋" w:eastAsia="仿宋" w:cs="仿宋"/>
          <w:b/>
          <w:color w:val="auto"/>
          <w:sz w:val="30"/>
          <w:szCs w:val="30"/>
          <w:highlight w:val="none"/>
          <w:lang w:val="en-US" w:eastAsia="zh-CN"/>
        </w:rPr>
        <w:t>78</w:t>
      </w:r>
    </w:p>
    <w:p w14:paraId="0F060BF7">
      <w:pPr>
        <w:pStyle w:val="12"/>
        <w:numPr>
          <w:ilvl w:val="0"/>
          <w:numId w:val="0"/>
        </w:numPr>
        <w:spacing w:line="480" w:lineRule="auto"/>
        <w:rPr>
          <w:rFonts w:ascii="仿宋" w:hAnsi="仿宋" w:eastAsia="仿宋" w:cs="仿宋"/>
          <w:color w:val="auto"/>
          <w:highlight w:val="none"/>
          <w:lang w:eastAsia="zh-CN"/>
        </w:rPr>
      </w:pPr>
    </w:p>
    <w:p w14:paraId="6B9CCAF3">
      <w:pPr>
        <w:spacing w:line="480" w:lineRule="auto"/>
        <w:rPr>
          <w:rFonts w:ascii="仿宋" w:hAnsi="仿宋" w:eastAsia="仿宋" w:cs="仿宋"/>
          <w:color w:val="auto"/>
          <w:highlight w:val="none"/>
          <w:lang w:eastAsia="zh-CN"/>
        </w:rPr>
      </w:pPr>
    </w:p>
    <w:p w14:paraId="4AF31C83">
      <w:pPr>
        <w:pStyle w:val="5"/>
        <w:rPr>
          <w:rFonts w:ascii="仿宋" w:hAnsi="仿宋" w:eastAsia="仿宋" w:cs="仿宋"/>
          <w:color w:val="auto"/>
          <w:highlight w:val="none"/>
          <w:lang w:eastAsia="zh-CN"/>
        </w:rPr>
      </w:pPr>
    </w:p>
    <w:p w14:paraId="74DDA81B">
      <w:pPr>
        <w:rPr>
          <w:rFonts w:ascii="仿宋" w:hAnsi="仿宋" w:eastAsia="仿宋" w:cs="仿宋"/>
          <w:color w:val="auto"/>
          <w:highlight w:val="none"/>
          <w:lang w:eastAsia="zh-CN"/>
        </w:rPr>
      </w:pPr>
    </w:p>
    <w:p w14:paraId="6F979980">
      <w:pPr>
        <w:pStyle w:val="5"/>
        <w:rPr>
          <w:rFonts w:ascii="仿宋" w:hAnsi="仿宋" w:eastAsia="仿宋" w:cs="仿宋"/>
          <w:color w:val="auto"/>
          <w:highlight w:val="none"/>
          <w:lang w:eastAsia="zh-CN"/>
        </w:rPr>
      </w:pPr>
    </w:p>
    <w:p w14:paraId="1C00D3DE">
      <w:pPr>
        <w:rPr>
          <w:rFonts w:ascii="仿宋" w:hAnsi="仿宋" w:eastAsia="仿宋" w:cs="仿宋"/>
          <w:color w:val="auto"/>
          <w:highlight w:val="none"/>
          <w:lang w:eastAsia="zh-CN"/>
        </w:rPr>
      </w:pPr>
    </w:p>
    <w:p w14:paraId="1BF34CB9">
      <w:pPr>
        <w:pStyle w:val="5"/>
        <w:rPr>
          <w:rFonts w:ascii="仿宋" w:hAnsi="仿宋" w:eastAsia="仿宋" w:cs="仿宋"/>
          <w:color w:val="auto"/>
          <w:highlight w:val="none"/>
          <w:lang w:eastAsia="zh-CN"/>
        </w:rPr>
      </w:pPr>
    </w:p>
    <w:p w14:paraId="56796DCC">
      <w:pPr>
        <w:rPr>
          <w:rFonts w:ascii="仿宋" w:hAnsi="仿宋" w:eastAsia="仿宋" w:cs="仿宋"/>
          <w:color w:val="auto"/>
          <w:highlight w:val="none"/>
          <w:lang w:eastAsia="zh-CN"/>
        </w:rPr>
      </w:pPr>
    </w:p>
    <w:p w14:paraId="5BEB0D83">
      <w:pPr>
        <w:pStyle w:val="5"/>
        <w:rPr>
          <w:rFonts w:ascii="仿宋" w:hAnsi="仿宋" w:eastAsia="仿宋" w:cs="仿宋"/>
          <w:color w:val="auto"/>
          <w:highlight w:val="none"/>
          <w:lang w:eastAsia="zh-CN"/>
        </w:rPr>
      </w:pPr>
    </w:p>
    <w:p w14:paraId="44F03A9D">
      <w:pPr>
        <w:pStyle w:val="38"/>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2139C197">
      <w:pPr>
        <w:pStyle w:val="38"/>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eastAsia="zh-CN"/>
        </w:rPr>
        <w:t>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10D66749">
      <w:pPr>
        <w:pStyle w:val="3"/>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克孜勒苏柯尔克孜自治州公共资源交易平台电子档案管理系统建设项目公开招标公告</w:t>
      </w:r>
    </w:p>
    <w:tbl>
      <w:tblPr>
        <w:tblStyle w:val="27"/>
        <w:tblW w:w="9682"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14:paraId="6B9D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82" w:type="dxa"/>
            <w:noWrap w:val="0"/>
            <w:vAlign w:val="top"/>
          </w:tcPr>
          <w:p w14:paraId="1547790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4ACBBD5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lang w:eastAsia="zh-CN"/>
              </w:rPr>
              <w:t>克孜勒苏柯尔克孜自治州公共资源交易平台电子档案管理系统建设项目招标项目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4</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12</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11</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3</w:t>
            </w:r>
            <w:r>
              <w:rPr>
                <w:rFonts w:hint="eastAsia" w:ascii="仿宋" w:hAnsi="仿宋" w:eastAsia="仿宋" w:cs="仿宋"/>
                <w:b w:val="0"/>
                <w:bCs w:val="0"/>
                <w:i w:val="0"/>
                <w:iCs w:val="0"/>
                <w:caps w:val="0"/>
                <w:color w:val="auto"/>
                <w:spacing w:val="0"/>
                <w:sz w:val="24"/>
                <w:szCs w:val="24"/>
                <w:highlight w:val="none"/>
                <w:u w:val="single"/>
              </w:rPr>
              <w:t>0</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0AA5595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62B5B35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项目编号：KZZB-20</w:t>
      </w:r>
      <w:r>
        <w:rPr>
          <w:rFonts w:hint="eastAsia" w:ascii="仿宋" w:hAnsi="仿宋" w:eastAsia="仿宋" w:cs="仿宋"/>
          <w:b w:val="0"/>
          <w:bCs w:val="0"/>
          <w:i w:val="0"/>
          <w:iCs w:val="0"/>
          <w:caps w:val="0"/>
          <w:color w:val="auto"/>
          <w:spacing w:val="0"/>
          <w:sz w:val="24"/>
          <w:szCs w:val="24"/>
          <w:highlight w:val="none"/>
          <w:lang w:val="en-US" w:eastAsia="zh-CN"/>
        </w:rPr>
        <w:t>24238</w:t>
      </w:r>
    </w:p>
    <w:p w14:paraId="7FFB8CF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项目名称：</w:t>
      </w:r>
      <w:r>
        <w:rPr>
          <w:rFonts w:hint="eastAsia" w:ascii="仿宋" w:hAnsi="仿宋" w:eastAsia="仿宋" w:cs="仿宋"/>
          <w:b w:val="0"/>
          <w:bCs w:val="0"/>
          <w:i w:val="0"/>
          <w:iCs w:val="0"/>
          <w:caps w:val="0"/>
          <w:color w:val="auto"/>
          <w:spacing w:val="0"/>
          <w:sz w:val="24"/>
          <w:szCs w:val="24"/>
          <w:highlight w:val="none"/>
          <w:lang w:val="en-US" w:eastAsia="zh-CN"/>
        </w:rPr>
        <w:t>克孜勒苏柯尔克孜自治州公共资源交易平台电子档案管理系统建设项目</w:t>
      </w:r>
    </w:p>
    <w:p w14:paraId="54BE447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2781057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2000000</w:t>
      </w:r>
    </w:p>
    <w:p w14:paraId="3A7E0E9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default" w:ascii="仿宋" w:hAnsi="仿宋" w:eastAsia="仿宋" w:cs="仿宋"/>
          <w:b w:val="0"/>
          <w:bCs w:val="0"/>
          <w:i w:val="0"/>
          <w:iCs w:val="0"/>
          <w:caps w:val="0"/>
          <w:color w:val="auto"/>
          <w:spacing w:val="0"/>
          <w:sz w:val="21"/>
          <w:szCs w:val="21"/>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1850000</w:t>
      </w:r>
    </w:p>
    <w:p w14:paraId="0A70078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193D7A2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标项一:</w:t>
      </w:r>
      <w:r>
        <w:rPr>
          <w:rFonts w:hint="eastAsia" w:ascii="仿宋" w:hAnsi="仿宋" w:eastAsia="仿宋" w:cs="仿宋"/>
          <w:b w:val="0"/>
          <w:bCs w:val="0"/>
          <w:i w:val="0"/>
          <w:iCs w:val="0"/>
          <w:caps w:val="0"/>
          <w:color w:val="auto"/>
          <w:spacing w:val="0"/>
          <w:sz w:val="24"/>
          <w:szCs w:val="24"/>
          <w:highlight w:val="none"/>
          <w:lang w:eastAsia="zh-CN"/>
        </w:rPr>
        <w:br w:type="textWrapping"/>
      </w: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lang w:val="en-US" w:eastAsia="zh-CN"/>
        </w:rPr>
        <w:t>克孜勒苏柯尔克孜自治州公共资源交易平台电子档案管理系统建设项目</w:t>
      </w:r>
    </w:p>
    <w:p w14:paraId="409FB0F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6B252F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2000000</w:t>
      </w:r>
    </w:p>
    <w:p w14:paraId="0BA6AB1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简要规格描述或项目基本概况介绍、用途：电子档案管理系统的软件、公共资源交易系统数据迁移、租用政务信创云服务</w:t>
      </w:r>
      <w:r>
        <w:rPr>
          <w:rFonts w:hint="eastAsia" w:ascii="仿宋" w:hAnsi="仿宋" w:eastAsia="仿宋" w:cs="仿宋"/>
          <w:b w:val="0"/>
          <w:bCs w:val="0"/>
          <w:i w:val="0"/>
          <w:iCs w:val="0"/>
          <w:caps w:val="0"/>
          <w:color w:val="auto"/>
          <w:spacing w:val="0"/>
          <w:sz w:val="24"/>
          <w:szCs w:val="24"/>
          <w:highlight w:val="none"/>
          <w:lang w:val="en-US" w:eastAsia="zh-CN"/>
        </w:rPr>
        <w:t>器</w:t>
      </w:r>
      <w:r>
        <w:rPr>
          <w:rFonts w:hint="eastAsia" w:ascii="仿宋" w:hAnsi="仿宋" w:eastAsia="仿宋" w:cs="仿宋"/>
          <w:b w:val="0"/>
          <w:bCs w:val="0"/>
          <w:i w:val="0"/>
          <w:iCs w:val="0"/>
          <w:caps w:val="0"/>
          <w:color w:val="auto"/>
          <w:spacing w:val="0"/>
          <w:sz w:val="24"/>
          <w:szCs w:val="24"/>
          <w:highlight w:val="none"/>
          <w:lang w:eastAsia="zh-CN"/>
        </w:rPr>
        <w:t>资源及配套安全设施；（具体采购内容详见采购清单）</w:t>
      </w:r>
    </w:p>
    <w:p w14:paraId="72A68A0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备注：</w:t>
      </w:r>
    </w:p>
    <w:p w14:paraId="56397412">
      <w:pPr>
        <w:keepNext/>
        <w:pageBreakBefore w:val="0"/>
        <w:kinsoku/>
        <w:wordWrap/>
        <w:overflowPunct/>
        <w:topLinePunct w:val="0"/>
        <w:autoSpaceDE/>
        <w:autoSpaceDN/>
        <w:bidi w:val="0"/>
        <w:spacing w:line="400" w:lineRule="exact"/>
        <w:ind w:right="62" w:firstLine="480" w:firstLineChars="200"/>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合同履约期限：</w:t>
      </w:r>
      <w:r>
        <w:rPr>
          <w:rFonts w:hint="eastAsia" w:ascii="仿宋" w:hAnsi="仿宋" w:eastAsia="仿宋" w:cs="仿宋"/>
          <w:b w:val="0"/>
          <w:bCs w:val="0"/>
          <w:i w:val="0"/>
          <w:iCs w:val="0"/>
          <w:caps w:val="0"/>
          <w:color w:val="auto"/>
          <w:spacing w:val="0"/>
          <w:sz w:val="24"/>
          <w:szCs w:val="24"/>
          <w:highlight w:val="none"/>
          <w:lang w:val="en-US" w:eastAsia="zh-CN"/>
        </w:rPr>
        <w:t>150天（签订合同之日起算）内完成所有建设内容并正式投入使用。</w:t>
      </w:r>
    </w:p>
    <w:p w14:paraId="0716B86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480"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047815F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065D68E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right="0" w:firstLine="480"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54CCEDA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480"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auto"/>
          <w:spacing w:val="0"/>
          <w:sz w:val="24"/>
          <w:szCs w:val="24"/>
          <w:highlight w:val="none"/>
        </w:rPr>
        <w:t> </w:t>
      </w:r>
    </w:p>
    <w:p w14:paraId="3BCFDB0B">
      <w:pPr>
        <w:keepNext w:val="0"/>
        <w:keepLines w:val="0"/>
        <w:pageBreakBefore w:val="0"/>
        <w:kinsoku/>
        <w:wordWrap/>
        <w:overflowPunct/>
        <w:topLinePunct w:val="0"/>
        <w:autoSpaceDE/>
        <w:autoSpaceDN/>
        <w:bidi w:val="0"/>
        <w:spacing w:line="430" w:lineRule="exact"/>
        <w:ind w:firstLine="480"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53C588C3">
      <w:pPr>
        <w:keepNext w:val="0"/>
        <w:keepLines w:val="0"/>
        <w:pageBreakBefore w:val="0"/>
        <w:kinsoku/>
        <w:wordWrap/>
        <w:overflowPunct/>
        <w:topLinePunct w:val="0"/>
        <w:autoSpaceDE/>
        <w:autoSpaceDN/>
        <w:bidi w:val="0"/>
        <w:spacing w:line="43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1)具备三证合一营业执照副本；</w:t>
      </w:r>
    </w:p>
    <w:p w14:paraId="0ACB996E">
      <w:pPr>
        <w:keepNext w:val="0"/>
        <w:keepLines w:val="0"/>
        <w:pageBreakBefore w:val="0"/>
        <w:kinsoku/>
        <w:wordWrap/>
        <w:overflowPunct/>
        <w:topLinePunct w:val="0"/>
        <w:autoSpaceDE/>
        <w:autoSpaceDN/>
        <w:bidi w:val="0"/>
        <w:spacing w:line="43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p>
    <w:p w14:paraId="0A00A7A3">
      <w:pPr>
        <w:keepNext w:val="0"/>
        <w:keepLines w:val="0"/>
        <w:pageBreakBefore w:val="0"/>
        <w:kinsoku/>
        <w:wordWrap/>
        <w:overflowPunct/>
        <w:topLinePunct w:val="0"/>
        <w:autoSpaceDE/>
        <w:autoSpaceDN/>
        <w:bidi w:val="0"/>
        <w:spacing w:line="43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3)投标企业须提供投标人（被授权在职人员）近6个月内任意一个月有效的社保证明；</w:t>
      </w:r>
    </w:p>
    <w:p w14:paraId="78D717BB">
      <w:pPr>
        <w:pStyle w:val="35"/>
        <w:keepNext w:val="0"/>
        <w:keepLines w:val="0"/>
        <w:pageBreakBefore w:val="0"/>
        <w:kinsoku/>
        <w:wordWrap/>
        <w:overflowPunct/>
        <w:topLinePunct w:val="0"/>
        <w:autoSpaceDE/>
        <w:autoSpaceDN/>
        <w:bidi w:val="0"/>
        <w:spacing w:line="430" w:lineRule="exact"/>
        <w:ind w:left="0" w:leftChars="0"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6FE0564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21DC467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11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21 </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11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28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（北京时间，节假日除外）</w:t>
      </w:r>
    </w:p>
    <w:p w14:paraId="7B1B1F7B">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7A42921C">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14D13790">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3AFEE53C">
      <w:pPr>
        <w:keepNext w:val="0"/>
        <w:keepLines w:val="0"/>
        <w:pageBreakBefore w:val="0"/>
        <w:kinsoku/>
        <w:wordWrap/>
        <w:overflowPunct/>
        <w:topLinePunct w:val="0"/>
        <w:autoSpaceDE/>
        <w:autoSpaceDN/>
        <w:bidi w:val="0"/>
        <w:adjustRightInd/>
        <w:snapToGrid/>
        <w:spacing w:line="43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167D061B">
      <w:pPr>
        <w:keepNext w:val="0"/>
        <w:keepLines w:val="0"/>
        <w:pageBreakBefore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12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11</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35B483F3">
      <w:pPr>
        <w:keepNext w:val="0"/>
        <w:keepLines w:val="0"/>
        <w:pageBreakBefore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163537ED">
      <w:pPr>
        <w:keepNext w:val="0"/>
        <w:keepLines w:val="0"/>
        <w:pageBreakBefore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12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11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eastAsia="zh-CN" w:bidi="ar-SA"/>
        </w:rPr>
        <w:t>（北京时间）</w:t>
      </w:r>
    </w:p>
    <w:p w14:paraId="65FF07BC">
      <w:pPr>
        <w:keepNext w:val="0"/>
        <w:keepLines w:val="0"/>
        <w:pageBreakBefore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7887BD94">
      <w:pPr>
        <w:keepNext w:val="0"/>
        <w:keepLines w:val="0"/>
        <w:pageBreakBefore w:val="0"/>
        <w:kinsoku/>
        <w:wordWrap/>
        <w:overflowPunct/>
        <w:topLinePunct w:val="0"/>
        <w:autoSpaceDE/>
        <w:autoSpaceDN/>
        <w:bidi w:val="0"/>
        <w:adjustRightInd/>
        <w:snapToGrid/>
        <w:spacing w:line="43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24083D73">
      <w:pPr>
        <w:keepNext w:val="0"/>
        <w:keepLines w:val="0"/>
        <w:pageBreakBefore w:val="0"/>
        <w:kinsoku/>
        <w:wordWrap/>
        <w:overflowPunct/>
        <w:topLinePunct w:val="0"/>
        <w:autoSpaceDE/>
        <w:autoSpaceDN/>
        <w:bidi w:val="0"/>
        <w:adjustRightInd/>
        <w:snapToGrid/>
        <w:spacing w:line="430" w:lineRule="exact"/>
        <w:ind w:firstLine="480"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047805E8">
      <w:pPr>
        <w:keepNext w:val="0"/>
        <w:keepLines w:val="0"/>
        <w:pageBreakBefore w:val="0"/>
        <w:numPr>
          <w:ilvl w:val="0"/>
          <w:numId w:val="3"/>
        </w:numPr>
        <w:kinsoku/>
        <w:wordWrap/>
        <w:overflowPunct/>
        <w:topLinePunct w:val="0"/>
        <w:autoSpaceDE/>
        <w:autoSpaceDN/>
        <w:bidi w:val="0"/>
        <w:adjustRightInd/>
        <w:snapToGrid/>
        <w:spacing w:line="430" w:lineRule="exact"/>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7F91AC81">
      <w:pPr>
        <w:keepNext w:val="0"/>
        <w:keepLines w:val="0"/>
        <w:pageBreakBefore w:val="0"/>
        <w:numPr>
          <w:ilvl w:val="0"/>
          <w:numId w:val="0"/>
        </w:numPr>
        <w:kinsoku/>
        <w:wordWrap/>
        <w:overflowPunct/>
        <w:topLinePunct w:val="0"/>
        <w:autoSpaceDE/>
        <w:autoSpaceDN/>
        <w:bidi w:val="0"/>
        <w:adjustRightInd/>
        <w:snapToGrid/>
        <w:spacing w:line="430" w:lineRule="exact"/>
        <w:ind w:firstLine="480" w:firstLineChars="200"/>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无</w:t>
      </w:r>
    </w:p>
    <w:p w14:paraId="0A7E5AE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3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083276F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09CE460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val="en-US" w:eastAsia="zh-CN"/>
        </w:rPr>
        <w:t>克孜勒苏柯尔克孜自治州政务服务和公共资源交易中心</w:t>
      </w:r>
    </w:p>
    <w:p w14:paraId="05AD3ED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地 址：阿图什市帕米尔路西三院</w:t>
      </w:r>
    </w:p>
    <w:p w14:paraId="6345C4A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18099089933</w:t>
      </w:r>
    </w:p>
    <w:p w14:paraId="1441480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7FED732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2E0FC48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522FDE1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项目联系人：朱先生</w:t>
      </w:r>
    </w:p>
    <w:p w14:paraId="21E77BF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话：18609088999</w:t>
      </w:r>
    </w:p>
    <w:p w14:paraId="13ED2EB5">
      <w:pPr>
        <w:rPr>
          <w:color w:val="auto"/>
          <w:highlight w:val="none"/>
        </w:rPr>
      </w:pPr>
    </w:p>
    <w:p w14:paraId="6A720AF5">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firstLine="0"/>
        <w:jc w:val="center"/>
        <w:textAlignment w:val="auto"/>
        <w:rPr>
          <w:rStyle w:val="29"/>
          <w:rFonts w:hint="eastAsia" w:ascii="仿宋" w:hAnsi="仿宋" w:eastAsia="仿宋" w:cs="仿宋"/>
          <w:b/>
          <w:bCs w:val="0"/>
          <w:i w:val="0"/>
          <w:iCs w:val="0"/>
          <w:caps w:val="0"/>
          <w:color w:val="auto"/>
          <w:spacing w:val="0"/>
          <w:sz w:val="32"/>
          <w:szCs w:val="32"/>
          <w:highlight w:val="none"/>
        </w:rPr>
      </w:pPr>
    </w:p>
    <w:p w14:paraId="329E3826">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auto"/>
        <w:ind w:left="0" w:right="0" w:firstLine="0"/>
        <w:jc w:val="center"/>
        <w:textAlignment w:val="auto"/>
        <w:rPr>
          <w:rStyle w:val="29"/>
          <w:rFonts w:hint="eastAsia" w:ascii="仿宋" w:hAnsi="仿宋" w:eastAsia="仿宋" w:cs="仿宋"/>
          <w:b/>
          <w:bCs w:val="0"/>
          <w:i w:val="0"/>
          <w:iCs w:val="0"/>
          <w:caps w:val="0"/>
          <w:color w:val="auto"/>
          <w:spacing w:val="0"/>
          <w:sz w:val="32"/>
          <w:szCs w:val="32"/>
          <w:highlight w:val="none"/>
        </w:rPr>
      </w:pPr>
    </w:p>
    <w:p w14:paraId="50C58B46">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67D52EB">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5FEDBF0">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39B7947">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E610FD8">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4010482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5C8A1A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25F7E6C">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1D826AE">
      <w:pPr>
        <w:numPr>
          <w:ilvl w:val="0"/>
          <w:numId w:val="0"/>
        </w:numPr>
        <w:spacing w:line="360" w:lineRule="auto"/>
        <w:jc w:val="both"/>
        <w:rPr>
          <w:rFonts w:hint="eastAsia" w:ascii="仿宋" w:hAnsi="仿宋" w:eastAsia="仿宋" w:cs="仿宋"/>
          <w:b/>
          <w:bCs/>
          <w:color w:val="auto"/>
          <w:sz w:val="36"/>
          <w:szCs w:val="36"/>
          <w:highlight w:val="none"/>
          <w:lang w:eastAsia="zh-CN"/>
        </w:rPr>
      </w:pPr>
    </w:p>
    <w:p w14:paraId="00FF2A3D">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25235575">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6"/>
        <w:tblW w:w="9908" w:type="dxa"/>
        <w:jc w:val="center"/>
        <w:tblLayout w:type="fixed"/>
        <w:tblCellMar>
          <w:top w:w="0" w:type="dxa"/>
          <w:left w:w="108" w:type="dxa"/>
          <w:bottom w:w="0" w:type="dxa"/>
          <w:right w:w="108" w:type="dxa"/>
        </w:tblCellMar>
      </w:tblPr>
      <w:tblGrid>
        <w:gridCol w:w="558"/>
        <w:gridCol w:w="1691"/>
        <w:gridCol w:w="7659"/>
      </w:tblGrid>
      <w:tr w14:paraId="03B377F9">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C3208E2">
            <w:pPr>
              <w:widowControl/>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274907BA">
            <w:pPr>
              <w:widowControl/>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59" w:type="dxa"/>
            <w:tcBorders>
              <w:top w:val="single" w:color="auto" w:sz="4" w:space="0"/>
              <w:left w:val="single" w:color="auto" w:sz="4" w:space="0"/>
              <w:bottom w:val="single" w:color="auto" w:sz="4" w:space="0"/>
              <w:right w:val="single" w:color="auto" w:sz="4" w:space="0"/>
            </w:tcBorders>
            <w:vAlign w:val="center"/>
          </w:tcPr>
          <w:p w14:paraId="6CBF3FA4">
            <w:pPr>
              <w:widowControl/>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6232291">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A363A50">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14:paraId="4E9B15CA">
            <w:pPr>
              <w:pStyle w:val="35"/>
              <w:spacing w:line="24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1B0A7F06">
            <w:pPr>
              <w:pStyle w:val="35"/>
              <w:spacing w:line="24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07BF0BC8">
            <w:pPr>
              <w:pStyle w:val="35"/>
              <w:spacing w:line="24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10E4887B">
            <w:pPr>
              <w:pStyle w:val="35"/>
              <w:spacing w:line="240" w:lineRule="auto"/>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履约期限：</w:t>
            </w:r>
          </w:p>
        </w:tc>
        <w:tc>
          <w:tcPr>
            <w:tcW w:w="7659" w:type="dxa"/>
            <w:tcBorders>
              <w:top w:val="single" w:color="auto" w:sz="4" w:space="0"/>
              <w:left w:val="single" w:color="auto" w:sz="4" w:space="0"/>
              <w:bottom w:val="single" w:color="auto" w:sz="4" w:space="0"/>
              <w:right w:val="single" w:color="auto" w:sz="4" w:space="0"/>
            </w:tcBorders>
            <w:vAlign w:val="center"/>
          </w:tcPr>
          <w:p w14:paraId="0C8F2607">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eastAsia" w:ascii="仿宋" w:hAnsi="仿宋" w:eastAsia="仿宋" w:cs="仿宋"/>
                <w:color w:val="auto"/>
                <w:highlight w:val="none"/>
                <w:lang w:val="en-US" w:eastAsia="zh-CN"/>
              </w:rPr>
              <w:t>克孜勒苏柯尔克孜自治州公共资源交易平台电子档案管理系统建设项目</w:t>
            </w:r>
          </w:p>
          <w:p w14:paraId="563CA7D2">
            <w:pPr>
              <w:spacing w:line="240" w:lineRule="auto"/>
              <w:rPr>
                <w:rFonts w:hint="default" w:ascii="仿宋" w:hAnsi="仿宋" w:eastAsia="仿宋" w:cs="仿宋"/>
                <w:color w:val="FF0000"/>
                <w:highlight w:val="none"/>
                <w:lang w:val="en-US" w:eastAsia="zh-CN"/>
              </w:rPr>
            </w:pPr>
            <w:r>
              <w:rPr>
                <w:rFonts w:hint="eastAsia" w:ascii="仿宋" w:hAnsi="仿宋" w:eastAsia="仿宋" w:cs="仿宋"/>
                <w:color w:val="auto"/>
                <w:highlight w:val="none"/>
                <w:lang w:eastAsia="zh-CN"/>
              </w:rPr>
              <w:t>项目编号：KZZB-20</w:t>
            </w:r>
            <w:r>
              <w:rPr>
                <w:rFonts w:hint="eastAsia" w:ascii="仿宋" w:hAnsi="仿宋" w:eastAsia="仿宋" w:cs="仿宋"/>
                <w:color w:val="auto"/>
                <w:highlight w:val="none"/>
                <w:lang w:val="en-US" w:eastAsia="zh-CN"/>
              </w:rPr>
              <w:t>24238</w:t>
            </w:r>
          </w:p>
          <w:p w14:paraId="07CA7C5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采购内容：电子档案管理系统的软件、公共资源交易系统数据迁移、租用政务信创云服务</w:t>
            </w:r>
            <w:r>
              <w:rPr>
                <w:rFonts w:hint="eastAsia" w:ascii="仿宋" w:hAnsi="仿宋" w:eastAsia="仿宋" w:cs="仿宋"/>
                <w:color w:val="auto"/>
                <w:highlight w:val="none"/>
                <w:lang w:val="en-US" w:eastAsia="zh-CN"/>
              </w:rPr>
              <w:t>器</w:t>
            </w:r>
            <w:r>
              <w:rPr>
                <w:rFonts w:hint="eastAsia" w:ascii="仿宋" w:hAnsi="仿宋" w:eastAsia="仿宋" w:cs="仿宋"/>
                <w:color w:val="auto"/>
                <w:highlight w:val="none"/>
                <w:lang w:eastAsia="zh-CN"/>
              </w:rPr>
              <w:t>资源及配套安全设施；</w:t>
            </w:r>
            <w:r>
              <w:rPr>
                <w:rFonts w:hint="eastAsia" w:ascii="仿宋" w:hAnsi="仿宋" w:eastAsia="仿宋" w:cs="仿宋"/>
                <w:b w:val="0"/>
                <w:bCs w:val="0"/>
                <w:i w:val="0"/>
                <w:iCs w:val="0"/>
                <w:caps w:val="0"/>
                <w:color w:val="auto"/>
                <w:spacing w:val="0"/>
                <w:sz w:val="24"/>
                <w:szCs w:val="24"/>
                <w:highlight w:val="none"/>
                <w:lang w:eastAsia="zh-CN"/>
              </w:rPr>
              <w:t>（具体采购内容详见采购清单）</w:t>
            </w:r>
          </w:p>
          <w:p w14:paraId="02B32E5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履约期限：</w:t>
            </w:r>
            <w:r>
              <w:rPr>
                <w:rFonts w:hint="eastAsia" w:ascii="仿宋" w:hAnsi="仿宋" w:eastAsia="仿宋" w:cs="仿宋"/>
                <w:color w:val="auto"/>
                <w:highlight w:val="none"/>
                <w:lang w:val="en-US" w:eastAsia="zh-CN"/>
              </w:rPr>
              <w:t>150天（签订合同之日起算）内完成所有建设内容并正式投入使用。</w:t>
            </w:r>
          </w:p>
        </w:tc>
      </w:tr>
      <w:tr w14:paraId="7E6F1520">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E4DC3AD">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14:paraId="22DAF9F6">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59" w:type="dxa"/>
            <w:tcBorders>
              <w:top w:val="single" w:color="auto" w:sz="4" w:space="0"/>
              <w:left w:val="single" w:color="auto" w:sz="4" w:space="0"/>
              <w:bottom w:val="single" w:color="auto" w:sz="4" w:space="0"/>
              <w:right w:val="single" w:color="auto" w:sz="4" w:space="0"/>
            </w:tcBorders>
            <w:vAlign w:val="center"/>
          </w:tcPr>
          <w:p w14:paraId="535150D5">
            <w:pPr>
              <w:spacing w:line="24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w:t>
            </w:r>
            <w:r>
              <w:rPr>
                <w:rFonts w:hint="eastAsia" w:ascii="仿宋" w:hAnsi="仿宋" w:eastAsia="仿宋" w:cs="仿宋"/>
                <w:color w:val="auto"/>
                <w:highlight w:val="none"/>
                <w:lang w:val="en-US" w:eastAsia="zh-CN"/>
              </w:rPr>
              <w:t>克孜勒苏柯尔克孜自治州政务服务和公共资源交易中心</w:t>
            </w:r>
          </w:p>
          <w:p w14:paraId="2E17493F">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联系人：张先生     电  话：</w:t>
            </w:r>
            <w:r>
              <w:rPr>
                <w:rFonts w:hint="eastAsia" w:ascii="仿宋" w:hAnsi="仿宋" w:eastAsia="仿宋" w:cs="仿宋"/>
                <w:i w:val="0"/>
                <w:iCs w:val="0"/>
                <w:caps w:val="0"/>
                <w:color w:val="auto"/>
                <w:spacing w:val="0"/>
                <w:sz w:val="24"/>
                <w:szCs w:val="24"/>
                <w:highlight w:val="none"/>
                <w:lang w:val="en-US" w:eastAsia="zh-CN"/>
              </w:rPr>
              <w:t>18099089933</w:t>
            </w:r>
          </w:p>
        </w:tc>
      </w:tr>
      <w:tr w14:paraId="763B2BCD">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96B7615">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14:paraId="7975B1D1">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659" w:type="dxa"/>
            <w:tcBorders>
              <w:top w:val="single" w:color="auto" w:sz="4" w:space="0"/>
              <w:left w:val="single" w:color="auto" w:sz="4" w:space="0"/>
              <w:bottom w:val="single" w:color="auto" w:sz="4" w:space="0"/>
              <w:right w:val="single" w:color="auto" w:sz="4" w:space="0"/>
            </w:tcBorders>
            <w:vAlign w:val="center"/>
          </w:tcPr>
          <w:p w14:paraId="2C9817D9">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7891B41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618583AB">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24B531D6">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6F092E7">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14:paraId="66BB7EB3">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最终服务地点</w:t>
            </w:r>
          </w:p>
        </w:tc>
        <w:tc>
          <w:tcPr>
            <w:tcW w:w="7659" w:type="dxa"/>
            <w:tcBorders>
              <w:top w:val="single" w:color="auto" w:sz="4" w:space="0"/>
              <w:left w:val="single" w:color="auto" w:sz="4" w:space="0"/>
              <w:bottom w:val="single" w:color="auto" w:sz="4" w:space="0"/>
              <w:right w:val="single" w:color="auto" w:sz="4" w:space="0"/>
            </w:tcBorders>
            <w:vAlign w:val="center"/>
          </w:tcPr>
          <w:p w14:paraId="70E4929B">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采购单位指定地点</w:t>
            </w:r>
          </w:p>
        </w:tc>
      </w:tr>
      <w:tr w14:paraId="6F17BE1C">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60F36F8">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14:paraId="4E5C0696">
            <w:pPr>
              <w:spacing w:line="240" w:lineRule="auto"/>
              <w:jc w:val="center"/>
              <w:rPr>
                <w:rFonts w:hint="eastAsia" w:ascii="仿宋" w:hAnsi="仿宋" w:eastAsia="仿宋" w:cs="仿宋"/>
                <w:color w:val="auto"/>
                <w:highlight w:val="none"/>
                <w:lang w:eastAsia="zh-CN"/>
              </w:rPr>
            </w:pPr>
            <w:r>
              <w:rPr>
                <w:rFonts w:hint="eastAsia" w:ascii="方正仿宋" w:hAnsi="方正仿宋" w:eastAsia="方正仿宋" w:cs="方正仿宋"/>
                <w:b w:val="0"/>
                <w:bCs w:val="0"/>
                <w:snapToGrid w:val="0"/>
                <w:color w:val="000000"/>
                <w:spacing w:val="7"/>
                <w:kern w:val="0"/>
                <w:sz w:val="24"/>
                <w:szCs w:val="24"/>
                <w:highlight w:val="none"/>
                <w:lang w:val="en-US" w:eastAsia="zh-CN"/>
              </w:rPr>
              <w:t>质保期</w:t>
            </w:r>
          </w:p>
        </w:tc>
        <w:tc>
          <w:tcPr>
            <w:tcW w:w="7659" w:type="dxa"/>
            <w:tcBorders>
              <w:top w:val="single" w:color="auto" w:sz="4" w:space="0"/>
              <w:left w:val="single" w:color="auto" w:sz="4" w:space="0"/>
              <w:bottom w:val="single" w:color="auto" w:sz="4" w:space="0"/>
              <w:right w:val="single" w:color="auto" w:sz="4" w:space="0"/>
            </w:tcBorders>
            <w:vAlign w:val="center"/>
          </w:tcPr>
          <w:p w14:paraId="211F5F47">
            <w:pPr>
              <w:spacing w:line="240" w:lineRule="auto"/>
              <w:rPr>
                <w:rFonts w:hint="eastAsia" w:ascii="仿宋" w:hAnsi="仿宋" w:eastAsia="仿宋" w:cs="仿宋"/>
                <w:color w:val="auto"/>
                <w:highlight w:val="none"/>
                <w:lang w:eastAsia="zh-CN"/>
              </w:rPr>
            </w:pPr>
            <w:r>
              <w:rPr>
                <w:rFonts w:hint="eastAsia" w:ascii="方正仿宋" w:hAnsi="方正仿宋" w:eastAsia="方正仿宋" w:cs="方正仿宋"/>
                <w:b w:val="0"/>
                <w:bCs w:val="0"/>
                <w:snapToGrid w:val="0"/>
                <w:color w:val="000000"/>
                <w:spacing w:val="7"/>
                <w:kern w:val="0"/>
                <w:sz w:val="24"/>
                <w:szCs w:val="24"/>
                <w:highlight w:val="none"/>
                <w:lang w:val="en-US" w:eastAsia="zh-CN"/>
              </w:rPr>
              <w:t>三年免费质保（项目整体验收合格之日起算），根据新颁布的相关政策法规调整，三年内免费提供系统新增模块、优化升级、技术支持等服务。</w:t>
            </w:r>
          </w:p>
        </w:tc>
      </w:tr>
      <w:tr w14:paraId="3D3C0A10">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73A6090">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14:paraId="3B74C26B">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659" w:type="dxa"/>
            <w:tcBorders>
              <w:top w:val="single" w:color="auto" w:sz="4" w:space="0"/>
              <w:left w:val="single" w:color="auto" w:sz="4" w:space="0"/>
              <w:bottom w:val="single" w:color="auto" w:sz="4" w:space="0"/>
              <w:right w:val="single" w:color="auto" w:sz="4" w:space="0"/>
            </w:tcBorders>
            <w:vAlign w:val="center"/>
          </w:tcPr>
          <w:p w14:paraId="667D7890">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3A0164D5">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2.落实政府采购政策需满足的资格要求：本项目为非专门面向中小企业。 </w:t>
            </w:r>
          </w:p>
          <w:p w14:paraId="612D82BD">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w:t>
            </w:r>
          </w:p>
          <w:p w14:paraId="0B93306B">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1)具备三证合一营业执照副本；</w:t>
            </w:r>
          </w:p>
          <w:p w14:paraId="04C2310C">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2)法定代表人投标须提供法定代表人资格证明书，委托代理人投标须提供法定代表人授权委托书；</w:t>
            </w:r>
          </w:p>
          <w:p w14:paraId="1A07A00E">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3)投标企业须提供投标人（被授权在职人员）近6个月内任意一个月有效的社保证明；</w:t>
            </w:r>
          </w:p>
          <w:p w14:paraId="39209A64">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102336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47969EBD">
        <w:tblPrEx>
          <w:tblCellMar>
            <w:top w:w="0" w:type="dxa"/>
            <w:left w:w="108" w:type="dxa"/>
            <w:bottom w:w="0" w:type="dxa"/>
            <w:right w:w="108" w:type="dxa"/>
          </w:tblCellMar>
        </w:tblPrEx>
        <w:trPr>
          <w:trHeight w:val="677" w:hRule="atLeast"/>
          <w:jc w:val="center"/>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14:paraId="0731B568">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214C655F">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659" w:type="dxa"/>
            <w:tcBorders>
              <w:top w:val="single" w:color="auto" w:sz="4" w:space="0"/>
              <w:left w:val="single" w:color="auto" w:sz="4" w:space="0"/>
              <w:bottom w:val="single" w:color="auto" w:sz="4" w:space="0"/>
              <w:right w:val="single" w:color="auto" w:sz="4" w:space="0"/>
            </w:tcBorders>
            <w:shd w:val="clear" w:color="auto" w:fill="auto"/>
            <w:vAlign w:val="center"/>
          </w:tcPr>
          <w:p w14:paraId="45F100F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地方财政资金</w:t>
            </w:r>
          </w:p>
        </w:tc>
      </w:tr>
      <w:tr w14:paraId="66AFCF80">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22E9D34">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14:paraId="1C67BC59">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659" w:type="dxa"/>
            <w:tcBorders>
              <w:top w:val="single" w:color="auto" w:sz="4" w:space="0"/>
              <w:left w:val="single" w:color="auto" w:sz="4" w:space="0"/>
              <w:bottom w:val="single" w:color="auto" w:sz="4" w:space="0"/>
              <w:right w:val="single" w:color="auto" w:sz="4" w:space="0"/>
            </w:tcBorders>
            <w:vAlign w:val="center"/>
          </w:tcPr>
          <w:p w14:paraId="563A3F9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7FE12BDF">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94FE097">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14:paraId="1F573BE3">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659" w:type="dxa"/>
            <w:tcBorders>
              <w:top w:val="single" w:color="auto" w:sz="4" w:space="0"/>
              <w:left w:val="single" w:color="auto" w:sz="4" w:space="0"/>
              <w:bottom w:val="single" w:color="auto" w:sz="4" w:space="0"/>
              <w:right w:val="single" w:color="auto" w:sz="4" w:space="0"/>
            </w:tcBorders>
            <w:vAlign w:val="center"/>
          </w:tcPr>
          <w:p w14:paraId="7CBEA655">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793BDDF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1988596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7803CC7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21CB90B">
        <w:tblPrEx>
          <w:tblCellMar>
            <w:top w:w="0" w:type="dxa"/>
            <w:left w:w="108" w:type="dxa"/>
            <w:bottom w:w="0" w:type="dxa"/>
            <w:right w:w="108" w:type="dxa"/>
          </w:tblCellMar>
        </w:tblPrEx>
        <w:trPr>
          <w:trHeight w:val="70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BD2E2FB">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14:paraId="018172BD">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659" w:type="dxa"/>
            <w:tcBorders>
              <w:top w:val="single" w:color="auto" w:sz="4" w:space="0"/>
              <w:left w:val="single" w:color="auto" w:sz="4" w:space="0"/>
              <w:bottom w:val="single" w:color="auto" w:sz="4" w:space="0"/>
              <w:right w:val="single" w:color="auto" w:sz="4" w:space="0"/>
            </w:tcBorders>
            <w:vAlign w:val="center"/>
          </w:tcPr>
          <w:p w14:paraId="2D726F47">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09D9AC9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202D415F">
        <w:tblPrEx>
          <w:tblCellMar>
            <w:top w:w="0" w:type="dxa"/>
            <w:left w:w="108" w:type="dxa"/>
            <w:bottom w:w="0" w:type="dxa"/>
            <w:right w:w="108" w:type="dxa"/>
          </w:tblCellMar>
        </w:tblPrEx>
        <w:trPr>
          <w:trHeight w:val="71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618FCE3">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14:paraId="0A02BD9B">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659" w:type="dxa"/>
            <w:tcBorders>
              <w:top w:val="single" w:color="auto" w:sz="4" w:space="0"/>
              <w:left w:val="single" w:color="auto" w:sz="4" w:space="0"/>
              <w:bottom w:val="single" w:color="auto" w:sz="4" w:space="0"/>
              <w:right w:val="single" w:color="auto" w:sz="4" w:space="0"/>
            </w:tcBorders>
            <w:vAlign w:val="center"/>
          </w:tcPr>
          <w:p w14:paraId="5181461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11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46B0F79E">
        <w:tblPrEx>
          <w:tblCellMar>
            <w:top w:w="0" w:type="dxa"/>
            <w:left w:w="108" w:type="dxa"/>
            <w:bottom w:w="0" w:type="dxa"/>
            <w:right w:w="108" w:type="dxa"/>
          </w:tblCellMar>
        </w:tblPrEx>
        <w:trPr>
          <w:trHeight w:val="47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E4DF781">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14:paraId="310ED695">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659" w:type="dxa"/>
            <w:tcBorders>
              <w:top w:val="single" w:color="auto" w:sz="4" w:space="0"/>
              <w:left w:val="single" w:color="auto" w:sz="4" w:space="0"/>
              <w:bottom w:val="single" w:color="auto" w:sz="4" w:space="0"/>
              <w:right w:val="single" w:color="auto" w:sz="4" w:space="0"/>
            </w:tcBorders>
            <w:vAlign w:val="center"/>
          </w:tcPr>
          <w:p w14:paraId="55A15E8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060B0263">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64465C">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14:paraId="07C93A15">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659" w:type="dxa"/>
            <w:tcBorders>
              <w:top w:val="single" w:color="auto" w:sz="4" w:space="0"/>
              <w:left w:val="single" w:color="auto" w:sz="4" w:space="0"/>
              <w:bottom w:val="single" w:color="auto" w:sz="4" w:space="0"/>
              <w:right w:val="single" w:color="auto" w:sz="4" w:space="0"/>
            </w:tcBorders>
            <w:vAlign w:val="center"/>
          </w:tcPr>
          <w:p w14:paraId="38E571EC">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一、投标保证金交纳要求：</w:t>
            </w:r>
          </w:p>
          <w:p w14:paraId="1BF0D30C">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投标保证金应当以支票、汇票、本票、网上银行支付或者金融机构、担保机构出具的保函等非现金形式缴纳。</w:t>
            </w:r>
          </w:p>
          <w:p w14:paraId="4DFF8182">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投标保证金金额：35000.00元   大写：叁万伍仟元整</w:t>
            </w:r>
          </w:p>
          <w:p w14:paraId="4FFFB6C4">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0C24AB0D">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2、其他特殊情况处理：有效投标保证金成功交纳后，截止开标时间，供应商无正当理由不参加该项目投标且不递交弃标函，投标保证金不予退还。</w:t>
            </w:r>
          </w:p>
          <w:p w14:paraId="0D145E77">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户名：克孜勒苏柯尔克孜自治州政务服务和公共资源交易中心</w:t>
            </w:r>
          </w:p>
          <w:p w14:paraId="07C23EEA">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账号：30456301040005069</w:t>
            </w:r>
          </w:p>
          <w:p w14:paraId="4BF1D9E1">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行名：中国农业银行阿图什市天山分理处</w:t>
            </w:r>
          </w:p>
          <w:p w14:paraId="39B0E7C7">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行号：103893045636</w:t>
            </w:r>
          </w:p>
          <w:p w14:paraId="00CB10FA">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联系人：帕女士</w:t>
            </w:r>
          </w:p>
          <w:p w14:paraId="5A59EB80">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电话：0908-4220265    15809081090</w:t>
            </w:r>
          </w:p>
          <w:p w14:paraId="7A56544C">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（备注：必须写清楚xx公司xx项目保证金）</w:t>
            </w:r>
          </w:p>
          <w:p w14:paraId="4F1E80E8">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二、申请退还投标保证金资料（招投标结束中标结果公示后）：</w:t>
            </w:r>
          </w:p>
          <w:p w14:paraId="09D11C3F">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1、投标企业：待开标完成后，未中标企业3个工作日内政资中心将收取的项目投标保证金按投标企业基本户退回。</w:t>
            </w:r>
          </w:p>
          <w:p w14:paraId="64F05094">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2、中标企业：需提供已签订合同复印件一份，复印件每页需加盖企业鲜章（并携带合同原件，由中心工作人员核对后退还）。</w:t>
            </w:r>
          </w:p>
          <w:p w14:paraId="681AB793">
            <w:pPr>
              <w:numPr>
                <w:ilvl w:val="0"/>
                <w:numId w:val="0"/>
              </w:numPr>
              <w:shd w:val="clear" w:color="auto" w:fill="auto"/>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三、其他特殊情况处理：</w:t>
            </w:r>
          </w:p>
          <w:p w14:paraId="54BCDF6C">
            <w:pPr>
              <w:numPr>
                <w:ilvl w:val="0"/>
                <w:numId w:val="0"/>
              </w:numPr>
              <w:shd w:val="clear" w:color="auto" w:fill="auto"/>
              <w:spacing w:line="240" w:lineRule="auto"/>
              <w:jc w:val="left"/>
              <w:rPr>
                <w:color w:val="auto"/>
                <w:highlight w:val="none"/>
                <w:lang w:eastAsia="zh-CN"/>
              </w:rPr>
            </w:pPr>
            <w:r>
              <w:rPr>
                <w:rFonts w:hint="eastAsia" w:ascii="仿宋" w:hAnsi="仿宋" w:eastAsia="仿宋" w:cs="仿宋"/>
                <w:b w:val="0"/>
                <w:bCs w:val="0"/>
                <w:color w:val="auto"/>
                <w:sz w:val="24"/>
                <w:szCs w:val="24"/>
                <w:highlight w:val="none"/>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highlight w:val="none"/>
                <w:lang w:eastAsia="zh-CN"/>
              </w:rPr>
              <w:t xml:space="preserve"> </w:t>
            </w:r>
          </w:p>
        </w:tc>
      </w:tr>
      <w:tr w14:paraId="577AC6FB">
        <w:tblPrEx>
          <w:tblCellMar>
            <w:top w:w="0" w:type="dxa"/>
            <w:left w:w="108" w:type="dxa"/>
            <w:bottom w:w="0" w:type="dxa"/>
            <w:right w:w="108" w:type="dxa"/>
          </w:tblCellMar>
        </w:tblPrEx>
        <w:trPr>
          <w:trHeight w:val="124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2E86A35">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14:paraId="7E21A79C">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  投标方案</w:t>
            </w:r>
          </w:p>
        </w:tc>
        <w:tc>
          <w:tcPr>
            <w:tcW w:w="7659" w:type="dxa"/>
            <w:tcBorders>
              <w:top w:val="single" w:color="auto" w:sz="4" w:space="0"/>
              <w:left w:val="single" w:color="auto" w:sz="4" w:space="0"/>
              <w:bottom w:val="single" w:color="auto" w:sz="4" w:space="0"/>
              <w:right w:val="single" w:color="auto" w:sz="4" w:space="0"/>
            </w:tcBorders>
            <w:vAlign w:val="center"/>
          </w:tcPr>
          <w:p w14:paraId="4D5ED4E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41973320">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19E96448">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0600C7">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14:paraId="4B079029">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659" w:type="dxa"/>
            <w:tcBorders>
              <w:top w:val="single" w:color="auto" w:sz="4" w:space="0"/>
              <w:left w:val="single" w:color="auto" w:sz="4" w:space="0"/>
              <w:bottom w:val="single" w:color="auto" w:sz="4" w:space="0"/>
              <w:right w:val="single" w:color="auto" w:sz="4" w:space="0"/>
            </w:tcBorders>
            <w:vAlign w:val="center"/>
          </w:tcPr>
          <w:p w14:paraId="0B2E387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11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21</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11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28 </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（北京时间，节假日除外）</w:t>
            </w:r>
          </w:p>
          <w:p w14:paraId="1087D90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2A146BB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方式：（1）线上获取（登录政府采购云平台 → 项目采购 → 获取招标文件 → 申请，审核通过后可下载招标文件）。本次招标不提供纸质版招标文件 。</w:t>
            </w:r>
          </w:p>
          <w:p w14:paraId="794AB7C7">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（2）供应商获取招标文件前应注册成为政府采购云平台正式供应商。</w:t>
            </w:r>
          </w:p>
        </w:tc>
      </w:tr>
      <w:tr w14:paraId="480ABBDD">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289880">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14:paraId="6F094F2D">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659" w:type="dxa"/>
            <w:tcBorders>
              <w:top w:val="single" w:color="auto" w:sz="4" w:space="0"/>
              <w:left w:val="single" w:color="auto" w:sz="4" w:space="0"/>
              <w:bottom w:val="single" w:color="auto" w:sz="4" w:space="0"/>
              <w:right w:val="single" w:color="auto" w:sz="4" w:space="0"/>
            </w:tcBorders>
            <w:vAlign w:val="center"/>
          </w:tcPr>
          <w:p w14:paraId="49D3BAE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5831989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024F23BB">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CF32C4E">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28F42D">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14:paraId="6EF023E1">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659" w:type="dxa"/>
            <w:tcBorders>
              <w:top w:val="single" w:color="auto" w:sz="4" w:space="0"/>
              <w:left w:val="single" w:color="auto" w:sz="4" w:space="0"/>
              <w:bottom w:val="single" w:color="auto" w:sz="4" w:space="0"/>
              <w:right w:val="single" w:color="auto" w:sz="4" w:space="0"/>
            </w:tcBorders>
            <w:vAlign w:val="center"/>
          </w:tcPr>
          <w:p w14:paraId="3E956FB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32AC5A6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667E111A">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5BCEA7AE">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1" w:type="dxa"/>
            <w:vMerge w:val="restart"/>
            <w:tcBorders>
              <w:top w:val="single" w:color="auto" w:sz="4" w:space="0"/>
              <w:left w:val="single" w:color="auto" w:sz="4" w:space="0"/>
              <w:right w:val="single" w:color="auto" w:sz="4" w:space="0"/>
            </w:tcBorders>
            <w:vAlign w:val="center"/>
          </w:tcPr>
          <w:p w14:paraId="6682F358">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659" w:type="dxa"/>
            <w:tcBorders>
              <w:top w:val="single" w:color="auto" w:sz="4" w:space="0"/>
              <w:left w:val="single" w:color="auto" w:sz="4" w:space="0"/>
              <w:bottom w:val="single" w:color="auto" w:sz="4" w:space="0"/>
              <w:right w:val="single" w:color="auto" w:sz="4" w:space="0"/>
            </w:tcBorders>
            <w:vAlign w:val="center"/>
          </w:tcPr>
          <w:p w14:paraId="7C1D63E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51A548B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39CF957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4D8D0404">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14:paraId="03A427C6">
            <w:pPr>
              <w:spacing w:line="240" w:lineRule="auto"/>
              <w:jc w:val="center"/>
              <w:rPr>
                <w:rFonts w:ascii="仿宋" w:hAnsi="仿宋" w:eastAsia="仿宋" w:cs="仿宋"/>
                <w:color w:val="auto"/>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554284F0">
            <w:pPr>
              <w:spacing w:line="240" w:lineRule="auto"/>
              <w:rPr>
                <w:rFonts w:ascii="仿宋" w:hAnsi="仿宋" w:eastAsia="仿宋" w:cs="仿宋"/>
                <w:color w:val="auto"/>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4C5F244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 不作强制性要求；如不提供或未按要求提供的，当电子投标文件无法解密时，将导致无备份投标文件而失去投标资格。</w:t>
            </w:r>
          </w:p>
          <w:p w14:paraId="0A20077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3B14AF4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9605D2E">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9FC99F7">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14:paraId="50C55F9A">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659" w:type="dxa"/>
            <w:tcBorders>
              <w:top w:val="single" w:color="auto" w:sz="4" w:space="0"/>
              <w:left w:val="single" w:color="auto" w:sz="4" w:space="0"/>
              <w:bottom w:val="single" w:color="auto" w:sz="4" w:space="0"/>
              <w:right w:val="single" w:color="auto" w:sz="4" w:space="0"/>
            </w:tcBorders>
            <w:vAlign w:val="center"/>
          </w:tcPr>
          <w:p w14:paraId="00FDFFA5">
            <w:pPr>
              <w:spacing w:line="24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评标委员会由招标人依法组建；采购人代表1人，评审专家4人，共5人。</w:t>
            </w:r>
          </w:p>
          <w:p w14:paraId="507B260E">
            <w:pPr>
              <w:spacing w:line="24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690B8D75">
        <w:tblPrEx>
          <w:tblCellMar>
            <w:top w:w="0" w:type="dxa"/>
            <w:left w:w="108" w:type="dxa"/>
            <w:bottom w:w="0" w:type="dxa"/>
            <w:right w:w="108" w:type="dxa"/>
          </w:tblCellMar>
        </w:tblPrEx>
        <w:trPr>
          <w:trHeight w:val="9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9A5CBEF">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14:paraId="2DD4FA6E">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659" w:type="dxa"/>
            <w:tcBorders>
              <w:top w:val="single" w:color="auto" w:sz="4" w:space="0"/>
              <w:left w:val="single" w:color="auto" w:sz="4" w:space="0"/>
              <w:bottom w:val="single" w:color="auto" w:sz="4" w:space="0"/>
              <w:right w:val="single" w:color="auto" w:sz="4" w:space="0"/>
            </w:tcBorders>
            <w:vAlign w:val="center"/>
          </w:tcPr>
          <w:p w14:paraId="09D70A26">
            <w:pPr>
              <w:spacing w:line="24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1082F850">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6992C67">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14:paraId="7BB718BE">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659" w:type="dxa"/>
            <w:tcBorders>
              <w:top w:val="single" w:color="auto" w:sz="4" w:space="0"/>
              <w:left w:val="single" w:color="auto" w:sz="4" w:space="0"/>
              <w:bottom w:val="single" w:color="auto" w:sz="4" w:space="0"/>
              <w:right w:val="single" w:color="auto" w:sz="4" w:space="0"/>
            </w:tcBorders>
            <w:vAlign w:val="center"/>
          </w:tcPr>
          <w:p w14:paraId="758A2E3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12</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 11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分（北京时间）</w:t>
            </w:r>
          </w:p>
          <w:p w14:paraId="13CEB52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p>
        </w:tc>
      </w:tr>
      <w:tr w14:paraId="484D94A6">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4EDBFF9D">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91" w:type="dxa"/>
            <w:tcBorders>
              <w:top w:val="single" w:color="auto" w:sz="4" w:space="0"/>
              <w:left w:val="single" w:color="auto" w:sz="4" w:space="0"/>
              <w:right w:val="single" w:color="auto" w:sz="4" w:space="0"/>
            </w:tcBorders>
            <w:vAlign w:val="center"/>
          </w:tcPr>
          <w:p w14:paraId="10492C10">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659" w:type="dxa"/>
            <w:tcBorders>
              <w:top w:val="single" w:color="auto" w:sz="4" w:space="0"/>
              <w:left w:val="single" w:color="auto" w:sz="4" w:space="0"/>
              <w:right w:val="single" w:color="auto" w:sz="4" w:space="0"/>
            </w:tcBorders>
            <w:vAlign w:val="center"/>
          </w:tcPr>
          <w:p w14:paraId="3158BEC6">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4</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12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11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分（北京时间）</w:t>
            </w:r>
          </w:p>
          <w:p w14:paraId="72BDE31B">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4AEA131D">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7B913810">
            <w:pPr>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691" w:type="dxa"/>
            <w:vMerge w:val="restart"/>
            <w:tcBorders>
              <w:top w:val="single" w:color="auto" w:sz="4" w:space="0"/>
              <w:left w:val="single" w:color="auto" w:sz="4" w:space="0"/>
              <w:right w:val="single" w:color="auto" w:sz="4" w:space="0"/>
            </w:tcBorders>
            <w:vAlign w:val="center"/>
          </w:tcPr>
          <w:p w14:paraId="65DEDE62">
            <w:pPr>
              <w:spacing w:line="24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659" w:type="dxa"/>
            <w:tcBorders>
              <w:top w:val="single" w:color="auto" w:sz="4" w:space="0"/>
              <w:left w:val="single" w:color="auto" w:sz="4" w:space="0"/>
              <w:right w:val="single" w:color="auto" w:sz="4" w:space="0"/>
            </w:tcBorders>
            <w:vAlign w:val="center"/>
          </w:tcPr>
          <w:p w14:paraId="642C307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03F1C1E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28AC4EE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DFD8B2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5C74469">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586CBE87">
            <w:pPr>
              <w:spacing w:line="24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77D061D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73D61A55">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76FEF569">
            <w:pPr>
              <w:spacing w:line="240" w:lineRule="auto"/>
              <w:rPr>
                <w:rFonts w:ascii="仿宋" w:hAnsi="仿宋" w:eastAsia="仿宋" w:cs="仿宋"/>
                <w:color w:val="auto"/>
                <w:sz w:val="21"/>
                <w:szCs w:val="21"/>
                <w:highlight w:val="none"/>
                <w:lang w:eastAsia="zh-CN"/>
              </w:rPr>
            </w:pPr>
          </w:p>
        </w:tc>
        <w:tc>
          <w:tcPr>
            <w:tcW w:w="1691" w:type="dxa"/>
            <w:vMerge w:val="continue"/>
            <w:tcBorders>
              <w:left w:val="single" w:color="auto" w:sz="4" w:space="0"/>
              <w:bottom w:val="single" w:color="auto" w:sz="4" w:space="0"/>
              <w:right w:val="single" w:color="auto" w:sz="4" w:space="0"/>
            </w:tcBorders>
            <w:vAlign w:val="center"/>
          </w:tcPr>
          <w:p w14:paraId="6C2788E8">
            <w:pPr>
              <w:spacing w:line="240" w:lineRule="auto"/>
              <w:rPr>
                <w:rFonts w:ascii="仿宋" w:hAnsi="仿宋" w:eastAsia="仿宋" w:cs="仿宋"/>
                <w:color w:val="auto"/>
                <w:sz w:val="21"/>
                <w:szCs w:val="21"/>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1856C9F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5601B3E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10FACBA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B3D453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21311D3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546594A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5216707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052060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2F8D8E06">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055800EB">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16006A5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2D15AC57">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743DF20">
            <w:pPr>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14:paraId="3AE58AD9">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659" w:type="dxa"/>
            <w:tcBorders>
              <w:top w:val="single" w:color="auto" w:sz="4" w:space="0"/>
              <w:left w:val="single" w:color="auto" w:sz="4" w:space="0"/>
              <w:bottom w:val="single" w:color="auto" w:sz="4" w:space="0"/>
              <w:right w:val="single" w:color="auto" w:sz="4" w:space="0"/>
            </w:tcBorders>
            <w:vAlign w:val="center"/>
          </w:tcPr>
          <w:p w14:paraId="44D359F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克州公共资源交易中心网、新疆政府采购网，公示期为一个工作日。</w:t>
            </w:r>
          </w:p>
        </w:tc>
      </w:tr>
      <w:tr w14:paraId="3AC81BFC">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2D259F9">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50" w:type="dxa"/>
            <w:gridSpan w:val="2"/>
            <w:tcBorders>
              <w:top w:val="single" w:color="auto" w:sz="4" w:space="0"/>
              <w:left w:val="single" w:color="auto" w:sz="4" w:space="0"/>
              <w:bottom w:val="single" w:color="auto" w:sz="4" w:space="0"/>
              <w:right w:val="single" w:color="auto" w:sz="4" w:space="0"/>
            </w:tcBorders>
            <w:vAlign w:val="center"/>
          </w:tcPr>
          <w:p w14:paraId="6241D32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w:t>
            </w:r>
            <w:r>
              <w:rPr>
                <w:rFonts w:hint="eastAsia" w:ascii="仿宋" w:hAnsi="仿宋" w:eastAsia="仿宋" w:cs="仿宋"/>
                <w:color w:val="auto"/>
                <w:highlight w:val="none"/>
                <w:lang w:val="en-US" w:eastAsia="zh-CN"/>
              </w:rPr>
              <w:t>为：22000元(贰万贰仟元整)。</w:t>
            </w:r>
          </w:p>
        </w:tc>
      </w:tr>
      <w:tr w14:paraId="749CBF07">
        <w:tblPrEx>
          <w:tblCellMar>
            <w:top w:w="0" w:type="dxa"/>
            <w:left w:w="108" w:type="dxa"/>
            <w:bottom w:w="0" w:type="dxa"/>
            <w:right w:w="108" w:type="dxa"/>
          </w:tblCellMar>
        </w:tblPrEx>
        <w:trPr>
          <w:trHeight w:val="25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EFF05D0">
            <w:pPr>
              <w:spacing w:line="240" w:lineRule="auto"/>
              <w:rPr>
                <w:rFonts w:ascii="仿宋" w:hAnsi="仿宋" w:eastAsia="仿宋" w:cs="仿宋"/>
                <w:color w:val="auto"/>
                <w:sz w:val="21"/>
                <w:szCs w:val="21"/>
                <w:highlight w:val="none"/>
                <w:lang w:eastAsia="zh-CN"/>
              </w:rPr>
            </w:pPr>
          </w:p>
        </w:tc>
        <w:tc>
          <w:tcPr>
            <w:tcW w:w="9350" w:type="dxa"/>
            <w:gridSpan w:val="2"/>
            <w:tcBorders>
              <w:top w:val="single" w:color="auto" w:sz="4" w:space="0"/>
              <w:left w:val="single" w:color="auto" w:sz="4" w:space="0"/>
              <w:bottom w:val="single" w:color="auto" w:sz="4" w:space="0"/>
              <w:right w:val="single" w:color="auto" w:sz="4" w:space="0"/>
            </w:tcBorders>
            <w:vAlign w:val="center"/>
          </w:tcPr>
          <w:p w14:paraId="3A5BEF93">
            <w:pPr>
              <w:spacing w:line="240" w:lineRule="auto"/>
              <w:ind w:firstLine="480" w:firstLineChars="20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中标单位在领取本项目中标通知书时，根据《中华人民共和国招标投标法》《中华人民 共和国招标投标法实施条例》《国家发展改革委关于进一步放开建设项目专业服务价格 的通知》（发改价格[2015]299号）文件等规定由中标单位向招标代理机构</w:t>
            </w:r>
            <w:r>
              <w:rPr>
                <w:rFonts w:hint="eastAsia" w:ascii="仿宋" w:hAnsi="仿宋" w:eastAsia="仿宋" w:cs="仿宋"/>
                <w:color w:val="auto"/>
                <w:highlight w:val="none"/>
                <w:lang w:val="en-US" w:eastAsia="zh-CN"/>
              </w:rPr>
              <w:t>在中标通知书发放之日前</w:t>
            </w:r>
            <w:r>
              <w:rPr>
                <w:rFonts w:ascii="仿宋" w:hAnsi="仿宋" w:eastAsia="仿宋" w:cs="仿宋"/>
                <w:color w:val="auto"/>
                <w:sz w:val="24"/>
                <w:szCs w:val="24"/>
                <w:highlight w:val="none"/>
                <w:lang w:eastAsia="zh-CN"/>
              </w:rPr>
              <w:t>支付本项目代理费。</w:t>
            </w:r>
          </w:p>
          <w:p w14:paraId="7688F299">
            <w:pPr>
              <w:spacing w:line="240" w:lineRule="auto"/>
              <w:ind w:firstLine="480" w:firstLineChars="20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收费标准如下：</w:t>
            </w:r>
          </w:p>
          <w:tbl>
            <w:tblPr>
              <w:tblStyle w:val="26"/>
              <w:tblpPr w:leftFromText="180" w:rightFromText="180" w:vertAnchor="text" w:horzAnchor="page" w:tblpXSpec="center" w:tblpY="1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925"/>
              <w:gridCol w:w="1545"/>
              <w:gridCol w:w="1914"/>
            </w:tblGrid>
            <w:tr w14:paraId="647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1" w:type="dxa"/>
                  <w:vAlign w:val="center"/>
                </w:tcPr>
                <w:p w14:paraId="44EC9D3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金额（万元）</w:t>
                  </w:r>
                </w:p>
              </w:tc>
              <w:tc>
                <w:tcPr>
                  <w:tcW w:w="1925" w:type="dxa"/>
                  <w:vAlign w:val="center"/>
                </w:tcPr>
                <w:p w14:paraId="2819CDB6">
                  <w:pPr>
                    <w:keepNext w:val="0"/>
                    <w:keepLines w:val="0"/>
                    <w:pageBreakBefore w:val="0"/>
                    <w:widowControl w:val="0"/>
                    <w:kinsoku/>
                    <w:wordWrap/>
                    <w:overflowPunct/>
                    <w:topLinePunct w:val="0"/>
                    <w:autoSpaceDE/>
                    <w:autoSpaceDN/>
                    <w:bidi w:val="0"/>
                    <w:adjustRightInd/>
                    <w:snapToGrid/>
                    <w:spacing w:line="200" w:lineRule="exact"/>
                    <w:ind w:firstLine="400" w:firstLineChars="200"/>
                    <w:jc w:val="center"/>
                    <w:textAlignment w:val="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货物招标</w:t>
                  </w:r>
                </w:p>
              </w:tc>
              <w:tc>
                <w:tcPr>
                  <w:tcW w:w="1545" w:type="dxa"/>
                  <w:vAlign w:val="center"/>
                </w:tcPr>
                <w:p w14:paraId="6E81E6C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服务招标</w:t>
                  </w:r>
                </w:p>
              </w:tc>
              <w:tc>
                <w:tcPr>
                  <w:tcW w:w="1914" w:type="dxa"/>
                  <w:vAlign w:val="center"/>
                </w:tcPr>
                <w:p w14:paraId="48F7CF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 w:hAnsi="仿宋" w:eastAsia="仿宋" w:cs="仿宋"/>
                      <w:color w:val="auto"/>
                      <w:sz w:val="20"/>
                      <w:szCs w:val="20"/>
                      <w:lang w:eastAsia="zh-CN"/>
                    </w:rPr>
                  </w:pPr>
                  <w:r>
                    <w:rPr>
                      <w:rFonts w:hint="eastAsia" w:ascii="仿宋" w:hAnsi="仿宋" w:eastAsia="仿宋" w:cs="仿宋"/>
                      <w:color w:val="auto"/>
                      <w:sz w:val="20"/>
                      <w:szCs w:val="20"/>
                      <w:lang w:eastAsia="zh-CN"/>
                    </w:rPr>
                    <w:t>备注</w:t>
                  </w:r>
                </w:p>
              </w:tc>
            </w:tr>
            <w:tr w14:paraId="2DA0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1" w:type="dxa"/>
                  <w:vAlign w:val="center"/>
                </w:tcPr>
                <w:p w14:paraId="7951BA7B">
                  <w:pPr>
                    <w:pStyle w:val="5"/>
                    <w:keepNext w:val="0"/>
                    <w:keepLines w:val="0"/>
                    <w:pageBreakBefore w:val="0"/>
                    <w:widowControl w:val="0"/>
                    <w:kinsoku/>
                    <w:wordWrap/>
                    <w:overflowPunct/>
                    <w:topLinePunct w:val="0"/>
                    <w:autoSpaceDE/>
                    <w:autoSpaceDN/>
                    <w:bidi w:val="0"/>
                    <w:adjustRightInd/>
                    <w:snapToGrid/>
                    <w:spacing w:line="140" w:lineRule="exact"/>
                    <w:ind w:firstLine="600" w:firstLineChars="300"/>
                    <w:jc w:val="both"/>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100 以下</w:t>
                  </w:r>
                </w:p>
              </w:tc>
              <w:tc>
                <w:tcPr>
                  <w:tcW w:w="1925" w:type="dxa"/>
                  <w:vAlign w:val="center"/>
                </w:tcPr>
                <w:p w14:paraId="0F614225">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1.58%</w:t>
                  </w:r>
                </w:p>
              </w:tc>
              <w:tc>
                <w:tcPr>
                  <w:tcW w:w="1545" w:type="dxa"/>
                  <w:vAlign w:val="center"/>
                </w:tcPr>
                <w:p w14:paraId="37B93B5D">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1.58%</w:t>
                  </w:r>
                </w:p>
              </w:tc>
              <w:tc>
                <w:tcPr>
                  <w:tcW w:w="1914" w:type="dxa"/>
                  <w:vAlign w:val="center"/>
                </w:tcPr>
                <w:p w14:paraId="1D5AEB4A">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cs="仿宋"/>
                      <w:color w:val="auto"/>
                      <w:sz w:val="18"/>
                      <w:szCs w:val="18"/>
                      <w:lang w:eastAsia="zh-CN"/>
                    </w:rPr>
                  </w:pPr>
                </w:p>
              </w:tc>
            </w:tr>
            <w:tr w14:paraId="26A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1" w:type="dxa"/>
                  <w:vAlign w:val="center"/>
                </w:tcPr>
                <w:p w14:paraId="3680A075">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100-500</w:t>
                  </w:r>
                </w:p>
              </w:tc>
              <w:tc>
                <w:tcPr>
                  <w:tcW w:w="1925" w:type="dxa"/>
                  <w:vAlign w:val="center"/>
                </w:tcPr>
                <w:p w14:paraId="06FBBBE1">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1.16%</w:t>
                  </w:r>
                </w:p>
              </w:tc>
              <w:tc>
                <w:tcPr>
                  <w:tcW w:w="1545" w:type="dxa"/>
                  <w:vAlign w:val="center"/>
                </w:tcPr>
                <w:p w14:paraId="0E4DD958">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0.84%</w:t>
                  </w:r>
                </w:p>
              </w:tc>
              <w:tc>
                <w:tcPr>
                  <w:tcW w:w="1914" w:type="dxa"/>
                  <w:vAlign w:val="center"/>
                </w:tcPr>
                <w:p w14:paraId="2F9EAC8D">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cs="仿宋"/>
                      <w:color w:val="auto"/>
                      <w:sz w:val="18"/>
                      <w:szCs w:val="18"/>
                      <w:lang w:eastAsia="zh-CN"/>
                    </w:rPr>
                  </w:pPr>
                </w:p>
              </w:tc>
            </w:tr>
            <w:tr w14:paraId="232F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1" w:type="dxa"/>
                  <w:vAlign w:val="center"/>
                </w:tcPr>
                <w:p w14:paraId="6FD01CA0">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500-1000</w:t>
                  </w:r>
                </w:p>
              </w:tc>
              <w:tc>
                <w:tcPr>
                  <w:tcW w:w="1925" w:type="dxa"/>
                  <w:vAlign w:val="center"/>
                </w:tcPr>
                <w:p w14:paraId="2CA1CFDD">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0.93%</w:t>
                  </w:r>
                </w:p>
              </w:tc>
              <w:tc>
                <w:tcPr>
                  <w:tcW w:w="1545" w:type="dxa"/>
                  <w:vAlign w:val="center"/>
                </w:tcPr>
                <w:p w14:paraId="50977518">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0.62%</w:t>
                  </w:r>
                </w:p>
              </w:tc>
              <w:tc>
                <w:tcPr>
                  <w:tcW w:w="1914" w:type="dxa"/>
                  <w:vAlign w:val="center"/>
                </w:tcPr>
                <w:p w14:paraId="319018C5">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cs="仿宋"/>
                      <w:color w:val="auto"/>
                      <w:sz w:val="18"/>
                      <w:szCs w:val="18"/>
                      <w:lang w:eastAsia="zh-CN"/>
                    </w:rPr>
                  </w:pPr>
                </w:p>
              </w:tc>
            </w:tr>
            <w:tr w14:paraId="447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1" w:type="dxa"/>
                  <w:vAlign w:val="center"/>
                </w:tcPr>
                <w:p w14:paraId="00938C84">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1000-5000</w:t>
                  </w:r>
                </w:p>
              </w:tc>
              <w:tc>
                <w:tcPr>
                  <w:tcW w:w="1925" w:type="dxa"/>
                  <w:vAlign w:val="center"/>
                </w:tcPr>
                <w:p w14:paraId="178653AC">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0.61%</w:t>
                  </w:r>
                </w:p>
              </w:tc>
              <w:tc>
                <w:tcPr>
                  <w:tcW w:w="1545" w:type="dxa"/>
                  <w:vAlign w:val="center"/>
                </w:tcPr>
                <w:p w14:paraId="67C3C3DE">
                  <w:pPr>
                    <w:pStyle w:val="5"/>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仿宋" w:hAnsi="仿宋" w:eastAsia="仿宋" w:cs="仿宋"/>
                      <w:b w:val="0"/>
                      <w:bCs w:val="0"/>
                      <w:color w:val="auto"/>
                      <w:sz w:val="20"/>
                      <w:szCs w:val="20"/>
                      <w:lang w:val="en-US" w:eastAsia="zh-CN" w:bidi="en-US"/>
                    </w:rPr>
                  </w:pPr>
                  <w:r>
                    <w:rPr>
                      <w:rFonts w:hint="eastAsia" w:ascii="仿宋" w:hAnsi="仿宋" w:eastAsia="仿宋" w:cs="仿宋"/>
                      <w:b w:val="0"/>
                      <w:bCs w:val="0"/>
                      <w:color w:val="auto"/>
                      <w:sz w:val="20"/>
                      <w:szCs w:val="20"/>
                      <w:lang w:val="en-US" w:eastAsia="zh-CN" w:bidi="en-US"/>
                    </w:rPr>
                    <w:t>0.35%</w:t>
                  </w:r>
                </w:p>
              </w:tc>
              <w:tc>
                <w:tcPr>
                  <w:tcW w:w="1914" w:type="dxa"/>
                  <w:vAlign w:val="center"/>
                </w:tcPr>
                <w:p w14:paraId="0ABBE02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cs="仿宋"/>
                      <w:color w:val="auto"/>
                      <w:sz w:val="18"/>
                      <w:szCs w:val="18"/>
                      <w:lang w:eastAsia="zh-CN"/>
                    </w:rPr>
                  </w:pPr>
                </w:p>
              </w:tc>
            </w:tr>
          </w:tbl>
          <w:p w14:paraId="1C1AD37C">
            <w:pPr>
              <w:pStyle w:val="5"/>
              <w:spacing w:line="240" w:lineRule="auto"/>
              <w:rPr>
                <w:rFonts w:hint="eastAsia" w:ascii="仿宋" w:hAnsi="仿宋" w:eastAsia="仿宋" w:cs="仿宋"/>
                <w:b w:val="0"/>
                <w:bCs w:val="0"/>
                <w:color w:val="auto"/>
                <w:sz w:val="24"/>
                <w:szCs w:val="24"/>
                <w:highlight w:val="none"/>
                <w:lang w:val="en-US" w:eastAsia="zh-CN" w:bidi="en-US"/>
              </w:rPr>
            </w:pPr>
          </w:p>
          <w:p w14:paraId="24DA3228">
            <w:pPr>
              <w:pStyle w:val="5"/>
              <w:spacing w:line="240" w:lineRule="auto"/>
              <w:rPr>
                <w:rFonts w:hint="eastAsia" w:ascii="仿宋" w:hAnsi="仿宋" w:eastAsia="仿宋" w:cs="仿宋"/>
                <w:b w:val="0"/>
                <w:bCs w:val="0"/>
                <w:color w:val="auto"/>
                <w:sz w:val="24"/>
                <w:szCs w:val="24"/>
                <w:highlight w:val="none"/>
                <w:lang w:val="en-US" w:eastAsia="zh-CN" w:bidi="en-US"/>
              </w:rPr>
            </w:pPr>
          </w:p>
          <w:p w14:paraId="3C3C1F1D">
            <w:pPr>
              <w:pStyle w:val="5"/>
              <w:spacing w:line="240" w:lineRule="auto"/>
              <w:rPr>
                <w:rFonts w:hint="eastAsia" w:ascii="仿宋" w:hAnsi="仿宋" w:eastAsia="仿宋" w:cs="仿宋"/>
                <w:b w:val="0"/>
                <w:bCs w:val="0"/>
                <w:color w:val="auto"/>
                <w:sz w:val="24"/>
                <w:szCs w:val="24"/>
                <w:highlight w:val="none"/>
                <w:lang w:val="en-US" w:eastAsia="zh-CN" w:bidi="en-US"/>
              </w:rPr>
            </w:pPr>
          </w:p>
          <w:p w14:paraId="5A6170E2">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招标代理服务收费按差额定率累进法计算。例如：某项目招标代理业务金额为5000万元，计算招标代理服务收费额如下： </w:t>
            </w:r>
          </w:p>
          <w:p w14:paraId="1BF0C08E">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 万元×1.58%=1.58（万元）； </w:t>
            </w:r>
          </w:p>
          <w:p w14:paraId="605A68D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（500-100）万元×1.16%=4.64（万元） </w:t>
            </w:r>
          </w:p>
          <w:p w14:paraId="46A8F41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（1000-500）万元×0.93%=4.65（万元） </w:t>
            </w:r>
          </w:p>
          <w:p w14:paraId="4566CC5D">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（5000-1000）万元×0.61%=24.4（万元）</w:t>
            </w:r>
          </w:p>
          <w:p w14:paraId="7C173167">
            <w:pPr>
              <w:spacing w:line="360" w:lineRule="auto"/>
              <w:rPr>
                <w:lang w:eastAsia="zh-CN"/>
              </w:rPr>
            </w:pPr>
            <w:r>
              <w:rPr>
                <w:rFonts w:hint="eastAsia" w:ascii="仿宋" w:hAnsi="仿宋" w:eastAsia="仿宋" w:cs="仿宋"/>
                <w:color w:val="auto"/>
                <w:highlight w:val="none"/>
                <w:lang w:val="en-US" w:eastAsia="zh-CN"/>
              </w:rPr>
              <w:t>合计收费：1.58＋4.64＋4.65＋24.4=35.27(万元)</w:t>
            </w:r>
          </w:p>
        </w:tc>
      </w:tr>
      <w:tr w14:paraId="187F5B13">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5D0471">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50" w:type="dxa"/>
            <w:gridSpan w:val="2"/>
            <w:tcBorders>
              <w:top w:val="single" w:color="auto" w:sz="4" w:space="0"/>
              <w:left w:val="single" w:color="auto" w:sz="4" w:space="0"/>
              <w:bottom w:val="single" w:color="auto" w:sz="4" w:space="0"/>
              <w:right w:val="single" w:color="auto" w:sz="4" w:space="0"/>
            </w:tcBorders>
            <w:vAlign w:val="center"/>
          </w:tcPr>
          <w:p w14:paraId="2FEEBE1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32FA4614">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E17C655">
            <w:pPr>
              <w:spacing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50" w:type="dxa"/>
            <w:gridSpan w:val="2"/>
            <w:tcBorders>
              <w:top w:val="single" w:color="auto" w:sz="4" w:space="0"/>
              <w:left w:val="single" w:color="auto" w:sz="4" w:space="0"/>
              <w:bottom w:val="single" w:color="auto" w:sz="4" w:space="0"/>
              <w:right w:val="single" w:color="auto" w:sz="4" w:space="0"/>
            </w:tcBorders>
            <w:vAlign w:val="center"/>
          </w:tcPr>
          <w:p w14:paraId="6F5C4B0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7CCEAA3A">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6848093">
            <w:pPr>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28</w:t>
            </w:r>
          </w:p>
        </w:tc>
        <w:tc>
          <w:tcPr>
            <w:tcW w:w="9350" w:type="dxa"/>
            <w:gridSpan w:val="2"/>
            <w:tcBorders>
              <w:top w:val="single" w:color="auto" w:sz="4" w:space="0"/>
              <w:left w:val="single" w:color="auto" w:sz="4" w:space="0"/>
              <w:bottom w:val="single" w:color="auto" w:sz="4" w:space="0"/>
              <w:right w:val="single" w:color="auto" w:sz="4" w:space="0"/>
            </w:tcBorders>
            <w:vAlign w:val="center"/>
          </w:tcPr>
          <w:p w14:paraId="157B460A">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本项目最高限价为：</w:t>
            </w:r>
            <w:r>
              <w:rPr>
                <w:rFonts w:hint="eastAsia" w:ascii="仿宋" w:hAnsi="仿宋" w:eastAsia="仿宋" w:cs="仿宋"/>
                <w:b/>
                <w:bCs/>
                <w:color w:val="auto"/>
                <w:highlight w:val="none"/>
                <w:u w:val="single"/>
                <w:lang w:val="en-US" w:eastAsia="zh-CN"/>
              </w:rPr>
              <w:t>1850000.00元；</w:t>
            </w:r>
            <w:r>
              <w:rPr>
                <w:rFonts w:hint="eastAsia" w:ascii="仿宋" w:hAnsi="仿宋" w:eastAsia="仿宋" w:cs="仿宋"/>
                <w:color w:val="auto"/>
                <w:highlight w:val="none"/>
                <w:lang w:eastAsia="zh-CN"/>
              </w:rPr>
              <w:t>投标总报价超过最高限价的按废标处理。</w:t>
            </w:r>
          </w:p>
        </w:tc>
      </w:tr>
      <w:tr w14:paraId="37C0A8DF">
        <w:tblPrEx>
          <w:tblCellMar>
            <w:top w:w="0" w:type="dxa"/>
            <w:left w:w="108" w:type="dxa"/>
            <w:bottom w:w="0" w:type="dxa"/>
            <w:right w:w="108" w:type="dxa"/>
          </w:tblCellMar>
        </w:tblPrEx>
        <w:trPr>
          <w:trHeight w:val="2148"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0748CCAA">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71F5DF18">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659" w:type="dxa"/>
            <w:tcBorders>
              <w:top w:val="single" w:color="auto" w:sz="4" w:space="0"/>
              <w:left w:val="single" w:color="auto" w:sz="4" w:space="0"/>
              <w:bottom w:val="single" w:color="auto" w:sz="4" w:space="0"/>
              <w:right w:val="single" w:color="auto" w:sz="4" w:space="0"/>
            </w:tcBorders>
            <w:vAlign w:val="center"/>
          </w:tcPr>
          <w:p w14:paraId="7E5BA027">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（1）根据财政部、工业和信息化部关于印发《政府采购促进中小企业发展管理办法》的通知（财库[2020]46号）和（财库[2022]19号），供应商提供的服务属于</w:t>
            </w:r>
            <w:r>
              <w:rPr>
                <w:rFonts w:hint="eastAsia" w:ascii="仿宋" w:hAnsi="仿宋" w:eastAsia="仿宋" w:cs="仿宋"/>
                <w:b/>
                <w:bCs/>
                <w:color w:val="auto"/>
                <w:highlight w:val="none"/>
                <w:lang w:eastAsia="zh-CN"/>
              </w:rPr>
              <w:t>《工业和信息化部、国家统计局、国家发展和改革委员会、财政部关于印发中小企业划型标准规定的通知》（工信部联企业[2011]300号）中规定的小型、微型企业标准的，按招标文件格式提供《中小企业声明函》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4FFAD2E5">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3D662FE0">
            <w:pPr>
              <w:spacing w:line="24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4E319300">
            <w:pPr>
              <w:spacing w:line="240" w:lineRule="auto"/>
              <w:rPr>
                <w:rFonts w:ascii="仿宋" w:hAnsi="仿宋" w:eastAsia="仿宋" w:cs="仿宋"/>
                <w:color w:val="auto"/>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52B64300">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516E32C6">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3C1A05AF">
            <w:pPr>
              <w:spacing w:line="240" w:lineRule="auto"/>
              <w:rPr>
                <w:rFonts w:ascii="仿宋" w:hAnsi="仿宋" w:eastAsia="仿宋" w:cs="仿宋"/>
                <w:color w:val="auto"/>
                <w:highlight w:val="none"/>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2C466051">
            <w:pPr>
              <w:spacing w:line="240" w:lineRule="auto"/>
              <w:rPr>
                <w:rFonts w:ascii="仿宋" w:hAnsi="仿宋" w:eastAsia="仿宋" w:cs="仿宋"/>
                <w:color w:val="auto"/>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1DF957E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0FF7BFA6">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14:paraId="2BD7F807">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1" w:type="dxa"/>
            <w:vMerge w:val="restart"/>
            <w:tcBorders>
              <w:top w:val="single" w:color="auto" w:sz="4" w:space="0"/>
              <w:left w:val="single" w:color="auto" w:sz="4" w:space="0"/>
              <w:right w:val="single" w:color="auto" w:sz="4" w:space="0"/>
            </w:tcBorders>
            <w:vAlign w:val="center"/>
          </w:tcPr>
          <w:p w14:paraId="24A60646">
            <w:pPr>
              <w:spacing w:line="24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659" w:type="dxa"/>
            <w:tcBorders>
              <w:top w:val="single" w:color="auto" w:sz="4" w:space="0"/>
              <w:left w:val="single" w:color="auto" w:sz="4" w:space="0"/>
              <w:bottom w:val="single" w:color="auto" w:sz="4" w:space="0"/>
              <w:right w:val="single" w:color="auto" w:sz="4" w:space="0"/>
            </w:tcBorders>
            <w:vAlign w:val="center"/>
          </w:tcPr>
          <w:p w14:paraId="38771A3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1）支持中小企业发展：给予小型和微型企业产品的价格10%-20%的扣除，用扣除后的价格参与评审，</w:t>
            </w:r>
            <w:r>
              <w:rPr>
                <w:rFonts w:hint="eastAsia" w:ascii="仿宋" w:hAnsi="仿宋" w:eastAsia="仿宋" w:cs="仿宋"/>
                <w:b/>
                <w:bCs/>
                <w:color w:val="auto"/>
                <w:highlight w:val="none"/>
                <w:u w:val="single"/>
                <w:lang w:eastAsia="zh-CN"/>
              </w:rPr>
              <w:t>本项目具体扣除比例为10%</w:t>
            </w:r>
            <w:r>
              <w:rPr>
                <w:rFonts w:hint="eastAsia" w:ascii="仿宋" w:hAnsi="仿宋" w:eastAsia="仿宋" w:cs="仿宋"/>
                <w:color w:val="auto"/>
                <w:highlight w:val="none"/>
                <w:lang w:eastAsia="zh-CN"/>
              </w:rPr>
              <w:t>。用扣除后的价格参与评审。残疾人福利性单位视同小型、微型企业，享受同等价格扣除，但同时属于残疾人福利性单位和小微企业的，不重复价格扣除。</w:t>
            </w:r>
          </w:p>
        </w:tc>
      </w:tr>
      <w:tr w14:paraId="1F24C22F">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2E6E3605">
            <w:pPr>
              <w:spacing w:line="24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7B676A3B">
            <w:pPr>
              <w:spacing w:line="240" w:lineRule="auto"/>
              <w:rPr>
                <w:rFonts w:ascii="仿宋" w:hAnsi="仿宋" w:eastAsia="仿宋" w:cs="仿宋"/>
                <w:color w:val="auto"/>
                <w:sz w:val="21"/>
                <w:szCs w:val="21"/>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78A54B3A">
            <w:pPr>
              <w:spacing w:line="240" w:lineRule="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77C0A725">
        <w:tblPrEx>
          <w:tblCellMar>
            <w:top w:w="0" w:type="dxa"/>
            <w:left w:w="108" w:type="dxa"/>
            <w:bottom w:w="0" w:type="dxa"/>
            <w:right w:w="108" w:type="dxa"/>
          </w:tblCellMar>
        </w:tblPrEx>
        <w:trPr>
          <w:trHeight w:val="459" w:hRule="atLeast"/>
          <w:jc w:val="center"/>
        </w:trPr>
        <w:tc>
          <w:tcPr>
            <w:tcW w:w="558" w:type="dxa"/>
            <w:vMerge w:val="continue"/>
            <w:tcBorders>
              <w:left w:val="single" w:color="auto" w:sz="4" w:space="0"/>
              <w:right w:val="single" w:color="auto" w:sz="4" w:space="0"/>
            </w:tcBorders>
            <w:vAlign w:val="center"/>
          </w:tcPr>
          <w:p w14:paraId="23A841E6">
            <w:pPr>
              <w:spacing w:line="240" w:lineRule="auto"/>
              <w:jc w:val="center"/>
              <w:rPr>
                <w:rFonts w:ascii="仿宋" w:hAnsi="仿宋" w:eastAsia="仿宋" w:cs="仿宋"/>
                <w:color w:val="auto"/>
                <w:sz w:val="21"/>
                <w:szCs w:val="21"/>
                <w:highlight w:val="none"/>
                <w:lang w:eastAsia="zh-CN"/>
              </w:rPr>
            </w:pPr>
          </w:p>
        </w:tc>
        <w:tc>
          <w:tcPr>
            <w:tcW w:w="1691" w:type="dxa"/>
            <w:vMerge w:val="continue"/>
            <w:tcBorders>
              <w:left w:val="single" w:color="auto" w:sz="4" w:space="0"/>
              <w:right w:val="single" w:color="auto" w:sz="4" w:space="0"/>
            </w:tcBorders>
            <w:vAlign w:val="center"/>
          </w:tcPr>
          <w:p w14:paraId="76F7420C">
            <w:pPr>
              <w:spacing w:line="240" w:lineRule="auto"/>
              <w:rPr>
                <w:rFonts w:ascii="仿宋" w:hAnsi="仿宋" w:eastAsia="仿宋" w:cs="仿宋"/>
                <w:color w:val="auto"/>
                <w:sz w:val="21"/>
                <w:szCs w:val="21"/>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106F8CA9">
            <w:pPr>
              <w:numPr>
                <w:ilvl w:val="0"/>
                <w:numId w:val="4"/>
              </w:numPr>
              <w:spacing w:line="24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本项目所属行业：</w:t>
            </w:r>
            <w:r>
              <w:rPr>
                <w:rFonts w:hint="eastAsia" w:ascii="仿宋" w:hAnsi="仿宋" w:eastAsia="仿宋" w:cs="仿宋"/>
                <w:b/>
                <w:bCs/>
                <w:color w:val="auto"/>
                <w:highlight w:val="none"/>
                <w:lang w:val="en-US" w:eastAsia="zh-CN"/>
              </w:rPr>
              <w:t>租赁和商务服务业行业。</w:t>
            </w:r>
          </w:p>
        </w:tc>
      </w:tr>
      <w:tr w14:paraId="2557B3C3">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D7FA20">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14:paraId="2AE2B913">
            <w:pPr>
              <w:spacing w:line="240" w:lineRule="auto"/>
              <w:jc w:val="center"/>
              <w:rPr>
                <w:rFonts w:ascii="仿宋" w:hAnsi="仿宋" w:eastAsia="仿宋" w:cs="仿宋"/>
                <w:color w:val="auto"/>
                <w:highlight w:val="none"/>
                <w:lang w:val="zh-CN" w:eastAsia="zh-CN"/>
              </w:rPr>
            </w:pPr>
          </w:p>
          <w:p w14:paraId="34FE91A6">
            <w:pPr>
              <w:spacing w:line="24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0077EE12">
            <w:pPr>
              <w:spacing w:line="240" w:lineRule="auto"/>
              <w:jc w:val="center"/>
              <w:rPr>
                <w:rFonts w:ascii="仿宋" w:hAnsi="仿宋" w:eastAsia="仿宋" w:cs="仿宋"/>
                <w:color w:val="auto"/>
                <w:highlight w:val="none"/>
                <w:lang w:eastAsia="zh-CN"/>
              </w:rPr>
            </w:pPr>
          </w:p>
        </w:tc>
        <w:tc>
          <w:tcPr>
            <w:tcW w:w="7659" w:type="dxa"/>
            <w:tcBorders>
              <w:top w:val="single" w:color="auto" w:sz="4" w:space="0"/>
              <w:left w:val="single" w:color="auto" w:sz="4" w:space="0"/>
              <w:bottom w:val="single" w:color="auto" w:sz="4" w:space="0"/>
              <w:right w:val="single" w:color="auto" w:sz="4" w:space="0"/>
            </w:tcBorders>
            <w:vAlign w:val="center"/>
          </w:tcPr>
          <w:p w14:paraId="71F5DE55">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eastAsia="zh-CN"/>
              </w:rPr>
              <w:t>金额为合同总价的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中标</w:t>
            </w:r>
            <w:r>
              <w:rPr>
                <w:rFonts w:hint="eastAsia" w:ascii="仿宋" w:hAnsi="仿宋" w:eastAsia="仿宋" w:cs="仿宋"/>
                <w:color w:val="auto"/>
                <w:highlight w:val="none"/>
                <w:lang w:eastAsia="zh-CN"/>
              </w:rPr>
              <w:t>资格，并没收其投标保证金。</w:t>
            </w:r>
          </w:p>
        </w:tc>
      </w:tr>
      <w:tr w14:paraId="6D296E28">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69F9F386">
            <w:pPr>
              <w:spacing w:line="240" w:lineRule="auto"/>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659" w:type="dxa"/>
            <w:tcBorders>
              <w:top w:val="single" w:color="auto" w:sz="4" w:space="0"/>
              <w:left w:val="single" w:color="auto" w:sz="4" w:space="0"/>
              <w:bottom w:val="single" w:color="auto" w:sz="4" w:space="0"/>
              <w:right w:val="single" w:color="auto" w:sz="4" w:space="0"/>
            </w:tcBorders>
            <w:vAlign w:val="center"/>
          </w:tcPr>
          <w:p w14:paraId="571F511B">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5B6C95A3">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22314577">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46692A59">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w:t>
            </w:r>
            <w:r>
              <w:rPr>
                <w:rFonts w:hint="eastAsia" w:ascii="仿宋" w:hAnsi="仿宋" w:eastAsia="仿宋" w:cs="仿宋"/>
                <w:color w:val="auto"/>
                <w:highlight w:val="none"/>
                <w:lang w:val="en-US" w:eastAsia="zh-CN"/>
              </w:rPr>
              <w:t>中标</w:t>
            </w:r>
            <w:r>
              <w:rPr>
                <w:rFonts w:hint="eastAsia" w:ascii="仿宋" w:hAnsi="仿宋" w:eastAsia="仿宋" w:cs="仿宋"/>
                <w:color w:val="auto"/>
                <w:highlight w:val="none"/>
                <w:lang w:eastAsia="zh-CN"/>
              </w:rPr>
              <w:t>候选供应商在投标过程中提供虚假证明文件，故意隐瞒公司不良信誉和财务状况，以及其他可能对合同圆满履行造成风险的因素等，则按规定取消其成交资格，监管部门依法进行处理。</w:t>
            </w:r>
          </w:p>
          <w:p w14:paraId="4181EB9D">
            <w:pPr>
              <w:spacing w:line="24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5982C2B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、其它：</w:t>
            </w:r>
          </w:p>
          <w:p w14:paraId="1341C0F6">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1202CADD">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4CA479F2">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6D5B6A2F">
            <w:pPr>
              <w:spacing w:line="24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bl>
    <w:p w14:paraId="204E57BF">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74FBFD2D">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5992BC35">
      <w:pPr>
        <w:snapToGrid w:val="0"/>
        <w:spacing w:line="3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219FCF78">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2B63EB1A">
      <w:pPr>
        <w:snapToGrid w:val="0"/>
        <w:spacing w:line="440" w:lineRule="exact"/>
        <w:ind w:firstLine="240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698B460E">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629320E4">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6BB45B1E">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06CE5F8A">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0BFE214B">
      <w:pPr>
        <w:snapToGrid w:val="0"/>
        <w:spacing w:line="440" w:lineRule="exact"/>
        <w:ind w:firstLine="600"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53E19355">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55B0566D">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1C9C36A6">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5C41C88D">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54B1601A">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4F8A1B07">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技术要求：详见采购文件第四章建设内容及服务要求。</w:t>
      </w:r>
    </w:p>
    <w:p w14:paraId="536F13DB">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57B89254">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12E81A36">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78896547">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207EFDA6">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1D21D9DD">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526A52A9">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5F88887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48B07993">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7D3367E4">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063DD16A">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7BD11CFA">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2776E1A6">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71E5697F">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17399F0D">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77FFA45B">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144974507"/>
      <w:bookmarkStart w:id="2" w:name="_Toc152042315"/>
      <w:bookmarkStart w:id="3" w:name="_Toc152045539"/>
      <w:bookmarkStart w:id="4" w:name="_Toc247527563"/>
      <w:bookmarkStart w:id="5" w:name="_Toc247513962"/>
      <w:bookmarkStart w:id="6" w:name="_Toc296602429"/>
      <w:bookmarkStart w:id="7" w:name="_Toc247592876"/>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04F837F8">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61F79B31">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7FF3BF37">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75428431">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92877"/>
      <w:bookmarkStart w:id="9" w:name="_Toc152042316"/>
      <w:bookmarkStart w:id="10" w:name="_Toc247527564"/>
      <w:bookmarkStart w:id="11" w:name="_Toc247513963"/>
      <w:bookmarkStart w:id="12" w:name="_Toc152045540"/>
      <w:bookmarkStart w:id="13" w:name="_Toc296602430"/>
      <w:bookmarkStart w:id="14" w:name="_Toc144974508"/>
    </w:p>
    <w:p w14:paraId="797257BE">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46261418">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70BDFB43">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115F9435">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4BFB62E7">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7C67347F">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35E2299">
      <w:pPr>
        <w:spacing w:line="40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803E18D">
      <w:pPr>
        <w:spacing w:line="4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2D7017E3">
      <w:pPr>
        <w:pStyle w:val="13"/>
        <w:spacing w:after="0" w:line="400" w:lineRule="exact"/>
        <w:ind w:left="0" w:leftChars="0" w:firstLine="484"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1FCC01B2">
      <w:pPr>
        <w:spacing w:line="440" w:lineRule="exact"/>
        <w:ind w:firstLine="472"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17DBC56A">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264BB0B6">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7C8F02B8">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7796C601">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0F8D166E">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0116E3C8">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7C401241">
      <w:pPr>
        <w:wordWrap w:val="0"/>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1376F88B">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（1）国家对本次投标货物或服务的生产、安装调试、验收、维修等有关法律、法规及行业管理标准；</w:t>
      </w:r>
    </w:p>
    <w:p w14:paraId="5D766EE2">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25AA6FD9">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0E25FFE6">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31533CB0">
      <w:pPr>
        <w:spacing w:line="400" w:lineRule="exact"/>
        <w:ind w:firstLine="422"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1F6F43E8">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0742FCB4">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30988EB3">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4D4D4E2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00D2B4B7">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25ADE2E3">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B205127">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2094DCDE">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175EE512">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1607E033">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2088F4DD">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15A4AA74">
      <w:pPr>
        <w:pStyle w:val="14"/>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6C0402AD">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08E537CC">
      <w:pPr>
        <w:spacing w:line="440" w:lineRule="exact"/>
        <w:ind w:firstLine="241" w:firstLineChars="1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0D86DF85">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61193373">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37127F9">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441B84A6">
      <w:pPr>
        <w:spacing w:line="400" w:lineRule="exact"/>
        <w:ind w:firstLine="240"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5214ECCE">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67ABFC52">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lang w:eastAsia="zh-CN"/>
        </w:rPr>
        <w:t>18. 采购文件的发出</w:t>
      </w:r>
    </w:p>
    <w:p w14:paraId="6FBA0CA5">
      <w:pPr>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775BED52">
      <w:pPr>
        <w:spacing w:beforeLines="100" w:afterLines="100" w:line="440" w:lineRule="exact"/>
        <w:jc w:val="center"/>
        <w:outlineLvl w:val="2"/>
        <w:rPr>
          <w:rFonts w:ascii="仿宋" w:hAnsi="仿宋" w:eastAsia="仿宋" w:cs="仿宋"/>
          <w:b/>
          <w:color w:val="auto"/>
          <w:sz w:val="28"/>
          <w:szCs w:val="28"/>
          <w:highlight w:val="none"/>
          <w:lang w:eastAsia="zh-CN"/>
        </w:rPr>
      </w:pPr>
      <w:bookmarkStart w:id="16" w:name="_Toc469495726"/>
      <w:r>
        <w:rPr>
          <w:rFonts w:hint="eastAsia" w:ascii="仿宋" w:hAnsi="仿宋" w:eastAsia="仿宋" w:cs="仿宋"/>
          <w:b/>
          <w:color w:val="auto"/>
          <w:sz w:val="28"/>
          <w:szCs w:val="28"/>
          <w:highlight w:val="none"/>
          <w:lang w:eastAsia="zh-CN"/>
        </w:rPr>
        <w:t>（三）投标文件的编制</w:t>
      </w:r>
      <w:bookmarkEnd w:id="16"/>
    </w:p>
    <w:p w14:paraId="66B42CB7">
      <w:pPr>
        <w:spacing w:line="440" w:lineRule="exact"/>
        <w:ind w:firstLine="349"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19</w:t>
      </w:r>
      <w:r>
        <w:rPr>
          <w:rFonts w:hint="eastAsia" w:ascii="仿宋" w:hAnsi="仿宋" w:eastAsia="仿宋" w:cs="仿宋"/>
          <w:b/>
          <w:color w:val="auto"/>
          <w:szCs w:val="21"/>
          <w:highlight w:val="none"/>
          <w:lang w:eastAsia="zh-CN"/>
        </w:rPr>
        <w:t>. 投标的语言及度量衡单位</w:t>
      </w:r>
    </w:p>
    <w:p w14:paraId="1E28CD9C">
      <w:pPr>
        <w:spacing w:line="440" w:lineRule="exact"/>
        <w:ind w:firstLine="324"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4AC01E7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.2除采购文件中另有规定外，投标书所使用的度量衡均须采用法定计量单位。</w:t>
      </w:r>
    </w:p>
    <w:p w14:paraId="32190263">
      <w:pPr>
        <w:spacing w:line="400" w:lineRule="exact"/>
        <w:ind w:firstLine="236"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 投标文件的组成</w:t>
      </w:r>
    </w:p>
    <w:p w14:paraId="46121A82">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784E794C">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.1资格证明文件（包括但不限于）</w:t>
      </w:r>
    </w:p>
    <w:p w14:paraId="2AEF28A0">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54490339">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00317B4A">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7D0E8772">
      <w:pPr>
        <w:spacing w:line="440" w:lineRule="exact"/>
        <w:ind w:firstLine="352"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6122EFDD">
      <w:pPr>
        <w:spacing w:line="440" w:lineRule="exact"/>
        <w:ind w:firstLine="352"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63308891">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5201D497">
      <w:pPr>
        <w:spacing w:line="440" w:lineRule="exact"/>
        <w:ind w:firstLine="352"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614238CC">
      <w:pPr>
        <w:spacing w:line="440" w:lineRule="exact"/>
        <w:ind w:firstLine="352"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19C72BDC">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、供应商须知资料表要求的其他资格证明文件。</w:t>
      </w:r>
    </w:p>
    <w:p w14:paraId="7FBD1EB9">
      <w:pPr>
        <w:spacing w:line="440" w:lineRule="exact"/>
        <w:ind w:firstLine="354"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.2 商务及技术文件（包括但不限于）</w:t>
      </w:r>
    </w:p>
    <w:p w14:paraId="0DD668A6">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2C36406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7615268C">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3、服务说明一览表</w:t>
      </w:r>
    </w:p>
    <w:p w14:paraId="6C2E222B">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52F396F9">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4B3AF569">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5C9365BB">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65D1A208">
      <w:pPr>
        <w:spacing w:line="400" w:lineRule="exact"/>
        <w:ind w:firstLine="477"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73D9CA6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(2021年1月1日至今）类似业绩</w:t>
      </w:r>
      <w:r>
        <w:rPr>
          <w:rFonts w:hint="eastAsia" w:ascii="仿宋" w:hAnsi="仿宋" w:eastAsia="仿宋" w:cs="仿宋"/>
          <w:bCs/>
          <w:color w:val="auto"/>
          <w:szCs w:val="21"/>
          <w:highlight w:val="none"/>
          <w:lang w:eastAsia="zh-CN"/>
        </w:rPr>
        <w:t>表</w:t>
      </w:r>
    </w:p>
    <w:p w14:paraId="4AAFCAA2">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、中小企业声明函(服务)</w:t>
      </w:r>
    </w:p>
    <w:p w14:paraId="3882F4C3">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、《残疾人福利性单位声明函》</w:t>
      </w:r>
    </w:p>
    <w:p w14:paraId="693BB577">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、评分标准和细则中技术、商务部分证明材料（格式自拟）</w:t>
      </w:r>
    </w:p>
    <w:p w14:paraId="60F0A57E">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69DC3472">
      <w:pPr>
        <w:spacing w:line="400" w:lineRule="exact"/>
        <w:ind w:firstLine="479"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17B4A625">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.3投标文件的要求</w:t>
      </w:r>
    </w:p>
    <w:p w14:paraId="18FFD5D4">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F7BCD1F">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672BDB54">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（3）对采购文件格式可更改的例外情况：采购文件第六章附件格式要求中明确规定表格中行数不够用时可按相同格式增加行数，其他一切内容和格式不得更改。 </w:t>
      </w:r>
    </w:p>
    <w:p w14:paraId="54EB668B">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113822E2">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7C783263">
      <w:pPr>
        <w:spacing w:line="440" w:lineRule="exact"/>
        <w:ind w:firstLine="482"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171134C2">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.1投标报价文件中的单价和总价全部采用人民币表示。</w:t>
      </w:r>
    </w:p>
    <w:p w14:paraId="5FDAA870">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.2投标报价表上应清楚地标明供应商拟提供服务的名称、服务要求、服务地点、数量、单价和总价。</w:t>
      </w:r>
    </w:p>
    <w:p w14:paraId="5965C6E8">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.3供应商只允许有一个方案、一个报价。</w:t>
      </w:r>
    </w:p>
    <w:p w14:paraId="266D7953">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.4供应商应按“投标报价明细表”所列服务</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lang w:eastAsia="zh-CN"/>
        </w:rPr>
        <w:t>进行报价，不得采用总价下浮的方式进行报价。综合价格包括：设备费、安装费、材料费、辅材费、运输费、管理费、利润、风险费用、代理费、调试、验收、培训及后期服务及国家对中标单位征收的各种税费等所有一切费用，综合单价今后将不作任何调整。</w:t>
      </w:r>
    </w:p>
    <w:p w14:paraId="63B22CB7">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.5投标报价的价格是货物</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服务交货地验收价格，其总价即为履行合同的固定总价。</w:t>
      </w:r>
    </w:p>
    <w:p w14:paraId="28850C4C">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.6技术要求中规定的安装、调试和培训费用应包括在投标价格中。投标文件报价为含税价，招标人不再为此次招标支付任何费用。</w:t>
      </w:r>
    </w:p>
    <w:p w14:paraId="1EC57888">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.7投标报价应由法定代表人或被授权人签署。</w:t>
      </w:r>
    </w:p>
    <w:p w14:paraId="30248806">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eastAsia="zh-CN"/>
        </w:rPr>
        <w:t>.8</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04EF321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.9总投标价中不得包含采购文件要求以外的内容，否则，在评标时不予核减，但在授予合同时，招标人有权将这部分价格从其中标价格中扣除。</w:t>
      </w:r>
    </w:p>
    <w:p w14:paraId="2310A56E">
      <w:pPr>
        <w:spacing w:line="440" w:lineRule="exact"/>
        <w:ind w:firstLine="460"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视为无偿提供且包含在合同内。    </w:t>
      </w:r>
    </w:p>
    <w:p w14:paraId="6E2F1C8C">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22</w:t>
      </w:r>
      <w:r>
        <w:rPr>
          <w:rFonts w:hint="eastAsia" w:ascii="仿宋" w:hAnsi="仿宋" w:eastAsia="仿宋" w:cs="仿宋"/>
          <w:b/>
          <w:color w:val="auto"/>
          <w:szCs w:val="21"/>
          <w:highlight w:val="none"/>
          <w:lang w:eastAsia="zh-CN"/>
        </w:rPr>
        <w:t>. 投标有效期</w:t>
      </w:r>
    </w:p>
    <w:p w14:paraId="77B7D6B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除供应商须知前附表另有规定外，投标有效期为60天。</w:t>
      </w:r>
    </w:p>
    <w:p w14:paraId="6C320A98">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.2在投标有效期内，供应商撤销或修改其投标文件的，应承担采购文件和法律规定的责任。</w:t>
      </w:r>
    </w:p>
    <w:p w14:paraId="02034430">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668C4033">
      <w:pPr>
        <w:spacing w:line="440" w:lineRule="exact"/>
        <w:ind w:firstLine="463"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lang w:eastAsia="zh-CN"/>
        </w:rPr>
        <w:t>. 投标保证金</w:t>
      </w:r>
    </w:p>
    <w:p w14:paraId="0C928CED">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34FB7EE1">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.2自中标通知书发出之日起5个工作日内退还未中标供应商的投标保证金，自政府采购合同签订之日起5个工作日内退还中标人的投标保证金。</w:t>
      </w:r>
    </w:p>
    <w:p w14:paraId="425151DD">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.3有下列情形之一的，投标保证金将不予退还： </w:t>
      </w:r>
    </w:p>
    <w:p w14:paraId="417E4A37">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67C120BE">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7FEDA9A7">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538EBDCB">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5309C8CB">
      <w:pPr>
        <w:spacing w:line="400" w:lineRule="exact"/>
        <w:ind w:firstLine="480"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5C3F62DC">
      <w:pPr>
        <w:pStyle w:val="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3676622F">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.投标文件的制作要求</w:t>
      </w:r>
    </w:p>
    <w:p w14:paraId="568F3FC3">
      <w:pPr>
        <w:pStyle w:val="9"/>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323F1C16">
      <w:pPr>
        <w:pStyle w:val="9"/>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902540F">
      <w:pPr>
        <w:pStyle w:val="9"/>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1E478890">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3B905184">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6F421069">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57B44FD3">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5DD91599">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190EBC6C">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.投标文件的上传</w:t>
      </w:r>
    </w:p>
    <w:p w14:paraId="1444CAF3">
      <w:pPr>
        <w:pStyle w:val="9"/>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57028D57">
      <w:pPr>
        <w:pStyle w:val="9"/>
        <w:snapToGrid w:val="0"/>
        <w:spacing w:line="360" w:lineRule="auto"/>
        <w:ind w:firstLine="600"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5082D711">
      <w:pPr>
        <w:pStyle w:val="9"/>
        <w:snapToGrid w:val="0"/>
        <w:spacing w:line="360" w:lineRule="auto"/>
        <w:ind w:firstLine="600"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43BE15ED">
      <w:pPr>
        <w:pStyle w:val="9"/>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7E4C3288">
      <w:pPr>
        <w:pStyle w:val="9"/>
        <w:snapToGrid w:val="0"/>
        <w:spacing w:line="360" w:lineRule="auto"/>
        <w:ind w:firstLine="600"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30"/>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30"/>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17E1F0BA">
      <w:pPr>
        <w:pStyle w:val="9"/>
        <w:snapToGrid w:val="0"/>
        <w:spacing w:line="360" w:lineRule="auto"/>
        <w:ind w:firstLine="600"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C81DC26">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w:t>
      </w:r>
      <w:r>
        <w:rPr>
          <w:rFonts w:hint="eastAsia" w:ascii="仿宋" w:hAnsi="仿宋" w:eastAsia="仿宋" w:cs="仿宋"/>
          <w:b/>
          <w:color w:val="auto"/>
          <w:highlight w:val="none"/>
          <w:lang w:eastAsia="zh-CN"/>
        </w:rPr>
        <w:t>投标文件的递交要求</w:t>
      </w:r>
    </w:p>
    <w:p w14:paraId="0F0D6CE6">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2DF42240">
      <w:pPr>
        <w:tabs>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2A862194">
      <w:pPr>
        <w:tabs>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021985AB">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．投标文件的补充、修改与撤回</w:t>
      </w:r>
    </w:p>
    <w:p w14:paraId="509CBF55">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4F21F6AC">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63FB03CE">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 开标</w:t>
      </w:r>
    </w:p>
    <w:p w14:paraId="4832C770">
      <w:pPr>
        <w:snapToGrid w:val="0"/>
        <w:spacing w:line="360" w:lineRule="auto"/>
        <w:ind w:firstLine="482"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.1开标邀请</w:t>
      </w:r>
      <w:bookmarkEnd w:id="19"/>
    </w:p>
    <w:p w14:paraId="32DE9098">
      <w:pPr>
        <w:pStyle w:val="14"/>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50CEA328">
      <w:pPr>
        <w:pStyle w:val="14"/>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7BA31BD1">
      <w:pPr>
        <w:pStyle w:val="14"/>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0"/>
          <w:rFonts w:hint="eastAsia" w:ascii="仿宋" w:hAnsi="仿宋" w:eastAsia="仿宋" w:cs="仿宋"/>
          <w:color w:val="auto"/>
          <w:szCs w:val="24"/>
          <w:highlight w:val="none"/>
          <w:u w:val="none"/>
        </w:rPr>
        <w:t>www.zcygov.cn</w:t>
      </w:r>
      <w:r>
        <w:rPr>
          <w:rStyle w:val="30"/>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72489157">
      <w:pPr>
        <w:pStyle w:val="14"/>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7B6353E">
      <w:pPr>
        <w:snapToGrid w:val="0"/>
        <w:spacing w:line="360" w:lineRule="auto"/>
        <w:ind w:firstLine="482"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.2</w:t>
      </w:r>
      <w:r>
        <w:rPr>
          <w:rFonts w:hint="eastAsia" w:ascii="仿宋" w:hAnsi="仿宋" w:eastAsia="仿宋" w:cs="仿宋"/>
          <w:b/>
          <w:bCs/>
          <w:color w:val="auto"/>
          <w:highlight w:val="none"/>
          <w:lang w:eastAsia="zh-CN"/>
        </w:rPr>
        <w:t>开标程序（先资格、商务技术后报价）</w:t>
      </w:r>
      <w:bookmarkEnd w:id="20"/>
    </w:p>
    <w:p w14:paraId="42E7A1DE">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767B6EA2">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8D2883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1FDA7763">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30E847C8">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.3 投标供应商资格审查”）， 审查结束公布投标供应商的资格符合情况。资格审查未获通过的供应商，其商务技术文件及报价文件不再进入评审。</w:t>
      </w:r>
    </w:p>
    <w:p w14:paraId="00E0AD44">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62F778A6">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0459E63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2D076DB0">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361051B2">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6767E6B1">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56A6E424">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.3 投标供应商资格审查：</w:t>
      </w:r>
    </w:p>
    <w:p w14:paraId="36FA3799">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76CFE8C8">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F57C841">
      <w:pPr>
        <w:pStyle w:val="9"/>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1A91A74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.评审工作的组织</w:t>
      </w:r>
    </w:p>
    <w:p w14:paraId="118A4678">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78F60A0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 评标委员会的组建</w:t>
      </w:r>
    </w:p>
    <w:p w14:paraId="2D18F09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.1评标委员会由采购人或采购代理机构依法组建，成员由采购人代表1人和评审专家4人，成员人数为5人，其中评审专家不少于成员总数的三分之二。</w:t>
      </w:r>
    </w:p>
    <w:p w14:paraId="01E72E5F">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.2评审专家从新疆政府采购云平台专家库中通过随机方式抽取产生。评标委员会成员名单在采购结果公告前保密。</w:t>
      </w:r>
    </w:p>
    <w:p w14:paraId="649196D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.评标委员会的职责</w:t>
      </w:r>
    </w:p>
    <w:p w14:paraId="097A107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.1审查、评价投标文件是否符合采购文件的商务、技术等实质性要求。</w:t>
      </w:r>
    </w:p>
    <w:p w14:paraId="2BC825D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.2要求供应商对投标文件有关事项作出澄清或者说明。</w:t>
      </w:r>
    </w:p>
    <w:p w14:paraId="7C7903A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.3对投标文件进行比较和评价。</w:t>
      </w:r>
    </w:p>
    <w:p w14:paraId="2A118B0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.4确定中标候选人名单，以及根据采购人委托直接确定中标人。</w:t>
      </w:r>
    </w:p>
    <w:p w14:paraId="6773A16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.5向采购人、采购代理机构或者有关部门报告评审中发现的违法行为。</w:t>
      </w:r>
    </w:p>
    <w:p w14:paraId="443CB2AF">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评标原则</w:t>
      </w:r>
    </w:p>
    <w:p w14:paraId="29C1DFC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.1评标委员会将遵循公平、公正、科学的原则，对供应商提交的投标文件进行综合评审，评标委员会按照采购文件规定的评标细则进行评分。</w:t>
      </w:r>
    </w:p>
    <w:p w14:paraId="066CB047">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xml:space="preserve">.2客观公正对待所有供应商，对所有投标评价均采用相同的程序和标准。 </w:t>
      </w:r>
    </w:p>
    <w:p w14:paraId="759806D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xml:space="preserve">.3评标委员会成员对需要共同认定的事项存在争议的，按照少数服从多数的原则作出结论。持不同意见的评标委员会成员应当在评审报告上签署不同意见及理由，否则视为同意评审报告。 </w:t>
      </w:r>
    </w:p>
    <w:p w14:paraId="5A6B19B2">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评委纪律</w:t>
      </w:r>
    </w:p>
    <w:p w14:paraId="5668942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268DE88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.评标程序</w:t>
      </w:r>
    </w:p>
    <w:p w14:paraId="6E3F6AA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 在评审专家中推选评标委员会组长，采购人代表不得担任评标委员会组长。</w:t>
      </w:r>
    </w:p>
    <w:p w14:paraId="16AAC8D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5CFA31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.3 评审人员对符合资格的供应商的投标文件的有效性、符合性、完整性和响应程度进行审查，确定是否对采购文件作出实质性响应。</w:t>
      </w:r>
    </w:p>
    <w:p w14:paraId="2F6E05D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.4 评审人员按采购文件规定的评审方法和评审标准，依法独立对供应商投标文件进行评估、比较，并给予评价或打分，不受任何单位和个人的干预。</w:t>
      </w:r>
    </w:p>
    <w:p w14:paraId="4B3E0D07">
      <w:pPr>
        <w:widowControl/>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综合评分法服务项目的价格分值占总分值的比重(即权值)为</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175E9B50">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1BB49C45">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1C0E5130">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5284F1E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B177C85">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7C13EA4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.7 评标委员会根据评审汇总情况和采购文件规定确定中标候选供应商排序名单。</w:t>
      </w:r>
    </w:p>
    <w:p w14:paraId="47CC098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xml:space="preserve">.8 起草评审报告，所有评审人员须在评审报告上签章确认，对自己的评审意见承担法律责任。 </w:t>
      </w:r>
    </w:p>
    <w:p w14:paraId="7807CD8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.9 采购组织机构对评标委员会评审专家进行评价。</w:t>
      </w:r>
    </w:p>
    <w:p w14:paraId="2AE2488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.10 修改评审结果</w:t>
      </w:r>
    </w:p>
    <w:p w14:paraId="670DC35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7C837C07">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0259B71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1434753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378F9110">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42B034B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03D72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．澄清、说明或补正的形式</w:t>
      </w:r>
    </w:p>
    <w:p w14:paraId="2C60BA2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714581E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09AC63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017904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．错误修正的原则</w:t>
      </w:r>
    </w:p>
    <w:p w14:paraId="5D6DFE9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5FE1C1A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03E81B4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.1 投标函中表述的内容与报价表中不一致的，以报价表为准；报价表中的内容与报价明细表不一致的，以报价表为准；</w:t>
      </w:r>
    </w:p>
    <w:p w14:paraId="61C0E2E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.2 投标文件中的大写金额和小写金额不一致的，以大写金额为准；</w:t>
      </w:r>
    </w:p>
    <w:p w14:paraId="782BA90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.3 单价金额小数点或者百分比有明显错位的，以开标一览表的总价为准，并修改单价；</w:t>
      </w:r>
    </w:p>
    <w:p w14:paraId="44A1C7A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.4 总价金额与按单价汇总金额不一致的，以单价金额计算结果为准；</w:t>
      </w:r>
    </w:p>
    <w:p w14:paraId="567C503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.5 若用文字表示的数值与用数字表示的数值不一致，以文字表示的数值为准；</w:t>
      </w:r>
    </w:p>
    <w:p w14:paraId="286BD0F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.6 如有多报（指数量超出采购文件需求）、重报（指同一货物重复报价），其投标总价在评标过程中不予调整，如其中标，其合同价按其投标单价予以调整；</w:t>
      </w:r>
    </w:p>
    <w:p w14:paraId="05222F9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.7 对不同文字文本投标文件的解释发生异议的，以中文文本为准；</w:t>
      </w:r>
    </w:p>
    <w:p w14:paraId="63F87858">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2307EEF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．无效投标文件</w:t>
      </w:r>
    </w:p>
    <w:p w14:paraId="3D6B2B1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13FA39F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 报名的供应商与参加投标的供应商发生实质性变更的且未提供有效证明的；</w:t>
      </w:r>
    </w:p>
    <w:p w14:paraId="16FCC4B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.2 供应商提交两份或两份以上内容不同的投标文件，未声明哪一份有效的；</w:t>
      </w:r>
    </w:p>
    <w:p w14:paraId="08995AF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.3 投标文件非供应商法定代表人签署的，未提供或提供无效的法定代表人授权书；</w:t>
      </w:r>
    </w:p>
    <w:p w14:paraId="750FF0B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.4 未按招标文件规定装订；</w:t>
      </w:r>
    </w:p>
    <w:p w14:paraId="783957B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.5 投标文件内容未按招标文件规定签章或盖章的；</w:t>
      </w:r>
    </w:p>
    <w:p w14:paraId="5B59821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.6 投标文件组成漏项或未按规定的格式编制或投标文件正、副本份数不足或内容不全或内容字迹模糊辨认不清的等而导致评标活动无法正常进行；</w:t>
      </w:r>
    </w:p>
    <w:p w14:paraId="4B7ED46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.7 供应商未按招标文件变更通知更改投标文件的；</w:t>
      </w:r>
    </w:p>
    <w:p w14:paraId="63EB211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.8 《开标一览表》和《投标分项报价表》内容不完整且不接受修正意见或字迹不能辨认的或未提供；</w:t>
      </w:r>
    </w:p>
    <w:p w14:paraId="07386F4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.9 标项投标报价超过招标文件规定的预算金额或最高限价</w:t>
      </w:r>
    </w:p>
    <w:p w14:paraId="0812247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.10 因供应商原因编制错误造成经评标委员会修正后的报价达到或超过投标报价的0.5%；</w:t>
      </w:r>
    </w:p>
    <w:p w14:paraId="14BFBBE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.11 供应商的报价明显低于其他通过符合性审查供应商的报价，有可能影响产品质量或者不能诚信履约的，且在规定时间内不能合理说明原因并提供证明材料的；</w:t>
      </w:r>
    </w:p>
    <w:p w14:paraId="176E248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.12 未实质性响应招标文件中条款要求的投标文件；</w:t>
      </w:r>
    </w:p>
    <w:p w14:paraId="250C34E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.13 不符合招标范围、技术规格、技术标准的要求无法满足采购人使用要求；</w:t>
      </w:r>
    </w:p>
    <w:p w14:paraId="066CA7C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.14 投标文件附有采购人不能接受的条款；</w:t>
      </w:r>
    </w:p>
    <w:p w14:paraId="46A113D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.15 投标文件中提供了赠品或者与本项目采购无关的其他商品、服务；</w:t>
      </w:r>
    </w:p>
    <w:p w14:paraId="2370C3E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.16 投标文件中承诺的投标有效期少于招标文件中载明的投标有效期；</w:t>
      </w:r>
    </w:p>
    <w:p w14:paraId="01EE371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.17供应商串通投标，妨碍其他供应商的竞争行为，损害采购人或者其他供应商的合法权益；</w:t>
      </w:r>
    </w:p>
    <w:p w14:paraId="292AD58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.18违反国家及政府部门相关法律、法规、文件规定或经评标委员会认定的其他属于重大偏离；</w:t>
      </w:r>
    </w:p>
    <w:p w14:paraId="42EE161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．废标</w:t>
      </w:r>
    </w:p>
    <w:p w14:paraId="0D5CB0D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 符合招标文件规定废标情形的；</w:t>
      </w:r>
    </w:p>
    <w:p w14:paraId="7920BFA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 出现影响采购公正的违法、违规行为的；</w:t>
      </w:r>
    </w:p>
    <w:p w14:paraId="0DD7E98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 供应商的报价均超过了采购预算（或最高限价），采购人不能支付的;</w:t>
      </w:r>
    </w:p>
    <w:p w14:paraId="6843E3C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 因重大变故，采购任务取消的。</w:t>
      </w:r>
    </w:p>
    <w:p w14:paraId="1ADBC96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．突发情况处理</w:t>
      </w:r>
    </w:p>
    <w:p w14:paraId="5687614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.1 采购过程中出现以下情形，导致电子交易平台无法正常运行，或者无法保证电子交易的公平、公正和安全时，采购组织机构可中止电子交易活动：</w:t>
      </w:r>
    </w:p>
    <w:p w14:paraId="7C58272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325BF96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5EF690E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5830985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07AAE15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256DE3D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AA9F4B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.2 采购代理机构或评审小组因不可抗力（不可抗力包括但不限于自然灾害、断电、传播疫病等）原因造成电子交易活动无法正常运行的，将采取以下措施：</w:t>
      </w:r>
    </w:p>
    <w:p w14:paraId="7622B6D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7F023B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72D77A2F">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 定标</w:t>
      </w:r>
    </w:p>
    <w:p w14:paraId="4E2F3EB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1" w:name="_Toc469495729"/>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.1采购结果确认（确定中标供应商）</w:t>
      </w:r>
    </w:p>
    <w:p w14:paraId="1CB5AD8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143F43A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2EA6A09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07D50C7A">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.2采购结果经采购人确认后2个工作日内，采购代理机构将在</w:t>
      </w:r>
      <w:r>
        <w:rPr>
          <w:rFonts w:hint="eastAsia" w:ascii="仿宋" w:hAnsi="仿宋" w:eastAsia="仿宋" w:cs="仿宋"/>
          <w:b/>
          <w:bCs/>
          <w:color w:val="auto"/>
          <w:szCs w:val="21"/>
          <w:highlight w:val="none"/>
          <w:lang w:eastAsia="zh-CN"/>
        </w:rPr>
        <w:t>克州公共资源交易中心网、新疆政府采购网（www.zjzfcg.gov.cn）上公告采购结果，中标公告期限为1个工作日。</w:t>
      </w:r>
    </w:p>
    <w:p w14:paraId="17DB050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中标通知书</w:t>
      </w:r>
    </w:p>
    <w:p w14:paraId="521462D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7BCD0D3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D0D4CEF">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B55BA2E">
      <w:pPr>
        <w:spacing w:line="440" w:lineRule="exact"/>
        <w:ind w:firstLine="240"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．履约保证金</w:t>
      </w:r>
      <w:bookmarkEnd w:id="22"/>
    </w:p>
    <w:p w14:paraId="6B4318E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中标供应商在签订合同后10个工作日内向采购人缴纳</w:t>
      </w:r>
      <w:r>
        <w:rPr>
          <w:rFonts w:hint="eastAsia" w:ascii="仿宋" w:hAnsi="仿宋" w:eastAsia="仿宋" w:cs="仿宋"/>
          <w:color w:val="auto"/>
          <w:szCs w:val="21"/>
          <w:highlight w:val="none"/>
          <w:u w:val="single"/>
          <w:lang w:eastAsia="zh-CN"/>
        </w:rPr>
        <w:t>金额为合同总价的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31DCD73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 签订合同后，如中标供应商不按合同约定履约的，履约保证金不予退还，履约保证金不足以赔偿损失的，按实际损失赔偿。</w:t>
      </w:r>
    </w:p>
    <w:p w14:paraId="0FA12C0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 如果中标供应商在建设期内没有涉及采购人的应付而未付金额或违约行为，采购人在项目验收合格后或提前终止合同后全额无息退还履约保证金。</w:t>
      </w:r>
    </w:p>
    <w:p w14:paraId="27C52FA5">
      <w:pPr>
        <w:spacing w:line="440" w:lineRule="exact"/>
        <w:ind w:firstLine="240"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．签订合同及公告</w:t>
      </w:r>
      <w:bookmarkEnd w:id="24"/>
    </w:p>
    <w:p w14:paraId="76E76BB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.1采购人在中标通知书发出之日起30日内与中标供应商签订合同。</w:t>
      </w:r>
    </w:p>
    <w:p w14:paraId="5DB2634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.2中标供应商拖延、拒签合同的,取消中标资格。</w:t>
      </w:r>
    </w:p>
    <w:p w14:paraId="4B2251A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.3 采购文件、中标供应商的投标文件及评标过程中有关澄清文件等均作为签订合同的依据。所签订的合同不得对采购文件和中标供应商的投标文件的内容作实质性修改。</w:t>
      </w:r>
    </w:p>
    <w:p w14:paraId="34ADBDF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.4采购人应当自政府采购合同签订之日起2个工作日内，在省级以上财政部门指定的政府采购信息发布媒体及相关网站上公告。</w:t>
      </w:r>
    </w:p>
    <w:p w14:paraId="2939A23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.5采购人应当自政府采购合同签订之日起7个工作日内，将政府采购合同副本报同级人民政府财政部门备案以及采购代理机构存档。</w:t>
      </w:r>
    </w:p>
    <w:p w14:paraId="4A5199B7">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7F84F81A">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lang w:eastAsia="zh-CN"/>
        </w:rPr>
        <w:t xml:space="preserve">. 对招标人的纪律要求 </w:t>
      </w:r>
    </w:p>
    <w:p w14:paraId="341EAA0E">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4</w:t>
      </w:r>
      <w:r>
        <w:rPr>
          <w:rFonts w:hint="eastAsia" w:ascii="仿宋" w:hAnsi="仿宋" w:eastAsia="仿宋" w:cs="仿宋"/>
          <w:color w:val="auto"/>
          <w:kern w:val="10"/>
          <w:szCs w:val="21"/>
          <w:highlight w:val="none"/>
          <w:lang w:eastAsia="zh-CN"/>
        </w:rPr>
        <w:t xml:space="preserve">.1招标人不得泄漏招标投标活动中应当保密的情况和资料，不得与供应商串通损害国家利益，社会公共利益或者他人合法权益。 </w:t>
      </w:r>
    </w:p>
    <w:p w14:paraId="1E40170E">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lang w:eastAsia="zh-CN"/>
        </w:rPr>
        <w:t xml:space="preserve">. 对供应商的纪律要求 </w:t>
      </w:r>
    </w:p>
    <w:p w14:paraId="5B658713">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5</w:t>
      </w:r>
      <w:r>
        <w:rPr>
          <w:rFonts w:hint="eastAsia" w:ascii="仿宋" w:hAnsi="仿宋" w:eastAsia="仿宋" w:cs="仿宋"/>
          <w:color w:val="auto"/>
          <w:kern w:val="10"/>
          <w:szCs w:val="21"/>
          <w:highlight w:val="none"/>
          <w:lang w:eastAsia="zh-CN"/>
        </w:rPr>
        <w:t>.1供应商不得相互串通投标或者与招标人串通投标，不得向招标人或者评标委员会成员行贿谋取中标，不得以他人名义投标或者以其他方式弄虚作假骗取中标；供应商不得以任何方式干扰、影响评标工作。</w:t>
      </w:r>
    </w:p>
    <w:p w14:paraId="05D29CC5">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lang w:eastAsia="zh-CN"/>
        </w:rPr>
        <w:t xml:space="preserve">. 对评标委员会成员的纪律要求 </w:t>
      </w:r>
    </w:p>
    <w:p w14:paraId="0AF77734">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.1评标委员会成员不得收受他人的财物或者其他好处，不得向他人透漏对投标文件的评审和比较、中标候选人的推荐情况以及评标有关的其他情况。</w:t>
      </w:r>
    </w:p>
    <w:p w14:paraId="02340C47">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 xml:space="preserve">.2在评标活动中，评标委员会成员不得擅离职守，影响评标程序正常进行，不得使用第三章“评标办法”没有规定的评审因素和标准进行评标。 </w:t>
      </w:r>
    </w:p>
    <w:p w14:paraId="42337212">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lang w:eastAsia="zh-CN"/>
        </w:rPr>
        <w:t xml:space="preserve">. 对与评标活动有关的工作人员的纪律要求 </w:t>
      </w:r>
    </w:p>
    <w:p w14:paraId="28D39A8F">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7</w:t>
      </w:r>
      <w:r>
        <w:rPr>
          <w:rFonts w:hint="eastAsia" w:ascii="仿宋" w:hAnsi="仿宋" w:eastAsia="仿宋" w:cs="仿宋"/>
          <w:color w:val="auto"/>
          <w:kern w:val="10"/>
          <w:szCs w:val="21"/>
          <w:highlight w:val="none"/>
          <w:lang w:eastAsia="zh-CN"/>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1165AF">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43BB8FCC">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．质疑和投诉</w:t>
      </w:r>
    </w:p>
    <w:p w14:paraId="0275DC8C">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D6C8E10">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3D9C6B0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93851B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7D58205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E12E7D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5730800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0B7FB04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13BA70C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.5供应商有下列情形之一的，采购代理机构将报告克州财政局，将其列入不良行为记录名单：</w:t>
      </w:r>
    </w:p>
    <w:p w14:paraId="2492C36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F9BA3C3">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64637D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7B792DAD">
      <w:pPr>
        <w:spacing w:line="360" w:lineRule="exact"/>
        <w:jc w:val="center"/>
        <w:rPr>
          <w:rFonts w:ascii="仿宋" w:hAnsi="仿宋" w:eastAsia="仿宋" w:cs="仿宋"/>
          <w:color w:val="auto"/>
          <w:sz w:val="30"/>
          <w:szCs w:val="30"/>
          <w:highlight w:val="none"/>
          <w:lang w:eastAsia="zh-CN"/>
        </w:rPr>
      </w:pPr>
    </w:p>
    <w:p w14:paraId="697BD0D2">
      <w:pPr>
        <w:pStyle w:val="35"/>
        <w:rPr>
          <w:rFonts w:ascii="仿宋" w:hAnsi="仿宋" w:eastAsia="仿宋" w:cs="仿宋"/>
          <w:color w:val="auto"/>
          <w:sz w:val="30"/>
          <w:szCs w:val="30"/>
          <w:highlight w:val="none"/>
          <w:lang w:eastAsia="zh-CN"/>
        </w:rPr>
      </w:pPr>
    </w:p>
    <w:p w14:paraId="3FA3D664">
      <w:pPr>
        <w:pStyle w:val="35"/>
        <w:rPr>
          <w:rFonts w:ascii="仿宋" w:hAnsi="仿宋" w:eastAsia="仿宋" w:cs="仿宋"/>
          <w:color w:val="auto"/>
          <w:sz w:val="30"/>
          <w:szCs w:val="30"/>
          <w:highlight w:val="none"/>
          <w:lang w:eastAsia="zh-CN"/>
        </w:rPr>
      </w:pPr>
    </w:p>
    <w:p w14:paraId="19D618C7">
      <w:pPr>
        <w:pStyle w:val="35"/>
        <w:rPr>
          <w:rFonts w:ascii="仿宋" w:hAnsi="仿宋" w:eastAsia="仿宋" w:cs="仿宋"/>
          <w:color w:val="auto"/>
          <w:sz w:val="30"/>
          <w:szCs w:val="30"/>
          <w:highlight w:val="none"/>
          <w:lang w:eastAsia="zh-CN"/>
        </w:rPr>
      </w:pPr>
    </w:p>
    <w:p w14:paraId="11067DF3">
      <w:pPr>
        <w:pStyle w:val="35"/>
        <w:rPr>
          <w:rFonts w:ascii="仿宋" w:hAnsi="仿宋" w:eastAsia="仿宋" w:cs="仿宋"/>
          <w:color w:val="auto"/>
          <w:sz w:val="30"/>
          <w:szCs w:val="30"/>
          <w:highlight w:val="none"/>
          <w:lang w:eastAsia="zh-CN"/>
        </w:rPr>
      </w:pPr>
    </w:p>
    <w:p w14:paraId="4FDF50E0">
      <w:pPr>
        <w:pStyle w:val="35"/>
        <w:rPr>
          <w:rFonts w:ascii="仿宋" w:hAnsi="仿宋" w:eastAsia="仿宋" w:cs="仿宋"/>
          <w:color w:val="auto"/>
          <w:sz w:val="30"/>
          <w:szCs w:val="30"/>
          <w:highlight w:val="none"/>
          <w:lang w:eastAsia="zh-CN"/>
        </w:rPr>
      </w:pPr>
    </w:p>
    <w:p w14:paraId="56B46963">
      <w:pPr>
        <w:pStyle w:val="35"/>
        <w:rPr>
          <w:rFonts w:ascii="仿宋" w:hAnsi="仿宋" w:eastAsia="仿宋" w:cs="仿宋"/>
          <w:color w:val="auto"/>
          <w:sz w:val="30"/>
          <w:szCs w:val="30"/>
          <w:highlight w:val="none"/>
          <w:lang w:eastAsia="zh-CN"/>
        </w:rPr>
      </w:pPr>
    </w:p>
    <w:p w14:paraId="798794E1">
      <w:pPr>
        <w:pStyle w:val="35"/>
        <w:rPr>
          <w:rFonts w:ascii="仿宋" w:hAnsi="仿宋" w:eastAsia="仿宋" w:cs="仿宋"/>
          <w:color w:val="auto"/>
          <w:sz w:val="30"/>
          <w:szCs w:val="30"/>
          <w:highlight w:val="none"/>
          <w:lang w:eastAsia="zh-CN"/>
        </w:rPr>
      </w:pPr>
    </w:p>
    <w:p w14:paraId="0FEDE045">
      <w:pPr>
        <w:pStyle w:val="35"/>
        <w:rPr>
          <w:rFonts w:ascii="仿宋" w:hAnsi="仿宋" w:eastAsia="仿宋" w:cs="仿宋"/>
          <w:color w:val="auto"/>
          <w:sz w:val="30"/>
          <w:szCs w:val="30"/>
          <w:highlight w:val="none"/>
          <w:lang w:eastAsia="zh-CN"/>
        </w:rPr>
      </w:pPr>
    </w:p>
    <w:p w14:paraId="0C99D87E">
      <w:pPr>
        <w:pStyle w:val="35"/>
        <w:rPr>
          <w:rFonts w:ascii="仿宋" w:hAnsi="仿宋" w:eastAsia="仿宋" w:cs="仿宋"/>
          <w:color w:val="auto"/>
          <w:sz w:val="30"/>
          <w:szCs w:val="30"/>
          <w:highlight w:val="none"/>
          <w:lang w:eastAsia="zh-CN"/>
        </w:rPr>
      </w:pPr>
    </w:p>
    <w:p w14:paraId="197A7555">
      <w:pPr>
        <w:pStyle w:val="35"/>
        <w:rPr>
          <w:rFonts w:ascii="仿宋" w:hAnsi="仿宋" w:eastAsia="仿宋" w:cs="仿宋"/>
          <w:color w:val="auto"/>
          <w:sz w:val="30"/>
          <w:szCs w:val="30"/>
          <w:highlight w:val="none"/>
          <w:lang w:eastAsia="zh-CN"/>
        </w:rPr>
      </w:pPr>
    </w:p>
    <w:p w14:paraId="46BF4777">
      <w:pPr>
        <w:pStyle w:val="35"/>
        <w:rPr>
          <w:rFonts w:ascii="仿宋" w:hAnsi="仿宋" w:eastAsia="仿宋" w:cs="仿宋"/>
          <w:color w:val="auto"/>
          <w:sz w:val="30"/>
          <w:szCs w:val="30"/>
          <w:highlight w:val="none"/>
          <w:lang w:eastAsia="zh-CN"/>
        </w:rPr>
      </w:pPr>
    </w:p>
    <w:p w14:paraId="68E5101D">
      <w:pPr>
        <w:pStyle w:val="35"/>
        <w:rPr>
          <w:rFonts w:ascii="仿宋" w:hAnsi="仿宋" w:eastAsia="仿宋" w:cs="仿宋"/>
          <w:color w:val="auto"/>
          <w:sz w:val="30"/>
          <w:szCs w:val="30"/>
          <w:highlight w:val="none"/>
          <w:lang w:eastAsia="zh-CN"/>
        </w:rPr>
      </w:pPr>
    </w:p>
    <w:p w14:paraId="040860D0">
      <w:pPr>
        <w:pStyle w:val="35"/>
        <w:rPr>
          <w:rFonts w:ascii="仿宋" w:hAnsi="仿宋" w:eastAsia="仿宋" w:cs="仿宋"/>
          <w:color w:val="auto"/>
          <w:sz w:val="30"/>
          <w:szCs w:val="30"/>
          <w:highlight w:val="none"/>
          <w:lang w:eastAsia="zh-CN"/>
        </w:rPr>
      </w:pPr>
    </w:p>
    <w:p w14:paraId="4AC07BA5">
      <w:pPr>
        <w:pStyle w:val="35"/>
        <w:rPr>
          <w:rFonts w:ascii="仿宋" w:hAnsi="仿宋" w:eastAsia="仿宋" w:cs="仿宋"/>
          <w:color w:val="auto"/>
          <w:sz w:val="30"/>
          <w:szCs w:val="30"/>
          <w:highlight w:val="none"/>
          <w:lang w:eastAsia="zh-CN"/>
        </w:rPr>
      </w:pPr>
    </w:p>
    <w:p w14:paraId="6D316829">
      <w:pPr>
        <w:pStyle w:val="35"/>
        <w:rPr>
          <w:rFonts w:ascii="仿宋" w:hAnsi="仿宋" w:eastAsia="仿宋" w:cs="仿宋"/>
          <w:color w:val="auto"/>
          <w:sz w:val="30"/>
          <w:szCs w:val="30"/>
          <w:highlight w:val="none"/>
          <w:lang w:eastAsia="zh-CN"/>
        </w:rPr>
      </w:pPr>
    </w:p>
    <w:p w14:paraId="1EAD497D">
      <w:pPr>
        <w:pStyle w:val="35"/>
        <w:rPr>
          <w:rFonts w:ascii="仿宋" w:hAnsi="仿宋" w:eastAsia="仿宋" w:cs="仿宋"/>
          <w:color w:val="auto"/>
          <w:sz w:val="30"/>
          <w:szCs w:val="30"/>
          <w:highlight w:val="none"/>
          <w:lang w:eastAsia="zh-CN"/>
        </w:rPr>
      </w:pPr>
    </w:p>
    <w:p w14:paraId="511478B0">
      <w:pPr>
        <w:pStyle w:val="35"/>
        <w:rPr>
          <w:rFonts w:ascii="仿宋" w:hAnsi="仿宋" w:eastAsia="仿宋" w:cs="仿宋"/>
          <w:color w:val="auto"/>
          <w:sz w:val="30"/>
          <w:szCs w:val="30"/>
          <w:highlight w:val="none"/>
          <w:lang w:eastAsia="zh-CN"/>
        </w:rPr>
      </w:pPr>
    </w:p>
    <w:p w14:paraId="2C92D8A6">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08F77E1">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2BC95B7D">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01F93D4">
      <w:pPr>
        <w:spacing w:line="400" w:lineRule="exact"/>
        <w:rPr>
          <w:rFonts w:ascii="仿宋" w:hAnsi="仿宋" w:eastAsia="仿宋" w:cs="仿宋"/>
          <w:color w:val="auto"/>
          <w:highlight w:val="none"/>
          <w:lang w:eastAsia="zh-CN"/>
        </w:rPr>
      </w:pPr>
    </w:p>
    <w:p w14:paraId="49D00D5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color w:val="auto"/>
          <w:kern w:val="0"/>
          <w:sz w:val="24"/>
          <w:szCs w:val="24"/>
          <w:highlight w:val="none"/>
          <w:lang w:eastAsia="zh-CN"/>
        </w:rPr>
      </w:pPr>
      <w:bookmarkStart w:id="25" w:name="_Toc17515"/>
      <w:r>
        <w:rPr>
          <w:rFonts w:hint="eastAsia" w:ascii="仿宋" w:hAnsi="仿宋" w:eastAsia="仿宋" w:cs="仿宋"/>
          <w:color w:val="auto"/>
          <w:kern w:val="0"/>
          <w:sz w:val="24"/>
          <w:szCs w:val="24"/>
          <w:highlight w:val="none"/>
          <w:lang w:eastAsia="zh-CN"/>
        </w:rPr>
        <w:t>一、投诉相关主体基本情况</w:t>
      </w:r>
    </w:p>
    <w:p w14:paraId="0AAA2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001FB3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3603E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5A5CD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9FD3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B496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5923C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F36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7139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54D1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E029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2C29E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05C3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412752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5602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211C3D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62D514B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5BA376E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42371F9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0F23CF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5A854E1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3B031BA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3C68F10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1C18016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406224C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1E5F21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767FB2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18E0531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830C57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5C69712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419C18B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75BE543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p>
    <w:p w14:paraId="519BA16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12C088D3">
      <w:pPr>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03B2EB0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628F3CD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06E0A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rPr>
      </w:pPr>
    </w:p>
    <w:p w14:paraId="5AF64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7D545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7195F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7E308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84095DD">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3D71E74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投诉书制作说明：</w:t>
      </w:r>
    </w:p>
    <w:p w14:paraId="07FA8C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5DC1FC8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4FC797D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329A84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67B2B20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063B52F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0806EE2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1EAC1B1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29C96E0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p>
    <w:p w14:paraId="4D182F1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p>
    <w:p w14:paraId="50BFA69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p>
    <w:p w14:paraId="3B974DA0">
      <w:pPr>
        <w:pStyle w:val="12"/>
        <w:numPr>
          <w:ilvl w:val="0"/>
          <w:numId w:val="0"/>
        </w:numPr>
        <w:ind w:leftChars="0"/>
        <w:rPr>
          <w:rFonts w:hint="eastAsia"/>
          <w:lang w:eastAsia="zh-CN"/>
        </w:rPr>
      </w:pPr>
    </w:p>
    <w:p w14:paraId="5758920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p>
    <w:p w14:paraId="2CCD8F1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p>
    <w:p w14:paraId="3820A5D9">
      <w:pPr>
        <w:pStyle w:val="12"/>
        <w:numPr>
          <w:ilvl w:val="0"/>
          <w:numId w:val="0"/>
        </w:numPr>
        <w:ind w:leftChars="0"/>
        <w:rPr>
          <w:rFonts w:hint="eastAsia"/>
          <w:lang w:eastAsia="zh-CN"/>
        </w:rPr>
      </w:pPr>
    </w:p>
    <w:p w14:paraId="60AF2D60">
      <w:pPr>
        <w:ind w:left="5783" w:hanging="5783" w:hangingChars="1800"/>
        <w:jc w:val="center"/>
        <w:outlineLvl w:val="0"/>
        <w:rPr>
          <w:rFonts w:hint="eastAsia" w:ascii="仿宋" w:hAnsi="仿宋" w:eastAsia="仿宋" w:cs="仿宋"/>
          <w:b/>
          <w:bCs/>
          <w:color w:val="auto"/>
          <w:sz w:val="32"/>
          <w:szCs w:val="32"/>
          <w:highlight w:val="none"/>
          <w:lang w:eastAsia="zh-CN"/>
        </w:rPr>
      </w:pPr>
    </w:p>
    <w:p w14:paraId="7A8B8FDD">
      <w:pPr>
        <w:ind w:left="5783" w:hanging="5783" w:hangingChars="1800"/>
        <w:jc w:val="center"/>
        <w:outlineLvl w:val="0"/>
        <w:rPr>
          <w:rFonts w:hint="eastAsia" w:ascii="仿宋" w:hAnsi="仿宋" w:eastAsia="仿宋" w:cs="仿宋"/>
          <w:b/>
          <w:bCs/>
          <w:color w:val="auto"/>
          <w:sz w:val="32"/>
          <w:szCs w:val="32"/>
          <w:highlight w:val="none"/>
          <w:lang w:eastAsia="zh-CN"/>
        </w:rPr>
      </w:pPr>
    </w:p>
    <w:p w14:paraId="7A4B3211">
      <w:pPr>
        <w:ind w:left="5783" w:hanging="5783" w:hangingChars="1800"/>
        <w:jc w:val="center"/>
        <w:outlineLvl w:val="0"/>
        <w:rPr>
          <w:rFonts w:hint="eastAsia" w:ascii="仿宋" w:hAnsi="仿宋" w:eastAsia="仿宋" w:cs="仿宋"/>
          <w:b/>
          <w:bCs/>
          <w:color w:val="auto"/>
          <w:sz w:val="32"/>
          <w:szCs w:val="32"/>
          <w:highlight w:val="none"/>
          <w:lang w:eastAsia="zh-CN"/>
        </w:rPr>
      </w:pPr>
    </w:p>
    <w:p w14:paraId="130C1A6E">
      <w:pPr>
        <w:ind w:left="5783" w:hanging="5783" w:hangingChars="1800"/>
        <w:jc w:val="center"/>
        <w:outlineLvl w:val="0"/>
        <w:rPr>
          <w:rFonts w:hint="eastAsia" w:ascii="仿宋" w:hAnsi="仿宋" w:eastAsia="仿宋" w:cs="仿宋"/>
          <w:b/>
          <w:bCs/>
          <w:color w:val="auto"/>
          <w:sz w:val="32"/>
          <w:szCs w:val="32"/>
          <w:highlight w:val="none"/>
          <w:lang w:eastAsia="zh-CN"/>
        </w:rPr>
      </w:pPr>
    </w:p>
    <w:p w14:paraId="5BB3BBDF">
      <w:pPr>
        <w:ind w:left="5783" w:hanging="5783"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5"/>
    </w:p>
    <w:p w14:paraId="550CA8C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BD90293">
      <w:pPr>
        <w:numPr>
          <w:ilvl w:val="0"/>
          <w:numId w:val="5"/>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6A495A3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35F5D02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3FD4CCB">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4A9E3DD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F24FA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1CAF421F">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7" w:name="_Toc13508"/>
      <w:r>
        <w:rPr>
          <w:rFonts w:hint="eastAsia" w:ascii="仿宋" w:hAnsi="仿宋" w:eastAsia="仿宋" w:cs="仿宋"/>
          <w:b/>
          <w:bCs/>
          <w:color w:val="auto"/>
          <w:sz w:val="21"/>
          <w:szCs w:val="21"/>
          <w:highlight w:val="none"/>
          <w:lang w:eastAsia="zh-CN"/>
        </w:rPr>
        <w:t>二、书面方式</w:t>
      </w:r>
      <w:bookmarkEnd w:id="27"/>
    </w:p>
    <w:p w14:paraId="5F84BA72">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549850F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07B7762">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3B5B87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3CA07AE2">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BB51048">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4DE53EA">
      <w:pPr>
        <w:numPr>
          <w:ilvl w:val="0"/>
          <w:numId w:val="6"/>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6098CE6B">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2C37A9E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7B7907A">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1F0D2B4C">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074E29CD">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1E54884D">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BB01C7E">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0CE15B28">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8F98C76">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C4BA77C">
      <w:pPr>
        <w:numPr>
          <w:ilvl w:val="0"/>
          <w:numId w:val="7"/>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1BD9C078">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CD9C0B7">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4C69D034">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71DEEDF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D3A4A5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942CBE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794F1F0">
      <w:pPr>
        <w:spacing w:line="400" w:lineRule="exact"/>
        <w:rPr>
          <w:rFonts w:ascii="仿宋" w:hAnsi="仿宋" w:eastAsia="仿宋" w:cs="仿宋"/>
          <w:color w:val="auto"/>
          <w:sz w:val="21"/>
          <w:szCs w:val="21"/>
          <w:highlight w:val="none"/>
          <w:lang w:eastAsia="zh-CN"/>
        </w:rPr>
      </w:pPr>
    </w:p>
    <w:p w14:paraId="74B909B3">
      <w:pPr>
        <w:spacing w:line="400" w:lineRule="exact"/>
        <w:rPr>
          <w:rFonts w:ascii="仿宋" w:hAnsi="仿宋" w:eastAsia="仿宋" w:cs="仿宋"/>
          <w:color w:val="auto"/>
          <w:sz w:val="21"/>
          <w:szCs w:val="21"/>
          <w:highlight w:val="none"/>
          <w:lang w:eastAsia="zh-CN"/>
        </w:rPr>
      </w:pPr>
    </w:p>
    <w:p w14:paraId="5BE8BA87">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递交投诉书地址：克州政府采购办监管办公室</w:t>
      </w:r>
    </w:p>
    <w:p w14:paraId="4D30D17E">
      <w:pPr>
        <w:jc w:val="right"/>
        <w:rPr>
          <w:rFonts w:ascii="仿宋" w:hAnsi="仿宋" w:eastAsia="仿宋" w:cs="仿宋"/>
          <w:color w:val="auto"/>
          <w:sz w:val="32"/>
          <w:szCs w:val="32"/>
          <w:highlight w:val="none"/>
          <w:lang w:eastAsia="zh-CN"/>
        </w:rPr>
      </w:pPr>
    </w:p>
    <w:p w14:paraId="3AA1F7B5">
      <w:pPr>
        <w:spacing w:line="540" w:lineRule="exact"/>
        <w:jc w:val="center"/>
        <w:rPr>
          <w:rFonts w:ascii="仿宋" w:hAnsi="仿宋" w:eastAsia="仿宋" w:cs="仿宋"/>
          <w:b/>
          <w:bCs/>
          <w:color w:val="auto"/>
          <w:sz w:val="44"/>
          <w:szCs w:val="44"/>
          <w:highlight w:val="none"/>
          <w:lang w:eastAsia="zh-CN"/>
        </w:rPr>
      </w:pPr>
    </w:p>
    <w:p w14:paraId="733CF552">
      <w:pPr>
        <w:spacing w:line="540" w:lineRule="exact"/>
        <w:jc w:val="center"/>
        <w:rPr>
          <w:rFonts w:ascii="仿宋" w:hAnsi="仿宋" w:eastAsia="仿宋" w:cs="仿宋"/>
          <w:b/>
          <w:bCs/>
          <w:color w:val="auto"/>
          <w:sz w:val="44"/>
          <w:szCs w:val="44"/>
          <w:highlight w:val="none"/>
          <w:lang w:eastAsia="zh-CN"/>
        </w:rPr>
      </w:pPr>
    </w:p>
    <w:p w14:paraId="29DE1D8B">
      <w:pPr>
        <w:spacing w:line="540" w:lineRule="exact"/>
        <w:jc w:val="center"/>
        <w:rPr>
          <w:rFonts w:ascii="仿宋" w:hAnsi="仿宋" w:eastAsia="仿宋" w:cs="仿宋"/>
          <w:b/>
          <w:bCs/>
          <w:color w:val="auto"/>
          <w:sz w:val="44"/>
          <w:szCs w:val="44"/>
          <w:highlight w:val="none"/>
          <w:lang w:eastAsia="zh-CN"/>
        </w:rPr>
      </w:pPr>
    </w:p>
    <w:p w14:paraId="3800152F">
      <w:pPr>
        <w:spacing w:line="540" w:lineRule="exact"/>
        <w:jc w:val="center"/>
        <w:rPr>
          <w:rFonts w:ascii="仿宋" w:hAnsi="仿宋" w:eastAsia="仿宋" w:cs="仿宋"/>
          <w:b/>
          <w:bCs/>
          <w:color w:val="auto"/>
          <w:sz w:val="44"/>
          <w:szCs w:val="44"/>
          <w:highlight w:val="none"/>
          <w:lang w:eastAsia="zh-CN"/>
        </w:rPr>
      </w:pPr>
    </w:p>
    <w:p w14:paraId="0AD92AAA">
      <w:pPr>
        <w:spacing w:line="540" w:lineRule="exact"/>
        <w:jc w:val="center"/>
        <w:rPr>
          <w:rFonts w:ascii="仿宋" w:hAnsi="仿宋" w:eastAsia="仿宋" w:cs="仿宋"/>
          <w:b/>
          <w:bCs/>
          <w:color w:val="auto"/>
          <w:sz w:val="44"/>
          <w:szCs w:val="44"/>
          <w:highlight w:val="none"/>
          <w:lang w:eastAsia="zh-CN"/>
        </w:rPr>
      </w:pPr>
    </w:p>
    <w:p w14:paraId="7FDA8B06">
      <w:pPr>
        <w:spacing w:line="540" w:lineRule="exact"/>
        <w:jc w:val="center"/>
        <w:rPr>
          <w:rFonts w:ascii="仿宋" w:hAnsi="仿宋" w:eastAsia="仿宋" w:cs="仿宋"/>
          <w:b/>
          <w:bCs/>
          <w:color w:val="auto"/>
          <w:sz w:val="44"/>
          <w:szCs w:val="44"/>
          <w:highlight w:val="none"/>
          <w:lang w:eastAsia="zh-CN"/>
        </w:rPr>
      </w:pPr>
    </w:p>
    <w:p w14:paraId="102F8C53">
      <w:pPr>
        <w:spacing w:line="540" w:lineRule="exact"/>
        <w:jc w:val="center"/>
        <w:rPr>
          <w:rFonts w:ascii="仿宋" w:hAnsi="仿宋" w:eastAsia="仿宋" w:cs="仿宋"/>
          <w:b/>
          <w:bCs/>
          <w:color w:val="auto"/>
          <w:sz w:val="44"/>
          <w:szCs w:val="44"/>
          <w:highlight w:val="none"/>
          <w:lang w:eastAsia="zh-CN"/>
        </w:rPr>
      </w:pPr>
    </w:p>
    <w:p w14:paraId="6D19FE52">
      <w:pPr>
        <w:spacing w:line="540" w:lineRule="exact"/>
        <w:jc w:val="center"/>
        <w:rPr>
          <w:rFonts w:ascii="仿宋" w:hAnsi="仿宋" w:eastAsia="仿宋" w:cs="仿宋"/>
          <w:b/>
          <w:bCs/>
          <w:color w:val="auto"/>
          <w:sz w:val="44"/>
          <w:szCs w:val="44"/>
          <w:highlight w:val="none"/>
          <w:lang w:eastAsia="zh-CN"/>
        </w:rPr>
      </w:pPr>
    </w:p>
    <w:p w14:paraId="61F4D247">
      <w:pPr>
        <w:spacing w:line="540" w:lineRule="exact"/>
        <w:jc w:val="center"/>
        <w:rPr>
          <w:rFonts w:ascii="仿宋" w:hAnsi="仿宋" w:eastAsia="仿宋" w:cs="仿宋"/>
          <w:b/>
          <w:bCs/>
          <w:color w:val="auto"/>
          <w:sz w:val="44"/>
          <w:szCs w:val="44"/>
          <w:highlight w:val="none"/>
          <w:lang w:eastAsia="zh-CN"/>
        </w:rPr>
      </w:pPr>
    </w:p>
    <w:p w14:paraId="3722372B">
      <w:pPr>
        <w:pStyle w:val="2"/>
        <w:rPr>
          <w:rFonts w:ascii="仿宋" w:hAnsi="仿宋" w:eastAsia="仿宋" w:cs="仿宋"/>
          <w:b/>
          <w:bCs/>
          <w:color w:val="auto"/>
          <w:sz w:val="44"/>
          <w:szCs w:val="44"/>
          <w:highlight w:val="none"/>
          <w:lang w:eastAsia="zh-CN"/>
        </w:rPr>
      </w:pPr>
    </w:p>
    <w:p w14:paraId="60075F63">
      <w:pPr>
        <w:pStyle w:val="2"/>
        <w:rPr>
          <w:rFonts w:ascii="仿宋" w:hAnsi="仿宋" w:eastAsia="仿宋" w:cs="仿宋"/>
          <w:b/>
          <w:bCs/>
          <w:color w:val="auto"/>
          <w:sz w:val="44"/>
          <w:szCs w:val="44"/>
          <w:highlight w:val="none"/>
          <w:lang w:eastAsia="zh-CN"/>
        </w:rPr>
      </w:pPr>
    </w:p>
    <w:p w14:paraId="39AD0ACF">
      <w:pPr>
        <w:spacing w:line="540" w:lineRule="exact"/>
        <w:jc w:val="center"/>
        <w:outlineLvl w:val="0"/>
        <w:rPr>
          <w:rFonts w:ascii="仿宋" w:hAnsi="仿宋" w:eastAsia="仿宋" w:cs="仿宋"/>
          <w:b/>
          <w:bCs/>
          <w:color w:val="auto"/>
          <w:sz w:val="32"/>
          <w:szCs w:val="32"/>
          <w:highlight w:val="none"/>
          <w:lang w:eastAsia="zh-CN"/>
        </w:rPr>
      </w:pPr>
      <w:bookmarkStart w:id="29" w:name="_Toc1697"/>
      <w:r>
        <w:rPr>
          <w:rFonts w:hint="eastAsia" w:ascii="仿宋" w:hAnsi="仿宋" w:eastAsia="仿宋" w:cs="仿宋"/>
          <w:b/>
          <w:bCs/>
          <w:color w:val="auto"/>
          <w:sz w:val="32"/>
          <w:szCs w:val="32"/>
          <w:highlight w:val="none"/>
          <w:lang w:eastAsia="zh-CN"/>
        </w:rPr>
        <w:t>质疑函范本</w:t>
      </w:r>
      <w:bookmarkEnd w:id="29"/>
    </w:p>
    <w:p w14:paraId="30CDA656">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46E0175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2518D74A">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3F17015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7525333">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1C17D46C">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C04F912">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27289EB">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6B4FD75B">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61D6EB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5C558F11">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434E45A8">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3FA3E96F">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20B5988A">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57D58EFF">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4D3AC67">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DEEB2A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702A0EE">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DFBC575">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10E32C43">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28C7503A">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3ADB3B81">
      <w:pPr>
        <w:spacing w:line="540"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3C7F6D5D">
      <w:pPr>
        <w:spacing w:line="540" w:lineRule="exact"/>
        <w:ind w:firstLine="422" w:firstLineChars="200"/>
        <w:rPr>
          <w:rFonts w:ascii="仿宋" w:hAnsi="仿宋" w:eastAsia="仿宋" w:cs="仿宋"/>
          <w:b/>
          <w:bCs/>
          <w:color w:val="auto"/>
          <w:sz w:val="21"/>
          <w:szCs w:val="21"/>
          <w:highlight w:val="none"/>
          <w:lang w:eastAsia="zh-CN"/>
        </w:rPr>
      </w:pPr>
    </w:p>
    <w:p w14:paraId="35755593">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第三章  评标办法</w:t>
      </w:r>
      <w:bookmarkEnd w:id="34"/>
    </w:p>
    <w:p w14:paraId="7A2FBCC0">
      <w:pPr>
        <w:jc w:val="center"/>
        <w:outlineLvl w:val="1"/>
        <w:rPr>
          <w:rFonts w:ascii="仿宋" w:hAnsi="仿宋" w:eastAsia="仿宋" w:cs="仿宋"/>
          <w:b/>
          <w:color w:val="auto"/>
          <w:sz w:val="28"/>
          <w:szCs w:val="28"/>
          <w:highlight w:val="none"/>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15468312">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4733E21E">
      <w:pPr>
        <w:keepNext w:val="0"/>
        <w:keepLines w:val="0"/>
        <w:pageBreakBefore w:val="0"/>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08F88B02">
      <w:pPr>
        <w:keepNext w:val="0"/>
        <w:keepLines w:val="0"/>
        <w:pageBreakBefore w:val="0"/>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021619A6">
      <w:pPr>
        <w:keepNext w:val="0"/>
        <w:keepLines w:val="0"/>
        <w:pageBreakBefore w:val="0"/>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03D51E42">
      <w:pPr>
        <w:keepNext w:val="0"/>
        <w:keepLines w:val="0"/>
        <w:pageBreakBefore w:val="0"/>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308FCD6E">
      <w:pPr>
        <w:keepNext w:val="0"/>
        <w:keepLines w:val="0"/>
        <w:pageBreakBefore w:val="0"/>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2677816E">
      <w:pPr>
        <w:keepNext w:val="0"/>
        <w:keepLines w:val="0"/>
        <w:pageBreakBefore w:val="0"/>
        <w:tabs>
          <w:tab w:val="left" w:pos="567"/>
          <w:tab w:val="left" w:pos="1145"/>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19CE92B0">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评标委员会由采购人代表1人和有关技术、经济等方面的专家4人组成，成员人数为5人。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44B77E2">
      <w:pPr>
        <w:keepNext w:val="0"/>
        <w:keepLines w:val="0"/>
        <w:pageBreakBefore w:val="0"/>
        <w:tabs>
          <w:tab w:val="left" w:pos="567"/>
          <w:tab w:val="left" w:pos="1145"/>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28D22960">
      <w:pPr>
        <w:keepNext w:val="0"/>
        <w:keepLines w:val="0"/>
        <w:pageBreakBefore w:val="0"/>
        <w:tabs>
          <w:tab w:val="left" w:pos="567"/>
          <w:tab w:val="left" w:pos="1145"/>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01155206">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6072DA2D">
      <w:pPr>
        <w:pStyle w:val="4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1B38E3A">
      <w:pPr>
        <w:pStyle w:val="4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212222FE">
      <w:pPr>
        <w:pStyle w:val="4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140838D2">
      <w:pPr>
        <w:pStyle w:val="4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02D9C3F3">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30F64132">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66F93A88">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45C45D1B">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0744494D">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4754F31D">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23CC939B">
      <w:pPr>
        <w:keepNext w:val="0"/>
        <w:keepLines w:val="0"/>
        <w:pageBreakBefore w:val="0"/>
        <w:tabs>
          <w:tab w:val="left" w:pos="567"/>
          <w:tab w:val="left" w:pos="60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0E2C20C8">
      <w:pPr>
        <w:keepNext w:val="0"/>
        <w:keepLines w:val="0"/>
        <w:pageBreakBefore w:val="0"/>
        <w:tabs>
          <w:tab w:val="left" w:pos="1547"/>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0EE77B5B">
      <w:pPr>
        <w:pStyle w:val="21"/>
        <w:keepNext w:val="0"/>
        <w:keepLines w:val="0"/>
        <w:pageBreakBefore w:val="0"/>
        <w:tabs>
          <w:tab w:val="left" w:pos="720"/>
          <w:tab w:val="clear" w:pos="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48CE4CFD">
      <w:pPr>
        <w:keepNext w:val="0"/>
        <w:keepLines w:val="0"/>
        <w:pageBreakBefore w:val="0"/>
        <w:tabs>
          <w:tab w:val="left" w:pos="720"/>
        </w:tabs>
        <w:kinsoku/>
        <w:wordWrap/>
        <w:overflowPunct/>
        <w:topLinePunct w:val="0"/>
        <w:autoSpaceDE/>
        <w:autoSpaceDN/>
        <w:bidi w:val="0"/>
        <w:adjustRightInd/>
        <w:snapToGrid/>
        <w:spacing w:line="46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2440D49">
      <w:pPr>
        <w:keepNext w:val="0"/>
        <w:keepLines w:val="0"/>
        <w:pageBreakBefore w:val="0"/>
        <w:widowControl/>
        <w:kinsoku/>
        <w:wordWrap/>
        <w:overflowPunct/>
        <w:topLinePunct w:val="0"/>
        <w:autoSpaceDE/>
        <w:autoSpaceDN/>
        <w:bidi w:val="0"/>
        <w:adjustRightInd/>
        <w:snapToGrid/>
        <w:spacing w:line="46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w:t>
      </w:r>
      <w:r>
        <w:rPr>
          <w:rFonts w:hint="eastAsia" w:ascii="仿宋" w:hAnsi="仿宋" w:eastAsia="仿宋" w:cs="仿宋"/>
          <w:color w:val="auto"/>
          <w:szCs w:val="21"/>
          <w:highlight w:val="none"/>
          <w:lang w:val="en-US" w:eastAsia="zh-CN" w:bidi="ar-SA"/>
        </w:rPr>
        <w:t>技术参数响应情况</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应急方案</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val="en-US" w:eastAsia="zh-CN" w:bidi="ar-SA"/>
        </w:rPr>
        <w:t>实施方案、综合实力、售后服务、</w:t>
      </w:r>
      <w:r>
        <w:rPr>
          <w:rFonts w:hint="eastAsia" w:ascii="仿宋" w:hAnsi="仿宋" w:eastAsia="仿宋" w:cs="仿宋"/>
          <w:color w:val="auto"/>
          <w:szCs w:val="21"/>
          <w:highlight w:val="none"/>
          <w:lang w:eastAsia="zh-CN" w:bidi="ar-SA"/>
        </w:rPr>
        <w:t>业绩、</w:t>
      </w:r>
      <w:r>
        <w:rPr>
          <w:rFonts w:hint="eastAsia" w:ascii="仿宋" w:hAnsi="仿宋" w:eastAsia="仿宋" w:cs="仿宋"/>
          <w:color w:val="auto"/>
          <w:szCs w:val="21"/>
          <w:highlight w:val="none"/>
          <w:lang w:val="en-US" w:eastAsia="zh-CN" w:bidi="ar-SA"/>
        </w:rPr>
        <w:t>培训方案、项目服务团队等</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39D487F2">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1037112D">
      <w:pPr>
        <w:spacing w:line="40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0A7819EB">
      <w:pPr>
        <w:spacing w:line="400" w:lineRule="exact"/>
        <w:ind w:firstLine="352"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26"/>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95"/>
        <w:gridCol w:w="7662"/>
        <w:gridCol w:w="525"/>
        <w:gridCol w:w="568"/>
      </w:tblGrid>
      <w:tr w14:paraId="3B3A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73" w:type="dxa"/>
            <w:vMerge w:val="restart"/>
            <w:vAlign w:val="center"/>
          </w:tcPr>
          <w:p w14:paraId="576D4D08">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4F02EC40">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70C7B5E0">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08B9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73" w:type="dxa"/>
            <w:vMerge w:val="continue"/>
            <w:vAlign w:val="center"/>
          </w:tcPr>
          <w:p w14:paraId="60CB06BD">
            <w:pPr>
              <w:rPr>
                <w:rFonts w:ascii="仿宋" w:hAnsi="仿宋" w:eastAsia="仿宋" w:cs="仿宋"/>
                <w:color w:val="auto"/>
                <w:sz w:val="18"/>
                <w:szCs w:val="21"/>
                <w:highlight w:val="none"/>
              </w:rPr>
            </w:pPr>
          </w:p>
        </w:tc>
        <w:tc>
          <w:tcPr>
            <w:tcW w:w="8157" w:type="dxa"/>
            <w:gridSpan w:val="2"/>
            <w:vMerge w:val="continue"/>
          </w:tcPr>
          <w:p w14:paraId="0BE0D22D">
            <w:pPr>
              <w:rPr>
                <w:rFonts w:ascii="仿宋" w:hAnsi="仿宋" w:eastAsia="仿宋" w:cs="仿宋"/>
                <w:color w:val="auto"/>
                <w:sz w:val="18"/>
                <w:szCs w:val="21"/>
                <w:highlight w:val="none"/>
              </w:rPr>
            </w:pPr>
          </w:p>
        </w:tc>
        <w:tc>
          <w:tcPr>
            <w:tcW w:w="525" w:type="dxa"/>
            <w:vAlign w:val="center"/>
          </w:tcPr>
          <w:p w14:paraId="62EC7930">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0FC291A1">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62F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3" w:type="dxa"/>
            <w:vMerge w:val="continue"/>
            <w:vAlign w:val="center"/>
          </w:tcPr>
          <w:p w14:paraId="46458F0C">
            <w:pPr>
              <w:jc w:val="center"/>
              <w:rPr>
                <w:rFonts w:ascii="仿宋" w:hAnsi="仿宋" w:eastAsia="仿宋" w:cs="仿宋"/>
                <w:color w:val="auto"/>
                <w:szCs w:val="21"/>
                <w:highlight w:val="none"/>
                <w:lang w:eastAsia="zh-CN"/>
              </w:rPr>
            </w:pPr>
          </w:p>
        </w:tc>
        <w:tc>
          <w:tcPr>
            <w:tcW w:w="495" w:type="dxa"/>
            <w:vAlign w:val="center"/>
          </w:tcPr>
          <w:p w14:paraId="41976860">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302AA3B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5CD04FB3">
            <w:pPr>
              <w:rPr>
                <w:rFonts w:ascii="仿宋" w:hAnsi="仿宋" w:eastAsia="仿宋" w:cs="仿宋"/>
                <w:color w:val="auto"/>
                <w:szCs w:val="21"/>
                <w:highlight w:val="none"/>
                <w:lang w:eastAsia="zh-CN"/>
              </w:rPr>
            </w:pPr>
          </w:p>
        </w:tc>
        <w:tc>
          <w:tcPr>
            <w:tcW w:w="568" w:type="dxa"/>
          </w:tcPr>
          <w:p w14:paraId="115B2A8E">
            <w:pPr>
              <w:rPr>
                <w:rFonts w:ascii="仿宋" w:hAnsi="仿宋" w:eastAsia="仿宋" w:cs="仿宋"/>
                <w:color w:val="auto"/>
                <w:szCs w:val="21"/>
                <w:highlight w:val="none"/>
                <w:lang w:eastAsia="zh-CN"/>
              </w:rPr>
            </w:pPr>
          </w:p>
        </w:tc>
      </w:tr>
      <w:tr w14:paraId="5615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3" w:type="dxa"/>
            <w:vMerge w:val="continue"/>
            <w:vAlign w:val="center"/>
          </w:tcPr>
          <w:p w14:paraId="7F14DDAC">
            <w:pPr>
              <w:rPr>
                <w:rFonts w:ascii="仿宋" w:hAnsi="仿宋" w:eastAsia="仿宋" w:cs="仿宋"/>
                <w:color w:val="auto"/>
                <w:highlight w:val="none"/>
                <w:lang w:eastAsia="zh-CN"/>
              </w:rPr>
            </w:pPr>
          </w:p>
        </w:tc>
        <w:tc>
          <w:tcPr>
            <w:tcW w:w="495" w:type="dxa"/>
            <w:vAlign w:val="center"/>
          </w:tcPr>
          <w:p w14:paraId="6C01EAA1">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730F81A3">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126A0B8B">
            <w:pPr>
              <w:rPr>
                <w:rFonts w:ascii="仿宋" w:hAnsi="仿宋" w:eastAsia="仿宋" w:cs="仿宋"/>
                <w:color w:val="auto"/>
                <w:szCs w:val="21"/>
                <w:highlight w:val="none"/>
                <w:lang w:eastAsia="zh-CN"/>
              </w:rPr>
            </w:pPr>
          </w:p>
        </w:tc>
        <w:tc>
          <w:tcPr>
            <w:tcW w:w="568" w:type="dxa"/>
          </w:tcPr>
          <w:p w14:paraId="4D361CDE">
            <w:pPr>
              <w:rPr>
                <w:rFonts w:ascii="仿宋" w:hAnsi="仿宋" w:eastAsia="仿宋" w:cs="仿宋"/>
                <w:color w:val="auto"/>
                <w:szCs w:val="21"/>
                <w:highlight w:val="none"/>
                <w:lang w:eastAsia="zh-CN"/>
              </w:rPr>
            </w:pPr>
          </w:p>
        </w:tc>
      </w:tr>
      <w:tr w14:paraId="0B7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Merge w:val="continue"/>
            <w:vAlign w:val="center"/>
          </w:tcPr>
          <w:p w14:paraId="6C118454">
            <w:pPr>
              <w:rPr>
                <w:rFonts w:ascii="仿宋" w:hAnsi="仿宋" w:eastAsia="仿宋" w:cs="仿宋"/>
                <w:color w:val="auto"/>
                <w:highlight w:val="none"/>
                <w:lang w:eastAsia="zh-CN"/>
              </w:rPr>
            </w:pPr>
          </w:p>
        </w:tc>
        <w:tc>
          <w:tcPr>
            <w:tcW w:w="495" w:type="dxa"/>
            <w:vAlign w:val="center"/>
          </w:tcPr>
          <w:p w14:paraId="57D1F44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49E393B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26632102">
            <w:pPr>
              <w:rPr>
                <w:rFonts w:ascii="仿宋" w:hAnsi="仿宋" w:eastAsia="仿宋" w:cs="仿宋"/>
                <w:color w:val="auto"/>
                <w:szCs w:val="21"/>
                <w:highlight w:val="none"/>
                <w:lang w:eastAsia="zh-CN"/>
              </w:rPr>
            </w:pPr>
          </w:p>
        </w:tc>
        <w:tc>
          <w:tcPr>
            <w:tcW w:w="568" w:type="dxa"/>
          </w:tcPr>
          <w:p w14:paraId="592566DF">
            <w:pPr>
              <w:rPr>
                <w:rFonts w:ascii="仿宋" w:hAnsi="仿宋" w:eastAsia="仿宋" w:cs="仿宋"/>
                <w:color w:val="auto"/>
                <w:szCs w:val="21"/>
                <w:highlight w:val="none"/>
                <w:lang w:eastAsia="zh-CN"/>
              </w:rPr>
            </w:pPr>
          </w:p>
        </w:tc>
      </w:tr>
      <w:tr w14:paraId="49DF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3" w:type="dxa"/>
            <w:vMerge w:val="continue"/>
            <w:vAlign w:val="center"/>
          </w:tcPr>
          <w:p w14:paraId="39E69045">
            <w:pPr>
              <w:rPr>
                <w:rFonts w:ascii="仿宋" w:hAnsi="仿宋" w:eastAsia="仿宋" w:cs="仿宋"/>
                <w:color w:val="auto"/>
                <w:highlight w:val="none"/>
                <w:lang w:eastAsia="zh-CN"/>
              </w:rPr>
            </w:pPr>
          </w:p>
        </w:tc>
        <w:tc>
          <w:tcPr>
            <w:tcW w:w="495" w:type="dxa"/>
            <w:vAlign w:val="center"/>
          </w:tcPr>
          <w:p w14:paraId="2F7A3DAF">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3FE7CE4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1D86911F">
            <w:pPr>
              <w:rPr>
                <w:rFonts w:ascii="仿宋" w:hAnsi="仿宋" w:eastAsia="仿宋" w:cs="仿宋"/>
                <w:color w:val="auto"/>
                <w:szCs w:val="21"/>
                <w:highlight w:val="none"/>
                <w:lang w:eastAsia="zh-CN"/>
              </w:rPr>
            </w:pPr>
          </w:p>
        </w:tc>
        <w:tc>
          <w:tcPr>
            <w:tcW w:w="568" w:type="dxa"/>
          </w:tcPr>
          <w:p w14:paraId="3384B76B">
            <w:pPr>
              <w:rPr>
                <w:rFonts w:ascii="仿宋" w:hAnsi="仿宋" w:eastAsia="仿宋" w:cs="仿宋"/>
                <w:color w:val="auto"/>
                <w:szCs w:val="21"/>
                <w:highlight w:val="none"/>
                <w:lang w:eastAsia="zh-CN"/>
              </w:rPr>
            </w:pPr>
          </w:p>
        </w:tc>
      </w:tr>
      <w:tr w14:paraId="610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3" w:type="dxa"/>
            <w:vMerge w:val="continue"/>
            <w:vAlign w:val="center"/>
          </w:tcPr>
          <w:p w14:paraId="20293F30">
            <w:pPr>
              <w:rPr>
                <w:rFonts w:ascii="仿宋" w:hAnsi="仿宋" w:eastAsia="仿宋" w:cs="仿宋"/>
                <w:color w:val="auto"/>
                <w:highlight w:val="none"/>
                <w:lang w:eastAsia="zh-CN"/>
              </w:rPr>
            </w:pPr>
          </w:p>
        </w:tc>
        <w:tc>
          <w:tcPr>
            <w:tcW w:w="495" w:type="dxa"/>
            <w:vAlign w:val="center"/>
          </w:tcPr>
          <w:p w14:paraId="4AB096D2">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662" w:type="dxa"/>
            <w:vAlign w:val="center"/>
          </w:tcPr>
          <w:p w14:paraId="00A65867">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25" w:type="dxa"/>
          </w:tcPr>
          <w:p w14:paraId="13CC89C5">
            <w:pPr>
              <w:rPr>
                <w:rFonts w:ascii="仿宋" w:hAnsi="仿宋" w:eastAsia="仿宋" w:cs="仿宋"/>
                <w:color w:val="auto"/>
                <w:szCs w:val="21"/>
                <w:highlight w:val="none"/>
                <w:lang w:eastAsia="zh-CN"/>
              </w:rPr>
            </w:pPr>
          </w:p>
        </w:tc>
        <w:tc>
          <w:tcPr>
            <w:tcW w:w="568" w:type="dxa"/>
          </w:tcPr>
          <w:p w14:paraId="33FAF744">
            <w:pPr>
              <w:rPr>
                <w:rFonts w:ascii="仿宋" w:hAnsi="仿宋" w:eastAsia="仿宋" w:cs="仿宋"/>
                <w:color w:val="auto"/>
                <w:szCs w:val="21"/>
                <w:highlight w:val="none"/>
                <w:lang w:eastAsia="zh-CN"/>
              </w:rPr>
            </w:pPr>
          </w:p>
        </w:tc>
      </w:tr>
      <w:tr w14:paraId="3D5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73" w:type="dxa"/>
            <w:vMerge w:val="continue"/>
            <w:vAlign w:val="center"/>
          </w:tcPr>
          <w:p w14:paraId="14269E01">
            <w:pPr>
              <w:jc w:val="center"/>
              <w:rPr>
                <w:rFonts w:ascii="仿宋" w:hAnsi="仿宋" w:eastAsia="仿宋" w:cs="仿宋"/>
                <w:color w:val="auto"/>
                <w:szCs w:val="21"/>
                <w:highlight w:val="none"/>
                <w:lang w:eastAsia="zh-CN"/>
              </w:rPr>
            </w:pPr>
          </w:p>
        </w:tc>
        <w:tc>
          <w:tcPr>
            <w:tcW w:w="495" w:type="dxa"/>
          </w:tcPr>
          <w:p w14:paraId="349B8B52">
            <w:pPr>
              <w:spacing w:line="440" w:lineRule="exact"/>
              <w:rPr>
                <w:rFonts w:ascii="仿宋" w:hAnsi="仿宋" w:eastAsia="仿宋" w:cs="仿宋"/>
                <w:color w:val="auto"/>
                <w:szCs w:val="21"/>
                <w:highlight w:val="none"/>
                <w:lang w:eastAsia="zh-CN"/>
              </w:rPr>
            </w:pPr>
          </w:p>
        </w:tc>
        <w:tc>
          <w:tcPr>
            <w:tcW w:w="7662" w:type="dxa"/>
          </w:tcPr>
          <w:p w14:paraId="442FC981">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5B717CE3">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2971D61E">
            <w:pPr>
              <w:rPr>
                <w:rFonts w:ascii="仿宋" w:hAnsi="仿宋" w:eastAsia="仿宋" w:cs="仿宋"/>
                <w:color w:val="auto"/>
                <w:szCs w:val="21"/>
                <w:highlight w:val="none"/>
                <w:lang w:eastAsia="zh-CN"/>
              </w:rPr>
            </w:pPr>
          </w:p>
        </w:tc>
      </w:tr>
    </w:tbl>
    <w:p w14:paraId="59326807">
      <w:pPr>
        <w:keepNext w:val="0"/>
        <w:keepLines w:val="0"/>
        <w:pageBreakBefore w:val="0"/>
        <w:widowControl w:val="0"/>
        <w:kinsoku/>
        <w:wordWrap/>
        <w:overflowPunct/>
        <w:topLinePunct w:val="0"/>
        <w:autoSpaceDE/>
        <w:autoSpaceDN/>
        <w:bidi w:val="0"/>
        <w:adjustRightInd/>
        <w:snapToGrid/>
        <w:spacing w:line="480" w:lineRule="exact"/>
        <w:ind w:firstLine="581" w:firstLineChars="241"/>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3FD7694">
      <w:pPr>
        <w:keepNext w:val="0"/>
        <w:keepLines w:val="0"/>
        <w:pageBreakBefore w:val="0"/>
        <w:widowControl w:val="0"/>
        <w:kinsoku/>
        <w:wordWrap/>
        <w:overflowPunct/>
        <w:topLinePunct w:val="0"/>
        <w:autoSpaceDE/>
        <w:autoSpaceDN/>
        <w:bidi w:val="0"/>
        <w:adjustRightInd/>
        <w:snapToGrid/>
        <w:spacing w:beforeLines="50" w:line="480" w:lineRule="exact"/>
        <w:ind w:firstLine="354"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368BFF45">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6"/>
        <w:tblpPr w:leftFromText="180" w:rightFromText="180" w:vertAnchor="text" w:horzAnchor="page" w:tblpX="1574" w:tblpY="544"/>
        <w:tblW w:w="91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597"/>
        <w:gridCol w:w="6378"/>
        <w:gridCol w:w="749"/>
        <w:gridCol w:w="617"/>
      </w:tblGrid>
      <w:tr w14:paraId="14957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13" w:type="dxa"/>
            <w:vMerge w:val="restart"/>
            <w:tcBorders>
              <w:top w:val="single" w:color="auto" w:sz="4" w:space="0"/>
              <w:left w:val="single" w:color="auto" w:sz="4" w:space="0"/>
            </w:tcBorders>
            <w:vAlign w:val="center"/>
          </w:tcPr>
          <w:p w14:paraId="769C194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7573CFDB">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173FD0E">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B7E5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3" w:type="dxa"/>
            <w:vMerge w:val="continue"/>
            <w:tcBorders>
              <w:left w:val="single" w:color="auto" w:sz="4" w:space="0"/>
              <w:bottom w:val="single" w:color="auto" w:sz="4" w:space="0"/>
            </w:tcBorders>
            <w:vAlign w:val="center"/>
          </w:tcPr>
          <w:p w14:paraId="3C052F58">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3F9E303E">
            <w:pPr>
              <w:spacing w:line="240" w:lineRule="auto"/>
              <w:rPr>
                <w:rFonts w:ascii="仿宋" w:hAnsi="仿宋" w:eastAsia="仿宋" w:cs="仿宋"/>
                <w:color w:val="auto"/>
                <w:highlight w:val="none"/>
              </w:rPr>
            </w:pPr>
          </w:p>
        </w:tc>
        <w:tc>
          <w:tcPr>
            <w:tcW w:w="749" w:type="dxa"/>
            <w:vAlign w:val="center"/>
          </w:tcPr>
          <w:p w14:paraId="47894DE8">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422D76C2">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D3A7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13" w:type="dxa"/>
            <w:vMerge w:val="restart"/>
            <w:tcBorders>
              <w:top w:val="single" w:color="auto" w:sz="4" w:space="0"/>
              <w:left w:val="single" w:color="auto" w:sz="4" w:space="0"/>
              <w:right w:val="single" w:color="auto" w:sz="4" w:space="0"/>
            </w:tcBorders>
            <w:vAlign w:val="center"/>
          </w:tcPr>
          <w:p w14:paraId="4C8D81F4">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3B53C87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127D16D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429E58EC">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15C6D11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69AA1A3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22BE81F7">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B744FAD">
            <w:pPr>
              <w:spacing w:line="240" w:lineRule="auto"/>
              <w:jc w:val="center"/>
              <w:rPr>
                <w:rFonts w:ascii="仿宋" w:hAnsi="仿宋" w:eastAsia="仿宋" w:cs="仿宋"/>
                <w:b/>
                <w:color w:val="auto"/>
                <w:szCs w:val="21"/>
                <w:highlight w:val="none"/>
                <w:lang w:eastAsia="zh-CN"/>
              </w:rPr>
            </w:pPr>
          </w:p>
        </w:tc>
      </w:tr>
      <w:tr w14:paraId="5608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3" w:type="dxa"/>
            <w:vMerge w:val="continue"/>
            <w:tcBorders>
              <w:left w:val="single" w:color="auto" w:sz="4" w:space="0"/>
              <w:right w:val="single" w:color="auto" w:sz="4" w:space="0"/>
            </w:tcBorders>
            <w:vAlign w:val="center"/>
          </w:tcPr>
          <w:p w14:paraId="77B3702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5A2FD9C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7D412E0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3D6A2A4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FDFF5C">
            <w:pPr>
              <w:spacing w:line="240" w:lineRule="auto"/>
              <w:rPr>
                <w:rFonts w:ascii="仿宋" w:hAnsi="仿宋" w:eastAsia="仿宋" w:cs="仿宋"/>
                <w:color w:val="auto"/>
                <w:szCs w:val="21"/>
                <w:highlight w:val="none"/>
                <w:lang w:eastAsia="zh-CN"/>
              </w:rPr>
            </w:pPr>
          </w:p>
        </w:tc>
      </w:tr>
      <w:tr w14:paraId="2979F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813" w:type="dxa"/>
            <w:vMerge w:val="continue"/>
            <w:tcBorders>
              <w:left w:val="single" w:color="auto" w:sz="4" w:space="0"/>
              <w:right w:val="single" w:color="auto" w:sz="4" w:space="0"/>
            </w:tcBorders>
            <w:vAlign w:val="center"/>
          </w:tcPr>
          <w:p w14:paraId="73037EE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2CF47840">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57DE45EE">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8A27938">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3E62CA6B">
            <w:pPr>
              <w:spacing w:line="240" w:lineRule="auto"/>
              <w:rPr>
                <w:rFonts w:ascii="仿宋" w:hAnsi="仿宋" w:eastAsia="仿宋" w:cs="仿宋"/>
                <w:color w:val="auto"/>
                <w:szCs w:val="21"/>
                <w:highlight w:val="none"/>
              </w:rPr>
            </w:pPr>
          </w:p>
        </w:tc>
      </w:tr>
      <w:tr w14:paraId="6319F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813" w:type="dxa"/>
            <w:vMerge w:val="continue"/>
            <w:tcBorders>
              <w:left w:val="single" w:color="auto" w:sz="4" w:space="0"/>
              <w:right w:val="single" w:color="auto" w:sz="4" w:space="0"/>
            </w:tcBorders>
            <w:vAlign w:val="center"/>
          </w:tcPr>
          <w:p w14:paraId="0F955898">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307929B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13B708C9">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p>
        </w:tc>
        <w:tc>
          <w:tcPr>
            <w:tcW w:w="749" w:type="dxa"/>
            <w:tcBorders>
              <w:left w:val="single" w:color="auto" w:sz="4" w:space="0"/>
            </w:tcBorders>
          </w:tcPr>
          <w:p w14:paraId="453C355D">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9BE6E5">
            <w:pPr>
              <w:spacing w:line="240" w:lineRule="auto"/>
              <w:rPr>
                <w:rFonts w:ascii="仿宋" w:hAnsi="仿宋" w:eastAsia="仿宋" w:cs="仿宋"/>
                <w:color w:val="auto"/>
                <w:szCs w:val="21"/>
                <w:highlight w:val="none"/>
                <w:lang w:eastAsia="zh-CN"/>
              </w:rPr>
            </w:pPr>
          </w:p>
        </w:tc>
      </w:tr>
      <w:tr w14:paraId="47750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813" w:type="dxa"/>
            <w:vMerge w:val="continue"/>
            <w:tcBorders>
              <w:left w:val="single" w:color="auto" w:sz="4" w:space="0"/>
              <w:right w:val="single" w:color="auto" w:sz="4" w:space="0"/>
            </w:tcBorders>
            <w:vAlign w:val="center"/>
          </w:tcPr>
          <w:p w14:paraId="5874ABC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59C9342D">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3FBAA18">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bottom w:val="single" w:color="auto" w:sz="4" w:space="0"/>
            </w:tcBorders>
          </w:tcPr>
          <w:p w14:paraId="4940CAAA">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6B457401">
            <w:pPr>
              <w:spacing w:line="240" w:lineRule="auto"/>
              <w:rPr>
                <w:rFonts w:ascii="仿宋" w:hAnsi="仿宋" w:eastAsia="仿宋" w:cs="仿宋"/>
                <w:color w:val="auto"/>
                <w:szCs w:val="21"/>
                <w:highlight w:val="none"/>
                <w:lang w:eastAsia="zh-CN"/>
              </w:rPr>
            </w:pPr>
          </w:p>
        </w:tc>
      </w:tr>
      <w:tr w14:paraId="0292A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813" w:type="dxa"/>
            <w:vMerge w:val="continue"/>
            <w:tcBorders>
              <w:left w:val="single" w:color="auto" w:sz="4" w:space="0"/>
              <w:right w:val="single" w:color="auto" w:sz="4" w:space="0"/>
            </w:tcBorders>
            <w:vAlign w:val="center"/>
          </w:tcPr>
          <w:p w14:paraId="657FB51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8324F6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623231C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满足招标文件提出的技术和服务要求。</w:t>
            </w:r>
          </w:p>
        </w:tc>
        <w:tc>
          <w:tcPr>
            <w:tcW w:w="749" w:type="dxa"/>
            <w:tcBorders>
              <w:top w:val="single" w:color="auto" w:sz="4" w:space="0"/>
              <w:left w:val="single" w:color="auto" w:sz="4" w:space="0"/>
              <w:bottom w:val="single" w:color="auto" w:sz="4" w:space="0"/>
              <w:right w:val="single" w:color="auto" w:sz="4" w:space="0"/>
            </w:tcBorders>
          </w:tcPr>
          <w:p w14:paraId="20A3CE76">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56811926">
            <w:pPr>
              <w:spacing w:line="240" w:lineRule="auto"/>
              <w:rPr>
                <w:rFonts w:ascii="仿宋" w:hAnsi="仿宋" w:eastAsia="仿宋" w:cs="仿宋"/>
                <w:color w:val="auto"/>
                <w:szCs w:val="21"/>
                <w:highlight w:val="none"/>
                <w:lang w:eastAsia="zh-CN"/>
              </w:rPr>
            </w:pPr>
          </w:p>
        </w:tc>
      </w:tr>
      <w:tr w14:paraId="0A825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813" w:type="dxa"/>
            <w:vMerge w:val="continue"/>
            <w:tcBorders>
              <w:left w:val="single" w:color="auto" w:sz="4" w:space="0"/>
              <w:right w:val="single" w:color="auto" w:sz="4" w:space="0"/>
            </w:tcBorders>
            <w:vAlign w:val="center"/>
          </w:tcPr>
          <w:p w14:paraId="5AD3E2D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C95510">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49634E0">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F8BC99A">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BDE2DCE">
            <w:pPr>
              <w:spacing w:line="240" w:lineRule="auto"/>
              <w:rPr>
                <w:rFonts w:ascii="仿宋" w:hAnsi="仿宋" w:eastAsia="仿宋" w:cs="仿宋"/>
                <w:color w:val="auto"/>
                <w:szCs w:val="21"/>
                <w:highlight w:val="none"/>
                <w:lang w:eastAsia="zh-CN"/>
              </w:rPr>
            </w:pPr>
          </w:p>
        </w:tc>
      </w:tr>
      <w:tr w14:paraId="6CDD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813" w:type="dxa"/>
            <w:vMerge w:val="continue"/>
            <w:tcBorders>
              <w:left w:val="single" w:color="auto" w:sz="4" w:space="0"/>
              <w:right w:val="single" w:color="auto" w:sz="4" w:space="0"/>
            </w:tcBorders>
            <w:vAlign w:val="center"/>
          </w:tcPr>
          <w:p w14:paraId="65877BC1">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1ECDE1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1EA7B85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17A77B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9B5ABE0">
            <w:pPr>
              <w:spacing w:line="240" w:lineRule="auto"/>
              <w:rPr>
                <w:rFonts w:ascii="仿宋" w:hAnsi="仿宋" w:eastAsia="仿宋" w:cs="仿宋"/>
                <w:color w:val="auto"/>
                <w:szCs w:val="21"/>
                <w:highlight w:val="none"/>
                <w:lang w:eastAsia="zh-CN"/>
              </w:rPr>
            </w:pPr>
          </w:p>
        </w:tc>
      </w:tr>
      <w:tr w14:paraId="51F39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813" w:type="dxa"/>
            <w:vMerge w:val="continue"/>
            <w:tcBorders>
              <w:left w:val="single" w:color="auto" w:sz="4" w:space="0"/>
              <w:right w:val="single" w:color="auto" w:sz="4" w:space="0"/>
            </w:tcBorders>
            <w:vAlign w:val="center"/>
          </w:tcPr>
          <w:p w14:paraId="2112CEA5">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4948E97F">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7E1BAB1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7F5303B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7EFFCB37">
            <w:pPr>
              <w:spacing w:line="240" w:lineRule="auto"/>
              <w:rPr>
                <w:rFonts w:ascii="仿宋" w:hAnsi="仿宋" w:eastAsia="仿宋" w:cs="仿宋"/>
                <w:color w:val="auto"/>
                <w:szCs w:val="21"/>
                <w:highlight w:val="none"/>
                <w:lang w:eastAsia="zh-CN"/>
              </w:rPr>
            </w:pPr>
          </w:p>
        </w:tc>
      </w:tr>
      <w:tr w14:paraId="18EE4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3" w:type="dxa"/>
            <w:vMerge w:val="continue"/>
            <w:tcBorders>
              <w:left w:val="single" w:color="auto" w:sz="4" w:space="0"/>
              <w:right w:val="single" w:color="auto" w:sz="4" w:space="0"/>
            </w:tcBorders>
            <w:vAlign w:val="center"/>
          </w:tcPr>
          <w:p w14:paraId="0FA03B9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980A2F6">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07CA95C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5E29D6DF">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F2751F4">
            <w:pPr>
              <w:spacing w:line="240" w:lineRule="auto"/>
              <w:rPr>
                <w:rFonts w:ascii="仿宋" w:hAnsi="仿宋" w:eastAsia="仿宋" w:cs="仿宋"/>
                <w:color w:val="auto"/>
                <w:szCs w:val="21"/>
                <w:highlight w:val="none"/>
                <w:lang w:eastAsia="zh-CN"/>
              </w:rPr>
            </w:pPr>
          </w:p>
        </w:tc>
      </w:tr>
      <w:tr w14:paraId="6F64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813" w:type="dxa"/>
            <w:tcBorders>
              <w:left w:val="single" w:color="auto" w:sz="4" w:space="0"/>
              <w:bottom w:val="single" w:color="auto" w:sz="4" w:space="0"/>
              <w:right w:val="single" w:color="auto" w:sz="4" w:space="0"/>
            </w:tcBorders>
            <w:vAlign w:val="center"/>
          </w:tcPr>
          <w:p w14:paraId="71FFC6B7">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5A69AED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19005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2BF87454">
            <w:pPr>
              <w:spacing w:line="240" w:lineRule="auto"/>
              <w:rPr>
                <w:rFonts w:ascii="仿宋" w:hAnsi="仿宋" w:eastAsia="仿宋" w:cs="仿宋"/>
                <w:color w:val="auto"/>
                <w:szCs w:val="21"/>
                <w:highlight w:val="none"/>
                <w:lang w:eastAsia="zh-CN"/>
              </w:rPr>
            </w:pPr>
          </w:p>
        </w:tc>
      </w:tr>
    </w:tbl>
    <w:p w14:paraId="142B0AFE">
      <w:pPr>
        <w:rPr>
          <w:rFonts w:ascii="仿宋" w:hAnsi="仿宋" w:eastAsia="仿宋" w:cs="仿宋"/>
          <w:color w:val="auto"/>
          <w:highlight w:val="none"/>
          <w:lang w:eastAsia="zh-CN"/>
        </w:rPr>
      </w:pPr>
    </w:p>
    <w:p w14:paraId="15715F18">
      <w:pPr>
        <w:keepNext w:val="0"/>
        <w:keepLines w:val="0"/>
        <w:pageBreakBefore w:val="0"/>
        <w:widowControl w:val="0"/>
        <w:kinsoku/>
        <w:wordWrap/>
        <w:overflowPunct/>
        <w:topLinePunct w:val="0"/>
        <w:bidi w:val="0"/>
        <w:snapToGrid/>
        <w:spacing w:line="480" w:lineRule="exact"/>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6F16B5A">
      <w:pPr>
        <w:keepNext w:val="0"/>
        <w:keepLines w:val="0"/>
        <w:pageBreakBefore w:val="0"/>
        <w:widowControl w:val="0"/>
        <w:kinsoku/>
        <w:wordWrap/>
        <w:overflowPunct/>
        <w:topLinePunct w:val="0"/>
        <w:bidi w:val="0"/>
        <w:snapToGrid/>
        <w:spacing w:line="480" w:lineRule="exact"/>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7E090326">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29A1CA40">
      <w:pPr>
        <w:keepNext w:val="0"/>
        <w:keepLines w:val="0"/>
        <w:pageBreakBefore w:val="0"/>
        <w:widowControl w:val="0"/>
        <w:kinsoku/>
        <w:wordWrap/>
        <w:overflowPunct/>
        <w:topLinePunct w:val="0"/>
        <w:bidi w:val="0"/>
        <w:snapToGrid/>
        <w:spacing w:line="480" w:lineRule="exact"/>
        <w:ind w:firstLine="600"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69EF60E7">
      <w:pPr>
        <w:keepNext w:val="0"/>
        <w:keepLines w:val="0"/>
        <w:pageBreakBefore w:val="0"/>
        <w:widowControl w:val="0"/>
        <w:kinsoku/>
        <w:wordWrap/>
        <w:overflowPunct/>
        <w:topLinePunct w:val="0"/>
        <w:bidi w:val="0"/>
        <w:snapToGrid/>
        <w:spacing w:line="480" w:lineRule="exact"/>
        <w:ind w:firstLine="482"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2B8609AB">
      <w:pPr>
        <w:keepNext w:val="0"/>
        <w:keepLines w:val="0"/>
        <w:pageBreakBefore w:val="0"/>
        <w:widowControl w:val="0"/>
        <w:kinsoku/>
        <w:wordWrap/>
        <w:overflowPunct/>
        <w:topLinePunct w:val="0"/>
        <w:bidi w:val="0"/>
        <w:snapToGrid/>
        <w:spacing w:beforeLines="50" w:line="480" w:lineRule="exact"/>
        <w:jc w:val="center"/>
        <w:textAlignment w:val="auto"/>
        <w:outlineLvl w:val="1"/>
        <w:rPr>
          <w:rFonts w:ascii="仿宋" w:hAnsi="仿宋" w:eastAsia="仿宋" w:cs="仿宋"/>
          <w:b/>
          <w:color w:val="auto"/>
          <w:highlight w:val="none"/>
          <w:lang w:eastAsia="zh-CN"/>
        </w:rPr>
      </w:pPr>
      <w:bookmarkStart w:id="39" w:name="_Toc362983803"/>
      <w:bookmarkStart w:id="40" w:name="_Toc469495734"/>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3F4BC537">
      <w:pPr>
        <w:keepNext w:val="0"/>
        <w:keepLines w:val="0"/>
        <w:pageBreakBefore w:val="0"/>
        <w:widowControl w:val="0"/>
        <w:kinsoku/>
        <w:wordWrap/>
        <w:overflowPunct/>
        <w:topLinePunct w:val="0"/>
        <w:bidi w:val="0"/>
        <w:snapToGrid/>
        <w:spacing w:line="48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2E372EE2">
      <w:pPr>
        <w:keepNext w:val="0"/>
        <w:keepLines w:val="0"/>
        <w:pageBreakBefore w:val="0"/>
        <w:widowControl w:val="0"/>
        <w:kinsoku/>
        <w:wordWrap/>
        <w:overflowPunct/>
        <w:topLinePunct w:val="0"/>
        <w:bidi w:val="0"/>
        <w:snapToGrid/>
        <w:spacing w:line="48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5560C09">
      <w:pPr>
        <w:keepNext w:val="0"/>
        <w:keepLines w:val="0"/>
        <w:pageBreakBefore w:val="0"/>
        <w:widowControl w:val="0"/>
        <w:kinsoku/>
        <w:wordWrap/>
        <w:overflowPunct/>
        <w:topLinePunct w:val="0"/>
        <w:bidi w:val="0"/>
        <w:snapToGrid/>
        <w:spacing w:line="48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722BD6B">
      <w:pPr>
        <w:keepNext w:val="0"/>
        <w:keepLines w:val="0"/>
        <w:pageBreakBefore w:val="0"/>
        <w:widowControl w:val="0"/>
        <w:kinsoku/>
        <w:wordWrap/>
        <w:overflowPunct/>
        <w:topLinePunct w:val="0"/>
        <w:bidi w:val="0"/>
        <w:snapToGrid/>
        <w:spacing w:line="48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AA686B1">
      <w:pPr>
        <w:keepNext w:val="0"/>
        <w:keepLines w:val="0"/>
        <w:pageBreakBefore w:val="0"/>
        <w:widowControl w:val="0"/>
        <w:kinsoku/>
        <w:wordWrap/>
        <w:overflowPunct/>
        <w:topLinePunct w:val="0"/>
        <w:bidi w:val="0"/>
        <w:snapToGrid/>
        <w:spacing w:line="480" w:lineRule="exact"/>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214DFEEB">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440F8F4E">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142DB7DF">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0F3CFC52">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1E6C53C0">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0FC35382">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03089234">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907F4C8">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5D1FC716">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4F39D38B">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2D6144F">
      <w:pPr>
        <w:keepNext w:val="0"/>
        <w:keepLines w:val="0"/>
        <w:pageBreakBefore w:val="0"/>
        <w:widowControl w:val="0"/>
        <w:kinsoku/>
        <w:wordWrap/>
        <w:overflowPunct/>
        <w:topLinePunct w:val="0"/>
        <w:bidi w:val="0"/>
        <w:snapToGrid/>
        <w:spacing w:line="480" w:lineRule="exact"/>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18FFE889">
      <w:pPr>
        <w:keepNext w:val="0"/>
        <w:keepLines w:val="0"/>
        <w:pageBreakBefore w:val="0"/>
        <w:widowControl w:val="0"/>
        <w:tabs>
          <w:tab w:val="left" w:pos="720"/>
        </w:tabs>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bookmarkStart w:id="42" w:name="_Toc362983805"/>
      <w:bookmarkStart w:id="43" w:name="_Toc469495736"/>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7B05E9A8">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5E9D785B">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4ED219FE">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5F2AA43B">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462FBC44">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703D1F6A">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7871A6D4">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15D0967A">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59CDB3FC">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29563E49">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0807669C">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65D4C513">
      <w:pPr>
        <w:keepNext w:val="0"/>
        <w:keepLines w:val="0"/>
        <w:pageBreakBefore w:val="0"/>
        <w:widowControl w:val="0"/>
        <w:kinsoku/>
        <w:wordWrap/>
        <w:overflowPunct/>
        <w:topLinePunct w:val="0"/>
        <w:bidi w:val="0"/>
        <w:snapToGrid/>
        <w:spacing w:line="48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195B9521">
      <w:pPr>
        <w:pStyle w:val="9"/>
        <w:keepNext w:val="0"/>
        <w:keepLines w:val="0"/>
        <w:pageBreakBefore w:val="0"/>
        <w:widowControl w:val="0"/>
        <w:kinsoku/>
        <w:wordWrap/>
        <w:overflowPunct/>
        <w:topLinePunct w:val="0"/>
        <w:bidi w:val="0"/>
        <w:snapToGrid/>
        <w:spacing w:line="48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00EF8881">
      <w:pPr>
        <w:pStyle w:val="9"/>
        <w:jc w:val="center"/>
        <w:rPr>
          <w:rFonts w:hint="eastAsia" w:ascii="仿宋" w:hAnsi="仿宋" w:eastAsia="仿宋" w:cs="仿宋"/>
          <w:b/>
          <w:bCs/>
          <w:color w:val="auto"/>
          <w:sz w:val="28"/>
          <w:szCs w:val="21"/>
          <w:highlight w:val="none"/>
          <w:lang w:val="en-US" w:eastAsia="zh-CN"/>
        </w:rPr>
      </w:pPr>
    </w:p>
    <w:p w14:paraId="4D5A7E33">
      <w:pPr>
        <w:pStyle w:val="9"/>
        <w:jc w:val="center"/>
        <w:rPr>
          <w:rFonts w:hint="eastAsia" w:ascii="仿宋" w:hAnsi="仿宋" w:eastAsia="仿宋" w:cs="仿宋"/>
          <w:b/>
          <w:bCs/>
          <w:color w:val="auto"/>
          <w:sz w:val="28"/>
          <w:szCs w:val="21"/>
          <w:highlight w:val="yellow"/>
          <w:lang w:val="en-US" w:eastAsia="zh-CN"/>
        </w:rPr>
      </w:pPr>
      <w:r>
        <w:rPr>
          <w:rFonts w:hint="eastAsia" w:ascii="仿宋" w:hAnsi="仿宋" w:eastAsia="仿宋" w:cs="仿宋"/>
          <w:b/>
          <w:bCs/>
          <w:color w:val="auto"/>
          <w:sz w:val="32"/>
          <w:szCs w:val="22"/>
          <w:highlight w:val="none"/>
          <w:lang w:val="en-US" w:eastAsia="zh-CN"/>
        </w:rPr>
        <w:t>评分标准</w:t>
      </w:r>
    </w:p>
    <w:tbl>
      <w:tblPr>
        <w:tblStyle w:val="26"/>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28"/>
        <w:gridCol w:w="7288"/>
      </w:tblGrid>
      <w:tr w14:paraId="68D1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noWrap w:val="0"/>
            <w:vAlign w:val="center"/>
          </w:tcPr>
          <w:p w14:paraId="7EE966D8">
            <w:pPr>
              <w:spacing w:line="440" w:lineRule="exact"/>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评分因素</w:t>
            </w:r>
          </w:p>
        </w:tc>
        <w:tc>
          <w:tcPr>
            <w:tcW w:w="1528" w:type="dxa"/>
            <w:noWrap w:val="0"/>
            <w:vAlign w:val="center"/>
          </w:tcPr>
          <w:p w14:paraId="16FF6681">
            <w:pPr>
              <w:spacing w:line="440" w:lineRule="exact"/>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分值</w:t>
            </w:r>
          </w:p>
        </w:tc>
        <w:tc>
          <w:tcPr>
            <w:tcW w:w="7288" w:type="dxa"/>
            <w:noWrap w:val="0"/>
            <w:vAlign w:val="center"/>
          </w:tcPr>
          <w:p w14:paraId="77CEB79D">
            <w:pPr>
              <w:spacing w:line="440" w:lineRule="exact"/>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说明</w:t>
            </w:r>
          </w:p>
        </w:tc>
      </w:tr>
      <w:tr w14:paraId="1FA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27" w:type="dxa"/>
            <w:noWrap w:val="0"/>
            <w:vAlign w:val="center"/>
          </w:tcPr>
          <w:p w14:paraId="74DAAB71">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报价得分</w:t>
            </w:r>
          </w:p>
          <w:p w14:paraId="25BF0FBC">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（20分）</w:t>
            </w:r>
          </w:p>
        </w:tc>
        <w:tc>
          <w:tcPr>
            <w:tcW w:w="1528" w:type="dxa"/>
            <w:noWrap w:val="0"/>
            <w:vAlign w:val="center"/>
          </w:tcPr>
          <w:p w14:paraId="2BD15A57">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20分</w:t>
            </w:r>
          </w:p>
        </w:tc>
        <w:tc>
          <w:tcPr>
            <w:tcW w:w="7288" w:type="dxa"/>
            <w:noWrap w:val="0"/>
            <w:vAlign w:val="top"/>
          </w:tcPr>
          <w:p w14:paraId="30896AE3">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14:paraId="5A40F866">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注：投标报价超过采购预算价的按废标处理</w:t>
            </w:r>
          </w:p>
        </w:tc>
      </w:tr>
      <w:tr w14:paraId="2442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restart"/>
            <w:noWrap w:val="0"/>
            <w:vAlign w:val="center"/>
          </w:tcPr>
          <w:p w14:paraId="2CE1947D">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技术商务部分</w:t>
            </w:r>
          </w:p>
          <w:p w14:paraId="2D218D42">
            <w:pPr>
              <w:spacing w:line="440" w:lineRule="exact"/>
              <w:jc w:val="center"/>
              <w:rPr>
                <w:rFonts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80分</w:t>
            </w:r>
            <w:r>
              <w:rPr>
                <w:rFonts w:hint="eastAsia" w:ascii="仿宋" w:hAnsi="仿宋" w:eastAsia="仿宋" w:cs="仿宋"/>
                <w:color w:val="auto"/>
                <w:sz w:val="24"/>
                <w:szCs w:val="24"/>
                <w:highlight w:val="none"/>
                <w:lang w:eastAsia="zh-CN" w:bidi="ar-SA"/>
              </w:rPr>
              <w:t>）</w:t>
            </w:r>
          </w:p>
        </w:tc>
        <w:tc>
          <w:tcPr>
            <w:tcW w:w="1528" w:type="dxa"/>
            <w:noWrap w:val="0"/>
            <w:vAlign w:val="center"/>
          </w:tcPr>
          <w:p w14:paraId="767F1532">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技术参数响应情况</w:t>
            </w:r>
          </w:p>
          <w:p w14:paraId="6EDB97C4">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（10分）</w:t>
            </w:r>
          </w:p>
        </w:tc>
        <w:tc>
          <w:tcPr>
            <w:tcW w:w="7288" w:type="dxa"/>
            <w:noWrap w:val="0"/>
            <w:vAlign w:val="top"/>
          </w:tcPr>
          <w:p w14:paraId="35A2B4B0">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本项目招标文件采购需求中的建设内容须全部满足（如有不满足视为不响应招标文件要求），在此基础上每有一项正偏离加1分，最多加10分。（须提供真实有效的证明材料，未提供不加分。）</w:t>
            </w:r>
          </w:p>
        </w:tc>
      </w:tr>
      <w:tr w14:paraId="1CB9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227" w:type="dxa"/>
            <w:vMerge w:val="continue"/>
            <w:noWrap w:val="0"/>
            <w:vAlign w:val="center"/>
          </w:tcPr>
          <w:p w14:paraId="429150BA">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26D07DAE">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应急方案</w:t>
            </w:r>
          </w:p>
          <w:p w14:paraId="2725F74D">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(8分）</w:t>
            </w:r>
          </w:p>
          <w:p w14:paraId="4535544E">
            <w:pPr>
              <w:spacing w:line="440" w:lineRule="exact"/>
              <w:jc w:val="center"/>
              <w:rPr>
                <w:rFonts w:hint="eastAsia" w:ascii="仿宋" w:hAnsi="仿宋" w:eastAsia="仿宋" w:cs="仿宋"/>
                <w:b w:val="0"/>
                <w:bCs w:val="0"/>
                <w:color w:val="auto"/>
                <w:sz w:val="24"/>
                <w:szCs w:val="24"/>
                <w:highlight w:val="none"/>
                <w:lang w:val="en-US" w:eastAsia="zh-CN"/>
              </w:rPr>
            </w:pPr>
          </w:p>
        </w:tc>
        <w:tc>
          <w:tcPr>
            <w:tcW w:w="7288" w:type="dxa"/>
            <w:noWrap w:val="0"/>
            <w:vAlign w:val="top"/>
          </w:tcPr>
          <w:p w14:paraId="39C23DBD">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投标人编制安全管理及应急处理方案的合理、完善情况打分。安全管理及应急处理方案包括但不限于：①项目实施期间安全管理方案②应急预案③重大事故处理方案④系统故障的应急响应时间、处理措施；以上全部提供，得8分，每缺少1方面内容扣2分，每有1处内容存在不足之处(指内容不全面或不完善、与项目实际不匹配或存在偏差、内容缺乏逻辑性等)扣 1分，扣完为止。 </w:t>
            </w:r>
          </w:p>
        </w:tc>
      </w:tr>
      <w:tr w14:paraId="0E8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27" w:type="dxa"/>
            <w:vMerge w:val="continue"/>
            <w:noWrap w:val="0"/>
            <w:vAlign w:val="center"/>
          </w:tcPr>
          <w:p w14:paraId="3E80869B">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4B18DF13">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实施方案</w:t>
            </w:r>
          </w:p>
          <w:p w14:paraId="1630650A">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（16分）</w:t>
            </w:r>
          </w:p>
        </w:tc>
        <w:tc>
          <w:tcPr>
            <w:tcW w:w="7288" w:type="dxa"/>
            <w:noWrap w:val="0"/>
            <w:vAlign w:val="top"/>
          </w:tcPr>
          <w:p w14:paraId="0E42ECA9">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根据招标文件要求，对投标人提供的项目实施组织管理方案，从①实施计划安排;②人员组织;③技术服务方案；④质量控制体系;⑤ 系统构架设计； ⑥故障处置流程;⑦运行维护计划等内容;⑧对本项目的风险预见及应对措施，制度规范编制、系统测试、协助测试测评等方面进行综合评审;以上8项内容无缺陷、科学合理、规范性和可操作性高、逻辑清晰、细致全面，能满足项目实际需求的得16分，每有一项内容缺失扣2 分，每有一项内容不完整或未能满足采购需求的扣1分，扣完为止。</w:t>
            </w:r>
          </w:p>
        </w:tc>
      </w:tr>
      <w:tr w14:paraId="4BFD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27" w:type="dxa"/>
            <w:vMerge w:val="continue"/>
            <w:noWrap w:val="0"/>
            <w:vAlign w:val="center"/>
          </w:tcPr>
          <w:p w14:paraId="1DEDAFFC">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5E1A1469">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综合实力</w:t>
            </w:r>
          </w:p>
          <w:p w14:paraId="349E4641">
            <w:pPr>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p w14:paraId="3443F9F5">
            <w:pPr>
              <w:spacing w:line="440" w:lineRule="exact"/>
              <w:jc w:val="center"/>
              <w:rPr>
                <w:rFonts w:hint="eastAsia" w:ascii="仿宋" w:hAnsi="仿宋" w:eastAsia="仿宋" w:cs="仿宋"/>
                <w:b w:val="0"/>
                <w:bCs w:val="0"/>
                <w:color w:val="auto"/>
                <w:sz w:val="24"/>
                <w:szCs w:val="24"/>
                <w:highlight w:val="none"/>
                <w:lang w:val="en-US" w:eastAsia="zh-CN"/>
              </w:rPr>
            </w:pPr>
          </w:p>
        </w:tc>
        <w:tc>
          <w:tcPr>
            <w:tcW w:w="7288" w:type="dxa"/>
            <w:noWrap w:val="0"/>
            <w:vAlign w:val="top"/>
          </w:tcPr>
          <w:p w14:paraId="53FDE828">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投标人具有有效的质量管理体系认证证书ISO9001、信息安全管理体系认证证书ISO27001、信息技术服务管理体系认证证书ISO20000认证证书，每提供一项得2分，最多得6分。</w:t>
            </w:r>
          </w:p>
        </w:tc>
      </w:tr>
      <w:tr w14:paraId="68E3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noWrap w:val="0"/>
            <w:vAlign w:val="center"/>
          </w:tcPr>
          <w:p w14:paraId="00423281">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1D34DBC0">
            <w:pPr>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售后服务</w:t>
            </w:r>
          </w:p>
          <w:p w14:paraId="5A2FA8F2">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（18分）</w:t>
            </w:r>
          </w:p>
          <w:p w14:paraId="5707BFF3">
            <w:pPr>
              <w:spacing w:line="440" w:lineRule="exact"/>
              <w:jc w:val="center"/>
              <w:rPr>
                <w:rFonts w:hint="eastAsia" w:ascii="仿宋" w:hAnsi="仿宋" w:eastAsia="仿宋" w:cs="仿宋"/>
                <w:color w:val="auto"/>
                <w:sz w:val="24"/>
                <w:szCs w:val="24"/>
                <w:highlight w:val="none"/>
                <w:lang w:eastAsia="zh-CN" w:bidi="ar-SA"/>
              </w:rPr>
            </w:pPr>
          </w:p>
        </w:tc>
        <w:tc>
          <w:tcPr>
            <w:tcW w:w="7288" w:type="dxa"/>
            <w:noWrap w:val="0"/>
            <w:vAlign w:val="top"/>
          </w:tcPr>
          <w:p w14:paraId="6B493BE9">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投标人提供了售后服务方案及措施，内容包含但不限于：</w:t>
            </w:r>
          </w:p>
          <w:p w14:paraId="7FF05352">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①服务人员配置；</w:t>
            </w:r>
          </w:p>
          <w:p w14:paraId="5F02D906">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②服务响应时间及内容；</w:t>
            </w:r>
          </w:p>
          <w:p w14:paraId="564E929A">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③故障排除时间及措施；</w:t>
            </w:r>
          </w:p>
          <w:p w14:paraId="7BE3EB9B">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④突发事件处理措施；</w:t>
            </w:r>
          </w:p>
          <w:p w14:paraId="226E9390">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⑤服务保障措施；</w:t>
            </w:r>
          </w:p>
          <w:p w14:paraId="45D5C5A5">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⑥巡检服务内容等，</w:t>
            </w:r>
          </w:p>
          <w:p w14:paraId="7F17FD48">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以上6项内容无缺陷、科学、合理，能满足项目实际需求的得18分，每有一项内容缺失扣3分，每有一项内容不完整或未能满足采购需求的扣2分，扣完为止。</w:t>
            </w:r>
          </w:p>
        </w:tc>
      </w:tr>
      <w:tr w14:paraId="588D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vMerge w:val="continue"/>
            <w:noWrap w:val="0"/>
            <w:vAlign w:val="center"/>
          </w:tcPr>
          <w:p w14:paraId="3A6B1438">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4F34D652">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类似业绩</w:t>
            </w:r>
          </w:p>
          <w:p w14:paraId="5F8AC443">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6分</w:t>
            </w:r>
            <w:r>
              <w:rPr>
                <w:rFonts w:hint="eastAsia" w:ascii="仿宋" w:hAnsi="仿宋" w:eastAsia="仿宋" w:cs="仿宋"/>
                <w:color w:val="auto"/>
                <w:sz w:val="24"/>
                <w:szCs w:val="24"/>
                <w:highlight w:val="none"/>
                <w:lang w:eastAsia="zh-CN" w:bidi="ar-SA"/>
              </w:rPr>
              <w:t>）</w:t>
            </w:r>
          </w:p>
        </w:tc>
        <w:tc>
          <w:tcPr>
            <w:tcW w:w="7288" w:type="dxa"/>
            <w:noWrap w:val="0"/>
            <w:vAlign w:val="top"/>
          </w:tcPr>
          <w:p w14:paraId="46CFCBC4">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提供(2021年1月1日至今）类似业绩，每提供1项业绩得2分，最多得6分。(需提供中标/成交通知书和合同，不提供不得分）</w:t>
            </w:r>
          </w:p>
        </w:tc>
      </w:tr>
      <w:tr w14:paraId="777B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27" w:type="dxa"/>
            <w:vMerge w:val="continue"/>
            <w:noWrap w:val="0"/>
            <w:vAlign w:val="center"/>
          </w:tcPr>
          <w:p w14:paraId="45EA2D3D">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620FEAF5">
            <w:pPr>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培训方案</w:t>
            </w:r>
          </w:p>
          <w:p w14:paraId="3A1E0702">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（6分）</w:t>
            </w:r>
          </w:p>
          <w:p w14:paraId="71DF53F9">
            <w:pPr>
              <w:spacing w:line="440" w:lineRule="exact"/>
              <w:jc w:val="center"/>
              <w:rPr>
                <w:rFonts w:hint="eastAsia" w:ascii="仿宋" w:hAnsi="仿宋" w:eastAsia="仿宋" w:cs="仿宋"/>
                <w:color w:val="auto"/>
                <w:sz w:val="24"/>
                <w:szCs w:val="24"/>
                <w:highlight w:val="none"/>
                <w:lang w:eastAsia="zh-CN" w:bidi="ar-SA"/>
              </w:rPr>
            </w:pPr>
          </w:p>
        </w:tc>
        <w:tc>
          <w:tcPr>
            <w:tcW w:w="7288" w:type="dxa"/>
            <w:noWrap w:val="0"/>
            <w:vAlign w:val="top"/>
          </w:tcPr>
          <w:p w14:paraId="4F7CC141">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lang w:val="en-US" w:eastAsia="zh-CN"/>
              </w:rPr>
              <w:t>投标单位</w:t>
            </w:r>
            <w:r>
              <w:rPr>
                <w:rFonts w:hint="eastAsia" w:ascii="仿宋" w:hAnsi="仿宋" w:eastAsia="仿宋" w:cs="Times New Roman"/>
                <w:color w:val="auto"/>
                <w:szCs w:val="24"/>
                <w:highlight w:val="none"/>
                <w:lang w:val="en-US" w:eastAsia="zh-CN"/>
              </w:rPr>
              <w:t>根据本项目的采购内容和需求编制培训方案，包含①培训内容②培训方式③培训流程等内容。根据投标人提供的现场技术培训方案的可行性、合理性、实用性等方面进行综合评分满分6分；每缺一项内容减2分，每有一项内容存在缺陷（缺陷指内容阐述不清晰，存在偏差或过于简略）的减1分，减完为止。未提供方案得 0 分。</w:t>
            </w:r>
          </w:p>
        </w:tc>
      </w:tr>
      <w:tr w14:paraId="0314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227" w:type="dxa"/>
            <w:vMerge w:val="continue"/>
            <w:noWrap w:val="0"/>
            <w:vAlign w:val="center"/>
          </w:tcPr>
          <w:p w14:paraId="1C9A98CC">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7E58E6B3">
            <w:pPr>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项目服务团队</w:t>
            </w:r>
          </w:p>
          <w:p w14:paraId="7B9E1A35">
            <w:pPr>
              <w:spacing w:line="440" w:lineRule="exact"/>
              <w:jc w:val="cente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（5分）</w:t>
            </w:r>
          </w:p>
        </w:tc>
        <w:tc>
          <w:tcPr>
            <w:tcW w:w="7288" w:type="dxa"/>
            <w:noWrap w:val="0"/>
            <w:vAlign w:val="top"/>
          </w:tcPr>
          <w:p w14:paraId="3D5D5CC0">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1、项目负责人具有项目管理师证书，得2分，没有不得分。</w:t>
            </w:r>
          </w:p>
          <w:p w14:paraId="2F3B656B">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2、项目组成员中有2名相关专业中级（含）以上工程师得1分，未提供不得分。</w:t>
            </w:r>
          </w:p>
          <w:p w14:paraId="0B945605">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3、驻场工程师在满足招标文件基础上，每增加1人加1分，最多加2分。（提供相关证明材料）</w:t>
            </w:r>
          </w:p>
        </w:tc>
      </w:tr>
      <w:tr w14:paraId="7AD4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227" w:type="dxa"/>
            <w:vMerge w:val="continue"/>
            <w:noWrap w:val="0"/>
            <w:vAlign w:val="center"/>
          </w:tcPr>
          <w:p w14:paraId="6E6B3BAA">
            <w:pPr>
              <w:spacing w:line="440" w:lineRule="exact"/>
              <w:ind w:firstLine="616" w:firstLineChars="257"/>
              <w:jc w:val="center"/>
              <w:rPr>
                <w:rFonts w:ascii="仿宋" w:hAnsi="仿宋" w:eastAsia="仿宋" w:cs="仿宋"/>
                <w:color w:val="auto"/>
                <w:sz w:val="24"/>
                <w:szCs w:val="24"/>
                <w:highlight w:val="none"/>
                <w:lang w:eastAsia="zh-CN" w:bidi="ar-SA"/>
              </w:rPr>
            </w:pPr>
          </w:p>
        </w:tc>
        <w:tc>
          <w:tcPr>
            <w:tcW w:w="1528" w:type="dxa"/>
            <w:noWrap w:val="0"/>
            <w:vAlign w:val="center"/>
          </w:tcPr>
          <w:p w14:paraId="190CB1C3">
            <w:pPr>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系统演示</w:t>
            </w:r>
          </w:p>
          <w:p w14:paraId="62A83E60">
            <w:pPr>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（5分）</w:t>
            </w:r>
          </w:p>
        </w:tc>
        <w:tc>
          <w:tcPr>
            <w:tcW w:w="7288" w:type="dxa"/>
            <w:noWrap w:val="0"/>
            <w:vAlign w:val="top"/>
          </w:tcPr>
          <w:p w14:paraId="279352FD">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针对本项目提供以下内容的系统演示（演示视频于开标截止时间前压缩并加密发送至指定邮箱3265613387@qq.com，每份视频文件需注明演示产品名称，演示时间在30分钟以内，由评审小组根据功能演示情况进行综合评分。）演示内容如下：</w:t>
            </w:r>
          </w:p>
          <w:p w14:paraId="3E61E495">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演示档案归档功能：针对待审核的归档流程，清晰直观地展示关键信息，如：档号、题名、档室所属单位、版本、密级、保管期限、审核状态，支持新增归档申请、删除归档申请、回第一步、终止流程、导出；针对审核通过的流程，可查看每个流程的操作及报告单；针对档案查阅功能，支持通过档号、题名、归档时间、归档所属单位、招标代理、开标时间、密级、招标人、中标单位条件进行检索。</w:t>
            </w:r>
          </w:p>
          <w:p w14:paraId="7DDEE8A8">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需演示档案利用功能：针对待审核的借阅申请，支持新增借阅申请、删除借阅申请、回第一步、终止流程。对每个借阅申请进行操作，可查看用途信息、档案信息、相关电子附件、处理历史；在线预览功能，列表形式展示档案号、题名、借阅人、档案所属单位、版本、保管期限、密级，在预览界面可查看档案电子件。</w:t>
            </w:r>
          </w:p>
          <w:p w14:paraId="17959FE9">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演示档案统计功能：在档案统计展示界面中，需直观展现出交易业务统计模块、支持不同采购类型的档案归档统计、以纸质/电子为分类的档案分类统计，以时间（年限）为维度的档案年限统计，以业务类型为维度的档案业务统计，以时间（天数）、业务类型为维度的档案借阅统计，档案下载统计，文件补录情况统计，档案处置与鉴定统计。</w:t>
            </w:r>
          </w:p>
          <w:p w14:paraId="61D31F10">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1.演示内容全面、完整、合理可行、有针对性，得5分； </w:t>
            </w:r>
          </w:p>
          <w:p w14:paraId="1443C88F">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2.演示内容一般，合理性、针对性一般，得2分； </w:t>
            </w:r>
          </w:p>
          <w:p w14:paraId="2FCF049C">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3.演示内容过于简单或不演示或演示失败（无效视频）不得分。</w:t>
            </w:r>
          </w:p>
        </w:tc>
      </w:tr>
    </w:tbl>
    <w:p w14:paraId="6FA79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1"/>
          <w:highlight w:val="none"/>
          <w:lang w:eastAsia="zh-CN" w:bidi="ar-SA"/>
        </w:rPr>
      </w:pPr>
    </w:p>
    <w:p w14:paraId="404C1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22D43AE8">
      <w:pPr>
        <w:pStyle w:val="47"/>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3254C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满足招标文件技术要求且投标价格最低的投标报价为评标基准价，其价格分为满分。其他供应商的价格分别按照下列公式计算： 投标报价得分=（评标基准价/投标报价）×价格权重。</w:t>
      </w:r>
    </w:p>
    <w:p w14:paraId="244606D1">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5CBF097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447B1651">
      <w:pPr>
        <w:keepNext w:val="0"/>
        <w:keepLines w:val="0"/>
        <w:pageBreakBefore w:val="0"/>
        <w:kinsoku/>
        <w:wordWrap/>
        <w:overflowPunct/>
        <w:topLinePunct w:val="0"/>
        <w:autoSpaceDE/>
        <w:autoSpaceDN/>
        <w:bidi w:val="0"/>
        <w:adjustRightInd/>
        <w:spacing w:line="360" w:lineRule="auto"/>
        <w:ind w:firstLine="470"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19AFF42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2312115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0733FD89">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31274448">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4C238898">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21ACF61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43D23FE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09344C4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1E013F8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26A3021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2FF751E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56E8552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6C6733D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251D567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27BDF62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534DB98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35B153C1">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33CAB5E7">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0CBE1048">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0E6C9EBD">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5DADA49F">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73407C3B">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0FC8A50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57D14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3EA1623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505EBFE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88BDF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5E00915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447862B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4E564635">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5D2E07D8">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62D9380C">
      <w:pPr>
        <w:keepNext w:val="0"/>
        <w:keepLines w:val="0"/>
        <w:pageBreakBefore w:val="0"/>
        <w:tabs>
          <w:tab w:val="left" w:pos="1123"/>
        </w:tabs>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725DAA1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6609168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19271B9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0E0AAFF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53292062">
      <w:pPr>
        <w:keepNext w:val="0"/>
        <w:keepLines w:val="0"/>
        <w:pageBreakBefore w:val="0"/>
        <w:kinsoku/>
        <w:wordWrap/>
        <w:overflowPunct/>
        <w:topLinePunct w:val="0"/>
        <w:autoSpaceDE/>
        <w:autoSpaceDN/>
        <w:bidi w:val="0"/>
        <w:adjustRightInd/>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7692020E">
      <w:pPr>
        <w:keepNext w:val="0"/>
        <w:keepLines w:val="0"/>
        <w:pageBreakBefore w:val="0"/>
        <w:kinsoku/>
        <w:wordWrap/>
        <w:overflowPunct/>
        <w:topLinePunct w:val="0"/>
        <w:autoSpaceDE/>
        <w:autoSpaceDN/>
        <w:bidi w:val="0"/>
        <w:adjustRightInd/>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16C9D881">
      <w:pPr>
        <w:keepNext w:val="0"/>
        <w:keepLines w:val="0"/>
        <w:pageBreakBefore w:val="0"/>
        <w:kinsoku/>
        <w:wordWrap/>
        <w:overflowPunct/>
        <w:topLinePunct w:val="0"/>
        <w:autoSpaceDE/>
        <w:autoSpaceDN/>
        <w:bidi w:val="0"/>
        <w:adjustRightInd/>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4FD184EF">
      <w:pPr>
        <w:keepNext w:val="0"/>
        <w:keepLines w:val="0"/>
        <w:pageBreakBefore w:val="0"/>
        <w:kinsoku/>
        <w:wordWrap/>
        <w:overflowPunct/>
        <w:topLinePunct w:val="0"/>
        <w:autoSpaceDE/>
        <w:autoSpaceDN/>
        <w:bidi w:val="0"/>
        <w:adjustRightInd/>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F3A7566">
      <w:pPr>
        <w:keepNext w:val="0"/>
        <w:keepLines w:val="0"/>
        <w:pageBreakBefore w:val="0"/>
        <w:kinsoku/>
        <w:wordWrap/>
        <w:overflowPunct/>
        <w:topLinePunct w:val="0"/>
        <w:autoSpaceDE/>
        <w:autoSpaceDN/>
        <w:bidi w:val="0"/>
        <w:adjustRightInd/>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38598C81">
      <w:pPr>
        <w:pageBreakBefore/>
        <w:shd w:val="clear"/>
        <w:spacing w:line="440" w:lineRule="exact"/>
        <w:jc w:val="center"/>
        <w:outlineLvl w:val="0"/>
        <w:rPr>
          <w:rFonts w:hint="eastAsia" w:ascii="仿宋" w:hAnsi="仿宋" w:eastAsia="仿宋" w:cs="仿宋"/>
          <w:b/>
          <w:bCs w:val="0"/>
          <w:color w:val="auto"/>
          <w:sz w:val="36"/>
          <w:szCs w:val="36"/>
          <w:highlight w:val="none"/>
          <w:lang w:eastAsia="zh-CN"/>
        </w:rPr>
      </w:pPr>
      <w:bookmarkStart w:id="44" w:name="OLE_LINK4"/>
      <w:bookmarkStart w:id="45" w:name="_Toc469495737"/>
      <w:r>
        <w:rPr>
          <w:rFonts w:hint="eastAsia" w:ascii="仿宋" w:hAnsi="仿宋" w:eastAsia="仿宋" w:cs="仿宋"/>
          <w:b/>
          <w:bCs w:val="0"/>
          <w:color w:val="auto"/>
          <w:sz w:val="36"/>
          <w:szCs w:val="36"/>
          <w:highlight w:val="none"/>
          <w:lang w:eastAsia="zh-CN"/>
        </w:rPr>
        <w:t>第四章 建设内容及服务要求</w:t>
      </w:r>
      <w:bookmarkEnd w:id="38"/>
      <w:bookmarkEnd w:id="44"/>
      <w:bookmarkEnd w:id="45"/>
      <w:bookmarkStart w:id="46" w:name="_Toc340225294"/>
      <w:bookmarkStart w:id="47" w:name="_Toc267320052"/>
    </w:p>
    <w:p w14:paraId="4F4198B8">
      <w:pPr>
        <w:pStyle w:val="3"/>
        <w:pageBreakBefore w:val="0"/>
        <w:widowControl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rPr>
      </w:pPr>
      <w:bookmarkStart w:id="48" w:name="_Toc1600"/>
      <w:r>
        <w:rPr>
          <w:rFonts w:hint="eastAsia" w:ascii="仿宋" w:hAnsi="仿宋" w:eastAsia="仿宋" w:cs="仿宋"/>
          <w:sz w:val="24"/>
          <w:szCs w:val="24"/>
          <w:lang w:eastAsia="zh-CN"/>
        </w:rPr>
        <w:t>一、</w:t>
      </w:r>
      <w:r>
        <w:rPr>
          <w:rFonts w:hint="eastAsia" w:ascii="仿宋" w:hAnsi="仿宋" w:eastAsia="仿宋" w:cs="仿宋"/>
          <w:sz w:val="24"/>
          <w:szCs w:val="24"/>
        </w:rPr>
        <w:t>项目概述</w:t>
      </w:r>
      <w:bookmarkEnd w:id="48"/>
    </w:p>
    <w:p w14:paraId="3506CF5C">
      <w:pPr>
        <w:pStyle w:val="4"/>
        <w:pageBreakBefore w:val="0"/>
        <w:widowControl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rPr>
      </w:pPr>
      <w:bookmarkStart w:id="49" w:name="_Toc19812"/>
      <w:bookmarkStart w:id="50" w:name="_Toc25151"/>
      <w:bookmarkStart w:id="51" w:name="_Toc10357"/>
      <w:bookmarkStart w:id="52" w:name="_Toc24693"/>
      <w:r>
        <w:rPr>
          <w:rFonts w:hint="eastAsia" w:ascii="仿宋" w:hAnsi="仿宋" w:eastAsia="仿宋" w:cs="仿宋"/>
          <w:sz w:val="24"/>
          <w:szCs w:val="24"/>
          <w:lang w:val="en-US" w:eastAsia="zh-CN"/>
        </w:rPr>
        <w:t>1.1、</w:t>
      </w:r>
      <w:r>
        <w:rPr>
          <w:rFonts w:hint="eastAsia" w:ascii="仿宋" w:hAnsi="仿宋" w:eastAsia="仿宋" w:cs="仿宋"/>
          <w:sz w:val="24"/>
          <w:szCs w:val="24"/>
        </w:rPr>
        <w:t>项目背景</w:t>
      </w:r>
      <w:bookmarkEnd w:id="49"/>
      <w:bookmarkEnd w:id="50"/>
      <w:bookmarkEnd w:id="51"/>
      <w:bookmarkEnd w:id="52"/>
    </w:p>
    <w:p w14:paraId="40BE1006">
      <w:pPr>
        <w:pStyle w:val="7"/>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rPr>
      </w:pPr>
      <w:r>
        <w:rPr>
          <w:rFonts w:hint="eastAsia" w:ascii="仿宋" w:hAnsi="仿宋" w:eastAsia="仿宋" w:cs="仿宋"/>
          <w:sz w:val="24"/>
          <w:szCs w:val="24"/>
        </w:rPr>
        <w:t>档案由档案信息和记录档案信息的载体组成，国家一直重视对档案的管理。随着电子化、信息化的高速发展，建设电子档案管理系统也成了档案管理的一大创新与突破，各种政策不断重复明确建设电子档案系统的重要性和必要性，鼓励推进传统档案电子化。</w:t>
      </w:r>
    </w:p>
    <w:p w14:paraId="4A88DE87">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2017年，国家档案局办公室印发了《电子档案管理系统基本功能规定》</w:t>
      </w:r>
      <w:r>
        <w:rPr>
          <w:rFonts w:hint="eastAsia" w:ascii="仿宋" w:hAnsi="仿宋" w:eastAsia="仿宋" w:cs="仿宋"/>
          <w:sz w:val="24"/>
          <w:szCs w:val="24"/>
        </w:rPr>
        <w:t>，该规定对电子档案管理系统的基本功能，包括系统总体要求、档案接收、档案整理、档案保存、档案利用、档案鉴定与处置、档案统计、系统管理八个方面提出了</w:t>
      </w:r>
      <w:r>
        <w:rPr>
          <w:rFonts w:hint="eastAsia" w:ascii="仿宋" w:hAnsi="仿宋" w:eastAsia="仿宋" w:cs="仿宋"/>
          <w:bCs/>
          <w:sz w:val="24"/>
          <w:szCs w:val="24"/>
        </w:rPr>
        <w:t>明确要求</w:t>
      </w:r>
      <w:r>
        <w:rPr>
          <w:rFonts w:hint="eastAsia" w:ascii="仿宋" w:hAnsi="仿宋" w:eastAsia="仿宋" w:cs="仿宋"/>
          <w:sz w:val="24"/>
          <w:szCs w:val="24"/>
        </w:rPr>
        <w:t>，是</w:t>
      </w:r>
      <w:r>
        <w:rPr>
          <w:rFonts w:hint="eastAsia" w:ascii="仿宋" w:hAnsi="仿宋" w:eastAsia="仿宋" w:cs="仿宋"/>
          <w:b/>
          <w:bCs/>
          <w:sz w:val="24"/>
          <w:szCs w:val="24"/>
        </w:rPr>
        <w:t>建设电子档案管理系统的重要依据。</w:t>
      </w:r>
    </w:p>
    <w:p w14:paraId="2393F619">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2019年5月29日国家发改委《关于深化公共资源交易平台整合共享的指导意见》</w:t>
      </w:r>
      <w:r>
        <w:rPr>
          <w:rFonts w:hint="eastAsia" w:ascii="仿宋" w:hAnsi="仿宋" w:eastAsia="仿宋" w:cs="仿宋"/>
          <w:sz w:val="24"/>
          <w:szCs w:val="24"/>
        </w:rPr>
        <w:t>中要求“健全平台电子系统”，提出“抓紧解决公共资源交易平台电子档案、技术规范、信息安全等问题”，加快推进</w:t>
      </w:r>
      <w:r>
        <w:rPr>
          <w:rFonts w:hint="eastAsia" w:ascii="仿宋" w:hAnsi="仿宋" w:eastAsia="仿宋" w:cs="仿宋"/>
          <w:bCs/>
          <w:sz w:val="24"/>
          <w:szCs w:val="24"/>
        </w:rPr>
        <w:t>全流程电子化</w:t>
      </w:r>
      <w:r>
        <w:rPr>
          <w:rFonts w:hint="eastAsia" w:ascii="仿宋" w:hAnsi="仿宋" w:eastAsia="仿宋" w:cs="仿宋"/>
          <w:sz w:val="24"/>
          <w:szCs w:val="24"/>
        </w:rPr>
        <w:t>。</w:t>
      </w:r>
    </w:p>
    <w:p w14:paraId="1E7FFFEE">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2019年12月4日《中华人民共和国招投标法（修订草案公开征求意见稿）》</w:t>
      </w:r>
      <w:r>
        <w:rPr>
          <w:rFonts w:hint="eastAsia" w:ascii="仿宋" w:hAnsi="仿宋" w:eastAsia="仿宋" w:cs="仿宋"/>
          <w:sz w:val="24"/>
          <w:szCs w:val="24"/>
        </w:rPr>
        <w:t>中提出：“招标人、招标代理机构应当对每个招标项目有关的文件资料建立真实完整的招标档案，并按照国家有关规定妥善保存，不得伪造、变造、隐匿或者销毁。招标档案的保存期限为自招标结束之日起</w:t>
      </w:r>
      <w:r>
        <w:rPr>
          <w:rFonts w:hint="eastAsia" w:ascii="仿宋" w:hAnsi="仿宋" w:eastAsia="仿宋" w:cs="仿宋"/>
          <w:b/>
          <w:bCs/>
          <w:color w:val="000000"/>
          <w:sz w:val="24"/>
          <w:szCs w:val="24"/>
        </w:rPr>
        <w:t>至少十五年</w:t>
      </w:r>
      <w:r>
        <w:rPr>
          <w:rFonts w:hint="eastAsia" w:ascii="仿宋" w:hAnsi="仿宋" w:eastAsia="仿宋" w:cs="仿宋"/>
          <w:sz w:val="24"/>
          <w:szCs w:val="24"/>
        </w:rPr>
        <w:t>。”</w:t>
      </w:r>
    </w:p>
    <w:p w14:paraId="474BA713">
      <w:pPr>
        <w:pageBreakBefore w:val="0"/>
        <w:widowControl w:val="0"/>
        <w:shd w:val="clear"/>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2020年6月20日第十三届全国人民代表大会常务委员会第十九次会议修订《中华人民共和国档案法》第五章“档案信息化建设”</w:t>
      </w:r>
      <w:r>
        <w:rPr>
          <w:rFonts w:hint="eastAsia" w:ascii="仿宋" w:hAnsi="仿宋" w:eastAsia="仿宋" w:cs="仿宋"/>
          <w:sz w:val="24"/>
          <w:szCs w:val="24"/>
        </w:rPr>
        <w:t>指出：“第三十五条各级人民政府应当将档案信息化纳入信息化发展规划，</w:t>
      </w:r>
      <w:r>
        <w:rPr>
          <w:rFonts w:hint="eastAsia" w:ascii="仿宋" w:hAnsi="仿宋" w:eastAsia="仿宋" w:cs="仿宋"/>
          <w:bCs/>
          <w:sz w:val="24"/>
          <w:szCs w:val="24"/>
        </w:rPr>
        <w:t>保障电子档案、传统载体档案数字化成果</w:t>
      </w:r>
      <w:r>
        <w:rPr>
          <w:rFonts w:hint="eastAsia" w:ascii="仿宋" w:hAnsi="仿宋" w:eastAsia="仿宋" w:cs="仿宋"/>
          <w:sz w:val="24"/>
          <w:szCs w:val="24"/>
        </w:rPr>
        <w:t>等档案数字资源的安全保存和有效利用。机关、团体、企业事业单位和其他组织应当</w:t>
      </w:r>
      <w:r>
        <w:rPr>
          <w:rFonts w:hint="eastAsia" w:ascii="仿宋" w:hAnsi="仿宋" w:eastAsia="仿宋" w:cs="仿宋"/>
          <w:bCs/>
          <w:sz w:val="24"/>
          <w:szCs w:val="24"/>
        </w:rPr>
        <w:t>积极推进电子档案管理信息系统建设，</w:t>
      </w:r>
      <w:r>
        <w:rPr>
          <w:rFonts w:hint="eastAsia" w:ascii="仿宋" w:hAnsi="仿宋" w:eastAsia="仿宋" w:cs="仿宋"/>
          <w:sz w:val="24"/>
          <w:szCs w:val="24"/>
        </w:rPr>
        <w:t>与办公自动化系统、业务系统等相互衔接。第三十八条</w:t>
      </w:r>
      <w:r>
        <w:rPr>
          <w:rFonts w:hint="eastAsia" w:ascii="仿宋" w:hAnsi="仿宋" w:eastAsia="仿宋" w:cs="仿宋"/>
          <w:bCs/>
          <w:sz w:val="24"/>
          <w:szCs w:val="24"/>
        </w:rPr>
        <w:t>国家鼓励和支持</w:t>
      </w:r>
      <w:r>
        <w:rPr>
          <w:rFonts w:hint="eastAsia" w:ascii="仿宋" w:hAnsi="仿宋" w:eastAsia="仿宋" w:cs="仿宋"/>
          <w:sz w:val="24"/>
          <w:szCs w:val="24"/>
        </w:rPr>
        <w:t>档案馆和机关、团体、企业事业单位以及其他组织推进传统载体档案数字化。已经实现数字化的，应当对档案原件妥善保管。”以法律的形式对档案信息化建设提出要求，并鼓励推进档案数字化。</w:t>
      </w:r>
    </w:p>
    <w:p w14:paraId="1501CD18">
      <w:pPr>
        <w:pStyle w:val="11"/>
        <w:pageBreakBefore w:val="0"/>
        <w:widowControl w:val="0"/>
        <w:shd w:val="clear"/>
        <w:kinsoku/>
        <w:wordWrap/>
        <w:overflowPunct/>
        <w:topLinePunct w:val="0"/>
        <w:autoSpaceDE/>
        <w:autoSpaceDN/>
        <w:bidi w:val="0"/>
        <w:spacing w:line="360" w:lineRule="auto"/>
        <w:ind w:firstLine="422"/>
        <w:textAlignment w:val="auto"/>
        <w:rPr>
          <w:rFonts w:hint="eastAsia" w:ascii="仿宋" w:hAnsi="仿宋" w:eastAsia="仿宋" w:cs="仿宋"/>
          <w:sz w:val="24"/>
          <w:szCs w:val="24"/>
        </w:rPr>
      </w:pPr>
      <w:r>
        <w:rPr>
          <w:rFonts w:hint="eastAsia" w:ascii="仿宋" w:hAnsi="仿宋" w:eastAsia="仿宋" w:cs="仿宋"/>
          <w:b/>
          <w:bCs/>
          <w:sz w:val="24"/>
          <w:szCs w:val="24"/>
        </w:rPr>
        <w:t>2021年10月1日《电子档案管理系统通用功能要求》（GBT 39784-2021）</w:t>
      </w:r>
      <w:r>
        <w:rPr>
          <w:rFonts w:hint="eastAsia" w:ascii="仿宋" w:hAnsi="仿宋" w:eastAsia="仿宋" w:cs="仿宋"/>
          <w:sz w:val="24"/>
          <w:szCs w:val="24"/>
        </w:rPr>
        <w:t>正式实施，本文件以《电子档案管理系统基本功能规定》为基础，依据档案现代化管理发展的需要，规定了电子档案管理系统功能的总体要求，以及电子档案的接收、整理、保存、利用、鉴定、统计、审计跟踪和系统管理等关键业务环节和系统管理的通用性功能要求，包括电子档案管理系统应具备的必选功能和可选功能 ，为国家各级各类档案馆进行电子档案管理系统的设计、开发、实施、使用、检测提供了参考与指导，促进系统建设水平的不断提升。</w:t>
      </w:r>
    </w:p>
    <w:p w14:paraId="74585833">
      <w:pPr>
        <w:pageBreakBefore w:val="0"/>
        <w:widowControl w:val="0"/>
        <w:shd w:val="clear"/>
        <w:kinsoku/>
        <w:wordWrap/>
        <w:overflowPunct/>
        <w:topLinePunct w:val="0"/>
        <w:autoSpaceDE/>
        <w:autoSpaceDN/>
        <w:bidi w:val="0"/>
        <w:spacing w:line="360" w:lineRule="auto"/>
        <w:ind w:firstLine="422"/>
        <w:textAlignment w:val="auto"/>
        <w:rPr>
          <w:rFonts w:hint="eastAsia" w:ascii="仿宋" w:hAnsi="仿宋" w:eastAsia="仿宋" w:cs="仿宋"/>
          <w:color w:val="000000"/>
          <w:sz w:val="24"/>
          <w:szCs w:val="24"/>
        </w:rPr>
      </w:pPr>
      <w:r>
        <w:rPr>
          <w:rFonts w:hint="eastAsia" w:ascii="仿宋" w:hAnsi="仿宋" w:eastAsia="仿宋" w:cs="仿宋"/>
          <w:b/>
          <w:bCs/>
          <w:sz w:val="24"/>
          <w:szCs w:val="24"/>
        </w:rPr>
        <w:t>2022年7月18日《国家发展改革委等部门关于严格执行招标投标法规制度进一步规范招标投标主体行为的若干意见》（发改法规规〔2022〕1117号）</w:t>
      </w:r>
      <w:r>
        <w:rPr>
          <w:rFonts w:hint="eastAsia" w:ascii="仿宋" w:hAnsi="仿宋" w:eastAsia="仿宋" w:cs="仿宋"/>
          <w:color w:val="000000"/>
          <w:sz w:val="24"/>
          <w:szCs w:val="24"/>
        </w:rPr>
        <w:t>正式制发并于9月1日正式实施，强调“</w:t>
      </w:r>
      <w:r>
        <w:rPr>
          <w:rStyle w:val="29"/>
          <w:rFonts w:hint="eastAsia" w:ascii="仿宋" w:hAnsi="仿宋" w:eastAsia="仿宋" w:cs="仿宋"/>
          <w:color w:val="000000"/>
          <w:sz w:val="24"/>
          <w:szCs w:val="24"/>
        </w:rPr>
        <w:t>加强招标档案管理</w:t>
      </w:r>
      <w:r>
        <w:rPr>
          <w:rFonts w:hint="eastAsia" w:ascii="仿宋" w:hAnsi="仿宋" w:eastAsia="仿宋" w:cs="仿宋"/>
          <w:color w:val="000000"/>
          <w:sz w:val="24"/>
          <w:szCs w:val="24"/>
        </w:rPr>
        <w:t>。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要求进一步落实档案管理主体责任、解决突出问题，大力营造公开、公平、公正和诚实信用的市场环境。</w:t>
      </w:r>
      <w:bookmarkStart w:id="53" w:name="_Toc15751"/>
      <w:bookmarkStart w:id="54" w:name="_Toc29145"/>
      <w:bookmarkStart w:id="55" w:name="_Toc27622"/>
      <w:bookmarkStart w:id="56" w:name="_Toc26394"/>
    </w:p>
    <w:p w14:paraId="3E5F526A">
      <w:pPr>
        <w:pageBreakBefore w:val="0"/>
        <w:widowControl w:val="0"/>
        <w:shd w:val="clear"/>
        <w:kinsoku/>
        <w:wordWrap/>
        <w:overflowPunct/>
        <w:topLinePunct w:val="0"/>
        <w:autoSpaceDE/>
        <w:autoSpaceDN/>
        <w:bidi w:val="0"/>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2024年8月16日国家档案局发布《中华人民共和国档案行业执业标准》中招标投标电子文件归档规范（</w:t>
      </w:r>
      <w:r>
        <w:rPr>
          <w:rFonts w:ascii="宋体" w:hAnsi="宋体" w:eastAsia="宋体" w:cs="宋体"/>
          <w:sz w:val="24"/>
          <w:szCs w:val="24"/>
        </w:rPr>
        <w:t>DA/T103—2024</w:t>
      </w:r>
      <w:r>
        <w:rPr>
          <w:rFonts w:hint="eastAsia" w:ascii="仿宋" w:hAnsi="仿宋" w:eastAsia="仿宋" w:cs="仿宋"/>
          <w:b/>
          <w:bCs/>
          <w:sz w:val="24"/>
          <w:szCs w:val="24"/>
          <w:lang w:val="en-US" w:eastAsia="zh-CN"/>
        </w:rPr>
        <w:t>）于2025年2月1日正式实施。</w:t>
      </w:r>
      <w:r>
        <w:rPr>
          <w:rFonts w:hint="eastAsia" w:ascii="仿宋" w:hAnsi="仿宋" w:eastAsia="仿宋" w:cs="仿宋"/>
          <w:b w:val="0"/>
          <w:bCs w:val="0"/>
          <w:sz w:val="24"/>
          <w:szCs w:val="24"/>
          <w:lang w:val="en-US" w:eastAsia="zh-CN"/>
        </w:rPr>
        <w:t>本项目在实施过程中严格参照此规范中的相关条款执行。</w:t>
      </w:r>
    </w:p>
    <w:p w14:paraId="15772535">
      <w:pPr>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rPr>
      </w:pPr>
      <w:r>
        <w:rPr>
          <w:rFonts w:hint="eastAsia" w:ascii="仿宋" w:hAnsi="仿宋" w:eastAsia="仿宋" w:cs="仿宋"/>
          <w:b/>
          <w:bCs/>
          <w:color w:val="000000"/>
          <w:sz w:val="24"/>
          <w:szCs w:val="24"/>
          <w:lang w:val="en-US" w:eastAsia="zh-CN"/>
        </w:rPr>
        <w:t>1.2、</w:t>
      </w:r>
      <w:r>
        <w:rPr>
          <w:rFonts w:hint="eastAsia" w:ascii="仿宋" w:hAnsi="仿宋" w:eastAsia="仿宋" w:cs="仿宋"/>
          <w:b/>
          <w:bCs/>
          <w:sz w:val="24"/>
          <w:szCs w:val="24"/>
        </w:rPr>
        <w:t>现状分析</w:t>
      </w:r>
      <w:bookmarkEnd w:id="53"/>
      <w:bookmarkEnd w:id="54"/>
      <w:bookmarkEnd w:id="55"/>
      <w:bookmarkEnd w:id="56"/>
    </w:p>
    <w:p w14:paraId="74D51B38">
      <w:pPr>
        <w:pageBreakBefore w:val="0"/>
        <w:widowControl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克州公共资源交易已建设以交易系统、服务系统、监督系统为核心的公共资源交易平台体系，近年来逐步整合了工程建设、政府采购、土地矿权、国有产权在内的四大业务板块，并打造出不见面交易、远程异地交易、电子保函等一系列交易领域深化应用，有效推动了区域经济高速发展。随着公共资源交易数字化转型工作的进一步推进，对交易中心服务标准化提出了更高的要求，目前克州公共资源交易中心在交易档案管理层面缺乏有效手段，交易业务数据和开评标音视频数据分散，档案管理、档案利用、档案借阅等工作无法高效开展，与先进省市“一标一档”的交易电子档案管理模式存在差距，同时在面对行业监管部门进行协同监管工作中，无法快速便捷提供项目完整的档案数据，阻碍了中心服务水平的进一步提升。</w:t>
      </w:r>
    </w:p>
    <w:p w14:paraId="20EDC28C">
      <w:pPr>
        <w:pStyle w:val="4"/>
        <w:pageBreakBefore w:val="0"/>
        <w:widowControl w:val="0"/>
        <w:shd w:val="clear"/>
        <w:kinsoku/>
        <w:wordWrap/>
        <w:overflowPunct/>
        <w:topLinePunct w:val="0"/>
        <w:autoSpaceDE/>
        <w:autoSpaceDN/>
        <w:bidi w:val="0"/>
        <w:spacing w:line="360" w:lineRule="auto"/>
        <w:jc w:val="both"/>
        <w:textAlignment w:val="auto"/>
        <w:rPr>
          <w:rFonts w:hint="eastAsia" w:ascii="仿宋" w:hAnsi="仿宋" w:eastAsia="仿宋" w:cs="仿宋"/>
          <w:sz w:val="24"/>
          <w:szCs w:val="24"/>
        </w:rPr>
      </w:pPr>
      <w:bookmarkStart w:id="57" w:name="_Toc14099"/>
      <w:bookmarkStart w:id="58" w:name="_Toc25264"/>
      <w:bookmarkStart w:id="59" w:name="_Toc23246"/>
      <w:bookmarkStart w:id="60" w:name="_Toc27645"/>
      <w:r>
        <w:rPr>
          <w:rFonts w:hint="eastAsia" w:ascii="仿宋" w:hAnsi="仿宋" w:eastAsia="仿宋" w:cs="仿宋"/>
          <w:sz w:val="24"/>
          <w:szCs w:val="24"/>
          <w:lang w:val="en-US" w:eastAsia="zh-CN"/>
        </w:rPr>
        <w:t>1.3、</w:t>
      </w:r>
      <w:r>
        <w:rPr>
          <w:rFonts w:hint="eastAsia" w:ascii="仿宋" w:hAnsi="仿宋" w:eastAsia="仿宋" w:cs="仿宋"/>
          <w:sz w:val="24"/>
          <w:szCs w:val="24"/>
        </w:rPr>
        <w:t>建设目标</w:t>
      </w:r>
      <w:bookmarkEnd w:id="57"/>
      <w:bookmarkEnd w:id="58"/>
      <w:bookmarkEnd w:id="59"/>
      <w:bookmarkEnd w:id="60"/>
    </w:p>
    <w:p w14:paraId="7F676828">
      <w:pPr>
        <w:pStyle w:val="7"/>
        <w:pageBreakBefore w:val="0"/>
        <w:widowControl w:val="0"/>
        <w:shd w:val="clear"/>
        <w:kinsoku/>
        <w:wordWrap/>
        <w:overflowPunct/>
        <w:topLinePunct w:val="0"/>
        <w:autoSpaceDE/>
        <w:autoSpaceDN/>
        <w:bidi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本次电子档案管理系统建设以集约化为原则，整合存量、统筹增量，部署在本地云服务器上，通过网络获取交易业务系统数据及开评标音视频数据，实现交易项目电子档案的独立存储和管理。</w:t>
      </w:r>
    </w:p>
    <w:p w14:paraId="7A618438">
      <w:pPr>
        <w:pStyle w:val="3"/>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sz w:val="24"/>
          <w:szCs w:val="24"/>
        </w:rPr>
      </w:pPr>
      <w:bookmarkStart w:id="61" w:name="_Toc23735"/>
      <w:bookmarkStart w:id="62" w:name="_Toc7555"/>
      <w:bookmarkStart w:id="63" w:name="_Toc32595"/>
      <w:bookmarkStart w:id="64" w:name="_Toc4459"/>
      <w:r>
        <w:rPr>
          <w:rFonts w:hint="eastAsia" w:ascii="仿宋" w:hAnsi="仿宋" w:eastAsia="仿宋" w:cs="仿宋"/>
          <w:sz w:val="24"/>
          <w:szCs w:val="24"/>
          <w:lang w:eastAsia="zh-CN"/>
        </w:rPr>
        <w:t>二、</w:t>
      </w:r>
      <w:r>
        <w:rPr>
          <w:rFonts w:hint="eastAsia" w:ascii="仿宋" w:hAnsi="仿宋" w:eastAsia="仿宋" w:cs="仿宋"/>
          <w:sz w:val="24"/>
          <w:szCs w:val="24"/>
        </w:rPr>
        <w:t>建设内容</w:t>
      </w:r>
      <w:bookmarkEnd w:id="61"/>
      <w:bookmarkEnd w:id="62"/>
      <w:bookmarkEnd w:id="63"/>
      <w:bookmarkEnd w:id="64"/>
    </w:p>
    <w:p w14:paraId="1F263F1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w:t>
      </w:r>
      <w:bookmarkStart w:id="65" w:name="_Toc24146"/>
      <w:bookmarkStart w:id="66" w:name="_Toc15843"/>
      <w:r>
        <w:rPr>
          <w:rFonts w:hint="eastAsia" w:ascii="仿宋" w:hAnsi="仿宋" w:eastAsia="仿宋" w:cs="仿宋"/>
          <w:b/>
          <w:bCs/>
          <w:sz w:val="24"/>
          <w:szCs w:val="24"/>
          <w:lang w:val="en-US" w:eastAsia="zh-CN"/>
        </w:rPr>
        <w:t>电子档案管理系统</w:t>
      </w:r>
      <w:bookmarkEnd w:id="65"/>
      <w:bookmarkEnd w:id="66"/>
    </w:p>
    <w:p w14:paraId="4780DEA7">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i/>
          <w:iCs/>
          <w:color w:val="FF0000"/>
          <w:sz w:val="24"/>
          <w:szCs w:val="24"/>
        </w:rPr>
      </w:pPr>
      <w:r>
        <w:rPr>
          <w:rFonts w:hint="eastAsia" w:ascii="仿宋" w:hAnsi="仿宋" w:eastAsia="仿宋" w:cs="仿宋"/>
          <w:sz w:val="24"/>
          <w:szCs w:val="24"/>
        </w:rPr>
        <w:t>本次建设的电子档案管理系统主要功能包括：系统登录、档案配置、档案接收、档案归档、档案利用、档案处置、档案统计</w:t>
      </w:r>
      <w:r>
        <w:rPr>
          <w:rFonts w:hint="eastAsia" w:ascii="仿宋" w:hAnsi="仿宋" w:eastAsia="仿宋" w:cs="仿宋"/>
          <w:sz w:val="24"/>
          <w:szCs w:val="24"/>
          <w:lang w:eastAsia="zh-CN"/>
        </w:rPr>
        <w:t>、</w:t>
      </w:r>
      <w:r>
        <w:rPr>
          <w:rFonts w:hint="eastAsia" w:ascii="仿宋" w:hAnsi="仿宋" w:eastAsia="仿宋" w:cs="仿宋"/>
          <w:sz w:val="24"/>
          <w:szCs w:val="24"/>
        </w:rPr>
        <w:t>档案检索、后台管理、数据对接和目录配置。</w:t>
      </w:r>
    </w:p>
    <w:p w14:paraId="1A956122">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电子档案管理系统的建设是为了建立整个公共资源交易全流程的档案归集服务机制，提供交易文件的电子数据和文件分类、整理和归档的功能，包括全流程电子档案整理、打包功能。</w:t>
      </w:r>
    </w:p>
    <w:p w14:paraId="44D8FA03">
      <w:pPr>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档案管理系统独立于公共资源交易系统，是以标段（包、标的）为主体标识，对公共资源交易系统中的业务数据进行归档管理，按照标段（分包、标的）建立起相应的电子档案管理系统。系统具有一定的保密性，采用独立的框架，主要有设置登录权限、登录日志查看、档案数据查询功能。</w:t>
      </w:r>
    </w:p>
    <w:p w14:paraId="746A822F">
      <w:pPr>
        <w:pageBreakBefore w:val="0"/>
        <w:widowControl w:val="0"/>
        <w:kinsoku/>
        <w:wordWrap/>
        <w:overflowPunct/>
        <w:topLinePunct w:val="0"/>
        <w:autoSpaceDE/>
        <w:autoSpaceDN/>
        <w:bidi w:val="0"/>
        <w:spacing w:line="360" w:lineRule="auto"/>
        <w:ind w:firstLine="480" w:firstLineChars="200"/>
        <w:textAlignment w:val="auto"/>
        <w:rPr>
          <w:rFonts w:hint="eastAsia" w:ascii="ˎ̥" w:hAnsi="ˎ̥"/>
          <w:szCs w:val="21"/>
        </w:rPr>
      </w:pPr>
      <w:r>
        <w:rPr>
          <w:rFonts w:hint="eastAsia" w:ascii="仿宋" w:hAnsi="仿宋" w:eastAsia="仿宋" w:cs="仿宋"/>
          <w:sz w:val="24"/>
          <w:szCs w:val="24"/>
        </w:rPr>
        <w:t>为及时移交并复制出档案，防止数据被篡改，可将档案建立作为招投标的一项流程，由档案人员进行档案接收（即一键抓取材料，针对未抓取成功或本身系统缺失的材料，采取节点上传的方式），待材料齐全后提交档案人员，并由档案人员进行审核。</w:t>
      </w:r>
    </w:p>
    <w:p w14:paraId="109BDF54">
      <w:pPr>
        <w:jc w:val="center"/>
        <w:rPr>
          <w:rFonts w:hint="eastAsia" w:ascii="仿宋" w:hAnsi="仿宋" w:eastAsia="仿宋"/>
        </w:rPr>
      </w:pPr>
      <w:r>
        <w:rPr>
          <w:rFonts w:ascii="仿宋" w:hAnsi="仿宋" w:eastAsia="仿宋"/>
        </w:rPr>
        <w:drawing>
          <wp:inline distT="0" distB="0" distL="114300" distR="114300">
            <wp:extent cx="4768850" cy="1480185"/>
            <wp:effectExtent l="0" t="0" r="1270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4768850" cy="1480185"/>
                    </a:xfrm>
                    <a:prstGeom prst="rect">
                      <a:avLst/>
                    </a:prstGeom>
                    <a:noFill/>
                    <a:ln>
                      <a:noFill/>
                    </a:ln>
                  </pic:spPr>
                </pic:pic>
              </a:graphicData>
            </a:graphic>
          </wp:inline>
        </w:drawing>
      </w:r>
    </w:p>
    <w:p w14:paraId="25892D99">
      <w:pPr>
        <w:pStyle w:val="5"/>
        <w:tabs>
          <w:tab w:val="left" w:pos="0"/>
        </w:tabs>
        <w:bidi w:val="0"/>
        <w:rPr>
          <w:rFonts w:hint="eastAsia" w:ascii="仿宋" w:hAnsi="仿宋" w:eastAsia="仿宋" w:cs="仿宋"/>
          <w:sz w:val="24"/>
          <w:szCs w:val="24"/>
        </w:rPr>
      </w:pPr>
      <w:bookmarkStart w:id="67" w:name="_Toc16118"/>
      <w:bookmarkStart w:id="68" w:name="_Toc7841"/>
      <w:bookmarkStart w:id="69" w:name="_Toc11914"/>
      <w:bookmarkStart w:id="70" w:name="_Toc30270"/>
      <w:bookmarkStart w:id="71" w:name="_Toc28301"/>
      <w:bookmarkStart w:id="72" w:name="_Toc28789"/>
      <w:bookmarkStart w:id="73" w:name="_Toc3653"/>
      <w:bookmarkStart w:id="74" w:name="_Toc13844"/>
      <w:bookmarkStart w:id="75" w:name="_Toc66191803"/>
      <w:r>
        <w:rPr>
          <w:rFonts w:hint="eastAsia" w:ascii="仿宋" w:hAnsi="仿宋" w:eastAsia="仿宋" w:cs="仿宋"/>
          <w:sz w:val="24"/>
          <w:szCs w:val="24"/>
          <w:lang w:val="en-US" w:eastAsia="zh-CN"/>
        </w:rPr>
        <w:t>2.1.1、</w:t>
      </w:r>
      <w:r>
        <w:rPr>
          <w:rFonts w:hint="eastAsia" w:ascii="仿宋" w:hAnsi="仿宋" w:eastAsia="仿宋" w:cs="仿宋"/>
          <w:sz w:val="24"/>
          <w:szCs w:val="24"/>
        </w:rPr>
        <w:t>系统登录</w:t>
      </w:r>
      <w:bookmarkEnd w:id="67"/>
      <w:bookmarkEnd w:id="68"/>
      <w:bookmarkEnd w:id="69"/>
      <w:bookmarkEnd w:id="70"/>
      <w:bookmarkEnd w:id="71"/>
      <w:bookmarkEnd w:id="72"/>
      <w:bookmarkEnd w:id="73"/>
      <w:bookmarkEnd w:id="74"/>
    </w:p>
    <w:p w14:paraId="5B3DCAB3">
      <w:pPr>
        <w:ind w:firstLine="240" w:firstLineChars="100"/>
        <w:rPr>
          <w:rFonts w:hint="eastAsia" w:ascii="仿宋" w:hAnsi="仿宋" w:eastAsia="仿宋" w:cs="仿宋"/>
          <w:sz w:val="24"/>
          <w:szCs w:val="24"/>
        </w:rPr>
      </w:pPr>
      <w:r>
        <w:rPr>
          <w:rFonts w:hint="eastAsia" w:ascii="仿宋" w:hAnsi="仿宋" w:eastAsia="仿宋" w:cs="仿宋"/>
          <w:sz w:val="24"/>
          <w:szCs w:val="24"/>
        </w:rPr>
        <w:t>电子档案管理系统提供账号密码和CA两种登录方式。</w:t>
      </w:r>
    </w:p>
    <w:p w14:paraId="4A8DCBDF">
      <w:pPr>
        <w:pStyle w:val="6"/>
        <w:numPr>
          <w:ilvl w:val="3"/>
          <w:numId w:val="0"/>
        </w:numPr>
        <w:bidi w:val="0"/>
        <w:ind w:leftChars="0"/>
        <w:rPr>
          <w:rFonts w:hint="eastAsia" w:ascii="仿宋" w:hAnsi="仿宋" w:eastAsia="仿宋" w:cs="仿宋"/>
          <w:sz w:val="24"/>
          <w:szCs w:val="24"/>
        </w:rPr>
      </w:pPr>
      <w:bookmarkStart w:id="76" w:name="_Toc31332"/>
      <w:bookmarkStart w:id="77" w:name="_Toc31674"/>
      <w:bookmarkStart w:id="78" w:name="_Toc3319"/>
      <w:bookmarkStart w:id="79" w:name="_Toc9440"/>
      <w:bookmarkStart w:id="80" w:name="_Toc32458"/>
      <w:bookmarkStart w:id="81" w:name="_Toc1982"/>
      <w:bookmarkStart w:id="82" w:name="_Toc18083"/>
      <w:r>
        <w:rPr>
          <w:rFonts w:hint="eastAsia" w:ascii="仿宋" w:hAnsi="仿宋" w:eastAsia="仿宋" w:cs="仿宋"/>
          <w:sz w:val="24"/>
          <w:szCs w:val="24"/>
          <w:lang w:val="en-US" w:eastAsia="zh-CN"/>
        </w:rPr>
        <w:t>2.1.1.1、</w:t>
      </w:r>
      <w:r>
        <w:rPr>
          <w:rFonts w:hint="eastAsia" w:ascii="仿宋" w:hAnsi="仿宋" w:eastAsia="仿宋" w:cs="仿宋"/>
          <w:sz w:val="24"/>
          <w:szCs w:val="24"/>
        </w:rPr>
        <w:t>账号密码登录</w:t>
      </w:r>
      <w:bookmarkEnd w:id="76"/>
      <w:bookmarkEnd w:id="77"/>
      <w:bookmarkEnd w:id="78"/>
      <w:bookmarkEnd w:id="79"/>
      <w:bookmarkEnd w:id="80"/>
      <w:bookmarkEnd w:id="81"/>
      <w:bookmarkEnd w:id="82"/>
    </w:p>
    <w:p w14:paraId="1958295B">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管理人员和借阅者打开系统地址登录首页面，选择用户登录（账号密码登录方式），输入正确的账号、密码和验证码即可完成登录。首次使用时，密码是初始化密码，系统会弹出“修改密码”的提示，点击可重新设置新密码，设置完成后即可正常登入。</w:t>
      </w:r>
    </w:p>
    <w:p w14:paraId="023B1807">
      <w:pPr>
        <w:pStyle w:val="6"/>
        <w:numPr>
          <w:ilvl w:val="3"/>
          <w:numId w:val="0"/>
        </w:numPr>
        <w:bidi w:val="0"/>
        <w:ind w:leftChars="0"/>
        <w:rPr>
          <w:rFonts w:hint="eastAsia" w:ascii="仿宋" w:hAnsi="仿宋" w:eastAsia="仿宋" w:cs="仿宋"/>
          <w:sz w:val="24"/>
          <w:szCs w:val="24"/>
        </w:rPr>
      </w:pPr>
      <w:bookmarkStart w:id="83" w:name="_Toc9961"/>
      <w:bookmarkStart w:id="84" w:name="_Toc26612"/>
      <w:bookmarkStart w:id="85" w:name="_Toc24021"/>
      <w:bookmarkStart w:id="86" w:name="_Toc2850"/>
      <w:bookmarkStart w:id="87" w:name="_Toc13847"/>
      <w:bookmarkStart w:id="88" w:name="_Toc2973"/>
      <w:bookmarkStart w:id="89" w:name="_Toc2251"/>
      <w:r>
        <w:rPr>
          <w:rFonts w:hint="eastAsia" w:ascii="仿宋" w:hAnsi="仿宋" w:eastAsia="仿宋" w:cs="仿宋"/>
          <w:sz w:val="24"/>
          <w:szCs w:val="24"/>
          <w:lang w:val="en-US" w:eastAsia="zh-CN"/>
        </w:rPr>
        <w:t>2.1.1.2、</w:t>
      </w:r>
      <w:r>
        <w:rPr>
          <w:rFonts w:hint="eastAsia" w:ascii="仿宋" w:hAnsi="仿宋" w:eastAsia="仿宋" w:cs="仿宋"/>
          <w:sz w:val="24"/>
          <w:szCs w:val="24"/>
        </w:rPr>
        <w:t>CA登录</w:t>
      </w:r>
      <w:bookmarkEnd w:id="83"/>
      <w:bookmarkEnd w:id="84"/>
      <w:bookmarkEnd w:id="85"/>
      <w:bookmarkEnd w:id="86"/>
      <w:bookmarkEnd w:id="87"/>
      <w:bookmarkEnd w:id="88"/>
      <w:bookmarkEnd w:id="89"/>
    </w:p>
    <w:p w14:paraId="60C90F61">
      <w:pPr>
        <w:pStyle w:val="12"/>
        <w:numPr>
          <w:ilvl w:val="0"/>
          <w:numId w:val="0"/>
        </w:numPr>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需要登录时，用户打开系统地址登录首页面，选择CA登录，并插入CA锁，输入正确的密码后即可成功登录到系统。</w:t>
      </w:r>
    </w:p>
    <w:p w14:paraId="4FF44C76">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若投标人用户未曾在电子档案系统中进行登录，可通过系统跳转至电子交易系统进行登录，在交易系统中完成登录后可实现单点登录电子档案系统中并完成用户体系认证，后续直接在电子档案系统中实现投标人用户登录。</w:t>
      </w:r>
    </w:p>
    <w:p w14:paraId="6C0283AD">
      <w:pPr>
        <w:pStyle w:val="5"/>
        <w:tabs>
          <w:tab w:val="left" w:pos="0"/>
        </w:tabs>
        <w:bidi w:val="0"/>
        <w:rPr>
          <w:rFonts w:hint="eastAsia" w:ascii="仿宋" w:hAnsi="仿宋" w:eastAsia="仿宋" w:cs="仿宋"/>
          <w:sz w:val="24"/>
          <w:szCs w:val="24"/>
        </w:rPr>
      </w:pPr>
      <w:bookmarkStart w:id="90" w:name="_Toc5035"/>
      <w:bookmarkStart w:id="91" w:name="_Toc19781"/>
      <w:bookmarkStart w:id="92" w:name="_Toc10507"/>
      <w:bookmarkStart w:id="93" w:name="_Toc23416"/>
      <w:bookmarkStart w:id="94" w:name="_Toc8621"/>
      <w:bookmarkStart w:id="95" w:name="_Toc18952"/>
      <w:bookmarkStart w:id="96" w:name="_Toc26911"/>
      <w:bookmarkStart w:id="97" w:name="_Toc19995"/>
      <w:r>
        <w:rPr>
          <w:rFonts w:hint="eastAsia" w:ascii="仿宋" w:hAnsi="仿宋" w:eastAsia="仿宋" w:cs="仿宋"/>
          <w:sz w:val="24"/>
          <w:szCs w:val="24"/>
          <w:lang w:val="en-US" w:eastAsia="zh-CN"/>
        </w:rPr>
        <w:t>2.1.2、</w:t>
      </w:r>
      <w:r>
        <w:rPr>
          <w:rFonts w:hint="eastAsia" w:ascii="仿宋" w:hAnsi="仿宋" w:eastAsia="仿宋" w:cs="仿宋"/>
          <w:sz w:val="24"/>
          <w:szCs w:val="24"/>
        </w:rPr>
        <w:t>档案配置</w:t>
      </w:r>
      <w:bookmarkEnd w:id="75"/>
      <w:bookmarkEnd w:id="90"/>
      <w:bookmarkEnd w:id="91"/>
      <w:bookmarkEnd w:id="92"/>
      <w:bookmarkEnd w:id="93"/>
      <w:bookmarkEnd w:id="94"/>
      <w:bookmarkEnd w:id="95"/>
      <w:bookmarkEnd w:id="96"/>
      <w:bookmarkEnd w:id="97"/>
    </w:p>
    <w:p w14:paraId="07FF1E05">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档案管理员及档案领导可通过系统完成档案配置主要包括：全宗信息管理、案卷目录管理、文件目录管理、配置文件管理和四性检测配置。</w:t>
      </w:r>
    </w:p>
    <w:p w14:paraId="669B9A9F">
      <w:pPr>
        <w:pStyle w:val="6"/>
        <w:numPr>
          <w:ilvl w:val="3"/>
          <w:numId w:val="0"/>
        </w:numPr>
        <w:bidi w:val="0"/>
        <w:ind w:leftChars="0"/>
        <w:rPr>
          <w:rFonts w:hint="eastAsia" w:ascii="仿宋" w:hAnsi="仿宋" w:eastAsia="仿宋" w:cs="仿宋"/>
          <w:sz w:val="24"/>
          <w:szCs w:val="24"/>
        </w:rPr>
      </w:pPr>
      <w:bookmarkStart w:id="98" w:name="_Toc27200"/>
      <w:bookmarkStart w:id="99" w:name="_Toc19211"/>
      <w:bookmarkStart w:id="100" w:name="_Toc26521"/>
      <w:bookmarkStart w:id="101" w:name="_Toc23063"/>
      <w:bookmarkStart w:id="102" w:name="_Toc8788"/>
      <w:bookmarkStart w:id="103" w:name="_Toc24798"/>
      <w:bookmarkStart w:id="104" w:name="_Toc24859"/>
      <w:bookmarkStart w:id="105" w:name="_Toc66191804"/>
      <w:r>
        <w:rPr>
          <w:rFonts w:hint="eastAsia" w:ascii="仿宋" w:hAnsi="仿宋" w:eastAsia="仿宋" w:cs="仿宋"/>
          <w:sz w:val="24"/>
          <w:szCs w:val="24"/>
          <w:lang w:val="en-US" w:eastAsia="zh-CN"/>
        </w:rPr>
        <w:t>2.1.2.1、</w:t>
      </w:r>
      <w:r>
        <w:rPr>
          <w:rFonts w:hint="eastAsia" w:ascii="仿宋" w:hAnsi="仿宋" w:eastAsia="仿宋" w:cs="仿宋"/>
          <w:sz w:val="24"/>
          <w:szCs w:val="24"/>
        </w:rPr>
        <w:t>全宗信息管理</w:t>
      </w:r>
      <w:bookmarkEnd w:id="98"/>
      <w:bookmarkEnd w:id="99"/>
      <w:bookmarkEnd w:id="100"/>
      <w:bookmarkEnd w:id="101"/>
      <w:bookmarkEnd w:id="102"/>
      <w:bookmarkEnd w:id="103"/>
      <w:bookmarkEnd w:id="104"/>
      <w:bookmarkEnd w:id="105"/>
    </w:p>
    <w:p w14:paraId="592BE09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2.1.2.1.1、</w:t>
      </w:r>
      <w:r>
        <w:rPr>
          <w:rFonts w:hint="eastAsia" w:ascii="仿宋" w:hAnsi="仿宋" w:eastAsia="仿宋" w:cs="仿宋"/>
          <w:sz w:val="24"/>
          <w:szCs w:val="24"/>
        </w:rPr>
        <w:t>全宗信息配置</w:t>
      </w:r>
    </w:p>
    <w:p w14:paraId="3C769317">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全宗信息配置功能，全宗信息包括：全宗名称、全宗编号、责任者、全宗机构沿革、机构性质沿革、内设机构及主要职责、全宗档案基本情况、档案管理现状、其他信息，档案管理员能够查看、修改、停用、删除全宗信息，并能按照全宗名称、全宗编号、是否有效进行条件查询。</w:t>
      </w:r>
    </w:p>
    <w:p w14:paraId="0AE45CE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2.1.2.1.2、</w:t>
      </w:r>
      <w:r>
        <w:rPr>
          <w:rFonts w:hint="eastAsia" w:ascii="仿宋" w:hAnsi="仿宋" w:eastAsia="仿宋" w:cs="仿宋"/>
          <w:sz w:val="24"/>
          <w:szCs w:val="24"/>
        </w:rPr>
        <w:t>关联案卷目录</w:t>
      </w:r>
    </w:p>
    <w:p w14:paraId="6FC2FCA5">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系统提供案卷目录关联功能，档案管理员选择全宗信息树中的全宗信息后新建全宗信息和案卷目录关联关系，关联案卷目录后完成关系的新建，并提供按照案卷目录名称和目录编号的查询功能。</w:t>
      </w:r>
    </w:p>
    <w:p w14:paraId="40198707">
      <w:pPr>
        <w:pStyle w:val="6"/>
        <w:numPr>
          <w:ilvl w:val="3"/>
          <w:numId w:val="0"/>
        </w:numPr>
        <w:bidi w:val="0"/>
        <w:ind w:leftChars="0"/>
        <w:rPr>
          <w:rFonts w:hint="eastAsia" w:ascii="仿宋" w:hAnsi="仿宋" w:eastAsia="仿宋" w:cs="仿宋"/>
          <w:sz w:val="24"/>
          <w:szCs w:val="24"/>
        </w:rPr>
      </w:pPr>
      <w:bookmarkStart w:id="106" w:name="_Toc7754"/>
      <w:bookmarkStart w:id="107" w:name="_Toc16303"/>
      <w:bookmarkStart w:id="108" w:name="_Toc3420"/>
      <w:bookmarkStart w:id="109" w:name="_Toc29884"/>
      <w:bookmarkStart w:id="110" w:name="_Toc66191805"/>
      <w:bookmarkStart w:id="111" w:name="_Toc5219"/>
      <w:bookmarkStart w:id="112" w:name="_Toc26950"/>
      <w:bookmarkStart w:id="113" w:name="_Toc12998"/>
      <w:r>
        <w:rPr>
          <w:rFonts w:hint="eastAsia" w:ascii="仿宋" w:hAnsi="仿宋" w:eastAsia="仿宋" w:cs="仿宋"/>
          <w:sz w:val="24"/>
          <w:szCs w:val="24"/>
          <w:lang w:val="en-US" w:eastAsia="zh-CN"/>
        </w:rPr>
        <w:t>2.1.2.2、</w:t>
      </w:r>
      <w:r>
        <w:rPr>
          <w:rFonts w:hint="eastAsia" w:ascii="仿宋" w:hAnsi="仿宋" w:eastAsia="仿宋" w:cs="仿宋"/>
          <w:sz w:val="24"/>
          <w:szCs w:val="24"/>
        </w:rPr>
        <w:t>案卷目录管理</w:t>
      </w:r>
      <w:bookmarkEnd w:id="106"/>
      <w:bookmarkEnd w:id="107"/>
      <w:bookmarkEnd w:id="108"/>
      <w:bookmarkEnd w:id="109"/>
      <w:bookmarkEnd w:id="110"/>
      <w:bookmarkEnd w:id="111"/>
      <w:bookmarkEnd w:id="112"/>
      <w:bookmarkEnd w:id="113"/>
    </w:p>
    <w:p w14:paraId="026859CF">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2.1.2.2.1、</w:t>
      </w:r>
      <w:r>
        <w:rPr>
          <w:rFonts w:hint="eastAsia" w:ascii="仿宋" w:hAnsi="仿宋" w:eastAsia="仿宋" w:cs="仿宋"/>
          <w:sz w:val="24"/>
          <w:szCs w:val="24"/>
        </w:rPr>
        <w:t>案卷目录配置</w:t>
      </w:r>
    </w:p>
    <w:p w14:paraId="711522C7">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案卷目录配置功能，案卷目录信息包括：目录名称、目录编号、上级目录、目录排序、其他信息、案卷目录著录信息。档案管理员能够新增案卷目录的子节点、查看案卷目录、修改案卷目录、删除/停用案卷目，并能够按照目录名称、目录编号、是否有效进行查询。</w:t>
      </w:r>
    </w:p>
    <w:p w14:paraId="69E8607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2.1.2.2.2、</w:t>
      </w:r>
      <w:r>
        <w:rPr>
          <w:rFonts w:hint="eastAsia" w:ascii="仿宋" w:hAnsi="仿宋" w:eastAsia="仿宋" w:cs="仿宋"/>
          <w:sz w:val="24"/>
          <w:szCs w:val="24"/>
        </w:rPr>
        <w:t>文件目录关联</w:t>
      </w:r>
    </w:p>
    <w:p w14:paraId="0A4CED2F">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系统提供文件目录关联功能，档案管理员选择案卷目录树中的目录信息，新建案卷目录和文件目录关联关系，选择关联文件目录后完成关系的新建，并提供按照文件目录名称和文件目录编号的查询功能。</w:t>
      </w:r>
    </w:p>
    <w:p w14:paraId="064E45E1">
      <w:pPr>
        <w:pStyle w:val="6"/>
        <w:numPr>
          <w:ilvl w:val="3"/>
          <w:numId w:val="0"/>
        </w:numPr>
        <w:bidi w:val="0"/>
        <w:ind w:leftChars="0"/>
        <w:rPr>
          <w:rFonts w:hint="eastAsia" w:ascii="仿宋" w:hAnsi="仿宋" w:eastAsia="仿宋" w:cs="仿宋"/>
          <w:sz w:val="24"/>
          <w:szCs w:val="24"/>
        </w:rPr>
      </w:pPr>
      <w:bookmarkStart w:id="114" w:name="_Toc32271"/>
      <w:bookmarkStart w:id="115" w:name="_Toc28345"/>
      <w:bookmarkStart w:id="116" w:name="_Toc16295"/>
      <w:bookmarkStart w:id="117" w:name="_Toc12327"/>
      <w:bookmarkStart w:id="118" w:name="_Toc30713"/>
      <w:bookmarkStart w:id="119" w:name="_Toc66191806"/>
      <w:bookmarkStart w:id="120" w:name="_Toc20791"/>
      <w:bookmarkStart w:id="121" w:name="_Toc10739"/>
      <w:r>
        <w:rPr>
          <w:rFonts w:hint="eastAsia" w:ascii="仿宋" w:hAnsi="仿宋" w:eastAsia="仿宋" w:cs="仿宋"/>
          <w:sz w:val="24"/>
          <w:szCs w:val="24"/>
          <w:lang w:val="en-US" w:eastAsia="zh-CN"/>
        </w:rPr>
        <w:t>2.1.2.3、</w:t>
      </w:r>
      <w:r>
        <w:rPr>
          <w:rFonts w:hint="eastAsia" w:ascii="仿宋" w:hAnsi="仿宋" w:eastAsia="仿宋" w:cs="仿宋"/>
          <w:sz w:val="24"/>
          <w:szCs w:val="24"/>
        </w:rPr>
        <w:t>文件目录管理</w:t>
      </w:r>
      <w:bookmarkEnd w:id="114"/>
      <w:bookmarkEnd w:id="115"/>
      <w:bookmarkEnd w:id="116"/>
      <w:bookmarkEnd w:id="117"/>
      <w:bookmarkEnd w:id="118"/>
      <w:bookmarkEnd w:id="119"/>
      <w:bookmarkEnd w:id="120"/>
      <w:bookmarkEnd w:id="121"/>
    </w:p>
    <w:p w14:paraId="23CFA23C">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文件目录配置功能，文件目录信息包括：目录名称、目录编号、其他信息。档案管理员能够进行文件目录的详细配置、文件目录的修改、删除、停用操作。详情配置通过选择文件目录，填写详情名称、详情编号、上级详情、详情排序、文件后缀限制、文件目录最大文件数量、单个文件最大大小、详细著录详细、其他详细后，完成文件目录详情的添加，并能够为其新增子详情、进行修改、删除操作，能够按照目录名称、目录编号、是否有效进行查询。</w:t>
      </w:r>
    </w:p>
    <w:p w14:paraId="380C2B23">
      <w:pPr>
        <w:pStyle w:val="6"/>
        <w:numPr>
          <w:ilvl w:val="3"/>
          <w:numId w:val="0"/>
        </w:numPr>
        <w:bidi w:val="0"/>
        <w:ind w:leftChars="0"/>
        <w:rPr>
          <w:rFonts w:hint="eastAsia" w:ascii="仿宋" w:hAnsi="仿宋" w:eastAsia="仿宋" w:cs="仿宋"/>
          <w:sz w:val="24"/>
          <w:szCs w:val="24"/>
        </w:rPr>
      </w:pPr>
      <w:bookmarkStart w:id="122" w:name="_Toc28232"/>
      <w:bookmarkStart w:id="123" w:name="_Toc4931"/>
      <w:bookmarkStart w:id="124" w:name="_Toc66191807"/>
      <w:bookmarkStart w:id="125" w:name="_Toc15030"/>
      <w:bookmarkStart w:id="126" w:name="_Toc18421"/>
      <w:bookmarkStart w:id="127" w:name="_Toc10112"/>
      <w:bookmarkStart w:id="128" w:name="_Toc23967"/>
      <w:bookmarkStart w:id="129" w:name="_Toc22314"/>
      <w:r>
        <w:rPr>
          <w:rFonts w:hint="eastAsia" w:ascii="仿宋" w:hAnsi="仿宋" w:eastAsia="仿宋" w:cs="仿宋"/>
          <w:sz w:val="24"/>
          <w:szCs w:val="24"/>
          <w:lang w:val="en-US" w:eastAsia="zh-CN"/>
        </w:rPr>
        <w:t>2.1.2.4、</w:t>
      </w:r>
      <w:r>
        <w:rPr>
          <w:rFonts w:hint="eastAsia" w:ascii="仿宋" w:hAnsi="仿宋" w:eastAsia="仿宋" w:cs="仿宋"/>
          <w:sz w:val="24"/>
          <w:szCs w:val="24"/>
        </w:rPr>
        <w:t>配置文件管理</w:t>
      </w:r>
      <w:bookmarkEnd w:id="122"/>
      <w:bookmarkEnd w:id="123"/>
      <w:bookmarkEnd w:id="124"/>
      <w:bookmarkEnd w:id="125"/>
      <w:bookmarkEnd w:id="126"/>
      <w:bookmarkEnd w:id="127"/>
      <w:bookmarkEnd w:id="128"/>
      <w:bookmarkEnd w:id="129"/>
    </w:p>
    <w:p w14:paraId="1F85FC3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档案管理员能够查看所有的配置文件信息，并可按照文件目录编号、文件目录名称进行查询。系统可提供配置文件的模板导出、配置导出功能。</w:t>
      </w:r>
    </w:p>
    <w:p w14:paraId="5AAF8903">
      <w:pPr>
        <w:pStyle w:val="5"/>
        <w:tabs>
          <w:tab w:val="left" w:pos="0"/>
        </w:tabs>
        <w:bidi w:val="0"/>
        <w:rPr>
          <w:rFonts w:hint="eastAsia" w:ascii="仿宋" w:hAnsi="仿宋" w:eastAsia="仿宋" w:cs="仿宋"/>
          <w:sz w:val="24"/>
          <w:szCs w:val="24"/>
        </w:rPr>
      </w:pPr>
      <w:bookmarkStart w:id="130" w:name="_Toc8104"/>
      <w:bookmarkStart w:id="131" w:name="_Toc5817"/>
      <w:bookmarkStart w:id="132" w:name="_Toc16530"/>
      <w:bookmarkStart w:id="133" w:name="_Toc22261"/>
      <w:bookmarkStart w:id="134" w:name="_Toc12829"/>
      <w:bookmarkStart w:id="135" w:name="_Toc1209"/>
      <w:bookmarkStart w:id="136" w:name="_Toc3529"/>
      <w:bookmarkStart w:id="137" w:name="_Toc13903"/>
      <w:r>
        <w:rPr>
          <w:rFonts w:hint="eastAsia" w:ascii="仿宋" w:hAnsi="仿宋" w:eastAsia="仿宋" w:cs="仿宋"/>
          <w:sz w:val="24"/>
          <w:szCs w:val="24"/>
          <w:lang w:val="en-US" w:eastAsia="zh-CN"/>
        </w:rPr>
        <w:t>2.1.3、</w:t>
      </w:r>
      <w:r>
        <w:rPr>
          <w:rFonts w:hint="eastAsia" w:ascii="仿宋" w:hAnsi="仿宋" w:eastAsia="仿宋" w:cs="仿宋"/>
          <w:sz w:val="24"/>
          <w:szCs w:val="24"/>
        </w:rPr>
        <w:t>档案接收</w:t>
      </w:r>
      <w:bookmarkEnd w:id="130"/>
      <w:bookmarkEnd w:id="131"/>
      <w:bookmarkEnd w:id="132"/>
      <w:bookmarkEnd w:id="133"/>
      <w:bookmarkEnd w:id="134"/>
      <w:bookmarkEnd w:id="135"/>
      <w:bookmarkEnd w:id="136"/>
      <w:bookmarkEnd w:id="137"/>
    </w:p>
    <w:p w14:paraId="318514F3">
      <w:pPr>
        <w:ind w:firstLine="480" w:firstLineChars="200"/>
        <w:rPr>
          <w:rFonts w:hint="eastAsia" w:ascii="仿宋" w:hAnsi="仿宋" w:eastAsia="仿宋" w:cs="仿宋"/>
          <w:sz w:val="24"/>
          <w:szCs w:val="24"/>
        </w:rPr>
      </w:pPr>
      <w:r>
        <w:rPr>
          <w:rFonts w:hint="eastAsia" w:ascii="仿宋" w:hAnsi="仿宋" w:eastAsia="仿宋" w:cs="仿宋"/>
          <w:sz w:val="24"/>
          <w:szCs w:val="24"/>
        </w:rPr>
        <w:t>工作人员可以通过电子档案管理系统的数据采集子系统实现项目资料收集、音视频资料收集，并进行档案接收、档案接收变更、项目打包情况、档案征集管理操作。</w:t>
      </w:r>
    </w:p>
    <w:p w14:paraId="02549403">
      <w:pPr>
        <w:pStyle w:val="6"/>
        <w:numPr>
          <w:ilvl w:val="3"/>
          <w:numId w:val="0"/>
        </w:numPr>
        <w:bidi w:val="0"/>
        <w:ind w:leftChars="0"/>
        <w:rPr>
          <w:rFonts w:hint="eastAsia" w:ascii="仿宋" w:hAnsi="仿宋" w:eastAsia="仿宋" w:cs="仿宋"/>
          <w:sz w:val="24"/>
          <w:szCs w:val="24"/>
        </w:rPr>
      </w:pPr>
      <w:bookmarkStart w:id="138" w:name="_Toc28743"/>
      <w:bookmarkStart w:id="139" w:name="_Toc4920"/>
      <w:bookmarkStart w:id="140" w:name="_Toc16472"/>
      <w:bookmarkStart w:id="141" w:name="_Toc22625"/>
      <w:bookmarkStart w:id="142" w:name="_Toc66191809"/>
      <w:bookmarkStart w:id="143" w:name="_Toc14047"/>
      <w:bookmarkStart w:id="144" w:name="_Toc16972"/>
      <w:bookmarkStart w:id="145" w:name="_Toc15088"/>
      <w:r>
        <w:rPr>
          <w:rFonts w:hint="eastAsia" w:ascii="仿宋" w:hAnsi="仿宋" w:eastAsia="仿宋" w:cs="仿宋"/>
          <w:sz w:val="24"/>
          <w:szCs w:val="24"/>
          <w:lang w:val="en-US" w:eastAsia="zh-CN"/>
        </w:rPr>
        <w:t>2.1.3.1、</w:t>
      </w:r>
      <w:r>
        <w:rPr>
          <w:rFonts w:hint="eastAsia" w:ascii="仿宋" w:hAnsi="仿宋" w:eastAsia="仿宋" w:cs="仿宋"/>
          <w:sz w:val="24"/>
          <w:szCs w:val="24"/>
        </w:rPr>
        <w:t>项目资料收集</w:t>
      </w:r>
      <w:bookmarkEnd w:id="138"/>
      <w:bookmarkEnd w:id="139"/>
      <w:bookmarkEnd w:id="140"/>
      <w:bookmarkEnd w:id="141"/>
      <w:bookmarkEnd w:id="142"/>
      <w:bookmarkEnd w:id="143"/>
      <w:bookmarkEnd w:id="144"/>
      <w:bookmarkEnd w:id="145"/>
    </w:p>
    <w:p w14:paraId="776CED15">
      <w:pPr>
        <w:ind w:firstLine="480" w:firstLineChars="200"/>
        <w:rPr>
          <w:rFonts w:hint="eastAsia" w:ascii="仿宋" w:hAnsi="仿宋" w:eastAsia="仿宋" w:cs="仿宋"/>
          <w:sz w:val="24"/>
          <w:szCs w:val="24"/>
        </w:rPr>
      </w:pPr>
      <w:r>
        <w:rPr>
          <w:rFonts w:hint="eastAsia" w:ascii="仿宋" w:hAnsi="仿宋" w:eastAsia="仿宋" w:cs="仿宋"/>
          <w:sz w:val="24"/>
          <w:szCs w:val="24"/>
        </w:rPr>
        <w:t>本次电子档案管理系统的建设将实现与现有公共资源电子交易系统对接，通过WebService统一的标准数据接口对接方式，以XML的数据交换格式实现现有公共资源电子交易系统对接。</w:t>
      </w:r>
    </w:p>
    <w:p w14:paraId="0AD85111">
      <w:pPr>
        <w:rPr>
          <w:rFonts w:hint="eastAsia" w:ascii="仿宋" w:hAnsi="仿宋" w:eastAsia="仿宋" w:cs="仿宋"/>
          <w:sz w:val="24"/>
          <w:szCs w:val="24"/>
        </w:rPr>
      </w:pPr>
      <w:r>
        <w:rPr>
          <w:rFonts w:hint="eastAsia" w:ascii="仿宋" w:hAnsi="仿宋" w:eastAsia="仿宋" w:cs="仿宋"/>
          <w:sz w:val="24"/>
          <w:szCs w:val="24"/>
        </w:rPr>
        <w:t>电子档案管理系统的建设将从文件归档清单进行着手，公共资源电子交易系统中已有的文件能够直接导入到档案系统中，提交给档案管理部门进行审核。</w:t>
      </w:r>
    </w:p>
    <w:p w14:paraId="05942DE0">
      <w:pPr>
        <w:numPr>
          <w:ilvl w:val="0"/>
          <w:numId w:val="8"/>
        </w:numPr>
        <w:ind w:left="0" w:firstLine="422"/>
        <w:rPr>
          <w:rFonts w:hint="eastAsia" w:ascii="仿宋" w:hAnsi="仿宋" w:eastAsia="仿宋" w:cs="仿宋"/>
          <w:sz w:val="24"/>
          <w:szCs w:val="24"/>
        </w:rPr>
      </w:pPr>
      <w:r>
        <w:rPr>
          <w:rFonts w:hint="eastAsia" w:ascii="仿宋" w:hAnsi="仿宋" w:eastAsia="仿宋" w:cs="仿宋"/>
          <w:b/>
          <w:bCs/>
          <w:sz w:val="24"/>
          <w:szCs w:val="24"/>
        </w:rPr>
        <w:t>归档条线和节点（可根据项目情况增加或修改）</w:t>
      </w:r>
    </w:p>
    <w:p w14:paraId="74070ED7">
      <w:pPr>
        <w:pStyle w:val="25"/>
        <w:ind w:left="0" w:leftChars="0"/>
        <w:rPr>
          <w:rFonts w:hint="eastAsia" w:ascii="仿宋" w:hAnsi="仿宋" w:eastAsia="仿宋" w:cs="仿宋"/>
          <w:sz w:val="24"/>
          <w:szCs w:val="24"/>
        </w:rPr>
      </w:pPr>
      <w:r>
        <w:rPr>
          <w:rFonts w:hint="eastAsia" w:ascii="仿宋" w:hAnsi="仿宋" w:eastAsia="仿宋" w:cs="仿宋"/>
          <w:sz w:val="24"/>
          <w:szCs w:val="24"/>
        </w:rPr>
        <w:t>此处只列举招投标类项目，电子档案产品面向是公共资源，稍加个性化即可支持权益类、资源类项目归档。</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305"/>
        <w:gridCol w:w="3402"/>
      </w:tblGrid>
      <w:tr w14:paraId="1258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65EDA76">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8B13BF8">
            <w:pPr>
              <w:jc w:val="center"/>
              <w:rPr>
                <w:rFonts w:hint="eastAsia" w:ascii="仿宋" w:hAnsi="仿宋" w:eastAsia="仿宋" w:cs="仿宋"/>
                <w:sz w:val="24"/>
                <w:szCs w:val="24"/>
              </w:rPr>
            </w:pPr>
            <w:r>
              <w:rPr>
                <w:rFonts w:hint="eastAsia" w:ascii="仿宋" w:hAnsi="仿宋" w:eastAsia="仿宋" w:cs="仿宋"/>
                <w:sz w:val="24"/>
                <w:szCs w:val="24"/>
              </w:rPr>
              <w:t>建设工程归档节点</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1DF4593">
            <w:pPr>
              <w:jc w:val="center"/>
              <w:rPr>
                <w:rFonts w:hint="eastAsia" w:ascii="仿宋" w:hAnsi="仿宋" w:eastAsia="仿宋" w:cs="仿宋"/>
                <w:sz w:val="24"/>
                <w:szCs w:val="24"/>
              </w:rPr>
            </w:pPr>
            <w:r>
              <w:rPr>
                <w:rFonts w:hint="eastAsia" w:ascii="仿宋" w:hAnsi="仿宋" w:eastAsia="仿宋" w:cs="仿宋"/>
                <w:sz w:val="24"/>
                <w:szCs w:val="24"/>
              </w:rPr>
              <w:t>政府采购归档节点</w:t>
            </w:r>
          </w:p>
        </w:tc>
      </w:tr>
      <w:tr w14:paraId="23FA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7B6A9BB4">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0DF8874">
            <w:pPr>
              <w:rPr>
                <w:rFonts w:hint="eastAsia" w:ascii="仿宋" w:hAnsi="仿宋" w:eastAsia="仿宋" w:cs="仿宋"/>
                <w:sz w:val="24"/>
                <w:szCs w:val="24"/>
              </w:rPr>
            </w:pPr>
            <w:r>
              <w:rPr>
                <w:rFonts w:hint="eastAsia" w:ascii="仿宋" w:hAnsi="仿宋" w:eastAsia="仿宋" w:cs="仿宋"/>
                <w:sz w:val="24"/>
                <w:szCs w:val="24"/>
              </w:rPr>
              <w:t>项目注册</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D60D506">
            <w:pPr>
              <w:rPr>
                <w:rFonts w:hint="eastAsia" w:ascii="仿宋" w:hAnsi="仿宋" w:eastAsia="仿宋" w:cs="仿宋"/>
                <w:sz w:val="24"/>
                <w:szCs w:val="24"/>
              </w:rPr>
            </w:pPr>
            <w:r>
              <w:rPr>
                <w:rFonts w:hint="eastAsia" w:ascii="仿宋" w:hAnsi="仿宋" w:eastAsia="仿宋" w:cs="仿宋"/>
                <w:sz w:val="24"/>
                <w:szCs w:val="24"/>
              </w:rPr>
              <w:t>项目组建（条目组包）</w:t>
            </w:r>
          </w:p>
        </w:tc>
      </w:tr>
      <w:tr w14:paraId="4361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5A26CA6B">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2</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15ADD7E0">
            <w:pPr>
              <w:rPr>
                <w:rFonts w:hint="eastAsia" w:ascii="仿宋" w:hAnsi="仿宋" w:eastAsia="仿宋" w:cs="仿宋"/>
                <w:sz w:val="24"/>
                <w:szCs w:val="24"/>
              </w:rPr>
            </w:pPr>
            <w:r>
              <w:rPr>
                <w:rFonts w:hint="eastAsia" w:ascii="仿宋" w:hAnsi="仿宋" w:eastAsia="仿宋" w:cs="仿宋"/>
                <w:sz w:val="24"/>
                <w:szCs w:val="24"/>
              </w:rPr>
              <w:t>招标项目</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D95C8B">
            <w:pPr>
              <w:rPr>
                <w:rFonts w:hint="eastAsia" w:ascii="仿宋" w:hAnsi="仿宋" w:eastAsia="仿宋" w:cs="仿宋"/>
                <w:sz w:val="24"/>
                <w:szCs w:val="24"/>
              </w:rPr>
            </w:pPr>
            <w:r>
              <w:rPr>
                <w:rFonts w:hint="eastAsia" w:ascii="仿宋" w:hAnsi="仿宋" w:eastAsia="仿宋" w:cs="仿宋"/>
                <w:sz w:val="24"/>
                <w:szCs w:val="24"/>
              </w:rPr>
              <w:t>项目注册</w:t>
            </w:r>
          </w:p>
        </w:tc>
      </w:tr>
      <w:tr w14:paraId="3299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EC0F26C">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3</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D5116ED">
            <w:pPr>
              <w:rPr>
                <w:rFonts w:hint="eastAsia" w:ascii="仿宋" w:hAnsi="仿宋" w:eastAsia="仿宋" w:cs="仿宋"/>
                <w:sz w:val="24"/>
                <w:szCs w:val="24"/>
              </w:rPr>
            </w:pPr>
            <w:r>
              <w:rPr>
                <w:rFonts w:hint="eastAsia" w:ascii="仿宋" w:hAnsi="仿宋" w:eastAsia="仿宋" w:cs="仿宋"/>
                <w:sz w:val="24"/>
                <w:szCs w:val="24"/>
              </w:rPr>
              <w:t>自行招标/招标委托合同</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B41CAD1">
            <w:pPr>
              <w:rPr>
                <w:rFonts w:hint="eastAsia" w:ascii="仿宋" w:hAnsi="仿宋" w:eastAsia="仿宋" w:cs="仿宋"/>
                <w:sz w:val="24"/>
                <w:szCs w:val="24"/>
              </w:rPr>
            </w:pPr>
            <w:r>
              <w:rPr>
                <w:rFonts w:hint="eastAsia" w:ascii="仿宋" w:hAnsi="仿宋" w:eastAsia="仿宋" w:cs="仿宋"/>
                <w:sz w:val="24"/>
                <w:szCs w:val="24"/>
              </w:rPr>
              <w:t>采购预告</w:t>
            </w:r>
          </w:p>
        </w:tc>
      </w:tr>
      <w:tr w14:paraId="4D41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D1D07E">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4</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0A08BE63">
            <w:pPr>
              <w:rPr>
                <w:rFonts w:hint="eastAsia" w:ascii="仿宋" w:hAnsi="仿宋" w:eastAsia="仿宋" w:cs="仿宋"/>
                <w:sz w:val="24"/>
                <w:szCs w:val="24"/>
              </w:rPr>
            </w:pPr>
            <w:r>
              <w:rPr>
                <w:rFonts w:hint="eastAsia" w:ascii="仿宋" w:hAnsi="仿宋" w:eastAsia="仿宋" w:cs="仿宋"/>
                <w:sz w:val="24"/>
                <w:szCs w:val="24"/>
              </w:rPr>
              <w:t>招标公告</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3B449FD">
            <w:pPr>
              <w:rPr>
                <w:rFonts w:hint="eastAsia" w:ascii="仿宋" w:hAnsi="仿宋" w:eastAsia="仿宋" w:cs="仿宋"/>
                <w:sz w:val="24"/>
                <w:szCs w:val="24"/>
              </w:rPr>
            </w:pPr>
            <w:r>
              <w:rPr>
                <w:rFonts w:hint="eastAsia" w:ascii="仿宋" w:hAnsi="仿宋" w:eastAsia="仿宋" w:cs="仿宋"/>
                <w:sz w:val="24"/>
                <w:szCs w:val="24"/>
              </w:rPr>
              <w:t>交易公告</w:t>
            </w:r>
          </w:p>
        </w:tc>
      </w:tr>
      <w:tr w14:paraId="598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3A614A">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5</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6B2ADD29">
            <w:pPr>
              <w:rPr>
                <w:rFonts w:hint="eastAsia" w:ascii="仿宋" w:hAnsi="仿宋" w:eastAsia="仿宋" w:cs="仿宋"/>
                <w:sz w:val="24"/>
                <w:szCs w:val="24"/>
              </w:rPr>
            </w:pPr>
            <w:r>
              <w:rPr>
                <w:rFonts w:hint="eastAsia" w:ascii="仿宋" w:hAnsi="仿宋" w:eastAsia="仿宋" w:cs="仿宋"/>
                <w:sz w:val="24"/>
                <w:szCs w:val="24"/>
              </w:rPr>
              <w:t>资格预审文件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6D225CD">
            <w:pPr>
              <w:rPr>
                <w:rFonts w:hint="eastAsia" w:ascii="仿宋" w:hAnsi="仿宋" w:eastAsia="仿宋" w:cs="仿宋"/>
                <w:sz w:val="24"/>
                <w:szCs w:val="24"/>
              </w:rPr>
            </w:pPr>
            <w:r>
              <w:rPr>
                <w:rFonts w:hint="eastAsia" w:ascii="仿宋" w:hAnsi="仿宋" w:eastAsia="仿宋" w:cs="仿宋"/>
                <w:sz w:val="24"/>
                <w:szCs w:val="24"/>
              </w:rPr>
              <w:t>变更公告</w:t>
            </w:r>
          </w:p>
        </w:tc>
      </w:tr>
      <w:tr w14:paraId="0348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4AA67AF7">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6</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41B273F">
            <w:pPr>
              <w:rPr>
                <w:rFonts w:hint="eastAsia" w:ascii="仿宋" w:hAnsi="仿宋" w:eastAsia="仿宋" w:cs="仿宋"/>
                <w:sz w:val="24"/>
                <w:szCs w:val="24"/>
              </w:rPr>
            </w:pPr>
            <w:r>
              <w:rPr>
                <w:rFonts w:hint="eastAsia" w:ascii="仿宋" w:hAnsi="仿宋" w:eastAsia="仿宋" w:cs="仿宋"/>
                <w:sz w:val="24"/>
                <w:szCs w:val="24"/>
              </w:rPr>
              <w:t>资审澄清文件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42D1311">
            <w:pPr>
              <w:rPr>
                <w:rFonts w:hint="eastAsia" w:ascii="仿宋" w:hAnsi="仿宋" w:eastAsia="仿宋" w:cs="仿宋"/>
                <w:sz w:val="24"/>
                <w:szCs w:val="24"/>
              </w:rPr>
            </w:pPr>
            <w:r>
              <w:rPr>
                <w:rFonts w:hint="eastAsia" w:ascii="仿宋" w:hAnsi="仿宋" w:eastAsia="仿宋" w:cs="仿宋"/>
                <w:sz w:val="24"/>
                <w:szCs w:val="24"/>
              </w:rPr>
              <w:t>采购文件</w:t>
            </w:r>
          </w:p>
        </w:tc>
      </w:tr>
      <w:tr w14:paraId="1EE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2D9A4EEE">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7</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BC514A9">
            <w:pPr>
              <w:rPr>
                <w:rFonts w:hint="eastAsia" w:ascii="仿宋" w:hAnsi="仿宋" w:eastAsia="仿宋" w:cs="仿宋"/>
                <w:sz w:val="24"/>
                <w:szCs w:val="24"/>
              </w:rPr>
            </w:pPr>
            <w:r>
              <w:rPr>
                <w:rFonts w:hint="eastAsia" w:ascii="仿宋" w:hAnsi="仿宋" w:eastAsia="仿宋" w:cs="仿宋"/>
                <w:sz w:val="24"/>
                <w:szCs w:val="24"/>
              </w:rPr>
              <w:t>资格预审结果</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9767D2C">
            <w:pPr>
              <w:rPr>
                <w:rFonts w:hint="eastAsia" w:ascii="仿宋" w:hAnsi="仿宋" w:eastAsia="仿宋" w:cs="仿宋"/>
                <w:sz w:val="24"/>
                <w:szCs w:val="24"/>
              </w:rPr>
            </w:pPr>
            <w:r>
              <w:rPr>
                <w:rFonts w:hint="eastAsia" w:ascii="仿宋" w:hAnsi="仿宋" w:eastAsia="仿宋" w:cs="仿宋"/>
                <w:sz w:val="24"/>
                <w:szCs w:val="24"/>
              </w:rPr>
              <w:t>答疑文件</w:t>
            </w:r>
          </w:p>
        </w:tc>
      </w:tr>
      <w:tr w14:paraId="7A54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308C7520">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8</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1CAAA0C">
            <w:pPr>
              <w:rPr>
                <w:rFonts w:hint="eastAsia" w:ascii="仿宋" w:hAnsi="仿宋" w:eastAsia="仿宋" w:cs="仿宋"/>
                <w:sz w:val="24"/>
                <w:szCs w:val="24"/>
              </w:rPr>
            </w:pPr>
            <w:r>
              <w:rPr>
                <w:rFonts w:hint="eastAsia" w:ascii="仿宋" w:hAnsi="仿宋" w:eastAsia="仿宋" w:cs="仿宋"/>
                <w:sz w:val="24"/>
                <w:szCs w:val="24"/>
              </w:rPr>
              <w:t>招标文件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B3C3DF3">
            <w:pPr>
              <w:rPr>
                <w:rFonts w:hint="eastAsia" w:ascii="仿宋" w:hAnsi="仿宋" w:eastAsia="仿宋" w:cs="仿宋"/>
                <w:sz w:val="24"/>
                <w:szCs w:val="24"/>
              </w:rPr>
            </w:pPr>
            <w:r>
              <w:rPr>
                <w:rFonts w:hint="eastAsia" w:ascii="仿宋" w:hAnsi="仿宋" w:eastAsia="仿宋" w:cs="仿宋"/>
                <w:sz w:val="24"/>
                <w:szCs w:val="24"/>
              </w:rPr>
              <w:t>采购人评委</w:t>
            </w:r>
          </w:p>
        </w:tc>
      </w:tr>
      <w:tr w14:paraId="2E5A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085974E9">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9</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2D8604C8">
            <w:pPr>
              <w:rPr>
                <w:rFonts w:hint="eastAsia" w:ascii="仿宋" w:hAnsi="仿宋" w:eastAsia="仿宋" w:cs="仿宋"/>
                <w:sz w:val="24"/>
                <w:szCs w:val="24"/>
              </w:rPr>
            </w:pPr>
            <w:r>
              <w:rPr>
                <w:rFonts w:hint="eastAsia" w:ascii="仿宋" w:hAnsi="仿宋" w:eastAsia="仿宋" w:cs="仿宋"/>
                <w:sz w:val="24"/>
                <w:szCs w:val="24"/>
              </w:rPr>
              <w:t>澄清文件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12CE2A">
            <w:pPr>
              <w:rPr>
                <w:rFonts w:hint="eastAsia" w:ascii="仿宋" w:hAnsi="仿宋" w:eastAsia="仿宋" w:cs="仿宋"/>
                <w:sz w:val="24"/>
                <w:szCs w:val="24"/>
              </w:rPr>
            </w:pPr>
            <w:r>
              <w:rPr>
                <w:rFonts w:hint="eastAsia" w:ascii="仿宋" w:hAnsi="仿宋" w:eastAsia="仿宋" w:cs="仿宋"/>
                <w:sz w:val="24"/>
                <w:szCs w:val="24"/>
              </w:rPr>
              <w:t>采购异常</w:t>
            </w:r>
          </w:p>
        </w:tc>
      </w:tr>
      <w:tr w14:paraId="13A3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87BC1BC">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10</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690E6B2D">
            <w:pPr>
              <w:rPr>
                <w:rFonts w:hint="eastAsia" w:ascii="仿宋" w:hAnsi="仿宋" w:eastAsia="仿宋" w:cs="仿宋"/>
                <w:sz w:val="24"/>
                <w:szCs w:val="24"/>
              </w:rPr>
            </w:pPr>
            <w:r>
              <w:rPr>
                <w:rFonts w:hint="eastAsia" w:ascii="仿宋" w:hAnsi="仿宋" w:eastAsia="仿宋" w:cs="仿宋"/>
                <w:sz w:val="24"/>
                <w:szCs w:val="24"/>
              </w:rPr>
              <w:t>招标控制价文件</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2EC72B">
            <w:pPr>
              <w:rPr>
                <w:rFonts w:hint="eastAsia" w:ascii="仿宋" w:hAnsi="仿宋" w:eastAsia="仿宋" w:cs="仿宋"/>
                <w:sz w:val="24"/>
                <w:szCs w:val="24"/>
              </w:rPr>
            </w:pPr>
            <w:r>
              <w:rPr>
                <w:rFonts w:hint="eastAsia" w:ascii="仿宋" w:hAnsi="仿宋" w:eastAsia="仿宋" w:cs="仿宋"/>
                <w:sz w:val="24"/>
                <w:szCs w:val="24"/>
              </w:rPr>
              <w:t>采购公示</w:t>
            </w:r>
          </w:p>
        </w:tc>
      </w:tr>
      <w:tr w14:paraId="177C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4FF2989">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11</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22CF7C58">
            <w:pPr>
              <w:rPr>
                <w:rFonts w:hint="eastAsia" w:ascii="仿宋" w:hAnsi="仿宋" w:eastAsia="仿宋" w:cs="仿宋"/>
                <w:sz w:val="24"/>
                <w:szCs w:val="24"/>
              </w:rPr>
            </w:pPr>
            <w:r>
              <w:rPr>
                <w:rFonts w:hint="eastAsia" w:ascii="仿宋" w:hAnsi="仿宋" w:eastAsia="仿宋" w:cs="仿宋"/>
                <w:sz w:val="24"/>
                <w:szCs w:val="24"/>
              </w:rPr>
              <w:t>招标人评委</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FC2BD5">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投标单位（若交易平台中存在）</w:t>
            </w:r>
          </w:p>
        </w:tc>
      </w:tr>
      <w:tr w14:paraId="2D86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5BC31F8">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12</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0029AC62">
            <w:pPr>
              <w:rPr>
                <w:rFonts w:hint="eastAsia" w:ascii="仿宋" w:hAnsi="仿宋" w:eastAsia="仿宋" w:cs="仿宋"/>
                <w:sz w:val="24"/>
                <w:szCs w:val="24"/>
              </w:rPr>
            </w:pPr>
            <w:r>
              <w:rPr>
                <w:rFonts w:hint="eastAsia" w:ascii="仿宋" w:hAnsi="仿宋" w:eastAsia="仿宋" w:cs="仿宋"/>
                <w:sz w:val="24"/>
                <w:szCs w:val="24"/>
              </w:rPr>
              <w:t>招标异常</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62D7AA6">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评标报告（若交易平台中存在）</w:t>
            </w:r>
          </w:p>
        </w:tc>
      </w:tr>
      <w:tr w14:paraId="2343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030B59D">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13</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17C200D1">
            <w:pPr>
              <w:rPr>
                <w:rFonts w:hint="eastAsia" w:ascii="仿宋" w:hAnsi="仿宋" w:eastAsia="仿宋" w:cs="仿宋"/>
                <w:sz w:val="24"/>
                <w:szCs w:val="24"/>
              </w:rPr>
            </w:pPr>
            <w:r>
              <w:rPr>
                <w:rFonts w:hint="eastAsia" w:ascii="仿宋" w:hAnsi="仿宋" w:eastAsia="仿宋" w:cs="仿宋"/>
                <w:sz w:val="24"/>
                <w:szCs w:val="24"/>
              </w:rPr>
              <w:t>中标结果公告</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3557778">
            <w:pPr>
              <w:jc w:val="center"/>
              <w:rPr>
                <w:rFonts w:hint="eastAsia" w:ascii="仿宋" w:hAnsi="仿宋" w:eastAsia="仿宋" w:cs="仿宋"/>
                <w:sz w:val="24"/>
                <w:szCs w:val="24"/>
              </w:rPr>
            </w:pPr>
          </w:p>
        </w:tc>
      </w:tr>
      <w:tr w14:paraId="3079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1BA0BAB1">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14</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422426DB">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投标单位（若交易平台中存在）</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C808447">
            <w:pPr>
              <w:jc w:val="center"/>
              <w:rPr>
                <w:rFonts w:hint="eastAsia" w:ascii="仿宋" w:hAnsi="仿宋" w:eastAsia="仿宋" w:cs="仿宋"/>
                <w:sz w:val="24"/>
                <w:szCs w:val="24"/>
              </w:rPr>
            </w:pPr>
          </w:p>
        </w:tc>
      </w:tr>
      <w:tr w14:paraId="226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Borders>
              <w:top w:val="single" w:color="auto" w:sz="4" w:space="0"/>
              <w:left w:val="single" w:color="auto" w:sz="4" w:space="0"/>
              <w:bottom w:val="single" w:color="auto" w:sz="4" w:space="0"/>
              <w:right w:val="single" w:color="auto" w:sz="4" w:space="0"/>
            </w:tcBorders>
            <w:noWrap w:val="0"/>
            <w:vAlign w:val="center"/>
          </w:tcPr>
          <w:p w14:paraId="6D5652B6">
            <w:pPr>
              <w:ind w:left="480" w:leftChars="200" w:firstLine="0" w:firstLineChars="0"/>
              <w:jc w:val="both"/>
              <w:rPr>
                <w:rFonts w:hint="eastAsia" w:ascii="仿宋" w:hAnsi="仿宋" w:eastAsia="仿宋" w:cs="仿宋"/>
                <w:sz w:val="24"/>
                <w:szCs w:val="24"/>
              </w:rPr>
            </w:pPr>
            <w:r>
              <w:rPr>
                <w:rFonts w:hint="eastAsia" w:ascii="仿宋" w:hAnsi="仿宋" w:eastAsia="仿宋" w:cs="仿宋"/>
                <w:sz w:val="24"/>
                <w:szCs w:val="24"/>
              </w:rPr>
              <w:t>15</w:t>
            </w:r>
          </w:p>
        </w:tc>
        <w:tc>
          <w:tcPr>
            <w:tcW w:w="3305" w:type="dxa"/>
            <w:tcBorders>
              <w:top w:val="single" w:color="auto" w:sz="4" w:space="0"/>
              <w:left w:val="single" w:color="auto" w:sz="4" w:space="0"/>
              <w:bottom w:val="single" w:color="auto" w:sz="4" w:space="0"/>
              <w:right w:val="single" w:color="auto" w:sz="4" w:space="0"/>
            </w:tcBorders>
            <w:noWrap w:val="0"/>
            <w:vAlign w:val="center"/>
          </w:tcPr>
          <w:p w14:paraId="77F45D8C">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评标报告（若交易平台中存在）</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5C12FA8">
            <w:pPr>
              <w:jc w:val="center"/>
              <w:rPr>
                <w:rFonts w:hint="eastAsia" w:ascii="仿宋" w:hAnsi="仿宋" w:eastAsia="仿宋" w:cs="仿宋"/>
                <w:sz w:val="24"/>
                <w:szCs w:val="24"/>
              </w:rPr>
            </w:pPr>
          </w:p>
        </w:tc>
      </w:tr>
    </w:tbl>
    <w:p w14:paraId="2976D5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lang w:eastAsia="zh-CN"/>
        </w:rPr>
      </w:pPr>
    </w:p>
    <w:p w14:paraId="1DE006C8">
      <w:pPr>
        <w:pStyle w:val="6"/>
        <w:numPr>
          <w:ilvl w:val="3"/>
          <w:numId w:val="0"/>
        </w:numPr>
        <w:bidi w:val="0"/>
        <w:ind w:leftChars="0"/>
        <w:rPr>
          <w:rFonts w:hint="eastAsia" w:ascii="仿宋" w:hAnsi="仿宋" w:eastAsia="仿宋" w:cs="仿宋"/>
          <w:sz w:val="24"/>
          <w:szCs w:val="24"/>
        </w:rPr>
      </w:pPr>
      <w:bookmarkStart w:id="146" w:name="_Toc66191810"/>
      <w:bookmarkStart w:id="147" w:name="_Toc4508"/>
      <w:bookmarkStart w:id="148" w:name="_Toc10304"/>
      <w:bookmarkStart w:id="149" w:name="_Toc3405"/>
      <w:bookmarkStart w:id="150" w:name="_Toc20998"/>
      <w:bookmarkStart w:id="151" w:name="_Toc20573"/>
      <w:bookmarkStart w:id="152" w:name="_Toc12128"/>
      <w:bookmarkStart w:id="153" w:name="_Toc3712"/>
      <w:r>
        <w:rPr>
          <w:rFonts w:hint="eastAsia" w:ascii="仿宋" w:hAnsi="仿宋" w:eastAsia="仿宋" w:cs="仿宋"/>
          <w:sz w:val="24"/>
          <w:szCs w:val="24"/>
          <w:lang w:val="en-US" w:eastAsia="zh-CN"/>
        </w:rPr>
        <w:t>2.1.3.2、</w:t>
      </w:r>
      <w:r>
        <w:rPr>
          <w:rFonts w:hint="eastAsia" w:ascii="仿宋" w:hAnsi="仿宋" w:eastAsia="仿宋" w:cs="仿宋"/>
          <w:sz w:val="24"/>
          <w:szCs w:val="24"/>
        </w:rPr>
        <w:t>音视频资料</w:t>
      </w:r>
      <w:bookmarkEnd w:id="146"/>
      <w:r>
        <w:rPr>
          <w:rFonts w:hint="eastAsia" w:ascii="仿宋" w:hAnsi="仿宋" w:eastAsia="仿宋" w:cs="仿宋"/>
          <w:sz w:val="24"/>
          <w:szCs w:val="24"/>
        </w:rPr>
        <w:t>收集</w:t>
      </w:r>
      <w:bookmarkEnd w:id="147"/>
      <w:bookmarkEnd w:id="148"/>
      <w:bookmarkEnd w:id="149"/>
      <w:bookmarkEnd w:id="150"/>
      <w:bookmarkEnd w:id="151"/>
      <w:bookmarkEnd w:id="152"/>
      <w:bookmarkEnd w:id="153"/>
    </w:p>
    <w:p w14:paraId="0998B4D3">
      <w:pPr>
        <w:ind w:firstLine="480" w:firstLineChars="200"/>
        <w:rPr>
          <w:rFonts w:hint="eastAsia" w:ascii="仿宋" w:hAnsi="仿宋" w:eastAsia="仿宋" w:cs="仿宋"/>
          <w:sz w:val="24"/>
          <w:szCs w:val="24"/>
        </w:rPr>
      </w:pPr>
      <w:r>
        <w:rPr>
          <w:rFonts w:hint="eastAsia" w:ascii="仿宋" w:hAnsi="仿宋" w:eastAsia="仿宋" w:cs="仿宋"/>
          <w:sz w:val="24"/>
          <w:szCs w:val="24"/>
        </w:rPr>
        <w:t>电子档案管理系统提供对音视频资料归档功能，可在线查看音视频格式文档，在档案核验、预览、在线预览环节能够查看音视频资料内容。</w:t>
      </w:r>
    </w:p>
    <w:p w14:paraId="6711A551">
      <w:pPr>
        <w:pStyle w:val="6"/>
        <w:numPr>
          <w:ilvl w:val="3"/>
          <w:numId w:val="0"/>
        </w:numPr>
        <w:bidi w:val="0"/>
        <w:ind w:leftChars="0"/>
        <w:rPr>
          <w:rFonts w:hint="eastAsia" w:ascii="仿宋" w:hAnsi="仿宋" w:eastAsia="仿宋" w:cs="仿宋"/>
          <w:sz w:val="24"/>
          <w:szCs w:val="24"/>
        </w:rPr>
      </w:pPr>
      <w:bookmarkStart w:id="154" w:name="_Toc215"/>
      <w:bookmarkStart w:id="155" w:name="_Toc13699"/>
      <w:bookmarkStart w:id="156" w:name="_Toc66191811"/>
      <w:bookmarkStart w:id="157" w:name="_Toc22733"/>
      <w:bookmarkStart w:id="158" w:name="_Toc27658"/>
      <w:bookmarkStart w:id="159" w:name="_Toc30285"/>
      <w:bookmarkStart w:id="160" w:name="_Toc1074"/>
      <w:bookmarkStart w:id="161" w:name="_Toc21964"/>
      <w:r>
        <w:rPr>
          <w:rFonts w:hint="eastAsia" w:ascii="仿宋" w:hAnsi="仿宋" w:eastAsia="仿宋" w:cs="仿宋"/>
          <w:sz w:val="24"/>
          <w:szCs w:val="24"/>
          <w:lang w:val="en-US" w:eastAsia="zh-CN"/>
        </w:rPr>
        <w:t>2.1.3.3、</w:t>
      </w:r>
      <w:r>
        <w:rPr>
          <w:rFonts w:hint="eastAsia" w:ascii="仿宋" w:hAnsi="仿宋" w:eastAsia="仿宋" w:cs="仿宋"/>
          <w:sz w:val="24"/>
          <w:szCs w:val="24"/>
        </w:rPr>
        <w:t>档案接收</w:t>
      </w:r>
      <w:bookmarkEnd w:id="154"/>
      <w:bookmarkEnd w:id="155"/>
      <w:bookmarkEnd w:id="156"/>
      <w:bookmarkEnd w:id="157"/>
      <w:bookmarkEnd w:id="158"/>
      <w:bookmarkEnd w:id="159"/>
      <w:bookmarkEnd w:id="160"/>
      <w:bookmarkEnd w:id="161"/>
    </w:p>
    <w:p w14:paraId="22EC2653">
      <w:pPr>
        <w:ind w:firstLine="480" w:firstLineChars="200"/>
        <w:rPr>
          <w:rFonts w:hint="eastAsia" w:ascii="仿宋" w:hAnsi="仿宋" w:eastAsia="仿宋" w:cs="仿宋"/>
          <w:sz w:val="24"/>
          <w:szCs w:val="24"/>
        </w:rPr>
      </w:pPr>
      <w:r>
        <w:rPr>
          <w:rFonts w:hint="eastAsia" w:ascii="仿宋" w:hAnsi="仿宋" w:eastAsia="仿宋" w:cs="仿宋"/>
          <w:sz w:val="24"/>
          <w:szCs w:val="24"/>
        </w:rPr>
        <w:t>在电子档案管理系统中接收到公共资源电子交易系统中的数据后，由档案管理员进行核验，审核通过后可进一步进行档案归档。</w:t>
      </w:r>
    </w:p>
    <w:p w14:paraId="4B7FA9F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2.1.3.3.1、</w:t>
      </w:r>
      <w:r>
        <w:rPr>
          <w:rFonts w:hint="eastAsia" w:ascii="仿宋" w:hAnsi="仿宋" w:eastAsia="仿宋" w:cs="仿宋"/>
          <w:sz w:val="24"/>
          <w:szCs w:val="24"/>
        </w:rPr>
        <w:t>档案数据核验</w:t>
      </w:r>
    </w:p>
    <w:p w14:paraId="40BC7940">
      <w:pPr>
        <w:widowControl/>
        <w:numPr>
          <w:ilvl w:val="0"/>
          <w:numId w:val="9"/>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档案核验</w:t>
      </w:r>
    </w:p>
    <w:p w14:paraId="3D23E8C7">
      <w:pPr>
        <w:rPr>
          <w:rFonts w:hint="eastAsia" w:ascii="仿宋" w:hAnsi="仿宋" w:eastAsia="仿宋" w:cs="仿宋"/>
          <w:sz w:val="24"/>
          <w:szCs w:val="24"/>
        </w:rPr>
      </w:pPr>
      <w:r>
        <w:rPr>
          <w:rFonts w:hint="eastAsia" w:ascii="仿宋" w:hAnsi="仿宋" w:eastAsia="仿宋" w:cs="仿宋"/>
          <w:sz w:val="24"/>
          <w:szCs w:val="24"/>
        </w:rPr>
        <w:t>在档案接收审核中，档案管理员能对档案数据进行核验，核验数据主要包括：名称、编号、类型、核验状态、是否允许借阅、是否同步子项、其他信息。</w:t>
      </w:r>
    </w:p>
    <w:p w14:paraId="19F4DD80">
      <w:pPr>
        <w:widowControl/>
        <w:numPr>
          <w:ilvl w:val="0"/>
          <w:numId w:val="9"/>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文件补录</w:t>
      </w:r>
    </w:p>
    <w:p w14:paraId="6CD20240">
      <w:pPr>
        <w:rPr>
          <w:rFonts w:hint="eastAsia" w:ascii="仿宋" w:hAnsi="仿宋" w:eastAsia="仿宋" w:cs="仿宋"/>
          <w:sz w:val="24"/>
          <w:szCs w:val="24"/>
        </w:rPr>
      </w:pPr>
      <w:r>
        <w:rPr>
          <w:rFonts w:hint="eastAsia" w:ascii="仿宋" w:hAnsi="仿宋" w:eastAsia="仿宋" w:cs="仿宋"/>
          <w:sz w:val="24"/>
          <w:szCs w:val="24"/>
        </w:rPr>
        <w:t>在档案接收核验中，档案管理员能够补录档案文件内容信息及新增目录，能够在目录下新上传文件附件或用高拍仪录入文件附件。</w:t>
      </w:r>
    </w:p>
    <w:p w14:paraId="673588B2">
      <w:pPr>
        <w:rPr>
          <w:rFonts w:hint="eastAsia" w:ascii="仿宋" w:hAnsi="仿宋" w:eastAsia="仿宋" w:cs="仿宋"/>
          <w:sz w:val="24"/>
          <w:szCs w:val="24"/>
        </w:rPr>
      </w:pPr>
      <w:r>
        <w:rPr>
          <w:rFonts w:hint="eastAsia" w:ascii="仿宋" w:hAnsi="仿宋" w:eastAsia="仿宋" w:cs="仿宋"/>
          <w:sz w:val="24"/>
          <w:szCs w:val="24"/>
        </w:rPr>
        <w:t>文件上传在本机选择需要上传的附件进行上传，上传成功后显示附件及其他信息。</w:t>
      </w:r>
    </w:p>
    <w:p w14:paraId="390002F5">
      <w:pPr>
        <w:rPr>
          <w:rFonts w:hint="eastAsia" w:ascii="仿宋" w:hAnsi="仿宋" w:eastAsia="仿宋" w:cs="仿宋"/>
          <w:sz w:val="24"/>
          <w:szCs w:val="24"/>
        </w:rPr>
      </w:pPr>
      <w:r>
        <w:rPr>
          <w:rFonts w:hint="eastAsia" w:ascii="仿宋" w:hAnsi="仿宋" w:eastAsia="仿宋" w:cs="仿宋"/>
          <w:sz w:val="24"/>
          <w:szCs w:val="24"/>
        </w:rPr>
        <w:t>高拍仪录入时系统调用高拍仪设备，拍摄纸质文档，拍摄完成的电子件，会显示在文件列表记录中。</w:t>
      </w:r>
    </w:p>
    <w:p w14:paraId="21FE111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2.1.3.3.2、</w:t>
      </w:r>
      <w:r>
        <w:rPr>
          <w:rFonts w:hint="eastAsia" w:ascii="仿宋" w:hAnsi="仿宋" w:eastAsia="仿宋" w:cs="仿宋"/>
          <w:sz w:val="24"/>
          <w:szCs w:val="24"/>
        </w:rPr>
        <w:t>档案预览</w:t>
      </w:r>
    </w:p>
    <w:p w14:paraId="53EA60AD">
      <w:pPr>
        <w:ind w:firstLine="480" w:firstLineChars="200"/>
        <w:rPr>
          <w:rFonts w:hint="eastAsia" w:ascii="仿宋" w:hAnsi="仿宋" w:eastAsia="仿宋" w:cs="仿宋"/>
          <w:sz w:val="24"/>
          <w:szCs w:val="24"/>
        </w:rPr>
      </w:pPr>
      <w:r>
        <w:rPr>
          <w:rFonts w:hint="eastAsia" w:ascii="仿宋" w:hAnsi="仿宋" w:eastAsia="仿宋" w:cs="仿宋"/>
          <w:sz w:val="24"/>
          <w:szCs w:val="24"/>
        </w:rPr>
        <w:t>在档案管理员预归档审核时提供电子档案预览功能，分两块区域显示档案文件目录和档案文件内容。</w:t>
      </w:r>
    </w:p>
    <w:p w14:paraId="0CFFE26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2.1.3.3.3、</w:t>
      </w:r>
      <w:r>
        <w:rPr>
          <w:rFonts w:hint="eastAsia" w:ascii="仿宋" w:hAnsi="仿宋" w:eastAsia="仿宋" w:cs="仿宋"/>
          <w:sz w:val="24"/>
          <w:szCs w:val="24"/>
        </w:rPr>
        <w:t>档案审核</w:t>
      </w:r>
    </w:p>
    <w:p w14:paraId="30A01AB1">
      <w:pPr>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若档案数据核验中存在不通过的信息，则无法通过档案审核，可选择退回档案接收申请；</w:t>
      </w:r>
      <w:r>
        <w:rPr>
          <w:rFonts w:hint="eastAsia" w:ascii="仿宋" w:hAnsi="仿宋" w:eastAsia="仿宋" w:cs="仿宋"/>
          <w:color w:val="000000"/>
          <w:sz w:val="24"/>
          <w:szCs w:val="24"/>
        </w:rPr>
        <w:t>在档案所有数据均通过核验后，档案管理员可填写处理意见并选择“同意”，该档案即可通过审核。</w:t>
      </w:r>
    </w:p>
    <w:p w14:paraId="395CD9D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2.1.3.3.4、</w:t>
      </w:r>
      <w:r>
        <w:rPr>
          <w:rFonts w:hint="eastAsia" w:ascii="仿宋" w:hAnsi="仿宋" w:eastAsia="仿宋" w:cs="仿宋"/>
          <w:sz w:val="24"/>
          <w:szCs w:val="24"/>
        </w:rPr>
        <w:t>格式转换</w:t>
      </w:r>
    </w:p>
    <w:p w14:paraId="2476AF1F">
      <w:pPr>
        <w:widowControl/>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系统具备电子档案格式转换功能，支持对非规范格式的电子档案转换为PDF格式的电子档案，可实现</w:t>
      </w:r>
      <w:r>
        <w:rPr>
          <w:rFonts w:hint="eastAsia" w:ascii="仿宋" w:hAnsi="仿宋" w:eastAsia="仿宋" w:cs="仿宋"/>
          <w:sz w:val="24"/>
          <w:szCs w:val="24"/>
        </w:rPr>
        <w:t>批量转换、单个文件转换，</w:t>
      </w:r>
      <w:r>
        <w:rPr>
          <w:rFonts w:hint="eastAsia" w:ascii="仿宋" w:hAnsi="仿宋" w:eastAsia="仿宋" w:cs="仿宋"/>
          <w:color w:val="000000"/>
          <w:sz w:val="24"/>
          <w:szCs w:val="24"/>
        </w:rPr>
        <w:t>同时记录转换后的文件信息、操作人员信息、转换时间和转换结果，并生成转换结果报告单。</w:t>
      </w:r>
    </w:p>
    <w:p w14:paraId="00817AC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2.1.3.3.5、</w:t>
      </w:r>
      <w:r>
        <w:rPr>
          <w:rFonts w:hint="eastAsia" w:ascii="仿宋" w:hAnsi="仿宋" w:eastAsia="仿宋" w:cs="仿宋"/>
          <w:sz w:val="24"/>
          <w:szCs w:val="24"/>
        </w:rPr>
        <w:t>离线接收</w:t>
      </w:r>
    </w:p>
    <w:p w14:paraId="1DC4E72E">
      <w:pPr>
        <w:ind w:firstLine="480" w:firstLineChars="200"/>
        <w:rPr>
          <w:rFonts w:hint="eastAsia" w:ascii="仿宋" w:hAnsi="仿宋" w:eastAsia="仿宋" w:cs="仿宋"/>
          <w:sz w:val="24"/>
          <w:szCs w:val="24"/>
        </w:rPr>
      </w:pPr>
      <w:r>
        <w:rPr>
          <w:rFonts w:hint="eastAsia" w:ascii="仿宋" w:hAnsi="仿宋" w:eastAsia="仿宋" w:cs="仿宋"/>
          <w:sz w:val="24"/>
          <w:szCs w:val="24"/>
        </w:rPr>
        <w:t>对于非电子件档案（纸质档案）归档，系统新增离线归档功能，管理员可在此版块进行离线归档操作，填写对应题名、档案预编号、密级、管理期限和档案所属单位后，可使用高拍仪录入纸质文件，实现离线归档。</w:t>
      </w:r>
    </w:p>
    <w:p w14:paraId="08A5264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2.1.3.3.6、</w:t>
      </w:r>
      <w:r>
        <w:rPr>
          <w:rFonts w:hint="eastAsia" w:ascii="仿宋" w:hAnsi="仿宋" w:eastAsia="仿宋" w:cs="仿宋"/>
          <w:sz w:val="24"/>
          <w:szCs w:val="24"/>
        </w:rPr>
        <w:t>批量登记</w:t>
      </w:r>
    </w:p>
    <w:p w14:paraId="331497DB">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系统支持档案批量登记功能，对符合条件的档案可进行批量登记接收，提升工作效率。</w:t>
      </w:r>
    </w:p>
    <w:p w14:paraId="19729BC7">
      <w:pPr>
        <w:pStyle w:val="6"/>
        <w:numPr>
          <w:ilvl w:val="3"/>
          <w:numId w:val="0"/>
        </w:numPr>
        <w:bidi w:val="0"/>
        <w:ind w:leftChars="0"/>
        <w:rPr>
          <w:rFonts w:hint="eastAsia" w:ascii="仿宋" w:hAnsi="仿宋" w:eastAsia="仿宋" w:cs="仿宋"/>
          <w:sz w:val="24"/>
          <w:szCs w:val="24"/>
        </w:rPr>
      </w:pPr>
      <w:bookmarkStart w:id="162" w:name="_Toc8754"/>
      <w:bookmarkStart w:id="163" w:name="_Toc8359"/>
      <w:bookmarkStart w:id="164" w:name="_Toc25444"/>
      <w:bookmarkStart w:id="165" w:name="_Toc21561"/>
      <w:bookmarkStart w:id="166" w:name="_Toc22639"/>
      <w:bookmarkStart w:id="167" w:name="_Toc15732"/>
      <w:bookmarkStart w:id="168" w:name="_Toc13159"/>
      <w:r>
        <w:rPr>
          <w:rFonts w:hint="eastAsia" w:ascii="仿宋" w:hAnsi="仿宋" w:eastAsia="仿宋" w:cs="仿宋"/>
          <w:sz w:val="24"/>
          <w:szCs w:val="24"/>
          <w:lang w:val="en-US" w:eastAsia="zh-CN"/>
        </w:rPr>
        <w:t>2.1.3.4、</w:t>
      </w:r>
      <w:r>
        <w:rPr>
          <w:rFonts w:hint="eastAsia" w:ascii="仿宋" w:hAnsi="仿宋" w:eastAsia="仿宋" w:cs="仿宋"/>
          <w:sz w:val="24"/>
          <w:szCs w:val="24"/>
        </w:rPr>
        <w:t>档案接收变更</w:t>
      </w:r>
      <w:bookmarkEnd w:id="162"/>
      <w:bookmarkEnd w:id="163"/>
      <w:bookmarkEnd w:id="164"/>
      <w:bookmarkEnd w:id="165"/>
      <w:bookmarkEnd w:id="166"/>
      <w:bookmarkEnd w:id="167"/>
      <w:bookmarkEnd w:id="168"/>
    </w:p>
    <w:p w14:paraId="2AD95340">
      <w:pPr>
        <w:ind w:firstLine="480" w:firstLineChars="200"/>
        <w:rPr>
          <w:rFonts w:hint="eastAsia" w:ascii="仿宋" w:hAnsi="仿宋" w:eastAsia="仿宋" w:cs="仿宋"/>
          <w:sz w:val="24"/>
          <w:szCs w:val="24"/>
        </w:rPr>
      </w:pPr>
      <w:r>
        <w:rPr>
          <w:rFonts w:hint="eastAsia" w:ascii="仿宋" w:hAnsi="仿宋" w:eastAsia="仿宋" w:cs="仿宋"/>
          <w:sz w:val="24"/>
          <w:szCs w:val="24"/>
        </w:rPr>
        <w:t>在公共资源电子交易系统的原始数据发生变更时，档案管理员审核预归档变更申请，更新电子档案管理系统中对应的档案数据。</w:t>
      </w:r>
    </w:p>
    <w:p w14:paraId="61E60CE1">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2.1.3.4.1、</w:t>
      </w:r>
      <w:r>
        <w:rPr>
          <w:rFonts w:hint="eastAsia" w:ascii="仿宋" w:hAnsi="仿宋" w:eastAsia="仿宋" w:cs="仿宋"/>
          <w:sz w:val="24"/>
          <w:szCs w:val="24"/>
        </w:rPr>
        <w:t>档案接收变更核验</w:t>
      </w:r>
    </w:p>
    <w:p w14:paraId="6AB6C5CC">
      <w:pPr>
        <w:widowControl/>
        <w:numPr>
          <w:ilvl w:val="0"/>
          <w:numId w:val="10"/>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档案核验</w:t>
      </w:r>
    </w:p>
    <w:p w14:paraId="7C1737FB">
      <w:pPr>
        <w:rPr>
          <w:rFonts w:hint="eastAsia" w:ascii="仿宋" w:hAnsi="仿宋" w:eastAsia="仿宋" w:cs="仿宋"/>
          <w:sz w:val="24"/>
          <w:szCs w:val="24"/>
        </w:rPr>
      </w:pPr>
      <w:r>
        <w:rPr>
          <w:rFonts w:hint="eastAsia" w:ascii="仿宋" w:hAnsi="仿宋" w:eastAsia="仿宋" w:cs="仿宋"/>
          <w:sz w:val="24"/>
          <w:szCs w:val="24"/>
        </w:rPr>
        <w:t>在档案接收变更审核中，档案管理员能对档案数据进行核验，核验数据主要包括：名称、编号、类型、核验状态、是否允许借阅、是否同步子项、其他信息。</w:t>
      </w:r>
    </w:p>
    <w:p w14:paraId="78E048FC">
      <w:pPr>
        <w:widowControl/>
        <w:numPr>
          <w:ilvl w:val="0"/>
          <w:numId w:val="11"/>
        </w:numPr>
        <w:ind w:firstLineChars="0"/>
        <w:jc w:val="left"/>
        <w:rPr>
          <w:rFonts w:hint="eastAsia" w:ascii="仿宋" w:hAnsi="仿宋" w:eastAsia="仿宋" w:cs="仿宋"/>
          <w:b/>
          <w:bCs/>
          <w:sz w:val="24"/>
          <w:szCs w:val="24"/>
        </w:rPr>
      </w:pPr>
      <w:r>
        <w:rPr>
          <w:rFonts w:hint="eastAsia" w:ascii="仿宋" w:hAnsi="仿宋" w:eastAsia="仿宋" w:cs="仿宋"/>
          <w:b/>
          <w:bCs/>
          <w:sz w:val="24"/>
          <w:szCs w:val="24"/>
        </w:rPr>
        <w:t>文件补录</w:t>
      </w:r>
    </w:p>
    <w:p w14:paraId="461A4DDB">
      <w:pPr>
        <w:rPr>
          <w:rFonts w:hint="eastAsia" w:ascii="仿宋" w:hAnsi="仿宋" w:eastAsia="仿宋" w:cs="仿宋"/>
          <w:sz w:val="24"/>
          <w:szCs w:val="24"/>
        </w:rPr>
      </w:pPr>
      <w:r>
        <w:rPr>
          <w:rFonts w:hint="eastAsia" w:ascii="仿宋" w:hAnsi="仿宋" w:eastAsia="仿宋" w:cs="仿宋"/>
          <w:sz w:val="24"/>
          <w:szCs w:val="24"/>
        </w:rPr>
        <w:t>在档案接收变更审核中，档案管理员能够补录档案文件内容信息，能够在目录下新上传文件或用高拍仪录入文件。</w:t>
      </w:r>
    </w:p>
    <w:p w14:paraId="6218B7F7">
      <w:pPr>
        <w:rPr>
          <w:rFonts w:hint="eastAsia" w:ascii="仿宋" w:hAnsi="仿宋" w:eastAsia="仿宋" w:cs="仿宋"/>
          <w:sz w:val="24"/>
          <w:szCs w:val="24"/>
        </w:rPr>
      </w:pPr>
      <w:r>
        <w:rPr>
          <w:rFonts w:hint="eastAsia" w:ascii="仿宋" w:hAnsi="仿宋" w:eastAsia="仿宋" w:cs="仿宋"/>
          <w:sz w:val="24"/>
          <w:szCs w:val="24"/>
        </w:rPr>
        <w:t>文件上传在本机选择需要上传的附件进行上传，上传成功后在显示附件信息。</w:t>
      </w:r>
    </w:p>
    <w:p w14:paraId="138D9A57">
      <w:pPr>
        <w:rPr>
          <w:rFonts w:hint="eastAsia" w:ascii="仿宋" w:hAnsi="仿宋" w:eastAsia="仿宋" w:cs="仿宋"/>
          <w:sz w:val="24"/>
          <w:szCs w:val="24"/>
        </w:rPr>
      </w:pPr>
      <w:r>
        <w:rPr>
          <w:rFonts w:hint="eastAsia" w:ascii="仿宋" w:hAnsi="仿宋" w:eastAsia="仿宋" w:cs="仿宋"/>
          <w:sz w:val="24"/>
          <w:szCs w:val="24"/>
        </w:rPr>
        <w:t>高拍仪录入时系统调用高拍仪设备，拍摄纸质文档，拍摄完成的电子件，会显示在文件列表记录中。</w:t>
      </w:r>
    </w:p>
    <w:p w14:paraId="49ACCEA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2.1.3.4.2、</w:t>
      </w:r>
      <w:r>
        <w:rPr>
          <w:rFonts w:hint="eastAsia" w:ascii="仿宋" w:hAnsi="仿宋" w:eastAsia="仿宋" w:cs="仿宋"/>
          <w:sz w:val="24"/>
          <w:szCs w:val="24"/>
        </w:rPr>
        <w:t>档案接收变更预览</w:t>
      </w:r>
    </w:p>
    <w:p w14:paraId="5B2C3559">
      <w:pPr>
        <w:ind w:firstLine="480" w:firstLineChars="200"/>
        <w:rPr>
          <w:rFonts w:hint="eastAsia" w:ascii="仿宋" w:hAnsi="仿宋" w:eastAsia="仿宋" w:cs="仿宋"/>
          <w:sz w:val="24"/>
          <w:szCs w:val="24"/>
        </w:rPr>
      </w:pPr>
      <w:r>
        <w:rPr>
          <w:rFonts w:hint="eastAsia" w:ascii="仿宋" w:hAnsi="仿宋" w:eastAsia="仿宋" w:cs="仿宋"/>
          <w:sz w:val="24"/>
          <w:szCs w:val="24"/>
        </w:rPr>
        <w:t>在档案管理员预归档变更审核时提供电子档案预览功能，分两块区域显示档案文件目录和档案文件内容。</w:t>
      </w:r>
    </w:p>
    <w:p w14:paraId="4250C50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2.1.3.4.3、</w:t>
      </w:r>
      <w:r>
        <w:rPr>
          <w:rFonts w:hint="eastAsia" w:ascii="仿宋" w:hAnsi="仿宋" w:eastAsia="仿宋" w:cs="仿宋"/>
          <w:sz w:val="24"/>
          <w:szCs w:val="24"/>
        </w:rPr>
        <w:t>档案接收变更审核</w:t>
      </w:r>
    </w:p>
    <w:p w14:paraId="26D5E724">
      <w:pPr>
        <w:ind w:firstLine="480" w:firstLineChars="200"/>
        <w:rPr>
          <w:rFonts w:hint="eastAsia" w:ascii="仿宋" w:hAnsi="仿宋" w:eastAsia="仿宋" w:cs="仿宋"/>
          <w:sz w:val="24"/>
          <w:szCs w:val="24"/>
        </w:rPr>
      </w:pPr>
      <w:r>
        <w:rPr>
          <w:rFonts w:hint="eastAsia" w:ascii="仿宋" w:hAnsi="仿宋" w:eastAsia="仿宋" w:cs="仿宋"/>
          <w:sz w:val="24"/>
          <w:szCs w:val="24"/>
        </w:rPr>
        <w:t>若档案数据核验中存在不通过的信息，则无法通过档案审核，可选择退回预归档变更申请；在档案所有数据均通过核验后，档案管理员可填写处理意见并通过档案接收变更审核。</w:t>
      </w:r>
    </w:p>
    <w:p w14:paraId="4DAB80CA">
      <w:pPr>
        <w:pStyle w:val="6"/>
        <w:numPr>
          <w:ilvl w:val="3"/>
          <w:numId w:val="0"/>
        </w:numPr>
        <w:bidi w:val="0"/>
        <w:ind w:leftChars="0"/>
        <w:rPr>
          <w:rFonts w:hint="eastAsia" w:ascii="仿宋" w:hAnsi="仿宋" w:eastAsia="仿宋" w:cs="仿宋"/>
          <w:sz w:val="24"/>
          <w:szCs w:val="24"/>
        </w:rPr>
      </w:pPr>
      <w:bookmarkStart w:id="169" w:name="_Toc976"/>
      <w:bookmarkStart w:id="170" w:name="_Toc26543"/>
      <w:bookmarkStart w:id="171" w:name="_Toc9894"/>
      <w:bookmarkStart w:id="172" w:name="_Toc11207"/>
      <w:bookmarkStart w:id="173" w:name="_Toc22210"/>
      <w:bookmarkStart w:id="174" w:name="_Toc488"/>
      <w:bookmarkStart w:id="175" w:name="_Toc12037"/>
      <w:r>
        <w:rPr>
          <w:rFonts w:hint="eastAsia" w:ascii="仿宋" w:hAnsi="仿宋" w:eastAsia="仿宋" w:cs="仿宋"/>
          <w:sz w:val="24"/>
          <w:szCs w:val="24"/>
          <w:lang w:val="en-US" w:eastAsia="zh-CN"/>
        </w:rPr>
        <w:t>2.1.3.5、</w:t>
      </w:r>
      <w:r>
        <w:rPr>
          <w:rFonts w:hint="eastAsia" w:ascii="仿宋" w:hAnsi="仿宋" w:eastAsia="仿宋" w:cs="仿宋"/>
          <w:sz w:val="24"/>
          <w:szCs w:val="24"/>
        </w:rPr>
        <w:t>项目打包情况</w:t>
      </w:r>
      <w:bookmarkEnd w:id="169"/>
      <w:bookmarkEnd w:id="170"/>
      <w:bookmarkEnd w:id="171"/>
      <w:bookmarkEnd w:id="172"/>
      <w:bookmarkEnd w:id="173"/>
      <w:bookmarkEnd w:id="174"/>
      <w:bookmarkEnd w:id="175"/>
    </w:p>
    <w:p w14:paraId="37A58AAC">
      <w:pPr>
        <w:ind w:firstLine="480" w:firstLineChars="200"/>
        <w:rPr>
          <w:rFonts w:hint="eastAsia" w:ascii="仿宋" w:hAnsi="仿宋" w:eastAsia="仿宋" w:cs="仿宋"/>
          <w:sz w:val="24"/>
          <w:szCs w:val="24"/>
        </w:rPr>
      </w:pPr>
      <w:r>
        <w:rPr>
          <w:rFonts w:hint="eastAsia" w:ascii="仿宋" w:hAnsi="仿宋" w:eastAsia="仿宋" w:cs="仿宋"/>
          <w:sz w:val="24"/>
          <w:szCs w:val="24"/>
        </w:rPr>
        <w:t>以列表形式直观展现项目打包情况，方便跟踪档案打包情况，及时查看项目的归档进展。</w:t>
      </w:r>
    </w:p>
    <w:p w14:paraId="66D31A55">
      <w:pPr>
        <w:pStyle w:val="5"/>
        <w:tabs>
          <w:tab w:val="left" w:pos="0"/>
        </w:tabs>
        <w:bidi w:val="0"/>
        <w:rPr>
          <w:rFonts w:hint="eastAsia" w:ascii="仿宋" w:hAnsi="仿宋" w:eastAsia="仿宋" w:cs="仿宋"/>
          <w:sz w:val="24"/>
          <w:szCs w:val="24"/>
        </w:rPr>
      </w:pPr>
      <w:bookmarkStart w:id="176" w:name="_Toc2382"/>
      <w:bookmarkStart w:id="177" w:name="_Toc3884"/>
      <w:bookmarkStart w:id="178" w:name="_Toc8531"/>
      <w:bookmarkStart w:id="179" w:name="_Toc8892"/>
      <w:bookmarkStart w:id="180" w:name="_Toc66191813"/>
      <w:bookmarkStart w:id="181" w:name="_Toc19560"/>
      <w:bookmarkStart w:id="182" w:name="_Toc15629"/>
      <w:bookmarkStart w:id="183" w:name="_Toc12339"/>
      <w:bookmarkStart w:id="184" w:name="_Toc21688"/>
      <w:bookmarkStart w:id="185" w:name="_Toc1553"/>
      <w:bookmarkStart w:id="186" w:name="_Toc15016"/>
      <w:bookmarkStart w:id="187" w:name="_Toc21476"/>
      <w:bookmarkStart w:id="188" w:name="_Toc20029"/>
      <w:bookmarkStart w:id="189" w:name="_Toc21856"/>
      <w:bookmarkStart w:id="190" w:name="_Toc66191817"/>
      <w:bookmarkStart w:id="191" w:name="_Toc15742"/>
      <w:r>
        <w:rPr>
          <w:rFonts w:hint="eastAsia" w:ascii="仿宋" w:hAnsi="仿宋" w:eastAsia="仿宋" w:cs="仿宋"/>
          <w:sz w:val="24"/>
          <w:szCs w:val="24"/>
          <w:lang w:val="en-US" w:eastAsia="zh-CN"/>
        </w:rPr>
        <w:t>2.1.4、</w:t>
      </w:r>
      <w:r>
        <w:rPr>
          <w:rFonts w:hint="eastAsia" w:ascii="仿宋" w:hAnsi="仿宋" w:eastAsia="仿宋" w:cs="仿宋"/>
          <w:sz w:val="24"/>
          <w:szCs w:val="24"/>
        </w:rPr>
        <w:t>档案归档</w:t>
      </w:r>
      <w:bookmarkEnd w:id="176"/>
      <w:bookmarkEnd w:id="177"/>
      <w:bookmarkEnd w:id="178"/>
      <w:bookmarkEnd w:id="179"/>
      <w:bookmarkEnd w:id="180"/>
      <w:bookmarkEnd w:id="181"/>
      <w:bookmarkEnd w:id="182"/>
      <w:bookmarkEnd w:id="183"/>
      <w:bookmarkEnd w:id="184"/>
    </w:p>
    <w:p w14:paraId="58A7477C">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可利用电子档案管理系统的档案归档完成归档审批、归档变更审批和档案查阅，对已预归档成功的档案进行归档审核，通过后能够借阅使用；档案管理员和档案领导能够直接查阅归档完成的档案数据，查看不同的交易类型归档档案数量。</w:t>
      </w:r>
    </w:p>
    <w:p w14:paraId="7B39FF7F">
      <w:pPr>
        <w:pStyle w:val="6"/>
        <w:numPr>
          <w:ilvl w:val="3"/>
          <w:numId w:val="0"/>
        </w:numPr>
        <w:bidi w:val="0"/>
        <w:ind w:leftChars="0"/>
        <w:rPr>
          <w:rFonts w:hint="eastAsia" w:ascii="仿宋" w:hAnsi="仿宋" w:eastAsia="仿宋" w:cs="仿宋"/>
          <w:sz w:val="24"/>
          <w:szCs w:val="24"/>
        </w:rPr>
      </w:pPr>
      <w:bookmarkStart w:id="192" w:name="_Toc66191814"/>
      <w:bookmarkStart w:id="193" w:name="_Toc5628"/>
      <w:bookmarkStart w:id="194" w:name="_Toc30840"/>
      <w:bookmarkStart w:id="195" w:name="_Toc20836"/>
      <w:bookmarkStart w:id="196" w:name="_Toc27458"/>
      <w:bookmarkStart w:id="197" w:name="_Toc28756"/>
      <w:bookmarkStart w:id="198" w:name="_Toc23827"/>
      <w:bookmarkStart w:id="199" w:name="_Toc20849"/>
      <w:r>
        <w:rPr>
          <w:rFonts w:hint="eastAsia" w:ascii="仿宋" w:hAnsi="仿宋" w:eastAsia="仿宋" w:cs="仿宋"/>
          <w:sz w:val="24"/>
          <w:szCs w:val="24"/>
          <w:lang w:val="en-US" w:eastAsia="zh-CN"/>
        </w:rPr>
        <w:t>2.1.4.1、</w:t>
      </w:r>
      <w:r>
        <w:rPr>
          <w:rFonts w:hint="eastAsia" w:ascii="仿宋" w:hAnsi="仿宋" w:eastAsia="仿宋" w:cs="仿宋"/>
          <w:sz w:val="24"/>
          <w:szCs w:val="24"/>
        </w:rPr>
        <w:t>档案归档</w:t>
      </w:r>
      <w:bookmarkEnd w:id="192"/>
      <w:r>
        <w:rPr>
          <w:rFonts w:hint="eastAsia" w:ascii="仿宋" w:hAnsi="仿宋" w:eastAsia="仿宋" w:cs="仿宋"/>
          <w:sz w:val="24"/>
          <w:szCs w:val="24"/>
        </w:rPr>
        <w:t>审批</w:t>
      </w:r>
      <w:bookmarkEnd w:id="193"/>
      <w:bookmarkEnd w:id="194"/>
      <w:bookmarkEnd w:id="195"/>
      <w:bookmarkEnd w:id="196"/>
      <w:bookmarkEnd w:id="197"/>
      <w:bookmarkEnd w:id="198"/>
      <w:bookmarkEnd w:id="199"/>
    </w:p>
    <w:p w14:paraId="7FC61AEE">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2.1.4.1.1、</w:t>
      </w:r>
      <w:r>
        <w:rPr>
          <w:rFonts w:hint="eastAsia" w:ascii="仿宋" w:hAnsi="仿宋" w:eastAsia="仿宋" w:cs="仿宋"/>
          <w:sz w:val="24"/>
          <w:szCs w:val="24"/>
        </w:rPr>
        <w:t>新增归档申请</w:t>
      </w:r>
    </w:p>
    <w:p w14:paraId="7792E7C8">
      <w:pPr>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在档案信息完成预归档后，可在新增归档申请列表进行展示，档案管理员选择需要归档的档案信息并填写其对应的题名、密级、管理期限、档案所属单位、归档意见</w:t>
      </w:r>
      <w:r>
        <w:rPr>
          <w:rFonts w:hint="eastAsia" w:ascii="仿宋" w:hAnsi="仿宋" w:eastAsia="仿宋" w:cs="仿宋"/>
          <w:color w:val="000000"/>
          <w:sz w:val="24"/>
          <w:szCs w:val="24"/>
        </w:rPr>
        <w:t>，系统根据固定的模板格式自动生成档案清单明细，提交归档申请，档案领导审核通过后完成档案归档。</w:t>
      </w:r>
    </w:p>
    <w:p w14:paraId="31D291A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2.1.4.1.2、</w:t>
      </w:r>
      <w:r>
        <w:rPr>
          <w:rFonts w:hint="eastAsia" w:ascii="仿宋" w:hAnsi="仿宋" w:eastAsia="仿宋" w:cs="仿宋"/>
          <w:sz w:val="24"/>
          <w:szCs w:val="24"/>
        </w:rPr>
        <w:t>删除归档申请</w:t>
      </w:r>
    </w:p>
    <w:p w14:paraId="0B89A595">
      <w:pPr>
        <w:rPr>
          <w:rFonts w:hint="eastAsia" w:ascii="仿宋" w:hAnsi="仿宋" w:eastAsia="仿宋" w:cs="仿宋"/>
          <w:sz w:val="24"/>
          <w:szCs w:val="24"/>
        </w:rPr>
      </w:pPr>
      <w:r>
        <w:rPr>
          <w:rFonts w:hint="eastAsia" w:ascii="仿宋" w:hAnsi="仿宋" w:eastAsia="仿宋" w:cs="仿宋"/>
          <w:sz w:val="24"/>
          <w:szCs w:val="24"/>
        </w:rPr>
        <w:t>对于已提交但未审核或者作废的归档申请，档案管理员可删除当前归档申请记录，删除后档案管理员可以重新进行归档申请。</w:t>
      </w:r>
    </w:p>
    <w:p w14:paraId="27E27E0B">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2.1.4.1.3、</w:t>
      </w:r>
      <w:r>
        <w:rPr>
          <w:rFonts w:hint="eastAsia" w:ascii="仿宋" w:hAnsi="仿宋" w:eastAsia="仿宋" w:cs="仿宋"/>
          <w:sz w:val="24"/>
          <w:szCs w:val="24"/>
        </w:rPr>
        <w:t>档案归档审批</w:t>
      </w:r>
    </w:p>
    <w:p w14:paraId="29DFA550">
      <w:pPr>
        <w:rPr>
          <w:rFonts w:hint="eastAsia" w:ascii="仿宋" w:hAnsi="仿宋" w:eastAsia="仿宋" w:cs="仿宋"/>
          <w:sz w:val="24"/>
          <w:szCs w:val="24"/>
        </w:rPr>
      </w:pPr>
      <w:r>
        <w:rPr>
          <w:rFonts w:hint="eastAsia" w:ascii="仿宋" w:hAnsi="仿宋" w:eastAsia="仿宋" w:cs="仿宋"/>
          <w:sz w:val="24"/>
          <w:szCs w:val="24"/>
        </w:rPr>
        <w:t>档案领导能够查看所有的归档申请并预览档案信息，查看各文件目录的核验信息。档案领导同意后完成档案</w:t>
      </w:r>
      <w:r>
        <w:rPr>
          <w:rFonts w:hint="eastAsia" w:ascii="仿宋" w:hAnsi="仿宋" w:eastAsia="仿宋" w:cs="仿宋"/>
          <w:color w:val="000000"/>
          <w:sz w:val="24"/>
          <w:szCs w:val="24"/>
        </w:rPr>
        <w:t>归档操作，可对档案清单明细进行签章。</w:t>
      </w:r>
    </w:p>
    <w:p w14:paraId="41EB4D49">
      <w:pPr>
        <w:pStyle w:val="6"/>
        <w:numPr>
          <w:ilvl w:val="3"/>
          <w:numId w:val="0"/>
        </w:numPr>
        <w:bidi w:val="0"/>
        <w:ind w:leftChars="0"/>
        <w:rPr>
          <w:rFonts w:hint="eastAsia" w:ascii="仿宋" w:hAnsi="仿宋" w:eastAsia="仿宋" w:cs="仿宋"/>
          <w:sz w:val="24"/>
          <w:szCs w:val="24"/>
        </w:rPr>
      </w:pPr>
      <w:bookmarkStart w:id="200" w:name="_Toc66191815"/>
      <w:bookmarkStart w:id="201" w:name="_Toc53589991"/>
      <w:bookmarkStart w:id="202" w:name="_Toc14613"/>
      <w:bookmarkStart w:id="203" w:name="_Toc26817"/>
      <w:bookmarkStart w:id="204" w:name="_Toc12822"/>
      <w:bookmarkStart w:id="205" w:name="_Toc547"/>
      <w:bookmarkStart w:id="206" w:name="_Toc11969"/>
      <w:bookmarkStart w:id="207" w:name="_Toc21352"/>
      <w:bookmarkStart w:id="208" w:name="_Toc1894"/>
      <w:r>
        <w:rPr>
          <w:rFonts w:hint="eastAsia" w:ascii="仿宋" w:hAnsi="仿宋" w:eastAsia="仿宋" w:cs="仿宋"/>
          <w:sz w:val="24"/>
          <w:szCs w:val="24"/>
          <w:lang w:val="en-US" w:eastAsia="zh-CN"/>
        </w:rPr>
        <w:t>2.1.4.2、</w:t>
      </w:r>
      <w:r>
        <w:rPr>
          <w:rFonts w:hint="eastAsia" w:ascii="仿宋" w:hAnsi="仿宋" w:eastAsia="仿宋" w:cs="仿宋"/>
          <w:sz w:val="24"/>
          <w:szCs w:val="24"/>
        </w:rPr>
        <w:t>变更归档</w:t>
      </w:r>
      <w:bookmarkEnd w:id="200"/>
      <w:bookmarkEnd w:id="201"/>
      <w:r>
        <w:rPr>
          <w:rFonts w:hint="eastAsia" w:ascii="仿宋" w:hAnsi="仿宋" w:eastAsia="仿宋" w:cs="仿宋"/>
          <w:sz w:val="24"/>
          <w:szCs w:val="24"/>
        </w:rPr>
        <w:t>审批</w:t>
      </w:r>
      <w:bookmarkEnd w:id="202"/>
      <w:bookmarkEnd w:id="203"/>
      <w:bookmarkEnd w:id="204"/>
      <w:bookmarkEnd w:id="205"/>
      <w:bookmarkEnd w:id="206"/>
      <w:bookmarkEnd w:id="207"/>
      <w:bookmarkEnd w:id="208"/>
    </w:p>
    <w:p w14:paraId="10E24BC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2.1.4.2.1、</w:t>
      </w:r>
      <w:r>
        <w:rPr>
          <w:rFonts w:hint="eastAsia" w:ascii="仿宋" w:hAnsi="仿宋" w:eastAsia="仿宋" w:cs="仿宋"/>
          <w:sz w:val="24"/>
          <w:szCs w:val="24"/>
        </w:rPr>
        <w:t>新增变更归档申请</w:t>
      </w:r>
    </w:p>
    <w:p w14:paraId="54CCE8DB">
      <w:pPr>
        <w:ind w:firstLine="480" w:firstLineChars="200"/>
        <w:rPr>
          <w:rFonts w:hint="eastAsia" w:ascii="仿宋" w:hAnsi="仿宋" w:eastAsia="仿宋" w:cs="仿宋"/>
          <w:sz w:val="24"/>
          <w:szCs w:val="24"/>
        </w:rPr>
      </w:pPr>
      <w:r>
        <w:rPr>
          <w:rFonts w:hint="eastAsia" w:ascii="仿宋" w:hAnsi="仿宋" w:eastAsia="仿宋" w:cs="仿宋"/>
          <w:sz w:val="24"/>
          <w:szCs w:val="24"/>
        </w:rPr>
        <w:t>预归档变更审核通过后，档案管理员能够新增变更归档申请，选择需要变更的档案信息，填写对应的题名、密级、管理期限、档案所属单位、归档意见，提交档案领导进行审核。</w:t>
      </w:r>
    </w:p>
    <w:p w14:paraId="564070B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2.1.4.2.2、</w:t>
      </w:r>
      <w:r>
        <w:rPr>
          <w:rFonts w:hint="eastAsia" w:ascii="仿宋" w:hAnsi="仿宋" w:eastAsia="仿宋" w:cs="仿宋"/>
          <w:sz w:val="24"/>
          <w:szCs w:val="24"/>
        </w:rPr>
        <w:t>删除变更归档申请</w:t>
      </w:r>
    </w:p>
    <w:p w14:paraId="739EAC09">
      <w:pPr>
        <w:ind w:firstLine="480" w:firstLineChars="200"/>
        <w:rPr>
          <w:rFonts w:hint="eastAsia" w:ascii="仿宋" w:hAnsi="仿宋" w:eastAsia="仿宋" w:cs="仿宋"/>
          <w:sz w:val="24"/>
          <w:szCs w:val="24"/>
        </w:rPr>
      </w:pPr>
      <w:r>
        <w:rPr>
          <w:rFonts w:hint="eastAsia" w:ascii="仿宋" w:hAnsi="仿宋" w:eastAsia="仿宋" w:cs="仿宋"/>
          <w:sz w:val="24"/>
          <w:szCs w:val="24"/>
        </w:rPr>
        <w:t>对于编辑中和审核不通过的变更归档申请，档案管理员能够删除对应的申请信息记录并重新发起变更归档申请，提交档案领导审核。</w:t>
      </w:r>
    </w:p>
    <w:p w14:paraId="270AAF9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2.1.4.2.3、</w:t>
      </w:r>
      <w:r>
        <w:rPr>
          <w:rFonts w:hint="eastAsia" w:ascii="仿宋" w:hAnsi="仿宋" w:eastAsia="仿宋" w:cs="仿宋"/>
          <w:sz w:val="24"/>
          <w:szCs w:val="24"/>
        </w:rPr>
        <w:t>变更归档审批</w:t>
      </w:r>
    </w:p>
    <w:p w14:paraId="3C26EB1D">
      <w:pPr>
        <w:ind w:firstLine="480" w:firstLineChars="200"/>
        <w:rPr>
          <w:rFonts w:hint="eastAsia" w:ascii="仿宋" w:hAnsi="仿宋" w:eastAsia="仿宋" w:cs="仿宋"/>
          <w:sz w:val="24"/>
          <w:szCs w:val="24"/>
        </w:rPr>
      </w:pPr>
      <w:r>
        <w:rPr>
          <w:rFonts w:hint="eastAsia" w:ascii="仿宋" w:hAnsi="仿宋" w:eastAsia="仿宋" w:cs="仿宋"/>
          <w:sz w:val="24"/>
          <w:szCs w:val="24"/>
        </w:rPr>
        <w:t>档案领导能够查看申请变更归档的档案信息、各文件目录的核验信息。档案领导同意后完成档案归档操作，不同意则将归档申请退还给档案管理员，由档案管理员重新申请。</w:t>
      </w:r>
    </w:p>
    <w:p w14:paraId="40177B1B">
      <w:pPr>
        <w:pStyle w:val="6"/>
        <w:numPr>
          <w:ilvl w:val="3"/>
          <w:numId w:val="0"/>
        </w:numPr>
        <w:bidi w:val="0"/>
        <w:ind w:leftChars="0"/>
        <w:rPr>
          <w:rFonts w:hint="eastAsia" w:ascii="仿宋" w:hAnsi="仿宋" w:eastAsia="仿宋" w:cs="仿宋"/>
          <w:sz w:val="24"/>
          <w:szCs w:val="24"/>
        </w:rPr>
      </w:pPr>
      <w:bookmarkStart w:id="209" w:name="_Toc9526"/>
      <w:bookmarkStart w:id="210" w:name="_Toc5045"/>
      <w:bookmarkStart w:id="211" w:name="_Toc22934"/>
      <w:bookmarkStart w:id="212" w:name="_Toc10253"/>
      <w:bookmarkStart w:id="213" w:name="_Toc2265"/>
      <w:bookmarkStart w:id="214" w:name="_Toc19582"/>
      <w:bookmarkStart w:id="215" w:name="_Toc6015"/>
      <w:r>
        <w:rPr>
          <w:rFonts w:hint="eastAsia" w:ascii="仿宋" w:hAnsi="仿宋" w:eastAsia="仿宋" w:cs="仿宋"/>
          <w:sz w:val="24"/>
          <w:szCs w:val="24"/>
          <w:lang w:val="en-US" w:eastAsia="zh-CN"/>
        </w:rPr>
        <w:t>2.1.4.3、</w:t>
      </w:r>
      <w:r>
        <w:rPr>
          <w:rFonts w:hint="eastAsia" w:ascii="仿宋" w:hAnsi="仿宋" w:eastAsia="仿宋" w:cs="仿宋"/>
          <w:sz w:val="24"/>
          <w:szCs w:val="24"/>
        </w:rPr>
        <w:t>离线归档</w:t>
      </w:r>
      <w:bookmarkEnd w:id="209"/>
      <w:bookmarkEnd w:id="210"/>
      <w:bookmarkEnd w:id="211"/>
      <w:bookmarkEnd w:id="212"/>
      <w:bookmarkEnd w:id="213"/>
      <w:bookmarkEnd w:id="214"/>
      <w:bookmarkEnd w:id="215"/>
    </w:p>
    <w:p w14:paraId="4315848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2.1.4.3.1、</w:t>
      </w:r>
      <w:r>
        <w:rPr>
          <w:rFonts w:hint="eastAsia" w:ascii="仿宋" w:hAnsi="仿宋" w:eastAsia="仿宋" w:cs="仿宋"/>
          <w:sz w:val="24"/>
          <w:szCs w:val="24"/>
        </w:rPr>
        <w:t>新增离线归档</w:t>
      </w:r>
    </w:p>
    <w:p w14:paraId="180E4B3A">
      <w:pPr>
        <w:ind w:firstLine="480" w:firstLineChars="200"/>
        <w:rPr>
          <w:rFonts w:hint="eastAsia" w:ascii="仿宋" w:hAnsi="仿宋" w:eastAsia="仿宋" w:cs="仿宋"/>
          <w:sz w:val="24"/>
          <w:szCs w:val="24"/>
        </w:rPr>
      </w:pPr>
      <w:r>
        <w:rPr>
          <w:rFonts w:hint="eastAsia" w:ascii="仿宋" w:hAnsi="仿宋" w:eastAsia="仿宋" w:cs="仿宋"/>
          <w:sz w:val="24"/>
          <w:szCs w:val="24"/>
        </w:rPr>
        <w:t>对于非电子件档案归档，系统提供档案离线归档功能，填写对应题名、档案预编号、密级、管理期限和档案所属单位后，可使用高拍仪录入纸质文件，实现离线归档。</w:t>
      </w:r>
    </w:p>
    <w:p w14:paraId="3E7FF63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2.1.4.3.2、</w:t>
      </w:r>
      <w:r>
        <w:rPr>
          <w:rFonts w:hint="eastAsia" w:ascii="仿宋" w:hAnsi="仿宋" w:eastAsia="仿宋" w:cs="仿宋"/>
          <w:sz w:val="24"/>
          <w:szCs w:val="24"/>
        </w:rPr>
        <w:t>删除离线归档</w:t>
      </w:r>
    </w:p>
    <w:p w14:paraId="0EFEEADC">
      <w:pPr>
        <w:ind w:firstLine="480" w:firstLineChars="200"/>
        <w:rPr>
          <w:rFonts w:hint="eastAsia" w:ascii="仿宋" w:hAnsi="仿宋" w:eastAsia="仿宋" w:cs="仿宋"/>
          <w:sz w:val="24"/>
          <w:szCs w:val="24"/>
        </w:rPr>
      </w:pPr>
      <w:r>
        <w:rPr>
          <w:rFonts w:hint="eastAsia" w:ascii="仿宋" w:hAnsi="仿宋" w:eastAsia="仿宋" w:cs="仿宋"/>
          <w:sz w:val="24"/>
          <w:szCs w:val="24"/>
        </w:rPr>
        <w:t>对于已提交但未审核或者作废的离线归档申请，档案管理员可删除当前离线归档记录，删除后档案管理员可以重新进行离线归档新增。</w:t>
      </w:r>
    </w:p>
    <w:p w14:paraId="05B73A47">
      <w:pPr>
        <w:pStyle w:val="6"/>
        <w:numPr>
          <w:ilvl w:val="3"/>
          <w:numId w:val="0"/>
        </w:numPr>
        <w:bidi w:val="0"/>
        <w:ind w:leftChars="0"/>
        <w:rPr>
          <w:rFonts w:hint="eastAsia" w:ascii="仿宋" w:hAnsi="仿宋" w:eastAsia="仿宋" w:cs="仿宋"/>
          <w:sz w:val="24"/>
          <w:szCs w:val="24"/>
        </w:rPr>
      </w:pPr>
      <w:bookmarkStart w:id="216" w:name="_Toc21106"/>
      <w:bookmarkStart w:id="217" w:name="_Toc6310"/>
      <w:bookmarkStart w:id="218" w:name="_Toc15521"/>
      <w:bookmarkStart w:id="219" w:name="_Toc53589992"/>
      <w:bookmarkStart w:id="220" w:name="_Toc1715"/>
      <w:bookmarkStart w:id="221" w:name="_Toc31840"/>
      <w:bookmarkStart w:id="222" w:name="_Toc28092"/>
      <w:bookmarkStart w:id="223" w:name="_Toc21207"/>
      <w:bookmarkStart w:id="224" w:name="_Toc66191816"/>
      <w:r>
        <w:rPr>
          <w:rFonts w:hint="eastAsia" w:ascii="仿宋" w:hAnsi="仿宋" w:eastAsia="仿宋" w:cs="仿宋"/>
          <w:sz w:val="24"/>
          <w:szCs w:val="24"/>
          <w:lang w:val="en-US" w:eastAsia="zh-CN"/>
        </w:rPr>
        <w:t>2.1.4.4、</w:t>
      </w:r>
      <w:r>
        <w:rPr>
          <w:rFonts w:hint="eastAsia" w:ascii="仿宋" w:hAnsi="仿宋" w:eastAsia="仿宋" w:cs="仿宋"/>
          <w:sz w:val="24"/>
          <w:szCs w:val="24"/>
        </w:rPr>
        <w:t>档案查阅</w:t>
      </w:r>
      <w:bookmarkEnd w:id="216"/>
      <w:bookmarkEnd w:id="217"/>
      <w:bookmarkEnd w:id="218"/>
      <w:bookmarkEnd w:id="219"/>
      <w:bookmarkEnd w:id="220"/>
      <w:bookmarkEnd w:id="221"/>
      <w:bookmarkEnd w:id="222"/>
      <w:bookmarkEnd w:id="223"/>
      <w:bookmarkEnd w:id="224"/>
    </w:p>
    <w:p w14:paraId="563FFAE9">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2.1.4.4.1、</w:t>
      </w:r>
      <w:r>
        <w:rPr>
          <w:rFonts w:hint="eastAsia" w:ascii="仿宋" w:hAnsi="仿宋" w:eastAsia="仿宋" w:cs="仿宋"/>
          <w:sz w:val="24"/>
          <w:szCs w:val="24"/>
        </w:rPr>
        <w:t>在线查阅</w:t>
      </w:r>
    </w:p>
    <w:p w14:paraId="0E67E0D8">
      <w:pPr>
        <w:ind w:firstLine="480" w:firstLineChars="200"/>
        <w:rPr>
          <w:rFonts w:hint="eastAsia" w:ascii="仿宋" w:hAnsi="仿宋" w:eastAsia="仿宋" w:cs="仿宋"/>
          <w:sz w:val="24"/>
          <w:szCs w:val="24"/>
        </w:rPr>
      </w:pPr>
      <w:r>
        <w:rPr>
          <w:rFonts w:hint="eastAsia" w:ascii="仿宋" w:hAnsi="仿宋" w:eastAsia="仿宋" w:cs="仿宋"/>
          <w:sz w:val="24"/>
          <w:szCs w:val="24"/>
        </w:rPr>
        <w:t>系统为档案管理员和档案领导提供档案查阅功能，展示所有已归档的档案信息包括：档号、题名、档案所属单位、密级、保管期限、操作列，并能够按照归档开始时间、归档结束时间、档号、题名、交易类别进行查询。档案管理员和档案领导能够直接查阅归档完成的档案数据，查看不同的交易类型归档档案数量。</w:t>
      </w:r>
    </w:p>
    <w:p w14:paraId="6CDFA652">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2.1.4.4.2、</w:t>
      </w:r>
      <w:r>
        <w:rPr>
          <w:rFonts w:hint="eastAsia" w:ascii="仿宋" w:hAnsi="仿宋" w:eastAsia="仿宋" w:cs="仿宋"/>
          <w:sz w:val="24"/>
          <w:szCs w:val="24"/>
        </w:rPr>
        <w:t>Excel导出</w:t>
      </w:r>
    </w:p>
    <w:p w14:paraId="13098936">
      <w:pPr>
        <w:ind w:firstLine="480" w:firstLineChars="200"/>
        <w:rPr>
          <w:rFonts w:hint="eastAsia" w:ascii="仿宋" w:hAnsi="仿宋" w:eastAsia="仿宋" w:cs="仿宋"/>
          <w:sz w:val="24"/>
          <w:szCs w:val="24"/>
        </w:rPr>
      </w:pPr>
      <w:r>
        <w:rPr>
          <w:rFonts w:hint="eastAsia" w:ascii="仿宋" w:hAnsi="仿宋" w:eastAsia="仿宋" w:cs="仿宋"/>
          <w:sz w:val="24"/>
          <w:szCs w:val="24"/>
        </w:rPr>
        <w:t>系统为档案管理员和档案领导提供档案信息Excel导出功能，可对选中的档案查阅信息进行下载，下载内容包括档号、题名、档案所属单位、版本、密级、保管期限。</w:t>
      </w:r>
    </w:p>
    <w:p w14:paraId="29EF5185">
      <w:pPr>
        <w:pStyle w:val="5"/>
        <w:tabs>
          <w:tab w:val="left" w:pos="0"/>
        </w:tabs>
        <w:bidi w:val="0"/>
        <w:rPr>
          <w:rFonts w:hint="eastAsia" w:ascii="仿宋" w:hAnsi="仿宋" w:eastAsia="仿宋" w:cs="仿宋"/>
          <w:sz w:val="24"/>
          <w:szCs w:val="24"/>
        </w:rPr>
      </w:pPr>
      <w:bookmarkStart w:id="225" w:name="_Toc26671"/>
      <w:bookmarkStart w:id="226" w:name="_Toc27414"/>
      <w:r>
        <w:rPr>
          <w:rFonts w:hint="eastAsia" w:ascii="仿宋" w:hAnsi="仿宋" w:eastAsia="仿宋" w:cs="仿宋"/>
          <w:sz w:val="24"/>
          <w:szCs w:val="24"/>
          <w:lang w:val="en-US" w:eastAsia="zh-CN"/>
        </w:rPr>
        <w:t>2.1.5、</w:t>
      </w:r>
      <w:r>
        <w:rPr>
          <w:rFonts w:hint="eastAsia" w:ascii="仿宋" w:hAnsi="仿宋" w:eastAsia="仿宋" w:cs="仿宋"/>
          <w:sz w:val="24"/>
          <w:szCs w:val="24"/>
        </w:rPr>
        <w:t>档案利用</w:t>
      </w:r>
      <w:bookmarkEnd w:id="185"/>
      <w:bookmarkEnd w:id="186"/>
      <w:bookmarkEnd w:id="187"/>
      <w:bookmarkEnd w:id="188"/>
      <w:bookmarkEnd w:id="189"/>
      <w:bookmarkEnd w:id="190"/>
      <w:bookmarkEnd w:id="191"/>
      <w:bookmarkEnd w:id="225"/>
      <w:bookmarkEnd w:id="226"/>
    </w:p>
    <w:p w14:paraId="7985C66A">
      <w:pPr>
        <w:ind w:firstLine="480" w:firstLineChars="200"/>
        <w:rPr>
          <w:rFonts w:hint="eastAsia" w:ascii="仿宋" w:hAnsi="仿宋" w:eastAsia="仿宋" w:cs="仿宋"/>
          <w:sz w:val="24"/>
          <w:szCs w:val="24"/>
        </w:rPr>
      </w:pPr>
      <w:r>
        <w:rPr>
          <w:rFonts w:hint="eastAsia" w:ascii="仿宋" w:hAnsi="仿宋" w:eastAsia="仿宋" w:cs="仿宋"/>
          <w:sz w:val="24"/>
          <w:szCs w:val="24"/>
        </w:rPr>
        <w:t>档案利用主要包括：借阅情况、借阅申请、延期申请、归还申请、在线预览、档案下载、档案授权、档案编研、档案登记、档案证明服务和档案自动归还。</w:t>
      </w:r>
    </w:p>
    <w:p w14:paraId="3A2F5EB1">
      <w:pPr>
        <w:pStyle w:val="6"/>
        <w:numPr>
          <w:ilvl w:val="3"/>
          <w:numId w:val="0"/>
        </w:numPr>
        <w:bidi w:val="0"/>
        <w:ind w:leftChars="0"/>
        <w:rPr>
          <w:rFonts w:hint="eastAsia" w:ascii="仿宋" w:hAnsi="仿宋" w:eastAsia="仿宋" w:cs="仿宋"/>
          <w:sz w:val="24"/>
          <w:szCs w:val="24"/>
        </w:rPr>
      </w:pPr>
      <w:bookmarkStart w:id="227" w:name="_Toc11907"/>
      <w:bookmarkStart w:id="228" w:name="_Toc15389"/>
      <w:bookmarkStart w:id="229" w:name="_Toc23164"/>
      <w:bookmarkStart w:id="230" w:name="_Toc13605"/>
      <w:bookmarkStart w:id="231" w:name="_Toc6543"/>
      <w:bookmarkStart w:id="232" w:name="_Toc15746"/>
      <w:bookmarkStart w:id="233" w:name="_Toc8595"/>
      <w:bookmarkStart w:id="234" w:name="_Toc9195"/>
      <w:r>
        <w:rPr>
          <w:rFonts w:hint="eastAsia" w:ascii="仿宋" w:hAnsi="仿宋" w:eastAsia="仿宋" w:cs="仿宋"/>
          <w:sz w:val="24"/>
          <w:szCs w:val="24"/>
          <w:lang w:val="en-US" w:eastAsia="zh-CN"/>
        </w:rPr>
        <w:t>2.1.5.1、</w:t>
      </w:r>
      <w:r>
        <w:rPr>
          <w:rFonts w:hint="eastAsia" w:ascii="仿宋" w:hAnsi="仿宋" w:eastAsia="仿宋" w:cs="仿宋"/>
          <w:sz w:val="24"/>
          <w:szCs w:val="24"/>
        </w:rPr>
        <w:t>借阅情况</w:t>
      </w:r>
      <w:bookmarkEnd w:id="227"/>
      <w:bookmarkEnd w:id="228"/>
      <w:bookmarkEnd w:id="229"/>
      <w:bookmarkEnd w:id="230"/>
      <w:bookmarkEnd w:id="231"/>
      <w:bookmarkEnd w:id="232"/>
      <w:bookmarkEnd w:id="233"/>
      <w:bookmarkEnd w:id="234"/>
    </w:p>
    <w:p w14:paraId="7CB32869">
      <w:pPr>
        <w:ind w:firstLine="480" w:firstLineChars="200"/>
        <w:rPr>
          <w:rFonts w:hint="eastAsia" w:ascii="仿宋" w:hAnsi="仿宋" w:eastAsia="仿宋" w:cs="仿宋"/>
          <w:sz w:val="24"/>
          <w:szCs w:val="24"/>
        </w:rPr>
      </w:pPr>
      <w:r>
        <w:rPr>
          <w:rFonts w:hint="eastAsia" w:ascii="仿宋" w:hAnsi="仿宋" w:eastAsia="仿宋" w:cs="仿宋"/>
          <w:sz w:val="24"/>
          <w:szCs w:val="24"/>
        </w:rPr>
        <w:t>系统提供档案管理员查看档案借阅情况的功能，在系统中展示已归档档案信息，并可详细查看档案的借阅情况，包括借阅者、借阅时间。</w:t>
      </w:r>
    </w:p>
    <w:p w14:paraId="796114C5">
      <w:pPr>
        <w:pStyle w:val="6"/>
        <w:numPr>
          <w:ilvl w:val="3"/>
          <w:numId w:val="0"/>
        </w:numPr>
        <w:bidi w:val="0"/>
        <w:ind w:leftChars="0"/>
        <w:rPr>
          <w:rFonts w:hint="eastAsia" w:ascii="仿宋" w:hAnsi="仿宋" w:eastAsia="仿宋" w:cs="仿宋"/>
          <w:sz w:val="24"/>
          <w:szCs w:val="24"/>
        </w:rPr>
      </w:pPr>
      <w:bookmarkStart w:id="235" w:name="_Toc23511"/>
      <w:bookmarkStart w:id="236" w:name="_Toc10033"/>
      <w:bookmarkStart w:id="237" w:name="_Toc17012"/>
      <w:bookmarkStart w:id="238" w:name="_Toc16208"/>
      <w:bookmarkStart w:id="239" w:name="_Toc27556"/>
      <w:bookmarkStart w:id="240" w:name="_Toc316"/>
      <w:bookmarkStart w:id="241" w:name="_Toc17386"/>
      <w:bookmarkStart w:id="242" w:name="_Toc66191818"/>
      <w:r>
        <w:rPr>
          <w:rFonts w:hint="eastAsia" w:ascii="仿宋" w:hAnsi="仿宋" w:eastAsia="仿宋" w:cs="仿宋"/>
          <w:sz w:val="24"/>
          <w:szCs w:val="24"/>
          <w:lang w:val="en-US" w:eastAsia="zh-CN"/>
        </w:rPr>
        <w:t>2.1.5.2、档案</w:t>
      </w:r>
      <w:r>
        <w:rPr>
          <w:rFonts w:hint="eastAsia" w:ascii="仿宋" w:hAnsi="仿宋" w:eastAsia="仿宋" w:cs="仿宋"/>
          <w:sz w:val="24"/>
          <w:szCs w:val="24"/>
        </w:rPr>
        <w:t>借阅</w:t>
      </w:r>
      <w:bookmarkEnd w:id="235"/>
      <w:bookmarkEnd w:id="236"/>
      <w:bookmarkEnd w:id="237"/>
      <w:bookmarkEnd w:id="238"/>
      <w:bookmarkEnd w:id="239"/>
      <w:bookmarkEnd w:id="240"/>
      <w:bookmarkEnd w:id="241"/>
      <w:bookmarkEnd w:id="242"/>
    </w:p>
    <w:p w14:paraId="1B9933A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2.1.5.2.1、</w:t>
      </w:r>
      <w:r>
        <w:rPr>
          <w:rFonts w:hint="eastAsia" w:ascii="仿宋" w:hAnsi="仿宋" w:eastAsia="仿宋" w:cs="仿宋"/>
          <w:sz w:val="24"/>
          <w:szCs w:val="24"/>
        </w:rPr>
        <w:t>新增借阅申请</w:t>
      </w:r>
    </w:p>
    <w:p w14:paraId="7A21411D">
      <w:pPr>
        <w:ind w:firstLine="480" w:firstLineChars="200"/>
        <w:rPr>
          <w:rFonts w:hint="eastAsia" w:ascii="仿宋" w:hAnsi="仿宋" w:eastAsia="仿宋" w:cs="仿宋"/>
          <w:sz w:val="24"/>
          <w:szCs w:val="24"/>
        </w:rPr>
      </w:pPr>
      <w:r>
        <w:rPr>
          <w:rFonts w:hint="eastAsia" w:ascii="仿宋" w:hAnsi="仿宋" w:eastAsia="仿宋" w:cs="仿宋"/>
          <w:sz w:val="24"/>
          <w:szCs w:val="24"/>
        </w:rPr>
        <w:t>在档案数据通过归档审批或变更归档审批后，档案借阅者可以借阅档案。使用类型可分成“借阅”和“借调”两种，档案借阅者选择需要借阅档案中的具体内容、填写借阅单位名称、联系电话、用途并设置开始时间和具体的使用天数，上传借阅依据文件后提交审核。</w:t>
      </w:r>
    </w:p>
    <w:p w14:paraId="3E6CD532">
      <w:pPr>
        <w:ind w:firstLine="480" w:firstLineChars="200"/>
        <w:rPr>
          <w:rFonts w:hint="eastAsia" w:ascii="仿宋" w:hAnsi="仿宋" w:eastAsia="仿宋" w:cs="仿宋"/>
          <w:sz w:val="24"/>
          <w:szCs w:val="24"/>
        </w:rPr>
      </w:pPr>
      <w:r>
        <w:rPr>
          <w:rFonts w:hint="eastAsia" w:ascii="仿宋" w:hAnsi="仿宋" w:eastAsia="仿宋" w:cs="仿宋"/>
          <w:sz w:val="24"/>
          <w:szCs w:val="24"/>
        </w:rPr>
        <w:t>在数据核验时设置不允许借阅的文件，挑选借阅档案信息中不显示，无法供档案借阅者借阅/借调。</w:t>
      </w:r>
    </w:p>
    <w:p w14:paraId="59AD8F72">
      <w:pPr>
        <w:pStyle w:val="12"/>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档案借阅时系统自动生成日记记录，包括：使用时间、使用者、使用ip、档案标识、文件标识。</w:t>
      </w:r>
    </w:p>
    <w:p w14:paraId="15A5B64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2.1.5.2.2、</w:t>
      </w:r>
      <w:r>
        <w:rPr>
          <w:rFonts w:hint="eastAsia" w:ascii="仿宋" w:hAnsi="仿宋" w:eastAsia="仿宋" w:cs="仿宋"/>
          <w:sz w:val="24"/>
          <w:szCs w:val="24"/>
        </w:rPr>
        <w:t>删除借阅申请</w:t>
      </w:r>
    </w:p>
    <w:p w14:paraId="3CC0A2EA">
      <w:pPr>
        <w:ind w:firstLine="480" w:firstLineChars="200"/>
        <w:rPr>
          <w:rFonts w:hint="eastAsia" w:ascii="仿宋" w:hAnsi="仿宋" w:eastAsia="仿宋" w:cs="仿宋"/>
          <w:sz w:val="24"/>
          <w:szCs w:val="24"/>
        </w:rPr>
      </w:pPr>
      <w:r>
        <w:rPr>
          <w:rFonts w:hint="eastAsia" w:ascii="仿宋" w:hAnsi="仿宋" w:eastAsia="仿宋" w:cs="仿宋"/>
          <w:sz w:val="24"/>
          <w:szCs w:val="24"/>
        </w:rPr>
        <w:t>借阅者能够删除已发出的申请信息记录并重新发起借阅申请，提交档案管理员审核。</w:t>
      </w:r>
    </w:p>
    <w:p w14:paraId="7394DD0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2.1.5.2.3、</w:t>
      </w:r>
      <w:r>
        <w:rPr>
          <w:rFonts w:hint="eastAsia" w:ascii="仿宋" w:hAnsi="仿宋" w:eastAsia="仿宋" w:cs="仿宋"/>
          <w:sz w:val="24"/>
          <w:szCs w:val="24"/>
        </w:rPr>
        <w:t>借阅申请审核</w:t>
      </w:r>
    </w:p>
    <w:p w14:paraId="1BA58FB5">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借阅申请后，由档案管理员和档案领导进行审核，在借阅审核环节自动生成档案借阅明细表，需档案管理员进行签章，档案管理员可查看借阅人提交的档案借阅依据文件，对档案借阅进行审核，审核通过后完成档案借阅，不通过则将借阅申请退还给档案借阅者，由档案借阅者重新申请。</w:t>
      </w:r>
    </w:p>
    <w:p w14:paraId="4CD96C83">
      <w:pPr>
        <w:pStyle w:val="6"/>
        <w:numPr>
          <w:ilvl w:val="3"/>
          <w:numId w:val="0"/>
        </w:numPr>
        <w:bidi w:val="0"/>
        <w:ind w:leftChars="0"/>
        <w:rPr>
          <w:rFonts w:hint="eastAsia" w:ascii="仿宋" w:hAnsi="仿宋" w:eastAsia="仿宋" w:cs="仿宋"/>
          <w:sz w:val="24"/>
          <w:szCs w:val="24"/>
        </w:rPr>
      </w:pPr>
      <w:bookmarkStart w:id="243" w:name="_Toc12794"/>
      <w:bookmarkStart w:id="244" w:name="_Toc22219"/>
      <w:bookmarkStart w:id="245" w:name="_Toc11462"/>
      <w:bookmarkStart w:id="246" w:name="_Toc1354"/>
      <w:bookmarkStart w:id="247" w:name="_Toc19445"/>
      <w:bookmarkStart w:id="248" w:name="_Toc66191819"/>
      <w:bookmarkStart w:id="249" w:name="_Toc18321"/>
      <w:bookmarkStart w:id="250" w:name="_Toc27184"/>
      <w:r>
        <w:rPr>
          <w:rFonts w:hint="eastAsia" w:ascii="仿宋" w:hAnsi="仿宋" w:eastAsia="仿宋" w:cs="仿宋"/>
          <w:sz w:val="24"/>
          <w:szCs w:val="24"/>
          <w:lang w:val="en-US" w:eastAsia="zh-CN"/>
        </w:rPr>
        <w:t>2.1.5.3、借阅</w:t>
      </w:r>
      <w:r>
        <w:rPr>
          <w:rFonts w:hint="eastAsia" w:ascii="仿宋" w:hAnsi="仿宋" w:eastAsia="仿宋" w:cs="仿宋"/>
          <w:sz w:val="24"/>
          <w:szCs w:val="24"/>
        </w:rPr>
        <w:t>延期</w:t>
      </w:r>
      <w:bookmarkEnd w:id="243"/>
      <w:bookmarkEnd w:id="244"/>
      <w:bookmarkEnd w:id="245"/>
      <w:bookmarkEnd w:id="246"/>
      <w:bookmarkEnd w:id="247"/>
      <w:bookmarkEnd w:id="248"/>
      <w:bookmarkEnd w:id="249"/>
      <w:bookmarkEnd w:id="250"/>
    </w:p>
    <w:p w14:paraId="02FE7CB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2.1.5.3.1、</w:t>
      </w:r>
      <w:r>
        <w:rPr>
          <w:rFonts w:hint="eastAsia" w:ascii="仿宋" w:hAnsi="仿宋" w:eastAsia="仿宋" w:cs="仿宋"/>
          <w:sz w:val="24"/>
          <w:szCs w:val="24"/>
        </w:rPr>
        <w:t>新增延期申请</w:t>
      </w:r>
    </w:p>
    <w:p w14:paraId="0794E6D9">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档案借阅者能够对借阅/借调的档案进行延期，延长借阅/借调的时长。档案借阅者在选择需要延期的档案信息、填写延期时长后提交档案管理员审核。</w:t>
      </w:r>
    </w:p>
    <w:p w14:paraId="12BC92D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2.1.5.3.2、</w:t>
      </w:r>
      <w:r>
        <w:rPr>
          <w:rFonts w:hint="eastAsia" w:ascii="仿宋" w:hAnsi="仿宋" w:eastAsia="仿宋" w:cs="仿宋"/>
          <w:sz w:val="24"/>
          <w:szCs w:val="24"/>
        </w:rPr>
        <w:t>删除延期申请</w:t>
      </w:r>
    </w:p>
    <w:p w14:paraId="4EB6558E">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档案借阅者能够删除已发出的延期申请信息记录并重新发起延期申请，提交管理员审核。</w:t>
      </w:r>
    </w:p>
    <w:p w14:paraId="272FF65D">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2.1.5.3.3、</w:t>
      </w:r>
      <w:r>
        <w:rPr>
          <w:rFonts w:hint="eastAsia" w:ascii="仿宋" w:hAnsi="仿宋" w:eastAsia="仿宋" w:cs="仿宋"/>
          <w:sz w:val="24"/>
          <w:szCs w:val="24"/>
        </w:rPr>
        <w:t>延期申请审核</w:t>
      </w:r>
    </w:p>
    <w:p w14:paraId="50F08451">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档案借阅者提交延期申请后，由档案管理员和档案领导进行审核，审核通过后完成档案延期操作，不通过则将延期申请退还给档案借阅者，由档案借阅者重新申请。</w:t>
      </w:r>
    </w:p>
    <w:p w14:paraId="586867D2">
      <w:pPr>
        <w:pStyle w:val="6"/>
        <w:numPr>
          <w:ilvl w:val="3"/>
          <w:numId w:val="0"/>
        </w:numPr>
        <w:bidi w:val="0"/>
        <w:ind w:leftChars="0"/>
        <w:rPr>
          <w:rFonts w:hint="eastAsia" w:ascii="仿宋" w:hAnsi="仿宋" w:eastAsia="仿宋" w:cs="仿宋"/>
          <w:sz w:val="24"/>
          <w:szCs w:val="24"/>
        </w:rPr>
      </w:pPr>
      <w:bookmarkStart w:id="251" w:name="_Toc66191820"/>
      <w:bookmarkStart w:id="252" w:name="_Toc27303"/>
      <w:bookmarkStart w:id="253" w:name="_Toc21228"/>
      <w:bookmarkStart w:id="254" w:name="_Toc28028"/>
      <w:bookmarkStart w:id="255" w:name="_Toc16358"/>
      <w:bookmarkStart w:id="256" w:name="_Toc4230"/>
      <w:bookmarkStart w:id="257" w:name="_Toc10193"/>
      <w:bookmarkStart w:id="258" w:name="_Toc26483"/>
      <w:r>
        <w:rPr>
          <w:rFonts w:hint="eastAsia" w:ascii="仿宋" w:hAnsi="仿宋" w:eastAsia="仿宋" w:cs="仿宋"/>
          <w:sz w:val="24"/>
          <w:szCs w:val="24"/>
          <w:lang w:val="en-US" w:eastAsia="zh-CN"/>
        </w:rPr>
        <w:t>2.1.5.4、档案</w:t>
      </w:r>
      <w:r>
        <w:rPr>
          <w:rFonts w:hint="eastAsia" w:ascii="仿宋" w:hAnsi="仿宋" w:eastAsia="仿宋" w:cs="仿宋"/>
          <w:sz w:val="24"/>
          <w:szCs w:val="24"/>
        </w:rPr>
        <w:t>归还</w:t>
      </w:r>
      <w:bookmarkEnd w:id="251"/>
      <w:bookmarkEnd w:id="252"/>
      <w:bookmarkEnd w:id="253"/>
      <w:bookmarkEnd w:id="254"/>
      <w:bookmarkEnd w:id="255"/>
      <w:bookmarkEnd w:id="256"/>
      <w:bookmarkEnd w:id="257"/>
      <w:bookmarkEnd w:id="258"/>
    </w:p>
    <w:p w14:paraId="5193736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2.1.5.4.1、</w:t>
      </w:r>
      <w:r>
        <w:rPr>
          <w:rFonts w:hint="eastAsia" w:ascii="仿宋" w:hAnsi="仿宋" w:eastAsia="仿宋" w:cs="仿宋"/>
          <w:sz w:val="24"/>
          <w:szCs w:val="24"/>
        </w:rPr>
        <w:t>新增归还申请</w:t>
      </w:r>
    </w:p>
    <w:p w14:paraId="1C5994A0">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对于借阅/借调结束时间已过的借阅记录，</w:t>
      </w:r>
      <w:r>
        <w:rPr>
          <w:rFonts w:hint="eastAsia" w:ascii="仿宋" w:hAnsi="仿宋" w:eastAsia="仿宋" w:cs="仿宋"/>
          <w:sz w:val="24"/>
          <w:szCs w:val="24"/>
        </w:rPr>
        <w:t>档案管理员</w:t>
      </w:r>
      <w:r>
        <w:rPr>
          <w:rFonts w:hint="eastAsia" w:ascii="仿宋" w:hAnsi="仿宋" w:eastAsia="仿宋" w:cs="仿宋"/>
          <w:bCs/>
          <w:color w:val="000000"/>
          <w:sz w:val="24"/>
          <w:szCs w:val="24"/>
        </w:rPr>
        <w:t>可提交归还申请，选择需要归还的档案信息提交档案管理员审核。</w:t>
      </w:r>
      <w:r>
        <w:rPr>
          <w:rFonts w:hint="eastAsia" w:ascii="仿宋" w:hAnsi="仿宋" w:eastAsia="仿宋" w:cs="仿宋"/>
          <w:sz w:val="24"/>
          <w:szCs w:val="24"/>
        </w:rPr>
        <w:t xml:space="preserve"> </w:t>
      </w:r>
    </w:p>
    <w:p w14:paraId="6C7A5D2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2.1.5.4.2、</w:t>
      </w:r>
      <w:r>
        <w:rPr>
          <w:rFonts w:hint="eastAsia" w:ascii="仿宋" w:hAnsi="仿宋" w:eastAsia="仿宋" w:cs="仿宋"/>
          <w:sz w:val="24"/>
          <w:szCs w:val="24"/>
        </w:rPr>
        <w:t>删除归还申请</w:t>
      </w:r>
    </w:p>
    <w:p w14:paraId="0BE15A69">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档案借阅者能够删除已发出的申请信息记录并重新发起归还申请，提交档案管理员审核。</w:t>
      </w:r>
    </w:p>
    <w:p w14:paraId="4D00FCE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2.1.5.4.3、</w:t>
      </w:r>
      <w:r>
        <w:rPr>
          <w:rFonts w:hint="eastAsia" w:ascii="仿宋" w:hAnsi="仿宋" w:eastAsia="仿宋" w:cs="仿宋"/>
          <w:sz w:val="24"/>
          <w:szCs w:val="24"/>
        </w:rPr>
        <w:t>归还申请审核</w:t>
      </w:r>
    </w:p>
    <w:p w14:paraId="2A12BF9D">
      <w:pPr>
        <w:ind w:firstLine="480" w:firstLineChars="200"/>
        <w:rPr>
          <w:rFonts w:hint="eastAsia" w:ascii="仿宋" w:hAnsi="仿宋" w:eastAsia="仿宋" w:cs="仿宋"/>
          <w:sz w:val="24"/>
          <w:szCs w:val="24"/>
        </w:rPr>
      </w:pPr>
      <w:r>
        <w:rPr>
          <w:rFonts w:hint="eastAsia" w:ascii="仿宋" w:hAnsi="仿宋" w:eastAsia="仿宋" w:cs="仿宋"/>
          <w:sz w:val="24"/>
          <w:szCs w:val="24"/>
        </w:rPr>
        <w:t>档案借阅者提交归还申请后，由档案管理员和档案领导进行审核，审核通过后完成档案归还操作，不通过则将归还申请退还给档案借阅者，由档案借阅者重新申请。</w:t>
      </w:r>
    </w:p>
    <w:p w14:paraId="22B235BC">
      <w:pPr>
        <w:pStyle w:val="6"/>
        <w:numPr>
          <w:ilvl w:val="3"/>
          <w:numId w:val="0"/>
        </w:numPr>
        <w:bidi w:val="0"/>
        <w:ind w:leftChars="0"/>
        <w:rPr>
          <w:rFonts w:hint="eastAsia" w:ascii="仿宋" w:hAnsi="仿宋" w:eastAsia="仿宋" w:cs="仿宋"/>
          <w:sz w:val="24"/>
          <w:szCs w:val="24"/>
        </w:rPr>
      </w:pPr>
      <w:bookmarkStart w:id="259" w:name="_Toc21861"/>
      <w:bookmarkStart w:id="260" w:name="_Toc66191821"/>
      <w:bookmarkStart w:id="261" w:name="_Toc3297"/>
      <w:bookmarkStart w:id="262" w:name="_Toc15932"/>
      <w:bookmarkStart w:id="263" w:name="_Toc24904"/>
      <w:bookmarkStart w:id="264" w:name="_Toc19708"/>
      <w:bookmarkStart w:id="265" w:name="_Toc1863"/>
      <w:bookmarkStart w:id="266" w:name="_Toc30636"/>
      <w:r>
        <w:rPr>
          <w:rFonts w:hint="eastAsia" w:ascii="仿宋" w:hAnsi="仿宋" w:eastAsia="仿宋" w:cs="仿宋"/>
          <w:sz w:val="24"/>
          <w:szCs w:val="24"/>
          <w:lang w:val="en-US" w:eastAsia="zh-CN"/>
        </w:rPr>
        <w:t>2.1.5.5、</w:t>
      </w:r>
      <w:r>
        <w:rPr>
          <w:rFonts w:hint="eastAsia" w:ascii="仿宋" w:hAnsi="仿宋" w:eastAsia="仿宋" w:cs="仿宋"/>
          <w:sz w:val="24"/>
          <w:szCs w:val="24"/>
        </w:rPr>
        <w:t>在线预览</w:t>
      </w:r>
      <w:bookmarkEnd w:id="259"/>
      <w:bookmarkEnd w:id="260"/>
      <w:bookmarkEnd w:id="261"/>
      <w:bookmarkEnd w:id="262"/>
      <w:bookmarkEnd w:id="263"/>
      <w:bookmarkEnd w:id="264"/>
      <w:bookmarkEnd w:id="265"/>
      <w:bookmarkEnd w:id="266"/>
    </w:p>
    <w:p w14:paraId="68D3F961">
      <w:pPr>
        <w:ind w:firstLine="480" w:firstLineChars="200"/>
        <w:rPr>
          <w:rFonts w:hint="eastAsia" w:ascii="仿宋" w:hAnsi="仿宋" w:eastAsia="仿宋" w:cs="仿宋"/>
          <w:sz w:val="24"/>
          <w:szCs w:val="24"/>
        </w:rPr>
      </w:pPr>
      <w:r>
        <w:rPr>
          <w:rFonts w:hint="eastAsia" w:ascii="仿宋" w:hAnsi="仿宋" w:eastAsia="仿宋" w:cs="仿宋"/>
          <w:sz w:val="24"/>
          <w:szCs w:val="24"/>
        </w:rPr>
        <w:t>在档案借阅/借调中，对于尚未归还或超期的档案文件，档案借阅者能在线预览通过借阅申请的档案信息包括档号、题名、年度、密级、档案所属单位、归档人、电子文件数，可查阅详细的电子档案的详细内容。</w:t>
      </w:r>
    </w:p>
    <w:p w14:paraId="6DA2DB35">
      <w:pPr>
        <w:pStyle w:val="12"/>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系统支持按照招投标环节流程和时间节点，展示各阶段产生的归档文件，便于查阅。</w:t>
      </w:r>
    </w:p>
    <w:p w14:paraId="389A4A68">
      <w:pPr>
        <w:ind w:firstLine="480" w:firstLineChars="200"/>
        <w:rPr>
          <w:rFonts w:hint="eastAsia" w:ascii="仿宋" w:hAnsi="仿宋" w:eastAsia="仿宋" w:cs="仿宋"/>
          <w:sz w:val="24"/>
          <w:szCs w:val="24"/>
        </w:rPr>
      </w:pPr>
      <w:r>
        <w:rPr>
          <w:rFonts w:hint="eastAsia" w:ascii="仿宋" w:hAnsi="仿宋" w:eastAsia="仿宋" w:cs="仿宋"/>
          <w:sz w:val="24"/>
          <w:szCs w:val="24"/>
        </w:rPr>
        <w:t>系统在档案预览时，可对PDF、WORD、图片类文件增加水印，水印内容支持文字或图片，水印密度、透明度均可配置。</w:t>
      </w:r>
    </w:p>
    <w:p w14:paraId="12E2AFA8">
      <w:pPr>
        <w:pStyle w:val="6"/>
        <w:numPr>
          <w:ilvl w:val="3"/>
          <w:numId w:val="0"/>
        </w:numPr>
        <w:bidi w:val="0"/>
        <w:ind w:leftChars="0"/>
        <w:rPr>
          <w:rFonts w:hint="eastAsia" w:ascii="仿宋" w:hAnsi="仿宋" w:eastAsia="仿宋" w:cs="仿宋"/>
          <w:sz w:val="24"/>
          <w:szCs w:val="24"/>
        </w:rPr>
      </w:pPr>
      <w:bookmarkStart w:id="267" w:name="_Toc14806"/>
      <w:bookmarkStart w:id="268" w:name="_Toc31561"/>
      <w:bookmarkStart w:id="269" w:name="_Toc66191822"/>
      <w:bookmarkStart w:id="270" w:name="_Toc5980"/>
      <w:bookmarkStart w:id="271" w:name="_Toc11796"/>
      <w:bookmarkStart w:id="272" w:name="_Toc23475"/>
      <w:bookmarkStart w:id="273" w:name="_Toc28498"/>
      <w:bookmarkStart w:id="274" w:name="_Toc29202"/>
      <w:r>
        <w:rPr>
          <w:rFonts w:hint="eastAsia" w:ascii="仿宋" w:hAnsi="仿宋" w:eastAsia="仿宋" w:cs="仿宋"/>
          <w:sz w:val="24"/>
          <w:szCs w:val="24"/>
          <w:lang w:val="en-US" w:eastAsia="zh-CN"/>
        </w:rPr>
        <w:t>2.1.5.6、</w:t>
      </w:r>
      <w:r>
        <w:rPr>
          <w:rFonts w:hint="eastAsia" w:ascii="仿宋" w:hAnsi="仿宋" w:eastAsia="仿宋" w:cs="仿宋"/>
          <w:sz w:val="24"/>
          <w:szCs w:val="24"/>
        </w:rPr>
        <w:t>档案下载</w:t>
      </w:r>
      <w:bookmarkEnd w:id="267"/>
      <w:bookmarkEnd w:id="268"/>
      <w:bookmarkEnd w:id="269"/>
      <w:bookmarkEnd w:id="270"/>
      <w:bookmarkEnd w:id="271"/>
      <w:bookmarkEnd w:id="272"/>
      <w:bookmarkEnd w:id="273"/>
      <w:bookmarkEnd w:id="274"/>
    </w:p>
    <w:p w14:paraId="2B337DB5">
      <w:pPr>
        <w:ind w:firstLine="480" w:firstLineChars="200"/>
        <w:rPr>
          <w:rFonts w:hint="eastAsia" w:ascii="仿宋" w:hAnsi="仿宋" w:eastAsia="仿宋" w:cs="仿宋"/>
          <w:sz w:val="24"/>
          <w:szCs w:val="24"/>
        </w:rPr>
      </w:pPr>
      <w:r>
        <w:rPr>
          <w:rFonts w:hint="eastAsia" w:ascii="仿宋" w:hAnsi="仿宋" w:eastAsia="仿宋" w:cs="仿宋"/>
          <w:sz w:val="24"/>
          <w:szCs w:val="24"/>
        </w:rPr>
        <w:t>在档案借阅/借调中，对于尚未归还或超期的档案文件，档案借阅者能下载查看通过借调申请的档案信息，档案打包完成后可进行下载，同时支持批量下载功能。</w:t>
      </w:r>
    </w:p>
    <w:p w14:paraId="17348410">
      <w:pPr>
        <w:ind w:firstLine="480" w:firstLineChars="200"/>
        <w:rPr>
          <w:rFonts w:hint="eastAsia" w:ascii="仿宋" w:hAnsi="仿宋" w:eastAsia="仿宋" w:cs="仿宋"/>
          <w:sz w:val="24"/>
          <w:szCs w:val="24"/>
        </w:rPr>
      </w:pPr>
      <w:r>
        <w:rPr>
          <w:rFonts w:hint="eastAsia" w:ascii="仿宋" w:hAnsi="仿宋" w:eastAsia="仿宋" w:cs="仿宋"/>
          <w:sz w:val="24"/>
          <w:szCs w:val="24"/>
        </w:rPr>
        <w:t>系统在档案下载时，可对PDF、WORD、图片类文件增加水印，水印内容支持文字或图片，水印密度、透明度均可配置。</w:t>
      </w:r>
    </w:p>
    <w:p w14:paraId="2125FB0D">
      <w:pPr>
        <w:pStyle w:val="12"/>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档案下载是系统自动生成日志记录，包括：使用时间、使用者、使用ip、档案标识、文件标识。</w:t>
      </w:r>
    </w:p>
    <w:p w14:paraId="3EAA2257">
      <w:pPr>
        <w:pStyle w:val="6"/>
        <w:numPr>
          <w:ilvl w:val="3"/>
          <w:numId w:val="0"/>
        </w:numPr>
        <w:bidi w:val="0"/>
        <w:ind w:leftChars="0"/>
        <w:rPr>
          <w:rFonts w:hint="eastAsia" w:ascii="仿宋" w:hAnsi="仿宋" w:eastAsia="仿宋" w:cs="仿宋"/>
          <w:sz w:val="24"/>
          <w:szCs w:val="24"/>
        </w:rPr>
      </w:pPr>
      <w:bookmarkStart w:id="275" w:name="_Toc11514"/>
      <w:bookmarkStart w:id="276" w:name="_Toc30831"/>
      <w:bookmarkStart w:id="277" w:name="_Toc4819"/>
      <w:bookmarkStart w:id="278" w:name="_Toc10647"/>
      <w:bookmarkStart w:id="279" w:name="_Toc66191823"/>
      <w:bookmarkStart w:id="280" w:name="_Toc20176"/>
      <w:bookmarkStart w:id="281" w:name="_Toc13539"/>
      <w:bookmarkStart w:id="282" w:name="_Toc7453"/>
      <w:r>
        <w:rPr>
          <w:rFonts w:hint="eastAsia" w:ascii="仿宋" w:hAnsi="仿宋" w:eastAsia="仿宋" w:cs="仿宋"/>
          <w:sz w:val="24"/>
          <w:szCs w:val="24"/>
          <w:lang w:val="en-US" w:eastAsia="zh-CN"/>
        </w:rPr>
        <w:t>2.1.5.7、</w:t>
      </w:r>
      <w:r>
        <w:rPr>
          <w:rFonts w:hint="eastAsia" w:ascii="仿宋" w:hAnsi="仿宋" w:eastAsia="仿宋" w:cs="仿宋"/>
          <w:sz w:val="24"/>
          <w:szCs w:val="24"/>
        </w:rPr>
        <w:t>档案授权</w:t>
      </w:r>
      <w:bookmarkEnd w:id="275"/>
      <w:bookmarkEnd w:id="276"/>
      <w:bookmarkEnd w:id="277"/>
      <w:bookmarkEnd w:id="278"/>
      <w:bookmarkEnd w:id="279"/>
      <w:bookmarkEnd w:id="280"/>
      <w:bookmarkEnd w:id="281"/>
      <w:bookmarkEnd w:id="282"/>
    </w:p>
    <w:p w14:paraId="4F2A504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2.1.5.7.1、</w:t>
      </w:r>
      <w:r>
        <w:rPr>
          <w:rFonts w:hint="eastAsia" w:ascii="仿宋" w:hAnsi="仿宋" w:eastAsia="仿宋" w:cs="仿宋"/>
          <w:sz w:val="24"/>
          <w:szCs w:val="24"/>
        </w:rPr>
        <w:t>新增授权</w:t>
      </w:r>
    </w:p>
    <w:p w14:paraId="0F95B124">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对于通过归档审批或变更归档审批的档案数据，档案管理员可以将档案查看权限授权给档案借阅者，被授权的借阅者可以在被授权期间查阅被授权的档案信息。</w:t>
      </w:r>
    </w:p>
    <w:p w14:paraId="0CFF7890">
      <w:pPr>
        <w:pStyle w:val="12"/>
        <w:numPr>
          <w:ilvl w:val="0"/>
          <w:numId w:val="0"/>
        </w:numPr>
        <w:ind w:leftChars="0" w:firstLine="480" w:firstLineChars="200"/>
        <w:rPr>
          <w:rFonts w:hint="eastAsia" w:ascii="仿宋" w:hAnsi="仿宋" w:eastAsia="仿宋" w:cs="仿宋"/>
          <w:sz w:val="24"/>
          <w:szCs w:val="24"/>
        </w:rPr>
      </w:pPr>
      <w:r>
        <w:rPr>
          <w:rFonts w:hint="eastAsia" w:ascii="仿宋" w:hAnsi="仿宋" w:eastAsia="仿宋" w:cs="仿宋"/>
          <w:sz w:val="24"/>
          <w:szCs w:val="24"/>
        </w:rPr>
        <w:t>系统支持使用无账号模式进行授权，新增授权时为临时借阅人添加临时借阅人名称、单位、联系方式，被授权的账号在进行档案预览、下载时默认采用临时借阅用户信息。</w:t>
      </w:r>
    </w:p>
    <w:p w14:paraId="2CA625B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2.1.5.7.2、</w:t>
      </w:r>
      <w:r>
        <w:rPr>
          <w:rFonts w:hint="eastAsia" w:ascii="仿宋" w:hAnsi="仿宋" w:eastAsia="仿宋" w:cs="仿宋"/>
          <w:sz w:val="24"/>
          <w:szCs w:val="24"/>
        </w:rPr>
        <w:t>删除授权</w:t>
      </w:r>
    </w:p>
    <w:p w14:paraId="6127DF1A">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档案管理员能够删除已完成的授权信息记录，同时收回档案借阅者的查阅权限。</w:t>
      </w:r>
    </w:p>
    <w:p w14:paraId="50B12E85">
      <w:pPr>
        <w:pStyle w:val="6"/>
        <w:numPr>
          <w:ilvl w:val="3"/>
          <w:numId w:val="0"/>
        </w:numPr>
        <w:bidi w:val="0"/>
        <w:ind w:leftChars="0"/>
        <w:rPr>
          <w:rFonts w:hint="eastAsia" w:ascii="仿宋" w:hAnsi="仿宋" w:eastAsia="仿宋" w:cs="仿宋"/>
          <w:sz w:val="24"/>
          <w:szCs w:val="24"/>
        </w:rPr>
      </w:pPr>
      <w:bookmarkStart w:id="283" w:name="_Toc20116"/>
      <w:bookmarkStart w:id="284" w:name="_Toc657"/>
      <w:bookmarkStart w:id="285" w:name="_Toc17860"/>
      <w:bookmarkStart w:id="286" w:name="_Toc19594"/>
      <w:bookmarkStart w:id="287" w:name="_Toc9300"/>
      <w:bookmarkStart w:id="288" w:name="_Toc4330"/>
      <w:bookmarkStart w:id="289" w:name="_Toc21880"/>
      <w:r>
        <w:rPr>
          <w:rFonts w:hint="eastAsia" w:ascii="仿宋" w:hAnsi="仿宋" w:eastAsia="仿宋" w:cs="仿宋"/>
          <w:sz w:val="24"/>
          <w:szCs w:val="24"/>
          <w:lang w:val="en-US" w:eastAsia="zh-CN"/>
        </w:rPr>
        <w:t>2.1.5.8、</w:t>
      </w:r>
      <w:r>
        <w:rPr>
          <w:rFonts w:hint="eastAsia" w:ascii="仿宋" w:hAnsi="仿宋" w:eastAsia="仿宋" w:cs="仿宋"/>
          <w:sz w:val="24"/>
          <w:szCs w:val="24"/>
        </w:rPr>
        <w:t>档案登记</w:t>
      </w:r>
      <w:bookmarkEnd w:id="283"/>
      <w:bookmarkEnd w:id="284"/>
      <w:bookmarkEnd w:id="285"/>
      <w:bookmarkEnd w:id="286"/>
      <w:bookmarkEnd w:id="287"/>
      <w:bookmarkEnd w:id="288"/>
      <w:bookmarkEnd w:id="289"/>
    </w:p>
    <w:p w14:paraId="421DAF02">
      <w:pPr>
        <w:ind w:firstLine="480" w:firstLineChars="200"/>
        <w:rPr>
          <w:rFonts w:hint="eastAsia" w:ascii="仿宋" w:hAnsi="仿宋" w:eastAsia="仿宋" w:cs="仿宋"/>
          <w:sz w:val="24"/>
          <w:szCs w:val="24"/>
        </w:rPr>
      </w:pPr>
      <w:r>
        <w:rPr>
          <w:rFonts w:hint="eastAsia" w:ascii="仿宋" w:hAnsi="仿宋" w:eastAsia="仿宋" w:cs="仿宋"/>
          <w:sz w:val="24"/>
          <w:szCs w:val="24"/>
        </w:rPr>
        <w:t>提供中心档案关联人员进行档案登记的功能，面向线下查档案与提前预约的借阅人针对性进行登记和记录，登记借阅（调）人单位名称、联系电话、档案用途、开始时间及使用时长信息，并提交审核。</w:t>
      </w:r>
    </w:p>
    <w:p w14:paraId="425CEC05">
      <w:pPr>
        <w:pStyle w:val="6"/>
        <w:numPr>
          <w:ilvl w:val="3"/>
          <w:numId w:val="0"/>
        </w:numPr>
        <w:ind w:leftChars="0"/>
        <w:rPr>
          <w:rFonts w:hint="eastAsia" w:ascii="仿宋" w:hAnsi="仿宋" w:eastAsia="仿宋" w:cs="仿宋"/>
          <w:sz w:val="24"/>
          <w:szCs w:val="24"/>
          <w:highlight w:val="none"/>
        </w:rPr>
      </w:pPr>
      <w:bookmarkStart w:id="290" w:name="_Toc28785"/>
      <w:bookmarkStart w:id="291" w:name="_Toc17926"/>
      <w:bookmarkStart w:id="292" w:name="_Toc10852"/>
      <w:bookmarkStart w:id="293" w:name="_Toc30634"/>
      <w:bookmarkStart w:id="294" w:name="_Toc6773"/>
      <w:bookmarkStart w:id="295" w:name="_Toc13269"/>
      <w:bookmarkStart w:id="296" w:name="_Toc15534"/>
      <w:bookmarkStart w:id="297" w:name="_Toc10074"/>
      <w:r>
        <w:rPr>
          <w:rFonts w:hint="eastAsia" w:ascii="仿宋" w:hAnsi="仿宋" w:eastAsia="仿宋" w:cs="仿宋"/>
          <w:sz w:val="24"/>
          <w:szCs w:val="24"/>
          <w:highlight w:val="none"/>
          <w:lang w:val="en-US" w:eastAsia="zh-CN"/>
        </w:rPr>
        <w:t>2.1.5.9、</w:t>
      </w:r>
      <w:r>
        <w:rPr>
          <w:rFonts w:hint="eastAsia" w:ascii="仿宋" w:hAnsi="仿宋" w:eastAsia="仿宋" w:cs="仿宋"/>
          <w:sz w:val="24"/>
          <w:szCs w:val="24"/>
          <w:highlight w:val="none"/>
        </w:rPr>
        <w:t>档案证明</w:t>
      </w:r>
      <w:bookmarkEnd w:id="290"/>
      <w:bookmarkEnd w:id="291"/>
      <w:bookmarkEnd w:id="292"/>
      <w:bookmarkEnd w:id="293"/>
      <w:bookmarkEnd w:id="294"/>
      <w:bookmarkEnd w:id="295"/>
      <w:bookmarkEnd w:id="296"/>
      <w:bookmarkEnd w:id="297"/>
    </w:p>
    <w:p w14:paraId="363207E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档案下载时自动记录操作人、操作时间、档案信息、档案hash值。验证时，通过上传档案，系统获取档案hash值并与系统中的下载记录做对比，可判断该档案是否来源于本档案系统，以及档案下载后是否被篡改，高效</w:t>
      </w:r>
      <w:r>
        <w:rPr>
          <w:rFonts w:hint="eastAsia" w:ascii="仿宋" w:hAnsi="仿宋" w:eastAsia="仿宋" w:cs="仿宋"/>
          <w:sz w:val="24"/>
          <w:szCs w:val="24"/>
          <w:highlight w:val="none"/>
        </w:rPr>
        <w:t>提供档案证明服务。</w:t>
      </w:r>
    </w:p>
    <w:p w14:paraId="5C6CBFBA">
      <w:pPr>
        <w:pStyle w:val="6"/>
        <w:numPr>
          <w:ilvl w:val="3"/>
          <w:numId w:val="0"/>
        </w:numPr>
        <w:tabs>
          <w:tab w:val="left" w:pos="504"/>
          <w:tab w:val="clear" w:pos="0"/>
        </w:tabs>
        <w:spacing w:line="360" w:lineRule="auto"/>
        <w:ind w:leftChars="0"/>
        <w:rPr>
          <w:rFonts w:hint="eastAsia" w:ascii="仿宋" w:hAnsi="仿宋" w:eastAsia="仿宋" w:cs="仿宋"/>
          <w:sz w:val="24"/>
          <w:szCs w:val="24"/>
          <w:highlight w:val="none"/>
        </w:rPr>
      </w:pPr>
      <w:bookmarkStart w:id="298" w:name="_Toc31815"/>
      <w:bookmarkStart w:id="299" w:name="_Toc4690"/>
      <w:bookmarkStart w:id="300" w:name="_Toc22323"/>
      <w:bookmarkStart w:id="301" w:name="_Toc26501"/>
      <w:bookmarkStart w:id="302" w:name="_Toc3486"/>
      <w:bookmarkStart w:id="303" w:name="_Toc7518"/>
      <w:bookmarkStart w:id="304" w:name="_Toc3264"/>
      <w:bookmarkStart w:id="305" w:name="_Toc7499"/>
      <w:r>
        <w:rPr>
          <w:rFonts w:hint="eastAsia" w:ascii="仿宋" w:hAnsi="仿宋" w:eastAsia="仿宋" w:cs="仿宋"/>
          <w:sz w:val="24"/>
          <w:szCs w:val="24"/>
          <w:highlight w:val="none"/>
          <w:lang w:val="en-US" w:eastAsia="zh-CN"/>
        </w:rPr>
        <w:t>2.1.5.10、</w:t>
      </w:r>
      <w:r>
        <w:rPr>
          <w:rFonts w:hint="eastAsia" w:ascii="仿宋" w:hAnsi="仿宋" w:eastAsia="仿宋" w:cs="仿宋"/>
          <w:sz w:val="24"/>
          <w:szCs w:val="24"/>
          <w:highlight w:val="none"/>
        </w:rPr>
        <w:t>档案自动归还</w:t>
      </w:r>
      <w:bookmarkEnd w:id="298"/>
      <w:bookmarkEnd w:id="299"/>
      <w:bookmarkEnd w:id="300"/>
      <w:bookmarkEnd w:id="301"/>
      <w:bookmarkEnd w:id="302"/>
      <w:bookmarkEnd w:id="303"/>
      <w:bookmarkEnd w:id="304"/>
      <w:bookmarkEnd w:id="305"/>
    </w:p>
    <w:p w14:paraId="06A772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系统将借阅到期的档案自动归还，</w:t>
      </w:r>
      <w:r>
        <w:rPr>
          <w:rFonts w:hint="eastAsia" w:ascii="仿宋" w:hAnsi="仿宋" w:eastAsia="仿宋" w:cs="仿宋"/>
          <w:sz w:val="24"/>
          <w:szCs w:val="24"/>
          <w:highlight w:val="none"/>
          <w:lang w:val="en-US" w:eastAsia="zh-CN"/>
        </w:rPr>
        <w:t>并在【档案归还】列表中自动生成一条审核通过的记录。</w:t>
      </w:r>
      <w:r>
        <w:rPr>
          <w:rFonts w:hint="eastAsia" w:ascii="仿宋" w:hAnsi="仿宋" w:eastAsia="仿宋" w:cs="仿宋"/>
          <w:sz w:val="24"/>
          <w:szCs w:val="24"/>
          <w:highlight w:val="none"/>
        </w:rPr>
        <w:t>自动归还的档案信息不允许档案借阅者继续查看。</w:t>
      </w:r>
      <w:bookmarkStart w:id="306" w:name="_Toc31899"/>
      <w:bookmarkStart w:id="307" w:name="_Toc19441"/>
      <w:bookmarkStart w:id="308" w:name="_Toc7322"/>
      <w:bookmarkStart w:id="309" w:name="_Toc3099"/>
      <w:bookmarkStart w:id="310" w:name="_Toc29115"/>
      <w:bookmarkStart w:id="311" w:name="_Toc7197"/>
      <w:bookmarkStart w:id="312" w:name="_Toc7292"/>
      <w:bookmarkStart w:id="313" w:name="_Toc12954"/>
      <w:bookmarkStart w:id="314" w:name="_Toc22484"/>
    </w:p>
    <w:p w14:paraId="1CEDFB1D">
      <w:pPr>
        <w:spacing w:line="360" w:lineRule="auto"/>
        <w:rPr>
          <w:rFonts w:hint="eastAsia" w:ascii="仿宋" w:hAnsi="仿宋" w:eastAsia="仿宋" w:cs="仿宋"/>
          <w:b/>
          <w:bCs/>
          <w:color w:val="000000"/>
          <w:sz w:val="24"/>
          <w:szCs w:val="24"/>
          <w:highlight w:val="none"/>
          <w:lang w:val="en-US" w:eastAsia="zh-CN" w:bidi="en-US"/>
        </w:rPr>
      </w:pPr>
      <w:r>
        <w:rPr>
          <w:rFonts w:hint="eastAsia" w:ascii="仿宋" w:hAnsi="仿宋" w:eastAsia="仿宋" w:cs="仿宋"/>
          <w:b/>
          <w:bCs/>
          <w:color w:val="000000"/>
          <w:sz w:val="24"/>
          <w:szCs w:val="24"/>
          <w:highlight w:val="none"/>
          <w:lang w:val="en-US" w:eastAsia="zh-CN" w:bidi="en-US"/>
        </w:rPr>
        <w:t>2.1.6、档案检索</w:t>
      </w:r>
      <w:bookmarkEnd w:id="306"/>
      <w:bookmarkEnd w:id="307"/>
      <w:bookmarkEnd w:id="308"/>
      <w:bookmarkEnd w:id="309"/>
      <w:bookmarkEnd w:id="310"/>
      <w:bookmarkEnd w:id="311"/>
      <w:bookmarkEnd w:id="312"/>
      <w:bookmarkEnd w:id="313"/>
      <w:bookmarkEnd w:id="314"/>
    </w:p>
    <w:p w14:paraId="0A063E5E">
      <w:pPr>
        <w:ind w:firstLine="480" w:firstLineChars="200"/>
        <w:rPr>
          <w:rFonts w:hint="eastAsia" w:ascii="仿宋" w:hAnsi="仿宋" w:eastAsia="仿宋" w:cs="仿宋"/>
          <w:sz w:val="24"/>
          <w:szCs w:val="24"/>
        </w:rPr>
      </w:pPr>
      <w:r>
        <w:rPr>
          <w:rFonts w:hint="eastAsia" w:ascii="仿宋" w:hAnsi="仿宋" w:eastAsia="仿宋" w:cs="仿宋"/>
          <w:sz w:val="24"/>
          <w:szCs w:val="24"/>
        </w:rPr>
        <w:t>电子档案管理系统提供档案全文检索功能，支持按照档案名、目录名、文件名对系统内已归档的档案进行检索，档案管理员通过档案全文检索实现快速查询。</w:t>
      </w:r>
    </w:p>
    <w:p w14:paraId="4F784964">
      <w:pPr>
        <w:pStyle w:val="6"/>
        <w:numPr>
          <w:ilvl w:val="3"/>
          <w:numId w:val="0"/>
        </w:numPr>
        <w:bidi w:val="0"/>
        <w:ind w:leftChars="0"/>
        <w:rPr>
          <w:rFonts w:hint="eastAsia" w:ascii="仿宋" w:hAnsi="仿宋" w:eastAsia="仿宋" w:cs="仿宋"/>
          <w:sz w:val="24"/>
          <w:szCs w:val="24"/>
        </w:rPr>
      </w:pPr>
      <w:bookmarkStart w:id="315" w:name="_Toc26471"/>
      <w:bookmarkStart w:id="316" w:name="_Toc17328"/>
      <w:bookmarkStart w:id="317" w:name="_Toc4914"/>
      <w:bookmarkStart w:id="318" w:name="_Toc19736"/>
      <w:bookmarkStart w:id="319" w:name="_Toc31624"/>
      <w:bookmarkStart w:id="320" w:name="_Toc27427"/>
      <w:bookmarkStart w:id="321" w:name="_Toc28540"/>
      <w:r>
        <w:rPr>
          <w:rFonts w:hint="eastAsia" w:ascii="仿宋" w:hAnsi="仿宋" w:eastAsia="仿宋" w:cs="仿宋"/>
          <w:sz w:val="24"/>
          <w:szCs w:val="24"/>
          <w:lang w:val="en-US" w:eastAsia="zh-CN"/>
        </w:rPr>
        <w:t>2.1.6.1、</w:t>
      </w:r>
      <w:r>
        <w:rPr>
          <w:rFonts w:hint="eastAsia" w:ascii="仿宋" w:hAnsi="仿宋" w:eastAsia="仿宋" w:cs="仿宋"/>
          <w:sz w:val="24"/>
          <w:szCs w:val="24"/>
        </w:rPr>
        <w:t>全文检索</w:t>
      </w:r>
      <w:bookmarkEnd w:id="315"/>
      <w:bookmarkEnd w:id="316"/>
      <w:bookmarkEnd w:id="317"/>
      <w:bookmarkEnd w:id="318"/>
      <w:bookmarkEnd w:id="319"/>
      <w:bookmarkEnd w:id="320"/>
      <w:bookmarkEnd w:id="321"/>
    </w:p>
    <w:p w14:paraId="57F98D9C">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档案检索支持对档案的全文，包括：档案基本信息、项目信息、档案内容、附件信息检索，检索时支持模糊检索，根据不同的关键词进行检索。</w:t>
      </w:r>
    </w:p>
    <w:p w14:paraId="5BEB476F">
      <w:pPr>
        <w:pStyle w:val="6"/>
        <w:numPr>
          <w:ilvl w:val="3"/>
          <w:numId w:val="0"/>
        </w:numPr>
        <w:bidi w:val="0"/>
        <w:ind w:leftChars="0"/>
        <w:rPr>
          <w:rFonts w:hint="eastAsia" w:ascii="仿宋" w:hAnsi="仿宋" w:eastAsia="仿宋" w:cs="仿宋"/>
          <w:sz w:val="24"/>
          <w:szCs w:val="24"/>
        </w:rPr>
      </w:pPr>
      <w:bookmarkStart w:id="322" w:name="_Toc32013"/>
      <w:bookmarkStart w:id="323" w:name="_Toc9644"/>
      <w:bookmarkStart w:id="324" w:name="_Toc27244"/>
      <w:bookmarkStart w:id="325" w:name="_Toc2980"/>
      <w:bookmarkStart w:id="326" w:name="_Toc17414"/>
      <w:bookmarkStart w:id="327" w:name="_Toc28954"/>
      <w:bookmarkStart w:id="328" w:name="_Toc19040"/>
      <w:r>
        <w:rPr>
          <w:rFonts w:hint="eastAsia" w:ascii="仿宋" w:hAnsi="仿宋" w:eastAsia="仿宋" w:cs="仿宋"/>
          <w:sz w:val="24"/>
          <w:szCs w:val="24"/>
          <w:lang w:val="en-US" w:eastAsia="zh-CN"/>
        </w:rPr>
        <w:t>2.1.6.2、</w:t>
      </w:r>
      <w:r>
        <w:rPr>
          <w:rFonts w:hint="eastAsia" w:ascii="仿宋" w:hAnsi="仿宋" w:eastAsia="仿宋" w:cs="仿宋"/>
          <w:sz w:val="24"/>
          <w:szCs w:val="24"/>
        </w:rPr>
        <w:t>条件检索</w:t>
      </w:r>
      <w:bookmarkEnd w:id="322"/>
      <w:bookmarkEnd w:id="323"/>
      <w:bookmarkEnd w:id="324"/>
      <w:bookmarkEnd w:id="325"/>
      <w:bookmarkEnd w:id="326"/>
      <w:bookmarkEnd w:id="327"/>
      <w:bookmarkEnd w:id="328"/>
    </w:p>
    <w:p w14:paraId="4D6DA28E">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档案检索支持按照不同的条件进行检索，可按照不同的时间进行检索。</w:t>
      </w:r>
    </w:p>
    <w:p w14:paraId="49B51225">
      <w:pPr>
        <w:pStyle w:val="6"/>
        <w:numPr>
          <w:ilvl w:val="3"/>
          <w:numId w:val="0"/>
        </w:numPr>
        <w:bidi w:val="0"/>
        <w:ind w:leftChars="0"/>
        <w:rPr>
          <w:rFonts w:hint="eastAsia" w:ascii="仿宋" w:hAnsi="仿宋" w:eastAsia="仿宋" w:cs="仿宋"/>
          <w:sz w:val="24"/>
          <w:szCs w:val="24"/>
        </w:rPr>
      </w:pPr>
      <w:bookmarkStart w:id="329" w:name="_Toc3454"/>
      <w:bookmarkStart w:id="330" w:name="_Toc641"/>
      <w:bookmarkStart w:id="331" w:name="_Toc7743"/>
      <w:bookmarkStart w:id="332" w:name="_Toc31241"/>
      <w:bookmarkStart w:id="333" w:name="_Toc13551"/>
      <w:bookmarkStart w:id="334" w:name="_Toc32127"/>
      <w:bookmarkStart w:id="335" w:name="_Toc30518"/>
      <w:r>
        <w:rPr>
          <w:rFonts w:hint="eastAsia" w:ascii="仿宋" w:hAnsi="仿宋" w:eastAsia="仿宋" w:cs="仿宋"/>
          <w:sz w:val="24"/>
          <w:szCs w:val="24"/>
          <w:lang w:val="en-US" w:eastAsia="zh-CN"/>
        </w:rPr>
        <w:t>2.1.6.3、</w:t>
      </w:r>
      <w:r>
        <w:rPr>
          <w:rFonts w:hint="eastAsia" w:ascii="仿宋" w:hAnsi="仿宋" w:eastAsia="仿宋" w:cs="仿宋"/>
          <w:sz w:val="24"/>
          <w:szCs w:val="24"/>
        </w:rPr>
        <w:t>范围检索</w:t>
      </w:r>
      <w:bookmarkEnd w:id="329"/>
      <w:bookmarkEnd w:id="330"/>
      <w:bookmarkEnd w:id="331"/>
      <w:bookmarkEnd w:id="332"/>
      <w:bookmarkEnd w:id="333"/>
      <w:bookmarkEnd w:id="334"/>
      <w:bookmarkEnd w:id="335"/>
    </w:p>
    <w:p w14:paraId="614B6013">
      <w:pPr>
        <w:ind w:firstLine="480" w:firstLineChars="200"/>
        <w:rPr>
          <w:rFonts w:hint="eastAsia" w:ascii="仿宋" w:hAnsi="仿宋" w:eastAsia="仿宋" w:cs="仿宋"/>
          <w:sz w:val="24"/>
          <w:szCs w:val="24"/>
        </w:rPr>
      </w:pPr>
      <w:r>
        <w:rPr>
          <w:rFonts w:hint="eastAsia" w:ascii="仿宋" w:hAnsi="仿宋" w:eastAsia="仿宋" w:cs="仿宋"/>
          <w:sz w:val="24"/>
          <w:szCs w:val="24"/>
        </w:rPr>
        <w:t>档案检索支持按照不懂的检索范围进行检索，可对档案标题、内容或其他类型进行检索。</w:t>
      </w:r>
    </w:p>
    <w:p w14:paraId="535B20DF">
      <w:pPr>
        <w:rPr>
          <w:rFonts w:hint="eastAsia" w:ascii="仿宋" w:hAnsi="仿宋" w:eastAsia="仿宋" w:cs="仿宋"/>
          <w:sz w:val="24"/>
          <w:szCs w:val="24"/>
        </w:rPr>
      </w:pPr>
    </w:p>
    <w:p w14:paraId="35D9827D">
      <w:pPr>
        <w:pStyle w:val="5"/>
        <w:tabs>
          <w:tab w:val="left" w:pos="0"/>
        </w:tabs>
        <w:bidi w:val="0"/>
        <w:rPr>
          <w:rFonts w:hint="eastAsia" w:ascii="仿宋" w:hAnsi="仿宋" w:eastAsia="仿宋" w:cs="仿宋"/>
          <w:sz w:val="24"/>
          <w:szCs w:val="24"/>
        </w:rPr>
      </w:pPr>
      <w:bookmarkStart w:id="336" w:name="_Toc6157"/>
      <w:bookmarkStart w:id="337" w:name="_Toc8997"/>
      <w:bookmarkStart w:id="338" w:name="_Toc22349"/>
      <w:bookmarkStart w:id="339" w:name="_Toc5882"/>
      <w:bookmarkStart w:id="340" w:name="_Toc14611"/>
      <w:bookmarkStart w:id="341" w:name="_Toc66191824"/>
      <w:bookmarkStart w:id="342" w:name="_Toc32139"/>
      <w:bookmarkStart w:id="343" w:name="_Toc13016"/>
      <w:bookmarkStart w:id="344" w:name="_Toc1065"/>
      <w:r>
        <w:rPr>
          <w:rFonts w:hint="eastAsia" w:ascii="仿宋" w:hAnsi="仿宋" w:eastAsia="仿宋" w:cs="仿宋"/>
          <w:sz w:val="24"/>
          <w:szCs w:val="24"/>
          <w:lang w:val="en-US" w:eastAsia="zh-CN"/>
        </w:rPr>
        <w:t>2.1.7、</w:t>
      </w:r>
      <w:r>
        <w:rPr>
          <w:rFonts w:hint="eastAsia" w:ascii="仿宋" w:hAnsi="仿宋" w:eastAsia="仿宋" w:cs="仿宋"/>
          <w:sz w:val="24"/>
          <w:szCs w:val="24"/>
        </w:rPr>
        <w:t>档案处置</w:t>
      </w:r>
      <w:bookmarkEnd w:id="336"/>
      <w:bookmarkEnd w:id="337"/>
      <w:bookmarkEnd w:id="338"/>
      <w:bookmarkEnd w:id="339"/>
      <w:bookmarkEnd w:id="340"/>
      <w:bookmarkEnd w:id="341"/>
      <w:bookmarkEnd w:id="342"/>
      <w:bookmarkEnd w:id="343"/>
      <w:bookmarkEnd w:id="344"/>
    </w:p>
    <w:p w14:paraId="3CF830BB">
      <w:pPr>
        <w:ind w:firstLine="480" w:firstLineChars="200"/>
        <w:rPr>
          <w:rFonts w:hint="eastAsia" w:ascii="仿宋" w:hAnsi="仿宋" w:eastAsia="仿宋" w:cs="仿宋"/>
          <w:sz w:val="24"/>
          <w:szCs w:val="24"/>
        </w:rPr>
      </w:pPr>
      <w:r>
        <w:rPr>
          <w:rFonts w:hint="eastAsia" w:ascii="仿宋" w:hAnsi="仿宋" w:eastAsia="仿宋" w:cs="仿宋"/>
          <w:sz w:val="24"/>
          <w:szCs w:val="24"/>
        </w:rPr>
        <w:t>档案处置主要包括：档案销毁、档案回收、档案续存和档案移交。档案销毁使用标记销毁和彻底销毁两种方式，标记销毁能通过档案回收找回，到期档案能进行档案续存。</w:t>
      </w:r>
    </w:p>
    <w:p w14:paraId="65FDFBC4">
      <w:pPr>
        <w:pStyle w:val="6"/>
        <w:numPr>
          <w:ilvl w:val="3"/>
          <w:numId w:val="0"/>
        </w:numPr>
        <w:bidi w:val="0"/>
        <w:ind w:leftChars="0"/>
        <w:rPr>
          <w:rFonts w:hint="eastAsia" w:ascii="仿宋" w:hAnsi="仿宋" w:eastAsia="仿宋" w:cs="仿宋"/>
          <w:sz w:val="24"/>
          <w:szCs w:val="24"/>
        </w:rPr>
      </w:pPr>
      <w:bookmarkStart w:id="345" w:name="_Toc8546"/>
      <w:bookmarkStart w:id="346" w:name="_Toc7337"/>
      <w:bookmarkStart w:id="347" w:name="_Toc14697"/>
      <w:bookmarkStart w:id="348" w:name="_Toc9919"/>
      <w:bookmarkStart w:id="349" w:name="_Toc13668"/>
      <w:bookmarkStart w:id="350" w:name="_Toc26672"/>
      <w:bookmarkStart w:id="351" w:name="_Toc5545"/>
      <w:bookmarkStart w:id="352" w:name="_Toc66191825"/>
      <w:r>
        <w:rPr>
          <w:rFonts w:hint="eastAsia" w:ascii="仿宋" w:hAnsi="仿宋" w:eastAsia="仿宋" w:cs="仿宋"/>
          <w:sz w:val="24"/>
          <w:szCs w:val="24"/>
          <w:lang w:val="en-US" w:eastAsia="zh-CN"/>
        </w:rPr>
        <w:t>2.1.7.1、</w:t>
      </w:r>
      <w:r>
        <w:rPr>
          <w:rFonts w:hint="eastAsia" w:ascii="仿宋" w:hAnsi="仿宋" w:eastAsia="仿宋" w:cs="仿宋"/>
          <w:sz w:val="24"/>
          <w:szCs w:val="24"/>
        </w:rPr>
        <w:t>档案销毁</w:t>
      </w:r>
      <w:bookmarkEnd w:id="345"/>
      <w:bookmarkEnd w:id="346"/>
      <w:bookmarkEnd w:id="347"/>
      <w:bookmarkEnd w:id="348"/>
      <w:bookmarkEnd w:id="349"/>
      <w:bookmarkEnd w:id="350"/>
      <w:bookmarkEnd w:id="351"/>
      <w:bookmarkEnd w:id="352"/>
    </w:p>
    <w:p w14:paraId="51ECFA68">
      <w:pPr>
        <w:pStyle w:val="6"/>
        <w:numPr>
          <w:ilvl w:val="3"/>
          <w:numId w:val="0"/>
        </w:numPr>
        <w:bidi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2.1.7.1.1、</w:t>
      </w:r>
      <w:r>
        <w:rPr>
          <w:rFonts w:hint="eastAsia" w:ascii="仿宋" w:hAnsi="仿宋" w:eastAsia="仿宋" w:cs="仿宋"/>
          <w:sz w:val="24"/>
          <w:szCs w:val="24"/>
        </w:rPr>
        <w:t>档案自动销毁</w:t>
      </w:r>
    </w:p>
    <w:p w14:paraId="14CC25DE">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管理员可自行设置档案处置规则，设置“档案到期自动销毁”。对设置“自动续存”的档案，保管期限到期后，系统自动提交销毁申请，审核通过后进行销毁。</w:t>
      </w:r>
    </w:p>
    <w:p w14:paraId="68BE586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2.1.7.1.2、</w:t>
      </w:r>
      <w:r>
        <w:rPr>
          <w:rFonts w:hint="eastAsia" w:ascii="仿宋" w:hAnsi="仿宋" w:eastAsia="仿宋" w:cs="仿宋"/>
          <w:sz w:val="24"/>
          <w:szCs w:val="24"/>
        </w:rPr>
        <w:t>新增销毁申请</w:t>
      </w:r>
    </w:p>
    <w:p w14:paraId="419C2BCE">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档案归档审核或变更归档审核的档案信息，系统支持档案管理员对相应档案的销毁功能，销毁的档案会限制其借阅操作。档案销毁类型分为标记销毁和彻底销毁，标记销毁的档案可在进行档案回收，回收后可重新进行借阅操作；彻底销毁的档案则无法进行档案回收，档案彻底被销毁。</w:t>
      </w:r>
    </w:p>
    <w:p w14:paraId="77A86AA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2.1.7.1.3、</w:t>
      </w:r>
      <w:r>
        <w:rPr>
          <w:rFonts w:hint="eastAsia" w:ascii="仿宋" w:hAnsi="仿宋" w:eastAsia="仿宋" w:cs="仿宋"/>
          <w:sz w:val="24"/>
          <w:szCs w:val="24"/>
        </w:rPr>
        <w:t>删除销毁申请</w:t>
      </w:r>
    </w:p>
    <w:p w14:paraId="01C1952E">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档案管理员者能够删除已发出的申请信息记录并重新发起销毁申请，提交档案领导审核。</w:t>
      </w:r>
    </w:p>
    <w:p w14:paraId="0F78E7B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2.1.7.1.4、</w:t>
      </w:r>
      <w:r>
        <w:rPr>
          <w:rFonts w:hint="eastAsia" w:ascii="仿宋" w:hAnsi="仿宋" w:eastAsia="仿宋" w:cs="仿宋"/>
          <w:sz w:val="24"/>
          <w:szCs w:val="24"/>
        </w:rPr>
        <w:t>档案销毁审核</w:t>
      </w:r>
    </w:p>
    <w:p w14:paraId="0DAF80C2">
      <w:pPr>
        <w:ind w:firstLine="480" w:firstLineChars="200"/>
        <w:rPr>
          <w:rFonts w:hint="eastAsia" w:ascii="仿宋" w:hAnsi="仿宋" w:eastAsia="仿宋" w:cs="仿宋"/>
          <w:sz w:val="24"/>
          <w:szCs w:val="24"/>
        </w:rPr>
      </w:pPr>
      <w:bookmarkStart w:id="353" w:name="_Hlk51161453"/>
      <w:r>
        <w:rPr>
          <w:rFonts w:hint="eastAsia" w:ascii="仿宋" w:hAnsi="仿宋" w:eastAsia="仿宋" w:cs="仿宋"/>
          <w:sz w:val="24"/>
          <w:szCs w:val="24"/>
        </w:rPr>
        <w:t>档案管理员提交销毁申请后，由档案领导进行审核，审核通过后完成档案销毁操作，不通过则将销毁申请退还给档案借阅管理员者，由档案管理员重新申请。</w:t>
      </w:r>
    </w:p>
    <w:bookmarkEnd w:id="353"/>
    <w:p w14:paraId="5E241A26">
      <w:pPr>
        <w:pStyle w:val="6"/>
        <w:numPr>
          <w:ilvl w:val="3"/>
          <w:numId w:val="0"/>
        </w:numPr>
        <w:bidi w:val="0"/>
        <w:rPr>
          <w:rFonts w:hint="eastAsia" w:ascii="仿宋" w:hAnsi="仿宋" w:eastAsia="仿宋" w:cs="仿宋"/>
          <w:sz w:val="24"/>
          <w:szCs w:val="24"/>
        </w:rPr>
      </w:pPr>
      <w:bookmarkStart w:id="354" w:name="_Toc25110"/>
      <w:bookmarkStart w:id="355" w:name="_Toc66191826"/>
      <w:bookmarkStart w:id="356" w:name="_Toc32167"/>
      <w:bookmarkStart w:id="357" w:name="_Toc23691"/>
      <w:bookmarkStart w:id="358" w:name="_Toc23802"/>
      <w:bookmarkStart w:id="359" w:name="_Toc1688"/>
      <w:bookmarkStart w:id="360" w:name="_Toc17263"/>
      <w:bookmarkStart w:id="361" w:name="_Toc3935"/>
      <w:r>
        <w:rPr>
          <w:rFonts w:hint="eastAsia" w:ascii="仿宋" w:hAnsi="仿宋" w:eastAsia="仿宋" w:cs="仿宋"/>
          <w:sz w:val="24"/>
          <w:szCs w:val="24"/>
          <w:lang w:val="en-US" w:eastAsia="zh-CN"/>
        </w:rPr>
        <w:t>2.1.7.2、</w:t>
      </w:r>
      <w:r>
        <w:rPr>
          <w:rFonts w:hint="eastAsia" w:ascii="仿宋" w:hAnsi="仿宋" w:eastAsia="仿宋" w:cs="仿宋"/>
          <w:sz w:val="24"/>
          <w:szCs w:val="24"/>
        </w:rPr>
        <w:t>档案回收</w:t>
      </w:r>
      <w:bookmarkEnd w:id="354"/>
      <w:bookmarkEnd w:id="355"/>
      <w:bookmarkEnd w:id="356"/>
      <w:bookmarkEnd w:id="357"/>
      <w:bookmarkEnd w:id="358"/>
      <w:bookmarkEnd w:id="359"/>
      <w:bookmarkEnd w:id="360"/>
      <w:bookmarkEnd w:id="361"/>
    </w:p>
    <w:p w14:paraId="2D03F6E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2.1.7.2.1、</w:t>
      </w:r>
      <w:r>
        <w:rPr>
          <w:rFonts w:hint="eastAsia" w:ascii="仿宋" w:hAnsi="仿宋" w:eastAsia="仿宋" w:cs="仿宋"/>
          <w:sz w:val="24"/>
          <w:szCs w:val="24"/>
        </w:rPr>
        <w:t>新增回收申请</w:t>
      </w:r>
    </w:p>
    <w:p w14:paraId="001F01C3">
      <w:pPr>
        <w:ind w:firstLine="480" w:firstLineChars="200"/>
        <w:rPr>
          <w:rFonts w:hint="eastAsia" w:ascii="仿宋" w:hAnsi="仿宋" w:eastAsia="仿宋" w:cs="仿宋"/>
          <w:sz w:val="24"/>
          <w:szCs w:val="24"/>
        </w:rPr>
      </w:pPr>
      <w:r>
        <w:rPr>
          <w:rFonts w:hint="eastAsia" w:ascii="仿宋" w:hAnsi="仿宋" w:eastAsia="仿宋" w:cs="仿宋"/>
          <w:sz w:val="24"/>
          <w:szCs w:val="24"/>
        </w:rPr>
        <w:t>对于被销毁的档案，若档案销毁类型为标记销毁，可对被销毁档案进行回收，档案回收可分为还原和销毁两类。档案管理员选择需要回收的档案信息，填写档案回收理由后提交档案领导审核。</w:t>
      </w:r>
    </w:p>
    <w:p w14:paraId="48A9AB7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2.1.7.2.2、</w:t>
      </w:r>
      <w:r>
        <w:rPr>
          <w:rFonts w:hint="eastAsia" w:ascii="仿宋" w:hAnsi="仿宋" w:eastAsia="仿宋" w:cs="仿宋"/>
          <w:sz w:val="24"/>
          <w:szCs w:val="24"/>
        </w:rPr>
        <w:t>删除回收申请</w:t>
      </w:r>
    </w:p>
    <w:p w14:paraId="54ECBA9F">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档案管理员能够删除已发出的申请信息记录并重新发起回收申请，提交档案领导审核。</w:t>
      </w:r>
    </w:p>
    <w:p w14:paraId="2E2CB5EC">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2.1.7.2.3、</w:t>
      </w:r>
      <w:r>
        <w:rPr>
          <w:rFonts w:hint="eastAsia" w:ascii="仿宋" w:hAnsi="仿宋" w:eastAsia="仿宋" w:cs="仿宋"/>
          <w:sz w:val="24"/>
          <w:szCs w:val="24"/>
        </w:rPr>
        <w:t>档案回收审核</w:t>
      </w:r>
    </w:p>
    <w:p w14:paraId="1521CFC8">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档案管理员提交回收申请后，由档案领导进行审核，审核通过后完成档案回收操作，不通过则将回收申请退还给档案借阅管理员者，由档案管理员重新申请。</w:t>
      </w:r>
    </w:p>
    <w:p w14:paraId="005BFA5E">
      <w:pPr>
        <w:pStyle w:val="6"/>
        <w:numPr>
          <w:ilvl w:val="3"/>
          <w:numId w:val="0"/>
        </w:numPr>
        <w:bidi w:val="0"/>
        <w:rPr>
          <w:rFonts w:hint="eastAsia" w:ascii="仿宋" w:hAnsi="仿宋" w:eastAsia="仿宋" w:cs="仿宋"/>
          <w:sz w:val="24"/>
          <w:szCs w:val="24"/>
        </w:rPr>
      </w:pPr>
      <w:bookmarkStart w:id="362" w:name="_Toc31951"/>
      <w:bookmarkStart w:id="363" w:name="_Toc9058"/>
      <w:bookmarkStart w:id="364" w:name="_Toc66191827"/>
      <w:bookmarkStart w:id="365" w:name="_Toc2490"/>
      <w:bookmarkStart w:id="366" w:name="_Toc21446"/>
      <w:bookmarkStart w:id="367" w:name="_Toc14338"/>
      <w:bookmarkStart w:id="368" w:name="_Toc19068"/>
      <w:bookmarkStart w:id="369" w:name="_Toc5285"/>
      <w:r>
        <w:rPr>
          <w:rFonts w:hint="eastAsia" w:ascii="仿宋" w:hAnsi="仿宋" w:eastAsia="仿宋" w:cs="仿宋"/>
          <w:sz w:val="24"/>
          <w:szCs w:val="24"/>
          <w:lang w:val="en-US" w:eastAsia="zh-CN"/>
        </w:rPr>
        <w:t>2.1.7.3、</w:t>
      </w:r>
      <w:r>
        <w:rPr>
          <w:rFonts w:hint="eastAsia" w:ascii="仿宋" w:hAnsi="仿宋" w:eastAsia="仿宋" w:cs="仿宋"/>
          <w:sz w:val="24"/>
          <w:szCs w:val="24"/>
        </w:rPr>
        <w:t>档案续存</w:t>
      </w:r>
      <w:bookmarkEnd w:id="362"/>
      <w:bookmarkEnd w:id="363"/>
      <w:bookmarkEnd w:id="364"/>
      <w:bookmarkEnd w:id="365"/>
      <w:bookmarkEnd w:id="366"/>
      <w:bookmarkEnd w:id="367"/>
      <w:bookmarkEnd w:id="368"/>
      <w:bookmarkEnd w:id="369"/>
    </w:p>
    <w:p w14:paraId="24778B5B">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2.1.7.3.1、</w:t>
      </w:r>
      <w:r>
        <w:rPr>
          <w:rFonts w:hint="eastAsia" w:ascii="仿宋" w:hAnsi="仿宋" w:eastAsia="仿宋" w:cs="仿宋"/>
          <w:sz w:val="24"/>
          <w:szCs w:val="24"/>
        </w:rPr>
        <w:t>档案自动续存</w:t>
      </w:r>
    </w:p>
    <w:p w14:paraId="683DBD60">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管理员可自行设置档案处置规则，设置“档案到期自动续存”。设置成功后，对设置“自动续存”的档案，保管期限到期后，系统自动执行续期操作。</w:t>
      </w:r>
    </w:p>
    <w:p w14:paraId="54162B6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2.1.7.3.2、</w:t>
      </w:r>
      <w:r>
        <w:rPr>
          <w:rFonts w:hint="eastAsia" w:ascii="仿宋" w:hAnsi="仿宋" w:eastAsia="仿宋" w:cs="仿宋"/>
          <w:sz w:val="24"/>
          <w:szCs w:val="24"/>
        </w:rPr>
        <w:t>新增续存申请</w:t>
      </w:r>
    </w:p>
    <w:p w14:paraId="3D3747C9">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对于到期、超期但没有被销毁的档案，可执行续存操作。档案管理员选择需要续存的档案信息，填写续存期限后提交领导审核。</w:t>
      </w:r>
    </w:p>
    <w:p w14:paraId="33A3672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2.1.7.3.3、</w:t>
      </w:r>
      <w:r>
        <w:rPr>
          <w:rFonts w:hint="eastAsia" w:ascii="仿宋" w:hAnsi="仿宋" w:eastAsia="仿宋" w:cs="仿宋"/>
          <w:sz w:val="24"/>
          <w:szCs w:val="24"/>
        </w:rPr>
        <w:t>删除续存申请</w:t>
      </w:r>
    </w:p>
    <w:p w14:paraId="3E47998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档案管理员者能够删除已发出的申请信息记录并重新发起续存申请，提交领导审核。</w:t>
      </w:r>
    </w:p>
    <w:p w14:paraId="69412300">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2.1.7.3.4、</w:t>
      </w:r>
      <w:r>
        <w:rPr>
          <w:rFonts w:hint="eastAsia" w:ascii="仿宋" w:hAnsi="仿宋" w:eastAsia="仿宋" w:cs="仿宋"/>
          <w:sz w:val="24"/>
          <w:szCs w:val="24"/>
        </w:rPr>
        <w:t>档案续存审核</w:t>
      </w:r>
    </w:p>
    <w:p w14:paraId="0F8756C1">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档案管理员提交续存申请后，由档案领导进行审核，审核通过后完成档案续存操作，不通过则将续存申请退还给档案借阅管理员者，由档案管理员重新申请。</w:t>
      </w:r>
    </w:p>
    <w:p w14:paraId="1443E125">
      <w:pPr>
        <w:pStyle w:val="6"/>
        <w:numPr>
          <w:ilvl w:val="3"/>
          <w:numId w:val="0"/>
        </w:numPr>
        <w:bidi w:val="0"/>
        <w:rPr>
          <w:rFonts w:hint="eastAsia" w:ascii="仿宋" w:hAnsi="仿宋" w:eastAsia="仿宋" w:cs="仿宋"/>
          <w:sz w:val="24"/>
          <w:szCs w:val="24"/>
        </w:rPr>
      </w:pPr>
      <w:bookmarkStart w:id="370" w:name="_Toc11785"/>
      <w:bookmarkStart w:id="371" w:name="_Toc32099"/>
      <w:bookmarkStart w:id="372" w:name="_Toc66191828"/>
      <w:bookmarkStart w:id="373" w:name="_Toc30585"/>
      <w:bookmarkStart w:id="374" w:name="_Toc22488"/>
      <w:bookmarkStart w:id="375" w:name="_Toc30731"/>
      <w:bookmarkStart w:id="376" w:name="_Toc8990"/>
      <w:bookmarkStart w:id="377" w:name="_Toc19526"/>
      <w:r>
        <w:rPr>
          <w:rFonts w:hint="eastAsia" w:ascii="仿宋" w:hAnsi="仿宋" w:eastAsia="仿宋" w:cs="仿宋"/>
          <w:sz w:val="24"/>
          <w:szCs w:val="24"/>
          <w:lang w:val="en-US" w:eastAsia="zh-CN"/>
        </w:rPr>
        <w:t>2.1.7.4、</w:t>
      </w:r>
      <w:r>
        <w:rPr>
          <w:rFonts w:hint="eastAsia" w:ascii="仿宋" w:hAnsi="仿宋" w:eastAsia="仿宋" w:cs="仿宋"/>
          <w:sz w:val="24"/>
          <w:szCs w:val="24"/>
        </w:rPr>
        <w:t>档案移交</w:t>
      </w:r>
      <w:bookmarkEnd w:id="370"/>
      <w:bookmarkEnd w:id="371"/>
      <w:bookmarkEnd w:id="372"/>
      <w:bookmarkEnd w:id="373"/>
      <w:bookmarkEnd w:id="374"/>
      <w:bookmarkEnd w:id="375"/>
      <w:bookmarkEnd w:id="376"/>
      <w:bookmarkEnd w:id="377"/>
    </w:p>
    <w:p w14:paraId="1AD37618">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2.1.7.4.1、</w:t>
      </w:r>
      <w:r>
        <w:rPr>
          <w:rFonts w:hint="eastAsia" w:ascii="仿宋" w:hAnsi="仿宋" w:eastAsia="仿宋" w:cs="仿宋"/>
          <w:sz w:val="24"/>
          <w:szCs w:val="24"/>
        </w:rPr>
        <w:t>档案自动移交</w:t>
      </w:r>
    </w:p>
    <w:p w14:paraId="04682C0F">
      <w:pPr>
        <w:ind w:firstLine="480" w:firstLineChars="200"/>
        <w:rPr>
          <w:rFonts w:hint="eastAsia" w:ascii="仿宋" w:hAnsi="仿宋" w:eastAsia="仿宋" w:cs="仿宋"/>
          <w:sz w:val="24"/>
          <w:szCs w:val="24"/>
        </w:rPr>
      </w:pPr>
      <w:r>
        <w:rPr>
          <w:rFonts w:hint="eastAsia" w:ascii="仿宋" w:hAnsi="仿宋" w:eastAsia="仿宋" w:cs="仿宋"/>
          <w:sz w:val="24"/>
          <w:szCs w:val="24"/>
        </w:rPr>
        <w:t>管理员可自行设置档案处置规则，设置“档案到期自动移交”。设置成功后，对设置“自动移交”的档案，保管期限到期后，系统自动发起该档案的移交申请，请求领导审核。</w:t>
      </w:r>
    </w:p>
    <w:p w14:paraId="1B6566D6">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2.1.7.4.2、</w:t>
      </w:r>
      <w:r>
        <w:rPr>
          <w:rFonts w:hint="eastAsia" w:ascii="仿宋" w:hAnsi="仿宋" w:eastAsia="仿宋" w:cs="仿宋"/>
          <w:sz w:val="24"/>
          <w:szCs w:val="24"/>
        </w:rPr>
        <w:t>新增移交申请</w:t>
      </w:r>
    </w:p>
    <w:p w14:paraId="4F6722D8">
      <w:pPr>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对于到期、超期但没有被销毁的档案，可执行移交操作。档案管理员能够选择需要移交的档案信息，填写移交地点后提交领导审核。</w:t>
      </w:r>
    </w:p>
    <w:p w14:paraId="2A189543">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2.1.7.4.3、</w:t>
      </w:r>
      <w:r>
        <w:rPr>
          <w:rFonts w:hint="eastAsia" w:ascii="仿宋" w:hAnsi="仿宋" w:eastAsia="仿宋" w:cs="仿宋"/>
          <w:sz w:val="24"/>
          <w:szCs w:val="24"/>
        </w:rPr>
        <w:t>删除移交申请</w:t>
      </w:r>
    </w:p>
    <w:p w14:paraId="6DDABC30">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档案管理员者能够删除已发出的申请信息记录并重新发起移交申请，提交领导审核。</w:t>
      </w:r>
    </w:p>
    <w:p w14:paraId="28A6439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2.1.7.4.4、</w:t>
      </w:r>
      <w:r>
        <w:rPr>
          <w:rFonts w:hint="eastAsia" w:ascii="仿宋" w:hAnsi="仿宋" w:eastAsia="仿宋" w:cs="仿宋"/>
          <w:sz w:val="24"/>
          <w:szCs w:val="24"/>
        </w:rPr>
        <w:t>档案移交审核</w:t>
      </w:r>
    </w:p>
    <w:p w14:paraId="794D843A">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档案管理员提交移交申请后，由档案领导进行审核，审核通过后完成档案移交操作，不通过则将移交申请退还给档案借阅管理员者，由档案管理员重新申请。</w:t>
      </w:r>
    </w:p>
    <w:p w14:paraId="12147C44">
      <w:pPr>
        <w:widowControl/>
        <w:rPr>
          <w:rFonts w:hint="eastAsia" w:ascii="仿宋" w:hAnsi="仿宋" w:eastAsia="仿宋" w:cs="仿宋"/>
          <w:color w:val="000000"/>
          <w:sz w:val="24"/>
          <w:szCs w:val="24"/>
        </w:rPr>
      </w:pPr>
      <w:bookmarkStart w:id="378" w:name="_Toc1430"/>
      <w:bookmarkStart w:id="379" w:name="_Toc66191829"/>
      <w:bookmarkStart w:id="380" w:name="_Toc25849"/>
      <w:bookmarkStart w:id="381" w:name="_Toc11706"/>
      <w:bookmarkStart w:id="382" w:name="_Toc1909"/>
      <w:bookmarkStart w:id="383" w:name="_Toc23184"/>
      <w:bookmarkStart w:id="384" w:name="_Toc26712"/>
      <w:r>
        <w:rPr>
          <w:rFonts w:hint="eastAsia" w:ascii="仿宋" w:hAnsi="仿宋" w:eastAsia="仿宋" w:cs="仿宋"/>
          <w:color w:val="000000"/>
          <w:sz w:val="24"/>
          <w:szCs w:val="24"/>
        </w:rPr>
        <w:t>档案元数据在档案归档时自动生成，默认已XML格式进行保存并与档案一起保存，在档案移交时需要将档案元数据一起进行交易，在元数据移交之前需对元数据进行EEP封装，系统支持对元数据进行批量封装功能，完成后导出对应的EEP文件。</w:t>
      </w:r>
    </w:p>
    <w:p w14:paraId="4A4035B8">
      <w:pPr>
        <w:pStyle w:val="5"/>
        <w:tabs>
          <w:tab w:val="left" w:pos="0"/>
        </w:tabs>
        <w:bidi w:val="0"/>
        <w:rPr>
          <w:rFonts w:hint="eastAsia" w:ascii="仿宋" w:hAnsi="仿宋" w:eastAsia="仿宋" w:cs="仿宋"/>
          <w:sz w:val="24"/>
          <w:szCs w:val="24"/>
        </w:rPr>
      </w:pPr>
      <w:bookmarkStart w:id="385" w:name="_Toc2163"/>
      <w:bookmarkStart w:id="386" w:name="_Toc15393"/>
      <w:r>
        <w:rPr>
          <w:rFonts w:hint="eastAsia" w:ascii="仿宋" w:hAnsi="仿宋" w:eastAsia="仿宋" w:cs="仿宋"/>
          <w:sz w:val="24"/>
          <w:szCs w:val="24"/>
          <w:lang w:val="en-US" w:eastAsia="zh-CN"/>
        </w:rPr>
        <w:t>2.1.8、</w:t>
      </w:r>
      <w:r>
        <w:rPr>
          <w:rFonts w:hint="eastAsia" w:ascii="仿宋" w:hAnsi="仿宋" w:eastAsia="仿宋" w:cs="仿宋"/>
          <w:sz w:val="24"/>
          <w:szCs w:val="24"/>
        </w:rPr>
        <w:t>档案统计</w:t>
      </w:r>
      <w:bookmarkEnd w:id="378"/>
      <w:bookmarkEnd w:id="379"/>
      <w:bookmarkEnd w:id="380"/>
      <w:r>
        <w:rPr>
          <w:rFonts w:hint="eastAsia" w:ascii="仿宋" w:hAnsi="仿宋" w:eastAsia="仿宋" w:cs="仿宋"/>
          <w:sz w:val="24"/>
          <w:szCs w:val="24"/>
        </w:rPr>
        <w:t>管理</w:t>
      </w:r>
      <w:bookmarkEnd w:id="381"/>
      <w:bookmarkEnd w:id="382"/>
      <w:bookmarkEnd w:id="383"/>
      <w:bookmarkEnd w:id="384"/>
      <w:bookmarkEnd w:id="385"/>
      <w:bookmarkEnd w:id="386"/>
    </w:p>
    <w:p w14:paraId="019FF841">
      <w:pPr>
        <w:widowControl/>
        <w:ind w:firstLine="480" w:firstLineChars="200"/>
        <w:rPr>
          <w:rFonts w:hint="eastAsia" w:ascii="仿宋" w:hAnsi="仿宋" w:eastAsia="仿宋" w:cs="仿宋"/>
          <w:sz w:val="24"/>
          <w:szCs w:val="24"/>
        </w:rPr>
      </w:pPr>
      <w:r>
        <w:rPr>
          <w:rFonts w:hint="eastAsia" w:ascii="仿宋" w:hAnsi="仿宋" w:eastAsia="仿宋" w:cs="仿宋"/>
          <w:sz w:val="24"/>
          <w:szCs w:val="24"/>
        </w:rPr>
        <w:t>档案统计主要包括：归档信息、借阅信息、下载信息和档案信息和可视化档案统计界面。</w:t>
      </w:r>
    </w:p>
    <w:p w14:paraId="2D247EB1">
      <w:pPr>
        <w:pStyle w:val="6"/>
        <w:numPr>
          <w:ilvl w:val="3"/>
          <w:numId w:val="0"/>
        </w:numPr>
        <w:bidi w:val="0"/>
        <w:rPr>
          <w:rFonts w:hint="eastAsia" w:ascii="仿宋" w:hAnsi="仿宋" w:eastAsia="仿宋" w:cs="仿宋"/>
          <w:sz w:val="24"/>
          <w:szCs w:val="24"/>
        </w:rPr>
      </w:pPr>
      <w:bookmarkStart w:id="387" w:name="_Toc3810"/>
      <w:bookmarkStart w:id="388" w:name="_Toc66191830"/>
      <w:bookmarkStart w:id="389" w:name="_Toc23287"/>
      <w:bookmarkStart w:id="390" w:name="_Toc14925"/>
      <w:bookmarkStart w:id="391" w:name="_Toc23563"/>
      <w:bookmarkStart w:id="392" w:name="_Toc25583"/>
      <w:bookmarkStart w:id="393" w:name="_Toc13648"/>
      <w:bookmarkStart w:id="394" w:name="_Toc20717"/>
      <w:r>
        <w:rPr>
          <w:rFonts w:hint="eastAsia" w:ascii="仿宋" w:hAnsi="仿宋" w:eastAsia="仿宋" w:cs="仿宋"/>
          <w:sz w:val="24"/>
          <w:szCs w:val="24"/>
          <w:lang w:val="en-US" w:eastAsia="zh-CN"/>
        </w:rPr>
        <w:t>2.1.8.1、</w:t>
      </w:r>
      <w:r>
        <w:rPr>
          <w:rFonts w:hint="eastAsia" w:ascii="仿宋" w:hAnsi="仿宋" w:eastAsia="仿宋" w:cs="仿宋"/>
          <w:sz w:val="24"/>
          <w:szCs w:val="24"/>
        </w:rPr>
        <w:t>归档信息</w:t>
      </w:r>
      <w:bookmarkEnd w:id="387"/>
      <w:bookmarkEnd w:id="388"/>
      <w:bookmarkEnd w:id="389"/>
      <w:r>
        <w:rPr>
          <w:rFonts w:hint="eastAsia" w:ascii="仿宋" w:hAnsi="仿宋" w:eastAsia="仿宋" w:cs="仿宋"/>
          <w:sz w:val="24"/>
          <w:szCs w:val="24"/>
        </w:rPr>
        <w:t>统计</w:t>
      </w:r>
      <w:bookmarkEnd w:id="390"/>
      <w:bookmarkEnd w:id="391"/>
      <w:bookmarkEnd w:id="392"/>
      <w:bookmarkEnd w:id="393"/>
      <w:bookmarkEnd w:id="394"/>
    </w:p>
    <w:p w14:paraId="22A200C4">
      <w:pPr>
        <w:ind w:firstLine="480" w:firstLineChars="200"/>
        <w:rPr>
          <w:rFonts w:hint="eastAsia" w:ascii="仿宋" w:hAnsi="仿宋" w:eastAsia="仿宋" w:cs="仿宋"/>
          <w:sz w:val="24"/>
          <w:szCs w:val="24"/>
        </w:rPr>
      </w:pPr>
      <w:r>
        <w:rPr>
          <w:rFonts w:hint="eastAsia" w:ascii="仿宋" w:hAnsi="仿宋" w:eastAsia="仿宋" w:cs="仿宋"/>
          <w:sz w:val="24"/>
          <w:szCs w:val="24"/>
        </w:rPr>
        <w:t>在电子档案通过归档审批或变更归档审批后，系统可统计对应天数内的电子档案归档情况，显示电子档案归档数目。</w:t>
      </w:r>
    </w:p>
    <w:p w14:paraId="32CE6CFA">
      <w:pPr>
        <w:pStyle w:val="6"/>
        <w:numPr>
          <w:ilvl w:val="3"/>
          <w:numId w:val="0"/>
        </w:numPr>
        <w:bidi w:val="0"/>
        <w:rPr>
          <w:rFonts w:hint="eastAsia" w:ascii="仿宋" w:hAnsi="仿宋" w:eastAsia="仿宋" w:cs="仿宋"/>
          <w:sz w:val="24"/>
          <w:szCs w:val="24"/>
        </w:rPr>
      </w:pPr>
      <w:bookmarkStart w:id="395" w:name="_Toc25480"/>
      <w:bookmarkStart w:id="396" w:name="_Toc18292"/>
      <w:bookmarkStart w:id="397" w:name="_Toc66191831"/>
      <w:bookmarkStart w:id="398" w:name="_Toc25102"/>
      <w:bookmarkStart w:id="399" w:name="_Toc28110"/>
      <w:bookmarkStart w:id="400" w:name="_Toc14508"/>
      <w:bookmarkStart w:id="401" w:name="_Toc25064"/>
      <w:bookmarkStart w:id="402" w:name="_Toc24720"/>
      <w:r>
        <w:rPr>
          <w:rFonts w:hint="eastAsia" w:ascii="仿宋" w:hAnsi="仿宋" w:eastAsia="仿宋" w:cs="仿宋"/>
          <w:sz w:val="24"/>
          <w:szCs w:val="24"/>
          <w:lang w:val="en-US" w:eastAsia="zh-CN"/>
        </w:rPr>
        <w:t>2.1.8.2、</w:t>
      </w:r>
      <w:r>
        <w:rPr>
          <w:rFonts w:hint="eastAsia" w:ascii="仿宋" w:hAnsi="仿宋" w:eastAsia="仿宋" w:cs="仿宋"/>
          <w:sz w:val="24"/>
          <w:szCs w:val="24"/>
        </w:rPr>
        <w:t>借阅信息</w:t>
      </w:r>
      <w:bookmarkEnd w:id="395"/>
      <w:bookmarkEnd w:id="396"/>
      <w:bookmarkEnd w:id="397"/>
      <w:r>
        <w:rPr>
          <w:rFonts w:hint="eastAsia" w:ascii="仿宋" w:hAnsi="仿宋" w:eastAsia="仿宋" w:cs="仿宋"/>
          <w:sz w:val="24"/>
          <w:szCs w:val="24"/>
        </w:rPr>
        <w:t>统计</w:t>
      </w:r>
      <w:bookmarkEnd w:id="398"/>
      <w:bookmarkEnd w:id="399"/>
      <w:bookmarkEnd w:id="400"/>
      <w:bookmarkEnd w:id="401"/>
      <w:bookmarkEnd w:id="402"/>
    </w:p>
    <w:p w14:paraId="3F2C1DC4">
      <w:pPr>
        <w:ind w:firstLine="480" w:firstLineChars="200"/>
        <w:rPr>
          <w:rFonts w:hint="eastAsia" w:ascii="仿宋" w:hAnsi="仿宋" w:eastAsia="仿宋" w:cs="仿宋"/>
          <w:sz w:val="24"/>
          <w:szCs w:val="24"/>
        </w:rPr>
      </w:pPr>
      <w:r>
        <w:rPr>
          <w:rFonts w:hint="eastAsia" w:ascii="仿宋" w:hAnsi="仿宋" w:eastAsia="仿宋" w:cs="仿宋"/>
          <w:sz w:val="24"/>
          <w:szCs w:val="24"/>
        </w:rPr>
        <w:t>对于</w:t>
      </w:r>
      <w:r>
        <w:rPr>
          <w:rFonts w:hint="eastAsia" w:ascii="仿宋" w:hAnsi="仿宋" w:eastAsia="仿宋" w:cs="仿宋"/>
          <w:bCs/>
          <w:color w:val="000000"/>
          <w:sz w:val="24"/>
          <w:szCs w:val="24"/>
        </w:rPr>
        <w:t>已借阅或借调的档案信息，系统统计对应天数内的电子档案借阅/借调次数统计。档案管理员能够按照天数查看电子档案借阅/借调次数统计情况。</w:t>
      </w:r>
    </w:p>
    <w:p w14:paraId="7ED7C9E8">
      <w:pPr>
        <w:pStyle w:val="6"/>
        <w:numPr>
          <w:ilvl w:val="3"/>
          <w:numId w:val="0"/>
        </w:numPr>
        <w:bidi w:val="0"/>
        <w:rPr>
          <w:rFonts w:hint="eastAsia" w:ascii="仿宋" w:hAnsi="仿宋" w:eastAsia="仿宋" w:cs="仿宋"/>
          <w:sz w:val="24"/>
          <w:szCs w:val="24"/>
        </w:rPr>
      </w:pPr>
      <w:bookmarkStart w:id="403" w:name="_Toc28263"/>
      <w:bookmarkStart w:id="404" w:name="_Toc66191832"/>
      <w:bookmarkStart w:id="405" w:name="_Toc13389"/>
      <w:bookmarkStart w:id="406" w:name="_Toc8620"/>
      <w:bookmarkStart w:id="407" w:name="_Toc11281"/>
      <w:bookmarkStart w:id="408" w:name="_Toc11703"/>
      <w:bookmarkStart w:id="409" w:name="_Toc16314"/>
      <w:bookmarkStart w:id="410" w:name="_Toc13563"/>
      <w:r>
        <w:rPr>
          <w:rFonts w:hint="eastAsia" w:ascii="仿宋" w:hAnsi="仿宋" w:eastAsia="仿宋" w:cs="仿宋"/>
          <w:sz w:val="24"/>
          <w:szCs w:val="24"/>
          <w:lang w:val="en-US" w:eastAsia="zh-CN"/>
        </w:rPr>
        <w:t>2.1.8.3、</w:t>
      </w:r>
      <w:r>
        <w:rPr>
          <w:rFonts w:hint="eastAsia" w:ascii="仿宋" w:hAnsi="仿宋" w:eastAsia="仿宋" w:cs="仿宋"/>
          <w:sz w:val="24"/>
          <w:szCs w:val="24"/>
        </w:rPr>
        <w:t>下载信息</w:t>
      </w:r>
      <w:bookmarkEnd w:id="403"/>
      <w:bookmarkEnd w:id="404"/>
      <w:bookmarkEnd w:id="405"/>
      <w:r>
        <w:rPr>
          <w:rFonts w:hint="eastAsia" w:ascii="仿宋" w:hAnsi="仿宋" w:eastAsia="仿宋" w:cs="仿宋"/>
          <w:sz w:val="24"/>
          <w:szCs w:val="24"/>
        </w:rPr>
        <w:t>统计</w:t>
      </w:r>
      <w:bookmarkEnd w:id="406"/>
      <w:bookmarkEnd w:id="407"/>
      <w:bookmarkEnd w:id="408"/>
      <w:bookmarkEnd w:id="409"/>
      <w:bookmarkEnd w:id="410"/>
    </w:p>
    <w:p w14:paraId="3B480C10">
      <w:pPr>
        <w:ind w:firstLine="480" w:firstLineChars="200"/>
        <w:rPr>
          <w:rFonts w:hint="eastAsia" w:ascii="仿宋" w:hAnsi="仿宋" w:eastAsia="仿宋" w:cs="仿宋"/>
          <w:sz w:val="24"/>
          <w:szCs w:val="24"/>
        </w:rPr>
      </w:pPr>
      <w:r>
        <w:rPr>
          <w:rFonts w:hint="eastAsia" w:ascii="仿宋" w:hAnsi="仿宋" w:eastAsia="仿宋" w:cs="仿宋"/>
          <w:sz w:val="24"/>
          <w:szCs w:val="24"/>
        </w:rPr>
        <w:t>系统统计一年内电子档案下载次数，展示一年内电子档案下载量，默认显示当前月份开始往前一年（12个月）每个月的电子档案下载次数，档案管理员可按照档号、题名进行条件搜索，查看</w:t>
      </w:r>
      <w:r>
        <w:rPr>
          <w:rFonts w:hint="eastAsia" w:ascii="仿宋" w:hAnsi="仿宋" w:eastAsia="仿宋" w:cs="仿宋"/>
          <w:color w:val="000000"/>
          <w:sz w:val="24"/>
          <w:szCs w:val="24"/>
        </w:rPr>
        <w:t>一年内每个月的电子档案下载次数。</w:t>
      </w:r>
    </w:p>
    <w:p w14:paraId="3758B2B9">
      <w:pPr>
        <w:pStyle w:val="6"/>
        <w:numPr>
          <w:ilvl w:val="3"/>
          <w:numId w:val="0"/>
        </w:numPr>
        <w:bidi w:val="0"/>
        <w:rPr>
          <w:rFonts w:hint="eastAsia" w:ascii="仿宋" w:hAnsi="仿宋" w:eastAsia="仿宋" w:cs="仿宋"/>
          <w:sz w:val="24"/>
          <w:szCs w:val="24"/>
        </w:rPr>
      </w:pPr>
      <w:bookmarkStart w:id="411" w:name="_Toc19734"/>
      <w:bookmarkStart w:id="412" w:name="_Toc2810"/>
      <w:bookmarkStart w:id="413" w:name="_Toc17513"/>
      <w:bookmarkStart w:id="414" w:name="_Toc66191833"/>
      <w:bookmarkStart w:id="415" w:name="_Toc11845"/>
      <w:bookmarkStart w:id="416" w:name="_Toc10551"/>
      <w:bookmarkStart w:id="417" w:name="_Toc20883"/>
      <w:bookmarkStart w:id="418" w:name="_Toc29572"/>
      <w:r>
        <w:rPr>
          <w:rFonts w:hint="eastAsia" w:ascii="仿宋" w:hAnsi="仿宋" w:eastAsia="仿宋" w:cs="仿宋"/>
          <w:sz w:val="24"/>
          <w:szCs w:val="24"/>
          <w:lang w:val="en-US" w:eastAsia="zh-CN"/>
        </w:rPr>
        <w:t>2.1.8.4、</w:t>
      </w:r>
      <w:r>
        <w:rPr>
          <w:rFonts w:hint="eastAsia" w:ascii="仿宋" w:hAnsi="仿宋" w:eastAsia="仿宋" w:cs="仿宋"/>
          <w:sz w:val="24"/>
          <w:szCs w:val="24"/>
        </w:rPr>
        <w:t>档案数量统计</w:t>
      </w:r>
      <w:bookmarkEnd w:id="411"/>
      <w:bookmarkEnd w:id="412"/>
      <w:bookmarkEnd w:id="413"/>
      <w:bookmarkEnd w:id="414"/>
      <w:bookmarkEnd w:id="415"/>
      <w:bookmarkEnd w:id="416"/>
      <w:bookmarkEnd w:id="417"/>
      <w:bookmarkEnd w:id="418"/>
    </w:p>
    <w:p w14:paraId="043ADE46">
      <w:pPr>
        <w:ind w:firstLine="480" w:firstLineChars="200"/>
        <w:rPr>
          <w:rFonts w:hint="eastAsia" w:ascii="仿宋" w:hAnsi="仿宋" w:eastAsia="仿宋" w:cs="仿宋"/>
          <w:sz w:val="24"/>
          <w:szCs w:val="24"/>
        </w:rPr>
      </w:pPr>
      <w:r>
        <w:rPr>
          <w:rFonts w:hint="eastAsia" w:ascii="仿宋" w:hAnsi="仿宋" w:eastAsia="仿宋" w:cs="仿宋"/>
          <w:sz w:val="24"/>
          <w:szCs w:val="24"/>
        </w:rPr>
        <w:t>对于通过归档审批或变更归档审批的电子档案，可按照年度、密级、管理期限三种统计方式统计电子档案归档的数量，如统计方式选择管理期限，则显示管理期限归档统计的饼状图。管理员可通过选择需要展示的信息内容来生成图表，展示具体数量和所占比例。</w:t>
      </w:r>
    </w:p>
    <w:p w14:paraId="018F4218">
      <w:pPr>
        <w:pStyle w:val="6"/>
        <w:numPr>
          <w:ilvl w:val="3"/>
          <w:numId w:val="0"/>
        </w:numPr>
        <w:bidi w:val="0"/>
        <w:rPr>
          <w:rFonts w:hint="eastAsia" w:ascii="仿宋" w:hAnsi="仿宋" w:eastAsia="仿宋" w:cs="仿宋"/>
          <w:sz w:val="24"/>
          <w:szCs w:val="24"/>
        </w:rPr>
      </w:pPr>
      <w:bookmarkStart w:id="419" w:name="_Toc3214"/>
      <w:bookmarkStart w:id="420" w:name="_Toc21473"/>
      <w:bookmarkStart w:id="421" w:name="_Toc4497"/>
      <w:bookmarkStart w:id="422" w:name="_Toc24110"/>
      <w:bookmarkStart w:id="423" w:name="_Toc17466"/>
      <w:bookmarkStart w:id="424" w:name="_Toc31994"/>
      <w:bookmarkStart w:id="425" w:name="_Toc15999"/>
      <w:r>
        <w:rPr>
          <w:rFonts w:hint="eastAsia" w:ascii="仿宋" w:hAnsi="仿宋" w:eastAsia="仿宋" w:cs="仿宋"/>
          <w:sz w:val="24"/>
          <w:szCs w:val="24"/>
          <w:lang w:val="en-US" w:eastAsia="zh-CN"/>
        </w:rPr>
        <w:t>2.1.8.5、</w:t>
      </w:r>
      <w:r>
        <w:rPr>
          <w:rFonts w:hint="eastAsia" w:ascii="仿宋" w:hAnsi="仿宋" w:eastAsia="仿宋" w:cs="仿宋"/>
          <w:sz w:val="24"/>
          <w:szCs w:val="24"/>
        </w:rPr>
        <w:t>档案统计展示</w:t>
      </w:r>
      <w:bookmarkEnd w:id="419"/>
      <w:bookmarkEnd w:id="420"/>
      <w:bookmarkEnd w:id="421"/>
      <w:bookmarkEnd w:id="422"/>
      <w:bookmarkEnd w:id="423"/>
      <w:bookmarkEnd w:id="424"/>
      <w:bookmarkEnd w:id="425"/>
    </w:p>
    <w:p w14:paraId="4F097278">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通过可视化界面展示</w:t>
      </w:r>
      <w:r>
        <w:rPr>
          <w:rFonts w:hint="eastAsia" w:ascii="仿宋" w:hAnsi="仿宋" w:eastAsia="仿宋" w:cs="仿宋"/>
          <w:color w:val="000000"/>
          <w:sz w:val="24"/>
          <w:szCs w:val="24"/>
        </w:rPr>
        <w:t>交易业务数据统计、档案归档统计、档案年限统计、档案借阅统计、档案下载统计</w:t>
      </w:r>
      <w:r>
        <w:rPr>
          <w:rFonts w:hint="eastAsia" w:ascii="仿宋" w:hAnsi="仿宋" w:eastAsia="仿宋" w:cs="仿宋"/>
          <w:sz w:val="24"/>
          <w:szCs w:val="24"/>
        </w:rPr>
        <w:t>各类信息资源使用情况及分类统计展示。</w:t>
      </w:r>
    </w:p>
    <w:p w14:paraId="0F2310DF">
      <w:pPr>
        <w:pStyle w:val="6"/>
        <w:numPr>
          <w:ilvl w:val="3"/>
          <w:numId w:val="0"/>
        </w:numPr>
        <w:bidi w:val="0"/>
        <w:rPr>
          <w:rFonts w:hint="eastAsia" w:ascii="仿宋" w:hAnsi="仿宋" w:eastAsia="仿宋" w:cs="仿宋"/>
          <w:sz w:val="24"/>
          <w:szCs w:val="24"/>
        </w:rPr>
      </w:pPr>
      <w:bookmarkStart w:id="426" w:name="_Toc15869"/>
      <w:bookmarkStart w:id="427" w:name="_Toc29044"/>
      <w:bookmarkStart w:id="428" w:name="_Toc12614"/>
      <w:bookmarkStart w:id="429" w:name="_Toc4520"/>
      <w:bookmarkStart w:id="430" w:name="_Toc14585"/>
      <w:r>
        <w:rPr>
          <w:rFonts w:hint="eastAsia" w:ascii="仿宋" w:hAnsi="仿宋" w:eastAsia="仿宋" w:cs="仿宋"/>
          <w:sz w:val="24"/>
          <w:szCs w:val="24"/>
          <w:lang w:val="en-US" w:eastAsia="zh-CN"/>
        </w:rPr>
        <w:t>2.1.8.6、</w:t>
      </w:r>
      <w:r>
        <w:rPr>
          <w:rFonts w:hint="eastAsia" w:ascii="仿宋" w:hAnsi="仿宋" w:eastAsia="仿宋" w:cs="仿宋"/>
          <w:sz w:val="24"/>
          <w:szCs w:val="24"/>
        </w:rPr>
        <w:t>统计报表管理</w:t>
      </w:r>
      <w:bookmarkEnd w:id="426"/>
      <w:bookmarkEnd w:id="427"/>
      <w:bookmarkEnd w:id="428"/>
      <w:bookmarkEnd w:id="429"/>
      <w:bookmarkEnd w:id="430"/>
    </w:p>
    <w:p w14:paraId="5A3B7CF1">
      <w:pPr>
        <w:pStyle w:val="7"/>
        <w:rPr>
          <w:rFonts w:hint="eastAsia" w:ascii="仿宋" w:hAnsi="仿宋" w:eastAsia="仿宋" w:cs="仿宋"/>
          <w:sz w:val="24"/>
          <w:szCs w:val="24"/>
        </w:rPr>
      </w:pPr>
      <w:r>
        <w:rPr>
          <w:rFonts w:hint="eastAsia" w:ascii="仿宋" w:hAnsi="仿宋" w:eastAsia="仿宋" w:cs="仿宋"/>
          <w:sz w:val="24"/>
          <w:szCs w:val="24"/>
        </w:rPr>
        <w:t>可提供相关报表模板，辅助快速生成档案统计报表，并支持自定义报表功能。</w:t>
      </w:r>
    </w:p>
    <w:p w14:paraId="7324A1F4">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2.1.8.6.1、</w:t>
      </w:r>
      <w:r>
        <w:rPr>
          <w:rFonts w:hint="eastAsia" w:ascii="仿宋" w:hAnsi="仿宋" w:eastAsia="仿宋" w:cs="仿宋"/>
          <w:sz w:val="24"/>
          <w:szCs w:val="24"/>
        </w:rPr>
        <w:t>报表生成</w:t>
      </w:r>
    </w:p>
    <w:p w14:paraId="2D569F1F">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系统支持备灵活制作、生成电子档案各类统计报表的功能，报表工具支持与多种类型数据库管理系统的连接，灵活生成跨数据库表的统计信息，按照年度、人员、数量、保管期限进行对比排列和可视化呈现。</w:t>
      </w:r>
    </w:p>
    <w:p w14:paraId="70B3FFF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2.1.8.6.2、</w:t>
      </w:r>
      <w:r>
        <w:rPr>
          <w:rFonts w:hint="eastAsia" w:ascii="仿宋" w:hAnsi="仿宋" w:eastAsia="仿宋" w:cs="仿宋"/>
          <w:sz w:val="24"/>
          <w:szCs w:val="24"/>
        </w:rPr>
        <w:t>报表模板</w:t>
      </w:r>
    </w:p>
    <w:p w14:paraId="1DCFF400">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定义规范性报表模板，包括本档案机构使用的月度或年度统计报表模板、移交上级档案机构的月度或年度统计报表模板、档案机构之间信息交换与共享的报表模板，根据模板可快速生成报表，便捷管理员操作。</w:t>
      </w:r>
    </w:p>
    <w:p w14:paraId="11E968D5">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2.1.8.6.3、</w:t>
      </w:r>
      <w:r>
        <w:rPr>
          <w:rFonts w:hint="eastAsia" w:ascii="仿宋" w:hAnsi="仿宋" w:eastAsia="仿宋" w:cs="仿宋"/>
          <w:sz w:val="24"/>
          <w:szCs w:val="24"/>
        </w:rPr>
        <w:t>自定义报表</w:t>
      </w:r>
    </w:p>
    <w:p w14:paraId="7AB67029">
      <w:pPr>
        <w:ind w:firstLine="480" w:firstLineChars="200"/>
        <w:rPr>
          <w:rFonts w:hint="eastAsia" w:ascii="仿宋" w:hAnsi="仿宋" w:eastAsia="仿宋" w:cs="仿宋"/>
          <w:sz w:val="24"/>
          <w:szCs w:val="24"/>
        </w:rPr>
      </w:pPr>
      <w:r>
        <w:rPr>
          <w:rFonts w:hint="eastAsia" w:ascii="仿宋" w:hAnsi="仿宋" w:eastAsia="仿宋" w:cs="仿宋"/>
          <w:sz w:val="24"/>
          <w:szCs w:val="24"/>
        </w:rPr>
        <w:t>系统支持自定义各类报表的功能，可自定义生成简单报表、分组报表、复合报表，满足不同人员的多样需求。</w:t>
      </w:r>
    </w:p>
    <w:p w14:paraId="1021384F">
      <w:pPr>
        <w:pStyle w:val="5"/>
        <w:tabs>
          <w:tab w:val="left" w:pos="0"/>
        </w:tabs>
        <w:bidi w:val="0"/>
        <w:rPr>
          <w:rFonts w:hint="eastAsia" w:ascii="仿宋" w:hAnsi="仿宋" w:eastAsia="仿宋" w:cs="仿宋"/>
          <w:sz w:val="24"/>
          <w:szCs w:val="24"/>
        </w:rPr>
      </w:pPr>
      <w:bookmarkStart w:id="431" w:name="_Toc12472867"/>
      <w:bookmarkEnd w:id="431"/>
      <w:bookmarkStart w:id="432" w:name="_Toc12472866"/>
      <w:bookmarkEnd w:id="432"/>
      <w:bookmarkStart w:id="433" w:name="_Toc13145862"/>
      <w:bookmarkEnd w:id="433"/>
      <w:bookmarkStart w:id="434" w:name="_Toc12472865"/>
      <w:bookmarkEnd w:id="434"/>
      <w:bookmarkStart w:id="435" w:name="_Toc13145860"/>
      <w:bookmarkEnd w:id="435"/>
      <w:bookmarkStart w:id="436" w:name="_Toc13145866"/>
      <w:bookmarkEnd w:id="436"/>
      <w:bookmarkStart w:id="437" w:name="_Toc12472870"/>
      <w:bookmarkEnd w:id="437"/>
      <w:bookmarkStart w:id="438" w:name="_Toc13145863"/>
      <w:bookmarkEnd w:id="438"/>
      <w:bookmarkStart w:id="439" w:name="_Toc12472869"/>
      <w:bookmarkEnd w:id="439"/>
      <w:bookmarkStart w:id="440" w:name="_Toc12472868"/>
      <w:bookmarkEnd w:id="440"/>
      <w:bookmarkStart w:id="441" w:name="_Toc13145861"/>
      <w:bookmarkEnd w:id="441"/>
      <w:bookmarkStart w:id="442" w:name="_Toc12472863"/>
      <w:bookmarkEnd w:id="442"/>
      <w:bookmarkStart w:id="443" w:name="_Toc13145869"/>
      <w:bookmarkEnd w:id="443"/>
      <w:bookmarkStart w:id="444" w:name="_Toc13145868"/>
      <w:bookmarkEnd w:id="444"/>
      <w:bookmarkStart w:id="445" w:name="_Toc13145864"/>
      <w:bookmarkEnd w:id="445"/>
      <w:bookmarkStart w:id="446" w:name="_Toc12472872"/>
      <w:bookmarkEnd w:id="446"/>
      <w:bookmarkStart w:id="447" w:name="_Toc12472864"/>
      <w:bookmarkEnd w:id="447"/>
      <w:bookmarkStart w:id="448" w:name="_Toc13145865"/>
      <w:bookmarkEnd w:id="448"/>
      <w:bookmarkStart w:id="449" w:name="_Toc13145867"/>
      <w:bookmarkEnd w:id="449"/>
      <w:bookmarkStart w:id="450" w:name="_Toc12472871"/>
      <w:bookmarkEnd w:id="450"/>
      <w:bookmarkStart w:id="451" w:name="_Toc66191839"/>
      <w:bookmarkStart w:id="452" w:name="_Toc2083"/>
      <w:bookmarkStart w:id="453" w:name="_Toc20265"/>
      <w:bookmarkStart w:id="454" w:name="_Toc4971"/>
      <w:bookmarkStart w:id="455" w:name="_Toc28838"/>
      <w:bookmarkStart w:id="456" w:name="_Toc19064"/>
      <w:bookmarkStart w:id="457" w:name="_Toc9715"/>
      <w:bookmarkStart w:id="458" w:name="_Toc3799"/>
      <w:bookmarkStart w:id="459" w:name="_Toc4534"/>
      <w:r>
        <w:rPr>
          <w:rFonts w:hint="eastAsia" w:ascii="仿宋" w:hAnsi="仿宋" w:eastAsia="仿宋" w:cs="仿宋"/>
          <w:sz w:val="24"/>
          <w:szCs w:val="24"/>
          <w:lang w:val="en-US" w:eastAsia="zh-CN"/>
        </w:rPr>
        <w:t>2.1.9、</w:t>
      </w:r>
      <w:r>
        <w:rPr>
          <w:rFonts w:hint="eastAsia" w:ascii="仿宋" w:hAnsi="仿宋" w:eastAsia="仿宋" w:cs="仿宋"/>
          <w:sz w:val="24"/>
          <w:szCs w:val="24"/>
        </w:rPr>
        <w:t>后台管理</w:t>
      </w:r>
      <w:bookmarkEnd w:id="451"/>
      <w:bookmarkEnd w:id="452"/>
      <w:bookmarkEnd w:id="453"/>
      <w:bookmarkEnd w:id="454"/>
      <w:bookmarkEnd w:id="455"/>
      <w:bookmarkEnd w:id="456"/>
      <w:bookmarkEnd w:id="457"/>
      <w:bookmarkEnd w:id="458"/>
      <w:bookmarkEnd w:id="459"/>
    </w:p>
    <w:p w14:paraId="042F29F3">
      <w:pPr>
        <w:ind w:firstLine="480" w:firstLineChars="200"/>
        <w:rPr>
          <w:rFonts w:hint="eastAsia" w:ascii="仿宋" w:hAnsi="仿宋" w:eastAsia="仿宋" w:cs="仿宋"/>
          <w:sz w:val="24"/>
          <w:szCs w:val="24"/>
        </w:rPr>
      </w:pPr>
      <w:r>
        <w:rPr>
          <w:rFonts w:hint="eastAsia" w:ascii="仿宋" w:hAnsi="仿宋" w:eastAsia="仿宋" w:cs="仿宋"/>
          <w:sz w:val="24"/>
          <w:szCs w:val="24"/>
        </w:rPr>
        <w:t>档案管理员可以通过电子档案管理系统完成系统后台的电子档案保存检查、水印管理、日志管理、权限管理、元数据管理、系统配置工作。</w:t>
      </w:r>
    </w:p>
    <w:p w14:paraId="6AEF3081">
      <w:pPr>
        <w:pStyle w:val="6"/>
        <w:numPr>
          <w:ilvl w:val="3"/>
          <w:numId w:val="0"/>
        </w:numPr>
        <w:bidi w:val="0"/>
        <w:rPr>
          <w:rFonts w:hint="eastAsia" w:ascii="仿宋" w:hAnsi="仿宋" w:eastAsia="仿宋" w:cs="仿宋"/>
          <w:sz w:val="24"/>
          <w:szCs w:val="24"/>
        </w:rPr>
      </w:pPr>
      <w:bookmarkStart w:id="460" w:name="_Toc9625"/>
      <w:bookmarkStart w:id="461" w:name="_Toc12297"/>
      <w:bookmarkStart w:id="462" w:name="_Toc14999"/>
      <w:bookmarkStart w:id="463" w:name="_Toc26144"/>
      <w:bookmarkStart w:id="464" w:name="_Toc32558"/>
      <w:bookmarkStart w:id="465" w:name="_Toc7385"/>
      <w:bookmarkStart w:id="466" w:name="_Toc25116"/>
      <w:r>
        <w:rPr>
          <w:rFonts w:hint="eastAsia" w:ascii="仿宋" w:hAnsi="仿宋" w:eastAsia="仿宋" w:cs="仿宋"/>
          <w:sz w:val="24"/>
          <w:szCs w:val="24"/>
          <w:lang w:val="en-US" w:eastAsia="zh-CN"/>
        </w:rPr>
        <w:t>2.1.9.1、</w:t>
      </w:r>
      <w:r>
        <w:rPr>
          <w:rFonts w:hint="eastAsia" w:ascii="仿宋" w:hAnsi="仿宋" w:eastAsia="仿宋" w:cs="仿宋"/>
          <w:sz w:val="24"/>
          <w:szCs w:val="24"/>
        </w:rPr>
        <w:t>日志管理</w:t>
      </w:r>
      <w:bookmarkEnd w:id="460"/>
      <w:bookmarkEnd w:id="461"/>
      <w:bookmarkEnd w:id="462"/>
      <w:bookmarkEnd w:id="463"/>
      <w:bookmarkEnd w:id="464"/>
      <w:bookmarkEnd w:id="465"/>
      <w:bookmarkEnd w:id="466"/>
    </w:p>
    <w:p w14:paraId="4BF24536">
      <w:pPr>
        <w:ind w:firstLine="480" w:firstLineChars="200"/>
        <w:rPr>
          <w:rFonts w:hint="eastAsia" w:ascii="仿宋" w:hAnsi="仿宋" w:eastAsia="仿宋" w:cs="仿宋"/>
          <w:sz w:val="24"/>
          <w:szCs w:val="24"/>
        </w:rPr>
      </w:pPr>
      <w:r>
        <w:rPr>
          <w:rFonts w:hint="eastAsia" w:ascii="仿宋" w:hAnsi="仿宋" w:eastAsia="仿宋" w:cs="仿宋"/>
          <w:sz w:val="24"/>
          <w:szCs w:val="24"/>
        </w:rPr>
        <w:t>提供日志管理，包括每个用户操作的每个动作，可被系统自动记录。对于系统定义的日志类型，不允许一般用户删除。整个站点要有日志管理来记录所有操作，做到有据可查，可以根据需要通过多种方式对记录的操作日志进行检索和查询，并进一步分析生成统计信息。</w:t>
      </w:r>
    </w:p>
    <w:p w14:paraId="37707899">
      <w:pPr>
        <w:pStyle w:val="6"/>
        <w:numPr>
          <w:ilvl w:val="3"/>
          <w:numId w:val="0"/>
        </w:numPr>
        <w:bidi w:val="0"/>
        <w:rPr>
          <w:rFonts w:hint="eastAsia" w:ascii="仿宋" w:hAnsi="仿宋" w:eastAsia="仿宋" w:cs="仿宋"/>
          <w:sz w:val="24"/>
          <w:szCs w:val="24"/>
        </w:rPr>
      </w:pPr>
      <w:bookmarkStart w:id="467" w:name="_Toc1861"/>
      <w:bookmarkStart w:id="468" w:name="_Toc10196"/>
      <w:bookmarkStart w:id="469" w:name="_Toc19518"/>
      <w:bookmarkStart w:id="470" w:name="_Toc15761"/>
      <w:bookmarkStart w:id="471" w:name="_Toc21035"/>
      <w:bookmarkStart w:id="472" w:name="_Toc29487"/>
      <w:bookmarkStart w:id="473" w:name="_Toc19075"/>
      <w:r>
        <w:rPr>
          <w:rFonts w:hint="eastAsia" w:ascii="仿宋" w:hAnsi="仿宋" w:eastAsia="仿宋" w:cs="仿宋"/>
          <w:sz w:val="24"/>
          <w:szCs w:val="24"/>
          <w:lang w:val="en-US" w:eastAsia="zh-CN"/>
        </w:rPr>
        <w:t>2.1.9.2、</w:t>
      </w:r>
      <w:r>
        <w:rPr>
          <w:rFonts w:hint="eastAsia" w:ascii="仿宋" w:hAnsi="仿宋" w:eastAsia="仿宋" w:cs="仿宋"/>
          <w:sz w:val="24"/>
          <w:szCs w:val="24"/>
        </w:rPr>
        <w:t>权限管理</w:t>
      </w:r>
      <w:bookmarkEnd w:id="467"/>
      <w:bookmarkEnd w:id="468"/>
      <w:bookmarkEnd w:id="469"/>
      <w:bookmarkEnd w:id="470"/>
      <w:bookmarkEnd w:id="471"/>
      <w:bookmarkEnd w:id="472"/>
      <w:bookmarkEnd w:id="473"/>
    </w:p>
    <w:p w14:paraId="1BF73F6E">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2.1.9.2.1、</w:t>
      </w:r>
      <w:r>
        <w:rPr>
          <w:rFonts w:hint="eastAsia" w:ascii="仿宋" w:hAnsi="仿宋" w:eastAsia="仿宋" w:cs="仿宋"/>
          <w:sz w:val="24"/>
          <w:szCs w:val="24"/>
        </w:rPr>
        <w:t>部门管理</w:t>
      </w:r>
    </w:p>
    <w:p w14:paraId="4BAD1C3E">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管理员通过“部门管理”模块，实现部门新增、部门修改、部门查看功能。</w:t>
      </w:r>
    </w:p>
    <w:p w14:paraId="5D147EAE">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2.1.9.2.2、</w:t>
      </w:r>
      <w:r>
        <w:rPr>
          <w:rFonts w:hint="eastAsia" w:ascii="仿宋" w:hAnsi="仿宋" w:eastAsia="仿宋" w:cs="仿宋"/>
          <w:sz w:val="24"/>
          <w:szCs w:val="24"/>
        </w:rPr>
        <w:t>用户管理</w:t>
      </w:r>
    </w:p>
    <w:p w14:paraId="04B64B19">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管理员通过“用户管理”模块，实现用户新增、用户删除、用户修改、权限修改、用户查询功能。</w:t>
      </w:r>
    </w:p>
    <w:p w14:paraId="68162E97">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2.1.9.2.3、</w:t>
      </w:r>
      <w:r>
        <w:rPr>
          <w:rFonts w:hint="eastAsia" w:ascii="仿宋" w:hAnsi="仿宋" w:eastAsia="仿宋" w:cs="仿宋"/>
          <w:sz w:val="24"/>
          <w:szCs w:val="24"/>
        </w:rPr>
        <w:t>角色管理</w:t>
      </w:r>
    </w:p>
    <w:p w14:paraId="775C1609">
      <w:pPr>
        <w:ind w:firstLine="480" w:firstLineChars="200"/>
        <w:rPr>
          <w:rFonts w:hint="eastAsia" w:ascii="仿宋" w:hAnsi="仿宋" w:eastAsia="仿宋" w:cs="仿宋"/>
          <w:sz w:val="24"/>
          <w:szCs w:val="24"/>
        </w:rPr>
      </w:pPr>
      <w:r>
        <w:rPr>
          <w:rFonts w:hint="eastAsia" w:ascii="仿宋" w:hAnsi="仿宋" w:eastAsia="仿宋" w:cs="仿宋"/>
          <w:sz w:val="24"/>
          <w:szCs w:val="24"/>
        </w:rPr>
        <w:t>管理员通过“角色管理”模块，实现角色类别新增、角色列表查看、角色授权功能。</w:t>
      </w:r>
    </w:p>
    <w:p w14:paraId="15C6711F">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2.1.9.2.4、</w:t>
      </w:r>
      <w:r>
        <w:rPr>
          <w:rFonts w:hint="eastAsia" w:ascii="仿宋" w:hAnsi="仿宋" w:eastAsia="仿宋" w:cs="仿宋"/>
          <w:sz w:val="24"/>
          <w:szCs w:val="24"/>
        </w:rPr>
        <w:t>模块管理</w:t>
      </w:r>
    </w:p>
    <w:p w14:paraId="2A83349F">
      <w:pPr>
        <w:ind w:firstLine="480" w:firstLineChars="200"/>
        <w:rPr>
          <w:rFonts w:hint="eastAsia" w:ascii="仿宋" w:hAnsi="仿宋" w:eastAsia="仿宋" w:cs="仿宋"/>
          <w:sz w:val="24"/>
          <w:szCs w:val="24"/>
        </w:rPr>
      </w:pPr>
      <w:r>
        <w:rPr>
          <w:rFonts w:hint="eastAsia" w:ascii="仿宋" w:hAnsi="仿宋" w:eastAsia="仿宋" w:cs="仿宋"/>
          <w:sz w:val="24"/>
          <w:szCs w:val="24"/>
        </w:rPr>
        <w:t>当前功能模块用来设置用户在本系统中允许拥有的角色操作权限。设置模块时，首先在模块栏目列表中选择进行设置的栏目，然后在右侧角色表格中进行具体设置。可对人员、部门、角色进行模块权限的配置，让具有不同角色的用户分别拥有各自对应的模块操作权限。</w:t>
      </w:r>
    </w:p>
    <w:p w14:paraId="1F59496A">
      <w:pPr>
        <w:pStyle w:val="6"/>
        <w:numPr>
          <w:ilvl w:val="3"/>
          <w:numId w:val="0"/>
        </w:numPr>
        <w:bidi w:val="0"/>
        <w:rPr>
          <w:rFonts w:hint="eastAsia" w:ascii="仿宋" w:hAnsi="仿宋" w:eastAsia="仿宋" w:cs="仿宋"/>
          <w:sz w:val="24"/>
          <w:szCs w:val="24"/>
        </w:rPr>
      </w:pPr>
      <w:bookmarkStart w:id="474" w:name="_Toc2906"/>
      <w:bookmarkStart w:id="475" w:name="_Toc10537"/>
      <w:bookmarkStart w:id="476" w:name="_Toc32314"/>
      <w:bookmarkStart w:id="477" w:name="_Toc14929"/>
      <w:bookmarkStart w:id="478" w:name="_Toc23801"/>
      <w:r>
        <w:rPr>
          <w:rFonts w:hint="eastAsia" w:ascii="仿宋" w:hAnsi="仿宋" w:eastAsia="仿宋" w:cs="仿宋"/>
          <w:sz w:val="24"/>
          <w:szCs w:val="24"/>
          <w:lang w:val="en-US" w:eastAsia="zh-CN"/>
        </w:rPr>
        <w:t>2.1.9.3、</w:t>
      </w:r>
      <w:r>
        <w:rPr>
          <w:rFonts w:hint="eastAsia" w:ascii="仿宋" w:hAnsi="仿宋" w:eastAsia="仿宋" w:cs="仿宋"/>
          <w:sz w:val="24"/>
          <w:szCs w:val="24"/>
        </w:rPr>
        <w:t>系统配置</w:t>
      </w:r>
      <w:bookmarkEnd w:id="474"/>
      <w:bookmarkEnd w:id="475"/>
      <w:bookmarkEnd w:id="476"/>
      <w:bookmarkEnd w:id="477"/>
      <w:bookmarkEnd w:id="478"/>
    </w:p>
    <w:p w14:paraId="7E70F319">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2.1.9.3.1、</w:t>
      </w:r>
      <w:r>
        <w:rPr>
          <w:rFonts w:hint="eastAsia" w:ascii="仿宋" w:hAnsi="仿宋" w:eastAsia="仿宋" w:cs="仿宋"/>
          <w:sz w:val="24"/>
          <w:szCs w:val="24"/>
        </w:rPr>
        <w:t>系统参数配置</w:t>
      </w:r>
    </w:p>
    <w:p w14:paraId="4950F5BA">
      <w:pPr>
        <w:ind w:firstLine="480" w:firstLineChars="200"/>
        <w:rPr>
          <w:rFonts w:hint="eastAsia" w:ascii="仿宋" w:hAnsi="仿宋" w:eastAsia="仿宋" w:cs="仿宋"/>
          <w:sz w:val="24"/>
          <w:szCs w:val="24"/>
        </w:rPr>
      </w:pPr>
      <w:r>
        <w:rPr>
          <w:rFonts w:hint="eastAsia" w:ascii="仿宋" w:hAnsi="仿宋" w:eastAsia="仿宋" w:cs="仿宋"/>
          <w:sz w:val="24"/>
          <w:szCs w:val="24"/>
        </w:rPr>
        <w:t>设置系统的一些基本参数，包括上传文件格式限制、敏感字。</w:t>
      </w:r>
    </w:p>
    <w:p w14:paraId="58E8C01A">
      <w:pPr>
        <w:pStyle w:val="8"/>
        <w:tabs>
          <w:tab w:val="left" w:pos="0"/>
        </w:tabs>
        <w:rPr>
          <w:rFonts w:hint="eastAsia" w:ascii="仿宋" w:hAnsi="仿宋" w:eastAsia="仿宋" w:cs="仿宋"/>
          <w:sz w:val="24"/>
          <w:szCs w:val="24"/>
        </w:rPr>
      </w:pPr>
      <w:r>
        <w:rPr>
          <w:rFonts w:hint="eastAsia" w:ascii="仿宋" w:hAnsi="仿宋" w:eastAsia="仿宋" w:cs="仿宋"/>
          <w:sz w:val="24"/>
          <w:szCs w:val="24"/>
          <w:lang w:val="en-US" w:eastAsia="zh-CN"/>
        </w:rPr>
        <w:t>2.1.9.3.2、</w:t>
      </w:r>
      <w:r>
        <w:rPr>
          <w:rFonts w:hint="eastAsia" w:ascii="仿宋" w:hAnsi="仿宋" w:eastAsia="仿宋" w:cs="仿宋"/>
          <w:sz w:val="24"/>
          <w:szCs w:val="24"/>
        </w:rPr>
        <w:t>流程配置</w:t>
      </w:r>
    </w:p>
    <w:p w14:paraId="607538BB">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系统支持用户根据自身需要，提供图形化的业务审批流程定义方案。可以快速地构建各种需要控制的流程，为电子档案管理各审批流程变更提供便利。</w:t>
      </w:r>
    </w:p>
    <w:p w14:paraId="6C8F32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lang w:eastAsia="zh-CN"/>
        </w:rPr>
      </w:pPr>
    </w:p>
    <w:p w14:paraId="2DEB6FBA">
      <w:pPr>
        <w:pStyle w:val="4"/>
        <w:bidi w:val="0"/>
        <w:jc w:val="both"/>
        <w:rPr>
          <w:rFonts w:hint="eastAsia" w:ascii="仿宋" w:hAnsi="仿宋" w:eastAsia="仿宋" w:cs="仿宋"/>
          <w:sz w:val="24"/>
          <w:szCs w:val="24"/>
          <w:lang w:val="en-US" w:eastAsia="zh-CN"/>
        </w:rPr>
      </w:pPr>
      <w:bookmarkStart w:id="479" w:name="_Toc2045"/>
      <w:bookmarkStart w:id="480" w:name="_Toc1240"/>
      <w:bookmarkStart w:id="481" w:name="_Toc1923"/>
      <w:bookmarkStart w:id="482" w:name="_Toc4424"/>
      <w:bookmarkStart w:id="483" w:name="_Toc32671"/>
      <w:r>
        <w:rPr>
          <w:rFonts w:hint="eastAsia" w:ascii="仿宋" w:hAnsi="仿宋" w:eastAsia="仿宋" w:cs="仿宋"/>
          <w:sz w:val="24"/>
          <w:szCs w:val="24"/>
          <w:lang w:val="en-US" w:eastAsia="zh-CN"/>
        </w:rPr>
        <w:t>2.2、电子档案系统信创体系适配</w:t>
      </w:r>
      <w:bookmarkEnd w:id="479"/>
      <w:bookmarkEnd w:id="480"/>
    </w:p>
    <w:p w14:paraId="0F236246">
      <w:pPr>
        <w:pStyle w:val="5"/>
        <w:bidi w:val="0"/>
        <w:rPr>
          <w:rFonts w:hint="eastAsia" w:ascii="仿宋" w:hAnsi="仿宋" w:eastAsia="仿宋" w:cs="仿宋"/>
          <w:sz w:val="24"/>
          <w:szCs w:val="24"/>
          <w:lang w:val="en-US" w:eastAsia="zh-CN"/>
        </w:rPr>
      </w:pPr>
      <w:bookmarkStart w:id="484" w:name="_Toc1667"/>
      <w:bookmarkStart w:id="485" w:name="_Toc5366"/>
      <w:bookmarkStart w:id="486" w:name="_Toc15687"/>
      <w:bookmarkStart w:id="487" w:name="_Toc11069"/>
      <w:r>
        <w:rPr>
          <w:rFonts w:hint="eastAsia" w:ascii="仿宋" w:hAnsi="仿宋" w:eastAsia="仿宋" w:cs="仿宋"/>
          <w:sz w:val="24"/>
          <w:szCs w:val="24"/>
          <w:lang w:val="en-US" w:eastAsia="zh-CN"/>
        </w:rPr>
        <w:t>2.2.1、国产化操作系统</w:t>
      </w:r>
      <w:bookmarkEnd w:id="484"/>
      <w:bookmarkEnd w:id="485"/>
      <w:r>
        <w:rPr>
          <w:rFonts w:hint="eastAsia" w:ascii="仿宋" w:hAnsi="仿宋" w:eastAsia="仿宋" w:cs="仿宋"/>
          <w:sz w:val="24"/>
          <w:szCs w:val="24"/>
          <w:lang w:val="en-US" w:eastAsia="zh-CN"/>
        </w:rPr>
        <w:t>适配</w:t>
      </w:r>
      <w:bookmarkEnd w:id="486"/>
      <w:bookmarkEnd w:id="487"/>
    </w:p>
    <w:p w14:paraId="7ABB3F4F">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原先服务器操作系统采用Windows和CentOS操作系统，本次将对服务器操作系统进行替代，采用国产化服务器操作系统。该系统针对关键业务和数据负载提供高可靠、易管理架构，提供中文化的操作系统环境和常用图形管理工具。支持多种安装方式，提供完善的系统服务和网络服务。同时，该系统集成了多种易用的编译器并支持众多开发语言，全面兼容国内外的软硬件厂商；在安全上进行了加强，确保关键应用能安全、可控、稳定地对外提供服务。</w:t>
      </w:r>
    </w:p>
    <w:p w14:paraId="55323A0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需要将部署在Windows服务器以及CentOS服务器上组件和代码全部替换和改写，使其可替代部署在国产化服务器操作系统上。</w:t>
      </w:r>
    </w:p>
    <w:p w14:paraId="40CE8FA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Tomcat替换为国产化中间件后，需要对部署的应用进行功能性测试，验证所有功能是否达到正常使用效果。此外，国产化中间件性能略逊于Tomcat，还需要进行性能测试做好性能评估。国产化中间件总体架构中含有内核及底层服务、构件容器、J2EE服务、界面/工具四大部分，其中国产化中间件的内核提供了底层的通信、线程、配置、时间、日志等核心功能，能够为公共资源电子档案管理系统提供良好的支撑。</w:t>
      </w:r>
      <w:bookmarkStart w:id="488" w:name="_Toc10791"/>
      <w:bookmarkStart w:id="489" w:name="_Toc1714"/>
      <w:bookmarkStart w:id="490" w:name="_Toc11715"/>
      <w:bookmarkStart w:id="491" w:name="_Toc25266"/>
    </w:p>
    <w:p w14:paraId="3B0ABE85">
      <w:pPr>
        <w:rPr>
          <w:rFonts w:hint="eastAsia" w:ascii="仿宋" w:hAnsi="仿宋" w:eastAsia="仿宋" w:cs="仿宋"/>
          <w:b/>
          <w:bCs/>
          <w:color w:val="000000"/>
          <w:sz w:val="24"/>
          <w:szCs w:val="24"/>
          <w:lang w:val="en-US" w:eastAsia="zh-CN" w:bidi="en-US"/>
        </w:rPr>
      </w:pPr>
      <w:r>
        <w:rPr>
          <w:rFonts w:hint="eastAsia" w:ascii="仿宋" w:hAnsi="仿宋" w:eastAsia="仿宋" w:cs="仿宋"/>
          <w:b/>
          <w:bCs/>
          <w:color w:val="000000"/>
          <w:sz w:val="24"/>
          <w:szCs w:val="24"/>
          <w:lang w:val="en-US" w:eastAsia="zh-CN" w:bidi="en-US"/>
        </w:rPr>
        <w:t>2.2.2、国产化数据库</w:t>
      </w:r>
      <w:bookmarkEnd w:id="488"/>
      <w:bookmarkEnd w:id="489"/>
      <w:r>
        <w:rPr>
          <w:rFonts w:hint="eastAsia" w:ascii="仿宋" w:hAnsi="仿宋" w:eastAsia="仿宋" w:cs="仿宋"/>
          <w:b/>
          <w:bCs/>
          <w:color w:val="000000"/>
          <w:sz w:val="24"/>
          <w:szCs w:val="24"/>
          <w:lang w:val="en-US" w:eastAsia="zh-CN" w:bidi="en-US"/>
        </w:rPr>
        <w:t>替换</w:t>
      </w:r>
      <w:bookmarkEnd w:id="490"/>
      <w:bookmarkEnd w:id="491"/>
    </w:p>
    <w:p w14:paraId="431DD115">
      <w:pPr>
        <w:pStyle w:val="6"/>
        <w:numPr>
          <w:ilvl w:val="3"/>
          <w:numId w:val="0"/>
        </w:numPr>
        <w:ind w:leftChars="0"/>
        <w:rPr>
          <w:rFonts w:hint="eastAsia" w:ascii="仿宋" w:hAnsi="仿宋" w:eastAsia="仿宋" w:cs="仿宋"/>
          <w:sz w:val="24"/>
          <w:szCs w:val="24"/>
          <w:lang w:val="zh-CN" w:eastAsia="zh-CN"/>
        </w:rPr>
      </w:pPr>
      <w:bookmarkStart w:id="492" w:name="_Toc29826"/>
      <w:r>
        <w:rPr>
          <w:rFonts w:hint="eastAsia" w:ascii="仿宋" w:hAnsi="仿宋" w:eastAsia="仿宋" w:cs="仿宋"/>
          <w:sz w:val="24"/>
          <w:szCs w:val="24"/>
          <w:lang w:val="en-US" w:eastAsia="zh-CN"/>
        </w:rPr>
        <w:t>2.2.2.1、</w:t>
      </w:r>
      <w:r>
        <w:rPr>
          <w:rFonts w:hint="eastAsia" w:ascii="仿宋" w:hAnsi="仿宋" w:eastAsia="仿宋" w:cs="仿宋"/>
          <w:sz w:val="24"/>
          <w:szCs w:val="24"/>
          <w:lang w:val="zh-CN" w:eastAsia="zh-CN"/>
        </w:rPr>
        <w:t>表结构适配</w:t>
      </w:r>
      <w:bookmarkEnd w:id="492"/>
    </w:p>
    <w:p w14:paraId="4CFA227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子档案管理系统与业务系统紧密关联，数据库均有几百至上千张表，字段类型涵盖字符串、日期时间、数值、布尔和大字段等类型。在迁移至达梦数据库的过程中，受达梦的字段长度和页大小的限制，字段类型在达梦数据库与SQLserver、Oracle、Mysql数据库中不一致，所以迁移的过程需要对每个系统数据库逐表核对，确保准确无误。</w:t>
      </w:r>
    </w:p>
    <w:p w14:paraId="5A79A3F6">
      <w:pPr>
        <w:pStyle w:val="6"/>
        <w:numPr>
          <w:ilvl w:val="3"/>
          <w:numId w:val="0"/>
        </w:numPr>
        <w:ind w:leftChars="0"/>
        <w:rPr>
          <w:rFonts w:hint="eastAsia" w:ascii="仿宋" w:hAnsi="仿宋" w:eastAsia="仿宋" w:cs="仿宋"/>
          <w:sz w:val="24"/>
          <w:szCs w:val="24"/>
          <w:lang w:val="zh-CN" w:eastAsia="zh-CN"/>
        </w:rPr>
      </w:pPr>
      <w:bookmarkStart w:id="493" w:name="_Toc21299"/>
      <w:r>
        <w:rPr>
          <w:rFonts w:hint="eastAsia" w:ascii="仿宋" w:hAnsi="仿宋" w:eastAsia="仿宋" w:cs="仿宋"/>
          <w:sz w:val="24"/>
          <w:szCs w:val="24"/>
          <w:lang w:val="en-US" w:eastAsia="zh-CN"/>
        </w:rPr>
        <w:t>2.2.2.2、</w:t>
      </w:r>
      <w:r>
        <w:rPr>
          <w:rFonts w:hint="eastAsia" w:ascii="仿宋" w:hAnsi="仿宋" w:eastAsia="仿宋" w:cs="仿宋"/>
          <w:sz w:val="24"/>
          <w:szCs w:val="24"/>
          <w:lang w:val="zh-CN" w:eastAsia="zh-CN"/>
        </w:rPr>
        <w:t>JDBC包适配</w:t>
      </w:r>
      <w:bookmarkEnd w:id="493"/>
    </w:p>
    <w:p w14:paraId="5A8098E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JDBC（Java DataBase Connectivity）是Java语言用来规范客户端访问数据库的应用程序接口，提供查询修改数据库数据的方法。原先的JDBC包只适用于非国产化数据库，需要从框架底层将数据库的JDBC驱动包适配整合，引入达梦JDBC包后，需要对相关数据库访问逻辑进行测试，确保完全适配。</w:t>
      </w:r>
    </w:p>
    <w:p w14:paraId="74E32965">
      <w:pPr>
        <w:pStyle w:val="6"/>
        <w:numPr>
          <w:ilvl w:val="3"/>
          <w:numId w:val="0"/>
        </w:numPr>
        <w:ind w:leftChars="0"/>
        <w:rPr>
          <w:rFonts w:hint="eastAsia" w:ascii="仿宋" w:hAnsi="仿宋" w:eastAsia="仿宋" w:cs="仿宋"/>
          <w:sz w:val="24"/>
          <w:szCs w:val="24"/>
          <w:lang w:val="zh-CN" w:eastAsia="zh-CN"/>
        </w:rPr>
      </w:pPr>
      <w:bookmarkStart w:id="494" w:name="_Toc31469"/>
      <w:r>
        <w:rPr>
          <w:rFonts w:hint="eastAsia" w:ascii="仿宋" w:hAnsi="仿宋" w:eastAsia="仿宋" w:cs="仿宋"/>
          <w:sz w:val="24"/>
          <w:szCs w:val="24"/>
          <w:lang w:val="en-US" w:eastAsia="zh-CN"/>
        </w:rPr>
        <w:t>2.2.2.3、</w:t>
      </w:r>
      <w:r>
        <w:rPr>
          <w:rFonts w:hint="eastAsia" w:ascii="仿宋" w:hAnsi="仿宋" w:eastAsia="仿宋" w:cs="仿宋"/>
          <w:sz w:val="24"/>
          <w:szCs w:val="24"/>
          <w:lang w:val="zh-CN" w:eastAsia="zh-CN"/>
        </w:rPr>
        <w:t>数据迁移</w:t>
      </w:r>
      <w:bookmarkEnd w:id="494"/>
    </w:p>
    <w:p w14:paraId="10F1976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为保证业务的延续开展，需要将原来的数据全部迁移到达梦数据库中，但是迁移过程中会因为达梦的字段长度限制，单行数据只能由8000长度限制等原因导致迁移失败，需对出错的字段逐一处理。</w:t>
      </w:r>
    </w:p>
    <w:p w14:paraId="48AD5AEA">
      <w:pPr>
        <w:pStyle w:val="6"/>
        <w:numPr>
          <w:ilvl w:val="3"/>
          <w:numId w:val="0"/>
        </w:numPr>
        <w:ind w:leftChars="0"/>
        <w:rPr>
          <w:rFonts w:hint="eastAsia" w:ascii="仿宋" w:hAnsi="仿宋" w:eastAsia="仿宋" w:cs="仿宋"/>
          <w:sz w:val="24"/>
          <w:szCs w:val="24"/>
          <w:lang w:val="zh-CN" w:eastAsia="zh-CN"/>
        </w:rPr>
      </w:pPr>
      <w:bookmarkStart w:id="495" w:name="_Toc17356"/>
      <w:r>
        <w:rPr>
          <w:rFonts w:hint="eastAsia" w:ascii="仿宋" w:hAnsi="仿宋" w:eastAsia="仿宋" w:cs="仿宋"/>
          <w:sz w:val="24"/>
          <w:szCs w:val="24"/>
          <w:lang w:val="en-US" w:eastAsia="zh-CN"/>
        </w:rPr>
        <w:t>2.2.2.4、</w:t>
      </w:r>
      <w:r>
        <w:rPr>
          <w:rFonts w:hint="eastAsia" w:ascii="仿宋" w:hAnsi="仿宋" w:eastAsia="仿宋" w:cs="仿宋"/>
          <w:sz w:val="24"/>
          <w:szCs w:val="24"/>
          <w:lang w:val="zh-CN" w:eastAsia="zh-CN"/>
        </w:rPr>
        <w:t>SQL写法修改</w:t>
      </w:r>
      <w:bookmarkEnd w:id="495"/>
    </w:p>
    <w:p w14:paraId="7B43B9C0">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达梦数据库的语法是以Oracle基础上衍生，现行的数据库迁移到达梦数据库需要对现有的SQL写法进行全盘检查并改写适配，其中在处理时间和使用函数上，需要对不同数据库写不同的SQL。在中心端、会员端等系统中，还需要对SQL进行兼容性测试，保障每条SQL都能在达梦数据库中正确执行。</w:t>
      </w:r>
    </w:p>
    <w:p w14:paraId="1D685827">
      <w:pPr>
        <w:pStyle w:val="6"/>
        <w:numPr>
          <w:ilvl w:val="3"/>
          <w:numId w:val="0"/>
        </w:numPr>
        <w:ind w:leftChars="0"/>
        <w:rPr>
          <w:rFonts w:hint="eastAsia" w:ascii="仿宋" w:hAnsi="仿宋" w:eastAsia="仿宋" w:cs="仿宋"/>
          <w:sz w:val="24"/>
          <w:szCs w:val="24"/>
          <w:lang w:val="zh-CN" w:eastAsia="zh-CN"/>
        </w:rPr>
      </w:pPr>
      <w:bookmarkStart w:id="496" w:name="_Toc18106"/>
      <w:r>
        <w:rPr>
          <w:rFonts w:hint="eastAsia" w:ascii="仿宋" w:hAnsi="仿宋" w:eastAsia="仿宋" w:cs="仿宋"/>
          <w:sz w:val="24"/>
          <w:szCs w:val="24"/>
          <w:lang w:val="en-US" w:eastAsia="zh-CN"/>
        </w:rPr>
        <w:t>2.2.2.5、</w:t>
      </w:r>
      <w:r>
        <w:rPr>
          <w:rFonts w:hint="eastAsia" w:ascii="仿宋" w:hAnsi="仿宋" w:eastAsia="仿宋" w:cs="仿宋"/>
          <w:sz w:val="24"/>
          <w:szCs w:val="24"/>
          <w:lang w:val="zh-CN" w:eastAsia="zh-CN"/>
        </w:rPr>
        <w:t>存储过程和函数迁移</w:t>
      </w:r>
      <w:bookmarkEnd w:id="496"/>
    </w:p>
    <w:p w14:paraId="72568DA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达梦的迁移工具不能自动迁移存储过程和函数，需要对SQLserver、Oracle、Mysql数据库中的所有存储过程和函数进行手动迁移。迁移过程中，现行数据库的语法要适配达梦的语法，语法之间存在有细节上的不同，SQLserver和Mysql的迁移改动较大。</w:t>
      </w:r>
    </w:p>
    <w:p w14:paraId="55FF81D8">
      <w:pPr>
        <w:pStyle w:val="5"/>
        <w:bidi w:val="0"/>
        <w:rPr>
          <w:rFonts w:hint="eastAsia" w:ascii="仿宋" w:hAnsi="仿宋" w:eastAsia="仿宋" w:cs="仿宋"/>
          <w:sz w:val="24"/>
          <w:szCs w:val="24"/>
          <w:lang w:val="en-US" w:eastAsia="zh-CN"/>
        </w:rPr>
      </w:pPr>
      <w:bookmarkStart w:id="497" w:name="_Toc13495"/>
      <w:bookmarkStart w:id="498" w:name="_Toc9034"/>
      <w:r>
        <w:rPr>
          <w:rFonts w:hint="eastAsia" w:ascii="仿宋" w:hAnsi="仿宋" w:eastAsia="仿宋" w:cs="仿宋"/>
          <w:sz w:val="24"/>
          <w:szCs w:val="24"/>
          <w:lang w:val="en-US" w:eastAsia="zh-CN"/>
        </w:rPr>
        <w:t>2.2.3、IPV6改造</w:t>
      </w:r>
      <w:bookmarkEnd w:id="497"/>
      <w:bookmarkEnd w:id="498"/>
    </w:p>
    <w:p w14:paraId="7ED58904">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基础设施改造：基础设施改造主要包括向运营商进行IPv6线路和地址的申请，完成对PC和移动终端设备IPv6地址的配置，及对所有IP地址进行科学有效的规划和管理。</w:t>
      </w:r>
    </w:p>
    <w:p w14:paraId="64A80731">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DNS服务器改造：作为IPv6改造的主体，DNS服务器改造主要包括在DNS服务器增加一条域名所对应的AAAA记录，及为DNS服务器配置IPv6地址，确保其能接收来自单栈IPv6的DNS访问请求。</w:t>
      </w:r>
    </w:p>
    <w:p w14:paraId="300AA7C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务系统改造：在完成对底层基础设施和DNS服务器的改造后，就要对上层业务进行IPv6改造，具体包括对业务代码中涉及IP地址的部分做修改，同时业务服务器、数据库、日志服务器以及大数据分析平台等都需要改为支持IPv4／IPv6双栈。</w:t>
      </w:r>
    </w:p>
    <w:p w14:paraId="23BDF689">
      <w:pPr>
        <w:pStyle w:val="4"/>
        <w:jc w:val="both"/>
        <w:rPr>
          <w:rFonts w:hint="eastAsia" w:ascii="仿宋" w:hAnsi="仿宋" w:eastAsia="仿宋" w:cs="仿宋"/>
          <w:sz w:val="24"/>
          <w:szCs w:val="24"/>
          <w:lang w:val="en-US" w:eastAsia="zh-CN"/>
        </w:rPr>
      </w:pPr>
      <w:bookmarkStart w:id="499" w:name="_Toc17819"/>
      <w:bookmarkStart w:id="500" w:name="_Toc11402"/>
      <w:bookmarkStart w:id="501" w:name="_Toc5137"/>
      <w:r>
        <w:rPr>
          <w:rFonts w:hint="eastAsia" w:ascii="仿宋" w:hAnsi="仿宋" w:eastAsia="仿宋" w:cs="仿宋"/>
          <w:sz w:val="24"/>
          <w:szCs w:val="24"/>
          <w:lang w:val="en-US" w:eastAsia="zh-CN"/>
        </w:rPr>
        <w:t>2.3、交易平台系统迁移</w:t>
      </w:r>
      <w:bookmarkEnd w:id="499"/>
      <w:bookmarkEnd w:id="500"/>
      <w:bookmarkEnd w:id="501"/>
      <w:bookmarkStart w:id="502" w:name="_Toc29313"/>
      <w:bookmarkStart w:id="503" w:name="_Toc11692"/>
      <w:bookmarkStart w:id="504" w:name="_Toc21617"/>
      <w:bookmarkStart w:id="505" w:name="_Toc10088"/>
      <w:bookmarkStart w:id="506" w:name="_Toc7521"/>
    </w:p>
    <w:p w14:paraId="0AD61C0E">
      <w:pPr>
        <w:pStyle w:val="4"/>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2.3.1、迁</w:t>
      </w:r>
      <w:bookmarkEnd w:id="502"/>
      <w:bookmarkEnd w:id="503"/>
      <w:bookmarkEnd w:id="504"/>
      <w:r>
        <w:rPr>
          <w:rFonts w:hint="eastAsia" w:ascii="仿宋" w:hAnsi="仿宋" w:eastAsia="仿宋" w:cs="仿宋"/>
          <w:sz w:val="24"/>
          <w:szCs w:val="24"/>
          <w:lang w:val="en-US" w:eastAsia="zh-CN"/>
        </w:rPr>
        <w:t>移准备工作</w:t>
      </w:r>
      <w:bookmarkEnd w:id="505"/>
      <w:bookmarkEnd w:id="506"/>
    </w:p>
    <w:p w14:paraId="2DEBAD85">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对克州公共资源交易平台的基本情况调研，确定相关人员制定迁移计划，服务内容整理、老服务器盘点。主要工作包含数据库整理、文件服务器整理、应用配置文件整理、定时计划任务整理、服务器端口及映射整理、访问地址整理、系统入口整理、外部系统整理、迁移部署方案评审、新服务器检查、系统打包/文件传输。</w:t>
      </w:r>
    </w:p>
    <w:p w14:paraId="49EDCDB2">
      <w:pPr>
        <w:pStyle w:val="5"/>
        <w:tabs>
          <w:tab w:val="left" w:pos="0"/>
        </w:tabs>
        <w:bidi w:val="0"/>
        <w:rPr>
          <w:rFonts w:hint="eastAsia" w:ascii="仿宋" w:hAnsi="仿宋" w:eastAsia="仿宋" w:cs="仿宋"/>
          <w:sz w:val="24"/>
          <w:szCs w:val="24"/>
          <w:lang w:val="en-US" w:eastAsia="zh-CN"/>
        </w:rPr>
      </w:pPr>
      <w:bookmarkStart w:id="507" w:name="_Toc29557"/>
      <w:bookmarkStart w:id="508" w:name="_Toc7194"/>
      <w:r>
        <w:rPr>
          <w:rFonts w:hint="eastAsia" w:ascii="仿宋" w:hAnsi="仿宋" w:eastAsia="仿宋" w:cs="仿宋"/>
          <w:sz w:val="24"/>
          <w:szCs w:val="24"/>
          <w:lang w:val="en-US" w:eastAsia="zh-CN"/>
        </w:rPr>
        <w:t>2.3.2、服务器端部署</w:t>
      </w:r>
      <w:bookmarkEnd w:id="507"/>
      <w:bookmarkEnd w:id="508"/>
    </w:p>
    <w:p w14:paraId="46923BD7">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主要工作包含主机配置、时间同步服务、应用部署、集成配置。</w:t>
      </w:r>
      <w:bookmarkStart w:id="509" w:name="_Toc6117"/>
      <w:bookmarkStart w:id="510" w:name="_Toc23972"/>
    </w:p>
    <w:p w14:paraId="6AE9A242">
      <w:pPr>
        <w:rPr>
          <w:rFonts w:hint="eastAsia" w:ascii="仿宋" w:hAnsi="仿宋" w:eastAsia="仿宋" w:cs="仿宋"/>
          <w:b/>
          <w:bCs/>
          <w:color w:val="000000"/>
          <w:sz w:val="24"/>
          <w:szCs w:val="24"/>
          <w:lang w:val="en-US" w:eastAsia="zh-CN" w:bidi="en-US"/>
        </w:rPr>
      </w:pPr>
      <w:r>
        <w:rPr>
          <w:rFonts w:hint="eastAsia" w:ascii="仿宋" w:hAnsi="仿宋" w:eastAsia="仿宋" w:cs="仿宋"/>
          <w:b/>
          <w:bCs/>
          <w:color w:val="000000"/>
          <w:sz w:val="24"/>
          <w:szCs w:val="24"/>
          <w:lang w:val="en-US" w:eastAsia="zh-CN" w:bidi="en-US"/>
        </w:rPr>
        <w:t>2.3.3、数据库部署还原</w:t>
      </w:r>
      <w:bookmarkEnd w:id="509"/>
      <w:bookmarkEnd w:id="510"/>
    </w:p>
    <w:p w14:paraId="7C8C7913">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主要工作包含数据库服务部署、数据库还原、异机备份迁移、定时备份计划任务设置、数据完整性校验</w:t>
      </w:r>
    </w:p>
    <w:p w14:paraId="678260F6">
      <w:pPr>
        <w:pStyle w:val="5"/>
        <w:tabs>
          <w:tab w:val="left" w:pos="0"/>
        </w:tabs>
        <w:bidi w:val="0"/>
        <w:rPr>
          <w:rFonts w:hint="eastAsia" w:ascii="仿宋" w:hAnsi="仿宋" w:eastAsia="仿宋" w:cs="仿宋"/>
          <w:sz w:val="24"/>
          <w:szCs w:val="24"/>
          <w:lang w:val="en-US" w:eastAsia="zh-CN"/>
        </w:rPr>
      </w:pPr>
      <w:bookmarkStart w:id="511" w:name="_Toc14842"/>
      <w:bookmarkStart w:id="512" w:name="_Toc2961"/>
      <w:r>
        <w:rPr>
          <w:rFonts w:hint="eastAsia" w:ascii="仿宋" w:hAnsi="仿宋" w:eastAsia="仿宋" w:cs="仿宋"/>
          <w:b/>
          <w:bCs/>
          <w:color w:val="000000"/>
          <w:sz w:val="24"/>
          <w:szCs w:val="24"/>
          <w:lang w:val="en-US" w:eastAsia="zh-CN" w:bidi="en-US"/>
        </w:rPr>
        <w:t>2.3.4、</w:t>
      </w:r>
      <w:r>
        <w:rPr>
          <w:rFonts w:hint="eastAsia" w:ascii="仿宋" w:hAnsi="仿宋" w:eastAsia="仿宋" w:cs="仿宋"/>
          <w:sz w:val="24"/>
          <w:szCs w:val="24"/>
          <w:lang w:val="en-US" w:eastAsia="zh-CN"/>
        </w:rPr>
        <w:t>附件库迁移</w:t>
      </w:r>
      <w:bookmarkEnd w:id="511"/>
      <w:bookmarkEnd w:id="512"/>
    </w:p>
    <w:p w14:paraId="649A5323">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主要工作包括附件打包/拷贝、附件传输/解压、定时备份计划任务设置、附件完整性校验</w:t>
      </w:r>
    </w:p>
    <w:p w14:paraId="0951D716">
      <w:pPr>
        <w:pStyle w:val="5"/>
        <w:tabs>
          <w:tab w:val="left" w:pos="0"/>
        </w:tabs>
        <w:bidi w:val="0"/>
        <w:rPr>
          <w:rFonts w:hint="eastAsia" w:ascii="仿宋" w:hAnsi="仿宋" w:eastAsia="仿宋" w:cs="仿宋"/>
          <w:sz w:val="24"/>
          <w:szCs w:val="24"/>
          <w:lang w:val="en-US" w:eastAsia="zh-CN"/>
        </w:rPr>
      </w:pPr>
      <w:bookmarkStart w:id="513" w:name="_Toc27129"/>
      <w:bookmarkStart w:id="514" w:name="_Toc11709"/>
      <w:r>
        <w:rPr>
          <w:rFonts w:hint="eastAsia" w:ascii="仿宋" w:hAnsi="仿宋" w:eastAsia="仿宋" w:cs="仿宋"/>
          <w:b/>
          <w:bCs/>
          <w:color w:val="000000"/>
          <w:sz w:val="24"/>
          <w:szCs w:val="24"/>
          <w:lang w:val="en-US" w:eastAsia="zh-CN" w:bidi="en-US"/>
        </w:rPr>
        <w:t>2.3.5、</w:t>
      </w:r>
      <w:r>
        <w:rPr>
          <w:rFonts w:hint="eastAsia" w:ascii="仿宋" w:hAnsi="仿宋" w:eastAsia="仿宋" w:cs="仿宋"/>
          <w:sz w:val="24"/>
          <w:szCs w:val="24"/>
          <w:lang w:val="en-US" w:eastAsia="zh-CN"/>
        </w:rPr>
        <w:t>服务器安全加固</w:t>
      </w:r>
      <w:bookmarkEnd w:id="513"/>
      <w:bookmarkEnd w:id="514"/>
    </w:p>
    <w:p w14:paraId="73DD86C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主要工作包括非应用层安全加固、运维监控部署、堡垒机接入、应用层参数调整</w:t>
      </w:r>
    </w:p>
    <w:p w14:paraId="3BD82FD5">
      <w:pPr>
        <w:pStyle w:val="5"/>
        <w:tabs>
          <w:tab w:val="left" w:pos="0"/>
        </w:tabs>
        <w:bidi w:val="0"/>
        <w:rPr>
          <w:rFonts w:hint="eastAsia" w:ascii="仿宋" w:hAnsi="仿宋" w:eastAsia="仿宋" w:cs="仿宋"/>
          <w:sz w:val="24"/>
          <w:szCs w:val="24"/>
          <w:lang w:val="en-US" w:eastAsia="zh-CN"/>
        </w:rPr>
      </w:pPr>
      <w:bookmarkStart w:id="515" w:name="_Toc2550"/>
      <w:bookmarkStart w:id="516" w:name="_Toc29321"/>
      <w:r>
        <w:rPr>
          <w:rFonts w:hint="eastAsia" w:ascii="仿宋" w:hAnsi="仿宋" w:eastAsia="仿宋" w:cs="仿宋"/>
          <w:b/>
          <w:bCs/>
          <w:color w:val="000000"/>
          <w:sz w:val="24"/>
          <w:szCs w:val="24"/>
          <w:lang w:val="en-US" w:eastAsia="zh-CN" w:bidi="en-US"/>
        </w:rPr>
        <w:t>2.3.6、</w:t>
      </w:r>
      <w:r>
        <w:rPr>
          <w:rFonts w:hint="eastAsia" w:ascii="仿宋" w:hAnsi="仿宋" w:eastAsia="仿宋" w:cs="仿宋"/>
          <w:sz w:val="24"/>
          <w:szCs w:val="24"/>
          <w:lang w:val="en-US" w:eastAsia="zh-CN"/>
        </w:rPr>
        <w:t>系统测试</w:t>
      </w:r>
      <w:bookmarkEnd w:id="515"/>
      <w:bookmarkEnd w:id="516"/>
    </w:p>
    <w:p w14:paraId="0164F0C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主要工作包括系统功能测试、系统性能测试。</w:t>
      </w:r>
    </w:p>
    <w:p w14:paraId="636BA9B3">
      <w:pPr>
        <w:pStyle w:val="5"/>
        <w:tabs>
          <w:tab w:val="left" w:pos="0"/>
        </w:tabs>
        <w:bidi w:val="0"/>
        <w:rPr>
          <w:rFonts w:hint="eastAsia" w:ascii="仿宋" w:hAnsi="仿宋" w:eastAsia="仿宋" w:cs="仿宋"/>
          <w:sz w:val="24"/>
          <w:szCs w:val="24"/>
          <w:lang w:val="en-US" w:eastAsia="zh-CN"/>
        </w:rPr>
      </w:pPr>
      <w:bookmarkStart w:id="517" w:name="_Toc516"/>
      <w:bookmarkStart w:id="518" w:name="_Toc11446"/>
      <w:r>
        <w:rPr>
          <w:rFonts w:hint="eastAsia" w:ascii="仿宋" w:hAnsi="仿宋" w:eastAsia="仿宋" w:cs="仿宋"/>
          <w:b/>
          <w:bCs/>
          <w:color w:val="000000"/>
          <w:sz w:val="24"/>
          <w:szCs w:val="24"/>
          <w:lang w:val="en-US" w:eastAsia="zh-CN" w:bidi="en-US"/>
        </w:rPr>
        <w:t>2.3.7、</w:t>
      </w:r>
      <w:r>
        <w:rPr>
          <w:rFonts w:hint="eastAsia" w:ascii="仿宋" w:hAnsi="仿宋" w:eastAsia="仿宋" w:cs="仿宋"/>
          <w:sz w:val="24"/>
          <w:szCs w:val="24"/>
          <w:lang w:val="en-US" w:eastAsia="zh-CN"/>
        </w:rPr>
        <w:t>系统割接</w:t>
      </w:r>
      <w:bookmarkEnd w:id="517"/>
      <w:bookmarkEnd w:id="518"/>
    </w:p>
    <w:p w14:paraId="267107A8">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主要工作包括老系统停机、域名/接口/网络切换、增量数据、附件迁移、割接验证、新系统启用。</w:t>
      </w:r>
    </w:p>
    <w:p w14:paraId="435B3932">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行业部门要求，新范本和评标办法适配内容包括投标文件格式、封面改造、投标函、法定代表人（单位负责人）身份证明、授权委托书、联合体协议书、投标保证金、商务和技术偏离表、分项报价表、资格评审资料、评审参考资料、投标设备技术性能指标的详细描述、技术支持资料、技术服务计划、质保期服务计划、其他材料。</w:t>
      </w:r>
    </w:p>
    <w:p w14:paraId="2B0470B5">
      <w:pPr>
        <w:pStyle w:val="6"/>
        <w:numPr>
          <w:ilvl w:val="3"/>
          <w:numId w:val="0"/>
        </w:numPr>
        <w:bidi w:val="0"/>
        <w:ind w:leftChars="0"/>
        <w:rPr>
          <w:rFonts w:hint="eastAsia" w:ascii="仿宋" w:hAnsi="仿宋" w:eastAsia="仿宋" w:cs="仿宋"/>
          <w:sz w:val="24"/>
          <w:szCs w:val="24"/>
          <w:lang w:val="en-US" w:eastAsia="zh-CN"/>
        </w:rPr>
      </w:pPr>
      <w:bookmarkStart w:id="519" w:name="_Toc7201"/>
      <w:bookmarkStart w:id="520" w:name="_Toc6653"/>
      <w:r>
        <w:rPr>
          <w:rFonts w:hint="eastAsia" w:ascii="仿宋" w:hAnsi="仿宋" w:eastAsia="仿宋" w:cs="仿宋"/>
          <w:b/>
          <w:bCs/>
          <w:color w:val="000000"/>
          <w:sz w:val="24"/>
          <w:szCs w:val="24"/>
          <w:lang w:val="en-US" w:eastAsia="zh-CN" w:bidi="en-US"/>
        </w:rPr>
        <w:t>2.3.7.1、</w:t>
      </w:r>
      <w:r>
        <w:rPr>
          <w:rFonts w:hint="eastAsia" w:ascii="仿宋" w:hAnsi="仿宋" w:eastAsia="仿宋" w:cs="仿宋"/>
          <w:sz w:val="24"/>
          <w:szCs w:val="24"/>
          <w:lang w:val="en-US" w:eastAsia="zh-CN"/>
        </w:rPr>
        <w:t>新增评标办法-房屋市政设施工程施工综合评估法（技术标合格制）</w:t>
      </w:r>
      <w:bookmarkEnd w:id="519"/>
      <w:bookmarkEnd w:id="520"/>
    </w:p>
    <w:p w14:paraId="63B8EA1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1CAC1779">
      <w:pPr>
        <w:pStyle w:val="6"/>
        <w:numPr>
          <w:ilvl w:val="3"/>
          <w:numId w:val="0"/>
        </w:numPr>
        <w:bidi w:val="0"/>
        <w:ind w:leftChars="0"/>
        <w:rPr>
          <w:rFonts w:hint="eastAsia" w:ascii="仿宋" w:hAnsi="仿宋" w:eastAsia="仿宋" w:cs="仿宋"/>
          <w:sz w:val="24"/>
          <w:szCs w:val="24"/>
          <w:lang w:val="en-US" w:eastAsia="zh-CN"/>
        </w:rPr>
      </w:pPr>
      <w:bookmarkStart w:id="521" w:name="_Toc31001"/>
      <w:bookmarkStart w:id="522" w:name="_Toc31442"/>
      <w:r>
        <w:rPr>
          <w:rFonts w:hint="eastAsia" w:ascii="仿宋" w:hAnsi="仿宋" w:eastAsia="仿宋" w:cs="仿宋"/>
          <w:b/>
          <w:bCs/>
          <w:color w:val="000000"/>
          <w:sz w:val="24"/>
          <w:szCs w:val="24"/>
          <w:lang w:val="en-US" w:eastAsia="zh-CN" w:bidi="en-US"/>
        </w:rPr>
        <w:t>2.3.7.2、</w:t>
      </w:r>
      <w:r>
        <w:rPr>
          <w:rFonts w:hint="eastAsia" w:ascii="仿宋" w:hAnsi="仿宋" w:eastAsia="仿宋" w:cs="仿宋"/>
          <w:sz w:val="24"/>
          <w:szCs w:val="24"/>
          <w:lang w:val="en-US" w:eastAsia="zh-CN"/>
        </w:rPr>
        <w:t>新增评标办法-房屋市政设施工程施工定性评审法（评定分离）</w:t>
      </w:r>
      <w:bookmarkEnd w:id="521"/>
      <w:bookmarkEnd w:id="522"/>
    </w:p>
    <w:p w14:paraId="75EDE47C">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2C1B8B88">
      <w:pPr>
        <w:pStyle w:val="6"/>
        <w:numPr>
          <w:ilvl w:val="3"/>
          <w:numId w:val="0"/>
        </w:numPr>
        <w:bidi w:val="0"/>
        <w:ind w:leftChars="0"/>
        <w:rPr>
          <w:rFonts w:hint="eastAsia" w:ascii="仿宋" w:hAnsi="仿宋" w:eastAsia="仿宋" w:cs="仿宋"/>
          <w:sz w:val="24"/>
          <w:szCs w:val="24"/>
          <w:lang w:val="en-US" w:eastAsia="zh-CN"/>
        </w:rPr>
      </w:pPr>
      <w:bookmarkStart w:id="523" w:name="_Toc29695"/>
      <w:bookmarkStart w:id="524" w:name="_Toc12384"/>
      <w:r>
        <w:rPr>
          <w:rFonts w:hint="eastAsia" w:ascii="仿宋" w:hAnsi="仿宋" w:eastAsia="仿宋" w:cs="仿宋"/>
          <w:b/>
          <w:bCs/>
          <w:color w:val="000000"/>
          <w:sz w:val="24"/>
          <w:szCs w:val="24"/>
          <w:lang w:val="en-US" w:eastAsia="zh-CN" w:bidi="en-US"/>
        </w:rPr>
        <w:t>2.3.7.3、</w:t>
      </w:r>
      <w:r>
        <w:rPr>
          <w:rFonts w:hint="eastAsia" w:ascii="仿宋" w:hAnsi="仿宋" w:eastAsia="仿宋" w:cs="仿宋"/>
          <w:sz w:val="24"/>
          <w:szCs w:val="24"/>
          <w:lang w:val="en-US" w:eastAsia="zh-CN"/>
        </w:rPr>
        <w:t>新增评标办法-房屋市政设施工程施工综合评估法（技术标记分制）</w:t>
      </w:r>
      <w:bookmarkEnd w:id="523"/>
      <w:bookmarkEnd w:id="524"/>
    </w:p>
    <w:p w14:paraId="64F92378">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18EDBB50">
      <w:pPr>
        <w:pStyle w:val="6"/>
        <w:numPr>
          <w:ilvl w:val="3"/>
          <w:numId w:val="0"/>
        </w:numPr>
        <w:bidi w:val="0"/>
        <w:ind w:leftChars="0"/>
        <w:rPr>
          <w:rFonts w:hint="eastAsia" w:ascii="仿宋" w:hAnsi="仿宋" w:eastAsia="仿宋" w:cs="仿宋"/>
          <w:sz w:val="24"/>
          <w:szCs w:val="24"/>
          <w:lang w:val="en-US" w:eastAsia="zh-CN"/>
        </w:rPr>
      </w:pPr>
      <w:bookmarkStart w:id="525" w:name="_Toc9899"/>
      <w:bookmarkStart w:id="526" w:name="_Toc28582"/>
      <w:r>
        <w:rPr>
          <w:rFonts w:hint="eastAsia" w:ascii="仿宋" w:hAnsi="仿宋" w:eastAsia="仿宋" w:cs="仿宋"/>
          <w:b/>
          <w:bCs/>
          <w:color w:val="000000"/>
          <w:sz w:val="24"/>
          <w:szCs w:val="24"/>
          <w:lang w:val="en-US" w:eastAsia="zh-CN" w:bidi="en-US"/>
        </w:rPr>
        <w:t>2.3.7.4、</w:t>
      </w:r>
      <w:r>
        <w:rPr>
          <w:rFonts w:hint="eastAsia" w:ascii="仿宋" w:hAnsi="仿宋" w:eastAsia="仿宋" w:cs="仿宋"/>
          <w:sz w:val="24"/>
          <w:szCs w:val="24"/>
          <w:lang w:val="en-US" w:eastAsia="zh-CN"/>
        </w:rPr>
        <w:t>新增评标办法-房屋市政设施工程施工经评审的最低投标价法</w:t>
      </w:r>
      <w:bookmarkEnd w:id="525"/>
      <w:bookmarkEnd w:id="526"/>
    </w:p>
    <w:p w14:paraId="1AA2788A">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需针对房建工程项目，按照行业部门要求，在业务系统中新增一套评标办法，以满足实际工作需要。</w:t>
      </w:r>
    </w:p>
    <w:p w14:paraId="35FC090B">
      <w:pPr>
        <w:pStyle w:val="4"/>
        <w:jc w:val="both"/>
        <w:rPr>
          <w:rFonts w:hint="eastAsia" w:ascii="仿宋" w:hAnsi="仿宋" w:eastAsia="仿宋" w:cs="仿宋"/>
          <w:sz w:val="24"/>
          <w:szCs w:val="24"/>
          <w:lang w:val="en-US" w:eastAsia="zh-CN"/>
        </w:rPr>
      </w:pPr>
      <w:bookmarkStart w:id="527" w:name="_Toc6578"/>
      <w:bookmarkStart w:id="528" w:name="_Toc11372"/>
      <w:r>
        <w:rPr>
          <w:rFonts w:hint="eastAsia" w:ascii="仿宋" w:hAnsi="仿宋" w:eastAsia="仿宋" w:cs="仿宋"/>
          <w:sz w:val="24"/>
          <w:szCs w:val="24"/>
          <w:lang w:val="en-US" w:eastAsia="zh-CN"/>
        </w:rPr>
        <w:t>2.4、电子档案管理系统与克州公共资源交易系统接口对接</w:t>
      </w:r>
      <w:bookmarkEnd w:id="527"/>
      <w:bookmarkEnd w:id="528"/>
    </w:p>
    <w:p w14:paraId="5838A629">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包括与克州公共资源交易系统对接、与开评标音视频监控系统对接。</w:t>
      </w:r>
    </w:p>
    <w:p w14:paraId="1B6B18B9">
      <w:pPr>
        <w:pStyle w:val="5"/>
        <w:tabs>
          <w:tab w:val="left" w:pos="0"/>
        </w:tabs>
        <w:bidi w:val="0"/>
        <w:rPr>
          <w:rFonts w:hint="eastAsia" w:ascii="仿宋" w:hAnsi="仿宋" w:eastAsia="仿宋" w:cs="仿宋"/>
          <w:sz w:val="24"/>
          <w:szCs w:val="24"/>
          <w:lang w:val="en-US" w:eastAsia="zh-CN"/>
        </w:rPr>
      </w:pPr>
      <w:bookmarkStart w:id="529" w:name="_Toc24169"/>
      <w:bookmarkStart w:id="530" w:name="_Toc2758"/>
      <w:r>
        <w:rPr>
          <w:rFonts w:hint="eastAsia" w:ascii="仿宋" w:hAnsi="仿宋" w:eastAsia="仿宋" w:cs="仿宋"/>
          <w:sz w:val="24"/>
          <w:szCs w:val="24"/>
          <w:lang w:val="en-US" w:eastAsia="zh-CN"/>
        </w:rPr>
        <w:t>2.4.1、与克州公共资源交易系统对接</w:t>
      </w:r>
      <w:bookmarkEnd w:id="529"/>
      <w:bookmarkEnd w:id="530"/>
    </w:p>
    <w:p w14:paraId="1E73E090">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与克州公共资源交易系统对接，实现各类交易项目的业务数据获取。</w:t>
      </w:r>
    </w:p>
    <w:p w14:paraId="70B4FDA5">
      <w:pPr>
        <w:pStyle w:val="5"/>
        <w:tabs>
          <w:tab w:val="left" w:pos="0"/>
        </w:tabs>
        <w:bidi w:val="0"/>
        <w:rPr>
          <w:rFonts w:hint="eastAsia" w:ascii="仿宋" w:hAnsi="仿宋" w:eastAsia="仿宋" w:cs="仿宋"/>
          <w:sz w:val="24"/>
          <w:szCs w:val="24"/>
          <w:lang w:val="en-US" w:eastAsia="zh-CN"/>
        </w:rPr>
      </w:pPr>
      <w:bookmarkStart w:id="531" w:name="_Toc6238"/>
      <w:bookmarkStart w:id="532" w:name="_Toc24246"/>
      <w:r>
        <w:rPr>
          <w:rFonts w:hint="eastAsia" w:ascii="仿宋" w:hAnsi="仿宋" w:eastAsia="仿宋" w:cs="仿宋"/>
          <w:sz w:val="24"/>
          <w:szCs w:val="24"/>
          <w:lang w:val="en-US" w:eastAsia="zh-CN"/>
        </w:rPr>
        <w:t>2.4.2、与开评标音视频监控系统对接</w:t>
      </w:r>
      <w:bookmarkEnd w:id="531"/>
      <w:bookmarkEnd w:id="532"/>
    </w:p>
    <w:p w14:paraId="6E06D106">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与克州公共资源交易开评标音视频系统对接，获取对应项目的开评标音视频资料，实现与业务数据的统一归档。</w:t>
      </w:r>
    </w:p>
    <w:p w14:paraId="726EA1AC">
      <w:pPr>
        <w:pStyle w:val="5"/>
        <w:tabs>
          <w:tab w:val="left" w:pos="0"/>
        </w:tabs>
        <w:bidi w:val="0"/>
        <w:rPr>
          <w:rFonts w:hint="eastAsia" w:ascii="仿宋" w:hAnsi="仿宋" w:eastAsia="仿宋" w:cs="仿宋"/>
          <w:sz w:val="24"/>
          <w:szCs w:val="24"/>
          <w:lang w:val="en-US" w:eastAsia="zh-CN"/>
        </w:rPr>
      </w:pPr>
      <w:bookmarkStart w:id="533" w:name="_Toc8224"/>
      <w:bookmarkStart w:id="534" w:name="_Toc16284"/>
      <w:r>
        <w:rPr>
          <w:rFonts w:hint="eastAsia" w:ascii="仿宋" w:hAnsi="仿宋" w:eastAsia="仿宋" w:cs="仿宋"/>
          <w:sz w:val="24"/>
          <w:szCs w:val="24"/>
          <w:lang w:val="en-US" w:eastAsia="zh-CN"/>
        </w:rPr>
        <w:t>2.4.3、与克州档案局系统对接</w:t>
      </w:r>
      <w:bookmarkEnd w:id="533"/>
      <w:bookmarkEnd w:id="534"/>
    </w:p>
    <w:p w14:paraId="3A437D44">
      <w:pPr>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与克州档案局系统对接，满足项目档案存储到期后的移交工作。</w:t>
      </w:r>
    </w:p>
    <w:p w14:paraId="381476E4">
      <w:pPr>
        <w:pStyle w:val="3"/>
        <w:spacing w:line="480" w:lineRule="auto"/>
        <w:jc w:val="both"/>
        <w:rPr>
          <w:rFonts w:hint="eastAsia" w:ascii="仿宋" w:hAnsi="仿宋" w:eastAsia="仿宋" w:cs="仿宋"/>
          <w:sz w:val="24"/>
          <w:szCs w:val="24"/>
        </w:rPr>
      </w:pPr>
      <w:bookmarkStart w:id="535" w:name="_Toc15913"/>
      <w:bookmarkStart w:id="536" w:name="_Toc18877"/>
      <w:r>
        <w:rPr>
          <w:rFonts w:hint="eastAsia" w:ascii="仿宋" w:hAnsi="仿宋" w:eastAsia="仿宋" w:cs="仿宋"/>
          <w:sz w:val="24"/>
          <w:szCs w:val="24"/>
          <w:lang w:val="en-US" w:eastAsia="zh-CN"/>
        </w:rPr>
        <w:t>三、系统安全防护</w:t>
      </w:r>
      <w:bookmarkEnd w:id="535"/>
      <w:bookmarkEnd w:id="536"/>
    </w:p>
    <w:p w14:paraId="3058E5C9">
      <w:p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是符合政策要求原则，系统安全建设在相关政策和规定的框架下进行，确保平台整体达到安全主管部门的要求。二是满足等级保护2.0标准第三级原则根据分级分域保护的思想，平台承载网络主要为互联网、电子政务外网，为非涉密网络，按照公安部网络安全技术《信息系统安全等级保护定级指南》安全保护等级三级标准进行安全防护。三是网络安全以满足业务系统的正常运行为根本目的，在满足平台对安全性、完整性、实时性和交互性要求的前提下，进行网络整合和安全建设。四是适应调整原则，网络环境是动态变化的，攻击手段不断更新，攻防技术不断发展，安全规划方案必须遵循动态性，包括对整个系统的安全状况进行定期的风险评估，通过分析和测试，调整网络的安全策略，修补网络的安全漏洞，并对系统的配置和策略做相应调整。五是系统需采用国密算法对业务数据进行加密处理，保障交易业务数据安全性。</w:t>
      </w:r>
    </w:p>
    <w:bookmarkEnd w:id="481"/>
    <w:bookmarkEnd w:id="482"/>
    <w:bookmarkEnd w:id="483"/>
    <w:p w14:paraId="1F7C3932">
      <w:pPr>
        <w:pStyle w:val="3"/>
        <w:spacing w:line="480" w:lineRule="auto"/>
        <w:jc w:val="left"/>
        <w:rPr>
          <w:rFonts w:hint="eastAsia" w:ascii="仿宋" w:hAnsi="仿宋" w:eastAsia="仿宋" w:cs="仿宋"/>
          <w:sz w:val="24"/>
          <w:szCs w:val="24"/>
        </w:rPr>
      </w:pPr>
      <w:bookmarkStart w:id="537" w:name="_Toc396"/>
      <w:bookmarkStart w:id="538" w:name="_Toc7181"/>
      <w:r>
        <w:rPr>
          <w:rFonts w:hint="eastAsia" w:ascii="仿宋" w:hAnsi="仿宋" w:eastAsia="仿宋" w:cs="仿宋"/>
          <w:sz w:val="24"/>
          <w:szCs w:val="24"/>
          <w:lang w:val="en-US" w:eastAsia="zh-CN"/>
        </w:rPr>
        <w:t>四、租用政务信创云服务器资源清单</w:t>
      </w:r>
      <w:bookmarkEnd w:id="537"/>
      <w:bookmarkEnd w:id="538"/>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4374"/>
        <w:gridCol w:w="1406"/>
        <w:gridCol w:w="976"/>
      </w:tblGrid>
      <w:tr w14:paraId="4EF5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035" w:type="pct"/>
            <w:vAlign w:val="center"/>
          </w:tcPr>
          <w:p w14:paraId="33706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服务器资源名称</w:t>
            </w:r>
          </w:p>
        </w:tc>
        <w:tc>
          <w:tcPr>
            <w:tcW w:w="2567" w:type="pct"/>
            <w:shd w:val="clear" w:color="auto" w:fill="auto"/>
            <w:vAlign w:val="center"/>
          </w:tcPr>
          <w:p w14:paraId="19AE71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性能/功能参数</w:t>
            </w:r>
          </w:p>
        </w:tc>
        <w:tc>
          <w:tcPr>
            <w:tcW w:w="825" w:type="pct"/>
            <w:shd w:val="clear" w:color="auto" w:fill="auto"/>
            <w:vAlign w:val="center"/>
          </w:tcPr>
          <w:p w14:paraId="58C5CC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单位</w:t>
            </w:r>
          </w:p>
        </w:tc>
        <w:tc>
          <w:tcPr>
            <w:tcW w:w="571" w:type="pct"/>
            <w:shd w:val="clear" w:color="auto" w:fill="auto"/>
            <w:vAlign w:val="center"/>
          </w:tcPr>
          <w:p w14:paraId="3BDAE4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w:t>
            </w:r>
          </w:p>
        </w:tc>
      </w:tr>
      <w:tr w14:paraId="6F4A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5" w:type="pct"/>
            <w:vMerge w:val="restart"/>
            <w:vAlign w:val="center"/>
          </w:tcPr>
          <w:p w14:paraId="5E7819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系统部署服务器</w:t>
            </w:r>
          </w:p>
        </w:tc>
        <w:tc>
          <w:tcPr>
            <w:tcW w:w="2567" w:type="pct"/>
            <w:shd w:val="clear" w:color="auto" w:fill="auto"/>
            <w:vAlign w:val="top"/>
          </w:tcPr>
          <w:p w14:paraId="11C443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标准硬盘：1024G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175B88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56C0E0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B4E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727AB5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1F775D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高性能硬盘:1024G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3E437E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76F5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4164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345BF3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46FFF8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标准硬盘：500G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9EA08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579A5B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599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720477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3A9DC6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260C4D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9CDB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141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E98B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3B67722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4CPU 8G内存 标准硬盘：300G</w:t>
            </w:r>
          </w:p>
          <w:p w14:paraId="2F970FFA">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467F7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4E7603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9C4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D4EC8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3A7DED2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16CPU 32G内存 高性能硬盘:1024G</w:t>
            </w:r>
          </w:p>
          <w:p w14:paraId="30C27D51">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7C2A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33374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23A9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1B7E5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4D8B1721">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21DE0B1D">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213F6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4DE99A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2A2C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652C4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4016A289">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07AEE45E">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 2.7GHz</w:t>
            </w:r>
          </w:p>
        </w:tc>
        <w:tc>
          <w:tcPr>
            <w:tcW w:w="825" w:type="pct"/>
            <w:shd w:val="clear" w:color="auto" w:fill="auto"/>
            <w:vAlign w:val="center"/>
          </w:tcPr>
          <w:p w14:paraId="4E9B3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B304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EF1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4317F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5B295525">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标准硬盘：500G</w:t>
            </w:r>
          </w:p>
          <w:p w14:paraId="6BE28B7B">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7016CA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861FC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4537D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5669A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17BD999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标准硬盘：200G</w:t>
            </w:r>
          </w:p>
          <w:p w14:paraId="18CFF263">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6E2CB8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63684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FB5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vMerge w:val="continue"/>
            <w:vAlign w:val="center"/>
          </w:tcPr>
          <w:p w14:paraId="2E0C65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p>
        </w:tc>
        <w:tc>
          <w:tcPr>
            <w:tcW w:w="2567" w:type="pct"/>
            <w:shd w:val="clear" w:color="auto" w:fill="auto"/>
            <w:vAlign w:val="top"/>
          </w:tcPr>
          <w:p w14:paraId="7733348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8CPU 16G内存 标准硬盘：1024G</w:t>
            </w:r>
          </w:p>
          <w:p w14:paraId="018BA6B8">
            <w:pPr>
              <w:pStyle w:val="9"/>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CPU：2.7GHz</w:t>
            </w:r>
          </w:p>
        </w:tc>
        <w:tc>
          <w:tcPr>
            <w:tcW w:w="825" w:type="pct"/>
            <w:shd w:val="clear" w:color="auto" w:fill="auto"/>
            <w:vAlign w:val="center"/>
          </w:tcPr>
          <w:p w14:paraId="114D30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235F54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11CF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06A876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移动硬盘</w:t>
            </w:r>
          </w:p>
        </w:tc>
        <w:tc>
          <w:tcPr>
            <w:tcW w:w="2567" w:type="pct"/>
            <w:shd w:val="clear" w:color="auto" w:fill="auto"/>
            <w:vAlign w:val="top"/>
          </w:tcPr>
          <w:p w14:paraId="794EE48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存储空间4TB、2.5英寸、支持USB3.0，外接终端设备可以快速拷贝电子档案资料，支持AES-256硬件加密。</w:t>
            </w:r>
          </w:p>
        </w:tc>
        <w:tc>
          <w:tcPr>
            <w:tcW w:w="825" w:type="pct"/>
            <w:shd w:val="clear" w:color="auto" w:fill="auto"/>
            <w:vAlign w:val="center"/>
          </w:tcPr>
          <w:p w14:paraId="2D6B4B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个</w:t>
            </w:r>
          </w:p>
        </w:tc>
        <w:tc>
          <w:tcPr>
            <w:tcW w:w="571" w:type="pct"/>
            <w:shd w:val="clear" w:color="auto" w:fill="auto"/>
            <w:vAlign w:val="center"/>
          </w:tcPr>
          <w:p w14:paraId="357779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r>
      <w:tr w14:paraId="32EF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A9824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对象存储资源包10T</w:t>
            </w:r>
          </w:p>
        </w:tc>
        <w:tc>
          <w:tcPr>
            <w:tcW w:w="2567" w:type="pct"/>
            <w:shd w:val="clear" w:color="auto" w:fill="auto"/>
            <w:vAlign w:val="top"/>
          </w:tcPr>
          <w:p w14:paraId="7884652F">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用于电子档案数据在云端的存储，容量为10T</w:t>
            </w:r>
          </w:p>
          <w:p w14:paraId="7A42953B">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服务可用性达到99.95%</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持久性不低于99.999999999%</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冗余分布式架构</w:t>
            </w:r>
          </w:p>
        </w:tc>
        <w:tc>
          <w:tcPr>
            <w:tcW w:w="825" w:type="pct"/>
            <w:shd w:val="clear" w:color="auto" w:fill="auto"/>
            <w:vAlign w:val="center"/>
          </w:tcPr>
          <w:p w14:paraId="26884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66FF17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536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873BC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公网IP</w:t>
            </w:r>
          </w:p>
        </w:tc>
        <w:tc>
          <w:tcPr>
            <w:tcW w:w="2567" w:type="pct"/>
            <w:shd w:val="clear" w:color="auto" w:fill="auto"/>
            <w:vAlign w:val="top"/>
          </w:tcPr>
          <w:p w14:paraId="590CA181">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用于服务器端访问</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（政务云无公网IP）</w:t>
            </w:r>
          </w:p>
        </w:tc>
        <w:tc>
          <w:tcPr>
            <w:tcW w:w="825" w:type="pct"/>
            <w:shd w:val="clear" w:color="auto" w:fill="auto"/>
            <w:vAlign w:val="center"/>
          </w:tcPr>
          <w:p w14:paraId="2C8BD1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24E75F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70BB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68B3B4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SSL账号</w:t>
            </w:r>
          </w:p>
        </w:tc>
        <w:tc>
          <w:tcPr>
            <w:tcW w:w="2567" w:type="pct"/>
            <w:shd w:val="clear" w:color="auto" w:fill="auto"/>
            <w:vAlign w:val="top"/>
          </w:tcPr>
          <w:p w14:paraId="4761FB81">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环境下用于外部访问服务器上的业务系统</w:t>
            </w:r>
          </w:p>
        </w:tc>
        <w:tc>
          <w:tcPr>
            <w:tcW w:w="825" w:type="pct"/>
            <w:shd w:val="clear" w:color="auto" w:fill="auto"/>
            <w:vAlign w:val="center"/>
          </w:tcPr>
          <w:p w14:paraId="62E765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10FE3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20E8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236DC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50M服务器对外共享带宽</w:t>
            </w:r>
          </w:p>
        </w:tc>
        <w:tc>
          <w:tcPr>
            <w:tcW w:w="2567" w:type="pct"/>
            <w:shd w:val="clear" w:color="auto" w:fill="auto"/>
            <w:vAlign w:val="top"/>
          </w:tcPr>
          <w:p w14:paraId="52D140D2">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带宽50M，用于中心工作人员通过互联网访问电子档案管理系统等业务系统（政务云无公网IP）</w:t>
            </w:r>
          </w:p>
        </w:tc>
        <w:tc>
          <w:tcPr>
            <w:tcW w:w="825" w:type="pct"/>
            <w:shd w:val="clear" w:color="auto" w:fill="auto"/>
            <w:vAlign w:val="center"/>
          </w:tcPr>
          <w:p w14:paraId="2295E5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w:t>
            </w:r>
          </w:p>
        </w:tc>
        <w:tc>
          <w:tcPr>
            <w:tcW w:w="571" w:type="pct"/>
            <w:shd w:val="clear" w:color="auto" w:fill="auto"/>
            <w:vAlign w:val="center"/>
          </w:tcPr>
          <w:p w14:paraId="7A6A5A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61B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5328F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国产操作系统</w:t>
            </w:r>
          </w:p>
        </w:tc>
        <w:tc>
          <w:tcPr>
            <w:tcW w:w="2567" w:type="pct"/>
            <w:shd w:val="clear" w:color="auto" w:fill="auto"/>
            <w:vAlign w:val="top"/>
          </w:tcPr>
          <w:p w14:paraId="573F4C4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1，内核版本：同一镜像，在系统安装时，提供4.19和5.10的内核版本选择。</w:t>
            </w:r>
          </w:p>
          <w:p w14:paraId="6826F3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2，cpu支持：支持AMD64、ARM64、Mips64、SW64、LoongArch CPU架构；支持飞腾、鲲鹏、海光、兆芯、龙芯、申威等CPU芯片</w:t>
            </w:r>
          </w:p>
          <w:p w14:paraId="72D7799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3，压力分析：支持同品牌国产Linux系统通用压力分析套件软件。</w:t>
            </w:r>
          </w:p>
          <w:p w14:paraId="316F49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4，性能评估：支持同品牌国产Linux系统通用性能评分套件软件。</w:t>
            </w:r>
          </w:p>
        </w:tc>
        <w:tc>
          <w:tcPr>
            <w:tcW w:w="825" w:type="pct"/>
            <w:shd w:val="clear" w:color="auto" w:fill="auto"/>
            <w:vAlign w:val="center"/>
          </w:tcPr>
          <w:p w14:paraId="56E00A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054EF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r>
      <w:tr w14:paraId="3566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4844B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国产数据库</w:t>
            </w:r>
          </w:p>
        </w:tc>
        <w:tc>
          <w:tcPr>
            <w:tcW w:w="2567" w:type="pct"/>
            <w:shd w:val="clear" w:color="auto" w:fill="auto"/>
            <w:vAlign w:val="top"/>
          </w:tcPr>
          <w:p w14:paraId="58B22E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p w14:paraId="544E47E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备智能数据库自治优化技术，支持基于代价的查询优化器；支持表及索引的统计信息；支持通过分析对象统计信息来生成最优（代价最小）的执行计划；支持数据库动态配置调整，支持数据库内存及执行计划智能配置。</w:t>
            </w:r>
          </w:p>
          <w:p w14:paraId="11CA531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支持数据加密存储，支持国密算法加密，支持全面加密，数据文件，日志文件，备份文件，导入导出文件等均支持透明加密。支持数据库级、表级、列级等不同级别加密，支持不同用户、不同列设置不同密钥。</w:t>
            </w:r>
          </w:p>
          <w:p w14:paraId="15C6DA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提供数据页级恢复功能，允许从备份中还原并恢复指定的数据页。</w:t>
            </w:r>
          </w:p>
        </w:tc>
        <w:tc>
          <w:tcPr>
            <w:tcW w:w="825" w:type="pct"/>
            <w:shd w:val="clear" w:color="auto" w:fill="auto"/>
            <w:vAlign w:val="center"/>
          </w:tcPr>
          <w:p w14:paraId="2FF25B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0696B0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5884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 w:type="pct"/>
            <w:shd w:val="clear" w:color="auto" w:fill="auto"/>
            <w:vAlign w:val="center"/>
          </w:tcPr>
          <w:p w14:paraId="0C932F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容器中间件</w:t>
            </w:r>
          </w:p>
        </w:tc>
        <w:tc>
          <w:tcPr>
            <w:tcW w:w="2567" w:type="pct"/>
            <w:shd w:val="clear" w:color="auto" w:fill="auto"/>
            <w:vAlign w:val="top"/>
          </w:tcPr>
          <w:p w14:paraId="14FA609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用于为上层应用提供运行环境、主要功能包括：提供Web服务、EJB服务、消息服务以及集群服务。产品需具备良好安全可靠能力以及与国产化芯片、操作系统中标麒麟、银河麒麟等兼容性，支持多种主流国产数据库，包括人大金仓、达梦、神通、南大通用等数据库。</w:t>
            </w:r>
          </w:p>
          <w:p w14:paraId="42CF86A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2、支持JavaServer Faces（JSF）标准功能框架，且同时支持在JSF中，可执行动态方法，中间件产品需要提供相关的支持方法及组件模块。</w:t>
            </w:r>
          </w:p>
          <w:p w14:paraId="26DD6B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3、提供完善的公共类管理策略，在实现共享库管理的基础上，也同时需要提供独特的、具备专利水平的类装载隔离策略及装置模块。</w:t>
            </w:r>
          </w:p>
        </w:tc>
        <w:tc>
          <w:tcPr>
            <w:tcW w:w="825" w:type="pct"/>
            <w:shd w:val="clear" w:color="auto" w:fill="auto"/>
            <w:vAlign w:val="center"/>
          </w:tcPr>
          <w:p w14:paraId="491074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c>
          <w:tcPr>
            <w:tcW w:w="571" w:type="pct"/>
            <w:shd w:val="clear" w:color="auto" w:fill="auto"/>
            <w:vAlign w:val="center"/>
          </w:tcPr>
          <w:p w14:paraId="18215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5B01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5000" w:type="pct"/>
            <w:gridSpan w:val="4"/>
            <w:shd w:val="clear" w:color="auto" w:fill="auto"/>
            <w:vAlign w:val="center"/>
          </w:tcPr>
          <w:p w14:paraId="1B0D587B">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着重提示：需确保本项目提供的操作系统、数据库、中间件与所租赁的国产化服务器资源兼容适配，保障软件应用系统可以正常运行。</w:t>
            </w:r>
          </w:p>
        </w:tc>
      </w:tr>
    </w:tbl>
    <w:p w14:paraId="48190D8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商务要求：</w:t>
      </w:r>
    </w:p>
    <w:p w14:paraId="1D8993C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2" w:firstLineChars="200"/>
        <w:jc w:val="lef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eastAsia="zh-CN"/>
        </w:rPr>
        <w:t>（一）实施（服务）期 ：</w:t>
      </w:r>
      <w:r>
        <w:rPr>
          <w:rFonts w:hint="eastAsia" w:ascii="仿宋" w:hAnsi="仿宋" w:eastAsia="仿宋" w:cs="仿宋"/>
          <w:b w:val="0"/>
          <w:bCs w:val="0"/>
          <w:color w:val="auto"/>
          <w:highlight w:val="none"/>
          <w:lang w:val="en-US" w:eastAsia="zh-CN"/>
        </w:rPr>
        <w:t>150天（签订合同之日起算）内完成所有建设内容并正式投入使用。</w:t>
      </w:r>
    </w:p>
    <w:p w14:paraId="6E8A09AC">
      <w:pPr>
        <w:keepNext w:val="0"/>
        <w:keepLines w:val="0"/>
        <w:pageBreakBefore w:val="0"/>
        <w:widowControl w:val="0"/>
        <w:kinsoku/>
        <w:wordWrap/>
        <w:overflowPunct/>
        <w:topLinePunct w:val="0"/>
        <w:autoSpaceDE/>
        <w:autoSpaceDN/>
        <w:bidi w:val="0"/>
        <w:adjustRightInd/>
        <w:snapToGrid/>
        <w:spacing w:line="460" w:lineRule="exact"/>
        <w:ind w:left="480" w:left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（二）实施（服务）地点</w:t>
      </w:r>
      <w:r>
        <w:rPr>
          <w:rFonts w:hint="eastAsia" w:ascii="仿宋" w:hAnsi="仿宋" w:eastAsia="仿宋" w:cs="仿宋"/>
          <w:color w:val="auto"/>
          <w:highlight w:val="none"/>
          <w:lang w:eastAsia="zh-CN"/>
        </w:rPr>
        <w:t xml:space="preserve"> ：甲方指定地点</w:t>
      </w:r>
    </w:p>
    <w:p w14:paraId="09AD842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0C492F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服务本身价格、保险费用、培训费、养护费、包装费、运输费用、二次搬运费、装卸费、损耗、税金费用、自检费、人工费、其他配件费及验收合格前和质保期内发生的一切费用、应当提供的伴随服务/售后服务费用。</w:t>
      </w:r>
    </w:p>
    <w:p w14:paraId="582072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（四）项目质保及售后服务</w:t>
      </w:r>
    </w:p>
    <w:p w14:paraId="4F36EA4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8" w:firstLineChars="200"/>
        <w:textAlignment w:val="auto"/>
        <w:rPr>
          <w:rFonts w:hint="eastAsia" w:ascii="方正仿宋" w:hAnsi="方正仿宋" w:eastAsia="方正仿宋" w:cs="方正仿宋"/>
          <w:b w:val="0"/>
          <w:bCs w:val="0"/>
          <w:snapToGrid w:val="0"/>
          <w:color w:val="000000"/>
          <w:spacing w:val="7"/>
          <w:kern w:val="0"/>
          <w:sz w:val="24"/>
          <w:szCs w:val="24"/>
          <w:lang w:val="en-US" w:eastAsia="zh-CN"/>
        </w:rPr>
      </w:pPr>
      <w:r>
        <w:rPr>
          <w:rFonts w:hint="eastAsia" w:ascii="方正仿宋" w:hAnsi="方正仿宋" w:eastAsia="方正仿宋" w:cs="方正仿宋"/>
          <w:b w:val="0"/>
          <w:bCs w:val="0"/>
          <w:snapToGrid w:val="0"/>
          <w:color w:val="000000"/>
          <w:spacing w:val="7"/>
          <w:kern w:val="0"/>
          <w:sz w:val="24"/>
          <w:szCs w:val="24"/>
          <w:lang w:val="en-US" w:eastAsia="zh-CN"/>
        </w:rPr>
        <w:t>1、质保期：三年免费质保（项目整体验收合格之日起算），根据新颁布的相关政策法规调整，三年内免费提供系统新增模块、优化升级、技术支持等服务。</w:t>
      </w:r>
    </w:p>
    <w:p w14:paraId="728A49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08" w:firstLineChars="200"/>
        <w:textAlignment w:val="auto"/>
        <w:rPr>
          <w:rFonts w:hint="eastAsia" w:ascii="方正仿宋" w:hAnsi="方正仿宋" w:eastAsia="方正仿宋" w:cs="方正仿宋"/>
          <w:b w:val="0"/>
          <w:bCs w:val="0"/>
          <w:snapToGrid w:val="0"/>
          <w:color w:val="000000"/>
          <w:spacing w:val="7"/>
          <w:kern w:val="0"/>
          <w:sz w:val="24"/>
          <w:szCs w:val="24"/>
          <w:lang w:val="en-US" w:eastAsia="zh-CN"/>
        </w:rPr>
      </w:pPr>
      <w:r>
        <w:rPr>
          <w:rFonts w:hint="eastAsia" w:ascii="方正仿宋" w:hAnsi="方正仿宋" w:eastAsia="方正仿宋" w:cs="方正仿宋"/>
          <w:b w:val="0"/>
          <w:bCs w:val="0"/>
          <w:snapToGrid w:val="0"/>
          <w:color w:val="000000"/>
          <w:spacing w:val="7"/>
          <w:kern w:val="0"/>
          <w:sz w:val="24"/>
          <w:szCs w:val="24"/>
          <w:lang w:val="en-US" w:eastAsia="zh-CN"/>
        </w:rPr>
        <w:t>2、无论质保期内外，均应提供7×24小时免费技术咨询，接到故障报告后最晚30分钟内必须响应。有责任协助采购方解决平台在使用过程中碰到的问题。为维修和技术支持所未能解决的问题和故障提供正式的升级方案。需要现场服务时，应在2小时内到达现场，质保期内的所有服务免费。</w:t>
      </w:r>
    </w:p>
    <w:p w14:paraId="701A5681">
      <w:pPr>
        <w:keepNext w:val="0"/>
        <w:keepLines w:val="0"/>
        <w:pageBreakBefore w:val="0"/>
        <w:widowControl w:val="0"/>
        <w:kinsoku/>
        <w:wordWrap/>
        <w:overflowPunct/>
        <w:topLinePunct w:val="0"/>
        <w:autoSpaceDE/>
        <w:autoSpaceDN/>
        <w:bidi w:val="0"/>
        <w:adjustRightInd/>
        <w:snapToGrid/>
        <w:spacing w:line="460" w:lineRule="exact"/>
        <w:ind w:firstLine="508" w:firstLineChars="200"/>
        <w:textAlignment w:val="auto"/>
        <w:rPr>
          <w:rFonts w:hint="eastAsia" w:ascii="方正仿宋" w:hAnsi="方正仿宋" w:eastAsia="方正仿宋" w:cs="方正仿宋"/>
          <w:b w:val="0"/>
          <w:bCs w:val="0"/>
          <w:snapToGrid w:val="0"/>
          <w:color w:val="000000"/>
          <w:spacing w:val="7"/>
          <w:kern w:val="0"/>
          <w:sz w:val="24"/>
          <w:szCs w:val="24"/>
          <w:highlight w:val="none"/>
          <w:lang w:val="en-US" w:eastAsia="zh-CN"/>
        </w:rPr>
      </w:pPr>
      <w:r>
        <w:rPr>
          <w:rFonts w:hint="eastAsia" w:ascii="方正仿宋" w:hAnsi="方正仿宋" w:eastAsia="方正仿宋" w:cs="方正仿宋"/>
          <w:b w:val="0"/>
          <w:bCs w:val="0"/>
          <w:snapToGrid w:val="0"/>
          <w:color w:val="000000"/>
          <w:spacing w:val="7"/>
          <w:kern w:val="0"/>
          <w:sz w:val="24"/>
          <w:szCs w:val="24"/>
          <w:highlight w:val="none"/>
          <w:lang w:val="en-US" w:eastAsia="zh-CN"/>
        </w:rPr>
        <w:t>3、服务要求</w:t>
      </w:r>
    </w:p>
    <w:p w14:paraId="791FED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1.系统维护 </w:t>
      </w:r>
    </w:p>
    <w:p w14:paraId="5AAE9C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（1）软件故障排除和恢复； </w:t>
      </w:r>
    </w:p>
    <w:p w14:paraId="1E6598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（2）系统数据备份和恢复； </w:t>
      </w:r>
    </w:p>
    <w:p w14:paraId="706990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（3）对系统进行更新和升级。 </w:t>
      </w:r>
    </w:p>
    <w:p w14:paraId="176DFE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2.技术支持 </w:t>
      </w:r>
    </w:p>
    <w:p w14:paraId="335E2B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（1）现场故障诊断5*8小时； </w:t>
      </w:r>
    </w:p>
    <w:p w14:paraId="7B5D91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（2）电话远程技术服务7*24小时； </w:t>
      </w:r>
    </w:p>
    <w:p w14:paraId="38357F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（3）响应速度为30分钟内到达现场（市区以内）。 </w:t>
      </w:r>
    </w:p>
    <w:p w14:paraId="291B68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3.维护人员数量及响应时间 </w:t>
      </w:r>
    </w:p>
    <w:p w14:paraId="1121BE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（1）</w:t>
      </w:r>
      <w:r>
        <w:rPr>
          <w:rFonts w:hint="eastAsia" w:ascii="仿宋" w:hAnsi="仿宋" w:eastAsia="仿宋" w:cs="仿宋"/>
          <w:b/>
          <w:bCs/>
          <w:color w:val="auto"/>
          <w:highlight w:val="none"/>
          <w:lang w:val="en-US" w:eastAsia="zh-CN"/>
        </w:rPr>
        <w:t>保证驻场工作人员至少1名；</w:t>
      </w:r>
      <w:r>
        <w:rPr>
          <w:rFonts w:hint="eastAsia" w:ascii="仿宋" w:hAnsi="仿宋" w:eastAsia="仿宋" w:cs="仿宋"/>
          <w:b w:val="0"/>
          <w:bCs w:val="0"/>
          <w:color w:val="auto"/>
          <w:highlight w:val="none"/>
          <w:lang w:val="en-US" w:eastAsia="zh-CN"/>
        </w:rPr>
        <w:t xml:space="preserve"> </w:t>
      </w:r>
    </w:p>
    <w:p w14:paraId="7361F8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（2）可根据特殊情况随时增派工作人员以满足工作需要； </w:t>
      </w:r>
    </w:p>
    <w:p w14:paraId="2077F5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（3）维护地点在阿图什市城区内30分钟之内到达现场； </w:t>
      </w:r>
    </w:p>
    <w:p w14:paraId="1CD753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（4）现场处置响应为5*8小时,电话远程响应为7*24小时。 </w:t>
      </w:r>
    </w:p>
    <w:p w14:paraId="565A98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4.服务范围 </w:t>
      </w:r>
    </w:p>
    <w:p w14:paraId="127E2E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（1）项目管理：根据合同内容和实施计划控制和把握项目整体进度； </w:t>
      </w:r>
    </w:p>
    <w:p w14:paraId="42D732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（2）系统部署：按照项目实施方案对开发内容进行现场部署； </w:t>
      </w:r>
    </w:p>
    <w:p w14:paraId="271D14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（3）系统测试：按照建设内容对系统部署，对接等内容进行详细测试； </w:t>
      </w:r>
    </w:p>
    <w:p w14:paraId="10671F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（4）客户对接：根据项目实施进度和系统部署，测试情况，定期与客户对接项目进度和系统开发，部署，测试情况，根据客户需求对系统进行优化调整； </w:t>
      </w:r>
    </w:p>
    <w:p w14:paraId="1B1C3D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（5）系统运维：对系统在使用中出现的各类问题进行急事处理，保证系统的正常运行。</w:t>
      </w:r>
    </w:p>
    <w:p w14:paraId="50D536D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346A2072">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1、严格按照招标文件要求和中标供应商投标文件内容进行验收。 </w:t>
      </w:r>
    </w:p>
    <w:p w14:paraId="7559B3B2">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 xml:space="preserve">2、严格按照政府采购相关法律法规的要求进行验收。 </w:t>
      </w:r>
    </w:p>
    <w:p w14:paraId="620C8B2F">
      <w:pPr>
        <w:keepNext w:val="0"/>
        <w:keepLines w:val="0"/>
        <w:pageBreakBefore w:val="0"/>
        <w:widowControl w:val="0"/>
        <w:kinsoku/>
        <w:wordWrap/>
        <w:overflowPunct/>
        <w:topLinePunct w:val="0"/>
        <w:autoSpaceDE/>
        <w:autoSpaceDN/>
        <w:bidi w:val="0"/>
        <w:adjustRightInd/>
        <w:snapToGrid/>
        <w:spacing w:line="460" w:lineRule="exact"/>
        <w:ind w:firstLine="354"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4A6599B9">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ascii="仿宋" w:hAnsi="仿宋" w:eastAsia="仿宋" w:cs="仿宋"/>
          <w:b w:val="0"/>
          <w:bCs w:val="0"/>
          <w:color w:val="auto"/>
          <w:highlight w:val="yellow"/>
          <w:lang w:eastAsia="zh-CN"/>
        </w:rPr>
      </w:pPr>
      <w:r>
        <w:rPr>
          <w:rFonts w:hint="eastAsia" w:ascii="仿宋" w:hAnsi="仿宋" w:eastAsia="仿宋" w:cs="仿宋"/>
          <w:b w:val="0"/>
          <w:bCs w:val="0"/>
          <w:color w:val="auto"/>
          <w:highlight w:val="none"/>
          <w:lang w:val="en-US" w:eastAsia="zh-CN"/>
        </w:rPr>
        <w:t>合同签订后支付款项600000元，待项目完成验收合格运行无问题后，一次性支付剩余全部款项</w:t>
      </w:r>
      <w:r>
        <w:rPr>
          <w:rFonts w:hint="eastAsia" w:ascii="仿宋" w:hAnsi="仿宋" w:eastAsia="仿宋" w:cs="仿宋"/>
          <w:b w:val="0"/>
          <w:bCs w:val="0"/>
          <w:color w:val="auto"/>
          <w:highlight w:val="none"/>
          <w:lang w:eastAsia="zh-CN"/>
        </w:rPr>
        <w:t>（具体以甲乙双方签订合同为准）。</w:t>
      </w:r>
    </w:p>
    <w:p w14:paraId="41105E2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7ADBCB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6"/>
    <w:bookmarkEnd w:id="47"/>
    <w:p w14:paraId="3001DB4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仿宋" w:hAnsi="仿宋" w:eastAsia="仿宋" w:cs="仿宋"/>
          <w:b/>
          <w:bCs/>
          <w:color w:val="auto"/>
          <w:highlight w:val="none"/>
          <w:lang w:eastAsia="zh-CN"/>
        </w:rPr>
      </w:pPr>
      <w:bookmarkStart w:id="539" w:name="_Toc20832"/>
      <w:bookmarkStart w:id="540" w:name="_Toc12239"/>
      <w:bookmarkStart w:id="541" w:name="_Toc7598"/>
      <w:bookmarkStart w:id="542" w:name="_Toc267320054"/>
      <w:bookmarkStart w:id="543" w:name="_Toc12840_WPSOffice_Level1"/>
      <w:bookmarkStart w:id="544" w:name="_Toc439255252"/>
      <w:bookmarkStart w:id="545" w:name="_Toc469495740"/>
      <w:r>
        <w:rPr>
          <w:rFonts w:hint="eastAsia" w:ascii="仿宋" w:hAnsi="仿宋" w:eastAsia="仿宋" w:cs="仿宋"/>
          <w:b/>
          <w:bCs/>
          <w:color w:val="auto"/>
          <w:highlight w:val="none"/>
          <w:lang w:eastAsia="zh-CN"/>
        </w:rPr>
        <w:t>（九）其他</w:t>
      </w:r>
      <w:bookmarkEnd w:id="539"/>
      <w:bookmarkEnd w:id="540"/>
      <w:bookmarkEnd w:id="541"/>
    </w:p>
    <w:bookmarkEnd w:id="542"/>
    <w:bookmarkEnd w:id="543"/>
    <w:bookmarkEnd w:id="544"/>
    <w:p w14:paraId="71C7D5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0BA5C3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2、中标人与采购人签订《协议》后，须与用户方签订《服务采购供应合同》（包括服务范围、需求数量、单价等），明确具体数量、时间、送达地点等内容。</w:t>
      </w:r>
    </w:p>
    <w:p w14:paraId="36B565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7FC265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若供应商不能按招标文件规定的服务期正常服务，采购方有权终止采购合同，并将相关情况上报给采购计划主管部门，取消其中标资格。</w:t>
      </w:r>
    </w:p>
    <w:p w14:paraId="4D731E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45"/>
    </w:p>
    <w:p w14:paraId="2C9DFC3E">
      <w:pPr>
        <w:keepNext w:val="0"/>
        <w:keepLines w:val="0"/>
        <w:pageBreakBefore w:val="0"/>
        <w:widowControl w:val="0"/>
        <w:kinsoku/>
        <w:wordWrap/>
        <w:overflowPunct/>
        <w:topLinePunct w:val="0"/>
        <w:autoSpaceDE/>
        <w:autoSpaceDN/>
        <w:bidi w:val="0"/>
        <w:adjustRightInd/>
        <w:snapToGrid/>
        <w:spacing w:line="360" w:lineRule="exact"/>
        <w:ind w:firstLine="602" w:firstLineChars="200"/>
        <w:textAlignment w:val="auto"/>
        <w:rPr>
          <w:rFonts w:ascii="仿宋" w:hAnsi="仿宋" w:eastAsia="仿宋" w:cs="仿宋"/>
          <w:b/>
          <w:color w:val="auto"/>
          <w:sz w:val="30"/>
          <w:szCs w:val="30"/>
          <w:highlight w:val="none"/>
          <w:lang w:eastAsia="zh-CN"/>
        </w:rPr>
      </w:pPr>
    </w:p>
    <w:p w14:paraId="0AFD2D28">
      <w:pPr>
        <w:spacing w:line="480" w:lineRule="exact"/>
        <w:jc w:val="center"/>
        <w:outlineLvl w:val="1"/>
        <w:rPr>
          <w:rFonts w:hint="eastAsia" w:ascii="仿宋" w:hAnsi="仿宋" w:eastAsia="仿宋" w:cs="仿宋"/>
          <w:b/>
          <w:color w:val="auto"/>
          <w:sz w:val="30"/>
          <w:szCs w:val="30"/>
          <w:highlight w:val="none"/>
          <w:lang w:eastAsia="zh-CN"/>
        </w:rPr>
      </w:pPr>
    </w:p>
    <w:p w14:paraId="211BAEDF">
      <w:pPr>
        <w:spacing w:line="480" w:lineRule="exact"/>
        <w:jc w:val="center"/>
        <w:outlineLvl w:val="1"/>
        <w:rPr>
          <w:rFonts w:hint="eastAsia" w:ascii="仿宋" w:hAnsi="仿宋" w:eastAsia="仿宋" w:cs="仿宋"/>
          <w:b/>
          <w:color w:val="auto"/>
          <w:sz w:val="30"/>
          <w:szCs w:val="30"/>
          <w:highlight w:val="none"/>
          <w:lang w:eastAsia="zh-CN"/>
        </w:rPr>
      </w:pPr>
    </w:p>
    <w:p w14:paraId="343DF5A2">
      <w:pPr>
        <w:spacing w:line="480" w:lineRule="exact"/>
        <w:jc w:val="center"/>
        <w:outlineLvl w:val="1"/>
        <w:rPr>
          <w:rFonts w:hint="eastAsia" w:ascii="仿宋" w:hAnsi="仿宋" w:eastAsia="仿宋" w:cs="仿宋"/>
          <w:b/>
          <w:color w:val="auto"/>
          <w:sz w:val="30"/>
          <w:szCs w:val="30"/>
          <w:highlight w:val="none"/>
          <w:lang w:eastAsia="zh-CN"/>
        </w:rPr>
      </w:pPr>
    </w:p>
    <w:p w14:paraId="5EB3202A">
      <w:pPr>
        <w:spacing w:line="480" w:lineRule="exact"/>
        <w:jc w:val="center"/>
        <w:outlineLvl w:val="1"/>
        <w:rPr>
          <w:rFonts w:hint="eastAsia" w:ascii="仿宋" w:hAnsi="仿宋" w:eastAsia="仿宋" w:cs="仿宋"/>
          <w:b/>
          <w:color w:val="auto"/>
          <w:sz w:val="30"/>
          <w:szCs w:val="30"/>
          <w:highlight w:val="none"/>
          <w:lang w:eastAsia="zh-CN"/>
        </w:rPr>
      </w:pPr>
    </w:p>
    <w:p w14:paraId="5C36DD44">
      <w:pPr>
        <w:spacing w:line="480" w:lineRule="exact"/>
        <w:jc w:val="center"/>
        <w:outlineLvl w:val="1"/>
        <w:rPr>
          <w:rFonts w:hint="eastAsia" w:ascii="仿宋" w:hAnsi="仿宋" w:eastAsia="仿宋" w:cs="仿宋"/>
          <w:b/>
          <w:color w:val="auto"/>
          <w:sz w:val="30"/>
          <w:szCs w:val="30"/>
          <w:highlight w:val="none"/>
          <w:lang w:eastAsia="zh-CN"/>
        </w:rPr>
      </w:pPr>
    </w:p>
    <w:p w14:paraId="032D47AD">
      <w:pPr>
        <w:spacing w:line="480" w:lineRule="exact"/>
        <w:jc w:val="center"/>
        <w:outlineLvl w:val="1"/>
        <w:rPr>
          <w:rFonts w:hint="eastAsia" w:ascii="仿宋" w:hAnsi="仿宋" w:eastAsia="仿宋" w:cs="仿宋"/>
          <w:b/>
          <w:color w:val="auto"/>
          <w:sz w:val="30"/>
          <w:szCs w:val="30"/>
          <w:highlight w:val="none"/>
          <w:lang w:eastAsia="zh-CN"/>
        </w:rPr>
      </w:pPr>
    </w:p>
    <w:p w14:paraId="3A543974">
      <w:pPr>
        <w:spacing w:line="480" w:lineRule="exact"/>
        <w:jc w:val="center"/>
        <w:outlineLvl w:val="1"/>
        <w:rPr>
          <w:rFonts w:hint="eastAsia" w:ascii="仿宋" w:hAnsi="仿宋" w:eastAsia="仿宋" w:cs="仿宋"/>
          <w:b/>
          <w:color w:val="auto"/>
          <w:sz w:val="30"/>
          <w:szCs w:val="30"/>
          <w:highlight w:val="none"/>
          <w:lang w:eastAsia="zh-CN"/>
        </w:rPr>
      </w:pPr>
    </w:p>
    <w:p w14:paraId="3EA87826">
      <w:pPr>
        <w:spacing w:line="480" w:lineRule="exact"/>
        <w:jc w:val="center"/>
        <w:outlineLvl w:val="1"/>
        <w:rPr>
          <w:rFonts w:hint="eastAsia" w:ascii="仿宋" w:hAnsi="仿宋" w:eastAsia="仿宋" w:cs="仿宋"/>
          <w:b/>
          <w:color w:val="auto"/>
          <w:sz w:val="30"/>
          <w:szCs w:val="30"/>
          <w:highlight w:val="none"/>
          <w:lang w:eastAsia="zh-CN"/>
        </w:rPr>
      </w:pPr>
    </w:p>
    <w:p w14:paraId="598C9987">
      <w:pPr>
        <w:spacing w:line="480" w:lineRule="exact"/>
        <w:jc w:val="center"/>
        <w:outlineLvl w:val="1"/>
        <w:rPr>
          <w:rFonts w:hint="eastAsia" w:ascii="仿宋" w:hAnsi="仿宋" w:eastAsia="仿宋" w:cs="仿宋"/>
          <w:b/>
          <w:color w:val="auto"/>
          <w:sz w:val="30"/>
          <w:szCs w:val="30"/>
          <w:highlight w:val="none"/>
          <w:lang w:eastAsia="zh-CN"/>
        </w:rPr>
      </w:pPr>
    </w:p>
    <w:p w14:paraId="1CC43C14">
      <w:pPr>
        <w:spacing w:line="480" w:lineRule="exact"/>
        <w:jc w:val="center"/>
        <w:outlineLvl w:val="1"/>
        <w:rPr>
          <w:rFonts w:hint="eastAsia" w:ascii="仿宋" w:hAnsi="仿宋" w:eastAsia="仿宋" w:cs="仿宋"/>
          <w:b/>
          <w:color w:val="auto"/>
          <w:sz w:val="30"/>
          <w:szCs w:val="30"/>
          <w:highlight w:val="none"/>
          <w:lang w:eastAsia="zh-CN"/>
        </w:rPr>
      </w:pPr>
    </w:p>
    <w:p w14:paraId="51AF59E9">
      <w:pPr>
        <w:spacing w:line="480" w:lineRule="exact"/>
        <w:jc w:val="center"/>
        <w:outlineLvl w:val="1"/>
        <w:rPr>
          <w:rFonts w:hint="eastAsia" w:ascii="仿宋" w:hAnsi="仿宋" w:eastAsia="仿宋" w:cs="仿宋"/>
          <w:b/>
          <w:color w:val="auto"/>
          <w:sz w:val="30"/>
          <w:szCs w:val="30"/>
          <w:highlight w:val="none"/>
          <w:lang w:eastAsia="zh-CN"/>
        </w:rPr>
      </w:pPr>
    </w:p>
    <w:p w14:paraId="60167DAA">
      <w:pPr>
        <w:pStyle w:val="12"/>
        <w:numPr>
          <w:ilvl w:val="0"/>
          <w:numId w:val="0"/>
        </w:numPr>
        <w:ind w:leftChars="0"/>
        <w:rPr>
          <w:rFonts w:hint="eastAsia"/>
          <w:lang w:eastAsia="zh-CN"/>
        </w:rPr>
      </w:pPr>
    </w:p>
    <w:p w14:paraId="3924477E">
      <w:pPr>
        <w:rPr>
          <w:rFonts w:hint="eastAsia"/>
          <w:lang w:eastAsia="zh-CN"/>
        </w:rPr>
      </w:pPr>
    </w:p>
    <w:p w14:paraId="187E8F71">
      <w:pPr>
        <w:pStyle w:val="12"/>
        <w:numPr>
          <w:ilvl w:val="0"/>
          <w:numId w:val="0"/>
        </w:numPr>
        <w:ind w:leftChars="0"/>
        <w:rPr>
          <w:rFonts w:hint="eastAsia"/>
          <w:lang w:eastAsia="zh-CN"/>
        </w:rPr>
      </w:pPr>
    </w:p>
    <w:p w14:paraId="256EE45B">
      <w:pPr>
        <w:rPr>
          <w:rFonts w:hint="eastAsia"/>
          <w:lang w:eastAsia="zh-CN"/>
        </w:rPr>
      </w:pPr>
    </w:p>
    <w:p w14:paraId="24AC2F95">
      <w:pPr>
        <w:spacing w:line="480" w:lineRule="exact"/>
        <w:jc w:val="center"/>
        <w:outlineLvl w:val="1"/>
        <w:rPr>
          <w:rFonts w:hint="eastAsia" w:ascii="仿宋" w:hAnsi="仿宋" w:eastAsia="仿宋" w:cs="仿宋"/>
          <w:b/>
          <w:color w:val="auto"/>
          <w:sz w:val="30"/>
          <w:szCs w:val="30"/>
          <w:highlight w:val="none"/>
          <w:lang w:eastAsia="zh-CN"/>
        </w:rPr>
      </w:pPr>
    </w:p>
    <w:p w14:paraId="18C29037">
      <w:pPr>
        <w:widowControl w:val="0"/>
        <w:kinsoku/>
        <w:autoSpaceDE/>
        <w:autoSpaceDN/>
        <w:adjustRightInd/>
        <w:snapToGrid/>
        <w:spacing w:line="480" w:lineRule="exact"/>
        <w:jc w:val="center"/>
        <w:textAlignment w:val="auto"/>
        <w:outlineLvl w:val="1"/>
        <w:rPr>
          <w:rFonts w:hint="eastAsia" w:ascii="仿宋" w:hAnsi="仿宋" w:eastAsia="仿宋" w:cs="仿宋"/>
          <w:b/>
          <w:bCs w:val="0"/>
          <w:color w:val="auto"/>
          <w:sz w:val="36"/>
          <w:szCs w:val="36"/>
          <w:highlight w:val="none"/>
          <w:lang w:val="en-US" w:eastAsia="zh-CN"/>
        </w:rPr>
      </w:pPr>
    </w:p>
    <w:p w14:paraId="6F08F5C3">
      <w:pPr>
        <w:widowControl w:val="0"/>
        <w:kinsoku/>
        <w:autoSpaceDE/>
        <w:autoSpaceDN/>
        <w:adjustRightInd/>
        <w:snapToGrid/>
        <w:spacing w:line="480" w:lineRule="exact"/>
        <w:jc w:val="center"/>
        <w:textAlignment w:val="auto"/>
        <w:outlineLvl w:val="1"/>
        <w:rPr>
          <w:rFonts w:hint="eastAsia" w:ascii="仿宋" w:hAnsi="仿宋" w:eastAsia="仿宋" w:cs="仿宋"/>
          <w:b/>
          <w:snapToGrid/>
          <w:color w:val="auto"/>
          <w:kern w:val="0"/>
          <w:sz w:val="24"/>
          <w:szCs w:val="24"/>
          <w:highlight w:val="none"/>
          <w:lang w:val="en-US" w:eastAsia="zh-CN" w:bidi="en-US"/>
        </w:rPr>
      </w:pPr>
      <w:r>
        <w:rPr>
          <w:rFonts w:hint="eastAsia" w:ascii="仿宋" w:hAnsi="仿宋" w:eastAsia="仿宋" w:cs="仿宋"/>
          <w:b/>
          <w:bCs w:val="0"/>
          <w:color w:val="auto"/>
          <w:sz w:val="36"/>
          <w:szCs w:val="36"/>
          <w:highlight w:val="none"/>
          <w:lang w:val="en-US" w:eastAsia="zh-CN"/>
        </w:rPr>
        <w:t>第五章 采 购 合 同</w:t>
      </w:r>
    </w:p>
    <w:p w14:paraId="4D0BB9D2">
      <w:pPr>
        <w:spacing w:before="54" w:line="234" w:lineRule="auto"/>
        <w:ind w:left="31"/>
        <w:rPr>
          <w:rFonts w:hint="eastAsia" w:ascii="仿宋" w:hAnsi="仿宋" w:eastAsia="仿宋" w:cs="仿宋"/>
          <w:sz w:val="24"/>
          <w:szCs w:val="24"/>
        </w:rPr>
      </w:pPr>
      <w:r>
        <w:rPr>
          <w:rFonts w:hint="eastAsia" w:ascii="仿宋" w:hAnsi="仿宋" w:eastAsia="仿宋" w:cs="仿宋"/>
          <w:spacing w:val="8"/>
          <w:sz w:val="24"/>
          <w:szCs w:val="24"/>
        </w:rPr>
        <w:t>合</w:t>
      </w:r>
      <w:r>
        <w:rPr>
          <w:rFonts w:hint="eastAsia" w:ascii="仿宋" w:hAnsi="仿宋" w:eastAsia="仿宋" w:cs="仿宋"/>
          <w:spacing w:val="7"/>
          <w:sz w:val="24"/>
          <w:szCs w:val="24"/>
        </w:rPr>
        <w:t>同编号：</w:t>
      </w:r>
    </w:p>
    <w:p w14:paraId="228FD963">
      <w:pPr>
        <w:rPr>
          <w:rFonts w:hint="eastAsia" w:ascii="仿宋" w:hAnsi="仿宋" w:eastAsia="仿宋" w:cs="仿宋"/>
          <w:sz w:val="24"/>
          <w:szCs w:val="24"/>
        </w:rPr>
      </w:pPr>
    </w:p>
    <w:p w14:paraId="05A331CA">
      <w:pPr>
        <w:rPr>
          <w:rFonts w:hint="eastAsia" w:ascii="仿宋" w:hAnsi="仿宋" w:eastAsia="仿宋" w:cs="仿宋"/>
          <w:sz w:val="24"/>
          <w:szCs w:val="24"/>
        </w:rPr>
      </w:pPr>
    </w:p>
    <w:p w14:paraId="4DF0DAFC">
      <w:pPr>
        <w:spacing w:before="99" w:line="189" w:lineRule="auto"/>
        <w:ind w:left="2968"/>
        <w:rPr>
          <w:rFonts w:hint="eastAsia" w:ascii="仿宋" w:hAnsi="仿宋" w:eastAsia="仿宋" w:cs="仿宋"/>
          <w:sz w:val="24"/>
          <w:szCs w:val="24"/>
        </w:rPr>
      </w:pPr>
      <w:r>
        <w:rPr>
          <w:rFonts w:hint="eastAsia" w:ascii="仿宋" w:hAnsi="仿宋" w:eastAsia="仿宋" w:cs="仿宋"/>
          <w:spacing w:val="16"/>
          <w:sz w:val="24"/>
          <w:szCs w:val="24"/>
          <w14:textOutline w14:w="3175" w14:cap="flat" w14:cmpd="sng">
            <w14:solidFill>
              <w14:srgbClr w14:val="000000"/>
            </w14:solidFill>
            <w14:prstDash w14:val="solid"/>
            <w14:miter w14:val="0"/>
          </w14:textOutline>
        </w:rPr>
        <w:t>政</w:t>
      </w:r>
      <w:r>
        <w:rPr>
          <w:rFonts w:hint="eastAsia" w:ascii="仿宋" w:hAnsi="仿宋" w:eastAsia="仿宋" w:cs="仿宋"/>
          <w:spacing w:val="9"/>
          <w:sz w:val="24"/>
          <w:szCs w:val="24"/>
          <w14:textOutline w14:w="3175" w14:cap="flat" w14:cmpd="sng">
            <w14:solidFill>
              <w14:srgbClr w14:val="000000"/>
            </w14:solidFill>
            <w14:prstDash w14:val="solid"/>
            <w14:miter w14:val="0"/>
          </w14:textOutline>
        </w:rPr>
        <w:t>府采购合同参考范本</w:t>
      </w:r>
    </w:p>
    <w:p w14:paraId="1CAF0D8E">
      <w:pPr>
        <w:tabs>
          <w:tab w:val="left" w:pos="3717"/>
        </w:tabs>
        <w:spacing w:before="140" w:line="233" w:lineRule="auto"/>
        <w:ind w:left="3603"/>
        <w:rPr>
          <w:rFonts w:hint="eastAsia" w:ascii="仿宋" w:hAnsi="仿宋" w:eastAsia="仿宋" w:cs="仿宋"/>
          <w:sz w:val="24"/>
          <w:szCs w:val="24"/>
        </w:rPr>
      </w:pPr>
      <w:r>
        <w:rPr>
          <w:rFonts w:hint="eastAsia" w:ascii="仿宋" w:hAnsi="仿宋" w:eastAsia="仿宋" w:cs="仿宋"/>
          <w:b/>
          <w:bCs/>
          <w:sz w:val="24"/>
          <w:szCs w:val="24"/>
        </w:rPr>
        <w:tab/>
      </w:r>
      <w:r>
        <w:rPr>
          <w:rFonts w:hint="eastAsia" w:ascii="仿宋" w:hAnsi="仿宋" w:eastAsia="仿宋" w:cs="仿宋"/>
          <w:spacing w:val="11"/>
          <w:sz w:val="24"/>
          <w:szCs w:val="24"/>
          <w14:textOutline w14:w="3175" w14:cap="flat" w14:cmpd="sng">
            <w14:solidFill>
              <w14:srgbClr w14:val="000000"/>
            </w14:solidFill>
            <w14:prstDash w14:val="solid"/>
            <w14:miter w14:val="0"/>
          </w14:textOutline>
        </w:rPr>
        <w:t>(</w:t>
      </w:r>
      <w:r>
        <w:rPr>
          <w:rFonts w:hint="eastAsia" w:ascii="仿宋" w:hAnsi="仿宋" w:eastAsia="仿宋" w:cs="仿宋"/>
          <w:spacing w:val="10"/>
          <w:sz w:val="24"/>
          <w:szCs w:val="24"/>
          <w:lang w:val="en-US" w:eastAsia="zh-CN"/>
          <w14:textOutline w14:w="3175" w14:cap="flat" w14:cmpd="sng">
            <w14:solidFill>
              <w14:srgbClr w14:val="000000"/>
            </w14:solidFill>
            <w14:prstDash w14:val="solid"/>
            <w14:miter w14:val="0"/>
          </w14:textOutline>
        </w:rPr>
        <w:t>服务</w:t>
      </w:r>
      <w:r>
        <w:rPr>
          <w:rFonts w:hint="eastAsia" w:ascii="仿宋" w:hAnsi="仿宋" w:eastAsia="仿宋" w:cs="仿宋"/>
          <w:spacing w:val="10"/>
          <w:sz w:val="24"/>
          <w:szCs w:val="24"/>
          <w14:textOutline w14:w="3175" w14:cap="flat" w14:cmpd="sng">
            <w14:solidFill>
              <w14:srgbClr w14:val="000000"/>
            </w14:solidFill>
            <w14:prstDash w14:val="solid"/>
            <w14:miter w14:val="0"/>
          </w14:textOutline>
        </w:rPr>
        <w:t>类)</w:t>
      </w:r>
    </w:p>
    <w:p w14:paraId="1D3E8BD7">
      <w:pPr>
        <w:spacing w:line="257" w:lineRule="auto"/>
        <w:rPr>
          <w:rFonts w:hint="eastAsia" w:ascii="仿宋" w:hAnsi="仿宋" w:eastAsia="仿宋" w:cs="仿宋"/>
          <w:sz w:val="24"/>
          <w:szCs w:val="24"/>
        </w:rPr>
      </w:pPr>
    </w:p>
    <w:p w14:paraId="045530B3">
      <w:pPr>
        <w:spacing w:line="258" w:lineRule="auto"/>
        <w:rPr>
          <w:rFonts w:hint="eastAsia" w:ascii="仿宋" w:hAnsi="仿宋" w:eastAsia="仿宋" w:cs="仿宋"/>
          <w:sz w:val="24"/>
          <w:szCs w:val="24"/>
        </w:rPr>
      </w:pPr>
    </w:p>
    <w:p w14:paraId="038C4143">
      <w:pPr>
        <w:spacing w:line="258" w:lineRule="auto"/>
        <w:rPr>
          <w:rFonts w:hint="eastAsia" w:ascii="仿宋" w:hAnsi="仿宋" w:eastAsia="仿宋" w:cs="仿宋"/>
          <w:sz w:val="24"/>
          <w:szCs w:val="24"/>
        </w:rPr>
      </w:pPr>
    </w:p>
    <w:p w14:paraId="0D7C0E2C">
      <w:pPr>
        <w:spacing w:before="98" w:line="189" w:lineRule="auto"/>
        <w:ind w:left="3266"/>
        <w:rPr>
          <w:rFonts w:hint="eastAsia" w:ascii="仿宋" w:hAnsi="仿宋" w:eastAsia="仿宋" w:cs="仿宋"/>
          <w:sz w:val="24"/>
          <w:szCs w:val="24"/>
        </w:rPr>
      </w:pPr>
      <w:r>
        <w:rPr>
          <w:rFonts w:hint="eastAsia" w:ascii="仿宋" w:hAnsi="仿宋" w:eastAsia="仿宋" w:cs="仿宋"/>
          <w:spacing w:val="15"/>
          <w:sz w:val="24"/>
          <w:szCs w:val="24"/>
          <w14:textOutline w14:w="3175" w14:cap="flat" w14:cmpd="sng">
            <w14:solidFill>
              <w14:srgbClr w14:val="000000"/>
            </w14:solidFill>
            <w14:prstDash w14:val="solid"/>
            <w14:miter w14:val="0"/>
          </w14:textOutline>
        </w:rPr>
        <w:t>第一部分</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14:textOutline w14:w="3175" w14:cap="flat" w14:cmpd="sng">
            <w14:solidFill>
              <w14:srgbClr w14:val="000000"/>
            </w14:solidFill>
            <w14:prstDash w14:val="solid"/>
            <w14:miter w14:val="0"/>
          </w14:textOutline>
        </w:rPr>
        <w:t>合同书</w:t>
      </w:r>
    </w:p>
    <w:p w14:paraId="7DED6736">
      <w:pPr>
        <w:spacing w:line="435" w:lineRule="auto"/>
        <w:rPr>
          <w:rFonts w:hint="eastAsia" w:ascii="仿宋" w:hAnsi="仿宋" w:eastAsia="仿宋" w:cs="仿宋"/>
          <w:sz w:val="24"/>
          <w:szCs w:val="24"/>
        </w:rPr>
      </w:pPr>
    </w:p>
    <w:p w14:paraId="00704853">
      <w:pPr>
        <w:spacing w:before="100" w:line="233" w:lineRule="auto"/>
        <w:ind w:left="990"/>
        <w:rPr>
          <w:rFonts w:hint="eastAsia" w:ascii="仿宋" w:hAnsi="仿宋" w:eastAsia="仿宋" w:cs="仿宋"/>
          <w:sz w:val="24"/>
          <w:szCs w:val="24"/>
        </w:rPr>
      </w:pPr>
      <w:r>
        <w:rPr>
          <w:rFonts w:hint="eastAsia" w:ascii="仿宋" w:hAnsi="仿宋" w:eastAsia="仿宋" w:cs="仿宋"/>
          <w:spacing w:val="10"/>
          <w:sz w:val="24"/>
          <w:szCs w:val="24"/>
        </w:rPr>
        <w:t>项</w:t>
      </w:r>
      <w:r>
        <w:rPr>
          <w:rFonts w:hint="eastAsia" w:ascii="仿宋" w:hAnsi="仿宋" w:eastAsia="仿宋" w:cs="仿宋"/>
          <w:spacing w:val="7"/>
          <w:sz w:val="24"/>
          <w:szCs w:val="24"/>
        </w:rPr>
        <w:t>目名称：</w:t>
      </w:r>
      <w:r>
        <w:rPr>
          <w:rFonts w:hint="eastAsia" w:ascii="仿宋" w:hAnsi="仿宋" w:eastAsia="仿宋" w:cs="仿宋"/>
          <w:sz w:val="24"/>
          <w:szCs w:val="24"/>
          <w:u w:val="single" w:color="auto"/>
        </w:rPr>
        <w:t xml:space="preserve">                                                                </w:t>
      </w:r>
    </w:p>
    <w:p w14:paraId="3E79B04B">
      <w:pPr>
        <w:spacing w:line="262" w:lineRule="auto"/>
        <w:rPr>
          <w:rFonts w:hint="eastAsia" w:ascii="仿宋" w:hAnsi="仿宋" w:eastAsia="仿宋" w:cs="仿宋"/>
          <w:sz w:val="24"/>
          <w:szCs w:val="24"/>
        </w:rPr>
      </w:pPr>
    </w:p>
    <w:p w14:paraId="68EABAF1">
      <w:pPr>
        <w:spacing w:line="262" w:lineRule="auto"/>
        <w:rPr>
          <w:rFonts w:hint="eastAsia" w:ascii="仿宋" w:hAnsi="仿宋" w:eastAsia="仿宋" w:cs="仿宋"/>
          <w:sz w:val="24"/>
          <w:szCs w:val="24"/>
        </w:rPr>
      </w:pPr>
    </w:p>
    <w:p w14:paraId="3515053E">
      <w:pPr>
        <w:spacing w:line="262" w:lineRule="auto"/>
        <w:rPr>
          <w:rFonts w:hint="eastAsia" w:ascii="仿宋" w:hAnsi="仿宋" w:eastAsia="仿宋" w:cs="仿宋"/>
          <w:sz w:val="24"/>
          <w:szCs w:val="24"/>
        </w:rPr>
      </w:pPr>
    </w:p>
    <w:p w14:paraId="6C06AD34">
      <w:pPr>
        <w:spacing w:before="99" w:line="234" w:lineRule="auto"/>
        <w:ind w:left="1015"/>
        <w:rPr>
          <w:rFonts w:hint="eastAsia" w:ascii="仿宋" w:hAnsi="仿宋" w:eastAsia="仿宋" w:cs="仿宋"/>
          <w:sz w:val="24"/>
          <w:szCs w:val="24"/>
        </w:rPr>
      </w:pPr>
      <w:r>
        <w:rPr>
          <w:rFonts w:hint="eastAsia" w:ascii="仿宋" w:hAnsi="仿宋" w:eastAsia="仿宋" w:cs="仿宋"/>
          <w:spacing w:val="-3"/>
          <w:sz w:val="24"/>
          <w:szCs w:val="24"/>
        </w:rPr>
        <w:t>甲</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2"/>
          <w:sz w:val="24"/>
          <w:szCs w:val="24"/>
        </w:rPr>
        <w:t>方：</w:t>
      </w:r>
      <w:r>
        <w:rPr>
          <w:rFonts w:hint="eastAsia" w:ascii="仿宋" w:hAnsi="仿宋" w:eastAsia="仿宋" w:cs="仿宋"/>
          <w:sz w:val="24"/>
          <w:szCs w:val="24"/>
          <w:u w:val="single" w:color="auto"/>
        </w:rPr>
        <w:t xml:space="preserve">                                                                       </w:t>
      </w:r>
    </w:p>
    <w:p w14:paraId="044EF905">
      <w:pPr>
        <w:spacing w:line="473" w:lineRule="auto"/>
        <w:rPr>
          <w:rFonts w:hint="eastAsia" w:ascii="仿宋" w:hAnsi="仿宋" w:eastAsia="仿宋" w:cs="仿宋"/>
          <w:sz w:val="24"/>
          <w:szCs w:val="24"/>
        </w:rPr>
      </w:pPr>
    </w:p>
    <w:p w14:paraId="5175488C">
      <w:pPr>
        <w:spacing w:before="99" w:line="234" w:lineRule="auto"/>
        <w:ind w:left="1004"/>
        <w:rPr>
          <w:rFonts w:hint="eastAsia" w:ascii="仿宋" w:hAnsi="仿宋" w:eastAsia="仿宋" w:cs="仿宋"/>
          <w:sz w:val="24"/>
          <w:szCs w:val="24"/>
        </w:rPr>
      </w:pPr>
      <w:r>
        <w:rPr>
          <w:rFonts w:hint="eastAsia" w:ascii="仿宋" w:hAnsi="仿宋" w:eastAsia="仿宋" w:cs="仿宋"/>
          <w:spacing w:val="1"/>
          <w:sz w:val="24"/>
          <w:szCs w:val="24"/>
        </w:rPr>
        <w:t>乙</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方：</w:t>
      </w:r>
      <w:r>
        <w:rPr>
          <w:rFonts w:hint="eastAsia" w:ascii="仿宋" w:hAnsi="仿宋" w:eastAsia="仿宋" w:cs="仿宋"/>
          <w:sz w:val="24"/>
          <w:szCs w:val="24"/>
          <w:u w:val="single" w:color="auto"/>
        </w:rPr>
        <w:t xml:space="preserve">                                                                       </w:t>
      </w:r>
    </w:p>
    <w:p w14:paraId="4A8C82B9">
      <w:pPr>
        <w:spacing w:line="473" w:lineRule="auto"/>
        <w:rPr>
          <w:rFonts w:hint="eastAsia" w:ascii="仿宋" w:hAnsi="仿宋" w:eastAsia="仿宋" w:cs="仿宋"/>
          <w:sz w:val="24"/>
          <w:szCs w:val="24"/>
        </w:rPr>
      </w:pPr>
    </w:p>
    <w:p w14:paraId="4DC050C7">
      <w:pPr>
        <w:spacing w:before="99" w:line="238" w:lineRule="auto"/>
        <w:ind w:left="990"/>
        <w:rPr>
          <w:rFonts w:hint="eastAsia" w:ascii="仿宋" w:hAnsi="仿宋" w:eastAsia="仿宋" w:cs="仿宋"/>
          <w:sz w:val="24"/>
          <w:szCs w:val="24"/>
        </w:rPr>
      </w:pPr>
      <w:r>
        <w:rPr>
          <w:rFonts w:hint="eastAsia" w:ascii="仿宋" w:hAnsi="仿宋" w:eastAsia="仿宋" w:cs="仿宋"/>
          <w:spacing w:val="7"/>
          <w:sz w:val="24"/>
          <w:szCs w:val="24"/>
        </w:rPr>
        <w:t>签</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订</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地</w:t>
      </w:r>
      <w:r>
        <w:rPr>
          <w:rFonts w:hint="eastAsia" w:ascii="仿宋" w:hAnsi="仿宋" w:eastAsia="仿宋" w:cs="仿宋"/>
          <w:spacing w:val="6"/>
          <w:sz w:val="24"/>
          <w:szCs w:val="24"/>
        </w:rPr>
        <w:t>：</w:t>
      </w:r>
      <w:r>
        <w:rPr>
          <w:rFonts w:hint="eastAsia" w:ascii="仿宋" w:hAnsi="仿宋" w:eastAsia="仿宋" w:cs="仿宋"/>
          <w:sz w:val="24"/>
          <w:szCs w:val="24"/>
          <w:u w:val="single" w:color="auto"/>
        </w:rPr>
        <w:t xml:space="preserve">                                                                   </w:t>
      </w:r>
    </w:p>
    <w:p w14:paraId="0266C2A7">
      <w:pPr>
        <w:spacing w:line="467" w:lineRule="auto"/>
        <w:rPr>
          <w:rFonts w:hint="eastAsia" w:ascii="仿宋" w:hAnsi="仿宋" w:eastAsia="仿宋" w:cs="仿宋"/>
          <w:sz w:val="24"/>
          <w:szCs w:val="24"/>
        </w:rPr>
      </w:pPr>
    </w:p>
    <w:p w14:paraId="34993D06">
      <w:pPr>
        <w:spacing w:before="99" w:line="233" w:lineRule="auto"/>
        <w:ind w:left="990"/>
        <w:rPr>
          <w:rFonts w:hint="eastAsia" w:ascii="仿宋" w:hAnsi="仿宋" w:eastAsia="仿宋" w:cs="仿宋"/>
          <w:sz w:val="24"/>
          <w:szCs w:val="24"/>
        </w:rPr>
      </w:pPr>
      <w:r>
        <w:rPr>
          <w:rFonts w:hint="eastAsia" w:ascii="仿宋" w:hAnsi="仿宋" w:eastAsia="仿宋" w:cs="仿宋"/>
          <w:spacing w:val="-2"/>
          <w:sz w:val="24"/>
          <w:szCs w:val="24"/>
        </w:rPr>
        <w:t>签订日期：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日</w:t>
      </w:r>
    </w:p>
    <w:p w14:paraId="22464630">
      <w:pPr>
        <w:rPr>
          <w:rFonts w:hint="eastAsia" w:ascii="仿宋" w:hAnsi="仿宋" w:eastAsia="仿宋" w:cs="仿宋"/>
          <w:sz w:val="24"/>
          <w:szCs w:val="24"/>
        </w:rPr>
        <w:sectPr>
          <w:footerReference r:id="rId6" w:type="default"/>
          <w:pgSz w:w="11907" w:h="16840"/>
          <w:pgMar w:top="1440" w:right="1800" w:bottom="1440" w:left="1800" w:header="851" w:footer="814" w:gutter="0"/>
          <w:pgBorders>
            <w:top w:val="none" w:sz="0" w:space="0"/>
            <w:left w:val="none" w:sz="0" w:space="0"/>
            <w:bottom w:val="none" w:sz="0" w:space="0"/>
            <w:right w:val="none" w:sz="0" w:space="0"/>
          </w:pgBorders>
          <w:pgNumType w:fmt="decimal"/>
          <w:cols w:space="720" w:num="1"/>
        </w:sectPr>
      </w:pPr>
    </w:p>
    <w:p w14:paraId="6ABA7E51">
      <w:pPr>
        <w:spacing w:before="14" w:line="57" w:lineRule="exact"/>
        <w:ind w:firstLine="14"/>
        <w:textAlignment w:val="center"/>
        <w:rPr>
          <w:rFonts w:hint="eastAsia" w:ascii="仿宋" w:hAnsi="仿宋" w:eastAsia="仿宋" w:cs="仿宋"/>
          <w:sz w:val="24"/>
          <w:szCs w:val="24"/>
        </w:rPr>
      </w:pPr>
    </w:p>
    <w:p w14:paraId="1EFD0701">
      <w:pPr>
        <w:spacing w:line="240" w:lineRule="auto"/>
        <w:ind w:firstLine="486" w:firstLineChars="200"/>
        <w:rPr>
          <w:rFonts w:hint="eastAsia" w:ascii="仿宋" w:hAnsi="仿宋" w:eastAsia="仿宋" w:cs="仿宋"/>
          <w:sz w:val="24"/>
          <w:szCs w:val="24"/>
          <w:u w:val="single" w:color="auto"/>
        </w:rPr>
      </w:pPr>
    </w:p>
    <w:p w14:paraId="6BFA68AE">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u w:val="single" w:color="auto"/>
        </w:rPr>
        <w:tab/>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（采购人名称）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rPr>
        <w:t>为该项目中标供应商。现于中标通知书发出之日起三十日内，按照采购文件确定的事项签订本合同。</w:t>
      </w:r>
    </w:p>
    <w:p w14:paraId="0C109FB0">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highlight w:val="none"/>
          <w:u w:val="single"/>
        </w:rPr>
        <w:t xml:space="preserve">   （采购人名称）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14:paraId="00F9D086">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sz w:val="24"/>
          <w:szCs w:val="24"/>
          <w:highlight w:val="none"/>
        </w:rPr>
      </w:pPr>
      <w:bookmarkStart w:id="546" w:name="_Toc19273"/>
      <w:bookmarkStart w:id="547" w:name="_Toc28855"/>
      <w:bookmarkStart w:id="548" w:name="_Toc15367"/>
      <w:bookmarkStart w:id="549" w:name="_Toc20421"/>
      <w:r>
        <w:rPr>
          <w:rFonts w:hint="eastAsia" w:ascii="仿宋" w:hAnsi="仿宋" w:eastAsia="仿宋" w:cs="仿宋"/>
          <w:b/>
          <w:sz w:val="24"/>
          <w:szCs w:val="24"/>
          <w:highlight w:val="none"/>
        </w:rPr>
        <w:t>1.1 合同组成部分</w:t>
      </w:r>
      <w:bookmarkEnd w:id="546"/>
      <w:bookmarkEnd w:id="547"/>
      <w:bookmarkEnd w:id="548"/>
      <w:bookmarkEnd w:id="549"/>
    </w:p>
    <w:p w14:paraId="1A43E1FD">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782BC7">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14:paraId="058F5C3D">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14:paraId="07855513">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14:paraId="59527E98">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1.1.4 </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（含澄清或者修改文件）；</w:t>
      </w:r>
    </w:p>
    <w:p w14:paraId="63E138A3">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14:paraId="1F3937D5">
      <w:pPr>
        <w:spacing w:line="240" w:lineRule="auto"/>
        <w:ind w:firstLine="486" w:firstLineChars="200"/>
        <w:outlineLvl w:val="0"/>
        <w:rPr>
          <w:rFonts w:hint="eastAsia" w:ascii="仿宋" w:hAnsi="仿宋" w:eastAsia="仿宋" w:cs="仿宋"/>
          <w:b/>
          <w:sz w:val="24"/>
          <w:szCs w:val="24"/>
          <w:highlight w:val="none"/>
        </w:rPr>
      </w:pPr>
      <w:bookmarkStart w:id="550" w:name="_Toc2918"/>
      <w:bookmarkStart w:id="551" w:name="_Toc6311"/>
      <w:bookmarkStart w:id="552" w:name="_Toc18585"/>
      <w:bookmarkStart w:id="553" w:name="_Toc22185"/>
      <w:r>
        <w:rPr>
          <w:rFonts w:hint="eastAsia" w:ascii="仿宋" w:hAnsi="仿宋" w:eastAsia="仿宋" w:cs="仿宋"/>
          <w:b/>
          <w:sz w:val="24"/>
          <w:szCs w:val="24"/>
          <w:highlight w:val="none"/>
        </w:rPr>
        <w:t>1.2 标的</w:t>
      </w:r>
      <w:bookmarkEnd w:id="550"/>
      <w:bookmarkEnd w:id="551"/>
      <w:bookmarkEnd w:id="552"/>
      <w:bookmarkEnd w:id="553"/>
    </w:p>
    <w:p w14:paraId="45728E48">
      <w:pPr>
        <w:spacing w:line="240" w:lineRule="auto"/>
        <w:ind w:firstLine="486" w:firstLineChars="200"/>
        <w:rPr>
          <w:rFonts w:hint="eastAsia" w:ascii="仿宋" w:hAnsi="仿宋" w:eastAsia="仿宋" w:cs="仿宋"/>
          <w:sz w:val="24"/>
          <w:szCs w:val="24"/>
          <w:highlight w:val="none"/>
        </w:rPr>
      </w:pPr>
    </w:p>
    <w:p w14:paraId="2171BCCD">
      <w:pPr>
        <w:spacing w:line="240" w:lineRule="auto"/>
        <w:ind w:firstLine="486"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1.2.1 标的名称：</w:t>
      </w:r>
      <w:r>
        <w:rPr>
          <w:rFonts w:hint="eastAsia" w:ascii="仿宋" w:hAnsi="仿宋" w:eastAsia="仿宋" w:cs="仿宋"/>
          <w:sz w:val="24"/>
          <w:szCs w:val="24"/>
          <w:highlight w:val="none"/>
          <w:u w:val="single"/>
        </w:rPr>
        <w:t xml:space="preserve">                                                </w:t>
      </w:r>
    </w:p>
    <w:p w14:paraId="27DA0B08">
      <w:pPr>
        <w:pStyle w:val="12"/>
        <w:numPr>
          <w:ilvl w:val="0"/>
          <w:numId w:val="0"/>
        </w:numPr>
        <w:tabs>
          <w:tab w:val="left" w:pos="567"/>
        </w:tabs>
        <w:ind w:leftChars="0"/>
        <w:rPr>
          <w:rFonts w:hint="eastAsia" w:ascii="仿宋" w:hAnsi="仿宋" w:eastAsia="仿宋" w:cs="仿宋"/>
          <w:sz w:val="24"/>
          <w:szCs w:val="24"/>
        </w:rPr>
      </w:pPr>
    </w:p>
    <w:p w14:paraId="13A0021A">
      <w:pPr>
        <w:spacing w:line="240" w:lineRule="auto"/>
        <w:ind w:firstLine="486"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1.2.2 标的数量：</w:t>
      </w:r>
      <w:r>
        <w:rPr>
          <w:rFonts w:hint="eastAsia" w:ascii="仿宋" w:hAnsi="仿宋" w:eastAsia="仿宋" w:cs="仿宋"/>
          <w:sz w:val="24"/>
          <w:szCs w:val="24"/>
          <w:highlight w:val="none"/>
          <w:u w:val="single"/>
        </w:rPr>
        <w:t xml:space="preserve">                                                </w:t>
      </w:r>
    </w:p>
    <w:p w14:paraId="4706CC61">
      <w:pPr>
        <w:pStyle w:val="12"/>
        <w:numPr>
          <w:ilvl w:val="0"/>
          <w:numId w:val="0"/>
        </w:numPr>
        <w:tabs>
          <w:tab w:val="left" w:pos="567"/>
        </w:tabs>
        <w:ind w:leftChars="0"/>
        <w:rPr>
          <w:rFonts w:hint="eastAsia" w:ascii="仿宋" w:hAnsi="仿宋" w:eastAsia="仿宋" w:cs="仿宋"/>
          <w:sz w:val="24"/>
          <w:szCs w:val="24"/>
        </w:rPr>
      </w:pPr>
    </w:p>
    <w:p w14:paraId="6BFC1826">
      <w:pPr>
        <w:spacing w:line="240" w:lineRule="auto"/>
        <w:ind w:firstLine="486"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1.2.3 标的质量：</w:t>
      </w:r>
      <w:r>
        <w:rPr>
          <w:rFonts w:hint="eastAsia" w:ascii="仿宋" w:hAnsi="仿宋" w:eastAsia="仿宋" w:cs="仿宋"/>
          <w:sz w:val="24"/>
          <w:szCs w:val="24"/>
          <w:highlight w:val="none"/>
          <w:u w:val="single"/>
        </w:rPr>
        <w:t xml:space="preserve">　　　　　　　　　                      　      </w:t>
      </w:r>
    </w:p>
    <w:p w14:paraId="21C732DB">
      <w:pPr>
        <w:pStyle w:val="12"/>
        <w:numPr>
          <w:ilvl w:val="0"/>
          <w:numId w:val="0"/>
        </w:numPr>
        <w:tabs>
          <w:tab w:val="left" w:pos="567"/>
        </w:tabs>
        <w:ind w:leftChars="0"/>
        <w:rPr>
          <w:rFonts w:hint="eastAsia" w:ascii="仿宋" w:hAnsi="仿宋" w:eastAsia="仿宋" w:cs="仿宋"/>
          <w:sz w:val="24"/>
          <w:szCs w:val="24"/>
        </w:rPr>
      </w:pPr>
    </w:p>
    <w:p w14:paraId="617E2A2A">
      <w:pPr>
        <w:spacing w:line="240" w:lineRule="auto"/>
        <w:ind w:firstLine="486" w:firstLineChars="200"/>
        <w:outlineLvl w:val="0"/>
        <w:rPr>
          <w:rFonts w:hint="eastAsia" w:ascii="仿宋" w:hAnsi="仿宋" w:eastAsia="仿宋" w:cs="仿宋"/>
          <w:b/>
          <w:sz w:val="24"/>
          <w:szCs w:val="24"/>
          <w:highlight w:val="none"/>
        </w:rPr>
      </w:pPr>
      <w:bookmarkStart w:id="554" w:name="_Toc5635"/>
      <w:bookmarkStart w:id="555" w:name="_Toc1386"/>
      <w:bookmarkStart w:id="556" w:name="_Toc13918"/>
      <w:bookmarkStart w:id="557" w:name="_Toc21124"/>
      <w:bookmarkStart w:id="558" w:name="_Toc4929"/>
      <w:r>
        <w:rPr>
          <w:rFonts w:hint="eastAsia" w:ascii="仿宋" w:hAnsi="仿宋" w:eastAsia="仿宋" w:cs="仿宋"/>
          <w:b/>
          <w:sz w:val="24"/>
          <w:szCs w:val="24"/>
          <w:highlight w:val="none"/>
        </w:rPr>
        <w:t>1.3 价款</w:t>
      </w:r>
      <w:bookmarkEnd w:id="554"/>
      <w:bookmarkEnd w:id="555"/>
      <w:bookmarkEnd w:id="556"/>
      <w:bookmarkEnd w:id="557"/>
      <w:bookmarkEnd w:id="558"/>
    </w:p>
    <w:p w14:paraId="6982A8AE">
      <w:pPr>
        <w:spacing w:line="240" w:lineRule="auto"/>
        <w:ind w:firstLine="486" w:firstLineChars="200"/>
        <w:rPr>
          <w:rFonts w:hint="eastAsia" w:ascii="仿宋" w:hAnsi="仿宋" w:eastAsia="仿宋" w:cs="仿宋"/>
          <w:sz w:val="24"/>
          <w:szCs w:val="24"/>
          <w:highlight w:val="none"/>
        </w:rPr>
      </w:pPr>
    </w:p>
    <w:p w14:paraId="3DD74C2D">
      <w:pPr>
        <w:spacing w:line="240" w:lineRule="auto"/>
        <w:ind w:firstLine="486"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本合同总价为：￥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val="en-US" w:eastAsia="zh-CN"/>
        </w:rPr>
        <w:t xml:space="preserve"> </w:t>
      </w:r>
    </w:p>
    <w:p w14:paraId="2913602C">
      <w:pPr>
        <w:pStyle w:val="12"/>
        <w:numPr>
          <w:ilvl w:val="0"/>
          <w:numId w:val="0"/>
        </w:numPr>
        <w:tabs>
          <w:tab w:val="left" w:pos="567"/>
        </w:tabs>
        <w:ind w:leftChars="0"/>
        <w:rPr>
          <w:rFonts w:hint="eastAsia" w:ascii="仿宋" w:hAnsi="仿宋" w:eastAsia="仿宋" w:cs="仿宋"/>
          <w:sz w:val="24"/>
          <w:szCs w:val="24"/>
          <w:lang w:val="en-US" w:eastAsia="zh-CN"/>
        </w:rPr>
      </w:pPr>
    </w:p>
    <w:p w14:paraId="4B4F9DB0">
      <w:pPr>
        <w:spacing w:line="240" w:lineRule="auto"/>
        <w:ind w:firstLine="486"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分项价格：</w:t>
      </w:r>
    </w:p>
    <w:tbl>
      <w:tblPr>
        <w:tblStyle w:val="26"/>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17"/>
        <w:gridCol w:w="3646"/>
      </w:tblGrid>
      <w:tr w14:paraId="169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5" w:type="dxa"/>
            <w:noWrap w:val="0"/>
            <w:vAlign w:val="center"/>
          </w:tcPr>
          <w:p w14:paraId="2A024FA3">
            <w:pPr>
              <w:pStyle w:val="65"/>
              <w:spacing w:line="240" w:lineRule="auto"/>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序号</w:t>
            </w:r>
          </w:p>
        </w:tc>
        <w:tc>
          <w:tcPr>
            <w:tcW w:w="2817" w:type="dxa"/>
            <w:noWrap w:val="0"/>
            <w:vAlign w:val="center"/>
          </w:tcPr>
          <w:p w14:paraId="6804D851">
            <w:pPr>
              <w:pStyle w:val="65"/>
              <w:spacing w:line="240" w:lineRule="auto"/>
              <w:ind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分项名称</w:t>
            </w:r>
          </w:p>
        </w:tc>
        <w:tc>
          <w:tcPr>
            <w:tcW w:w="3646" w:type="dxa"/>
            <w:noWrap w:val="0"/>
            <w:vAlign w:val="center"/>
          </w:tcPr>
          <w:p w14:paraId="4E592497">
            <w:pPr>
              <w:pStyle w:val="65"/>
              <w:spacing w:line="240" w:lineRule="auto"/>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分项价格</w:t>
            </w:r>
          </w:p>
        </w:tc>
      </w:tr>
      <w:tr w14:paraId="6DF1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5" w:type="dxa"/>
            <w:noWrap w:val="0"/>
            <w:vAlign w:val="center"/>
          </w:tcPr>
          <w:p w14:paraId="14C7AFC4">
            <w:pPr>
              <w:pStyle w:val="65"/>
              <w:spacing w:line="240" w:lineRule="auto"/>
              <w:ind w:firstLine="200"/>
              <w:jc w:val="center"/>
              <w:rPr>
                <w:rFonts w:hint="eastAsia" w:ascii="仿宋" w:hAnsi="仿宋" w:eastAsia="仿宋" w:cs="仿宋"/>
                <w:color w:val="000000"/>
                <w:kern w:val="2"/>
                <w:sz w:val="24"/>
                <w:szCs w:val="24"/>
                <w:highlight w:val="none"/>
              </w:rPr>
            </w:pPr>
          </w:p>
        </w:tc>
        <w:tc>
          <w:tcPr>
            <w:tcW w:w="2817" w:type="dxa"/>
            <w:noWrap w:val="0"/>
            <w:vAlign w:val="center"/>
          </w:tcPr>
          <w:p w14:paraId="2A441FD6">
            <w:pPr>
              <w:pStyle w:val="65"/>
              <w:spacing w:line="240" w:lineRule="auto"/>
              <w:ind w:firstLine="200"/>
              <w:jc w:val="center"/>
              <w:rPr>
                <w:rFonts w:hint="eastAsia" w:ascii="仿宋" w:hAnsi="仿宋" w:eastAsia="仿宋" w:cs="仿宋"/>
                <w:color w:val="000000"/>
                <w:kern w:val="2"/>
                <w:sz w:val="24"/>
                <w:szCs w:val="24"/>
                <w:highlight w:val="none"/>
              </w:rPr>
            </w:pPr>
          </w:p>
        </w:tc>
        <w:tc>
          <w:tcPr>
            <w:tcW w:w="3646" w:type="dxa"/>
            <w:noWrap w:val="0"/>
            <w:vAlign w:val="center"/>
          </w:tcPr>
          <w:p w14:paraId="4FAF27CA">
            <w:pPr>
              <w:pStyle w:val="65"/>
              <w:spacing w:line="240" w:lineRule="auto"/>
              <w:ind w:firstLine="200"/>
              <w:jc w:val="center"/>
              <w:rPr>
                <w:rFonts w:hint="eastAsia" w:ascii="仿宋" w:hAnsi="仿宋" w:eastAsia="仿宋" w:cs="仿宋"/>
                <w:color w:val="000000"/>
                <w:kern w:val="2"/>
                <w:sz w:val="24"/>
                <w:szCs w:val="24"/>
                <w:highlight w:val="none"/>
              </w:rPr>
            </w:pPr>
          </w:p>
        </w:tc>
      </w:tr>
      <w:tr w14:paraId="62DC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5" w:type="dxa"/>
            <w:noWrap w:val="0"/>
            <w:vAlign w:val="center"/>
          </w:tcPr>
          <w:p w14:paraId="0E06A349">
            <w:pPr>
              <w:pStyle w:val="65"/>
              <w:spacing w:line="240" w:lineRule="auto"/>
              <w:ind w:firstLine="200"/>
              <w:jc w:val="center"/>
              <w:rPr>
                <w:rFonts w:hint="eastAsia" w:ascii="仿宋" w:hAnsi="仿宋" w:eastAsia="仿宋" w:cs="仿宋"/>
                <w:color w:val="000000"/>
                <w:kern w:val="2"/>
                <w:sz w:val="24"/>
                <w:szCs w:val="24"/>
                <w:highlight w:val="none"/>
              </w:rPr>
            </w:pPr>
          </w:p>
        </w:tc>
        <w:tc>
          <w:tcPr>
            <w:tcW w:w="2817" w:type="dxa"/>
            <w:noWrap w:val="0"/>
            <w:vAlign w:val="center"/>
          </w:tcPr>
          <w:p w14:paraId="4FEA7772">
            <w:pPr>
              <w:pStyle w:val="65"/>
              <w:spacing w:line="240" w:lineRule="auto"/>
              <w:ind w:firstLine="200"/>
              <w:jc w:val="center"/>
              <w:rPr>
                <w:rFonts w:hint="eastAsia" w:ascii="仿宋" w:hAnsi="仿宋" w:eastAsia="仿宋" w:cs="仿宋"/>
                <w:color w:val="000000"/>
                <w:kern w:val="2"/>
                <w:sz w:val="24"/>
                <w:szCs w:val="24"/>
                <w:highlight w:val="none"/>
              </w:rPr>
            </w:pPr>
          </w:p>
        </w:tc>
        <w:tc>
          <w:tcPr>
            <w:tcW w:w="3646" w:type="dxa"/>
            <w:noWrap w:val="0"/>
            <w:vAlign w:val="center"/>
          </w:tcPr>
          <w:p w14:paraId="2C7667EA">
            <w:pPr>
              <w:pStyle w:val="65"/>
              <w:spacing w:line="240" w:lineRule="auto"/>
              <w:ind w:firstLine="200"/>
              <w:jc w:val="center"/>
              <w:rPr>
                <w:rFonts w:hint="eastAsia" w:ascii="仿宋" w:hAnsi="仿宋" w:eastAsia="仿宋" w:cs="仿宋"/>
                <w:color w:val="000000"/>
                <w:kern w:val="2"/>
                <w:sz w:val="24"/>
                <w:szCs w:val="24"/>
                <w:highlight w:val="none"/>
              </w:rPr>
            </w:pPr>
          </w:p>
        </w:tc>
      </w:tr>
      <w:tr w14:paraId="1450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5" w:type="dxa"/>
            <w:noWrap w:val="0"/>
            <w:vAlign w:val="center"/>
          </w:tcPr>
          <w:p w14:paraId="2948DBE0">
            <w:pPr>
              <w:pStyle w:val="65"/>
              <w:spacing w:line="240" w:lineRule="auto"/>
              <w:ind w:firstLine="200"/>
              <w:jc w:val="center"/>
              <w:rPr>
                <w:rFonts w:hint="eastAsia" w:ascii="仿宋" w:hAnsi="仿宋" w:eastAsia="仿宋" w:cs="仿宋"/>
                <w:color w:val="000000"/>
                <w:kern w:val="2"/>
                <w:sz w:val="24"/>
                <w:szCs w:val="24"/>
                <w:highlight w:val="none"/>
              </w:rPr>
            </w:pPr>
          </w:p>
        </w:tc>
        <w:tc>
          <w:tcPr>
            <w:tcW w:w="2817" w:type="dxa"/>
            <w:noWrap w:val="0"/>
            <w:vAlign w:val="center"/>
          </w:tcPr>
          <w:p w14:paraId="2DE64C80">
            <w:pPr>
              <w:pStyle w:val="65"/>
              <w:spacing w:line="240" w:lineRule="auto"/>
              <w:ind w:firstLine="200"/>
              <w:jc w:val="center"/>
              <w:rPr>
                <w:rFonts w:hint="eastAsia" w:ascii="仿宋" w:hAnsi="仿宋" w:eastAsia="仿宋" w:cs="仿宋"/>
                <w:color w:val="000000"/>
                <w:kern w:val="2"/>
                <w:sz w:val="24"/>
                <w:szCs w:val="24"/>
                <w:highlight w:val="none"/>
              </w:rPr>
            </w:pPr>
          </w:p>
        </w:tc>
        <w:tc>
          <w:tcPr>
            <w:tcW w:w="3646" w:type="dxa"/>
            <w:noWrap w:val="0"/>
            <w:vAlign w:val="center"/>
          </w:tcPr>
          <w:p w14:paraId="19056B46">
            <w:pPr>
              <w:pStyle w:val="65"/>
              <w:spacing w:line="240" w:lineRule="auto"/>
              <w:ind w:firstLine="200"/>
              <w:jc w:val="center"/>
              <w:rPr>
                <w:rFonts w:hint="eastAsia" w:ascii="仿宋" w:hAnsi="仿宋" w:eastAsia="仿宋" w:cs="仿宋"/>
                <w:color w:val="000000"/>
                <w:kern w:val="2"/>
                <w:sz w:val="24"/>
                <w:szCs w:val="24"/>
                <w:highlight w:val="none"/>
              </w:rPr>
            </w:pPr>
          </w:p>
        </w:tc>
      </w:tr>
      <w:tr w14:paraId="14EA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92" w:type="dxa"/>
            <w:gridSpan w:val="2"/>
            <w:noWrap w:val="0"/>
            <w:vAlign w:val="center"/>
          </w:tcPr>
          <w:p w14:paraId="6C24C21A">
            <w:pPr>
              <w:pStyle w:val="65"/>
              <w:spacing w:line="240" w:lineRule="auto"/>
              <w:ind w:firstLine="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rPr>
              <w:t>总价</w:t>
            </w:r>
          </w:p>
        </w:tc>
        <w:tc>
          <w:tcPr>
            <w:tcW w:w="3646" w:type="dxa"/>
            <w:noWrap w:val="0"/>
            <w:vAlign w:val="center"/>
          </w:tcPr>
          <w:p w14:paraId="4CF1C6F3">
            <w:pPr>
              <w:pStyle w:val="65"/>
              <w:spacing w:line="240" w:lineRule="auto"/>
              <w:ind w:firstLine="200"/>
              <w:jc w:val="center"/>
              <w:rPr>
                <w:rFonts w:hint="eastAsia" w:ascii="仿宋" w:hAnsi="仿宋" w:eastAsia="仿宋" w:cs="仿宋"/>
                <w:color w:val="000000"/>
                <w:kern w:val="2"/>
                <w:sz w:val="24"/>
                <w:szCs w:val="24"/>
                <w:highlight w:val="none"/>
              </w:rPr>
            </w:pPr>
          </w:p>
        </w:tc>
      </w:tr>
    </w:tbl>
    <w:p w14:paraId="231B4ACF">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b/>
          <w:sz w:val="24"/>
          <w:szCs w:val="24"/>
          <w:highlight w:val="none"/>
        </w:rPr>
      </w:pPr>
      <w:bookmarkStart w:id="559" w:name="_Toc30506"/>
      <w:bookmarkStart w:id="560" w:name="_Toc14993"/>
      <w:bookmarkStart w:id="561" w:name="_Toc30158"/>
      <w:bookmarkStart w:id="562" w:name="_Toc26916"/>
      <w:bookmarkStart w:id="563" w:name="_Toc3654"/>
      <w:r>
        <w:rPr>
          <w:rFonts w:hint="eastAsia" w:ascii="仿宋" w:hAnsi="仿宋" w:eastAsia="仿宋" w:cs="仿宋"/>
          <w:b/>
          <w:sz w:val="24"/>
          <w:szCs w:val="24"/>
          <w:highlight w:val="none"/>
        </w:rPr>
        <w:t>1.4 付款方式和发票开具方式</w:t>
      </w:r>
      <w:bookmarkEnd w:id="559"/>
      <w:bookmarkEnd w:id="560"/>
      <w:bookmarkEnd w:id="561"/>
      <w:bookmarkEnd w:id="562"/>
      <w:bookmarkEnd w:id="563"/>
    </w:p>
    <w:p w14:paraId="00852625">
      <w:pPr>
        <w:pStyle w:val="20"/>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6AEE853F">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1.4.2 发票开具方式：</w:t>
      </w:r>
      <w:r>
        <w:rPr>
          <w:rFonts w:hint="eastAsia" w:ascii="仿宋" w:hAnsi="仿宋" w:eastAsia="仿宋" w:cs="仿宋"/>
          <w:sz w:val="24"/>
          <w:szCs w:val="24"/>
          <w:highlight w:val="none"/>
          <w:u w:val="single"/>
        </w:rPr>
        <w:t xml:space="preserve">  </w:t>
      </w:r>
      <w:r>
        <w:rPr>
          <w:rFonts w:hint="eastAsia" w:ascii="仿宋" w:hAnsi="仿宋" w:eastAsia="仿宋" w:cs="仿宋"/>
          <w:i/>
          <w:iCs/>
          <w:sz w:val="24"/>
          <w:szCs w:val="24"/>
          <w:highlight w:val="none"/>
          <w:u w:val="single"/>
          <w:lang w:val="en-US" w:eastAsia="zh-CN"/>
        </w:rPr>
        <w:t xml:space="preserve">            </w:t>
      </w:r>
      <w:r>
        <w:rPr>
          <w:rFonts w:hint="eastAsia" w:ascii="仿宋" w:hAnsi="仿宋" w:eastAsia="仿宋" w:cs="仿宋"/>
          <w:i/>
          <w:iCs/>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B89CE94">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b/>
          <w:sz w:val="24"/>
          <w:szCs w:val="24"/>
          <w:highlight w:val="none"/>
        </w:rPr>
      </w:pPr>
      <w:bookmarkStart w:id="564" w:name="_Toc31421"/>
      <w:bookmarkStart w:id="565" w:name="_Toc4760"/>
      <w:bookmarkStart w:id="566" w:name="_Toc11108"/>
      <w:bookmarkStart w:id="567" w:name="_Toc8772"/>
      <w:bookmarkStart w:id="568" w:name="_Toc3625"/>
      <w:r>
        <w:rPr>
          <w:rFonts w:hint="eastAsia" w:ascii="仿宋" w:hAnsi="仿宋" w:eastAsia="仿宋" w:cs="仿宋"/>
          <w:b/>
          <w:sz w:val="24"/>
          <w:szCs w:val="24"/>
          <w:highlight w:val="none"/>
        </w:rPr>
        <w:t>1.5 履行期限、地点和方式</w:t>
      </w:r>
      <w:bookmarkEnd w:id="564"/>
      <w:bookmarkEnd w:id="565"/>
      <w:bookmarkEnd w:id="566"/>
      <w:bookmarkEnd w:id="567"/>
      <w:bookmarkEnd w:id="568"/>
    </w:p>
    <w:p w14:paraId="3FB4F6C9">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1.5</w:t>
      </w:r>
      <w:r>
        <w:rPr>
          <w:rFonts w:hint="eastAsia" w:ascii="仿宋" w:hAnsi="仿宋" w:eastAsia="仿宋" w:cs="仿宋"/>
          <w:color w:val="auto"/>
          <w:sz w:val="24"/>
          <w:szCs w:val="24"/>
          <w:highlight w:val="none"/>
        </w:rPr>
        <w:t>.1 履行期限：</w:t>
      </w:r>
      <w:r>
        <w:rPr>
          <w:rFonts w:hint="eastAsia" w:ascii="仿宋" w:hAnsi="仿宋" w:eastAsia="仿宋" w:cs="仿宋"/>
          <w:i/>
          <w:iCs/>
          <w:color w:val="auto"/>
          <w:sz w:val="24"/>
          <w:szCs w:val="24"/>
          <w:highlight w:val="none"/>
          <w:u w:val="single"/>
          <w:lang w:val="en-US" w:eastAsia="zh-CN"/>
        </w:rPr>
        <w:t xml:space="preserve">                                               </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w:t>
      </w:r>
    </w:p>
    <w:p w14:paraId="681F33AB">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1.5.2 履行地点：</w:t>
      </w:r>
      <w:r>
        <w:rPr>
          <w:rFonts w:hint="eastAsia" w:ascii="仿宋" w:hAnsi="仿宋" w:eastAsia="仿宋" w:cs="仿宋"/>
          <w:i/>
          <w:iCs/>
          <w:sz w:val="24"/>
          <w:szCs w:val="24"/>
          <w:highlight w:val="none"/>
          <w:u w:val="single"/>
        </w:rPr>
        <w:t xml:space="preserve">                                                </w:t>
      </w:r>
      <w:r>
        <w:rPr>
          <w:rFonts w:hint="eastAsia" w:ascii="仿宋" w:hAnsi="仿宋" w:eastAsia="仿宋" w:cs="仿宋"/>
          <w:sz w:val="24"/>
          <w:szCs w:val="24"/>
          <w:highlight w:val="none"/>
        </w:rPr>
        <w:t>；</w:t>
      </w:r>
    </w:p>
    <w:p w14:paraId="7441C98B">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1.5.3 履行方式：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2197EDB">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sz w:val="24"/>
          <w:szCs w:val="24"/>
          <w:highlight w:val="none"/>
          <w:u w:val="single"/>
        </w:rPr>
      </w:pPr>
      <w:bookmarkStart w:id="569" w:name="_Toc24662"/>
      <w:bookmarkStart w:id="570" w:name="_Toc8586"/>
      <w:bookmarkStart w:id="571" w:name="_Toc3079"/>
      <w:bookmarkStart w:id="572" w:name="_Toc5698"/>
      <w:bookmarkStart w:id="573" w:name="_Toc2375"/>
      <w:r>
        <w:rPr>
          <w:rFonts w:hint="eastAsia" w:ascii="仿宋" w:hAnsi="仿宋" w:eastAsia="仿宋" w:cs="仿宋"/>
          <w:b/>
          <w:sz w:val="24"/>
          <w:szCs w:val="24"/>
          <w:highlight w:val="none"/>
        </w:rPr>
        <w:t>1.6 违约责任</w:t>
      </w:r>
      <w:bookmarkEnd w:id="569"/>
      <w:bookmarkEnd w:id="570"/>
      <w:bookmarkEnd w:id="571"/>
      <w:bookmarkEnd w:id="572"/>
      <w:bookmarkEnd w:id="573"/>
    </w:p>
    <w:p w14:paraId="17E611C5">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%；迟延履行的违约金计算数额达到前述最高限额之日起，甲方有权在要求乙方支付违约金的同时，书面通知乙方解除本合同；</w:t>
      </w:r>
    </w:p>
    <w:p w14:paraId="09BDBACE">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%；迟延付款的违约金计算数额达到前述最高限额之日起，乙方有权在要求甲方支付违约金的同时，书面通知甲方解除本合同；</w:t>
      </w:r>
    </w:p>
    <w:p w14:paraId="4211FD12">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F15151C">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2D9E3E">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25E35D">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D7FE0B0">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b/>
          <w:sz w:val="24"/>
          <w:szCs w:val="24"/>
          <w:highlight w:val="none"/>
        </w:rPr>
      </w:pPr>
      <w:bookmarkStart w:id="574" w:name="_Toc26807"/>
      <w:bookmarkStart w:id="575" w:name="_Toc9497"/>
      <w:bookmarkStart w:id="576" w:name="_Toc32454"/>
      <w:bookmarkStart w:id="577" w:name="_Toc18683"/>
      <w:bookmarkStart w:id="578" w:name="_Toc30329"/>
      <w:r>
        <w:rPr>
          <w:rFonts w:hint="eastAsia" w:ascii="仿宋" w:hAnsi="仿宋" w:eastAsia="仿宋" w:cs="仿宋"/>
          <w:b/>
          <w:sz w:val="24"/>
          <w:szCs w:val="24"/>
          <w:highlight w:val="none"/>
        </w:rPr>
        <w:t>1.7 合同争议的解决</w:t>
      </w:r>
      <w:bookmarkEnd w:id="574"/>
      <w:bookmarkEnd w:id="575"/>
      <w:bookmarkEnd w:id="576"/>
      <w:bookmarkEnd w:id="577"/>
      <w:bookmarkEnd w:id="578"/>
    </w:p>
    <w:p w14:paraId="22D4E90A">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种方式解决：</w:t>
      </w:r>
    </w:p>
    <w:p w14:paraId="53D8441E">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1.7.1 将争议提交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仲裁委员会依申请仲裁时其现行有效的仲裁规则裁决；</w:t>
      </w:r>
    </w:p>
    <w:p w14:paraId="12A4D604">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1.7.2 向</w:t>
      </w:r>
      <w:r>
        <w:rPr>
          <w:rFonts w:hint="eastAsia" w:ascii="仿宋" w:hAnsi="仿宋" w:eastAsia="仿宋" w:cs="仿宋"/>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highlight w:val="none"/>
        </w:rPr>
        <w:t>人民法院起诉。</w:t>
      </w:r>
    </w:p>
    <w:p w14:paraId="14FDCA1C">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outlineLvl w:val="0"/>
        <w:rPr>
          <w:rFonts w:hint="eastAsia" w:ascii="仿宋" w:hAnsi="仿宋" w:eastAsia="仿宋" w:cs="仿宋"/>
          <w:b/>
          <w:sz w:val="24"/>
          <w:szCs w:val="24"/>
          <w:highlight w:val="none"/>
        </w:rPr>
      </w:pPr>
      <w:bookmarkStart w:id="579" w:name="_Toc23784"/>
      <w:bookmarkStart w:id="580" w:name="_Toc12273"/>
      <w:bookmarkStart w:id="581" w:name="_Toc16417"/>
      <w:bookmarkStart w:id="582" w:name="_Toc26227"/>
      <w:bookmarkStart w:id="583" w:name="_Toc15827"/>
      <w:r>
        <w:rPr>
          <w:rFonts w:hint="eastAsia" w:ascii="仿宋" w:hAnsi="仿宋" w:eastAsia="仿宋" w:cs="仿宋"/>
          <w:b/>
          <w:sz w:val="24"/>
          <w:szCs w:val="24"/>
          <w:highlight w:val="none"/>
        </w:rPr>
        <w:t>1.8 合同生效</w:t>
      </w:r>
      <w:bookmarkEnd w:id="579"/>
      <w:bookmarkEnd w:id="580"/>
      <w:bookmarkEnd w:id="581"/>
      <w:bookmarkEnd w:id="582"/>
      <w:bookmarkEnd w:id="583"/>
    </w:p>
    <w:p w14:paraId="4A8037FB">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b/>
          <w:sz w:val="24"/>
          <w:szCs w:val="24"/>
          <w:highlight w:val="none"/>
        </w:rPr>
      </w:pPr>
      <w:r>
        <w:rPr>
          <w:rFonts w:hint="eastAsia" w:ascii="仿宋" w:hAnsi="仿宋" w:eastAsia="仿宋" w:cs="仿宋"/>
          <w:sz w:val="24"/>
          <w:szCs w:val="24"/>
          <w:highlight w:val="none"/>
        </w:rPr>
        <w:t>本合同自双方当事人盖章或者签字时生效。</w:t>
      </w:r>
    </w:p>
    <w:p w14:paraId="4EEE47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lang w:val="zh-CN"/>
        </w:rPr>
      </w:pPr>
    </w:p>
    <w:p w14:paraId="01960261">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lang w:val="zh-CN"/>
        </w:rPr>
        <w:t>乙方</w:t>
      </w:r>
      <w:r>
        <w:rPr>
          <w:rFonts w:hint="eastAsia" w:ascii="仿宋" w:hAnsi="仿宋" w:eastAsia="仿宋" w:cs="仿宋"/>
          <w:sz w:val="24"/>
          <w:szCs w:val="24"/>
          <w:highlight w:val="none"/>
          <w:lang w:val="zh-CN"/>
        </w:rPr>
        <w:t>：</w:t>
      </w:r>
    </w:p>
    <w:p w14:paraId="66718914">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6DC8F0BA">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地址</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地址：</w:t>
      </w:r>
    </w:p>
    <w:p w14:paraId="682C3006">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法定代表人或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法定代表人</w:t>
      </w:r>
    </w:p>
    <w:p w14:paraId="1F4023D0">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或授权代表（签字）: </w:t>
      </w:r>
    </w:p>
    <w:p w14:paraId="156240E2">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联系人：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联系人：</w:t>
      </w:r>
    </w:p>
    <w:p w14:paraId="4ECF7330">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约定送达地址：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约定送达地址：</w:t>
      </w:r>
    </w:p>
    <w:p w14:paraId="7FD19CD3">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邮政编码：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邮政编码：</w:t>
      </w:r>
    </w:p>
    <w:p w14:paraId="138397D2">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 xml:space="preserve">电话: </w:t>
      </w:r>
    </w:p>
    <w:p w14:paraId="76BCF6B2">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 xml:space="preserve">电子邮箱：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CN"/>
        </w:rPr>
        <w:t>电子邮箱：</w:t>
      </w:r>
    </w:p>
    <w:p w14:paraId="2D517BED">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开户银行： </w:t>
      </w:r>
    </w:p>
    <w:p w14:paraId="679D8C15">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开户名称： </w:t>
      </w:r>
    </w:p>
    <w:p w14:paraId="5CA89A40">
      <w:pPr>
        <w:keepNext w:val="0"/>
        <w:keepLines w:val="0"/>
        <w:pageBreakBefore w:val="0"/>
        <w:widowControl/>
        <w:kinsoku w:val="0"/>
        <w:wordWrap/>
        <w:overflowPunct/>
        <w:topLinePunct w:val="0"/>
        <w:autoSpaceDE w:val="0"/>
        <w:autoSpaceDN w:val="0"/>
        <w:bidi w:val="0"/>
        <w:adjustRightInd w:val="0"/>
        <w:snapToGrid w:val="0"/>
        <w:spacing w:line="360" w:lineRule="auto"/>
        <w:ind w:firstLine="243" w:firstLineChars="100"/>
        <w:textAlignment w:val="baseline"/>
        <w:rPr>
          <w:rFonts w:hint="eastAsia"/>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开户账号：</w:t>
      </w:r>
      <w:bookmarkStart w:id="584" w:name="_Toc331685783"/>
    </w:p>
    <w:p w14:paraId="56A756BF">
      <w:pPr>
        <w:pStyle w:val="66"/>
        <w:spacing w:line="240" w:lineRule="auto"/>
        <w:ind w:firstLine="200"/>
        <w:jc w:val="center"/>
        <w:rPr>
          <w:rFonts w:hint="eastAsia" w:ascii="仿宋" w:hAnsi="仿宋" w:eastAsia="仿宋" w:cs="仿宋"/>
          <w:b/>
          <w:sz w:val="24"/>
          <w:szCs w:val="24"/>
          <w:highlight w:val="none"/>
        </w:rPr>
      </w:pPr>
    </w:p>
    <w:p w14:paraId="1539BD60">
      <w:pPr>
        <w:pStyle w:val="66"/>
        <w:spacing w:line="240" w:lineRule="auto"/>
        <w:ind w:firstLine="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第二部分 合同一般条款</w:t>
      </w:r>
      <w:bookmarkEnd w:id="584"/>
    </w:p>
    <w:p w14:paraId="2F8AE9FF">
      <w:pPr>
        <w:spacing w:line="240" w:lineRule="auto"/>
        <w:ind w:firstLine="486" w:firstLineChars="200"/>
        <w:outlineLvl w:val="0"/>
        <w:rPr>
          <w:rFonts w:hint="eastAsia" w:ascii="仿宋" w:hAnsi="仿宋" w:eastAsia="仿宋" w:cs="仿宋"/>
          <w:b/>
          <w:sz w:val="24"/>
          <w:szCs w:val="24"/>
          <w:highlight w:val="none"/>
        </w:rPr>
      </w:pPr>
      <w:bookmarkStart w:id="585" w:name="_Ref467378404"/>
      <w:bookmarkStart w:id="586" w:name="_Toc19680"/>
      <w:bookmarkStart w:id="587" w:name="_Ref467378463"/>
      <w:bookmarkStart w:id="588" w:name="_Ref467379205"/>
      <w:bookmarkStart w:id="589" w:name="_Ref467379094"/>
      <w:bookmarkStart w:id="590" w:name="_Toc487900349"/>
      <w:bookmarkStart w:id="591" w:name="_Ref467379225"/>
      <w:bookmarkStart w:id="592" w:name="_Toc5228"/>
      <w:bookmarkStart w:id="593" w:name="_Ref467378499"/>
      <w:bookmarkStart w:id="594" w:name="_Toc259093669"/>
      <w:bookmarkStart w:id="595" w:name="_Ref467379109"/>
      <w:bookmarkStart w:id="596" w:name="_Ref467379214"/>
      <w:bookmarkStart w:id="597" w:name="_Ref467379195"/>
      <w:bookmarkStart w:id="598" w:name="_Ref467379101"/>
      <w:bookmarkStart w:id="599" w:name="_Toc31297"/>
      <w:bookmarkStart w:id="600" w:name="_Toc14021"/>
      <w:bookmarkStart w:id="601" w:name="_Toc25079"/>
      <w:bookmarkStart w:id="602" w:name="_Toc279701240"/>
      <w:r>
        <w:rPr>
          <w:rFonts w:hint="eastAsia" w:ascii="仿宋" w:hAnsi="仿宋" w:eastAsia="仿宋" w:cs="仿宋"/>
          <w:b/>
          <w:sz w:val="24"/>
          <w:szCs w:val="24"/>
          <w:highlight w:val="none"/>
        </w:rPr>
        <w:t>2.1 定义</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9B39988">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本合同中的下列词语应按以下内容进行解释：</w:t>
      </w:r>
    </w:p>
    <w:p w14:paraId="796B9128">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 “合同”系指采购人和中标供应商签订的载明双方当事人所达成的协议，并包括所有的附件、附录和构成合同的其他文件。</w:t>
      </w:r>
    </w:p>
    <w:p w14:paraId="0F846CD0">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 “合同价”系指根据合同约定，中标供应商在完全履行合同义务后，采购人应支付给中标供应商的价格。</w:t>
      </w:r>
    </w:p>
    <w:p w14:paraId="6C28876D">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 “服务”系指中标供应商根据合同约定应向采购人履行的除货物和工程以外的其他政府采购对象，包括采购人自身需要的服务和向社会公众提供的公共服务。</w:t>
      </w:r>
    </w:p>
    <w:p w14:paraId="03985E24">
      <w:pPr>
        <w:spacing w:line="240" w:lineRule="auto"/>
        <w:ind w:firstLine="486" w:firstLineChars="200"/>
        <w:rPr>
          <w:rFonts w:hint="eastAsia" w:ascii="仿宋" w:hAnsi="仿宋" w:eastAsia="仿宋" w:cs="仿宋"/>
          <w:sz w:val="24"/>
          <w:szCs w:val="24"/>
          <w:highlight w:val="none"/>
        </w:rPr>
      </w:pPr>
      <w:bookmarkStart w:id="603" w:name="_Ref467378840"/>
      <w:r>
        <w:rPr>
          <w:rFonts w:hint="eastAsia" w:ascii="仿宋" w:hAnsi="仿宋" w:eastAsia="仿宋" w:cs="仿宋"/>
          <w:sz w:val="24"/>
          <w:szCs w:val="24"/>
          <w:highlight w:val="none"/>
        </w:rPr>
        <w:t>2.1.4 “甲方”系指与中标供应商签署合同的采购人</w:t>
      </w:r>
      <w:bookmarkEnd w:id="603"/>
      <w:r>
        <w:rPr>
          <w:rFonts w:hint="eastAsia" w:ascii="仿宋" w:hAnsi="仿宋" w:eastAsia="仿宋" w:cs="仿宋"/>
          <w:sz w:val="24"/>
          <w:szCs w:val="24"/>
          <w:highlight w:val="none"/>
        </w:rPr>
        <w:t>；采购人委托采购代理机构代表其与乙方签订合同的，采购人的授权委托书作为合同附件。</w:t>
      </w:r>
    </w:p>
    <w:p w14:paraId="42AA4DD5">
      <w:pPr>
        <w:spacing w:line="240" w:lineRule="auto"/>
        <w:ind w:firstLine="486" w:firstLineChars="200"/>
        <w:rPr>
          <w:rFonts w:hint="eastAsia" w:ascii="仿宋" w:hAnsi="仿宋" w:eastAsia="仿宋" w:cs="仿宋"/>
          <w:sz w:val="24"/>
          <w:szCs w:val="24"/>
          <w:highlight w:val="none"/>
        </w:rPr>
      </w:pPr>
      <w:bookmarkStart w:id="604" w:name="_Ref467379400"/>
      <w:r>
        <w:rPr>
          <w:rFonts w:hint="eastAsia" w:ascii="仿宋" w:hAnsi="仿宋" w:eastAsia="仿宋" w:cs="仿宋"/>
          <w:sz w:val="24"/>
          <w:szCs w:val="24"/>
          <w:highlight w:val="none"/>
        </w:rPr>
        <w:t>2.1.5 “乙方”系指根据合同约定提供服务的中标供应商</w:t>
      </w:r>
      <w:bookmarkEnd w:id="604"/>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14FCF0">
      <w:pPr>
        <w:spacing w:line="240" w:lineRule="auto"/>
        <w:ind w:firstLine="486" w:firstLineChars="200"/>
        <w:rPr>
          <w:rFonts w:hint="eastAsia" w:ascii="仿宋" w:hAnsi="仿宋" w:eastAsia="仿宋" w:cs="仿宋"/>
          <w:sz w:val="24"/>
          <w:szCs w:val="24"/>
          <w:highlight w:val="none"/>
        </w:rPr>
      </w:pPr>
      <w:bookmarkStart w:id="605" w:name="_Ref467379436"/>
      <w:r>
        <w:rPr>
          <w:rFonts w:hint="eastAsia" w:ascii="仿宋" w:hAnsi="仿宋" w:eastAsia="仿宋" w:cs="仿宋"/>
          <w:sz w:val="24"/>
          <w:szCs w:val="24"/>
          <w:highlight w:val="none"/>
        </w:rPr>
        <w:t>2.1.6 “现场”系指合同约定提供服务的地点。</w:t>
      </w:r>
      <w:bookmarkEnd w:id="605"/>
    </w:p>
    <w:p w14:paraId="15A7FC14">
      <w:pPr>
        <w:spacing w:line="240" w:lineRule="auto"/>
        <w:ind w:firstLine="486" w:firstLineChars="200"/>
        <w:outlineLvl w:val="0"/>
        <w:rPr>
          <w:rFonts w:hint="eastAsia" w:ascii="仿宋" w:hAnsi="仿宋" w:eastAsia="仿宋" w:cs="仿宋"/>
          <w:b/>
          <w:sz w:val="24"/>
          <w:szCs w:val="24"/>
          <w:highlight w:val="none"/>
        </w:rPr>
      </w:pPr>
      <w:bookmarkStart w:id="606" w:name="_Toc23289"/>
      <w:bookmarkStart w:id="607" w:name="_Toc16752"/>
      <w:bookmarkStart w:id="608" w:name="_Toc259093670"/>
      <w:bookmarkStart w:id="609" w:name="_Toc31402"/>
      <w:bookmarkStart w:id="610" w:name="_Toc487900350"/>
      <w:bookmarkStart w:id="611" w:name="_Toc19539"/>
      <w:bookmarkStart w:id="612" w:name="_Toc3769"/>
      <w:bookmarkStart w:id="613" w:name="_Toc279701241"/>
      <w:r>
        <w:rPr>
          <w:rFonts w:hint="eastAsia" w:ascii="仿宋" w:hAnsi="仿宋" w:eastAsia="仿宋" w:cs="仿宋"/>
          <w:b/>
          <w:sz w:val="24"/>
          <w:szCs w:val="24"/>
          <w:highlight w:val="none"/>
        </w:rPr>
        <w:t>2.2 技术规范</w:t>
      </w:r>
      <w:bookmarkEnd w:id="606"/>
      <w:bookmarkEnd w:id="607"/>
      <w:bookmarkEnd w:id="608"/>
      <w:bookmarkEnd w:id="609"/>
      <w:bookmarkEnd w:id="610"/>
      <w:bookmarkEnd w:id="611"/>
      <w:bookmarkEnd w:id="612"/>
      <w:bookmarkEnd w:id="613"/>
    </w:p>
    <w:p w14:paraId="2869C6B2">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59056B">
      <w:pPr>
        <w:spacing w:line="240" w:lineRule="auto"/>
        <w:ind w:firstLine="486" w:firstLineChars="200"/>
        <w:outlineLvl w:val="0"/>
        <w:rPr>
          <w:rFonts w:hint="eastAsia" w:ascii="仿宋" w:hAnsi="仿宋" w:eastAsia="仿宋" w:cs="仿宋"/>
          <w:b/>
          <w:sz w:val="24"/>
          <w:szCs w:val="24"/>
          <w:highlight w:val="none"/>
        </w:rPr>
      </w:pPr>
      <w:bookmarkStart w:id="614" w:name="_Toc13673"/>
      <w:bookmarkStart w:id="615" w:name="_Toc279701242"/>
      <w:bookmarkStart w:id="616" w:name="_Toc259093671"/>
      <w:bookmarkStart w:id="617" w:name="_Toc487900351"/>
      <w:bookmarkStart w:id="618" w:name="_Toc12412"/>
      <w:bookmarkStart w:id="619" w:name="_Toc27945"/>
      <w:bookmarkStart w:id="620" w:name="_Toc9161"/>
      <w:bookmarkStart w:id="621" w:name="_Toc4133"/>
      <w:r>
        <w:rPr>
          <w:rFonts w:hint="eastAsia" w:ascii="仿宋" w:hAnsi="仿宋" w:eastAsia="仿宋" w:cs="仿宋"/>
          <w:b/>
          <w:sz w:val="24"/>
          <w:szCs w:val="24"/>
          <w:highlight w:val="none"/>
        </w:rPr>
        <w:t>2.3 知识产权</w:t>
      </w:r>
      <w:bookmarkEnd w:id="614"/>
      <w:bookmarkEnd w:id="615"/>
      <w:bookmarkEnd w:id="616"/>
      <w:bookmarkEnd w:id="617"/>
      <w:bookmarkEnd w:id="618"/>
      <w:bookmarkEnd w:id="619"/>
      <w:bookmarkEnd w:id="620"/>
      <w:bookmarkEnd w:id="621"/>
    </w:p>
    <w:p w14:paraId="5C8F3C59">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203CB0B">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合同涉及技术成果的归属和收益的分成办法的，详见</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w:t>
      </w:r>
    </w:p>
    <w:p w14:paraId="5310A0FF">
      <w:pPr>
        <w:spacing w:line="240" w:lineRule="auto"/>
        <w:ind w:firstLine="486"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2.4 履约检查和问题反馈</w:t>
      </w:r>
    </w:p>
    <w:p w14:paraId="76FD100B">
      <w:pPr>
        <w:spacing w:line="240" w:lineRule="auto"/>
        <w:ind w:firstLine="486" w:firstLineChars="200"/>
        <w:rPr>
          <w:rFonts w:hint="eastAsia" w:ascii="仿宋" w:hAnsi="仿宋" w:eastAsia="仿宋" w:cs="仿宋"/>
          <w:sz w:val="24"/>
          <w:szCs w:val="24"/>
          <w:highlight w:val="none"/>
        </w:rPr>
      </w:pPr>
      <w:bookmarkStart w:id="622" w:name="_Ref467379657"/>
      <w:r>
        <w:rPr>
          <w:rFonts w:hint="eastAsia" w:ascii="仿宋" w:hAnsi="仿宋" w:eastAsia="仿宋" w:cs="仿宋"/>
          <w:sz w:val="24"/>
          <w:szCs w:val="24"/>
          <w:highlight w:val="none"/>
        </w:rPr>
        <w:t>2.4.1</w:t>
      </w:r>
      <w:bookmarkEnd w:id="622"/>
      <w:bookmarkStart w:id="623" w:name="_Toc186431854"/>
      <w:bookmarkStart w:id="624" w:name="_Toc259093676"/>
      <w:bookmarkStart w:id="625" w:name="_Ref467379807"/>
      <w:bookmarkStart w:id="626" w:name="_Toc279701247"/>
      <w:bookmarkStart w:id="627" w:name="_Toc487900357"/>
      <w:bookmarkStart w:id="628" w:name="_Ref467379793"/>
      <w:r>
        <w:rPr>
          <w:rFonts w:hint="eastAsia" w:ascii="仿宋" w:hAnsi="仿宋" w:eastAsia="仿宋" w:cs="仿宋"/>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AE501B7">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2.4.2 合同履行期间，甲方有权将履行过程中出现的问题反馈给乙方，双方当事人应以书面形式约定需要完善和改进的内容</w:t>
      </w:r>
      <w:bookmarkEnd w:id="623"/>
      <w:bookmarkStart w:id="629" w:name="_Toc186431855"/>
      <w:r>
        <w:rPr>
          <w:rFonts w:hint="eastAsia" w:ascii="仿宋" w:hAnsi="仿宋" w:eastAsia="仿宋" w:cs="仿宋"/>
          <w:sz w:val="24"/>
          <w:szCs w:val="24"/>
          <w:highlight w:val="none"/>
        </w:rPr>
        <w:t>。</w:t>
      </w:r>
    </w:p>
    <w:bookmarkEnd w:id="629"/>
    <w:p w14:paraId="2C4ECC27">
      <w:pPr>
        <w:spacing w:line="240" w:lineRule="auto"/>
        <w:ind w:firstLine="486" w:firstLineChars="200"/>
        <w:outlineLvl w:val="0"/>
        <w:rPr>
          <w:rFonts w:hint="eastAsia" w:ascii="仿宋" w:hAnsi="仿宋" w:eastAsia="仿宋" w:cs="仿宋"/>
          <w:b/>
          <w:sz w:val="24"/>
          <w:szCs w:val="24"/>
          <w:highlight w:val="none"/>
        </w:rPr>
      </w:pPr>
      <w:bookmarkStart w:id="630" w:name="_Toc26555"/>
      <w:bookmarkStart w:id="631" w:name="_Toc22011"/>
      <w:bookmarkStart w:id="632" w:name="_Toc32670"/>
      <w:bookmarkStart w:id="633" w:name="_Toc15447"/>
      <w:bookmarkStart w:id="634" w:name="_Toc31233"/>
      <w:r>
        <w:rPr>
          <w:rFonts w:hint="eastAsia" w:ascii="仿宋" w:hAnsi="仿宋" w:eastAsia="仿宋" w:cs="仿宋"/>
          <w:b/>
          <w:sz w:val="24"/>
          <w:szCs w:val="24"/>
          <w:highlight w:val="none"/>
        </w:rPr>
        <w:t>2.5 结算方式和付款条件</w:t>
      </w:r>
      <w:bookmarkEnd w:id="624"/>
      <w:bookmarkEnd w:id="625"/>
      <w:bookmarkEnd w:id="626"/>
      <w:bookmarkEnd w:id="627"/>
      <w:bookmarkEnd w:id="628"/>
      <w:bookmarkEnd w:id="630"/>
      <w:bookmarkEnd w:id="631"/>
      <w:bookmarkEnd w:id="632"/>
      <w:bookmarkEnd w:id="633"/>
      <w:bookmarkEnd w:id="634"/>
    </w:p>
    <w:p w14:paraId="52BA4C0A">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w:t>
      </w:r>
    </w:p>
    <w:p w14:paraId="4D1F5D39">
      <w:pPr>
        <w:spacing w:line="240" w:lineRule="auto"/>
        <w:ind w:firstLine="486" w:firstLineChars="200"/>
        <w:outlineLvl w:val="0"/>
        <w:rPr>
          <w:rFonts w:hint="eastAsia" w:ascii="仿宋" w:hAnsi="仿宋" w:eastAsia="仿宋" w:cs="仿宋"/>
          <w:b/>
          <w:sz w:val="24"/>
          <w:szCs w:val="24"/>
          <w:highlight w:val="none"/>
        </w:rPr>
      </w:pPr>
      <w:bookmarkStart w:id="635" w:name="_Ref467379852"/>
      <w:bookmarkStart w:id="636" w:name="_Toc487900358"/>
      <w:bookmarkStart w:id="637" w:name="_Toc279701248"/>
      <w:bookmarkStart w:id="638" w:name="_Ref467379863"/>
      <w:bookmarkStart w:id="639" w:name="_Toc259093677"/>
      <w:bookmarkStart w:id="640" w:name="_Ref467379923"/>
      <w:bookmarkStart w:id="641" w:name="_Toc13154"/>
      <w:bookmarkStart w:id="642" w:name="_Toc13467"/>
      <w:bookmarkStart w:id="643" w:name="_Toc16163"/>
      <w:bookmarkStart w:id="644" w:name="_Toc30507"/>
      <w:bookmarkStart w:id="645" w:name="_Toc18990"/>
      <w:r>
        <w:rPr>
          <w:rFonts w:hint="eastAsia" w:ascii="仿宋" w:hAnsi="仿宋" w:eastAsia="仿宋" w:cs="仿宋"/>
          <w:b/>
          <w:sz w:val="24"/>
          <w:szCs w:val="24"/>
          <w:highlight w:val="none"/>
        </w:rPr>
        <w:t>2.6 技术资料</w:t>
      </w:r>
      <w:bookmarkEnd w:id="635"/>
      <w:bookmarkEnd w:id="636"/>
      <w:bookmarkEnd w:id="637"/>
      <w:bookmarkEnd w:id="638"/>
      <w:bookmarkEnd w:id="639"/>
      <w:bookmarkEnd w:id="640"/>
      <w:r>
        <w:rPr>
          <w:rFonts w:hint="eastAsia" w:ascii="仿宋" w:hAnsi="仿宋" w:eastAsia="仿宋" w:cs="仿宋"/>
          <w:b/>
          <w:sz w:val="24"/>
          <w:szCs w:val="24"/>
          <w:highlight w:val="none"/>
        </w:rPr>
        <w:t>和保密义务</w:t>
      </w:r>
      <w:bookmarkEnd w:id="641"/>
      <w:bookmarkEnd w:id="642"/>
      <w:bookmarkEnd w:id="643"/>
      <w:bookmarkEnd w:id="644"/>
      <w:bookmarkEnd w:id="645"/>
    </w:p>
    <w:p w14:paraId="4D963355">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乙方有权依据合同约定和项目需要，向甲方了解有关情况，调阅有关资料等，甲方应予积极配合；</w:t>
      </w:r>
    </w:p>
    <w:p w14:paraId="399E927A">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乙方有义务妥善保管和保护由甲方提供的前款信息和资料等；</w:t>
      </w:r>
    </w:p>
    <w:p w14:paraId="07E0090B">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4818D7">
      <w:pPr>
        <w:spacing w:line="240" w:lineRule="auto"/>
        <w:ind w:firstLine="486" w:firstLineChars="200"/>
        <w:outlineLvl w:val="0"/>
        <w:rPr>
          <w:rFonts w:hint="eastAsia" w:ascii="仿宋" w:hAnsi="仿宋" w:eastAsia="仿宋" w:cs="仿宋"/>
          <w:b/>
          <w:sz w:val="24"/>
          <w:szCs w:val="24"/>
          <w:highlight w:val="none"/>
        </w:rPr>
      </w:pPr>
      <w:bookmarkStart w:id="646" w:name="_Toc19069"/>
      <w:bookmarkStart w:id="647" w:name="_Toc259093681"/>
      <w:bookmarkStart w:id="648" w:name="_Toc279701252"/>
      <w:bookmarkStart w:id="649" w:name="_Toc487900362"/>
      <w:r>
        <w:rPr>
          <w:rFonts w:hint="eastAsia" w:ascii="仿宋" w:hAnsi="仿宋" w:eastAsia="仿宋" w:cs="仿宋"/>
          <w:b/>
          <w:sz w:val="24"/>
          <w:szCs w:val="24"/>
          <w:highlight w:val="none"/>
        </w:rPr>
        <w:t>2.7 质量保证</w:t>
      </w:r>
      <w:bookmarkEnd w:id="646"/>
    </w:p>
    <w:p w14:paraId="610A1E4E">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2.7.1 乙方应建立和完善履行合同的内部质量保证体系，并提供相关内部规章制度给甲方，以便甲方进行监督检查；</w:t>
      </w:r>
    </w:p>
    <w:p w14:paraId="1E9D4258">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2.7.2 乙方应保证履行合同的人员数量和素质、软件和硬件设备的配置、场地、环境和设施等满足全面履行合同的要求，并应接受甲方的监督检查。</w:t>
      </w:r>
    </w:p>
    <w:p w14:paraId="595ED6FE">
      <w:pPr>
        <w:spacing w:line="240" w:lineRule="auto"/>
        <w:ind w:firstLine="486" w:firstLineChars="200"/>
        <w:outlineLvl w:val="0"/>
        <w:rPr>
          <w:rFonts w:hint="eastAsia" w:ascii="仿宋" w:hAnsi="仿宋" w:eastAsia="仿宋" w:cs="仿宋"/>
          <w:b/>
          <w:sz w:val="24"/>
          <w:szCs w:val="24"/>
          <w:highlight w:val="none"/>
        </w:rPr>
      </w:pPr>
      <w:bookmarkStart w:id="650" w:name="_Toc22267"/>
      <w:r>
        <w:rPr>
          <w:rFonts w:hint="eastAsia" w:ascii="仿宋" w:hAnsi="仿宋" w:eastAsia="仿宋" w:cs="仿宋"/>
          <w:b/>
          <w:sz w:val="24"/>
          <w:szCs w:val="24"/>
          <w:highlight w:val="none"/>
        </w:rPr>
        <w:t>2.8 延迟</w:t>
      </w:r>
      <w:bookmarkEnd w:id="647"/>
      <w:bookmarkEnd w:id="648"/>
      <w:bookmarkEnd w:id="649"/>
      <w:r>
        <w:rPr>
          <w:rFonts w:hint="eastAsia" w:ascii="仿宋" w:hAnsi="仿宋" w:eastAsia="仿宋" w:cs="仿宋"/>
          <w:b/>
          <w:sz w:val="24"/>
          <w:szCs w:val="24"/>
          <w:highlight w:val="none"/>
        </w:rPr>
        <w:t>履行</w:t>
      </w:r>
      <w:bookmarkEnd w:id="650"/>
    </w:p>
    <w:p w14:paraId="7C888789">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D8A1D96">
      <w:pPr>
        <w:spacing w:line="240" w:lineRule="auto"/>
        <w:ind w:firstLine="486" w:firstLineChars="200"/>
        <w:outlineLvl w:val="0"/>
        <w:rPr>
          <w:rFonts w:hint="eastAsia" w:ascii="仿宋" w:hAnsi="仿宋" w:eastAsia="仿宋" w:cs="仿宋"/>
          <w:b/>
          <w:sz w:val="24"/>
          <w:szCs w:val="24"/>
          <w:highlight w:val="none"/>
        </w:rPr>
      </w:pPr>
      <w:bookmarkStart w:id="651" w:name="_Toc10611"/>
      <w:bookmarkStart w:id="652" w:name="_Toc279701254"/>
      <w:bookmarkStart w:id="653" w:name="_Ref467378121"/>
      <w:bookmarkStart w:id="654" w:name="_Toc259093683"/>
      <w:bookmarkStart w:id="655" w:name="_Toc487900364"/>
      <w:r>
        <w:rPr>
          <w:rFonts w:hint="eastAsia" w:ascii="仿宋" w:hAnsi="仿宋" w:eastAsia="仿宋" w:cs="仿宋"/>
          <w:b/>
          <w:sz w:val="24"/>
          <w:szCs w:val="24"/>
          <w:highlight w:val="none"/>
        </w:rPr>
        <w:t>2.9 合同变更</w:t>
      </w:r>
      <w:bookmarkEnd w:id="651"/>
    </w:p>
    <w:p w14:paraId="78D743F2">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169AF64">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656" w:name="_Toc487900369"/>
      <w:bookmarkStart w:id="657" w:name="_Toc279701259"/>
      <w:bookmarkStart w:id="658" w:name="_Toc259093688"/>
    </w:p>
    <w:p w14:paraId="5D6B32E6">
      <w:pPr>
        <w:spacing w:line="240" w:lineRule="auto"/>
        <w:ind w:firstLine="486" w:firstLineChars="200"/>
        <w:outlineLvl w:val="0"/>
        <w:rPr>
          <w:rFonts w:hint="eastAsia" w:ascii="仿宋" w:hAnsi="仿宋" w:eastAsia="仿宋" w:cs="仿宋"/>
          <w:b/>
          <w:sz w:val="24"/>
          <w:szCs w:val="24"/>
          <w:highlight w:val="none"/>
        </w:rPr>
      </w:pPr>
      <w:bookmarkStart w:id="659" w:name="_Toc21830"/>
      <w:bookmarkStart w:id="660" w:name="_Toc23368"/>
      <w:bookmarkStart w:id="661" w:name="_Toc42"/>
      <w:bookmarkStart w:id="662" w:name="_Toc26689"/>
      <w:bookmarkStart w:id="663" w:name="_Toc10663"/>
      <w:r>
        <w:rPr>
          <w:rFonts w:hint="eastAsia" w:ascii="仿宋" w:hAnsi="仿宋" w:eastAsia="仿宋" w:cs="仿宋"/>
          <w:b/>
          <w:sz w:val="24"/>
          <w:szCs w:val="24"/>
          <w:highlight w:val="none"/>
        </w:rPr>
        <w:t>2.10 合同转让</w:t>
      </w:r>
      <w:bookmarkEnd w:id="656"/>
      <w:bookmarkEnd w:id="657"/>
      <w:bookmarkEnd w:id="658"/>
      <w:r>
        <w:rPr>
          <w:rFonts w:hint="eastAsia" w:ascii="仿宋" w:hAnsi="仿宋" w:eastAsia="仿宋" w:cs="仿宋"/>
          <w:b/>
          <w:sz w:val="24"/>
          <w:szCs w:val="24"/>
          <w:highlight w:val="none"/>
        </w:rPr>
        <w:t>和分包</w:t>
      </w:r>
      <w:bookmarkEnd w:id="659"/>
      <w:bookmarkEnd w:id="660"/>
      <w:bookmarkEnd w:id="661"/>
      <w:bookmarkEnd w:id="662"/>
      <w:bookmarkEnd w:id="663"/>
    </w:p>
    <w:p w14:paraId="0A65F2D8">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9D8A5F">
      <w:pPr>
        <w:spacing w:line="240" w:lineRule="auto"/>
        <w:ind w:firstLine="486" w:firstLineChars="200"/>
        <w:outlineLvl w:val="0"/>
        <w:rPr>
          <w:rFonts w:hint="eastAsia" w:ascii="仿宋" w:hAnsi="仿宋" w:eastAsia="仿宋" w:cs="仿宋"/>
          <w:b/>
          <w:sz w:val="24"/>
          <w:szCs w:val="24"/>
          <w:highlight w:val="none"/>
        </w:rPr>
      </w:pPr>
      <w:bookmarkStart w:id="664" w:name="_Toc26633"/>
      <w:bookmarkStart w:id="665" w:name="_Toc14371"/>
      <w:bookmarkStart w:id="666" w:name="_Toc32494"/>
      <w:bookmarkStart w:id="667" w:name="_Toc4720"/>
      <w:bookmarkStart w:id="668" w:name="_Toc25571"/>
      <w:r>
        <w:rPr>
          <w:rFonts w:hint="eastAsia" w:ascii="仿宋" w:hAnsi="仿宋" w:eastAsia="仿宋" w:cs="仿宋"/>
          <w:b/>
          <w:sz w:val="24"/>
          <w:szCs w:val="24"/>
          <w:highlight w:val="none"/>
        </w:rPr>
        <w:t>2.11 不可抗力</w:t>
      </w:r>
      <w:bookmarkEnd w:id="664"/>
      <w:bookmarkEnd w:id="665"/>
      <w:bookmarkEnd w:id="666"/>
      <w:bookmarkEnd w:id="667"/>
      <w:bookmarkEnd w:id="668"/>
    </w:p>
    <w:p w14:paraId="012B4A39">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2.11.1如果任何一方遭遇法律规定的不可抗力，致使合同履行受阻时，履行合同的期限应予延长，延长的期限应相当于不可抗力所影响的时间；</w:t>
      </w:r>
    </w:p>
    <w:p w14:paraId="1981E0D2">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2.11.2 因不可抗力致使不能实现合同目的的，当事人可以解除合同；</w:t>
      </w:r>
    </w:p>
    <w:p w14:paraId="7675A323">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2.11.3 因不可抗力致使合同有变更必要的，双方当事人应在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约定时间内以书面形式变更合同；</w:t>
      </w:r>
    </w:p>
    <w:p w14:paraId="1AD485A9">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2.11.4受不可抗力影响的一方在不可抗力发生后，应在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14:paraId="09A633EC">
      <w:pPr>
        <w:spacing w:line="240" w:lineRule="auto"/>
        <w:ind w:firstLine="486" w:firstLineChars="200"/>
        <w:outlineLvl w:val="0"/>
        <w:rPr>
          <w:rFonts w:hint="eastAsia" w:ascii="仿宋" w:hAnsi="仿宋" w:eastAsia="仿宋" w:cs="仿宋"/>
          <w:b/>
          <w:sz w:val="24"/>
          <w:szCs w:val="24"/>
          <w:highlight w:val="none"/>
        </w:rPr>
      </w:pPr>
      <w:bookmarkStart w:id="669" w:name="_Toc25783"/>
      <w:bookmarkStart w:id="670" w:name="_Toc23854"/>
      <w:bookmarkStart w:id="671" w:name="_Toc24465"/>
      <w:bookmarkStart w:id="672" w:name="_Toc259093684"/>
      <w:bookmarkStart w:id="673" w:name="_Toc14115"/>
      <w:bookmarkStart w:id="674" w:name="_Toc279701255"/>
      <w:bookmarkStart w:id="675" w:name="_Toc3638"/>
      <w:bookmarkStart w:id="676" w:name="_Toc487900365"/>
      <w:r>
        <w:rPr>
          <w:rFonts w:hint="eastAsia" w:ascii="仿宋" w:hAnsi="仿宋" w:eastAsia="仿宋" w:cs="仿宋"/>
          <w:b/>
          <w:sz w:val="24"/>
          <w:szCs w:val="24"/>
          <w:highlight w:val="none"/>
        </w:rPr>
        <w:t>2.12 税费</w:t>
      </w:r>
      <w:bookmarkEnd w:id="669"/>
      <w:bookmarkEnd w:id="670"/>
      <w:bookmarkEnd w:id="671"/>
      <w:bookmarkEnd w:id="672"/>
      <w:bookmarkEnd w:id="673"/>
      <w:bookmarkEnd w:id="674"/>
      <w:bookmarkEnd w:id="675"/>
      <w:bookmarkEnd w:id="676"/>
    </w:p>
    <w:p w14:paraId="0F98AFFA">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与合同有关的一切税费，均按照中华人民共和国法律的相关规定缴纳。</w:t>
      </w:r>
    </w:p>
    <w:p w14:paraId="559EAD6D">
      <w:pPr>
        <w:spacing w:line="240" w:lineRule="auto"/>
        <w:ind w:firstLine="486" w:firstLineChars="200"/>
        <w:outlineLvl w:val="0"/>
        <w:rPr>
          <w:rFonts w:hint="eastAsia" w:ascii="仿宋" w:hAnsi="仿宋" w:eastAsia="仿宋" w:cs="仿宋"/>
          <w:b/>
          <w:sz w:val="24"/>
          <w:szCs w:val="24"/>
          <w:highlight w:val="none"/>
        </w:rPr>
      </w:pPr>
      <w:bookmarkStart w:id="677" w:name="_Toc26883"/>
      <w:bookmarkStart w:id="678" w:name="_Toc30105"/>
      <w:bookmarkStart w:id="679" w:name="_Toc487900368"/>
      <w:bookmarkStart w:id="680" w:name="_Toc259093687"/>
      <w:bookmarkStart w:id="681" w:name="_Toc25525"/>
      <w:bookmarkStart w:id="682" w:name="_Toc279701258"/>
      <w:bookmarkStart w:id="683" w:name="_Toc14814"/>
      <w:bookmarkStart w:id="684" w:name="_Toc7315"/>
      <w:r>
        <w:rPr>
          <w:rFonts w:hint="eastAsia" w:ascii="仿宋" w:hAnsi="仿宋" w:eastAsia="仿宋" w:cs="仿宋"/>
          <w:b/>
          <w:sz w:val="24"/>
          <w:szCs w:val="24"/>
          <w:highlight w:val="none"/>
        </w:rPr>
        <w:t>2.13 乙方破产</w:t>
      </w:r>
      <w:bookmarkEnd w:id="677"/>
      <w:bookmarkEnd w:id="678"/>
      <w:bookmarkEnd w:id="679"/>
      <w:bookmarkEnd w:id="680"/>
      <w:bookmarkEnd w:id="681"/>
      <w:bookmarkEnd w:id="682"/>
      <w:bookmarkEnd w:id="683"/>
      <w:bookmarkEnd w:id="684"/>
    </w:p>
    <w:p w14:paraId="5D0F90CB">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BE29AA">
      <w:pPr>
        <w:spacing w:line="240" w:lineRule="auto"/>
        <w:ind w:firstLine="486" w:firstLineChars="200"/>
        <w:outlineLvl w:val="0"/>
        <w:rPr>
          <w:rFonts w:hint="eastAsia" w:ascii="仿宋" w:hAnsi="仿宋" w:eastAsia="仿宋" w:cs="仿宋"/>
          <w:b/>
          <w:sz w:val="24"/>
          <w:szCs w:val="24"/>
          <w:highlight w:val="none"/>
        </w:rPr>
      </w:pPr>
      <w:bookmarkStart w:id="685" w:name="_Toc23323"/>
      <w:bookmarkStart w:id="686" w:name="_Toc1123"/>
      <w:bookmarkStart w:id="687" w:name="_Toc2016"/>
      <w:r>
        <w:rPr>
          <w:rFonts w:hint="eastAsia" w:ascii="仿宋" w:hAnsi="仿宋" w:eastAsia="仿宋" w:cs="仿宋"/>
          <w:b/>
          <w:sz w:val="24"/>
          <w:szCs w:val="24"/>
          <w:highlight w:val="none"/>
        </w:rPr>
        <w:t>2.14 合同中止、终止</w:t>
      </w:r>
      <w:bookmarkEnd w:id="685"/>
      <w:bookmarkEnd w:id="686"/>
      <w:bookmarkEnd w:id="687"/>
    </w:p>
    <w:p w14:paraId="5563BFED">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2.14.1 双方当事人不得擅自中止或者终止合同；</w:t>
      </w:r>
    </w:p>
    <w:p w14:paraId="62BD12A0">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BD9B994">
      <w:pPr>
        <w:spacing w:line="240" w:lineRule="auto"/>
        <w:ind w:firstLine="486" w:firstLineChars="200"/>
        <w:outlineLvl w:val="0"/>
        <w:rPr>
          <w:rFonts w:hint="eastAsia" w:ascii="仿宋" w:hAnsi="仿宋" w:eastAsia="仿宋" w:cs="仿宋"/>
          <w:b/>
          <w:sz w:val="24"/>
          <w:szCs w:val="24"/>
          <w:highlight w:val="none"/>
        </w:rPr>
      </w:pPr>
      <w:bookmarkStart w:id="688" w:name="_Toc1969"/>
      <w:bookmarkStart w:id="689" w:name="_Toc14525"/>
      <w:bookmarkStart w:id="690" w:name="_Toc17363"/>
      <w:r>
        <w:rPr>
          <w:rFonts w:hint="eastAsia" w:ascii="仿宋" w:hAnsi="仿宋" w:eastAsia="仿宋" w:cs="仿宋"/>
          <w:b/>
          <w:sz w:val="24"/>
          <w:szCs w:val="24"/>
          <w:highlight w:val="none"/>
        </w:rPr>
        <w:t>2.15 检验和验收</w:t>
      </w:r>
      <w:bookmarkEnd w:id="688"/>
      <w:bookmarkEnd w:id="689"/>
      <w:bookmarkEnd w:id="690"/>
    </w:p>
    <w:p w14:paraId="2AC5C6C9">
      <w:pPr>
        <w:tabs>
          <w:tab w:val="left" w:pos="360"/>
          <w:tab w:val="left" w:pos="540"/>
          <w:tab w:val="left" w:pos="1080"/>
        </w:tabs>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2.15.1 乙方按照</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的约定，定期提交服务报告，甲方按照</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的约定进行定期验收；</w:t>
      </w:r>
    </w:p>
    <w:p w14:paraId="09BA6DDE">
      <w:pPr>
        <w:tabs>
          <w:tab w:val="left" w:pos="360"/>
          <w:tab w:val="left" w:pos="540"/>
          <w:tab w:val="left" w:pos="1080"/>
        </w:tabs>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D3D7B2">
      <w:pPr>
        <w:tabs>
          <w:tab w:val="left" w:pos="360"/>
          <w:tab w:val="left" w:pos="540"/>
          <w:tab w:val="left" w:pos="1080"/>
        </w:tabs>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2.15.3 检验和验收标准、程序等具体内容以及前述验收书的效力详见</w:t>
      </w:r>
      <w:r>
        <w:rPr>
          <w:rFonts w:hint="eastAsia" w:ascii="仿宋" w:hAnsi="仿宋" w:eastAsia="仿宋" w:cs="仿宋"/>
          <w:b/>
          <w:i/>
          <w:sz w:val="24"/>
          <w:szCs w:val="24"/>
          <w:highlight w:val="none"/>
          <w:u w:val="single"/>
        </w:rPr>
        <w:t>合同专用条款</w:t>
      </w:r>
      <w:r>
        <w:rPr>
          <w:rFonts w:hint="eastAsia" w:ascii="仿宋" w:hAnsi="仿宋" w:eastAsia="仿宋" w:cs="仿宋"/>
          <w:i/>
          <w:sz w:val="24"/>
          <w:szCs w:val="24"/>
          <w:highlight w:val="none"/>
        </w:rPr>
        <w:t>。</w:t>
      </w:r>
    </w:p>
    <w:bookmarkEnd w:id="652"/>
    <w:bookmarkEnd w:id="653"/>
    <w:bookmarkEnd w:id="654"/>
    <w:bookmarkEnd w:id="655"/>
    <w:p w14:paraId="5FCDE315">
      <w:pPr>
        <w:spacing w:line="240" w:lineRule="auto"/>
        <w:ind w:firstLine="486" w:firstLineChars="200"/>
        <w:outlineLvl w:val="0"/>
        <w:rPr>
          <w:rFonts w:hint="eastAsia" w:ascii="仿宋" w:hAnsi="仿宋" w:eastAsia="仿宋" w:cs="仿宋"/>
          <w:b/>
          <w:sz w:val="24"/>
          <w:szCs w:val="24"/>
          <w:highlight w:val="none"/>
        </w:rPr>
      </w:pPr>
      <w:bookmarkStart w:id="691" w:name="_Toc487900371"/>
      <w:bookmarkStart w:id="692" w:name="_Toc259093690"/>
      <w:bookmarkStart w:id="693" w:name="_Toc279701261"/>
      <w:bookmarkStart w:id="694" w:name="_Toc25198"/>
      <w:bookmarkStart w:id="695" w:name="_Toc12666"/>
      <w:bookmarkStart w:id="696" w:name="_Toc31892"/>
      <w:bookmarkStart w:id="697" w:name="_Toc2308"/>
      <w:bookmarkStart w:id="698" w:name="_Toc9808"/>
      <w:r>
        <w:rPr>
          <w:rFonts w:hint="eastAsia" w:ascii="仿宋" w:hAnsi="仿宋" w:eastAsia="仿宋" w:cs="仿宋"/>
          <w:b/>
          <w:sz w:val="24"/>
          <w:szCs w:val="24"/>
          <w:highlight w:val="none"/>
        </w:rPr>
        <w:t>2.16 通知</w:t>
      </w:r>
      <w:bookmarkEnd w:id="691"/>
      <w:bookmarkEnd w:id="692"/>
      <w:bookmarkEnd w:id="693"/>
      <w:r>
        <w:rPr>
          <w:rFonts w:hint="eastAsia" w:ascii="仿宋" w:hAnsi="仿宋" w:eastAsia="仿宋" w:cs="仿宋"/>
          <w:b/>
          <w:sz w:val="24"/>
          <w:szCs w:val="24"/>
          <w:highlight w:val="none"/>
        </w:rPr>
        <w:t>和送达</w:t>
      </w:r>
      <w:bookmarkEnd w:id="694"/>
      <w:bookmarkEnd w:id="695"/>
      <w:bookmarkEnd w:id="696"/>
      <w:bookmarkEnd w:id="697"/>
      <w:bookmarkEnd w:id="698"/>
    </w:p>
    <w:p w14:paraId="5DB4FBA5">
      <w:pPr>
        <w:spacing w:line="240" w:lineRule="auto"/>
        <w:ind w:firstLine="486" w:firstLineChars="200"/>
        <w:rPr>
          <w:rFonts w:hint="eastAsia" w:ascii="仿宋" w:hAnsi="仿宋" w:eastAsia="仿宋" w:cs="仿宋"/>
          <w:sz w:val="24"/>
          <w:szCs w:val="24"/>
          <w:highlight w:val="none"/>
        </w:rPr>
      </w:pPr>
      <w:bookmarkStart w:id="699" w:name="_Toc7073"/>
      <w:bookmarkStart w:id="700" w:name="_Toc29220"/>
      <w:bookmarkStart w:id="701" w:name="_Toc487900372"/>
      <w:bookmarkStart w:id="702" w:name="_Toc259093691"/>
      <w:bookmarkStart w:id="703" w:name="_Toc279701262"/>
      <w:r>
        <w:rPr>
          <w:rFonts w:hint="eastAsia" w:ascii="仿宋" w:hAnsi="仿宋" w:eastAsia="仿宋" w:cs="仿宋"/>
          <w:sz w:val="24"/>
          <w:szCs w:val="24"/>
          <w:highlight w:val="none"/>
        </w:rPr>
        <w:t>2.16.1 任何一方因履行合同而以合同第一部分尾部所列明的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bookmarkEnd w:id="699"/>
      <w:bookmarkEnd w:id="700"/>
    </w:p>
    <w:p w14:paraId="1C4D28C7">
      <w:pPr>
        <w:spacing w:line="240" w:lineRule="auto"/>
        <w:ind w:firstLine="486" w:firstLineChars="200"/>
        <w:rPr>
          <w:rFonts w:hint="eastAsia" w:ascii="仿宋" w:hAnsi="仿宋" w:eastAsia="仿宋" w:cs="仿宋"/>
          <w:sz w:val="24"/>
          <w:szCs w:val="24"/>
          <w:highlight w:val="none"/>
        </w:rPr>
      </w:pPr>
      <w:bookmarkStart w:id="704" w:name="_Toc27674"/>
      <w:bookmarkStart w:id="705" w:name="_Toc18401"/>
      <w:r>
        <w:rPr>
          <w:rFonts w:hint="eastAsia" w:ascii="仿宋" w:hAnsi="仿宋" w:eastAsia="仿宋" w:cs="仿宋"/>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04"/>
      <w:bookmarkEnd w:id="705"/>
    </w:p>
    <w:bookmarkEnd w:id="701"/>
    <w:bookmarkEnd w:id="702"/>
    <w:bookmarkEnd w:id="703"/>
    <w:p w14:paraId="1B3533A1">
      <w:pPr>
        <w:spacing w:line="240" w:lineRule="auto"/>
        <w:ind w:firstLine="486" w:firstLineChars="200"/>
        <w:outlineLvl w:val="0"/>
        <w:rPr>
          <w:rFonts w:hint="eastAsia" w:ascii="仿宋" w:hAnsi="仿宋" w:eastAsia="仿宋" w:cs="仿宋"/>
          <w:b/>
          <w:sz w:val="24"/>
          <w:szCs w:val="24"/>
          <w:highlight w:val="none"/>
        </w:rPr>
      </w:pPr>
      <w:bookmarkStart w:id="706" w:name="_Toc5063"/>
      <w:bookmarkStart w:id="707" w:name="_Toc20808"/>
      <w:bookmarkStart w:id="708" w:name="_Toc28906"/>
      <w:bookmarkStart w:id="709" w:name="_Toc259093692"/>
      <w:bookmarkStart w:id="710" w:name="_Toc487900373"/>
      <w:bookmarkStart w:id="711" w:name="_Toc12254"/>
      <w:bookmarkStart w:id="712" w:name="_Toc279701263"/>
      <w:bookmarkStart w:id="713" w:name="_Toc27644"/>
      <w:r>
        <w:rPr>
          <w:rFonts w:hint="eastAsia" w:ascii="仿宋" w:hAnsi="仿宋" w:eastAsia="仿宋" w:cs="仿宋"/>
          <w:b/>
          <w:sz w:val="24"/>
          <w:szCs w:val="24"/>
          <w:highlight w:val="none"/>
        </w:rPr>
        <w:t>2.17 合同使用的文字和适用的法律</w:t>
      </w:r>
      <w:bookmarkEnd w:id="706"/>
      <w:bookmarkEnd w:id="707"/>
      <w:bookmarkEnd w:id="708"/>
      <w:bookmarkEnd w:id="709"/>
      <w:bookmarkEnd w:id="710"/>
      <w:bookmarkEnd w:id="711"/>
      <w:bookmarkEnd w:id="712"/>
      <w:bookmarkEnd w:id="713"/>
    </w:p>
    <w:p w14:paraId="7A59280D">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2.17.1 合同使用汉语书就、变更和解释；</w:t>
      </w:r>
    </w:p>
    <w:p w14:paraId="4252AA0F">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2.17.2 合同适用中华人民共和国法律。</w:t>
      </w:r>
    </w:p>
    <w:p w14:paraId="5DD49B29">
      <w:pPr>
        <w:spacing w:line="240" w:lineRule="auto"/>
        <w:ind w:firstLine="486" w:firstLineChars="200"/>
        <w:outlineLvl w:val="0"/>
        <w:rPr>
          <w:rFonts w:hint="eastAsia" w:ascii="仿宋" w:hAnsi="仿宋" w:eastAsia="仿宋" w:cs="仿宋"/>
          <w:b/>
          <w:sz w:val="24"/>
          <w:szCs w:val="24"/>
          <w:highlight w:val="none"/>
        </w:rPr>
      </w:pPr>
      <w:bookmarkStart w:id="714" w:name="_Toc30096"/>
      <w:bookmarkStart w:id="715" w:name="_Toc27403"/>
      <w:bookmarkStart w:id="716" w:name="_Toc22266"/>
      <w:bookmarkStart w:id="717" w:name="_Toc279701264"/>
      <w:bookmarkStart w:id="718" w:name="_Toc27127"/>
      <w:bookmarkStart w:id="719" w:name="_Toc1492"/>
      <w:bookmarkStart w:id="720" w:name="_Toc259093693"/>
      <w:bookmarkStart w:id="721" w:name="_Toc487900374"/>
      <w:r>
        <w:rPr>
          <w:rFonts w:hint="eastAsia" w:ascii="仿宋" w:hAnsi="仿宋" w:eastAsia="仿宋" w:cs="仿宋"/>
          <w:b/>
          <w:sz w:val="24"/>
          <w:szCs w:val="24"/>
          <w:highlight w:val="none"/>
        </w:rPr>
        <w:t>2.18 履约保证金</w:t>
      </w:r>
      <w:bookmarkEnd w:id="714"/>
      <w:bookmarkEnd w:id="715"/>
      <w:bookmarkEnd w:id="716"/>
      <w:bookmarkEnd w:id="717"/>
      <w:bookmarkEnd w:id="718"/>
      <w:bookmarkEnd w:id="719"/>
      <w:bookmarkEnd w:id="720"/>
    </w:p>
    <w:p w14:paraId="6ACAF480">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2.18.1 采购文件要求乙方提交履约保证金的，乙方应按</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约定的方式，以支票、汇票、本票或者金融机构、担保机构出具的保函等非现金形式，提交不超过合同价</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%的履约保证金；</w:t>
      </w:r>
    </w:p>
    <w:p w14:paraId="12E5E5FA">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2.18.2 履约保证金在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约定期间内不予退还或者应完全有效，前述约定期间届满之日起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个工作日内，甲方应将履约保证金退还乙方；</w:t>
      </w:r>
    </w:p>
    <w:p w14:paraId="7E14CEAD">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21"/>
    <w:p w14:paraId="4A9082A1">
      <w:pPr>
        <w:spacing w:line="240" w:lineRule="auto"/>
        <w:ind w:firstLine="486"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2.19 合同份数</w:t>
      </w:r>
    </w:p>
    <w:p w14:paraId="209D8078">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规定，每份均具有同等法律效力。</w:t>
      </w:r>
    </w:p>
    <w:p w14:paraId="2BF20929">
      <w:pPr>
        <w:pStyle w:val="20"/>
        <w:rPr>
          <w:rFonts w:hint="eastAsia" w:ascii="仿宋" w:hAnsi="仿宋" w:eastAsia="仿宋" w:cs="仿宋"/>
          <w:sz w:val="24"/>
          <w:szCs w:val="24"/>
          <w:highlight w:val="none"/>
        </w:rPr>
      </w:pPr>
    </w:p>
    <w:p w14:paraId="56CDD666">
      <w:pPr>
        <w:pStyle w:val="66"/>
        <w:spacing w:line="240" w:lineRule="auto"/>
        <w:ind w:firstLine="0"/>
        <w:jc w:val="center"/>
        <w:rPr>
          <w:rFonts w:hint="eastAsia" w:ascii="仿宋" w:hAnsi="仿宋" w:eastAsia="仿宋" w:cs="仿宋"/>
          <w:sz w:val="24"/>
          <w:szCs w:val="24"/>
          <w:highlight w:val="none"/>
        </w:rPr>
      </w:pPr>
    </w:p>
    <w:p w14:paraId="19CEAF5A">
      <w:pPr>
        <w:pStyle w:val="66"/>
        <w:spacing w:line="240" w:lineRule="auto"/>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第三部分  合同专用条款</w:t>
      </w:r>
    </w:p>
    <w:p w14:paraId="7C09453F">
      <w:pPr>
        <w:spacing w:line="240" w:lineRule="auto"/>
        <w:ind w:firstLine="486"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6583C24">
      <w:pPr>
        <w:pStyle w:val="20"/>
        <w:rPr>
          <w:rFonts w:hint="eastAsia" w:ascii="仿宋" w:hAnsi="仿宋" w:eastAsia="仿宋" w:cs="仿宋"/>
          <w:sz w:val="24"/>
          <w:szCs w:val="24"/>
          <w:highlight w:val="none"/>
        </w:rPr>
      </w:pPr>
    </w:p>
    <w:tbl>
      <w:tblPr>
        <w:tblStyle w:val="26"/>
        <w:tblW w:w="7520" w:type="dxa"/>
        <w:tblInd w:w="9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5"/>
        <w:gridCol w:w="6595"/>
      </w:tblGrid>
      <w:tr w14:paraId="5D26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25" w:type="dxa"/>
            <w:tcBorders>
              <w:left w:val="single" w:color="auto" w:sz="4" w:space="0"/>
            </w:tcBorders>
            <w:noWrap w:val="0"/>
            <w:vAlign w:val="center"/>
          </w:tcPr>
          <w:p w14:paraId="0F43A9CB">
            <w:pPr>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6595" w:type="dxa"/>
            <w:noWrap w:val="0"/>
            <w:vAlign w:val="center"/>
          </w:tcPr>
          <w:p w14:paraId="632CBF05">
            <w:pPr>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约定内容</w:t>
            </w:r>
          </w:p>
        </w:tc>
      </w:tr>
      <w:tr w14:paraId="32BE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5" w:type="dxa"/>
            <w:tcBorders>
              <w:left w:val="single" w:color="auto" w:sz="4" w:space="0"/>
            </w:tcBorders>
            <w:noWrap w:val="0"/>
            <w:vAlign w:val="center"/>
          </w:tcPr>
          <w:p w14:paraId="6BCC9D46">
            <w:pPr>
              <w:spacing w:line="240" w:lineRule="auto"/>
              <w:rPr>
                <w:rFonts w:hint="eastAsia" w:ascii="仿宋" w:hAnsi="仿宋" w:eastAsia="仿宋" w:cs="仿宋"/>
                <w:sz w:val="24"/>
                <w:szCs w:val="24"/>
                <w:highlight w:val="none"/>
              </w:rPr>
            </w:pPr>
          </w:p>
        </w:tc>
        <w:tc>
          <w:tcPr>
            <w:tcW w:w="6595" w:type="dxa"/>
            <w:noWrap w:val="0"/>
            <w:vAlign w:val="center"/>
          </w:tcPr>
          <w:p w14:paraId="648CD8D4">
            <w:pPr>
              <w:spacing w:line="240" w:lineRule="auto"/>
              <w:rPr>
                <w:rFonts w:hint="eastAsia" w:ascii="仿宋" w:hAnsi="仿宋" w:eastAsia="仿宋" w:cs="仿宋"/>
                <w:sz w:val="24"/>
                <w:szCs w:val="24"/>
                <w:highlight w:val="none"/>
              </w:rPr>
            </w:pPr>
          </w:p>
        </w:tc>
      </w:tr>
      <w:tr w14:paraId="36C63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25" w:type="dxa"/>
            <w:tcBorders>
              <w:left w:val="single" w:color="auto" w:sz="4" w:space="0"/>
            </w:tcBorders>
            <w:noWrap w:val="0"/>
            <w:vAlign w:val="center"/>
          </w:tcPr>
          <w:p w14:paraId="034E4BFF">
            <w:pPr>
              <w:spacing w:line="240" w:lineRule="auto"/>
              <w:rPr>
                <w:rFonts w:hint="eastAsia" w:ascii="仿宋" w:hAnsi="仿宋" w:eastAsia="仿宋" w:cs="仿宋"/>
                <w:sz w:val="24"/>
                <w:szCs w:val="24"/>
                <w:highlight w:val="none"/>
              </w:rPr>
            </w:pPr>
          </w:p>
        </w:tc>
        <w:tc>
          <w:tcPr>
            <w:tcW w:w="6595" w:type="dxa"/>
            <w:noWrap w:val="0"/>
            <w:vAlign w:val="center"/>
          </w:tcPr>
          <w:p w14:paraId="74E5609D">
            <w:pPr>
              <w:spacing w:line="240" w:lineRule="auto"/>
              <w:rPr>
                <w:rFonts w:hint="eastAsia" w:ascii="仿宋" w:hAnsi="仿宋" w:eastAsia="仿宋" w:cs="仿宋"/>
                <w:sz w:val="24"/>
                <w:szCs w:val="24"/>
                <w:highlight w:val="none"/>
              </w:rPr>
            </w:pPr>
          </w:p>
        </w:tc>
      </w:tr>
      <w:tr w14:paraId="54C0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25" w:type="dxa"/>
            <w:tcBorders>
              <w:left w:val="single" w:color="auto" w:sz="4" w:space="0"/>
            </w:tcBorders>
            <w:noWrap w:val="0"/>
            <w:vAlign w:val="center"/>
          </w:tcPr>
          <w:p w14:paraId="0586081A">
            <w:pPr>
              <w:spacing w:line="240" w:lineRule="auto"/>
              <w:rPr>
                <w:rFonts w:hint="eastAsia" w:ascii="仿宋" w:hAnsi="仿宋" w:eastAsia="仿宋" w:cs="仿宋"/>
                <w:sz w:val="24"/>
                <w:szCs w:val="24"/>
                <w:highlight w:val="none"/>
              </w:rPr>
            </w:pPr>
          </w:p>
        </w:tc>
        <w:tc>
          <w:tcPr>
            <w:tcW w:w="6595" w:type="dxa"/>
            <w:noWrap w:val="0"/>
            <w:vAlign w:val="center"/>
          </w:tcPr>
          <w:p w14:paraId="25E7A569">
            <w:pPr>
              <w:spacing w:line="240" w:lineRule="auto"/>
              <w:rPr>
                <w:rFonts w:hint="eastAsia" w:ascii="仿宋" w:hAnsi="仿宋" w:eastAsia="仿宋" w:cs="仿宋"/>
                <w:sz w:val="24"/>
                <w:szCs w:val="24"/>
                <w:highlight w:val="none"/>
              </w:rPr>
            </w:pPr>
          </w:p>
        </w:tc>
      </w:tr>
      <w:tr w14:paraId="0F9D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25" w:type="dxa"/>
            <w:tcBorders>
              <w:left w:val="single" w:color="auto" w:sz="4" w:space="0"/>
            </w:tcBorders>
            <w:noWrap w:val="0"/>
            <w:vAlign w:val="center"/>
          </w:tcPr>
          <w:p w14:paraId="3CECF115">
            <w:pPr>
              <w:spacing w:line="240" w:lineRule="auto"/>
              <w:rPr>
                <w:rFonts w:hint="eastAsia" w:ascii="仿宋" w:hAnsi="仿宋" w:eastAsia="仿宋" w:cs="仿宋"/>
                <w:sz w:val="24"/>
                <w:szCs w:val="24"/>
                <w:highlight w:val="none"/>
              </w:rPr>
            </w:pPr>
          </w:p>
        </w:tc>
        <w:tc>
          <w:tcPr>
            <w:tcW w:w="6595" w:type="dxa"/>
            <w:noWrap w:val="0"/>
            <w:vAlign w:val="center"/>
          </w:tcPr>
          <w:p w14:paraId="5994A599">
            <w:pPr>
              <w:spacing w:line="240" w:lineRule="auto"/>
              <w:rPr>
                <w:rFonts w:hint="eastAsia" w:ascii="仿宋" w:hAnsi="仿宋" w:eastAsia="仿宋" w:cs="仿宋"/>
                <w:sz w:val="24"/>
                <w:szCs w:val="24"/>
                <w:highlight w:val="none"/>
              </w:rPr>
            </w:pPr>
          </w:p>
        </w:tc>
      </w:tr>
      <w:tr w14:paraId="0EA5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5" w:type="dxa"/>
            <w:tcBorders>
              <w:left w:val="single" w:color="auto" w:sz="4" w:space="0"/>
            </w:tcBorders>
            <w:noWrap w:val="0"/>
            <w:vAlign w:val="center"/>
          </w:tcPr>
          <w:p w14:paraId="69491A6B">
            <w:pPr>
              <w:spacing w:line="240" w:lineRule="auto"/>
              <w:rPr>
                <w:rFonts w:hint="eastAsia" w:ascii="仿宋" w:hAnsi="仿宋" w:eastAsia="仿宋" w:cs="仿宋"/>
                <w:sz w:val="24"/>
                <w:szCs w:val="24"/>
                <w:highlight w:val="none"/>
              </w:rPr>
            </w:pPr>
          </w:p>
        </w:tc>
        <w:tc>
          <w:tcPr>
            <w:tcW w:w="6595" w:type="dxa"/>
            <w:noWrap w:val="0"/>
            <w:vAlign w:val="center"/>
          </w:tcPr>
          <w:p w14:paraId="0835DD6F">
            <w:pPr>
              <w:spacing w:line="240" w:lineRule="auto"/>
              <w:rPr>
                <w:rFonts w:hint="eastAsia" w:ascii="仿宋" w:hAnsi="仿宋" w:eastAsia="仿宋" w:cs="仿宋"/>
                <w:sz w:val="24"/>
                <w:szCs w:val="24"/>
                <w:highlight w:val="none"/>
                <w:u w:val="single"/>
              </w:rPr>
            </w:pPr>
          </w:p>
        </w:tc>
      </w:tr>
    </w:tbl>
    <w:p w14:paraId="2AD549A0">
      <w:pPr>
        <w:pStyle w:val="38"/>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5B2AB19E">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bookmarkStart w:id="722" w:name="bookmark196"/>
      <w:r>
        <w:rPr>
          <w:rFonts w:hint="eastAsia" w:ascii="仿宋" w:hAnsi="仿宋" w:eastAsia="仿宋" w:cs="仿宋"/>
          <w:b/>
          <w:bCs/>
          <w:color w:val="auto"/>
          <w:sz w:val="28"/>
          <w:szCs w:val="28"/>
          <w:highlight w:val="none"/>
          <w:bdr w:val="single" w:color="auto" w:sz="4" w:space="0"/>
          <w:lang w:eastAsia="zh-CN"/>
        </w:rPr>
        <w:t>正/副 本</w:t>
      </w:r>
    </w:p>
    <w:p w14:paraId="33767027">
      <w:pPr>
        <w:adjustRightInd w:val="0"/>
        <w:snapToGrid w:val="0"/>
        <w:spacing w:line="360" w:lineRule="auto"/>
        <w:jc w:val="center"/>
        <w:rPr>
          <w:rFonts w:ascii="仿宋" w:hAnsi="仿宋" w:eastAsia="仿宋" w:cs="仿宋"/>
          <w:b/>
          <w:caps/>
          <w:color w:val="auto"/>
          <w:highlight w:val="none"/>
          <w:lang w:eastAsia="zh-CN"/>
        </w:rPr>
      </w:pPr>
    </w:p>
    <w:p w14:paraId="6B13944D">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0C82CE2B">
      <w:pPr>
        <w:adjustRightInd w:val="0"/>
        <w:snapToGrid w:val="0"/>
        <w:spacing w:line="360" w:lineRule="auto"/>
        <w:jc w:val="both"/>
        <w:rPr>
          <w:rFonts w:ascii="仿宋" w:hAnsi="仿宋" w:eastAsia="仿宋" w:cs="仿宋"/>
          <w:bCs/>
          <w:color w:val="auto"/>
          <w:sz w:val="32"/>
          <w:szCs w:val="32"/>
          <w:highlight w:val="none"/>
          <w:lang w:eastAsia="zh-CN"/>
        </w:rPr>
      </w:pPr>
    </w:p>
    <w:p w14:paraId="2070EAF3">
      <w:pPr>
        <w:adjustRightInd w:val="0"/>
        <w:snapToGrid w:val="0"/>
        <w:spacing w:line="360" w:lineRule="auto"/>
        <w:jc w:val="center"/>
        <w:rPr>
          <w:rFonts w:ascii="仿宋" w:hAnsi="仿宋" w:eastAsia="仿宋" w:cs="仿宋"/>
          <w:bCs/>
          <w:color w:val="auto"/>
          <w:sz w:val="32"/>
          <w:szCs w:val="32"/>
          <w:highlight w:val="none"/>
          <w:lang w:eastAsia="zh-CN"/>
        </w:rPr>
      </w:pPr>
    </w:p>
    <w:p w14:paraId="1E61B057">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22754E4D">
      <w:pPr>
        <w:adjustRightInd w:val="0"/>
        <w:snapToGrid w:val="0"/>
        <w:spacing w:line="360" w:lineRule="auto"/>
        <w:jc w:val="center"/>
        <w:rPr>
          <w:rFonts w:ascii="仿宋" w:hAnsi="仿宋" w:eastAsia="仿宋" w:cs="仿宋"/>
          <w:bCs/>
          <w:color w:val="auto"/>
          <w:sz w:val="32"/>
          <w:szCs w:val="32"/>
          <w:highlight w:val="none"/>
          <w:lang w:eastAsia="zh-CN"/>
        </w:rPr>
      </w:pPr>
    </w:p>
    <w:p w14:paraId="4F726C93">
      <w:pPr>
        <w:adjustRightInd w:val="0"/>
        <w:snapToGrid w:val="0"/>
        <w:spacing w:line="360" w:lineRule="auto"/>
        <w:jc w:val="both"/>
        <w:rPr>
          <w:rFonts w:ascii="仿宋" w:hAnsi="仿宋" w:eastAsia="仿宋" w:cs="仿宋"/>
          <w:bCs/>
          <w:color w:val="auto"/>
          <w:sz w:val="32"/>
          <w:szCs w:val="32"/>
          <w:highlight w:val="none"/>
          <w:lang w:eastAsia="zh-CN"/>
        </w:rPr>
      </w:pPr>
    </w:p>
    <w:p w14:paraId="1F699750">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470909418"/>
          <w:lang w:eastAsia="zh-CN"/>
        </w:rPr>
        <w:t>供应商名称（公章）：</w:t>
      </w:r>
    </w:p>
    <w:p w14:paraId="7FA2DB36">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2BEDFDC2">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49CF27CE">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4D72BFEE">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01DCD0CA">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05245268">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30447909">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49E41E0A">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3FF57EF7">
      <w:pPr>
        <w:adjustRightInd w:val="0"/>
        <w:snapToGrid w:val="0"/>
        <w:spacing w:line="360" w:lineRule="auto"/>
        <w:jc w:val="center"/>
        <w:rPr>
          <w:rFonts w:ascii="仿宋" w:hAnsi="仿宋" w:eastAsia="仿宋" w:cs="仿宋"/>
          <w:b/>
          <w:caps/>
          <w:color w:val="auto"/>
          <w:sz w:val="28"/>
          <w:szCs w:val="28"/>
          <w:highlight w:val="none"/>
          <w:lang w:eastAsia="zh-CN"/>
        </w:rPr>
      </w:pPr>
    </w:p>
    <w:p w14:paraId="0B11A730">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6E3BBDF5">
      <w:pPr>
        <w:pStyle w:val="40"/>
        <w:spacing w:after="340" w:line="240" w:lineRule="auto"/>
        <w:ind w:firstLine="0"/>
        <w:rPr>
          <w:rFonts w:ascii="仿宋" w:hAnsi="仿宋" w:eastAsia="仿宋" w:cs="仿宋"/>
          <w:color w:val="auto"/>
          <w:highlight w:val="none"/>
        </w:rPr>
      </w:pPr>
    </w:p>
    <w:bookmarkEnd w:id="722"/>
    <w:p w14:paraId="7A46AC0A">
      <w:pPr>
        <w:pStyle w:val="4"/>
        <w:spacing w:line="240" w:lineRule="atLeast"/>
        <w:rPr>
          <w:rFonts w:ascii="仿宋" w:hAnsi="仿宋" w:eastAsia="仿宋" w:cs="仿宋"/>
          <w:bCs/>
          <w:color w:val="auto"/>
          <w:sz w:val="24"/>
          <w:highlight w:val="none"/>
          <w:lang w:eastAsia="zh-CN"/>
        </w:rPr>
      </w:pPr>
      <w:bookmarkStart w:id="723" w:name="_Toc515647803"/>
      <w:bookmarkStart w:id="724" w:name="_Toc18694"/>
      <w:bookmarkStart w:id="725" w:name="_Toc18974"/>
      <w:bookmarkStart w:id="726" w:name="_Toc8919"/>
    </w:p>
    <w:p w14:paraId="75E568D5">
      <w:pPr>
        <w:pStyle w:val="4"/>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723"/>
      <w:bookmarkEnd w:id="724"/>
      <w:bookmarkEnd w:id="725"/>
      <w:bookmarkEnd w:id="726"/>
    </w:p>
    <w:p w14:paraId="6F019E24">
      <w:pPr>
        <w:spacing w:line="240" w:lineRule="atLeast"/>
        <w:ind w:left="717" w:hanging="716" w:hangingChars="295"/>
        <w:jc w:val="center"/>
        <w:rPr>
          <w:rFonts w:ascii="仿宋" w:hAnsi="仿宋" w:eastAsia="仿宋" w:cs="仿宋"/>
          <w:color w:val="auto"/>
          <w:highlight w:val="none"/>
          <w:lang w:eastAsia="zh-CN"/>
        </w:rPr>
      </w:pPr>
    </w:p>
    <w:p w14:paraId="6D1C1663">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4215ECE0">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03198A5A">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3、法定代表人授权书；</w:t>
      </w:r>
    </w:p>
    <w:p w14:paraId="198C179F">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60104248">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73638F65">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4FC4DD3D">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0E9BDE8C">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、供应商须知资料表要求的其他资格证明文件;</w:t>
      </w:r>
    </w:p>
    <w:p w14:paraId="54701E83">
      <w:pPr>
        <w:pStyle w:val="1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3CB89B75">
      <w:pPr>
        <w:pStyle w:val="35"/>
        <w:rPr>
          <w:rFonts w:ascii="仿宋" w:hAnsi="仿宋" w:eastAsia="仿宋" w:cs="仿宋"/>
          <w:b/>
          <w:bCs/>
          <w:color w:val="auto"/>
          <w:sz w:val="36"/>
          <w:szCs w:val="36"/>
          <w:highlight w:val="none"/>
          <w:lang w:eastAsia="zh-CN"/>
        </w:rPr>
      </w:pPr>
    </w:p>
    <w:p w14:paraId="5B681D2A">
      <w:pPr>
        <w:pStyle w:val="1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727" w:name="_Toc515647805"/>
      <w:bookmarkStart w:id="728" w:name="_Toc4844"/>
      <w:bookmarkStart w:id="729" w:name="_Toc17577"/>
      <w:bookmarkStart w:id="730" w:name="_Toc29899"/>
    </w:p>
    <w:p w14:paraId="152CDB60">
      <w:pPr>
        <w:rPr>
          <w:rFonts w:hint="eastAsia" w:ascii="仿宋" w:hAnsi="仿宋" w:eastAsia="仿宋" w:cs="仿宋"/>
          <w:b/>
          <w:bCs/>
          <w:color w:val="auto"/>
          <w:sz w:val="36"/>
          <w:szCs w:val="36"/>
          <w:highlight w:val="none"/>
          <w:lang w:eastAsia="zh-CN"/>
        </w:rPr>
      </w:pPr>
    </w:p>
    <w:p w14:paraId="5FAB7399">
      <w:pPr>
        <w:pStyle w:val="9"/>
        <w:rPr>
          <w:rFonts w:hint="eastAsia" w:ascii="仿宋" w:hAnsi="仿宋" w:eastAsia="仿宋" w:cs="仿宋"/>
          <w:b/>
          <w:bCs/>
          <w:color w:val="auto"/>
          <w:sz w:val="36"/>
          <w:szCs w:val="36"/>
          <w:highlight w:val="none"/>
          <w:lang w:eastAsia="zh-CN"/>
        </w:rPr>
      </w:pPr>
    </w:p>
    <w:p w14:paraId="553E4C86">
      <w:pPr>
        <w:pStyle w:val="10"/>
        <w:rPr>
          <w:rFonts w:hint="eastAsia" w:ascii="仿宋" w:hAnsi="仿宋" w:eastAsia="仿宋" w:cs="仿宋"/>
          <w:b/>
          <w:bCs/>
          <w:color w:val="auto"/>
          <w:sz w:val="36"/>
          <w:szCs w:val="36"/>
          <w:highlight w:val="none"/>
          <w:lang w:eastAsia="zh-CN"/>
        </w:rPr>
      </w:pPr>
    </w:p>
    <w:p w14:paraId="2C671347">
      <w:pPr>
        <w:rPr>
          <w:rFonts w:hint="eastAsia" w:ascii="仿宋" w:hAnsi="仿宋" w:eastAsia="仿宋" w:cs="仿宋"/>
          <w:b/>
          <w:bCs/>
          <w:color w:val="auto"/>
          <w:sz w:val="36"/>
          <w:szCs w:val="36"/>
          <w:highlight w:val="none"/>
          <w:lang w:eastAsia="zh-CN"/>
        </w:rPr>
      </w:pPr>
    </w:p>
    <w:p w14:paraId="2D627452">
      <w:pPr>
        <w:pStyle w:val="9"/>
        <w:rPr>
          <w:rFonts w:hint="eastAsia" w:ascii="仿宋" w:hAnsi="仿宋" w:eastAsia="仿宋" w:cs="仿宋"/>
          <w:b/>
          <w:bCs/>
          <w:color w:val="auto"/>
          <w:sz w:val="36"/>
          <w:szCs w:val="36"/>
          <w:highlight w:val="none"/>
          <w:lang w:eastAsia="zh-CN"/>
        </w:rPr>
      </w:pPr>
    </w:p>
    <w:p w14:paraId="20FD9B10">
      <w:pPr>
        <w:pStyle w:val="10"/>
        <w:rPr>
          <w:rFonts w:hint="eastAsia" w:ascii="仿宋" w:hAnsi="仿宋" w:eastAsia="仿宋" w:cs="仿宋"/>
          <w:b/>
          <w:bCs/>
          <w:color w:val="auto"/>
          <w:sz w:val="36"/>
          <w:szCs w:val="36"/>
          <w:highlight w:val="none"/>
          <w:lang w:eastAsia="zh-CN"/>
        </w:rPr>
      </w:pPr>
    </w:p>
    <w:p w14:paraId="1AC0040E">
      <w:pPr>
        <w:rPr>
          <w:rFonts w:hint="eastAsia" w:ascii="仿宋" w:hAnsi="仿宋" w:eastAsia="仿宋" w:cs="仿宋"/>
          <w:b/>
          <w:bCs/>
          <w:color w:val="auto"/>
          <w:sz w:val="36"/>
          <w:szCs w:val="36"/>
          <w:highlight w:val="none"/>
          <w:lang w:eastAsia="zh-CN"/>
        </w:rPr>
      </w:pPr>
    </w:p>
    <w:p w14:paraId="357029DD">
      <w:pPr>
        <w:pStyle w:val="9"/>
        <w:rPr>
          <w:rFonts w:hint="eastAsia"/>
          <w:color w:val="auto"/>
          <w:highlight w:val="none"/>
          <w:lang w:eastAsia="zh-CN"/>
        </w:rPr>
      </w:pPr>
    </w:p>
    <w:p w14:paraId="309D9F5D">
      <w:pPr>
        <w:pStyle w:val="1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1EEBCAFD">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727"/>
      <w:bookmarkStart w:id="731" w:name="_Toc515647806"/>
      <w:r>
        <w:rPr>
          <w:rFonts w:hint="eastAsia" w:ascii="仿宋" w:hAnsi="仿宋" w:eastAsia="仿宋" w:cs="仿宋"/>
          <w:b/>
          <w:bCs/>
          <w:color w:val="auto"/>
          <w:sz w:val="36"/>
          <w:szCs w:val="36"/>
          <w:highlight w:val="none"/>
          <w:lang w:eastAsia="zh-CN"/>
        </w:rPr>
        <w:t>或自然人的身份证明</w:t>
      </w:r>
      <w:bookmarkEnd w:id="728"/>
      <w:bookmarkEnd w:id="729"/>
      <w:bookmarkEnd w:id="730"/>
      <w:bookmarkEnd w:id="731"/>
    </w:p>
    <w:p w14:paraId="0D3763E8">
      <w:pPr>
        <w:pStyle w:val="14"/>
        <w:tabs>
          <w:tab w:val="left" w:pos="5580"/>
        </w:tabs>
        <w:spacing w:line="400" w:lineRule="exact"/>
        <w:ind w:left="1164" w:leftChars="257" w:hanging="540"/>
        <w:jc w:val="center"/>
        <w:rPr>
          <w:rFonts w:ascii="仿宋" w:hAnsi="仿宋" w:eastAsia="仿宋" w:cs="仿宋"/>
          <w:b/>
          <w:color w:val="auto"/>
          <w:highlight w:val="none"/>
          <w:lang w:eastAsia="zh-CN"/>
        </w:rPr>
      </w:pPr>
    </w:p>
    <w:p w14:paraId="415ACD44">
      <w:pPr>
        <w:pStyle w:val="14"/>
        <w:tabs>
          <w:tab w:val="left" w:pos="5580"/>
        </w:tabs>
        <w:spacing w:line="400" w:lineRule="exact"/>
        <w:ind w:left="1164" w:leftChars="257" w:hanging="540"/>
        <w:rPr>
          <w:rFonts w:ascii="仿宋" w:hAnsi="仿宋" w:eastAsia="仿宋" w:cs="仿宋"/>
          <w:b/>
          <w:color w:val="auto"/>
          <w:highlight w:val="none"/>
          <w:lang w:eastAsia="zh-CN"/>
        </w:rPr>
      </w:pPr>
    </w:p>
    <w:p w14:paraId="70A327F1">
      <w:pPr>
        <w:pStyle w:val="14"/>
        <w:tabs>
          <w:tab w:val="left" w:pos="5580"/>
        </w:tabs>
        <w:spacing w:line="400" w:lineRule="exact"/>
        <w:ind w:left="1164" w:leftChars="257" w:hanging="540"/>
        <w:rPr>
          <w:rFonts w:ascii="仿宋" w:hAnsi="仿宋" w:eastAsia="仿宋" w:cs="仿宋"/>
          <w:b/>
          <w:color w:val="auto"/>
          <w:highlight w:val="none"/>
          <w:lang w:eastAsia="zh-CN"/>
        </w:rPr>
      </w:pPr>
    </w:p>
    <w:p w14:paraId="0C9CFD9C">
      <w:pPr>
        <w:pStyle w:val="14"/>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1A45A539">
      <w:pPr>
        <w:pStyle w:val="14"/>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709897E8">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59F2872C">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3D8161C">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5BA440E7">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4B420C42">
      <w:pPr>
        <w:pStyle w:val="12"/>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E62D8B1">
      <w:pPr>
        <w:pStyle w:val="12"/>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200B8479">
      <w:pPr>
        <w:rPr>
          <w:rFonts w:ascii="仿宋" w:hAnsi="仿宋" w:eastAsia="仿宋" w:cs="仿宋"/>
          <w:b/>
          <w:bCs/>
          <w:color w:val="auto"/>
          <w:sz w:val="36"/>
          <w:szCs w:val="36"/>
          <w:highlight w:val="none"/>
          <w:lang w:eastAsia="zh-CN"/>
        </w:rPr>
      </w:pPr>
    </w:p>
    <w:p w14:paraId="1E101CDC">
      <w:pPr>
        <w:pStyle w:val="35"/>
        <w:rPr>
          <w:rFonts w:ascii="仿宋" w:hAnsi="仿宋" w:eastAsia="仿宋" w:cs="仿宋"/>
          <w:b/>
          <w:bCs/>
          <w:color w:val="auto"/>
          <w:sz w:val="36"/>
          <w:szCs w:val="36"/>
          <w:highlight w:val="none"/>
          <w:lang w:eastAsia="zh-CN"/>
        </w:rPr>
      </w:pPr>
    </w:p>
    <w:p w14:paraId="0F1FD131">
      <w:pPr>
        <w:pStyle w:val="35"/>
        <w:rPr>
          <w:rFonts w:ascii="仿宋" w:hAnsi="仿宋" w:eastAsia="仿宋" w:cs="仿宋"/>
          <w:b/>
          <w:bCs/>
          <w:color w:val="auto"/>
          <w:sz w:val="36"/>
          <w:szCs w:val="36"/>
          <w:highlight w:val="none"/>
          <w:lang w:eastAsia="zh-CN"/>
        </w:rPr>
      </w:pPr>
    </w:p>
    <w:p w14:paraId="5D53AE0E">
      <w:pPr>
        <w:pStyle w:val="35"/>
        <w:rPr>
          <w:rFonts w:ascii="仿宋" w:hAnsi="仿宋" w:eastAsia="仿宋" w:cs="仿宋"/>
          <w:b/>
          <w:bCs/>
          <w:color w:val="auto"/>
          <w:sz w:val="36"/>
          <w:szCs w:val="36"/>
          <w:highlight w:val="none"/>
          <w:lang w:eastAsia="zh-CN"/>
        </w:rPr>
      </w:pPr>
    </w:p>
    <w:p w14:paraId="741B7B37">
      <w:pPr>
        <w:pStyle w:val="35"/>
        <w:rPr>
          <w:rFonts w:ascii="仿宋" w:hAnsi="仿宋" w:eastAsia="仿宋" w:cs="仿宋"/>
          <w:b/>
          <w:bCs/>
          <w:color w:val="auto"/>
          <w:sz w:val="36"/>
          <w:szCs w:val="36"/>
          <w:highlight w:val="none"/>
          <w:lang w:eastAsia="zh-CN"/>
        </w:rPr>
      </w:pPr>
    </w:p>
    <w:p w14:paraId="2653750F">
      <w:pPr>
        <w:pStyle w:val="35"/>
        <w:rPr>
          <w:rFonts w:ascii="仿宋" w:hAnsi="仿宋" w:eastAsia="仿宋" w:cs="仿宋"/>
          <w:b/>
          <w:bCs/>
          <w:color w:val="auto"/>
          <w:sz w:val="36"/>
          <w:szCs w:val="36"/>
          <w:highlight w:val="none"/>
          <w:lang w:eastAsia="zh-CN"/>
        </w:rPr>
      </w:pPr>
    </w:p>
    <w:p w14:paraId="4F177220">
      <w:pPr>
        <w:pStyle w:val="35"/>
        <w:rPr>
          <w:rFonts w:ascii="仿宋" w:hAnsi="仿宋" w:eastAsia="仿宋" w:cs="仿宋"/>
          <w:b/>
          <w:bCs/>
          <w:color w:val="auto"/>
          <w:sz w:val="36"/>
          <w:szCs w:val="36"/>
          <w:highlight w:val="none"/>
          <w:lang w:eastAsia="zh-CN"/>
        </w:rPr>
      </w:pPr>
    </w:p>
    <w:p w14:paraId="3D546BD7">
      <w:pPr>
        <w:pStyle w:val="35"/>
        <w:rPr>
          <w:rFonts w:ascii="仿宋" w:hAnsi="仿宋" w:eastAsia="仿宋" w:cs="仿宋"/>
          <w:b/>
          <w:bCs/>
          <w:color w:val="auto"/>
          <w:sz w:val="36"/>
          <w:szCs w:val="36"/>
          <w:highlight w:val="none"/>
          <w:lang w:eastAsia="zh-CN"/>
        </w:rPr>
      </w:pPr>
    </w:p>
    <w:p w14:paraId="4BD349D8">
      <w:pPr>
        <w:pStyle w:val="35"/>
        <w:rPr>
          <w:rFonts w:ascii="仿宋" w:hAnsi="仿宋" w:eastAsia="仿宋" w:cs="仿宋"/>
          <w:b/>
          <w:bCs/>
          <w:color w:val="auto"/>
          <w:sz w:val="36"/>
          <w:szCs w:val="36"/>
          <w:highlight w:val="none"/>
          <w:lang w:eastAsia="zh-CN"/>
        </w:rPr>
      </w:pPr>
    </w:p>
    <w:p w14:paraId="1F084852">
      <w:pPr>
        <w:pStyle w:val="35"/>
        <w:rPr>
          <w:rFonts w:ascii="仿宋" w:hAnsi="仿宋" w:eastAsia="仿宋" w:cs="仿宋"/>
          <w:b/>
          <w:bCs/>
          <w:color w:val="auto"/>
          <w:sz w:val="36"/>
          <w:szCs w:val="36"/>
          <w:highlight w:val="none"/>
          <w:lang w:eastAsia="zh-CN"/>
        </w:rPr>
      </w:pPr>
    </w:p>
    <w:p w14:paraId="4047F846">
      <w:pPr>
        <w:pStyle w:val="35"/>
        <w:rPr>
          <w:rFonts w:ascii="仿宋" w:hAnsi="仿宋" w:eastAsia="仿宋" w:cs="仿宋"/>
          <w:b/>
          <w:bCs/>
          <w:color w:val="auto"/>
          <w:sz w:val="36"/>
          <w:szCs w:val="36"/>
          <w:highlight w:val="none"/>
          <w:lang w:eastAsia="zh-CN"/>
        </w:rPr>
      </w:pPr>
    </w:p>
    <w:p w14:paraId="5DB28B79">
      <w:pPr>
        <w:pStyle w:val="35"/>
        <w:rPr>
          <w:rFonts w:ascii="仿宋" w:hAnsi="仿宋" w:eastAsia="仿宋" w:cs="仿宋"/>
          <w:b/>
          <w:bCs/>
          <w:color w:val="auto"/>
          <w:sz w:val="36"/>
          <w:szCs w:val="36"/>
          <w:highlight w:val="none"/>
          <w:lang w:eastAsia="zh-CN"/>
        </w:rPr>
      </w:pPr>
    </w:p>
    <w:p w14:paraId="5E78A968">
      <w:pPr>
        <w:pStyle w:val="35"/>
        <w:rPr>
          <w:rFonts w:ascii="仿宋" w:hAnsi="仿宋" w:eastAsia="仿宋" w:cs="仿宋"/>
          <w:b/>
          <w:bCs/>
          <w:color w:val="auto"/>
          <w:sz w:val="36"/>
          <w:szCs w:val="36"/>
          <w:highlight w:val="none"/>
          <w:lang w:eastAsia="zh-CN"/>
        </w:rPr>
      </w:pPr>
    </w:p>
    <w:p w14:paraId="773B3906">
      <w:pPr>
        <w:pStyle w:val="35"/>
        <w:rPr>
          <w:rFonts w:ascii="仿宋" w:hAnsi="仿宋" w:eastAsia="仿宋" w:cs="仿宋"/>
          <w:b/>
          <w:bCs/>
          <w:color w:val="auto"/>
          <w:sz w:val="36"/>
          <w:szCs w:val="36"/>
          <w:highlight w:val="none"/>
          <w:lang w:eastAsia="zh-CN"/>
        </w:rPr>
      </w:pPr>
    </w:p>
    <w:p w14:paraId="29ADFA94">
      <w:pPr>
        <w:pStyle w:val="35"/>
        <w:rPr>
          <w:rFonts w:ascii="仿宋" w:hAnsi="仿宋" w:eastAsia="仿宋" w:cs="仿宋"/>
          <w:b/>
          <w:bCs/>
          <w:color w:val="auto"/>
          <w:sz w:val="36"/>
          <w:szCs w:val="36"/>
          <w:highlight w:val="none"/>
          <w:lang w:eastAsia="zh-CN"/>
        </w:rPr>
      </w:pPr>
    </w:p>
    <w:p w14:paraId="0AEFDE7B">
      <w:pPr>
        <w:pStyle w:val="35"/>
        <w:rPr>
          <w:rFonts w:ascii="仿宋" w:hAnsi="仿宋" w:eastAsia="仿宋" w:cs="仿宋"/>
          <w:b/>
          <w:bCs/>
          <w:color w:val="auto"/>
          <w:sz w:val="36"/>
          <w:szCs w:val="36"/>
          <w:highlight w:val="none"/>
          <w:lang w:eastAsia="zh-CN"/>
        </w:rPr>
      </w:pPr>
    </w:p>
    <w:p w14:paraId="7E4234BF">
      <w:pPr>
        <w:pStyle w:val="35"/>
        <w:ind w:firstLine="0"/>
        <w:rPr>
          <w:rFonts w:ascii="仿宋" w:hAnsi="仿宋" w:eastAsia="仿宋" w:cs="仿宋"/>
          <w:b/>
          <w:bCs/>
          <w:color w:val="auto"/>
          <w:sz w:val="36"/>
          <w:szCs w:val="36"/>
          <w:highlight w:val="none"/>
          <w:lang w:eastAsia="zh-CN"/>
        </w:rPr>
      </w:pPr>
    </w:p>
    <w:p w14:paraId="53AECDEB">
      <w:pPr>
        <w:pStyle w:val="12"/>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69DCC223">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2D5CAA4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791C897B">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4ED75CB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5BF9F932">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01F0904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1491D05">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799A081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0B48FA96">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25DDF678">
      <w:pPr>
        <w:pStyle w:val="12"/>
        <w:numPr>
          <w:ilvl w:val="0"/>
          <w:numId w:val="0"/>
        </w:numPr>
        <w:kinsoku w:val="0"/>
        <w:overflowPunct w:val="0"/>
        <w:rPr>
          <w:rFonts w:ascii="仿宋" w:hAnsi="仿宋" w:eastAsia="仿宋" w:cs="仿宋"/>
          <w:color w:val="auto"/>
          <w:sz w:val="20"/>
          <w:szCs w:val="20"/>
          <w:highlight w:val="none"/>
        </w:rPr>
      </w:pPr>
      <w:r>
        <w:rPr>
          <w:color w:val="auto"/>
          <w:sz w:val="25"/>
          <w:highlight w:val="none"/>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EFF94A2">
                            <w:pPr>
                              <w:jc w:val="center"/>
                              <w:rPr>
                                <w:rFonts w:hint="eastAsia" w:ascii="仿宋" w:hAnsi="仿宋" w:eastAsia="仿宋" w:cs="仿宋"/>
                                <w:sz w:val="24"/>
                                <w:szCs w:val="24"/>
                              </w:rPr>
                            </w:pPr>
                          </w:p>
                          <w:p w14:paraId="54206ECF">
                            <w:pPr>
                              <w:jc w:val="center"/>
                              <w:rPr>
                                <w:rFonts w:hint="eastAsia" w:ascii="仿宋" w:hAnsi="仿宋" w:eastAsia="仿宋" w:cs="仿宋"/>
                                <w:sz w:val="24"/>
                                <w:szCs w:val="24"/>
                              </w:rPr>
                            </w:pPr>
                          </w:p>
                          <w:p w14:paraId="30B791B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018025"/>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4EFF94A2">
                      <w:pPr>
                        <w:jc w:val="center"/>
                        <w:rPr>
                          <w:rFonts w:hint="eastAsia" w:ascii="仿宋" w:hAnsi="仿宋" w:eastAsia="仿宋" w:cs="仿宋"/>
                          <w:sz w:val="24"/>
                          <w:szCs w:val="24"/>
                        </w:rPr>
                      </w:pPr>
                    </w:p>
                    <w:p w14:paraId="54206ECF">
                      <w:pPr>
                        <w:jc w:val="center"/>
                        <w:rPr>
                          <w:rFonts w:hint="eastAsia" w:ascii="仿宋" w:hAnsi="仿宋" w:eastAsia="仿宋" w:cs="仿宋"/>
                          <w:sz w:val="24"/>
                          <w:szCs w:val="24"/>
                        </w:rPr>
                      </w:pPr>
                    </w:p>
                    <w:p w14:paraId="30B791B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018025"/>
                  </w:txbxContent>
                </v:textbox>
                <w10:wrap type="square"/>
              </v:roundrect>
            </w:pict>
          </mc:Fallback>
        </mc:AlternateContent>
      </w:r>
    </w:p>
    <w:p w14:paraId="311F19C6">
      <w:pPr>
        <w:pStyle w:val="12"/>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7456"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9208FB4">
                            <w:pPr>
                              <w:jc w:val="center"/>
                              <w:rPr>
                                <w:rFonts w:hint="eastAsia" w:ascii="仿宋" w:hAnsi="仿宋" w:eastAsia="仿宋" w:cs="仿宋"/>
                                <w:sz w:val="24"/>
                                <w:szCs w:val="24"/>
                              </w:rPr>
                            </w:pPr>
                          </w:p>
                          <w:p w14:paraId="372EDD08">
                            <w:pPr>
                              <w:jc w:val="center"/>
                              <w:rPr>
                                <w:rFonts w:hint="eastAsia" w:ascii="仿宋" w:hAnsi="仿宋" w:eastAsia="仿宋" w:cs="仿宋"/>
                                <w:sz w:val="24"/>
                                <w:szCs w:val="24"/>
                              </w:rPr>
                            </w:pPr>
                          </w:p>
                          <w:p w14:paraId="62EA092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29C37FD"/>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49024;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19208FB4">
                      <w:pPr>
                        <w:jc w:val="center"/>
                        <w:rPr>
                          <w:rFonts w:hint="eastAsia" w:ascii="仿宋" w:hAnsi="仿宋" w:eastAsia="仿宋" w:cs="仿宋"/>
                          <w:sz w:val="24"/>
                          <w:szCs w:val="24"/>
                        </w:rPr>
                      </w:pPr>
                    </w:p>
                    <w:p w14:paraId="372EDD08">
                      <w:pPr>
                        <w:jc w:val="center"/>
                        <w:rPr>
                          <w:rFonts w:hint="eastAsia" w:ascii="仿宋" w:hAnsi="仿宋" w:eastAsia="仿宋" w:cs="仿宋"/>
                          <w:sz w:val="24"/>
                          <w:szCs w:val="24"/>
                        </w:rPr>
                      </w:pPr>
                    </w:p>
                    <w:p w14:paraId="62EA092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29C37FD"/>
                  </w:txbxContent>
                </v:textbox>
                <w10:wrap type="tight"/>
              </v:roundrect>
            </w:pict>
          </mc:Fallback>
        </mc:AlternateContent>
      </w:r>
    </w:p>
    <w:p w14:paraId="7EEC94B3">
      <w:pPr>
        <w:pStyle w:val="12"/>
        <w:numPr>
          <w:ilvl w:val="0"/>
          <w:numId w:val="0"/>
        </w:numPr>
        <w:kinsoku w:val="0"/>
        <w:overflowPunct w:val="0"/>
        <w:spacing w:line="200" w:lineRule="atLeast"/>
        <w:rPr>
          <w:rFonts w:ascii="仿宋" w:hAnsi="仿宋" w:eastAsia="仿宋" w:cs="仿宋"/>
          <w:color w:val="auto"/>
          <w:sz w:val="20"/>
          <w:szCs w:val="20"/>
          <w:highlight w:val="none"/>
        </w:rPr>
      </w:pPr>
    </w:p>
    <w:p w14:paraId="49FFE7ED">
      <w:pPr>
        <w:wordWrap w:val="0"/>
        <w:spacing w:line="420" w:lineRule="exact"/>
        <w:ind w:firstLine="486" w:firstLineChars="200"/>
        <w:jc w:val="right"/>
        <w:rPr>
          <w:rFonts w:ascii="仿宋" w:hAnsi="仿宋" w:eastAsia="仿宋" w:cs="仿宋"/>
          <w:color w:val="auto"/>
          <w:highlight w:val="none"/>
        </w:rPr>
      </w:pPr>
    </w:p>
    <w:p w14:paraId="7C6EFEFB">
      <w:pPr>
        <w:pStyle w:val="1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7F9E3402">
      <w:pPr>
        <w:pStyle w:val="1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F6EE8DC">
      <w:pPr>
        <w:pStyle w:val="12"/>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79AF4A78">
      <w:pPr>
        <w:pStyle w:val="1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08ABE130">
      <w:pPr>
        <w:pStyle w:val="12"/>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79C817FF">
      <w:pPr>
        <w:pStyle w:val="12"/>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750D653C">
      <w:pPr>
        <w:pStyle w:val="12"/>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2309FCCA">
      <w:pPr>
        <w:pStyle w:val="12"/>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3、授权委托书</w:t>
      </w:r>
    </w:p>
    <w:p w14:paraId="79413EF3">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74C6ACC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11F4611A">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533BC368">
      <w:pPr>
        <w:pStyle w:val="12"/>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00AE4533">
      <w:pPr>
        <w:pStyle w:val="12"/>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color w:val="auto"/>
          <w:sz w:val="18"/>
          <w:highlight w:val="none"/>
        </w:rPr>
        <mc:AlternateContent>
          <mc:Choice Requires="wps">
            <w:drawing>
              <wp:anchor distT="0" distB="0" distL="114300" distR="114300" simplePos="0" relativeHeight="251666432"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0DA0264">
                            <w:pPr>
                              <w:jc w:val="center"/>
                              <w:rPr>
                                <w:rFonts w:hint="eastAsia" w:ascii="仿宋" w:hAnsi="仿宋" w:eastAsia="仿宋" w:cs="仿宋"/>
                                <w:sz w:val="24"/>
                                <w:szCs w:val="24"/>
                              </w:rPr>
                            </w:pPr>
                          </w:p>
                          <w:p w14:paraId="54E24B9D">
                            <w:pPr>
                              <w:jc w:val="center"/>
                              <w:rPr>
                                <w:rFonts w:hint="eastAsia" w:ascii="仿宋" w:hAnsi="仿宋" w:eastAsia="仿宋" w:cs="仿宋"/>
                                <w:sz w:val="24"/>
                                <w:szCs w:val="24"/>
                              </w:rPr>
                            </w:pPr>
                          </w:p>
                          <w:p w14:paraId="2A72D6AE">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B941AA7"/>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10DA0264">
                      <w:pPr>
                        <w:jc w:val="center"/>
                        <w:rPr>
                          <w:rFonts w:hint="eastAsia" w:ascii="仿宋" w:hAnsi="仿宋" w:eastAsia="仿宋" w:cs="仿宋"/>
                          <w:sz w:val="24"/>
                          <w:szCs w:val="24"/>
                        </w:rPr>
                      </w:pPr>
                    </w:p>
                    <w:p w14:paraId="54E24B9D">
                      <w:pPr>
                        <w:jc w:val="center"/>
                        <w:rPr>
                          <w:rFonts w:hint="eastAsia" w:ascii="仿宋" w:hAnsi="仿宋" w:eastAsia="仿宋" w:cs="仿宋"/>
                          <w:sz w:val="24"/>
                          <w:szCs w:val="24"/>
                        </w:rPr>
                      </w:pPr>
                    </w:p>
                    <w:p w14:paraId="2A72D6AE">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B941AA7"/>
                  </w:txbxContent>
                </v:textbox>
                <w10:wrap type="square"/>
              </v:roundrect>
            </w:pict>
          </mc:Fallback>
        </mc:AlternateContent>
      </w:r>
      <w:r>
        <w:rPr>
          <w:rFonts w:hint="default"/>
          <w:color w:val="auto"/>
          <w:sz w:val="18"/>
          <w:highlight w:val="none"/>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50E490">
                            <w:pPr>
                              <w:jc w:val="center"/>
                              <w:rPr>
                                <w:rFonts w:hint="eastAsia" w:ascii="仿宋" w:hAnsi="仿宋" w:eastAsia="仿宋" w:cs="仿宋"/>
                                <w:sz w:val="24"/>
                                <w:szCs w:val="24"/>
                              </w:rPr>
                            </w:pPr>
                          </w:p>
                          <w:p w14:paraId="3E1F1BE5">
                            <w:pPr>
                              <w:jc w:val="center"/>
                              <w:rPr>
                                <w:rFonts w:hint="eastAsia" w:ascii="仿宋" w:hAnsi="仿宋" w:eastAsia="仿宋" w:cs="仿宋"/>
                                <w:sz w:val="24"/>
                                <w:szCs w:val="24"/>
                              </w:rPr>
                            </w:pPr>
                          </w:p>
                          <w:p w14:paraId="72941D88">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1C2C7D2">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7F50E490">
                      <w:pPr>
                        <w:jc w:val="center"/>
                        <w:rPr>
                          <w:rFonts w:hint="eastAsia" w:ascii="仿宋" w:hAnsi="仿宋" w:eastAsia="仿宋" w:cs="仿宋"/>
                          <w:sz w:val="24"/>
                          <w:szCs w:val="24"/>
                        </w:rPr>
                      </w:pPr>
                    </w:p>
                    <w:p w14:paraId="3E1F1BE5">
                      <w:pPr>
                        <w:jc w:val="center"/>
                        <w:rPr>
                          <w:rFonts w:hint="eastAsia" w:ascii="仿宋" w:hAnsi="仿宋" w:eastAsia="仿宋" w:cs="仿宋"/>
                          <w:sz w:val="24"/>
                          <w:szCs w:val="24"/>
                        </w:rPr>
                      </w:pPr>
                    </w:p>
                    <w:p w14:paraId="72941D88">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1C2C7D2">
                      <w:pPr>
                        <w:rPr>
                          <w:rFonts w:hint="eastAsia"/>
                          <w:lang w:val="en-US" w:eastAsia="zh-CN"/>
                        </w:rPr>
                      </w:pPr>
                    </w:p>
                  </w:txbxContent>
                </v:textbox>
                <w10:wrap type="tight"/>
              </v:roundrect>
            </w:pict>
          </mc:Fallback>
        </mc:AlternateContent>
      </w:r>
      <w:r>
        <w:rPr>
          <w:color w:val="auto"/>
          <w:sz w:val="18"/>
          <w:highlight w:val="none"/>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54BE561">
                            <w:pPr>
                              <w:jc w:val="center"/>
                              <w:rPr>
                                <w:rFonts w:hint="eastAsia" w:ascii="仿宋" w:hAnsi="仿宋" w:eastAsia="仿宋" w:cs="仿宋"/>
                                <w:sz w:val="24"/>
                                <w:szCs w:val="24"/>
                              </w:rPr>
                            </w:pPr>
                          </w:p>
                          <w:p w14:paraId="3104982D">
                            <w:pPr>
                              <w:jc w:val="center"/>
                              <w:rPr>
                                <w:rFonts w:hint="eastAsia" w:ascii="仿宋" w:hAnsi="仿宋" w:eastAsia="仿宋" w:cs="仿宋"/>
                                <w:sz w:val="24"/>
                                <w:szCs w:val="24"/>
                              </w:rPr>
                            </w:pPr>
                          </w:p>
                          <w:p w14:paraId="47DA511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5B9CF73"/>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7456;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754BE561">
                      <w:pPr>
                        <w:jc w:val="center"/>
                        <w:rPr>
                          <w:rFonts w:hint="eastAsia" w:ascii="仿宋" w:hAnsi="仿宋" w:eastAsia="仿宋" w:cs="仿宋"/>
                          <w:sz w:val="24"/>
                          <w:szCs w:val="24"/>
                        </w:rPr>
                      </w:pPr>
                    </w:p>
                    <w:p w14:paraId="3104982D">
                      <w:pPr>
                        <w:jc w:val="center"/>
                        <w:rPr>
                          <w:rFonts w:hint="eastAsia" w:ascii="仿宋" w:hAnsi="仿宋" w:eastAsia="仿宋" w:cs="仿宋"/>
                          <w:sz w:val="24"/>
                          <w:szCs w:val="24"/>
                        </w:rPr>
                      </w:pPr>
                    </w:p>
                    <w:p w14:paraId="47DA5110">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5B9CF73"/>
                  </w:txbxContent>
                </v:textbox>
                <w10:wrap type="square"/>
              </v:roundrect>
            </w:pict>
          </mc:Fallback>
        </mc:AlternateContent>
      </w: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FC81C54">
                            <w:pPr>
                              <w:jc w:val="center"/>
                              <w:rPr>
                                <w:rFonts w:hint="eastAsia" w:ascii="仿宋" w:hAnsi="仿宋" w:eastAsia="仿宋" w:cs="仿宋"/>
                                <w:sz w:val="24"/>
                                <w:szCs w:val="24"/>
                              </w:rPr>
                            </w:pPr>
                          </w:p>
                          <w:p w14:paraId="11CBC0C2">
                            <w:pPr>
                              <w:jc w:val="center"/>
                              <w:rPr>
                                <w:rFonts w:hint="eastAsia" w:ascii="仿宋" w:hAnsi="仿宋" w:eastAsia="仿宋" w:cs="仿宋"/>
                                <w:sz w:val="24"/>
                                <w:szCs w:val="24"/>
                              </w:rPr>
                            </w:pPr>
                          </w:p>
                          <w:p w14:paraId="57B6774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718A326"/>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14:paraId="2FC81C54">
                      <w:pPr>
                        <w:jc w:val="center"/>
                        <w:rPr>
                          <w:rFonts w:hint="eastAsia" w:ascii="仿宋" w:hAnsi="仿宋" w:eastAsia="仿宋" w:cs="仿宋"/>
                          <w:sz w:val="24"/>
                          <w:szCs w:val="24"/>
                        </w:rPr>
                      </w:pPr>
                    </w:p>
                    <w:p w14:paraId="11CBC0C2">
                      <w:pPr>
                        <w:jc w:val="center"/>
                        <w:rPr>
                          <w:rFonts w:hint="eastAsia" w:ascii="仿宋" w:hAnsi="仿宋" w:eastAsia="仿宋" w:cs="仿宋"/>
                          <w:sz w:val="24"/>
                          <w:szCs w:val="24"/>
                        </w:rPr>
                      </w:pPr>
                    </w:p>
                    <w:p w14:paraId="57B6774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718A326"/>
                  </w:txbxContent>
                </v:textbox>
                <w10:wrap type="square"/>
              </v:roundrect>
            </w:pict>
          </mc:Fallback>
        </mc:AlternateContent>
      </w:r>
    </w:p>
    <w:p w14:paraId="05776F77">
      <w:pPr>
        <w:pStyle w:val="12"/>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0697AB37">
      <w:pPr>
        <w:rPr>
          <w:rFonts w:ascii="仿宋" w:hAnsi="仿宋" w:eastAsia="仿宋" w:cs="仿宋"/>
          <w:color w:val="auto"/>
          <w:sz w:val="18"/>
          <w:szCs w:val="20"/>
          <w:highlight w:val="none"/>
        </w:rPr>
      </w:pPr>
    </w:p>
    <w:p w14:paraId="5FFBBF75">
      <w:pPr>
        <w:pStyle w:val="35"/>
        <w:rPr>
          <w:rFonts w:ascii="仿宋" w:hAnsi="仿宋" w:eastAsia="仿宋" w:cs="仿宋"/>
          <w:color w:val="auto"/>
          <w:sz w:val="18"/>
          <w:szCs w:val="20"/>
          <w:highlight w:val="none"/>
        </w:rPr>
      </w:pPr>
    </w:p>
    <w:p w14:paraId="3CED405B">
      <w:pPr>
        <w:pStyle w:val="35"/>
        <w:rPr>
          <w:rFonts w:ascii="仿宋" w:hAnsi="仿宋" w:eastAsia="仿宋" w:cs="仿宋"/>
          <w:color w:val="auto"/>
          <w:sz w:val="18"/>
          <w:szCs w:val="20"/>
          <w:highlight w:val="none"/>
        </w:rPr>
      </w:pPr>
    </w:p>
    <w:p w14:paraId="3DBB9145">
      <w:pPr>
        <w:pStyle w:val="35"/>
        <w:rPr>
          <w:rFonts w:ascii="仿宋" w:hAnsi="仿宋" w:eastAsia="仿宋" w:cs="仿宋"/>
          <w:color w:val="auto"/>
          <w:sz w:val="18"/>
          <w:szCs w:val="20"/>
          <w:highlight w:val="none"/>
        </w:rPr>
      </w:pPr>
    </w:p>
    <w:p w14:paraId="651715C6">
      <w:pPr>
        <w:pStyle w:val="35"/>
        <w:rPr>
          <w:rFonts w:ascii="仿宋" w:hAnsi="仿宋" w:eastAsia="仿宋" w:cs="仿宋"/>
          <w:color w:val="auto"/>
          <w:sz w:val="18"/>
          <w:szCs w:val="20"/>
          <w:highlight w:val="none"/>
        </w:rPr>
      </w:pPr>
    </w:p>
    <w:p w14:paraId="5A855EEC">
      <w:pPr>
        <w:pStyle w:val="1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088ADD4D">
      <w:pPr>
        <w:pStyle w:val="12"/>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70976BB9">
      <w:pPr>
        <w:pStyle w:val="1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6B62C577">
      <w:pPr>
        <w:pStyle w:val="1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4473BC0E">
      <w:pPr>
        <w:pStyle w:val="1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326CE1AB">
      <w:pPr>
        <w:pStyle w:val="1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6EFE5AC2">
      <w:pPr>
        <w:pStyle w:val="35"/>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7A08488C">
      <w:pPr>
        <w:pStyle w:val="4"/>
        <w:spacing w:line="2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4、参加政府采购活动前3年内</w:t>
      </w:r>
      <w:bookmarkStart w:id="732" w:name="_Toc515647812"/>
      <w:bookmarkStart w:id="733" w:name="_Toc1137"/>
      <w:bookmarkStart w:id="734" w:name="_Toc6008"/>
      <w:r>
        <w:rPr>
          <w:rFonts w:hint="eastAsia" w:ascii="仿宋" w:hAnsi="仿宋" w:eastAsia="仿宋" w:cs="仿宋"/>
          <w:color w:val="auto"/>
          <w:sz w:val="24"/>
          <w:highlight w:val="none"/>
          <w:lang w:eastAsia="zh-CN"/>
        </w:rPr>
        <w:t>在经营活动中没有重大违法记录的书面声明</w:t>
      </w:r>
      <w:bookmarkEnd w:id="732"/>
      <w:bookmarkEnd w:id="733"/>
      <w:bookmarkEnd w:id="734"/>
    </w:p>
    <w:p w14:paraId="097C2532">
      <w:pPr>
        <w:pStyle w:val="14"/>
        <w:tabs>
          <w:tab w:val="left" w:pos="5580"/>
        </w:tabs>
        <w:spacing w:line="240" w:lineRule="atLeast"/>
        <w:ind w:left="1164" w:leftChars="257" w:hanging="540"/>
        <w:jc w:val="center"/>
        <w:rPr>
          <w:rFonts w:ascii="仿宋" w:hAnsi="仿宋" w:eastAsia="仿宋" w:cs="仿宋"/>
          <w:b/>
          <w:color w:val="auto"/>
          <w:highlight w:val="none"/>
          <w:lang w:eastAsia="zh-CN"/>
        </w:rPr>
      </w:pPr>
    </w:p>
    <w:p w14:paraId="76C3E0E1">
      <w:pPr>
        <w:pStyle w:val="14"/>
        <w:tabs>
          <w:tab w:val="left" w:pos="5580"/>
        </w:tabs>
        <w:spacing w:line="240" w:lineRule="atLeast"/>
        <w:ind w:left="1164" w:leftChars="257" w:hanging="540"/>
        <w:rPr>
          <w:rFonts w:ascii="仿宋" w:hAnsi="仿宋" w:eastAsia="仿宋" w:cs="仿宋"/>
          <w:color w:val="auto"/>
          <w:highlight w:val="none"/>
          <w:lang w:eastAsia="zh-CN"/>
        </w:rPr>
      </w:pPr>
    </w:p>
    <w:p w14:paraId="2E50CCE1">
      <w:pPr>
        <w:pStyle w:val="14"/>
        <w:tabs>
          <w:tab w:val="left" w:pos="5580"/>
        </w:tabs>
        <w:spacing w:line="240" w:lineRule="atLeast"/>
        <w:ind w:left="1164" w:leftChars="257" w:hanging="540"/>
        <w:rPr>
          <w:rFonts w:ascii="仿宋" w:hAnsi="仿宋" w:eastAsia="仿宋" w:cs="仿宋"/>
          <w:color w:val="auto"/>
          <w:highlight w:val="none"/>
          <w:lang w:eastAsia="zh-CN"/>
        </w:rPr>
      </w:pPr>
    </w:p>
    <w:p w14:paraId="59058A0B">
      <w:pPr>
        <w:pStyle w:val="14"/>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08A7C329">
      <w:pPr>
        <w:pStyle w:val="14"/>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2314E650">
      <w:pPr>
        <w:pStyle w:val="14"/>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3125C523">
      <w:pPr>
        <w:pStyle w:val="5"/>
        <w:rPr>
          <w:rFonts w:ascii="仿宋" w:hAnsi="仿宋" w:eastAsia="仿宋" w:cs="仿宋"/>
          <w:color w:val="auto"/>
          <w:sz w:val="36"/>
          <w:szCs w:val="36"/>
          <w:highlight w:val="none"/>
          <w:lang w:eastAsia="zh-CN"/>
        </w:rPr>
      </w:pPr>
    </w:p>
    <w:p w14:paraId="2FD0F8DC">
      <w:pPr>
        <w:rPr>
          <w:rFonts w:ascii="仿宋" w:hAnsi="仿宋" w:eastAsia="仿宋" w:cs="仿宋"/>
          <w:b/>
          <w:bCs/>
          <w:color w:val="auto"/>
          <w:sz w:val="36"/>
          <w:szCs w:val="36"/>
          <w:highlight w:val="none"/>
          <w:lang w:eastAsia="zh-CN"/>
        </w:rPr>
      </w:pPr>
    </w:p>
    <w:p w14:paraId="61BBA94B">
      <w:pPr>
        <w:pStyle w:val="5"/>
        <w:rPr>
          <w:rFonts w:ascii="仿宋" w:hAnsi="仿宋" w:eastAsia="仿宋" w:cs="仿宋"/>
          <w:color w:val="auto"/>
          <w:sz w:val="36"/>
          <w:szCs w:val="36"/>
          <w:highlight w:val="none"/>
          <w:lang w:eastAsia="zh-CN"/>
        </w:rPr>
      </w:pPr>
    </w:p>
    <w:p w14:paraId="197CC8FD">
      <w:pPr>
        <w:rPr>
          <w:rFonts w:ascii="仿宋" w:hAnsi="仿宋" w:eastAsia="仿宋" w:cs="仿宋"/>
          <w:b/>
          <w:bCs/>
          <w:color w:val="auto"/>
          <w:sz w:val="36"/>
          <w:szCs w:val="36"/>
          <w:highlight w:val="none"/>
          <w:lang w:eastAsia="zh-CN"/>
        </w:rPr>
      </w:pPr>
    </w:p>
    <w:p w14:paraId="3BE58557">
      <w:pPr>
        <w:pStyle w:val="5"/>
        <w:rPr>
          <w:rFonts w:ascii="仿宋" w:hAnsi="仿宋" w:eastAsia="仿宋" w:cs="仿宋"/>
          <w:color w:val="auto"/>
          <w:sz w:val="36"/>
          <w:szCs w:val="36"/>
          <w:highlight w:val="none"/>
          <w:lang w:eastAsia="zh-CN"/>
        </w:rPr>
      </w:pPr>
    </w:p>
    <w:p w14:paraId="4E260135">
      <w:pPr>
        <w:rPr>
          <w:rFonts w:ascii="仿宋" w:hAnsi="仿宋" w:eastAsia="仿宋" w:cs="仿宋"/>
          <w:b/>
          <w:bCs/>
          <w:color w:val="auto"/>
          <w:sz w:val="36"/>
          <w:szCs w:val="36"/>
          <w:highlight w:val="none"/>
          <w:lang w:eastAsia="zh-CN"/>
        </w:rPr>
      </w:pPr>
    </w:p>
    <w:p w14:paraId="6DA22275">
      <w:pPr>
        <w:pStyle w:val="5"/>
        <w:rPr>
          <w:rFonts w:ascii="仿宋" w:hAnsi="仿宋" w:eastAsia="仿宋" w:cs="仿宋"/>
          <w:color w:val="auto"/>
          <w:sz w:val="36"/>
          <w:szCs w:val="36"/>
          <w:highlight w:val="none"/>
          <w:lang w:eastAsia="zh-CN"/>
        </w:rPr>
      </w:pPr>
    </w:p>
    <w:p w14:paraId="070850BE">
      <w:pPr>
        <w:rPr>
          <w:rFonts w:ascii="仿宋" w:hAnsi="仿宋" w:eastAsia="仿宋" w:cs="仿宋"/>
          <w:b/>
          <w:bCs/>
          <w:color w:val="auto"/>
          <w:sz w:val="36"/>
          <w:szCs w:val="36"/>
          <w:highlight w:val="none"/>
          <w:lang w:eastAsia="zh-CN"/>
        </w:rPr>
      </w:pPr>
    </w:p>
    <w:p w14:paraId="7F8F011D">
      <w:pPr>
        <w:pStyle w:val="5"/>
        <w:rPr>
          <w:rFonts w:ascii="仿宋" w:hAnsi="仿宋" w:eastAsia="仿宋" w:cs="仿宋"/>
          <w:color w:val="auto"/>
          <w:sz w:val="36"/>
          <w:szCs w:val="36"/>
          <w:highlight w:val="none"/>
          <w:lang w:eastAsia="zh-CN"/>
        </w:rPr>
      </w:pPr>
    </w:p>
    <w:p w14:paraId="4A2AC0D4">
      <w:pPr>
        <w:rPr>
          <w:rFonts w:ascii="仿宋" w:hAnsi="仿宋" w:eastAsia="仿宋" w:cs="仿宋"/>
          <w:b/>
          <w:bCs/>
          <w:color w:val="auto"/>
          <w:sz w:val="36"/>
          <w:szCs w:val="36"/>
          <w:highlight w:val="none"/>
          <w:lang w:eastAsia="zh-CN"/>
        </w:rPr>
      </w:pPr>
    </w:p>
    <w:p w14:paraId="5143B49D">
      <w:pPr>
        <w:pStyle w:val="5"/>
        <w:rPr>
          <w:rFonts w:ascii="仿宋" w:hAnsi="仿宋" w:eastAsia="仿宋" w:cs="仿宋"/>
          <w:color w:val="auto"/>
          <w:sz w:val="36"/>
          <w:szCs w:val="36"/>
          <w:highlight w:val="none"/>
          <w:lang w:eastAsia="zh-CN"/>
        </w:rPr>
      </w:pPr>
    </w:p>
    <w:p w14:paraId="72890F08">
      <w:pPr>
        <w:rPr>
          <w:rFonts w:ascii="仿宋" w:hAnsi="仿宋" w:eastAsia="仿宋" w:cs="仿宋"/>
          <w:b/>
          <w:bCs/>
          <w:color w:val="auto"/>
          <w:sz w:val="36"/>
          <w:szCs w:val="36"/>
          <w:highlight w:val="none"/>
          <w:lang w:eastAsia="zh-CN"/>
        </w:rPr>
      </w:pPr>
    </w:p>
    <w:p w14:paraId="19985C0D">
      <w:pPr>
        <w:pStyle w:val="4"/>
        <w:spacing w:line="240" w:lineRule="atLeast"/>
        <w:rPr>
          <w:rFonts w:ascii="仿宋" w:hAnsi="仿宋" w:eastAsia="仿宋" w:cs="仿宋"/>
          <w:bCs/>
          <w:color w:val="auto"/>
          <w:sz w:val="36"/>
          <w:szCs w:val="36"/>
          <w:highlight w:val="none"/>
          <w:lang w:eastAsia="zh-CN"/>
        </w:rPr>
      </w:pPr>
    </w:p>
    <w:p w14:paraId="21B04D2C">
      <w:pPr>
        <w:pStyle w:val="4"/>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3AAF5CDC">
      <w:pPr>
        <w:ind w:firstLine="486" w:firstLineChars="200"/>
        <w:rPr>
          <w:rFonts w:ascii="仿宋" w:hAnsi="仿宋" w:eastAsia="仿宋" w:cs="仿宋"/>
          <w:color w:val="auto"/>
          <w:highlight w:val="none"/>
          <w:lang w:eastAsia="zh-CN"/>
        </w:rPr>
      </w:pPr>
      <w:bookmarkStart w:id="735" w:name="_Toc494296991"/>
      <w:bookmarkStart w:id="736" w:name="_Toc494296665"/>
    </w:p>
    <w:bookmarkEnd w:id="735"/>
    <w:bookmarkEnd w:id="736"/>
    <w:p w14:paraId="6721554F">
      <w:pPr>
        <w:pStyle w:val="9"/>
        <w:rPr>
          <w:rFonts w:ascii="仿宋" w:hAnsi="仿宋" w:eastAsia="仿宋" w:cs="仿宋"/>
          <w:color w:val="auto"/>
          <w:highlight w:val="none"/>
          <w:lang w:eastAsia="zh-CN"/>
        </w:rPr>
      </w:pPr>
    </w:p>
    <w:p w14:paraId="76E41337">
      <w:pPr>
        <w:pStyle w:val="9"/>
        <w:rPr>
          <w:rFonts w:ascii="仿宋" w:hAnsi="仿宋" w:eastAsia="仿宋" w:cs="仿宋"/>
          <w:color w:val="auto"/>
          <w:highlight w:val="none"/>
        </w:rPr>
      </w:pPr>
    </w:p>
    <w:p w14:paraId="1EFC25C5">
      <w:pPr>
        <w:spacing w:line="240" w:lineRule="atLeast"/>
        <w:ind w:left="1164" w:leftChars="257" w:hanging="540"/>
        <w:jc w:val="center"/>
        <w:rPr>
          <w:rFonts w:ascii="仿宋" w:hAnsi="仿宋" w:eastAsia="仿宋" w:cs="仿宋"/>
          <w:color w:val="auto"/>
          <w:highlight w:val="none"/>
        </w:rPr>
      </w:pPr>
    </w:p>
    <w:p w14:paraId="072EB626">
      <w:pPr>
        <w:rPr>
          <w:rFonts w:ascii="仿宋" w:hAnsi="仿宋" w:eastAsia="仿宋" w:cs="仿宋"/>
          <w:color w:val="auto"/>
          <w:sz w:val="28"/>
          <w:szCs w:val="28"/>
          <w:highlight w:val="none"/>
        </w:rPr>
      </w:pPr>
    </w:p>
    <w:tbl>
      <w:tblPr>
        <w:tblStyle w:val="2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4B8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087AEC8">
            <w:pPr>
              <w:rPr>
                <w:rFonts w:ascii="仿宋" w:hAnsi="仿宋" w:eastAsia="仿宋" w:cs="仿宋"/>
                <w:b/>
                <w:bCs/>
                <w:color w:val="auto"/>
                <w:sz w:val="30"/>
                <w:szCs w:val="30"/>
                <w:highlight w:val="none"/>
              </w:rPr>
            </w:pPr>
          </w:p>
          <w:p w14:paraId="2FFE529B">
            <w:pPr>
              <w:jc w:val="center"/>
              <w:rPr>
                <w:rFonts w:ascii="仿宋" w:hAnsi="仿宋" w:eastAsia="仿宋" w:cs="仿宋"/>
                <w:b/>
                <w:bCs/>
                <w:color w:val="auto"/>
                <w:sz w:val="30"/>
                <w:szCs w:val="30"/>
                <w:highlight w:val="none"/>
              </w:rPr>
            </w:pPr>
          </w:p>
          <w:p w14:paraId="2DDBFC07">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2C5236C6">
      <w:pPr>
        <w:pStyle w:val="9"/>
        <w:rPr>
          <w:rFonts w:ascii="仿宋" w:hAnsi="仿宋" w:eastAsia="仿宋" w:cs="仿宋"/>
          <w:color w:val="auto"/>
          <w:highlight w:val="none"/>
        </w:rPr>
      </w:pPr>
    </w:p>
    <w:p w14:paraId="6A7A0252">
      <w:pPr>
        <w:pStyle w:val="9"/>
        <w:rPr>
          <w:rFonts w:ascii="仿宋" w:hAnsi="仿宋" w:eastAsia="仿宋" w:cs="仿宋"/>
          <w:color w:val="auto"/>
          <w:highlight w:val="none"/>
        </w:rPr>
      </w:pPr>
    </w:p>
    <w:p w14:paraId="29ACA63C">
      <w:pPr>
        <w:pStyle w:val="9"/>
        <w:rPr>
          <w:rFonts w:ascii="仿宋" w:hAnsi="仿宋" w:eastAsia="仿宋" w:cs="仿宋"/>
          <w:color w:val="auto"/>
          <w:highlight w:val="none"/>
        </w:rPr>
      </w:pPr>
    </w:p>
    <w:p w14:paraId="2C6E1F8E">
      <w:pPr>
        <w:pStyle w:val="9"/>
        <w:rPr>
          <w:rFonts w:ascii="仿宋" w:hAnsi="仿宋" w:eastAsia="仿宋" w:cs="仿宋"/>
          <w:color w:val="auto"/>
          <w:highlight w:val="none"/>
        </w:rPr>
      </w:pPr>
    </w:p>
    <w:p w14:paraId="655EF17C">
      <w:pPr>
        <w:pStyle w:val="9"/>
        <w:rPr>
          <w:rFonts w:ascii="仿宋" w:hAnsi="仿宋" w:eastAsia="仿宋" w:cs="仿宋"/>
          <w:color w:val="auto"/>
          <w:highlight w:val="none"/>
        </w:rPr>
      </w:pPr>
    </w:p>
    <w:p w14:paraId="1E6586CD">
      <w:pPr>
        <w:pStyle w:val="9"/>
        <w:rPr>
          <w:rFonts w:ascii="仿宋" w:hAnsi="仿宋" w:eastAsia="仿宋" w:cs="仿宋"/>
          <w:color w:val="auto"/>
          <w:highlight w:val="none"/>
        </w:rPr>
      </w:pPr>
    </w:p>
    <w:p w14:paraId="49D039D0">
      <w:pPr>
        <w:rPr>
          <w:rFonts w:ascii="仿宋" w:hAnsi="仿宋" w:eastAsia="仿宋" w:cs="仿宋"/>
          <w:color w:val="auto"/>
          <w:highlight w:val="none"/>
        </w:rPr>
      </w:pPr>
    </w:p>
    <w:p w14:paraId="29B1AD09">
      <w:pPr>
        <w:pStyle w:val="5"/>
        <w:rPr>
          <w:rFonts w:ascii="仿宋" w:hAnsi="仿宋" w:eastAsia="仿宋" w:cs="仿宋"/>
          <w:color w:val="auto"/>
          <w:highlight w:val="none"/>
        </w:rPr>
      </w:pPr>
    </w:p>
    <w:p w14:paraId="194C8A4B">
      <w:pPr>
        <w:rPr>
          <w:rFonts w:ascii="仿宋" w:hAnsi="仿宋" w:eastAsia="仿宋" w:cs="仿宋"/>
          <w:color w:val="auto"/>
          <w:highlight w:val="none"/>
        </w:rPr>
      </w:pPr>
    </w:p>
    <w:p w14:paraId="00EA080D">
      <w:pPr>
        <w:rPr>
          <w:rFonts w:ascii="仿宋" w:hAnsi="仿宋" w:eastAsia="仿宋" w:cs="仿宋"/>
          <w:color w:val="auto"/>
          <w:highlight w:val="none"/>
        </w:rPr>
      </w:pPr>
    </w:p>
    <w:p w14:paraId="494C61CE">
      <w:pPr>
        <w:rPr>
          <w:rFonts w:ascii="仿宋" w:hAnsi="仿宋" w:eastAsia="仿宋" w:cs="仿宋"/>
          <w:color w:val="auto"/>
          <w:highlight w:val="none"/>
        </w:rPr>
      </w:pPr>
    </w:p>
    <w:p w14:paraId="3FEDBDA6">
      <w:pPr>
        <w:jc w:val="center"/>
        <w:rPr>
          <w:rFonts w:ascii="仿宋" w:hAnsi="仿宋" w:eastAsia="仿宋" w:cs="仿宋"/>
          <w:color w:val="auto"/>
          <w:sz w:val="28"/>
          <w:szCs w:val="28"/>
          <w:highlight w:val="none"/>
        </w:rPr>
      </w:pPr>
    </w:p>
    <w:p w14:paraId="6EA57D96">
      <w:pPr>
        <w:jc w:val="center"/>
        <w:rPr>
          <w:rFonts w:ascii="仿宋" w:hAnsi="仿宋" w:eastAsia="仿宋" w:cs="仿宋"/>
          <w:color w:val="auto"/>
          <w:sz w:val="28"/>
          <w:szCs w:val="28"/>
          <w:highlight w:val="none"/>
        </w:rPr>
      </w:pPr>
    </w:p>
    <w:p w14:paraId="11C16F3C">
      <w:pPr>
        <w:jc w:val="center"/>
        <w:rPr>
          <w:rFonts w:ascii="仿宋" w:hAnsi="仿宋" w:eastAsia="仿宋" w:cs="仿宋"/>
          <w:color w:val="auto"/>
          <w:sz w:val="28"/>
          <w:szCs w:val="28"/>
          <w:highlight w:val="none"/>
        </w:rPr>
      </w:pPr>
    </w:p>
    <w:p w14:paraId="1B0293F0">
      <w:pPr>
        <w:jc w:val="center"/>
        <w:rPr>
          <w:rFonts w:ascii="仿宋" w:hAnsi="仿宋" w:eastAsia="仿宋" w:cs="仿宋"/>
          <w:color w:val="auto"/>
          <w:sz w:val="28"/>
          <w:szCs w:val="28"/>
          <w:highlight w:val="none"/>
        </w:rPr>
      </w:pPr>
    </w:p>
    <w:p w14:paraId="62960618">
      <w:pPr>
        <w:jc w:val="center"/>
        <w:rPr>
          <w:rFonts w:ascii="仿宋" w:hAnsi="仿宋" w:eastAsia="仿宋" w:cs="仿宋"/>
          <w:color w:val="auto"/>
          <w:sz w:val="28"/>
          <w:szCs w:val="28"/>
          <w:highlight w:val="none"/>
        </w:rPr>
      </w:pPr>
    </w:p>
    <w:p w14:paraId="775A05A6">
      <w:pPr>
        <w:jc w:val="center"/>
        <w:rPr>
          <w:rFonts w:ascii="仿宋" w:hAnsi="仿宋" w:eastAsia="仿宋" w:cs="仿宋"/>
          <w:color w:val="auto"/>
          <w:sz w:val="28"/>
          <w:szCs w:val="28"/>
          <w:highlight w:val="none"/>
        </w:rPr>
      </w:pPr>
    </w:p>
    <w:p w14:paraId="55E8E337">
      <w:pPr>
        <w:jc w:val="center"/>
        <w:rPr>
          <w:rFonts w:ascii="仿宋" w:hAnsi="仿宋" w:eastAsia="仿宋" w:cs="仿宋"/>
          <w:color w:val="auto"/>
          <w:sz w:val="28"/>
          <w:szCs w:val="28"/>
          <w:highlight w:val="none"/>
        </w:rPr>
      </w:pPr>
    </w:p>
    <w:p w14:paraId="70BB8758">
      <w:pPr>
        <w:jc w:val="center"/>
        <w:rPr>
          <w:rFonts w:ascii="仿宋" w:hAnsi="仿宋" w:eastAsia="仿宋" w:cs="仿宋"/>
          <w:color w:val="auto"/>
          <w:sz w:val="28"/>
          <w:szCs w:val="28"/>
          <w:highlight w:val="none"/>
        </w:rPr>
      </w:pPr>
    </w:p>
    <w:p w14:paraId="5149A105">
      <w:pPr>
        <w:spacing w:line="360" w:lineRule="auto"/>
        <w:jc w:val="both"/>
        <w:rPr>
          <w:rFonts w:ascii="仿宋" w:hAnsi="仿宋" w:eastAsia="仿宋" w:cs="仿宋"/>
          <w:b/>
          <w:bCs/>
          <w:color w:val="auto"/>
          <w:sz w:val="28"/>
          <w:szCs w:val="28"/>
          <w:highlight w:val="none"/>
          <w:lang w:eastAsia="zh-CN"/>
        </w:rPr>
      </w:pPr>
    </w:p>
    <w:p w14:paraId="1F9C44D7">
      <w:pPr>
        <w:spacing w:line="360" w:lineRule="auto"/>
        <w:jc w:val="center"/>
        <w:rPr>
          <w:rFonts w:hint="eastAsia" w:ascii="仿宋" w:hAnsi="仿宋" w:eastAsia="仿宋" w:cs="仿宋"/>
          <w:b/>
          <w:bCs/>
          <w:color w:val="auto"/>
          <w:sz w:val="28"/>
          <w:szCs w:val="28"/>
          <w:highlight w:val="none"/>
          <w:lang w:eastAsia="zh-CN"/>
        </w:rPr>
      </w:pPr>
    </w:p>
    <w:p w14:paraId="1524C9A9">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33860CE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131A48D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78A36C7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92E68E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1411169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7FACF7C9">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45C1B69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6531E8C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2E9D2AA0">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23C53D61">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61AAEF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67CC654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6FAFA64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13C291B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2EBBA0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252980D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2A44999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4BE8461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95B2AA4">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6BE3990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5AD1FF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3C72B54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5057386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2E3BE53F">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6FBB891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44F3564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638E9E8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59FDDF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42F40C9F">
      <w:pPr>
        <w:spacing w:line="360" w:lineRule="auto"/>
        <w:ind w:firstLine="6439" w:firstLineChars="2650"/>
        <w:rPr>
          <w:rFonts w:ascii="仿宋" w:hAnsi="仿宋" w:eastAsia="仿宋" w:cs="仿宋"/>
          <w:color w:val="auto"/>
          <w:highlight w:val="none"/>
          <w:lang w:eastAsia="zh-CN"/>
        </w:rPr>
      </w:pPr>
    </w:p>
    <w:p w14:paraId="26333AB0">
      <w:pPr>
        <w:spacing w:line="360" w:lineRule="auto"/>
        <w:ind w:firstLine="6439" w:firstLineChars="2650"/>
        <w:rPr>
          <w:rFonts w:ascii="仿宋" w:hAnsi="仿宋" w:eastAsia="仿宋" w:cs="仿宋"/>
          <w:color w:val="auto"/>
          <w:highlight w:val="none"/>
          <w:lang w:eastAsia="zh-CN"/>
        </w:rPr>
      </w:pPr>
    </w:p>
    <w:p w14:paraId="376582C0">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4868BB2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2F821A85">
      <w:pPr>
        <w:spacing w:line="360" w:lineRule="auto"/>
        <w:ind w:firstLine="6318" w:firstLineChars="2600"/>
        <w:rPr>
          <w:rFonts w:ascii="仿宋" w:hAnsi="仿宋" w:eastAsia="仿宋" w:cs="仿宋"/>
          <w:color w:val="auto"/>
          <w:highlight w:val="none"/>
          <w:lang w:eastAsia="zh-CN"/>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仿宋" w:hAnsi="仿宋" w:eastAsia="仿宋" w:cs="仿宋"/>
          <w:color w:val="auto"/>
          <w:highlight w:val="none"/>
          <w:lang w:eastAsia="zh-CN"/>
        </w:rPr>
        <w:t>年     月      日</w:t>
      </w:r>
    </w:p>
    <w:p w14:paraId="0D048B70">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64F1DB4D">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549985C9">
      <w:pPr>
        <w:pStyle w:val="35"/>
        <w:ind w:firstLine="0"/>
        <w:rPr>
          <w:rFonts w:ascii="仿宋" w:hAnsi="仿宋" w:eastAsia="仿宋" w:cs="仿宋"/>
          <w:color w:val="auto"/>
          <w:highlight w:val="none"/>
          <w:lang w:eastAsia="zh-CN"/>
        </w:rPr>
      </w:pPr>
    </w:p>
    <w:p w14:paraId="72A54409">
      <w:pPr>
        <w:pStyle w:val="35"/>
        <w:rPr>
          <w:rFonts w:ascii="仿宋" w:hAnsi="仿宋" w:eastAsia="仿宋" w:cs="仿宋"/>
          <w:color w:val="auto"/>
          <w:highlight w:val="none"/>
          <w:lang w:eastAsia="zh-CN"/>
        </w:rPr>
      </w:pPr>
    </w:p>
    <w:p w14:paraId="2CB5B5F1">
      <w:pPr>
        <w:pStyle w:val="35"/>
        <w:rPr>
          <w:rFonts w:ascii="仿宋" w:hAnsi="仿宋" w:eastAsia="仿宋" w:cs="仿宋"/>
          <w:color w:val="auto"/>
          <w:highlight w:val="none"/>
          <w:lang w:eastAsia="zh-CN"/>
        </w:rPr>
      </w:pPr>
    </w:p>
    <w:p w14:paraId="590CF22E">
      <w:pPr>
        <w:pStyle w:val="35"/>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2C08A956">
      <w:pPr>
        <w:pStyle w:val="35"/>
        <w:rPr>
          <w:rFonts w:ascii="仿宋" w:hAnsi="仿宋" w:eastAsia="仿宋" w:cs="仿宋"/>
          <w:b/>
          <w:bCs/>
          <w:color w:val="auto"/>
          <w:highlight w:val="none"/>
          <w:lang w:eastAsia="zh-CN"/>
        </w:rPr>
      </w:pPr>
    </w:p>
    <w:p w14:paraId="0E137A0F">
      <w:pPr>
        <w:rPr>
          <w:rFonts w:ascii="仿宋" w:hAnsi="仿宋" w:eastAsia="仿宋" w:cs="仿宋"/>
          <w:color w:val="auto"/>
          <w:highlight w:val="none"/>
          <w:lang w:eastAsia="zh-CN"/>
        </w:rPr>
      </w:pPr>
    </w:p>
    <w:p w14:paraId="42CE38D3">
      <w:pPr>
        <w:spacing w:line="400" w:lineRule="exact"/>
        <w:ind w:firstLine="486" w:firstLineChars="200"/>
        <w:rPr>
          <w:rFonts w:ascii="仿宋" w:hAnsi="仿宋" w:eastAsia="仿宋" w:cs="仿宋"/>
          <w:b/>
          <w:bCs/>
          <w:color w:val="auto"/>
          <w:highlight w:val="none"/>
          <w:lang w:eastAsia="zh-CN"/>
        </w:rPr>
      </w:pPr>
    </w:p>
    <w:p w14:paraId="63A61BA4">
      <w:pPr>
        <w:spacing w:line="400" w:lineRule="exact"/>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、供应商须知资料表要求的其他资格证明文件</w:t>
      </w:r>
    </w:p>
    <w:p w14:paraId="225C9077">
      <w:pPr>
        <w:pStyle w:val="3"/>
        <w:spacing w:before="40" w:after="40" w:line="579" w:lineRule="auto"/>
        <w:jc w:val="both"/>
        <w:rPr>
          <w:rFonts w:hint="eastAsia" w:ascii="仿宋" w:hAnsi="仿宋" w:eastAsia="仿宋" w:cs="仿宋"/>
          <w:color w:val="auto"/>
          <w:sz w:val="32"/>
          <w:szCs w:val="32"/>
          <w:highlight w:val="none"/>
          <w:lang w:eastAsia="zh-CN"/>
        </w:rPr>
      </w:pPr>
      <w:bookmarkStart w:id="737" w:name="_Toc515647816"/>
      <w:bookmarkStart w:id="738" w:name="_Toc5695"/>
      <w:bookmarkStart w:id="739" w:name="_Toc22967"/>
      <w:bookmarkStart w:id="740" w:name="_Toc11180"/>
    </w:p>
    <w:p w14:paraId="62CF5469">
      <w:pPr>
        <w:rPr>
          <w:rFonts w:hint="eastAsia" w:ascii="仿宋" w:hAnsi="仿宋" w:eastAsia="仿宋" w:cs="仿宋"/>
          <w:color w:val="auto"/>
          <w:sz w:val="32"/>
          <w:szCs w:val="32"/>
          <w:highlight w:val="none"/>
          <w:lang w:eastAsia="zh-CN"/>
        </w:rPr>
      </w:pPr>
    </w:p>
    <w:p w14:paraId="49D51DC8">
      <w:pPr>
        <w:pStyle w:val="5"/>
        <w:rPr>
          <w:rFonts w:hint="eastAsia" w:ascii="仿宋" w:hAnsi="仿宋" w:eastAsia="仿宋" w:cs="仿宋"/>
          <w:color w:val="auto"/>
          <w:sz w:val="32"/>
          <w:szCs w:val="32"/>
          <w:highlight w:val="none"/>
          <w:lang w:eastAsia="zh-CN"/>
        </w:rPr>
      </w:pPr>
    </w:p>
    <w:p w14:paraId="7A98B349">
      <w:pPr>
        <w:rPr>
          <w:rFonts w:hint="eastAsia"/>
          <w:color w:val="auto"/>
          <w:highlight w:val="none"/>
          <w:lang w:eastAsia="zh-CN"/>
        </w:rPr>
      </w:pPr>
    </w:p>
    <w:p w14:paraId="447AC397">
      <w:pPr>
        <w:pStyle w:val="3"/>
        <w:spacing w:before="40" w:after="40" w:line="579" w:lineRule="auto"/>
        <w:jc w:val="center"/>
        <w:rPr>
          <w:rFonts w:hint="eastAsia" w:ascii="仿宋" w:hAnsi="仿宋" w:eastAsia="仿宋" w:cs="仿宋"/>
          <w:color w:val="auto"/>
          <w:sz w:val="32"/>
          <w:szCs w:val="32"/>
          <w:highlight w:val="none"/>
          <w:lang w:eastAsia="zh-CN"/>
        </w:rPr>
      </w:pPr>
    </w:p>
    <w:p w14:paraId="7CB2BF79">
      <w:pPr>
        <w:rPr>
          <w:rFonts w:hint="eastAsia" w:ascii="仿宋" w:hAnsi="仿宋" w:eastAsia="仿宋" w:cs="仿宋"/>
          <w:color w:val="auto"/>
          <w:sz w:val="32"/>
          <w:szCs w:val="32"/>
          <w:highlight w:val="none"/>
          <w:lang w:eastAsia="zh-CN"/>
        </w:rPr>
      </w:pPr>
    </w:p>
    <w:p w14:paraId="6E9DD954">
      <w:pPr>
        <w:pStyle w:val="9"/>
        <w:rPr>
          <w:rFonts w:hint="eastAsia" w:ascii="仿宋" w:hAnsi="仿宋" w:eastAsia="仿宋" w:cs="仿宋"/>
          <w:color w:val="auto"/>
          <w:sz w:val="32"/>
          <w:szCs w:val="32"/>
          <w:highlight w:val="none"/>
          <w:lang w:eastAsia="zh-CN"/>
        </w:rPr>
      </w:pPr>
    </w:p>
    <w:p w14:paraId="457B2A21">
      <w:pPr>
        <w:pStyle w:val="10"/>
        <w:rPr>
          <w:rFonts w:hint="eastAsia" w:ascii="仿宋" w:hAnsi="仿宋" w:eastAsia="仿宋" w:cs="仿宋"/>
          <w:color w:val="auto"/>
          <w:sz w:val="32"/>
          <w:szCs w:val="32"/>
          <w:highlight w:val="none"/>
          <w:lang w:eastAsia="zh-CN"/>
        </w:rPr>
      </w:pPr>
    </w:p>
    <w:p w14:paraId="607B16EB">
      <w:pPr>
        <w:rPr>
          <w:rFonts w:hint="eastAsia" w:ascii="仿宋" w:hAnsi="仿宋" w:eastAsia="仿宋" w:cs="仿宋"/>
          <w:color w:val="auto"/>
          <w:sz w:val="32"/>
          <w:szCs w:val="32"/>
          <w:highlight w:val="none"/>
          <w:lang w:eastAsia="zh-CN"/>
        </w:rPr>
      </w:pPr>
    </w:p>
    <w:p w14:paraId="223655FB">
      <w:pPr>
        <w:pStyle w:val="2"/>
        <w:rPr>
          <w:rFonts w:hint="eastAsia"/>
          <w:lang w:eastAsia="zh-CN"/>
        </w:rPr>
      </w:pPr>
    </w:p>
    <w:p w14:paraId="6776280C">
      <w:pPr>
        <w:pStyle w:val="10"/>
        <w:rPr>
          <w:rFonts w:hint="eastAsia"/>
          <w:color w:val="auto"/>
          <w:highlight w:val="none"/>
          <w:lang w:eastAsia="zh-CN"/>
        </w:rPr>
      </w:pPr>
    </w:p>
    <w:p w14:paraId="7EADB2F0">
      <w:pPr>
        <w:pStyle w:val="3"/>
        <w:spacing w:before="40" w:after="40" w:line="579" w:lineRule="auto"/>
        <w:jc w:val="both"/>
        <w:rPr>
          <w:rFonts w:hint="eastAsia" w:ascii="仿宋" w:hAnsi="仿宋" w:eastAsia="仿宋" w:cs="仿宋"/>
          <w:color w:val="auto"/>
          <w:sz w:val="32"/>
          <w:szCs w:val="32"/>
          <w:highlight w:val="none"/>
          <w:lang w:eastAsia="zh-CN"/>
        </w:rPr>
      </w:pPr>
    </w:p>
    <w:p w14:paraId="6AAE05DC">
      <w:pPr>
        <w:pStyle w:val="3"/>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737"/>
      <w:bookmarkEnd w:id="738"/>
      <w:bookmarkEnd w:id="739"/>
      <w:bookmarkEnd w:id="740"/>
    </w:p>
    <w:p w14:paraId="4916EF92">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54AFFE01">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087D17C6">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3、服务说明一览表</w:t>
      </w:r>
    </w:p>
    <w:p w14:paraId="218CBCB9">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4、投标分项报价表</w:t>
      </w:r>
    </w:p>
    <w:p w14:paraId="0A438462">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37296528">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187AABA2">
      <w:pPr>
        <w:pStyle w:val="14"/>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43E544C3">
      <w:pPr>
        <w:pStyle w:val="14"/>
        <w:spacing w:line="400" w:lineRule="exact"/>
        <w:ind w:left="359" w:leftChars="148" w:firstLine="228"/>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6E4876FD">
      <w:pPr>
        <w:pStyle w:val="14"/>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(2021年1月1日至今）类似业绩表</w:t>
      </w:r>
    </w:p>
    <w:p w14:paraId="218E6A01">
      <w:pPr>
        <w:pStyle w:val="14"/>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、中小企业声明函(服务)</w:t>
      </w:r>
    </w:p>
    <w:p w14:paraId="0C5B6506">
      <w:pPr>
        <w:pStyle w:val="14"/>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、《残疾人福利性单位声明函》</w:t>
      </w:r>
    </w:p>
    <w:p w14:paraId="742A6544">
      <w:pPr>
        <w:pStyle w:val="14"/>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w:t>
      </w:r>
      <w:r>
        <w:rPr>
          <w:rFonts w:hint="eastAsia" w:ascii="仿宋" w:hAnsi="仿宋" w:eastAsia="仿宋" w:cs="仿宋"/>
          <w:bCs/>
          <w:color w:val="auto"/>
          <w:szCs w:val="21"/>
          <w:highlight w:val="none"/>
          <w:lang w:eastAsia="zh-CN"/>
        </w:rPr>
        <w:t>评分标准和细则中技术、商务部分证明材料（格式自拟）</w:t>
      </w:r>
    </w:p>
    <w:p w14:paraId="23DFB6BF">
      <w:pPr>
        <w:pStyle w:val="14"/>
        <w:spacing w:line="400" w:lineRule="exact"/>
        <w:ind w:left="359"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、供应商认为有必要提供的其他证明材料（格式自拟）</w:t>
      </w:r>
    </w:p>
    <w:p w14:paraId="5A2FCA5C">
      <w:pPr>
        <w:pStyle w:val="14"/>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bookmarkStart w:id="742" w:name="_GoBack"/>
      <w:bookmarkEnd w:id="742"/>
    </w:p>
    <w:p w14:paraId="7126A5CF">
      <w:pPr>
        <w:pStyle w:val="12"/>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574DE493">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14D04EB6">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622D16A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05B9417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49B286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1F63C1D8">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283F309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0AB4E66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A49B29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4F3010B2">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5CF165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6D97D6DC">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7F07B54A">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68719C0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45C957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3AE167A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79666AF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71EDE25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77572E66">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13D8A9A7">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064A4F06">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4510F0D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1BF9F0C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56A9159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2B8BDF1B">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51CD5B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0992E40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581AA2C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B868F9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668B10C8">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4B71C1CA">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55C0BBE3">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3AB9AEF9">
      <w:pPr>
        <w:pStyle w:val="35"/>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42CE8842">
      <w:pPr>
        <w:pStyle w:val="9"/>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0345D69">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2784CFB0">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4159D73B">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单位：元（人民币）</w:t>
      </w:r>
    </w:p>
    <w:tbl>
      <w:tblPr>
        <w:tblStyle w:val="2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E46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02A88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0A4BA040">
            <w:pPr>
              <w:rPr>
                <w:rFonts w:ascii="仿宋" w:hAnsi="仿宋" w:eastAsia="仿宋" w:cs="仿宋"/>
                <w:color w:val="auto"/>
                <w:szCs w:val="21"/>
                <w:highlight w:val="none"/>
              </w:rPr>
            </w:pPr>
          </w:p>
        </w:tc>
      </w:tr>
      <w:tr w14:paraId="00E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60C5A4E5">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履约期限</w:t>
            </w:r>
          </w:p>
        </w:tc>
        <w:tc>
          <w:tcPr>
            <w:tcW w:w="6185" w:type="dxa"/>
            <w:vAlign w:val="center"/>
          </w:tcPr>
          <w:p w14:paraId="71ED29B0">
            <w:pPr>
              <w:jc w:val="center"/>
              <w:rPr>
                <w:rFonts w:ascii="仿宋" w:hAnsi="仿宋" w:eastAsia="仿宋" w:cs="仿宋"/>
                <w:color w:val="auto"/>
                <w:szCs w:val="21"/>
                <w:highlight w:val="none"/>
                <w:lang w:eastAsia="zh-CN"/>
              </w:rPr>
            </w:pPr>
          </w:p>
        </w:tc>
      </w:tr>
      <w:tr w14:paraId="036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38A8E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57DCDE8">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467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0BA0D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5AB270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4214AA0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45EF47DE">
            <w:pPr>
              <w:jc w:val="center"/>
              <w:rPr>
                <w:rFonts w:ascii="仿宋" w:hAnsi="仿宋" w:eastAsia="仿宋" w:cs="仿宋"/>
                <w:color w:val="auto"/>
                <w:szCs w:val="21"/>
                <w:highlight w:val="none"/>
              </w:rPr>
            </w:pPr>
          </w:p>
        </w:tc>
      </w:tr>
      <w:tr w14:paraId="101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1DE612A2">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69994F3B">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0F1FCDDE">
            <w:pPr>
              <w:jc w:val="center"/>
              <w:rPr>
                <w:rFonts w:ascii="仿宋" w:hAnsi="仿宋" w:eastAsia="仿宋" w:cs="仿宋"/>
                <w:color w:val="auto"/>
                <w:szCs w:val="21"/>
                <w:highlight w:val="none"/>
              </w:rPr>
            </w:pPr>
          </w:p>
        </w:tc>
      </w:tr>
    </w:tbl>
    <w:p w14:paraId="618AF80F">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1F4F02E">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8F197B3">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1ECEF0B4">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45518015">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6D2B8A62">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1A0749A8">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3E6E43F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71B9E1C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7EDC3CE7">
      <w:pPr>
        <w:pStyle w:val="4"/>
        <w:spacing w:line="240" w:lineRule="atLeast"/>
        <w:rPr>
          <w:rFonts w:ascii="宋体" w:hAnsi="宋体" w:eastAsia="宋体" w:cs="宋体"/>
          <w:bCs/>
          <w:color w:val="auto"/>
          <w:sz w:val="24"/>
          <w:highlight w:val="none"/>
          <w:lang w:eastAsia="zh-CN"/>
        </w:rPr>
      </w:pPr>
    </w:p>
    <w:p w14:paraId="3A040304">
      <w:pPr>
        <w:pStyle w:val="4"/>
        <w:spacing w:line="240" w:lineRule="atLeast"/>
        <w:rPr>
          <w:rFonts w:ascii="宋体" w:hAnsi="宋体" w:eastAsia="宋体" w:cs="宋体"/>
          <w:bCs/>
          <w:color w:val="auto"/>
          <w:sz w:val="24"/>
          <w:highlight w:val="none"/>
          <w:lang w:eastAsia="zh-CN"/>
        </w:rPr>
      </w:pPr>
    </w:p>
    <w:p w14:paraId="3AE06458">
      <w:pPr>
        <w:pStyle w:val="38"/>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3、服务说明一览表</w:t>
      </w:r>
    </w:p>
    <w:p w14:paraId="16432648">
      <w:pPr>
        <w:pStyle w:val="14"/>
        <w:spacing w:line="240" w:lineRule="atLeast"/>
        <w:ind w:left="1164" w:leftChars="257" w:hanging="540"/>
        <w:rPr>
          <w:rFonts w:ascii="仿宋" w:hAnsi="仿宋" w:eastAsia="仿宋" w:cs="仿宋"/>
          <w:color w:val="auto"/>
          <w:highlight w:val="none"/>
          <w:lang w:eastAsia="zh-CN"/>
        </w:rPr>
      </w:pPr>
    </w:p>
    <w:p w14:paraId="4D3B95DC">
      <w:pPr>
        <w:pStyle w:val="14"/>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2055248E">
      <w:pPr>
        <w:pStyle w:val="14"/>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F794451">
      <w:pPr>
        <w:pStyle w:val="14"/>
        <w:spacing w:line="240" w:lineRule="atLeast"/>
        <w:ind w:left="1164" w:leftChars="257" w:hanging="540"/>
        <w:rPr>
          <w:rFonts w:ascii="仿宋" w:hAnsi="仿宋" w:eastAsia="仿宋" w:cs="仿宋"/>
          <w:color w:val="auto"/>
          <w:highlight w:val="none"/>
          <w:lang w:eastAsia="zh-CN"/>
        </w:rPr>
      </w:pPr>
    </w:p>
    <w:tbl>
      <w:tblPr>
        <w:tblStyle w:val="26"/>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19F3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177BD180">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558BC4C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名称</w:t>
            </w:r>
          </w:p>
        </w:tc>
        <w:tc>
          <w:tcPr>
            <w:tcW w:w="1410" w:type="dxa"/>
            <w:vAlign w:val="center"/>
          </w:tcPr>
          <w:p w14:paraId="2D4299E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内容</w:t>
            </w:r>
          </w:p>
        </w:tc>
        <w:tc>
          <w:tcPr>
            <w:tcW w:w="1040" w:type="dxa"/>
            <w:vAlign w:val="center"/>
          </w:tcPr>
          <w:p w14:paraId="77F3414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8E571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服务期</w:t>
            </w:r>
          </w:p>
        </w:tc>
        <w:tc>
          <w:tcPr>
            <w:tcW w:w="1420" w:type="dxa"/>
            <w:vAlign w:val="center"/>
          </w:tcPr>
          <w:p w14:paraId="382D142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服务地点</w:t>
            </w:r>
          </w:p>
        </w:tc>
        <w:tc>
          <w:tcPr>
            <w:tcW w:w="1101" w:type="dxa"/>
            <w:vAlign w:val="center"/>
          </w:tcPr>
          <w:p w14:paraId="1CBB234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3B66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29871641">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687E2CA4">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5FE5B2FA">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61B8E548">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5B86A14D">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798644E3">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45E53FE4">
            <w:pPr>
              <w:pStyle w:val="14"/>
              <w:spacing w:line="240" w:lineRule="atLeast"/>
              <w:ind w:left="1164" w:leftChars="257" w:hanging="540"/>
              <w:rPr>
                <w:rFonts w:ascii="仿宋" w:hAnsi="仿宋" w:eastAsia="仿宋" w:cs="仿宋"/>
                <w:color w:val="auto"/>
                <w:highlight w:val="none"/>
                <w:lang w:eastAsia="zh-CN"/>
              </w:rPr>
            </w:pPr>
          </w:p>
        </w:tc>
      </w:tr>
      <w:tr w14:paraId="030B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422E768E">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05A8EDC0">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2A9F5750">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35EDC1D7">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14DD208">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1EE2B514">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72B2A388">
            <w:pPr>
              <w:pStyle w:val="14"/>
              <w:spacing w:line="240" w:lineRule="atLeast"/>
              <w:ind w:left="1164" w:leftChars="257" w:hanging="540"/>
              <w:rPr>
                <w:rFonts w:ascii="仿宋" w:hAnsi="仿宋" w:eastAsia="仿宋" w:cs="仿宋"/>
                <w:color w:val="auto"/>
                <w:highlight w:val="none"/>
                <w:lang w:eastAsia="zh-CN"/>
              </w:rPr>
            </w:pPr>
          </w:p>
        </w:tc>
      </w:tr>
      <w:tr w14:paraId="2738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402311DC">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751F73E3">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36796F7C">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34E733D2">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62F46980">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33BB032F">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4F69B03A">
            <w:pPr>
              <w:pStyle w:val="14"/>
              <w:spacing w:line="240" w:lineRule="atLeast"/>
              <w:ind w:left="1164" w:leftChars="257" w:hanging="540"/>
              <w:rPr>
                <w:rFonts w:ascii="仿宋" w:hAnsi="仿宋" w:eastAsia="仿宋" w:cs="仿宋"/>
                <w:color w:val="auto"/>
                <w:highlight w:val="none"/>
                <w:lang w:eastAsia="zh-CN"/>
              </w:rPr>
            </w:pPr>
          </w:p>
        </w:tc>
      </w:tr>
      <w:tr w14:paraId="000B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6BD9AB3">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693AA4D3">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6BB3A63F">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75A59111">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38B58BA0">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512EED46">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1BF8A505">
            <w:pPr>
              <w:pStyle w:val="14"/>
              <w:spacing w:line="240" w:lineRule="atLeast"/>
              <w:ind w:left="1164" w:leftChars="257" w:hanging="540"/>
              <w:rPr>
                <w:rFonts w:ascii="仿宋" w:hAnsi="仿宋" w:eastAsia="仿宋" w:cs="仿宋"/>
                <w:color w:val="auto"/>
                <w:highlight w:val="none"/>
                <w:lang w:eastAsia="zh-CN"/>
              </w:rPr>
            </w:pPr>
          </w:p>
        </w:tc>
      </w:tr>
      <w:tr w14:paraId="61BF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22F32B16">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2475A9B4">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28DD67B5">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67909425">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ABEFBB4">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3374623C">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204998A4">
            <w:pPr>
              <w:pStyle w:val="14"/>
              <w:spacing w:line="240" w:lineRule="atLeast"/>
              <w:ind w:left="1164" w:leftChars="257" w:hanging="540"/>
              <w:rPr>
                <w:rFonts w:ascii="仿宋" w:hAnsi="仿宋" w:eastAsia="仿宋" w:cs="仿宋"/>
                <w:color w:val="auto"/>
                <w:highlight w:val="none"/>
                <w:lang w:eastAsia="zh-CN"/>
              </w:rPr>
            </w:pPr>
          </w:p>
        </w:tc>
      </w:tr>
      <w:tr w14:paraId="185B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22C97A4C">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60248A6E">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3F3D38B1">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5EFFDE72">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B2EB5FF">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227027C6">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16706ADC">
            <w:pPr>
              <w:pStyle w:val="14"/>
              <w:spacing w:line="240" w:lineRule="atLeast"/>
              <w:ind w:left="1164" w:leftChars="257" w:hanging="540"/>
              <w:rPr>
                <w:rFonts w:ascii="仿宋" w:hAnsi="仿宋" w:eastAsia="仿宋" w:cs="仿宋"/>
                <w:color w:val="auto"/>
                <w:highlight w:val="none"/>
                <w:lang w:eastAsia="zh-CN"/>
              </w:rPr>
            </w:pPr>
          </w:p>
        </w:tc>
      </w:tr>
      <w:tr w14:paraId="2F75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01984223">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371FDF02">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0F544962">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58754938">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29ED0F79">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1584AA2E">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39FE170B">
            <w:pPr>
              <w:pStyle w:val="14"/>
              <w:spacing w:line="240" w:lineRule="atLeast"/>
              <w:ind w:left="1164" w:leftChars="257" w:hanging="540"/>
              <w:rPr>
                <w:rFonts w:ascii="仿宋" w:hAnsi="仿宋" w:eastAsia="仿宋" w:cs="仿宋"/>
                <w:color w:val="auto"/>
                <w:highlight w:val="none"/>
                <w:lang w:eastAsia="zh-CN"/>
              </w:rPr>
            </w:pPr>
          </w:p>
        </w:tc>
      </w:tr>
      <w:tr w14:paraId="0ADA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1173A97">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0D10FFD9">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4A4EC894">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477F37AD">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17D56D5">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09389036">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22907BAD">
            <w:pPr>
              <w:pStyle w:val="14"/>
              <w:spacing w:line="240" w:lineRule="atLeast"/>
              <w:ind w:left="1164" w:leftChars="257" w:hanging="540"/>
              <w:rPr>
                <w:rFonts w:ascii="仿宋" w:hAnsi="仿宋" w:eastAsia="仿宋" w:cs="仿宋"/>
                <w:color w:val="auto"/>
                <w:highlight w:val="none"/>
                <w:lang w:eastAsia="zh-CN"/>
              </w:rPr>
            </w:pPr>
          </w:p>
        </w:tc>
      </w:tr>
    </w:tbl>
    <w:p w14:paraId="38C85D63">
      <w:pPr>
        <w:pStyle w:val="14"/>
        <w:spacing w:line="240" w:lineRule="atLeast"/>
        <w:ind w:left="1164" w:leftChars="257" w:hanging="540"/>
        <w:rPr>
          <w:rFonts w:ascii="仿宋" w:hAnsi="仿宋" w:eastAsia="仿宋" w:cs="仿宋"/>
          <w:color w:val="auto"/>
          <w:highlight w:val="none"/>
        </w:rPr>
      </w:pPr>
    </w:p>
    <w:p w14:paraId="13B9A4D5">
      <w:pPr>
        <w:pStyle w:val="14"/>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119F0648">
      <w:pPr>
        <w:pStyle w:val="14"/>
        <w:tabs>
          <w:tab w:val="left" w:pos="5370"/>
        </w:tabs>
        <w:spacing w:line="240" w:lineRule="atLeast"/>
        <w:ind w:left="1164" w:leftChars="257" w:hanging="540"/>
        <w:rPr>
          <w:rFonts w:ascii="仿宋" w:hAnsi="仿宋" w:eastAsia="仿宋" w:cs="仿宋"/>
          <w:color w:val="auto"/>
          <w:highlight w:val="none"/>
          <w:lang w:eastAsia="zh-CN"/>
        </w:rPr>
      </w:pPr>
    </w:p>
    <w:p w14:paraId="76F81BFC">
      <w:pPr>
        <w:pStyle w:val="14"/>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1ECCF27A">
      <w:pPr>
        <w:pStyle w:val="14"/>
        <w:spacing w:line="240" w:lineRule="atLeast"/>
        <w:ind w:left="1164" w:leftChars="257" w:hanging="540"/>
        <w:rPr>
          <w:rFonts w:ascii="仿宋" w:hAnsi="仿宋" w:eastAsia="仿宋" w:cs="仿宋"/>
          <w:color w:val="auto"/>
          <w:highlight w:val="none"/>
          <w:lang w:eastAsia="zh-CN"/>
        </w:rPr>
      </w:pPr>
    </w:p>
    <w:p w14:paraId="710A5E1F">
      <w:pPr>
        <w:pStyle w:val="14"/>
        <w:spacing w:line="240" w:lineRule="atLeast"/>
        <w:ind w:left="1164" w:leftChars="257" w:hanging="540"/>
        <w:jc w:val="center"/>
        <w:rPr>
          <w:rFonts w:hAnsi="宋体" w:eastAsia="宋体" w:cs="宋体"/>
          <w:color w:val="auto"/>
          <w:highlight w:val="none"/>
          <w:lang w:eastAsia="zh-CN"/>
        </w:rPr>
      </w:pPr>
    </w:p>
    <w:p w14:paraId="4078A74B">
      <w:pPr>
        <w:pStyle w:val="14"/>
        <w:spacing w:line="240" w:lineRule="atLeast"/>
        <w:ind w:left="1164" w:leftChars="257" w:hanging="540"/>
        <w:jc w:val="center"/>
        <w:rPr>
          <w:rFonts w:hAnsi="宋体" w:eastAsia="宋体" w:cs="宋体"/>
          <w:color w:val="auto"/>
          <w:highlight w:val="none"/>
          <w:lang w:eastAsia="zh-CN"/>
        </w:rPr>
        <w:sectPr>
          <w:footerReference r:id="rId9" w:type="default"/>
          <w:pgSz w:w="11905" w:h="16838"/>
          <w:pgMar w:top="1440" w:right="1797" w:bottom="1440" w:left="1797" w:header="850" w:footer="992" w:gutter="0"/>
          <w:cols w:space="720" w:num="1"/>
          <w:docGrid w:type="linesAndChars" w:linePitch="325" w:charSpace="635"/>
        </w:sectPr>
      </w:pPr>
    </w:p>
    <w:p w14:paraId="727E0A9A">
      <w:pPr>
        <w:pStyle w:val="38"/>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投标报价明细表</w:t>
      </w:r>
    </w:p>
    <w:p w14:paraId="27E2CB74">
      <w:pPr>
        <w:pStyle w:val="3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828EDA1">
      <w:pPr>
        <w:pStyle w:val="3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786A3F3B">
      <w:pPr>
        <w:pStyle w:val="14"/>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6"/>
        <w:tblW w:w="10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027"/>
        <w:gridCol w:w="1237"/>
        <w:gridCol w:w="1043"/>
        <w:gridCol w:w="2357"/>
        <w:gridCol w:w="700"/>
        <w:gridCol w:w="725"/>
        <w:gridCol w:w="900"/>
        <w:gridCol w:w="872"/>
        <w:gridCol w:w="785"/>
      </w:tblGrid>
      <w:tr w14:paraId="0BEE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0357" w:type="dxa"/>
            <w:gridSpan w:val="10"/>
            <w:vAlign w:val="center"/>
          </w:tcPr>
          <w:p w14:paraId="3EA3F9B6">
            <w:pPr>
              <w:numPr>
                <w:ilvl w:val="0"/>
                <w:numId w:val="12"/>
              </w:numPr>
              <w:spacing w:line="24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软件系统建设清单报价：</w:t>
            </w:r>
          </w:p>
        </w:tc>
      </w:tr>
      <w:tr w14:paraId="337B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711" w:type="dxa"/>
            <w:vAlign w:val="center"/>
          </w:tcPr>
          <w:p w14:paraId="1E40C479">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5664" w:type="dxa"/>
            <w:gridSpan w:val="4"/>
            <w:vAlign w:val="center"/>
          </w:tcPr>
          <w:p w14:paraId="37D4D1AC">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需  求</w:t>
            </w:r>
          </w:p>
        </w:tc>
        <w:tc>
          <w:tcPr>
            <w:tcW w:w="700" w:type="dxa"/>
            <w:vAlign w:val="center"/>
          </w:tcPr>
          <w:p w14:paraId="67FAFD3D">
            <w:pPr>
              <w:spacing w:line="240" w:lineRule="auto"/>
              <w:ind w:left="-12" w:leftChars="-34" w:hanging="70" w:hangingChars="29"/>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725" w:type="dxa"/>
            <w:vAlign w:val="center"/>
          </w:tcPr>
          <w:p w14:paraId="1374543B">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900" w:type="dxa"/>
            <w:vAlign w:val="center"/>
          </w:tcPr>
          <w:p w14:paraId="442D3D46">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872" w:type="dxa"/>
            <w:vAlign w:val="center"/>
          </w:tcPr>
          <w:p w14:paraId="644E3852">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小计（元）</w:t>
            </w:r>
          </w:p>
        </w:tc>
        <w:tc>
          <w:tcPr>
            <w:tcW w:w="785" w:type="dxa"/>
            <w:vAlign w:val="center"/>
          </w:tcPr>
          <w:p w14:paraId="6C80C8CE">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10E2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711" w:type="dxa"/>
            <w:vMerge w:val="restart"/>
            <w:vAlign w:val="center"/>
          </w:tcPr>
          <w:p w14:paraId="12CD21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27" w:type="dxa"/>
            <w:vMerge w:val="restart"/>
            <w:shd w:val="clear" w:color="auto" w:fill="auto"/>
            <w:vAlign w:val="center"/>
          </w:tcPr>
          <w:p w14:paraId="1B2ADC7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电子档案管理系统</w:t>
            </w:r>
          </w:p>
        </w:tc>
        <w:tc>
          <w:tcPr>
            <w:tcW w:w="1237" w:type="dxa"/>
            <w:tcBorders>
              <w:bottom w:val="single" w:color="auto" w:sz="4" w:space="0"/>
            </w:tcBorders>
            <w:shd w:val="clear" w:color="auto" w:fill="auto"/>
            <w:vAlign w:val="center"/>
          </w:tcPr>
          <w:p w14:paraId="70DED3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系统登录</w:t>
            </w:r>
          </w:p>
        </w:tc>
        <w:tc>
          <w:tcPr>
            <w:tcW w:w="3400" w:type="dxa"/>
            <w:gridSpan w:val="2"/>
            <w:tcBorders>
              <w:bottom w:val="single" w:color="auto" w:sz="4" w:space="0"/>
            </w:tcBorders>
            <w:shd w:val="clear" w:color="auto" w:fill="auto"/>
            <w:vAlign w:val="center"/>
          </w:tcPr>
          <w:p w14:paraId="7F2FD1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包括账号登录和ca登录</w:t>
            </w:r>
          </w:p>
        </w:tc>
        <w:tc>
          <w:tcPr>
            <w:tcW w:w="700" w:type="dxa"/>
            <w:tcBorders>
              <w:bottom w:val="single" w:color="auto" w:sz="4" w:space="0"/>
            </w:tcBorders>
            <w:shd w:val="clear" w:color="auto" w:fill="auto"/>
            <w:vAlign w:val="center"/>
          </w:tcPr>
          <w:p w14:paraId="059BD5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bottom w:val="single" w:color="auto" w:sz="4" w:space="0"/>
            </w:tcBorders>
            <w:shd w:val="clear" w:color="auto" w:fill="auto"/>
            <w:vAlign w:val="center"/>
          </w:tcPr>
          <w:p w14:paraId="3320C2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bottom w:val="single" w:color="auto" w:sz="4" w:space="0"/>
            </w:tcBorders>
            <w:vAlign w:val="center"/>
          </w:tcPr>
          <w:p w14:paraId="67680BA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bottom w:val="single" w:color="auto" w:sz="4" w:space="0"/>
            </w:tcBorders>
            <w:vAlign w:val="center"/>
          </w:tcPr>
          <w:p w14:paraId="2F8863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bottom w:val="single" w:color="auto" w:sz="4" w:space="0"/>
            </w:tcBorders>
            <w:vAlign w:val="center"/>
          </w:tcPr>
          <w:p w14:paraId="777742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00D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11" w:type="dxa"/>
            <w:vMerge w:val="continue"/>
            <w:vAlign w:val="center"/>
          </w:tcPr>
          <w:p w14:paraId="353E35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34E8FC2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top w:val="single" w:color="auto" w:sz="4" w:space="0"/>
            </w:tcBorders>
            <w:shd w:val="clear" w:color="auto" w:fill="auto"/>
            <w:vAlign w:val="center"/>
          </w:tcPr>
          <w:p w14:paraId="16D5E0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档案配置</w:t>
            </w:r>
          </w:p>
        </w:tc>
        <w:tc>
          <w:tcPr>
            <w:tcW w:w="3400" w:type="dxa"/>
            <w:gridSpan w:val="2"/>
            <w:tcBorders>
              <w:top w:val="single" w:color="auto" w:sz="4" w:space="0"/>
            </w:tcBorders>
            <w:shd w:val="clear" w:color="auto" w:fill="auto"/>
            <w:vAlign w:val="center"/>
          </w:tcPr>
          <w:p w14:paraId="64F3A3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包括全宗信息管理、案卷目录管理、文件目录管理、配置文件管理，通过对配置信息的管理，实现对档案的全面管理</w:t>
            </w:r>
          </w:p>
        </w:tc>
        <w:tc>
          <w:tcPr>
            <w:tcW w:w="700" w:type="dxa"/>
            <w:tcBorders>
              <w:top w:val="single" w:color="auto" w:sz="4" w:space="0"/>
            </w:tcBorders>
            <w:shd w:val="clear" w:color="auto" w:fill="auto"/>
            <w:vAlign w:val="center"/>
          </w:tcPr>
          <w:p w14:paraId="42BFE1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top w:val="single" w:color="auto" w:sz="4" w:space="0"/>
            </w:tcBorders>
            <w:shd w:val="clear" w:color="auto" w:fill="auto"/>
            <w:vAlign w:val="center"/>
          </w:tcPr>
          <w:p w14:paraId="49DD6C5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top w:val="single" w:color="auto" w:sz="4" w:space="0"/>
            </w:tcBorders>
            <w:vAlign w:val="center"/>
          </w:tcPr>
          <w:p w14:paraId="30D75DA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tcBorders>
            <w:vAlign w:val="center"/>
          </w:tcPr>
          <w:p w14:paraId="35A177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top w:val="single" w:color="auto" w:sz="4" w:space="0"/>
            </w:tcBorders>
            <w:vAlign w:val="center"/>
          </w:tcPr>
          <w:p w14:paraId="7FFC04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BD7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11" w:type="dxa"/>
            <w:vMerge w:val="continue"/>
            <w:vAlign w:val="center"/>
          </w:tcPr>
          <w:p w14:paraId="3194C03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24FE98A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bottom w:val="single" w:color="auto" w:sz="4" w:space="0"/>
            </w:tcBorders>
            <w:shd w:val="clear" w:color="auto" w:fill="auto"/>
            <w:vAlign w:val="center"/>
          </w:tcPr>
          <w:p w14:paraId="0665D3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档案接收</w:t>
            </w:r>
          </w:p>
        </w:tc>
        <w:tc>
          <w:tcPr>
            <w:tcW w:w="3400" w:type="dxa"/>
            <w:gridSpan w:val="2"/>
            <w:tcBorders>
              <w:bottom w:val="single" w:color="auto" w:sz="4" w:space="0"/>
            </w:tcBorders>
            <w:shd w:val="clear" w:color="auto" w:fill="auto"/>
            <w:vAlign w:val="center"/>
          </w:tcPr>
          <w:p w14:paraId="74EF4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包括项目资料收集、音视频资料接收、档案接收、档案接收变更、项目打包情况功能；支持将流标档案和正常项目打包成一个包进行接收，提升归档效率</w:t>
            </w:r>
          </w:p>
        </w:tc>
        <w:tc>
          <w:tcPr>
            <w:tcW w:w="700" w:type="dxa"/>
            <w:tcBorders>
              <w:bottom w:val="single" w:color="auto" w:sz="4" w:space="0"/>
            </w:tcBorders>
            <w:shd w:val="clear" w:color="auto" w:fill="auto"/>
            <w:vAlign w:val="center"/>
          </w:tcPr>
          <w:p w14:paraId="764CF0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bottom w:val="single" w:color="auto" w:sz="4" w:space="0"/>
            </w:tcBorders>
            <w:shd w:val="clear" w:color="auto" w:fill="auto"/>
            <w:vAlign w:val="center"/>
          </w:tcPr>
          <w:p w14:paraId="5E88712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bottom w:val="single" w:color="auto" w:sz="4" w:space="0"/>
            </w:tcBorders>
            <w:vAlign w:val="center"/>
          </w:tcPr>
          <w:p w14:paraId="64410CC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bottom w:val="single" w:color="auto" w:sz="4" w:space="0"/>
            </w:tcBorders>
            <w:vAlign w:val="center"/>
          </w:tcPr>
          <w:p w14:paraId="65BE64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bottom w:val="single" w:color="auto" w:sz="4" w:space="0"/>
            </w:tcBorders>
            <w:vAlign w:val="center"/>
          </w:tcPr>
          <w:p w14:paraId="1E9E242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AA87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11" w:type="dxa"/>
            <w:vMerge w:val="continue"/>
            <w:vAlign w:val="center"/>
          </w:tcPr>
          <w:p w14:paraId="30C6D9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7940603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top w:val="single" w:color="auto" w:sz="4" w:space="0"/>
            </w:tcBorders>
            <w:shd w:val="clear" w:color="auto" w:fill="auto"/>
            <w:vAlign w:val="center"/>
          </w:tcPr>
          <w:p w14:paraId="7308ED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档案归档</w:t>
            </w:r>
          </w:p>
        </w:tc>
        <w:tc>
          <w:tcPr>
            <w:tcW w:w="3400" w:type="dxa"/>
            <w:gridSpan w:val="2"/>
            <w:tcBorders>
              <w:top w:val="single" w:color="auto" w:sz="4" w:space="0"/>
            </w:tcBorders>
            <w:shd w:val="clear" w:color="auto" w:fill="auto"/>
            <w:vAlign w:val="center"/>
          </w:tcPr>
          <w:p w14:paraId="3F0306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包括档案归档、变更归档、离线归档、档案查阅，通过交易项目各环节收集档案资料，并规范化归档</w:t>
            </w:r>
          </w:p>
        </w:tc>
        <w:tc>
          <w:tcPr>
            <w:tcW w:w="700" w:type="dxa"/>
            <w:tcBorders>
              <w:top w:val="single" w:color="auto" w:sz="4" w:space="0"/>
            </w:tcBorders>
            <w:shd w:val="clear" w:color="auto" w:fill="auto"/>
            <w:vAlign w:val="center"/>
          </w:tcPr>
          <w:p w14:paraId="661EDEE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top w:val="single" w:color="auto" w:sz="4" w:space="0"/>
            </w:tcBorders>
            <w:shd w:val="clear" w:color="auto" w:fill="auto"/>
            <w:vAlign w:val="center"/>
          </w:tcPr>
          <w:p w14:paraId="173B3C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top w:val="single" w:color="auto" w:sz="4" w:space="0"/>
            </w:tcBorders>
            <w:vAlign w:val="center"/>
          </w:tcPr>
          <w:p w14:paraId="4E2E13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tcBorders>
            <w:vAlign w:val="center"/>
          </w:tcPr>
          <w:p w14:paraId="6A62CB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top w:val="single" w:color="auto" w:sz="4" w:space="0"/>
            </w:tcBorders>
            <w:vAlign w:val="center"/>
          </w:tcPr>
          <w:p w14:paraId="057A8EE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E803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vMerge w:val="continue"/>
            <w:vAlign w:val="center"/>
          </w:tcPr>
          <w:p w14:paraId="6F88C53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1E87B38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bottom w:val="single" w:color="auto" w:sz="4" w:space="0"/>
            </w:tcBorders>
            <w:shd w:val="clear" w:color="auto" w:fill="auto"/>
            <w:vAlign w:val="center"/>
          </w:tcPr>
          <w:p w14:paraId="63B163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档案利用</w:t>
            </w:r>
          </w:p>
        </w:tc>
        <w:tc>
          <w:tcPr>
            <w:tcW w:w="3400" w:type="dxa"/>
            <w:gridSpan w:val="2"/>
            <w:tcBorders>
              <w:bottom w:val="single" w:color="auto" w:sz="4" w:space="0"/>
            </w:tcBorders>
            <w:shd w:val="clear" w:color="auto" w:fill="auto"/>
            <w:vAlign w:val="center"/>
          </w:tcPr>
          <w:p w14:paraId="6D6ABDF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包括借阅情况、档案借阅、借阅延期、档案归还、在线预览、档案下载、档案授权、档案登记、档案证明、档案自动归还，业务系统可查看归档结果</w:t>
            </w:r>
          </w:p>
        </w:tc>
        <w:tc>
          <w:tcPr>
            <w:tcW w:w="700" w:type="dxa"/>
            <w:tcBorders>
              <w:bottom w:val="single" w:color="auto" w:sz="4" w:space="0"/>
            </w:tcBorders>
            <w:shd w:val="clear" w:color="auto" w:fill="auto"/>
            <w:vAlign w:val="center"/>
          </w:tcPr>
          <w:p w14:paraId="7E098AF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bottom w:val="single" w:color="auto" w:sz="4" w:space="0"/>
            </w:tcBorders>
            <w:shd w:val="clear" w:color="auto" w:fill="auto"/>
            <w:vAlign w:val="center"/>
          </w:tcPr>
          <w:p w14:paraId="1093143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bottom w:val="single" w:color="auto" w:sz="4" w:space="0"/>
            </w:tcBorders>
            <w:vAlign w:val="center"/>
          </w:tcPr>
          <w:p w14:paraId="0EA35C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bottom w:val="single" w:color="auto" w:sz="4" w:space="0"/>
            </w:tcBorders>
            <w:vAlign w:val="center"/>
          </w:tcPr>
          <w:p w14:paraId="10127A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tcBorders>
              <w:bottom w:val="single" w:color="auto" w:sz="4" w:space="0"/>
            </w:tcBorders>
            <w:vAlign w:val="center"/>
          </w:tcPr>
          <w:p w14:paraId="66A1B7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031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11" w:type="dxa"/>
            <w:vMerge w:val="continue"/>
            <w:vAlign w:val="center"/>
          </w:tcPr>
          <w:p w14:paraId="4A32BD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69FC27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top w:val="single" w:color="auto" w:sz="4" w:space="0"/>
            </w:tcBorders>
            <w:shd w:val="clear" w:color="auto" w:fill="auto"/>
            <w:vAlign w:val="center"/>
          </w:tcPr>
          <w:p w14:paraId="11159A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档案检索</w:t>
            </w:r>
          </w:p>
        </w:tc>
        <w:tc>
          <w:tcPr>
            <w:tcW w:w="3400" w:type="dxa"/>
            <w:gridSpan w:val="2"/>
            <w:tcBorders>
              <w:top w:val="single" w:color="auto" w:sz="4" w:space="0"/>
            </w:tcBorders>
            <w:shd w:val="clear" w:color="auto" w:fill="auto"/>
            <w:vAlign w:val="center"/>
          </w:tcPr>
          <w:p w14:paraId="7060FC3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支持档案全文检索、条件检索和范围检索</w:t>
            </w:r>
          </w:p>
        </w:tc>
        <w:tc>
          <w:tcPr>
            <w:tcW w:w="700" w:type="dxa"/>
            <w:tcBorders>
              <w:top w:val="single" w:color="auto" w:sz="4" w:space="0"/>
            </w:tcBorders>
            <w:shd w:val="clear" w:color="auto" w:fill="auto"/>
            <w:vAlign w:val="center"/>
          </w:tcPr>
          <w:p w14:paraId="52C149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top w:val="single" w:color="auto" w:sz="4" w:space="0"/>
            </w:tcBorders>
            <w:shd w:val="clear" w:color="auto" w:fill="auto"/>
            <w:vAlign w:val="center"/>
          </w:tcPr>
          <w:p w14:paraId="4929561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top w:val="single" w:color="auto" w:sz="4" w:space="0"/>
            </w:tcBorders>
            <w:vAlign w:val="center"/>
          </w:tcPr>
          <w:p w14:paraId="326DF5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tcBorders>
            <w:vAlign w:val="center"/>
          </w:tcPr>
          <w:p w14:paraId="0A9373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top w:val="single" w:color="auto" w:sz="4" w:space="0"/>
            </w:tcBorders>
            <w:vAlign w:val="center"/>
          </w:tcPr>
          <w:p w14:paraId="1131197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023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1" w:type="dxa"/>
            <w:vMerge w:val="continue"/>
            <w:vAlign w:val="center"/>
          </w:tcPr>
          <w:p w14:paraId="2955F25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037F6E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bottom w:val="single" w:color="auto" w:sz="4" w:space="0"/>
            </w:tcBorders>
            <w:shd w:val="clear" w:color="auto" w:fill="auto"/>
            <w:vAlign w:val="center"/>
          </w:tcPr>
          <w:p w14:paraId="36DD04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档案处置</w:t>
            </w:r>
          </w:p>
        </w:tc>
        <w:tc>
          <w:tcPr>
            <w:tcW w:w="3400" w:type="dxa"/>
            <w:gridSpan w:val="2"/>
            <w:tcBorders>
              <w:bottom w:val="single" w:color="auto" w:sz="4" w:space="0"/>
            </w:tcBorders>
            <w:shd w:val="clear" w:color="auto" w:fill="auto"/>
            <w:vAlign w:val="center"/>
          </w:tcPr>
          <w:p w14:paraId="485491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包括档案销毁、档案回收、档案续存、档案移交功能</w:t>
            </w:r>
          </w:p>
        </w:tc>
        <w:tc>
          <w:tcPr>
            <w:tcW w:w="700" w:type="dxa"/>
            <w:tcBorders>
              <w:bottom w:val="single" w:color="auto" w:sz="4" w:space="0"/>
            </w:tcBorders>
            <w:shd w:val="clear" w:color="auto" w:fill="auto"/>
            <w:vAlign w:val="center"/>
          </w:tcPr>
          <w:p w14:paraId="5B53B2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bottom w:val="single" w:color="auto" w:sz="4" w:space="0"/>
            </w:tcBorders>
            <w:shd w:val="clear" w:color="auto" w:fill="auto"/>
            <w:vAlign w:val="center"/>
          </w:tcPr>
          <w:p w14:paraId="438F0B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bottom w:val="single" w:color="auto" w:sz="4" w:space="0"/>
            </w:tcBorders>
            <w:vAlign w:val="center"/>
          </w:tcPr>
          <w:p w14:paraId="5CB9397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bottom w:val="single" w:color="auto" w:sz="4" w:space="0"/>
            </w:tcBorders>
            <w:vAlign w:val="center"/>
          </w:tcPr>
          <w:p w14:paraId="327F07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tcBorders>
              <w:bottom w:val="single" w:color="auto" w:sz="4" w:space="0"/>
            </w:tcBorders>
            <w:vAlign w:val="center"/>
          </w:tcPr>
          <w:p w14:paraId="291B83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C74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11" w:type="dxa"/>
            <w:vMerge w:val="continue"/>
            <w:vAlign w:val="center"/>
          </w:tcPr>
          <w:p w14:paraId="16491A3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3CD9B53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top w:val="single" w:color="auto" w:sz="4" w:space="0"/>
            </w:tcBorders>
            <w:shd w:val="clear" w:color="auto" w:fill="auto"/>
            <w:vAlign w:val="center"/>
          </w:tcPr>
          <w:p w14:paraId="12062C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档案统计管理</w:t>
            </w:r>
          </w:p>
        </w:tc>
        <w:tc>
          <w:tcPr>
            <w:tcW w:w="3400" w:type="dxa"/>
            <w:gridSpan w:val="2"/>
            <w:tcBorders>
              <w:top w:val="single" w:color="auto" w:sz="4" w:space="0"/>
            </w:tcBorders>
            <w:shd w:val="clear" w:color="auto" w:fill="auto"/>
            <w:vAlign w:val="center"/>
          </w:tcPr>
          <w:p w14:paraId="3260DA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统计归档信息、借阅信息、下载信息、档案信息、档案检测信息，并进行档案统计展示，支持统计报表生成</w:t>
            </w:r>
          </w:p>
        </w:tc>
        <w:tc>
          <w:tcPr>
            <w:tcW w:w="700" w:type="dxa"/>
            <w:tcBorders>
              <w:top w:val="single" w:color="auto" w:sz="4" w:space="0"/>
            </w:tcBorders>
            <w:shd w:val="clear" w:color="auto" w:fill="auto"/>
            <w:vAlign w:val="center"/>
          </w:tcPr>
          <w:p w14:paraId="187AFC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top w:val="single" w:color="auto" w:sz="4" w:space="0"/>
            </w:tcBorders>
            <w:shd w:val="clear" w:color="auto" w:fill="auto"/>
            <w:vAlign w:val="center"/>
          </w:tcPr>
          <w:p w14:paraId="097F020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top w:val="single" w:color="auto" w:sz="4" w:space="0"/>
            </w:tcBorders>
            <w:vAlign w:val="center"/>
          </w:tcPr>
          <w:p w14:paraId="79FFB80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tcBorders>
            <w:vAlign w:val="center"/>
          </w:tcPr>
          <w:p w14:paraId="7D0D12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top w:val="single" w:color="auto" w:sz="4" w:space="0"/>
            </w:tcBorders>
            <w:vAlign w:val="center"/>
          </w:tcPr>
          <w:p w14:paraId="003533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033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711" w:type="dxa"/>
            <w:vMerge w:val="continue"/>
            <w:vAlign w:val="center"/>
          </w:tcPr>
          <w:p w14:paraId="29EE886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shd w:val="clear" w:color="auto" w:fill="auto"/>
            <w:vAlign w:val="center"/>
          </w:tcPr>
          <w:p w14:paraId="329F99E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tcBorders>
              <w:bottom w:val="single" w:color="auto" w:sz="4" w:space="0"/>
            </w:tcBorders>
            <w:shd w:val="clear" w:color="auto" w:fill="auto"/>
            <w:vAlign w:val="center"/>
          </w:tcPr>
          <w:p w14:paraId="6B4911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后台管理</w:t>
            </w:r>
          </w:p>
        </w:tc>
        <w:tc>
          <w:tcPr>
            <w:tcW w:w="3400" w:type="dxa"/>
            <w:gridSpan w:val="2"/>
            <w:tcBorders>
              <w:bottom w:val="single" w:color="auto" w:sz="4" w:space="0"/>
            </w:tcBorders>
            <w:shd w:val="clear" w:color="auto" w:fill="auto"/>
            <w:vAlign w:val="center"/>
          </w:tcPr>
          <w:p w14:paraId="23E033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包括电子档案日志管理、权限管理、系统配置</w:t>
            </w:r>
          </w:p>
        </w:tc>
        <w:tc>
          <w:tcPr>
            <w:tcW w:w="700" w:type="dxa"/>
            <w:tcBorders>
              <w:bottom w:val="single" w:color="auto" w:sz="4" w:space="0"/>
            </w:tcBorders>
            <w:shd w:val="clear" w:color="auto" w:fill="auto"/>
            <w:vAlign w:val="center"/>
          </w:tcPr>
          <w:p w14:paraId="505124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tcBorders>
              <w:bottom w:val="single" w:color="auto" w:sz="4" w:space="0"/>
            </w:tcBorders>
            <w:shd w:val="clear" w:color="auto" w:fill="auto"/>
            <w:vAlign w:val="center"/>
          </w:tcPr>
          <w:p w14:paraId="39C9893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tcBorders>
              <w:bottom w:val="single" w:color="auto" w:sz="4" w:space="0"/>
            </w:tcBorders>
            <w:vAlign w:val="center"/>
          </w:tcPr>
          <w:p w14:paraId="5D2B70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bottom w:val="single" w:color="auto" w:sz="4" w:space="0"/>
            </w:tcBorders>
            <w:vAlign w:val="center"/>
          </w:tcPr>
          <w:p w14:paraId="6F0F45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tcBorders>
              <w:bottom w:val="single" w:color="auto" w:sz="4" w:space="0"/>
            </w:tcBorders>
            <w:vAlign w:val="center"/>
          </w:tcPr>
          <w:p w14:paraId="6BA3D94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3D4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restart"/>
            <w:tcBorders>
              <w:top w:val="single" w:color="auto" w:sz="4" w:space="0"/>
            </w:tcBorders>
            <w:vAlign w:val="center"/>
          </w:tcPr>
          <w:p w14:paraId="4AE6DD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27" w:type="dxa"/>
            <w:vMerge w:val="restart"/>
            <w:tcBorders>
              <w:top w:val="single" w:color="auto" w:sz="4" w:space="0"/>
            </w:tcBorders>
            <w:shd w:val="clear" w:color="auto" w:fill="FFFFFF"/>
            <w:vAlign w:val="center"/>
          </w:tcPr>
          <w:p w14:paraId="699188B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电子档案系统信创体系适配</w:t>
            </w:r>
          </w:p>
        </w:tc>
        <w:tc>
          <w:tcPr>
            <w:tcW w:w="1237" w:type="dxa"/>
            <w:vMerge w:val="restart"/>
            <w:tcBorders>
              <w:top w:val="single" w:color="auto" w:sz="4" w:space="0"/>
            </w:tcBorders>
            <w:shd w:val="clear" w:color="auto" w:fill="FFFFFF"/>
            <w:vAlign w:val="center"/>
          </w:tcPr>
          <w:p w14:paraId="607C3A8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国产化操作系统适配</w:t>
            </w:r>
          </w:p>
        </w:tc>
        <w:tc>
          <w:tcPr>
            <w:tcW w:w="1043" w:type="dxa"/>
            <w:tcBorders>
              <w:top w:val="single" w:color="auto" w:sz="4" w:space="0"/>
            </w:tcBorders>
            <w:shd w:val="clear" w:color="auto" w:fill="FFFFFF"/>
            <w:vAlign w:val="center"/>
          </w:tcPr>
          <w:p w14:paraId="40A8C4A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适配</w:t>
            </w:r>
            <w:r>
              <w:rPr>
                <w:rFonts w:hint="eastAsia" w:ascii="仿宋" w:hAnsi="仿宋" w:eastAsia="仿宋" w:cs="仿宋"/>
                <w:sz w:val="24"/>
                <w:szCs w:val="24"/>
                <w:lang w:eastAsia="zh-CN"/>
              </w:rPr>
              <w:t>国产化</w:t>
            </w:r>
            <w:r>
              <w:rPr>
                <w:rFonts w:hint="eastAsia" w:ascii="仿宋" w:hAnsi="仿宋" w:eastAsia="仿宋" w:cs="仿宋"/>
                <w:sz w:val="24"/>
                <w:szCs w:val="24"/>
              </w:rPr>
              <w:t xml:space="preserve"> CPU</w:t>
            </w:r>
          </w:p>
        </w:tc>
        <w:tc>
          <w:tcPr>
            <w:tcW w:w="2357" w:type="dxa"/>
            <w:tcBorders>
              <w:top w:val="single" w:color="auto" w:sz="4" w:space="0"/>
            </w:tcBorders>
            <w:shd w:val="clear" w:color="auto" w:fill="FFFFFF"/>
            <w:vAlign w:val="center"/>
          </w:tcPr>
          <w:p w14:paraId="5720AC5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主要工作：根据不同CPU的指令集，调整各类基础应用</w:t>
            </w:r>
          </w:p>
        </w:tc>
        <w:tc>
          <w:tcPr>
            <w:tcW w:w="700" w:type="dxa"/>
            <w:vMerge w:val="restart"/>
            <w:tcBorders>
              <w:top w:val="single" w:color="auto" w:sz="4" w:space="0"/>
            </w:tcBorders>
            <w:shd w:val="clear" w:color="auto" w:fill="auto"/>
            <w:vAlign w:val="center"/>
          </w:tcPr>
          <w:p w14:paraId="3F5D526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422A863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5BDD802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0D89F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vMerge w:val="restart"/>
            <w:tcBorders>
              <w:top w:val="single" w:color="auto" w:sz="4" w:space="0"/>
            </w:tcBorders>
            <w:vAlign w:val="center"/>
          </w:tcPr>
          <w:p w14:paraId="588378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311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F70021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48D7C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3E2FB81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43" w:type="dxa"/>
            <w:tcBorders>
              <w:top w:val="single" w:color="auto" w:sz="4" w:space="0"/>
            </w:tcBorders>
            <w:shd w:val="clear" w:color="auto" w:fill="FFFFFF"/>
            <w:vAlign w:val="center"/>
          </w:tcPr>
          <w:p w14:paraId="64348F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国产化</w:t>
            </w:r>
            <w:r>
              <w:rPr>
                <w:rFonts w:hint="eastAsia" w:ascii="仿宋" w:hAnsi="仿宋" w:eastAsia="仿宋" w:cs="仿宋"/>
                <w:sz w:val="24"/>
                <w:szCs w:val="24"/>
              </w:rPr>
              <w:t>操作</w:t>
            </w:r>
            <w:r>
              <w:rPr>
                <w:rFonts w:hint="eastAsia" w:ascii="仿宋" w:hAnsi="仿宋" w:eastAsia="仿宋" w:cs="仿宋"/>
                <w:sz w:val="24"/>
                <w:szCs w:val="24"/>
                <w:lang w:val="en-US" w:eastAsia="zh-CN"/>
              </w:rPr>
              <w:t>系统基础适配</w:t>
            </w:r>
          </w:p>
        </w:tc>
        <w:tc>
          <w:tcPr>
            <w:tcW w:w="2357" w:type="dxa"/>
            <w:tcBorders>
              <w:top w:val="single" w:color="auto" w:sz="4" w:space="0"/>
            </w:tcBorders>
            <w:shd w:val="clear" w:color="auto" w:fill="FFFFFF"/>
            <w:vAlign w:val="center"/>
          </w:tcPr>
          <w:p w14:paraId="75B788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适配工作主要包含：基础环境的搭建、docker容器适配等</w:t>
            </w:r>
            <w:r>
              <w:rPr>
                <w:rFonts w:hint="eastAsia" w:ascii="仿宋" w:hAnsi="仿宋" w:eastAsia="仿宋" w:cs="仿宋"/>
                <w:sz w:val="24"/>
                <w:szCs w:val="24"/>
              </w:rPr>
              <w:t>。</w:t>
            </w:r>
          </w:p>
        </w:tc>
        <w:tc>
          <w:tcPr>
            <w:tcW w:w="700" w:type="dxa"/>
            <w:vMerge w:val="continue"/>
            <w:shd w:val="clear" w:color="auto" w:fill="auto"/>
            <w:vAlign w:val="center"/>
          </w:tcPr>
          <w:p w14:paraId="393C9A1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50CFBFA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3D6143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71A1B6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33323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3FE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8E7E8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4F79E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7CB2C1A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1AA214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适配国产化中间件</w:t>
            </w:r>
          </w:p>
        </w:tc>
        <w:tc>
          <w:tcPr>
            <w:tcW w:w="700" w:type="dxa"/>
            <w:vMerge w:val="continue"/>
            <w:shd w:val="clear" w:color="auto" w:fill="auto"/>
            <w:vAlign w:val="center"/>
          </w:tcPr>
          <w:p w14:paraId="5306FB2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752F15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683A9F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7E369D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18C0401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E833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9C272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0D7919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01E1EBC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43" w:type="dxa"/>
            <w:tcBorders>
              <w:top w:val="single" w:color="auto" w:sz="4" w:space="0"/>
            </w:tcBorders>
            <w:shd w:val="clear" w:color="auto" w:fill="FFFFFF"/>
            <w:vAlign w:val="center"/>
          </w:tcPr>
          <w:p w14:paraId="479FD9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功能测试</w:t>
            </w:r>
          </w:p>
        </w:tc>
        <w:tc>
          <w:tcPr>
            <w:tcW w:w="2357" w:type="dxa"/>
            <w:tcBorders>
              <w:top w:val="single" w:color="auto" w:sz="4" w:space="0"/>
            </w:tcBorders>
            <w:shd w:val="clear" w:color="auto" w:fill="FFFFFF"/>
            <w:vAlign w:val="center"/>
          </w:tcPr>
          <w:p w14:paraId="3402789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迁移后的功能性测试</w:t>
            </w:r>
          </w:p>
        </w:tc>
        <w:tc>
          <w:tcPr>
            <w:tcW w:w="700" w:type="dxa"/>
            <w:vMerge w:val="continue"/>
            <w:shd w:val="clear" w:color="auto" w:fill="auto"/>
            <w:vAlign w:val="center"/>
          </w:tcPr>
          <w:p w14:paraId="76A3FE7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15A818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2A1D54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7D68E41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339D267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ED9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53A88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2308BA6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7AF765F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43" w:type="dxa"/>
            <w:tcBorders>
              <w:top w:val="single" w:color="auto" w:sz="4" w:space="0"/>
            </w:tcBorders>
            <w:shd w:val="clear" w:color="auto" w:fill="FFFFFF"/>
            <w:vAlign w:val="center"/>
          </w:tcPr>
          <w:p w14:paraId="736B37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性能测试</w:t>
            </w:r>
          </w:p>
        </w:tc>
        <w:tc>
          <w:tcPr>
            <w:tcW w:w="2357" w:type="dxa"/>
            <w:tcBorders>
              <w:top w:val="single" w:color="auto" w:sz="4" w:space="0"/>
            </w:tcBorders>
            <w:shd w:val="clear" w:color="auto" w:fill="FFFFFF"/>
            <w:vAlign w:val="center"/>
          </w:tcPr>
          <w:p w14:paraId="425C53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迁移后的系统性能测试</w:t>
            </w:r>
          </w:p>
        </w:tc>
        <w:tc>
          <w:tcPr>
            <w:tcW w:w="700" w:type="dxa"/>
            <w:vMerge w:val="continue"/>
            <w:shd w:val="clear" w:color="auto" w:fill="auto"/>
            <w:vAlign w:val="center"/>
          </w:tcPr>
          <w:p w14:paraId="75D2F28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7BE71AF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508B7FF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1428503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407C190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51B4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FABAC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FFFFFF"/>
            <w:vAlign w:val="center"/>
          </w:tcPr>
          <w:p w14:paraId="5A0579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4AEF9A1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国产化数据库替换</w:t>
            </w:r>
          </w:p>
        </w:tc>
        <w:tc>
          <w:tcPr>
            <w:tcW w:w="1043" w:type="dxa"/>
            <w:tcBorders>
              <w:top w:val="single" w:color="auto" w:sz="4" w:space="0"/>
            </w:tcBorders>
            <w:shd w:val="clear" w:color="auto" w:fill="FFFFFF"/>
            <w:vAlign w:val="center"/>
          </w:tcPr>
          <w:p w14:paraId="637FFDD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国产化数据库替换</w:t>
            </w:r>
          </w:p>
        </w:tc>
        <w:tc>
          <w:tcPr>
            <w:tcW w:w="2357" w:type="dxa"/>
            <w:tcBorders>
              <w:top w:val="single" w:color="auto" w:sz="4" w:space="0"/>
            </w:tcBorders>
            <w:shd w:val="clear" w:color="auto" w:fill="FFFFFF"/>
            <w:vAlign w:val="center"/>
          </w:tcPr>
          <w:p w14:paraId="6025FBF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主要工作内容：表结构适配、存储过程、函数迁移；</w:t>
            </w:r>
          </w:p>
        </w:tc>
        <w:tc>
          <w:tcPr>
            <w:tcW w:w="700" w:type="dxa"/>
            <w:vMerge w:val="continue"/>
            <w:shd w:val="clear" w:color="auto" w:fill="auto"/>
            <w:vAlign w:val="center"/>
          </w:tcPr>
          <w:p w14:paraId="39EBB20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1C640A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72A4103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F20A6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vMerge w:val="continue"/>
            <w:vAlign w:val="center"/>
          </w:tcPr>
          <w:p w14:paraId="145A97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C29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656DB8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D6240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6B5CC7C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43" w:type="dxa"/>
            <w:tcBorders>
              <w:top w:val="single" w:color="auto" w:sz="4" w:space="0"/>
            </w:tcBorders>
            <w:shd w:val="clear" w:color="auto" w:fill="FFFFFF"/>
            <w:vAlign w:val="center"/>
          </w:tcPr>
          <w:p w14:paraId="12D65D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sql语法调整</w:t>
            </w:r>
          </w:p>
        </w:tc>
        <w:tc>
          <w:tcPr>
            <w:tcW w:w="2357" w:type="dxa"/>
            <w:tcBorders>
              <w:top w:val="single" w:color="auto" w:sz="4" w:space="0"/>
            </w:tcBorders>
            <w:shd w:val="clear" w:color="auto" w:fill="FFFFFF"/>
            <w:vAlign w:val="center"/>
          </w:tcPr>
          <w:p w14:paraId="3A95A3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根据国产化数据库调整全系统的sql语法</w:t>
            </w:r>
          </w:p>
        </w:tc>
        <w:tc>
          <w:tcPr>
            <w:tcW w:w="700" w:type="dxa"/>
            <w:vMerge w:val="continue"/>
            <w:shd w:val="clear" w:color="auto" w:fill="auto"/>
            <w:vAlign w:val="center"/>
          </w:tcPr>
          <w:p w14:paraId="1BAF15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735268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7E9D96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65AB78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28101E3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954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1" w:type="dxa"/>
            <w:vMerge w:val="continue"/>
            <w:vAlign w:val="center"/>
          </w:tcPr>
          <w:p w14:paraId="0C3F330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77BEC6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118F21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43" w:type="dxa"/>
            <w:tcBorders>
              <w:top w:val="single" w:color="auto" w:sz="4" w:space="0"/>
            </w:tcBorders>
            <w:shd w:val="clear" w:color="auto" w:fill="FFFFFF"/>
            <w:vAlign w:val="center"/>
          </w:tcPr>
          <w:p w14:paraId="7D6424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历史数据迁移工作</w:t>
            </w:r>
          </w:p>
        </w:tc>
        <w:tc>
          <w:tcPr>
            <w:tcW w:w="2357" w:type="dxa"/>
            <w:tcBorders>
              <w:top w:val="single" w:color="auto" w:sz="4" w:space="0"/>
            </w:tcBorders>
            <w:shd w:val="clear" w:color="auto" w:fill="FFFFFF"/>
            <w:vAlign w:val="center"/>
          </w:tcPr>
          <w:p w14:paraId="59134D2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进行历史数据迁移到国产化数据库中</w:t>
            </w:r>
          </w:p>
        </w:tc>
        <w:tc>
          <w:tcPr>
            <w:tcW w:w="700" w:type="dxa"/>
            <w:vMerge w:val="continue"/>
            <w:shd w:val="clear" w:color="auto" w:fill="auto"/>
            <w:vAlign w:val="center"/>
          </w:tcPr>
          <w:p w14:paraId="7FAE2D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6E3F5D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49B3A15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197188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8791F7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298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1" w:type="dxa"/>
            <w:vMerge w:val="continue"/>
            <w:vAlign w:val="center"/>
          </w:tcPr>
          <w:p w14:paraId="0C42A43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078EA46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shd w:val="clear" w:color="auto" w:fill="FFFFFF"/>
            <w:vAlign w:val="center"/>
          </w:tcPr>
          <w:p w14:paraId="6A7BD47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IPV6升级适配</w:t>
            </w:r>
          </w:p>
        </w:tc>
        <w:tc>
          <w:tcPr>
            <w:tcW w:w="3400" w:type="dxa"/>
            <w:gridSpan w:val="2"/>
            <w:tcBorders>
              <w:top w:val="single" w:color="auto" w:sz="4" w:space="0"/>
            </w:tcBorders>
            <w:shd w:val="clear" w:color="auto" w:fill="FFFFFF"/>
            <w:vAlign w:val="center"/>
          </w:tcPr>
          <w:p w14:paraId="712668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基础设施改造、DNS服务器改造、业务系统改造</w:t>
            </w:r>
          </w:p>
        </w:tc>
        <w:tc>
          <w:tcPr>
            <w:tcW w:w="700" w:type="dxa"/>
            <w:vMerge w:val="continue"/>
            <w:shd w:val="clear" w:color="auto" w:fill="auto"/>
            <w:vAlign w:val="center"/>
          </w:tcPr>
          <w:p w14:paraId="620869E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19DCEE9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140AE16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201FDF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3DE085F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70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restart"/>
            <w:tcBorders>
              <w:top w:val="single" w:color="auto" w:sz="4" w:space="0"/>
            </w:tcBorders>
            <w:vAlign w:val="center"/>
          </w:tcPr>
          <w:p w14:paraId="588CD91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27" w:type="dxa"/>
            <w:vMerge w:val="restart"/>
            <w:tcBorders>
              <w:top w:val="single" w:color="auto" w:sz="4" w:space="0"/>
            </w:tcBorders>
            <w:shd w:val="clear" w:color="auto" w:fill="auto"/>
            <w:vAlign w:val="center"/>
          </w:tcPr>
          <w:p w14:paraId="0F0AE2C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交易平台系统迁移</w:t>
            </w:r>
          </w:p>
        </w:tc>
        <w:tc>
          <w:tcPr>
            <w:tcW w:w="1237" w:type="dxa"/>
            <w:vMerge w:val="restart"/>
            <w:tcBorders>
              <w:top w:val="single" w:color="auto" w:sz="4" w:space="0"/>
            </w:tcBorders>
            <w:shd w:val="clear" w:color="auto" w:fill="FFFFFF"/>
            <w:vAlign w:val="center"/>
          </w:tcPr>
          <w:p w14:paraId="78E4963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迁移准备工作</w:t>
            </w:r>
          </w:p>
        </w:tc>
        <w:tc>
          <w:tcPr>
            <w:tcW w:w="3400" w:type="dxa"/>
            <w:gridSpan w:val="2"/>
            <w:tcBorders>
              <w:top w:val="single" w:color="auto" w:sz="4" w:space="0"/>
            </w:tcBorders>
            <w:shd w:val="clear" w:color="auto" w:fill="FFFFFF"/>
            <w:vAlign w:val="center"/>
          </w:tcPr>
          <w:p w14:paraId="209E618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数据库整理</w:t>
            </w:r>
          </w:p>
        </w:tc>
        <w:tc>
          <w:tcPr>
            <w:tcW w:w="700" w:type="dxa"/>
            <w:vMerge w:val="restart"/>
            <w:tcBorders>
              <w:top w:val="single" w:color="auto" w:sz="4" w:space="0"/>
            </w:tcBorders>
            <w:shd w:val="clear" w:color="auto" w:fill="auto"/>
            <w:vAlign w:val="center"/>
          </w:tcPr>
          <w:p w14:paraId="5C6B01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2A47AC6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088519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26693A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vMerge w:val="restart"/>
            <w:tcBorders>
              <w:top w:val="single" w:color="auto" w:sz="4" w:space="0"/>
            </w:tcBorders>
            <w:vAlign w:val="center"/>
          </w:tcPr>
          <w:p w14:paraId="6DE5CE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25C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4EFC29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43F16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6E5E8F1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51D87B6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文件服务器整理</w:t>
            </w:r>
          </w:p>
        </w:tc>
        <w:tc>
          <w:tcPr>
            <w:tcW w:w="700" w:type="dxa"/>
            <w:vMerge w:val="continue"/>
            <w:shd w:val="clear" w:color="auto" w:fill="auto"/>
            <w:vAlign w:val="center"/>
          </w:tcPr>
          <w:p w14:paraId="421789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87CDB1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4061EDC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431DD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622460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B54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3868A6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0955D8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7635FA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53B9151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应用配置文件整理</w:t>
            </w:r>
          </w:p>
        </w:tc>
        <w:tc>
          <w:tcPr>
            <w:tcW w:w="700" w:type="dxa"/>
            <w:vMerge w:val="continue"/>
            <w:shd w:val="clear" w:color="auto" w:fill="auto"/>
            <w:vAlign w:val="center"/>
          </w:tcPr>
          <w:p w14:paraId="323AF6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69F91D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463E0C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21E062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4C9CEE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0DA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8CF92B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4B3E04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5332121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0F4643D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定时计划任务整理</w:t>
            </w:r>
          </w:p>
        </w:tc>
        <w:tc>
          <w:tcPr>
            <w:tcW w:w="700" w:type="dxa"/>
            <w:vMerge w:val="continue"/>
            <w:shd w:val="clear" w:color="auto" w:fill="auto"/>
            <w:vAlign w:val="center"/>
          </w:tcPr>
          <w:p w14:paraId="6A2815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7AE379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765FE6A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6E135C8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43F571B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629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64F15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396ECE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150322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5F89FA8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服务器端口及映射整理</w:t>
            </w:r>
          </w:p>
        </w:tc>
        <w:tc>
          <w:tcPr>
            <w:tcW w:w="700" w:type="dxa"/>
            <w:vMerge w:val="continue"/>
            <w:shd w:val="clear" w:color="auto" w:fill="auto"/>
            <w:vAlign w:val="center"/>
          </w:tcPr>
          <w:p w14:paraId="56C17A0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ADF15E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2A6AA0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A5603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3365E36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4346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B4E00A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1F8611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49FAAB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78071E6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访问地址整理、系统入口整理</w:t>
            </w:r>
          </w:p>
        </w:tc>
        <w:tc>
          <w:tcPr>
            <w:tcW w:w="700" w:type="dxa"/>
            <w:vMerge w:val="continue"/>
            <w:shd w:val="clear" w:color="auto" w:fill="auto"/>
            <w:vAlign w:val="center"/>
          </w:tcPr>
          <w:p w14:paraId="51B9F5F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7770CAD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7283730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10C115A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1304B08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3FE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340DDFC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4FB2E3F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7016EA0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507B32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外部系统整理</w:t>
            </w:r>
          </w:p>
        </w:tc>
        <w:tc>
          <w:tcPr>
            <w:tcW w:w="700" w:type="dxa"/>
            <w:vMerge w:val="continue"/>
            <w:shd w:val="clear" w:color="auto" w:fill="auto"/>
            <w:vAlign w:val="center"/>
          </w:tcPr>
          <w:p w14:paraId="577CE3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3D1149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646A21F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3D8910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2F21A0E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1F28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78041F3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48EF08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185A10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44298D9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迁移部署方案评审</w:t>
            </w:r>
          </w:p>
        </w:tc>
        <w:tc>
          <w:tcPr>
            <w:tcW w:w="700" w:type="dxa"/>
            <w:vMerge w:val="continue"/>
            <w:shd w:val="clear" w:color="auto" w:fill="auto"/>
            <w:vAlign w:val="center"/>
          </w:tcPr>
          <w:p w14:paraId="58EEAF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9DF192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1BD25F4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8C3C3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A1981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3B3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E4B75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64C5EF1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5DB7AB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6058F7A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新服务器检查</w:t>
            </w:r>
          </w:p>
        </w:tc>
        <w:tc>
          <w:tcPr>
            <w:tcW w:w="700" w:type="dxa"/>
            <w:vMerge w:val="continue"/>
            <w:shd w:val="clear" w:color="auto" w:fill="auto"/>
            <w:vAlign w:val="center"/>
          </w:tcPr>
          <w:p w14:paraId="2529D6D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F34E6E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3C64EBB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67B6740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470BD1D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637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CE0444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419088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2F50AE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tcBorders>
            <w:shd w:val="clear" w:color="auto" w:fill="FFFFFF"/>
            <w:vAlign w:val="center"/>
          </w:tcPr>
          <w:p w14:paraId="3BC15ED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系统打包/文件传输</w:t>
            </w:r>
          </w:p>
        </w:tc>
        <w:tc>
          <w:tcPr>
            <w:tcW w:w="700" w:type="dxa"/>
            <w:vMerge w:val="continue"/>
            <w:shd w:val="clear" w:color="auto" w:fill="auto"/>
            <w:vAlign w:val="center"/>
          </w:tcPr>
          <w:p w14:paraId="5CCD7E5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48680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3680428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3837B7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BF17E9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1A09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57BCF9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1B1F564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48C61F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服务器端部署</w:t>
            </w:r>
          </w:p>
        </w:tc>
        <w:tc>
          <w:tcPr>
            <w:tcW w:w="3400" w:type="dxa"/>
            <w:gridSpan w:val="2"/>
            <w:tcBorders>
              <w:top w:val="single" w:color="auto" w:sz="4" w:space="0"/>
            </w:tcBorders>
            <w:shd w:val="clear" w:color="auto" w:fill="FFFFFF"/>
            <w:vAlign w:val="center"/>
          </w:tcPr>
          <w:p w14:paraId="0B121F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主机配置</w:t>
            </w:r>
          </w:p>
        </w:tc>
        <w:tc>
          <w:tcPr>
            <w:tcW w:w="700" w:type="dxa"/>
            <w:vMerge w:val="restart"/>
            <w:tcBorders>
              <w:top w:val="single" w:color="auto" w:sz="4" w:space="0"/>
            </w:tcBorders>
            <w:shd w:val="clear" w:color="auto" w:fill="auto"/>
            <w:vAlign w:val="center"/>
          </w:tcPr>
          <w:p w14:paraId="79A9C2E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20C7CD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7DC5FB0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2A65FD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vMerge w:val="restart"/>
            <w:tcBorders>
              <w:top w:val="single" w:color="auto" w:sz="4" w:space="0"/>
            </w:tcBorders>
            <w:vAlign w:val="center"/>
          </w:tcPr>
          <w:p w14:paraId="1AE93F7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662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9C1D8F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0824DC1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160ADEA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5D5CFB1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时间同步服务</w:t>
            </w:r>
          </w:p>
        </w:tc>
        <w:tc>
          <w:tcPr>
            <w:tcW w:w="700" w:type="dxa"/>
            <w:vMerge w:val="continue"/>
            <w:shd w:val="clear" w:color="auto" w:fill="auto"/>
            <w:vAlign w:val="center"/>
          </w:tcPr>
          <w:p w14:paraId="4AC6C9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6C0112F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39F438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6F500CA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7765A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3C1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C0847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1728D98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0870EB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46DD464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应用部署</w:t>
            </w:r>
          </w:p>
        </w:tc>
        <w:tc>
          <w:tcPr>
            <w:tcW w:w="700" w:type="dxa"/>
            <w:vMerge w:val="continue"/>
            <w:shd w:val="clear" w:color="auto" w:fill="auto"/>
            <w:vAlign w:val="center"/>
          </w:tcPr>
          <w:p w14:paraId="22D8AE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09E5A81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36ADE43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803ED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21D9953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EAC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B073A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899A1B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035E418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30310A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集成配置</w:t>
            </w:r>
          </w:p>
        </w:tc>
        <w:tc>
          <w:tcPr>
            <w:tcW w:w="700" w:type="dxa"/>
            <w:vMerge w:val="continue"/>
            <w:tcBorders>
              <w:bottom w:val="single" w:color="auto" w:sz="4" w:space="0"/>
            </w:tcBorders>
            <w:shd w:val="clear" w:color="auto" w:fill="auto"/>
            <w:vAlign w:val="center"/>
          </w:tcPr>
          <w:p w14:paraId="15308C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21EF2A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074048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tcBorders>
              <w:bottom w:val="single" w:color="auto" w:sz="4" w:space="0"/>
            </w:tcBorders>
            <w:vAlign w:val="center"/>
          </w:tcPr>
          <w:p w14:paraId="30EB418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4DB82F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C45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3CA8623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6DD377D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57FB95F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数据库部署还原</w:t>
            </w:r>
          </w:p>
        </w:tc>
        <w:tc>
          <w:tcPr>
            <w:tcW w:w="3400" w:type="dxa"/>
            <w:gridSpan w:val="2"/>
            <w:tcBorders>
              <w:top w:val="single" w:color="auto" w:sz="4" w:space="0"/>
              <w:bottom w:val="single" w:color="auto" w:sz="4" w:space="0"/>
            </w:tcBorders>
            <w:shd w:val="clear" w:color="auto" w:fill="FFFFFF"/>
            <w:vAlign w:val="center"/>
          </w:tcPr>
          <w:p w14:paraId="33900C4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数据库服务部署</w:t>
            </w:r>
          </w:p>
        </w:tc>
        <w:tc>
          <w:tcPr>
            <w:tcW w:w="700" w:type="dxa"/>
            <w:vMerge w:val="restart"/>
            <w:tcBorders>
              <w:top w:val="single" w:color="auto" w:sz="4" w:space="0"/>
            </w:tcBorders>
            <w:shd w:val="clear" w:color="auto" w:fill="auto"/>
            <w:vAlign w:val="center"/>
          </w:tcPr>
          <w:p w14:paraId="177D57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27B7A7F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396A1B5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29DC85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vMerge w:val="restart"/>
            <w:tcBorders>
              <w:top w:val="single" w:color="auto" w:sz="4" w:space="0"/>
            </w:tcBorders>
            <w:vAlign w:val="center"/>
          </w:tcPr>
          <w:p w14:paraId="6B5BA48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A1AF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3CFA363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39115D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20EFA21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5F995A7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数据库还原</w:t>
            </w:r>
          </w:p>
        </w:tc>
        <w:tc>
          <w:tcPr>
            <w:tcW w:w="700" w:type="dxa"/>
            <w:vMerge w:val="continue"/>
            <w:shd w:val="clear" w:color="auto" w:fill="auto"/>
            <w:vAlign w:val="center"/>
          </w:tcPr>
          <w:p w14:paraId="625705F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75181FC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0364220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45FE321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7397B7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892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9C44B4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D5E641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7B572A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1467B8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异机备份迁移</w:t>
            </w:r>
          </w:p>
        </w:tc>
        <w:tc>
          <w:tcPr>
            <w:tcW w:w="700" w:type="dxa"/>
            <w:vMerge w:val="continue"/>
            <w:shd w:val="clear" w:color="auto" w:fill="auto"/>
            <w:vAlign w:val="center"/>
          </w:tcPr>
          <w:p w14:paraId="72F55F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621D1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080A8B8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4C0B3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45E7B7A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F3C8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D39A51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7DEECB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25E751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0ACBFB5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定时备份计划任务设置</w:t>
            </w:r>
          </w:p>
        </w:tc>
        <w:tc>
          <w:tcPr>
            <w:tcW w:w="700" w:type="dxa"/>
            <w:vMerge w:val="continue"/>
            <w:shd w:val="clear" w:color="auto" w:fill="auto"/>
            <w:vAlign w:val="center"/>
          </w:tcPr>
          <w:p w14:paraId="5D0556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5E94A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420988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4A41D4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501D21D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09A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32C4FC8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277E283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3C8723E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730622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数据完整性校验</w:t>
            </w:r>
          </w:p>
        </w:tc>
        <w:tc>
          <w:tcPr>
            <w:tcW w:w="700" w:type="dxa"/>
            <w:vMerge w:val="continue"/>
            <w:tcBorders>
              <w:bottom w:val="single" w:color="auto" w:sz="4" w:space="0"/>
            </w:tcBorders>
            <w:shd w:val="clear" w:color="auto" w:fill="auto"/>
            <w:vAlign w:val="center"/>
          </w:tcPr>
          <w:p w14:paraId="42188C0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0A9E38D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619560E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tcBorders>
              <w:bottom w:val="single" w:color="auto" w:sz="4" w:space="0"/>
            </w:tcBorders>
            <w:vAlign w:val="center"/>
          </w:tcPr>
          <w:p w14:paraId="250940D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3E41D8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BA8D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A6248A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8EDEF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1AEA5F0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附件库迁移</w:t>
            </w:r>
          </w:p>
        </w:tc>
        <w:tc>
          <w:tcPr>
            <w:tcW w:w="3400" w:type="dxa"/>
            <w:gridSpan w:val="2"/>
            <w:tcBorders>
              <w:top w:val="single" w:color="auto" w:sz="4" w:space="0"/>
              <w:bottom w:val="single" w:color="auto" w:sz="4" w:space="0"/>
            </w:tcBorders>
            <w:shd w:val="clear" w:color="auto" w:fill="FFFFFF"/>
            <w:vAlign w:val="center"/>
          </w:tcPr>
          <w:p w14:paraId="36157C7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附件打包/拷贝</w:t>
            </w:r>
          </w:p>
        </w:tc>
        <w:tc>
          <w:tcPr>
            <w:tcW w:w="700" w:type="dxa"/>
            <w:vMerge w:val="restart"/>
            <w:tcBorders>
              <w:top w:val="single" w:color="auto" w:sz="4" w:space="0"/>
            </w:tcBorders>
            <w:shd w:val="clear" w:color="auto" w:fill="auto"/>
            <w:vAlign w:val="center"/>
          </w:tcPr>
          <w:p w14:paraId="0BD1934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79CDA67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03AB4C3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59558B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vMerge w:val="restart"/>
            <w:tcBorders>
              <w:top w:val="single" w:color="auto" w:sz="4" w:space="0"/>
            </w:tcBorders>
            <w:vAlign w:val="center"/>
          </w:tcPr>
          <w:p w14:paraId="7F0A213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8B0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E7E4C4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0B30FE7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6188742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1869A9B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附件传输/解压</w:t>
            </w:r>
          </w:p>
        </w:tc>
        <w:tc>
          <w:tcPr>
            <w:tcW w:w="700" w:type="dxa"/>
            <w:vMerge w:val="continue"/>
            <w:shd w:val="clear" w:color="auto" w:fill="auto"/>
            <w:vAlign w:val="center"/>
          </w:tcPr>
          <w:p w14:paraId="092FAD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71A19C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471D933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516356B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329475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BECF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6F372D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D4244C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44B76CE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1D03BE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定时备份计划任务设置</w:t>
            </w:r>
          </w:p>
        </w:tc>
        <w:tc>
          <w:tcPr>
            <w:tcW w:w="700" w:type="dxa"/>
            <w:vMerge w:val="continue"/>
            <w:shd w:val="clear" w:color="auto" w:fill="auto"/>
            <w:vAlign w:val="center"/>
          </w:tcPr>
          <w:p w14:paraId="0DBBA1B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06B5F5F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21EC601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46D1C6C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1DC853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EFF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0AF862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36D449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369EE6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26B86B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附件完整性校验</w:t>
            </w:r>
          </w:p>
        </w:tc>
        <w:tc>
          <w:tcPr>
            <w:tcW w:w="700" w:type="dxa"/>
            <w:vMerge w:val="continue"/>
            <w:tcBorders>
              <w:bottom w:val="single" w:color="auto" w:sz="4" w:space="0"/>
            </w:tcBorders>
            <w:shd w:val="clear" w:color="auto" w:fill="auto"/>
            <w:vAlign w:val="center"/>
          </w:tcPr>
          <w:p w14:paraId="06B9BE1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146405E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4400FB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tcBorders>
              <w:bottom w:val="single" w:color="auto" w:sz="4" w:space="0"/>
            </w:tcBorders>
            <w:vAlign w:val="center"/>
          </w:tcPr>
          <w:p w14:paraId="1B5D4BB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61E72A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A51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5775AC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464A4E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620C38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服务器安全加固</w:t>
            </w:r>
          </w:p>
        </w:tc>
        <w:tc>
          <w:tcPr>
            <w:tcW w:w="3400" w:type="dxa"/>
            <w:gridSpan w:val="2"/>
            <w:tcBorders>
              <w:top w:val="single" w:color="auto" w:sz="4" w:space="0"/>
              <w:bottom w:val="single" w:color="auto" w:sz="4" w:space="0"/>
            </w:tcBorders>
            <w:shd w:val="clear" w:color="auto" w:fill="FFFFFF"/>
            <w:vAlign w:val="center"/>
          </w:tcPr>
          <w:p w14:paraId="2B7D01E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非应用层安全加固</w:t>
            </w:r>
          </w:p>
        </w:tc>
        <w:tc>
          <w:tcPr>
            <w:tcW w:w="700" w:type="dxa"/>
            <w:vMerge w:val="restart"/>
            <w:tcBorders>
              <w:top w:val="single" w:color="auto" w:sz="4" w:space="0"/>
            </w:tcBorders>
            <w:shd w:val="clear" w:color="auto" w:fill="auto"/>
            <w:vAlign w:val="center"/>
          </w:tcPr>
          <w:p w14:paraId="19D1A3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1054CC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22F9D25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762D52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vMerge w:val="restart"/>
            <w:tcBorders>
              <w:top w:val="single" w:color="auto" w:sz="4" w:space="0"/>
            </w:tcBorders>
            <w:vAlign w:val="center"/>
          </w:tcPr>
          <w:p w14:paraId="577366F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EFC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711" w:type="dxa"/>
            <w:vMerge w:val="continue"/>
            <w:vAlign w:val="center"/>
          </w:tcPr>
          <w:p w14:paraId="3C591D6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21574F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427221F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1516B1B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运维监控部署</w:t>
            </w:r>
          </w:p>
        </w:tc>
        <w:tc>
          <w:tcPr>
            <w:tcW w:w="700" w:type="dxa"/>
            <w:vMerge w:val="continue"/>
            <w:shd w:val="clear" w:color="auto" w:fill="auto"/>
            <w:vAlign w:val="center"/>
          </w:tcPr>
          <w:p w14:paraId="5597D5B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25E141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69C5A1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4C29E0A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26812C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E16B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6D0E384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6702EA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3EA92B7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51DB2CF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堡垒机接入</w:t>
            </w:r>
          </w:p>
        </w:tc>
        <w:tc>
          <w:tcPr>
            <w:tcW w:w="700" w:type="dxa"/>
            <w:vMerge w:val="continue"/>
            <w:shd w:val="clear" w:color="auto" w:fill="auto"/>
            <w:vAlign w:val="center"/>
          </w:tcPr>
          <w:p w14:paraId="225894C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5E3BE8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027F08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vAlign w:val="center"/>
          </w:tcPr>
          <w:p w14:paraId="050B443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vAlign w:val="center"/>
          </w:tcPr>
          <w:p w14:paraId="317F34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8A59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132D3F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53E5A1A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5A993FA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1F2E3B5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应用层参数调整</w:t>
            </w:r>
          </w:p>
        </w:tc>
        <w:tc>
          <w:tcPr>
            <w:tcW w:w="700" w:type="dxa"/>
            <w:vMerge w:val="continue"/>
            <w:tcBorders>
              <w:bottom w:val="single" w:color="auto" w:sz="4" w:space="0"/>
            </w:tcBorders>
            <w:shd w:val="clear" w:color="auto" w:fill="auto"/>
            <w:vAlign w:val="center"/>
          </w:tcPr>
          <w:p w14:paraId="0069BF0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541CCD3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4965810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tcBorders>
              <w:bottom w:val="single" w:color="auto" w:sz="4" w:space="0"/>
            </w:tcBorders>
            <w:vAlign w:val="center"/>
          </w:tcPr>
          <w:p w14:paraId="630BF1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3E000DB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5C94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BB6101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3805C6F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7D9997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系统测试</w:t>
            </w:r>
          </w:p>
        </w:tc>
        <w:tc>
          <w:tcPr>
            <w:tcW w:w="3400" w:type="dxa"/>
            <w:gridSpan w:val="2"/>
            <w:tcBorders>
              <w:top w:val="single" w:color="auto" w:sz="4" w:space="0"/>
              <w:bottom w:val="single" w:color="auto" w:sz="4" w:space="0"/>
            </w:tcBorders>
            <w:shd w:val="clear" w:color="auto" w:fill="FFFFFF"/>
            <w:vAlign w:val="center"/>
          </w:tcPr>
          <w:p w14:paraId="7D80C4F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系统功能测试</w:t>
            </w:r>
          </w:p>
        </w:tc>
        <w:tc>
          <w:tcPr>
            <w:tcW w:w="700" w:type="dxa"/>
            <w:vMerge w:val="restart"/>
            <w:tcBorders>
              <w:top w:val="single" w:color="auto" w:sz="4" w:space="0"/>
            </w:tcBorders>
            <w:shd w:val="clear" w:color="auto" w:fill="auto"/>
            <w:vAlign w:val="center"/>
          </w:tcPr>
          <w:p w14:paraId="63252BA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5DF98AA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27B8B76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412FBC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vMerge w:val="restart"/>
            <w:tcBorders>
              <w:top w:val="single" w:color="auto" w:sz="4" w:space="0"/>
            </w:tcBorders>
            <w:vAlign w:val="center"/>
          </w:tcPr>
          <w:p w14:paraId="1C3D4B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7F95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99E7C3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19F4108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706935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657065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系统性能测试</w:t>
            </w:r>
          </w:p>
        </w:tc>
        <w:tc>
          <w:tcPr>
            <w:tcW w:w="700" w:type="dxa"/>
            <w:vMerge w:val="continue"/>
            <w:tcBorders>
              <w:bottom w:val="single" w:color="auto" w:sz="4" w:space="0"/>
            </w:tcBorders>
            <w:shd w:val="clear" w:color="auto" w:fill="auto"/>
            <w:vAlign w:val="center"/>
          </w:tcPr>
          <w:p w14:paraId="60937D4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235520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6F64BA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continue"/>
            <w:tcBorders>
              <w:bottom w:val="single" w:color="auto" w:sz="4" w:space="0"/>
            </w:tcBorders>
            <w:vAlign w:val="center"/>
          </w:tcPr>
          <w:p w14:paraId="0815CEB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78058F0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FF4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35E635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4B4CC06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restart"/>
            <w:tcBorders>
              <w:top w:val="single" w:color="auto" w:sz="4" w:space="0"/>
            </w:tcBorders>
            <w:shd w:val="clear" w:color="auto" w:fill="FFFFFF"/>
            <w:vAlign w:val="center"/>
          </w:tcPr>
          <w:p w14:paraId="4501C5C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系统割接</w:t>
            </w:r>
          </w:p>
        </w:tc>
        <w:tc>
          <w:tcPr>
            <w:tcW w:w="3400" w:type="dxa"/>
            <w:gridSpan w:val="2"/>
            <w:tcBorders>
              <w:top w:val="single" w:color="auto" w:sz="4" w:space="0"/>
              <w:bottom w:val="single" w:color="auto" w:sz="4" w:space="0"/>
            </w:tcBorders>
            <w:shd w:val="clear" w:color="auto" w:fill="FFFFFF"/>
            <w:vAlign w:val="center"/>
          </w:tcPr>
          <w:p w14:paraId="2226C97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老系统停机、域名/接口/网络切换</w:t>
            </w:r>
          </w:p>
        </w:tc>
        <w:tc>
          <w:tcPr>
            <w:tcW w:w="700" w:type="dxa"/>
            <w:vMerge w:val="restart"/>
            <w:tcBorders>
              <w:top w:val="single" w:color="auto" w:sz="4" w:space="0"/>
            </w:tcBorders>
            <w:shd w:val="clear" w:color="auto" w:fill="auto"/>
            <w:vAlign w:val="center"/>
          </w:tcPr>
          <w:p w14:paraId="35982B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Merge w:val="restart"/>
            <w:tcBorders>
              <w:top w:val="single" w:color="auto" w:sz="4" w:space="0"/>
            </w:tcBorders>
            <w:shd w:val="clear" w:color="auto" w:fill="auto"/>
            <w:vAlign w:val="center"/>
          </w:tcPr>
          <w:p w14:paraId="006A74B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Merge w:val="restart"/>
            <w:tcBorders>
              <w:top w:val="single" w:color="auto" w:sz="4" w:space="0"/>
            </w:tcBorders>
            <w:vAlign w:val="center"/>
          </w:tcPr>
          <w:p w14:paraId="548C72E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vMerge w:val="restart"/>
            <w:tcBorders>
              <w:top w:val="single" w:color="auto" w:sz="4" w:space="0"/>
            </w:tcBorders>
            <w:vAlign w:val="center"/>
          </w:tcPr>
          <w:p w14:paraId="4EA2BE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c>
          <w:tcPr>
            <w:tcW w:w="785" w:type="dxa"/>
            <w:vMerge w:val="restart"/>
            <w:tcBorders>
              <w:top w:val="single" w:color="auto" w:sz="4" w:space="0"/>
            </w:tcBorders>
            <w:vAlign w:val="center"/>
          </w:tcPr>
          <w:p w14:paraId="143F0D1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DC6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73AFB1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74E96ED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65FA16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68B4E1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增量数据、附件迁移</w:t>
            </w:r>
          </w:p>
        </w:tc>
        <w:tc>
          <w:tcPr>
            <w:tcW w:w="700" w:type="dxa"/>
            <w:vMerge w:val="continue"/>
            <w:shd w:val="clear" w:color="auto" w:fill="auto"/>
            <w:vAlign w:val="center"/>
          </w:tcPr>
          <w:p w14:paraId="2F676A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376AF7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6FCBF06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872" w:type="dxa"/>
            <w:vMerge w:val="continue"/>
            <w:vAlign w:val="top"/>
          </w:tcPr>
          <w:p w14:paraId="1760354C">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z w:val="24"/>
                <w:szCs w:val="24"/>
              </w:rPr>
            </w:pPr>
          </w:p>
        </w:tc>
        <w:tc>
          <w:tcPr>
            <w:tcW w:w="785" w:type="dxa"/>
            <w:vMerge w:val="continue"/>
            <w:vAlign w:val="center"/>
          </w:tcPr>
          <w:p w14:paraId="234DC8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E7ED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7EBB60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shd w:val="clear" w:color="auto" w:fill="auto"/>
            <w:vAlign w:val="center"/>
          </w:tcPr>
          <w:p w14:paraId="6838B3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shd w:val="clear" w:color="auto" w:fill="FFFFFF"/>
            <w:vAlign w:val="center"/>
          </w:tcPr>
          <w:p w14:paraId="1239D5D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7C2BAB0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割接验证</w:t>
            </w:r>
          </w:p>
        </w:tc>
        <w:tc>
          <w:tcPr>
            <w:tcW w:w="700" w:type="dxa"/>
            <w:vMerge w:val="continue"/>
            <w:shd w:val="clear" w:color="auto" w:fill="auto"/>
            <w:vAlign w:val="center"/>
          </w:tcPr>
          <w:p w14:paraId="4600BFC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shd w:val="clear" w:color="auto" w:fill="auto"/>
            <w:vAlign w:val="center"/>
          </w:tcPr>
          <w:p w14:paraId="408FA12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vAlign w:val="center"/>
          </w:tcPr>
          <w:p w14:paraId="732ADE9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872" w:type="dxa"/>
            <w:vMerge w:val="continue"/>
            <w:vAlign w:val="top"/>
          </w:tcPr>
          <w:p w14:paraId="65FA3D3B">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z w:val="24"/>
                <w:szCs w:val="24"/>
              </w:rPr>
            </w:pPr>
          </w:p>
        </w:tc>
        <w:tc>
          <w:tcPr>
            <w:tcW w:w="785" w:type="dxa"/>
            <w:vMerge w:val="continue"/>
            <w:vAlign w:val="center"/>
          </w:tcPr>
          <w:p w14:paraId="714D68D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A13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tcBorders>
              <w:bottom w:val="single" w:color="auto" w:sz="4" w:space="0"/>
            </w:tcBorders>
            <w:vAlign w:val="center"/>
          </w:tcPr>
          <w:p w14:paraId="10E5977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1027" w:type="dxa"/>
            <w:vMerge w:val="continue"/>
            <w:tcBorders>
              <w:bottom w:val="single" w:color="auto" w:sz="4" w:space="0"/>
            </w:tcBorders>
            <w:shd w:val="clear" w:color="auto" w:fill="auto"/>
            <w:vAlign w:val="center"/>
          </w:tcPr>
          <w:p w14:paraId="7DC0397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237" w:type="dxa"/>
            <w:vMerge w:val="continue"/>
            <w:tcBorders>
              <w:bottom w:val="single" w:color="auto" w:sz="4" w:space="0"/>
            </w:tcBorders>
            <w:shd w:val="clear" w:color="auto" w:fill="FFFFFF"/>
            <w:vAlign w:val="center"/>
          </w:tcPr>
          <w:p w14:paraId="362429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3400" w:type="dxa"/>
            <w:gridSpan w:val="2"/>
            <w:tcBorders>
              <w:top w:val="single" w:color="auto" w:sz="4" w:space="0"/>
              <w:bottom w:val="single" w:color="auto" w:sz="4" w:space="0"/>
            </w:tcBorders>
            <w:shd w:val="clear" w:color="auto" w:fill="FFFFFF"/>
            <w:vAlign w:val="center"/>
          </w:tcPr>
          <w:p w14:paraId="442D28C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新系统启用（四套招标文件范本及评标办法适配）</w:t>
            </w:r>
          </w:p>
        </w:tc>
        <w:tc>
          <w:tcPr>
            <w:tcW w:w="700" w:type="dxa"/>
            <w:vMerge w:val="continue"/>
            <w:tcBorders>
              <w:bottom w:val="single" w:color="auto" w:sz="4" w:space="0"/>
            </w:tcBorders>
            <w:shd w:val="clear" w:color="auto" w:fill="auto"/>
            <w:vAlign w:val="center"/>
          </w:tcPr>
          <w:p w14:paraId="2DE1DB3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25" w:type="dxa"/>
            <w:vMerge w:val="continue"/>
            <w:tcBorders>
              <w:bottom w:val="single" w:color="auto" w:sz="4" w:space="0"/>
            </w:tcBorders>
            <w:shd w:val="clear" w:color="auto" w:fill="auto"/>
            <w:vAlign w:val="center"/>
          </w:tcPr>
          <w:p w14:paraId="457927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900" w:type="dxa"/>
            <w:vMerge w:val="continue"/>
            <w:tcBorders>
              <w:bottom w:val="single" w:color="auto" w:sz="4" w:space="0"/>
            </w:tcBorders>
            <w:vAlign w:val="center"/>
          </w:tcPr>
          <w:p w14:paraId="0E99822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c>
          <w:tcPr>
            <w:tcW w:w="872" w:type="dxa"/>
            <w:vMerge w:val="continue"/>
            <w:tcBorders>
              <w:bottom w:val="single" w:color="auto" w:sz="4" w:space="0"/>
            </w:tcBorders>
            <w:vAlign w:val="top"/>
          </w:tcPr>
          <w:p w14:paraId="40F58B54">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z w:val="24"/>
                <w:szCs w:val="24"/>
              </w:rPr>
            </w:pPr>
          </w:p>
        </w:tc>
        <w:tc>
          <w:tcPr>
            <w:tcW w:w="785" w:type="dxa"/>
            <w:vMerge w:val="continue"/>
            <w:tcBorders>
              <w:bottom w:val="single" w:color="auto" w:sz="4" w:space="0"/>
            </w:tcBorders>
            <w:vAlign w:val="center"/>
          </w:tcPr>
          <w:p w14:paraId="0039DF2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157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700" w:type="dxa"/>
            <w:gridSpan w:val="8"/>
            <w:vAlign w:val="center"/>
          </w:tcPr>
          <w:p w14:paraId="0313C13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合计（元）：</w:t>
            </w:r>
          </w:p>
        </w:tc>
        <w:tc>
          <w:tcPr>
            <w:tcW w:w="872" w:type="dxa"/>
            <w:tcBorders>
              <w:top w:val="single" w:color="auto" w:sz="4" w:space="0"/>
              <w:bottom w:val="single" w:color="auto" w:sz="4" w:space="0"/>
            </w:tcBorders>
            <w:vAlign w:val="center"/>
          </w:tcPr>
          <w:p w14:paraId="323D7E6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tcBorders>
              <w:top w:val="single" w:color="auto" w:sz="4" w:space="0"/>
              <w:bottom w:val="single" w:color="auto" w:sz="4" w:space="0"/>
            </w:tcBorders>
            <w:vAlign w:val="center"/>
          </w:tcPr>
          <w:p w14:paraId="0C2F7D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495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0357" w:type="dxa"/>
            <w:gridSpan w:val="10"/>
            <w:shd w:val="clear" w:color="auto" w:fill="auto"/>
            <w:vAlign w:val="center"/>
          </w:tcPr>
          <w:p w14:paraId="72DAFF63">
            <w:pPr>
              <w:pStyle w:val="3"/>
              <w:numPr>
                <w:ilvl w:val="0"/>
                <w:numId w:val="0"/>
              </w:numPr>
              <w:spacing w:line="240" w:lineRule="auto"/>
              <w:ind w:leftChars="0"/>
              <w:jc w:val="left"/>
              <w:rPr>
                <w:rFonts w:hint="eastAsia" w:ascii="仿宋" w:hAnsi="仿宋" w:eastAsia="仿宋" w:cs="仿宋"/>
                <w:b/>
                <w:kern w:val="2"/>
                <w:sz w:val="24"/>
                <w:szCs w:val="24"/>
                <w:lang w:val="en-US" w:eastAsia="zh-CN" w:bidi="ar-SA"/>
              </w:rPr>
            </w:pPr>
            <w:r>
              <w:rPr>
                <w:rFonts w:hint="eastAsia" w:ascii="仿宋" w:hAnsi="仿宋" w:eastAsia="仿宋" w:cs="仿宋"/>
                <w:b/>
                <w:bCs w:val="0"/>
                <w:kern w:val="2"/>
                <w:sz w:val="24"/>
                <w:szCs w:val="24"/>
                <w:lang w:val="en-US" w:eastAsia="zh-CN" w:bidi="ar-SA"/>
              </w:rPr>
              <w:t>二、</w:t>
            </w:r>
            <w:bookmarkStart w:id="741" w:name="_Toc12860"/>
            <w:r>
              <w:rPr>
                <w:rFonts w:hint="eastAsia" w:ascii="仿宋" w:hAnsi="仿宋" w:eastAsia="仿宋" w:cs="仿宋"/>
                <w:b/>
                <w:bCs w:val="0"/>
                <w:kern w:val="2"/>
                <w:sz w:val="24"/>
                <w:szCs w:val="24"/>
                <w:lang w:val="en-US" w:eastAsia="zh-CN" w:bidi="ar-SA"/>
              </w:rPr>
              <w:t>服务器资源及配套</w:t>
            </w:r>
            <w:bookmarkEnd w:id="741"/>
            <w:r>
              <w:rPr>
                <w:rFonts w:hint="eastAsia" w:ascii="仿宋" w:hAnsi="仿宋" w:eastAsia="仿宋" w:cs="仿宋"/>
                <w:b/>
                <w:bCs w:val="0"/>
                <w:kern w:val="2"/>
                <w:sz w:val="24"/>
                <w:szCs w:val="24"/>
                <w:lang w:val="en-US" w:eastAsia="zh-CN" w:bidi="ar-SA"/>
              </w:rPr>
              <w:t>安全设施</w:t>
            </w:r>
            <w:r>
              <w:rPr>
                <w:rFonts w:hint="eastAsia" w:ascii="仿宋" w:hAnsi="仿宋" w:eastAsia="仿宋" w:cs="仿宋"/>
                <w:b/>
                <w:sz w:val="24"/>
                <w:szCs w:val="24"/>
                <w:lang w:val="en-US" w:eastAsia="zh-CN"/>
              </w:rPr>
              <w:t>清单报价：</w:t>
            </w:r>
          </w:p>
        </w:tc>
      </w:tr>
      <w:tr w14:paraId="4BFD9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restart"/>
            <w:vAlign w:val="center"/>
          </w:tcPr>
          <w:p w14:paraId="437A02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27" w:type="dxa"/>
            <w:vMerge w:val="restart"/>
            <w:vAlign w:val="center"/>
          </w:tcPr>
          <w:p w14:paraId="0D9683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系统部署服务器</w:t>
            </w:r>
          </w:p>
        </w:tc>
        <w:tc>
          <w:tcPr>
            <w:tcW w:w="8619" w:type="dxa"/>
            <w:gridSpan w:val="8"/>
            <w:shd w:val="clear" w:color="auto" w:fill="auto"/>
            <w:vAlign w:val="top"/>
          </w:tcPr>
          <w:p w14:paraId="4FEC3223">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租用以下国产化政务云存储（满足现有系统平台运行，按照属地数字政府建设要求，实现数据、平台属地化部署）</w:t>
            </w:r>
          </w:p>
        </w:tc>
      </w:tr>
      <w:tr w14:paraId="2E2C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69075B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26F1D2D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1BDD0BA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标准硬盘：1024G</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CPU： 2.7GHz</w:t>
            </w:r>
          </w:p>
        </w:tc>
        <w:tc>
          <w:tcPr>
            <w:tcW w:w="700" w:type="dxa"/>
            <w:shd w:val="clear" w:color="auto" w:fill="auto"/>
            <w:vAlign w:val="center"/>
          </w:tcPr>
          <w:p w14:paraId="21F0E77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7091CB9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06AB232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3A3339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restart"/>
            <w:tcBorders>
              <w:top w:val="single" w:color="auto" w:sz="4" w:space="0"/>
            </w:tcBorders>
            <w:vAlign w:val="center"/>
          </w:tcPr>
          <w:p w14:paraId="0189D6D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需配备基础安全防护措施</w:t>
            </w:r>
          </w:p>
        </w:tc>
      </w:tr>
      <w:tr w14:paraId="6C15B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543C8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7EB6326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1392D9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高性能硬盘:1024G</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CPU：2.7GHz</w:t>
            </w:r>
          </w:p>
        </w:tc>
        <w:tc>
          <w:tcPr>
            <w:tcW w:w="700" w:type="dxa"/>
            <w:shd w:val="clear" w:color="auto" w:fill="auto"/>
            <w:vAlign w:val="center"/>
          </w:tcPr>
          <w:p w14:paraId="4937BF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1FEA8DC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01A3C5C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73FFB19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72C07C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3A9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5D26C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638239C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7EE9A29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标准硬盘：500G</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CPU： 2.7GHz</w:t>
            </w:r>
          </w:p>
        </w:tc>
        <w:tc>
          <w:tcPr>
            <w:tcW w:w="700" w:type="dxa"/>
            <w:shd w:val="clear" w:color="auto" w:fill="auto"/>
            <w:vAlign w:val="center"/>
          </w:tcPr>
          <w:p w14:paraId="0C605C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085453A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652C58A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4D91E5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5B13063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C81A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711" w:type="dxa"/>
            <w:vMerge w:val="continue"/>
            <w:vAlign w:val="center"/>
          </w:tcPr>
          <w:p w14:paraId="5D4F5F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442BE5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717B72A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标准硬盘：200G</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CPU：2.7GHz</w:t>
            </w:r>
          </w:p>
        </w:tc>
        <w:tc>
          <w:tcPr>
            <w:tcW w:w="700" w:type="dxa"/>
            <w:shd w:val="clear" w:color="auto" w:fill="auto"/>
            <w:vAlign w:val="center"/>
          </w:tcPr>
          <w:p w14:paraId="4CE0C4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54C71C5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208E696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48231C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626E54E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670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E7DE38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3648499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3DB29F0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4CPU 8G内存 标准硬盘：300G</w:t>
            </w:r>
          </w:p>
          <w:p w14:paraId="5696E3F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 2.7GHz</w:t>
            </w:r>
          </w:p>
        </w:tc>
        <w:tc>
          <w:tcPr>
            <w:tcW w:w="700" w:type="dxa"/>
            <w:shd w:val="clear" w:color="auto" w:fill="auto"/>
            <w:vAlign w:val="center"/>
          </w:tcPr>
          <w:p w14:paraId="1C5C8B6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5E1221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49FC1BE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4792FB8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6E3BFC7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B40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6642D2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22477E5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365FBAD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16CPU 32G内存 高性能硬盘:1024G</w:t>
            </w:r>
          </w:p>
          <w:p w14:paraId="7DC50C0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 2.7GHz</w:t>
            </w:r>
          </w:p>
        </w:tc>
        <w:tc>
          <w:tcPr>
            <w:tcW w:w="700" w:type="dxa"/>
            <w:shd w:val="clear" w:color="auto" w:fill="auto"/>
            <w:vAlign w:val="center"/>
          </w:tcPr>
          <w:p w14:paraId="181097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4C60EF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26AF613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454F47A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2BACFC4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9CA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FF8367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7762189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31C7F4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标准硬盘：200G</w:t>
            </w:r>
          </w:p>
          <w:p w14:paraId="6D65ABD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CPU：2.7GHz</w:t>
            </w:r>
          </w:p>
        </w:tc>
        <w:tc>
          <w:tcPr>
            <w:tcW w:w="700" w:type="dxa"/>
            <w:shd w:val="clear" w:color="auto" w:fill="auto"/>
            <w:vAlign w:val="center"/>
          </w:tcPr>
          <w:p w14:paraId="246363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5D95DB4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457370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79CA538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69CAEDA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200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5F7BC0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14499E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259BE49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标准硬盘：200G</w:t>
            </w:r>
          </w:p>
          <w:p w14:paraId="6B90F4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CPU：2.7GHz</w:t>
            </w:r>
          </w:p>
        </w:tc>
        <w:tc>
          <w:tcPr>
            <w:tcW w:w="700" w:type="dxa"/>
            <w:shd w:val="clear" w:color="auto" w:fill="auto"/>
            <w:vAlign w:val="center"/>
          </w:tcPr>
          <w:p w14:paraId="3EC3A69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460A0E5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0591B09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shd w:val="clear" w:color="auto" w:fill="auto"/>
            <w:vAlign w:val="center"/>
          </w:tcPr>
          <w:p w14:paraId="11E6C22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7E92BD7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2E23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711" w:type="dxa"/>
            <w:vMerge w:val="continue"/>
            <w:vAlign w:val="center"/>
          </w:tcPr>
          <w:p w14:paraId="7DF68CA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5CC8417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57F1F5C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标准硬盘：500G</w:t>
            </w:r>
          </w:p>
          <w:p w14:paraId="761C7D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 2.7GHz</w:t>
            </w:r>
          </w:p>
        </w:tc>
        <w:tc>
          <w:tcPr>
            <w:tcW w:w="700" w:type="dxa"/>
            <w:shd w:val="clear" w:color="auto" w:fill="auto"/>
            <w:vAlign w:val="center"/>
          </w:tcPr>
          <w:p w14:paraId="2B3F5A5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1D79BFB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5DECFE0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7A91F03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25C07B7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285C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97F523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35C179C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04AFCE8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标准硬盘：200G</w:t>
            </w:r>
          </w:p>
          <w:p w14:paraId="25AAD51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 2.7GHz</w:t>
            </w:r>
          </w:p>
        </w:tc>
        <w:tc>
          <w:tcPr>
            <w:tcW w:w="700" w:type="dxa"/>
            <w:shd w:val="clear" w:color="auto" w:fill="auto"/>
            <w:vAlign w:val="center"/>
          </w:tcPr>
          <w:p w14:paraId="377680F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72B91A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1A398C2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6C30FE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274717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C7C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4EDC357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vMerge w:val="continue"/>
            <w:vAlign w:val="center"/>
          </w:tcPr>
          <w:p w14:paraId="7FBD9C1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4637" w:type="dxa"/>
            <w:gridSpan w:val="3"/>
            <w:shd w:val="clear" w:color="auto" w:fill="auto"/>
            <w:vAlign w:val="center"/>
          </w:tcPr>
          <w:p w14:paraId="43EA736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8CPU 16G内存 标准硬盘：1024G</w:t>
            </w:r>
          </w:p>
          <w:p w14:paraId="4CA556D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CPU： 2.7GHz</w:t>
            </w:r>
          </w:p>
        </w:tc>
        <w:tc>
          <w:tcPr>
            <w:tcW w:w="700" w:type="dxa"/>
            <w:shd w:val="clear" w:color="auto" w:fill="auto"/>
            <w:vAlign w:val="center"/>
          </w:tcPr>
          <w:p w14:paraId="780DD3A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3615DCE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59584D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3D2C9ED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7066F0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8D42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AFAF70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0AC4A0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移动硬盘</w:t>
            </w:r>
          </w:p>
        </w:tc>
        <w:tc>
          <w:tcPr>
            <w:tcW w:w="4637" w:type="dxa"/>
            <w:gridSpan w:val="3"/>
            <w:shd w:val="clear" w:color="auto" w:fill="auto"/>
            <w:vAlign w:val="top"/>
          </w:tcPr>
          <w:p w14:paraId="0ADFBF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存储空间4TB、2.5英寸、支持USB3.0，外接终端设备可以快速拷贝电子档案资料，支持AES-256硬件加密。</w:t>
            </w:r>
          </w:p>
        </w:tc>
        <w:tc>
          <w:tcPr>
            <w:tcW w:w="700" w:type="dxa"/>
            <w:shd w:val="clear" w:color="auto" w:fill="auto"/>
            <w:vAlign w:val="center"/>
          </w:tcPr>
          <w:p w14:paraId="219764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个</w:t>
            </w:r>
          </w:p>
        </w:tc>
        <w:tc>
          <w:tcPr>
            <w:tcW w:w="725" w:type="dxa"/>
            <w:shd w:val="clear" w:color="auto" w:fill="auto"/>
            <w:vAlign w:val="center"/>
          </w:tcPr>
          <w:p w14:paraId="58CA5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10</w:t>
            </w:r>
          </w:p>
        </w:tc>
        <w:tc>
          <w:tcPr>
            <w:tcW w:w="900" w:type="dxa"/>
            <w:shd w:val="clear" w:color="auto" w:fill="auto"/>
            <w:vAlign w:val="center"/>
          </w:tcPr>
          <w:p w14:paraId="0D79CD4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shd w:val="clear" w:color="auto" w:fill="auto"/>
            <w:vAlign w:val="center"/>
          </w:tcPr>
          <w:p w14:paraId="627B39E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1321825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1047E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4A9B1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03DD151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对象存储资源包10T</w:t>
            </w:r>
          </w:p>
        </w:tc>
        <w:tc>
          <w:tcPr>
            <w:tcW w:w="4637" w:type="dxa"/>
            <w:gridSpan w:val="3"/>
            <w:shd w:val="clear" w:color="auto" w:fill="auto"/>
            <w:vAlign w:val="center"/>
          </w:tcPr>
          <w:p w14:paraId="12CA0D8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用于电子档案数据在云端的存储，容量为10T</w:t>
            </w:r>
          </w:p>
          <w:p w14:paraId="02ABDB0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服务可用性达到99.95%</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持久性不低于99.999999999%</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冗余分布式架构</w:t>
            </w:r>
          </w:p>
        </w:tc>
        <w:tc>
          <w:tcPr>
            <w:tcW w:w="700" w:type="dxa"/>
            <w:shd w:val="clear" w:color="auto" w:fill="auto"/>
            <w:vAlign w:val="center"/>
          </w:tcPr>
          <w:p w14:paraId="6E74626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754EFD4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6D2F7A0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shd w:val="clear" w:color="auto" w:fill="auto"/>
            <w:vAlign w:val="center"/>
          </w:tcPr>
          <w:p w14:paraId="68805A7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074D9F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5922C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73B7D9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7A6459D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公网IP</w:t>
            </w:r>
          </w:p>
        </w:tc>
        <w:tc>
          <w:tcPr>
            <w:tcW w:w="4637" w:type="dxa"/>
            <w:gridSpan w:val="3"/>
            <w:shd w:val="clear" w:color="auto" w:fill="auto"/>
            <w:vAlign w:val="center"/>
          </w:tcPr>
          <w:p w14:paraId="62972E7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用于服务器端访问</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（政务云无公网IP）</w:t>
            </w:r>
          </w:p>
        </w:tc>
        <w:tc>
          <w:tcPr>
            <w:tcW w:w="700" w:type="dxa"/>
            <w:shd w:val="clear" w:color="auto" w:fill="auto"/>
            <w:vAlign w:val="center"/>
          </w:tcPr>
          <w:p w14:paraId="31CE07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53B24A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19C82BB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67F2800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0FB330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70B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1ABE499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53EB5B5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SSL账号</w:t>
            </w:r>
          </w:p>
        </w:tc>
        <w:tc>
          <w:tcPr>
            <w:tcW w:w="4637" w:type="dxa"/>
            <w:gridSpan w:val="3"/>
            <w:shd w:val="clear" w:color="auto" w:fill="auto"/>
            <w:vAlign w:val="center"/>
          </w:tcPr>
          <w:p w14:paraId="3A26634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环境下用于外部访问服务器上的业务系统</w:t>
            </w:r>
          </w:p>
        </w:tc>
        <w:tc>
          <w:tcPr>
            <w:tcW w:w="700" w:type="dxa"/>
            <w:shd w:val="clear" w:color="auto" w:fill="auto"/>
            <w:vAlign w:val="center"/>
          </w:tcPr>
          <w:p w14:paraId="571A0D8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1AB47AD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71307E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0448728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5959C61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DF6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711" w:type="dxa"/>
            <w:vMerge w:val="continue"/>
            <w:vAlign w:val="center"/>
          </w:tcPr>
          <w:p w14:paraId="7A48DC9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54FBBBF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50M服务器对外共享带宽</w:t>
            </w:r>
          </w:p>
        </w:tc>
        <w:tc>
          <w:tcPr>
            <w:tcW w:w="4637" w:type="dxa"/>
            <w:gridSpan w:val="3"/>
            <w:shd w:val="clear" w:color="auto" w:fill="auto"/>
            <w:vAlign w:val="center"/>
          </w:tcPr>
          <w:p w14:paraId="46E335E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带宽50M，用于中心工作人员通过互联网访问电子档案管理系统等业务系统</w:t>
            </w:r>
          </w:p>
          <w:p w14:paraId="2A84C7F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（政务云无公网IP）</w:t>
            </w:r>
          </w:p>
        </w:tc>
        <w:tc>
          <w:tcPr>
            <w:tcW w:w="700" w:type="dxa"/>
            <w:shd w:val="clear" w:color="auto" w:fill="auto"/>
            <w:vAlign w:val="center"/>
          </w:tcPr>
          <w:p w14:paraId="3C37F25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w:t>
            </w:r>
          </w:p>
        </w:tc>
        <w:tc>
          <w:tcPr>
            <w:tcW w:w="725" w:type="dxa"/>
            <w:shd w:val="clear" w:color="auto" w:fill="auto"/>
            <w:vAlign w:val="center"/>
          </w:tcPr>
          <w:p w14:paraId="7413001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00" w:type="dxa"/>
            <w:shd w:val="clear" w:color="auto" w:fill="auto"/>
            <w:vAlign w:val="center"/>
          </w:tcPr>
          <w:p w14:paraId="695804A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12966A8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0584304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B96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0905E78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19CCCC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国产操作系统</w:t>
            </w:r>
          </w:p>
        </w:tc>
        <w:tc>
          <w:tcPr>
            <w:tcW w:w="4637" w:type="dxa"/>
            <w:gridSpan w:val="3"/>
            <w:shd w:val="clear" w:color="auto" w:fill="auto"/>
            <w:vAlign w:val="center"/>
          </w:tcPr>
          <w:p w14:paraId="63D964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1、内核版本：同一镜像，在系统安装时，提供4.19和5.10的内核版本选择。</w:t>
            </w:r>
          </w:p>
          <w:p w14:paraId="62AE7B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2、cpu支持：支持AMD64、ARM64、Mips64、SW64、LoongArch CPU架构；支持飞腾、鲲鹏、海光、兆芯、龙芯、申威等CPU芯片</w:t>
            </w:r>
          </w:p>
          <w:p w14:paraId="1F8601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3、压力分析：支持同品牌国产Linux系统通用压力分析套件软件。</w:t>
            </w:r>
          </w:p>
          <w:p w14:paraId="2C6C10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4、性能评估：支持同品牌国产Linux系统通用性能评分套件软件。</w:t>
            </w:r>
          </w:p>
        </w:tc>
        <w:tc>
          <w:tcPr>
            <w:tcW w:w="700" w:type="dxa"/>
            <w:shd w:val="clear" w:color="auto" w:fill="auto"/>
            <w:vAlign w:val="center"/>
          </w:tcPr>
          <w:p w14:paraId="6C08280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25" w:type="dxa"/>
            <w:shd w:val="clear" w:color="auto" w:fill="auto"/>
            <w:vAlign w:val="center"/>
          </w:tcPr>
          <w:p w14:paraId="53A037E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0" w:type="dxa"/>
            <w:shd w:val="clear" w:color="auto" w:fill="auto"/>
            <w:vAlign w:val="center"/>
          </w:tcPr>
          <w:p w14:paraId="26A625A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0465843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7022C4F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65BA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29F465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2D5C4B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国产数据库</w:t>
            </w:r>
          </w:p>
        </w:tc>
        <w:tc>
          <w:tcPr>
            <w:tcW w:w="4637" w:type="dxa"/>
            <w:gridSpan w:val="3"/>
            <w:shd w:val="clear" w:color="auto" w:fill="auto"/>
            <w:vAlign w:val="center"/>
          </w:tcPr>
          <w:p w14:paraId="330159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p w14:paraId="16F291F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备智能数据库自治优化技术，支持基于代价的查询优化器；支持表及索引的统计信息；支持通过分析对象统计信息来生成最优（代价最小）的执行计划；支持数据库动态配置调整，支持数据库内存及执行计划智能配置。</w:t>
            </w:r>
          </w:p>
          <w:p w14:paraId="68F7AF1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支持数据加密存储，支持国密算法加密，支持全面加密，数据文件，日志文件，备份文件，导入导出文件等均支持透明加密。支持数据库级、表级、列级等不同级别加密，支持不同用户、不同列设置不同密钥。</w:t>
            </w:r>
          </w:p>
          <w:p w14:paraId="3C0352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提供数据页级恢复功能，允许从备份中还原并恢复指定的数据页。</w:t>
            </w:r>
          </w:p>
        </w:tc>
        <w:tc>
          <w:tcPr>
            <w:tcW w:w="700" w:type="dxa"/>
            <w:shd w:val="clear" w:color="auto" w:fill="auto"/>
            <w:vAlign w:val="center"/>
          </w:tcPr>
          <w:p w14:paraId="3155994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25" w:type="dxa"/>
            <w:shd w:val="clear" w:color="auto" w:fill="auto"/>
            <w:vAlign w:val="center"/>
          </w:tcPr>
          <w:p w14:paraId="2A7CF66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shd w:val="clear" w:color="auto" w:fill="auto"/>
            <w:vAlign w:val="center"/>
          </w:tcPr>
          <w:p w14:paraId="1212D10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302B2B6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vAlign w:val="center"/>
          </w:tcPr>
          <w:p w14:paraId="325D66E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3E1A0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Merge w:val="continue"/>
            <w:vAlign w:val="center"/>
          </w:tcPr>
          <w:p w14:paraId="5DB2FFF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1027" w:type="dxa"/>
            <w:shd w:val="clear" w:color="auto" w:fill="auto"/>
            <w:vAlign w:val="center"/>
          </w:tcPr>
          <w:p w14:paraId="358344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容器中间件</w:t>
            </w:r>
          </w:p>
        </w:tc>
        <w:tc>
          <w:tcPr>
            <w:tcW w:w="4637" w:type="dxa"/>
            <w:gridSpan w:val="3"/>
            <w:shd w:val="clear" w:color="auto" w:fill="auto"/>
            <w:vAlign w:val="center"/>
          </w:tcPr>
          <w:p w14:paraId="746365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用于为上层应用提供运行环境、主要功能包括：提供Web服务、EJB服务、消息服务以及集群服务。产品需具备良好安全可靠能力以及与国产化芯片、操作系统中标麒麟、银河麒麟等兼容性，支持多种主流国产数据库，包括人大金仓、达梦、神通、南大通用等数据库。</w:t>
            </w:r>
          </w:p>
          <w:p w14:paraId="445B096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2、支持JavaServer Faces（JSF）标准功能框架，且同时支持在JSF中，可执行动态方法，中间件产品需要提供相关的支持方法及组件模块。</w:t>
            </w:r>
          </w:p>
          <w:p w14:paraId="2B985B4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3、提供完善的公共类管理策略，在实现共享库管理的基础上，也同时需要提供独特的、具备专利水平的类装载隔离策略及装置模块。</w:t>
            </w:r>
          </w:p>
        </w:tc>
        <w:tc>
          <w:tcPr>
            <w:tcW w:w="700" w:type="dxa"/>
            <w:shd w:val="clear" w:color="auto" w:fill="auto"/>
            <w:vAlign w:val="center"/>
          </w:tcPr>
          <w:p w14:paraId="1E250D4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725" w:type="dxa"/>
            <w:shd w:val="clear" w:color="auto" w:fill="auto"/>
            <w:vAlign w:val="center"/>
          </w:tcPr>
          <w:p w14:paraId="2BCBB8D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shd w:val="clear" w:color="auto" w:fill="auto"/>
            <w:vAlign w:val="center"/>
          </w:tcPr>
          <w:p w14:paraId="20630D6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872" w:type="dxa"/>
            <w:tcBorders>
              <w:top w:val="single" w:color="auto" w:sz="4" w:space="0"/>
              <w:bottom w:val="single" w:color="auto" w:sz="4" w:space="0"/>
            </w:tcBorders>
            <w:vAlign w:val="center"/>
          </w:tcPr>
          <w:p w14:paraId="06F470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Merge w:val="continue"/>
            <w:tcBorders>
              <w:bottom w:val="single" w:color="auto" w:sz="4" w:space="0"/>
            </w:tcBorders>
            <w:vAlign w:val="center"/>
          </w:tcPr>
          <w:p w14:paraId="237CB2E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7F03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700" w:type="dxa"/>
            <w:gridSpan w:val="8"/>
          </w:tcPr>
          <w:p w14:paraId="36C98DB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合计（元）：</w:t>
            </w:r>
          </w:p>
        </w:tc>
        <w:tc>
          <w:tcPr>
            <w:tcW w:w="872" w:type="dxa"/>
          </w:tcPr>
          <w:p w14:paraId="49CADFB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tcPr>
          <w:p w14:paraId="048D178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45CFE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700" w:type="dxa"/>
            <w:gridSpan w:val="8"/>
          </w:tcPr>
          <w:p w14:paraId="6CC10CFD">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三、电子档案管理系统与克州公共资源交易系统接口对接</w:t>
            </w:r>
          </w:p>
        </w:tc>
        <w:tc>
          <w:tcPr>
            <w:tcW w:w="872" w:type="dxa"/>
          </w:tcPr>
          <w:p w14:paraId="0EECD3A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tcPr>
          <w:p w14:paraId="2C367B5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0297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711" w:type="dxa"/>
            <w:vAlign w:val="center"/>
          </w:tcPr>
          <w:p w14:paraId="7F71DA9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w:t>
            </w:r>
          </w:p>
        </w:tc>
        <w:tc>
          <w:tcPr>
            <w:tcW w:w="1027" w:type="dxa"/>
            <w:vAlign w:val="center"/>
          </w:tcPr>
          <w:p w14:paraId="0D35D23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lang w:val="en-US" w:eastAsia="zh-CN"/>
              </w:rPr>
              <w:t>电子档案管理系统与克州公共资源交易系统接口对接</w:t>
            </w:r>
          </w:p>
        </w:tc>
        <w:tc>
          <w:tcPr>
            <w:tcW w:w="4637" w:type="dxa"/>
            <w:gridSpan w:val="3"/>
            <w:vAlign w:val="center"/>
          </w:tcPr>
          <w:p w14:paraId="2AEC4D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lang w:val="en-US" w:eastAsia="zh-CN"/>
              </w:rPr>
              <w:t>包括与克州公共资源交易系统、与开评标音视频监控系统、与克州档案局系统对接</w:t>
            </w:r>
          </w:p>
        </w:tc>
        <w:tc>
          <w:tcPr>
            <w:tcW w:w="700" w:type="dxa"/>
            <w:vAlign w:val="center"/>
          </w:tcPr>
          <w:p w14:paraId="76A8D10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725" w:type="dxa"/>
            <w:vAlign w:val="center"/>
          </w:tcPr>
          <w:p w14:paraId="50B103D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00" w:type="dxa"/>
            <w:vAlign w:val="center"/>
          </w:tcPr>
          <w:p w14:paraId="797742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4"/>
                <w:szCs w:val="24"/>
                <w:lang w:val="en-US" w:eastAsia="zh-CN"/>
              </w:rPr>
            </w:pPr>
          </w:p>
        </w:tc>
        <w:tc>
          <w:tcPr>
            <w:tcW w:w="872" w:type="dxa"/>
            <w:vAlign w:val="center"/>
          </w:tcPr>
          <w:p w14:paraId="46D621B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p>
        </w:tc>
        <w:tc>
          <w:tcPr>
            <w:tcW w:w="785" w:type="dxa"/>
            <w:vAlign w:val="center"/>
          </w:tcPr>
          <w:p w14:paraId="152C3C6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rPr>
            </w:pPr>
          </w:p>
        </w:tc>
      </w:tr>
      <w:tr w14:paraId="2EAE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700" w:type="dxa"/>
            <w:gridSpan w:val="8"/>
            <w:vAlign w:val="top"/>
          </w:tcPr>
          <w:p w14:paraId="09C8DE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b/>
                <w:bCs/>
                <w:sz w:val="24"/>
                <w:szCs w:val="24"/>
                <w:lang w:val="en-US" w:eastAsia="zh-CN"/>
              </w:rPr>
              <w:t>合计（元）：</w:t>
            </w:r>
          </w:p>
        </w:tc>
        <w:tc>
          <w:tcPr>
            <w:tcW w:w="872" w:type="dxa"/>
            <w:vAlign w:val="top"/>
          </w:tcPr>
          <w:p w14:paraId="49E91F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rPr>
            </w:pPr>
          </w:p>
        </w:tc>
        <w:tc>
          <w:tcPr>
            <w:tcW w:w="785" w:type="dxa"/>
            <w:vAlign w:val="top"/>
          </w:tcPr>
          <w:p w14:paraId="7682C3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p>
        </w:tc>
      </w:tr>
      <w:tr w14:paraId="1AE49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572" w:type="dxa"/>
            <w:gridSpan w:val="9"/>
            <w:vAlign w:val="center"/>
          </w:tcPr>
          <w:p w14:paraId="77D3D392">
            <w:pPr>
              <w:spacing w:line="240" w:lineRule="auto"/>
              <w:jc w:val="left"/>
              <w:rPr>
                <w:rFonts w:hint="eastAsia" w:ascii="仿宋" w:hAnsi="仿宋" w:eastAsia="仿宋" w:cs="仿宋"/>
                <w:b/>
                <w:sz w:val="24"/>
                <w:szCs w:val="24"/>
                <w:lang w:val="en-US" w:eastAsia="zh-CN"/>
              </w:rPr>
            </w:pPr>
            <w:r>
              <w:rPr>
                <w:rFonts w:hint="eastAsia" w:ascii="仿宋" w:hAnsi="仿宋" w:eastAsia="仿宋" w:cs="仿宋"/>
                <w:b/>
                <w:sz w:val="24"/>
                <w:szCs w:val="24"/>
              </w:rPr>
              <w:t>总报价（小写）：</w:t>
            </w:r>
            <w:r>
              <w:rPr>
                <w:rFonts w:hint="eastAsia" w:ascii="仿宋" w:hAnsi="仿宋" w:eastAsia="仿宋" w:cs="仿宋"/>
                <w:b/>
                <w:sz w:val="24"/>
                <w:szCs w:val="24"/>
                <w:lang w:val="en-US" w:eastAsia="zh-CN"/>
              </w:rPr>
              <w:t xml:space="preserve">      元</w:t>
            </w:r>
          </w:p>
        </w:tc>
        <w:tc>
          <w:tcPr>
            <w:tcW w:w="785" w:type="dxa"/>
            <w:vAlign w:val="center"/>
          </w:tcPr>
          <w:p w14:paraId="52B5C1B6">
            <w:pPr>
              <w:spacing w:line="240" w:lineRule="auto"/>
              <w:jc w:val="left"/>
              <w:rPr>
                <w:rFonts w:hint="eastAsia" w:ascii="仿宋" w:hAnsi="仿宋" w:eastAsia="仿宋" w:cs="仿宋"/>
                <w:b/>
                <w:sz w:val="24"/>
                <w:szCs w:val="24"/>
              </w:rPr>
            </w:pPr>
          </w:p>
        </w:tc>
      </w:tr>
      <w:tr w14:paraId="20A3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9572" w:type="dxa"/>
            <w:gridSpan w:val="9"/>
            <w:vAlign w:val="center"/>
          </w:tcPr>
          <w:p w14:paraId="2D9423C5">
            <w:pPr>
              <w:spacing w:line="240" w:lineRule="auto"/>
              <w:jc w:val="left"/>
              <w:rPr>
                <w:rFonts w:hint="eastAsia" w:ascii="仿宋" w:hAnsi="仿宋" w:eastAsia="仿宋" w:cs="仿宋"/>
                <w:b/>
                <w:sz w:val="24"/>
                <w:szCs w:val="24"/>
                <w:lang w:val="en-US" w:eastAsia="zh-CN"/>
              </w:rPr>
            </w:pPr>
            <w:r>
              <w:rPr>
                <w:rFonts w:hint="eastAsia" w:ascii="仿宋" w:hAnsi="仿宋" w:eastAsia="仿宋" w:cs="仿宋"/>
                <w:b/>
                <w:sz w:val="24"/>
                <w:szCs w:val="24"/>
              </w:rPr>
              <w:t>总报价（大写）：</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lang w:eastAsia="zh-CN"/>
              </w:rPr>
              <w:t>元</w:t>
            </w:r>
          </w:p>
        </w:tc>
        <w:tc>
          <w:tcPr>
            <w:tcW w:w="785" w:type="dxa"/>
            <w:vAlign w:val="center"/>
          </w:tcPr>
          <w:p w14:paraId="3781BEAA">
            <w:pPr>
              <w:spacing w:line="240" w:lineRule="auto"/>
              <w:jc w:val="left"/>
              <w:rPr>
                <w:rFonts w:hint="eastAsia" w:ascii="仿宋" w:hAnsi="仿宋" w:eastAsia="仿宋" w:cs="仿宋"/>
                <w:b/>
                <w:sz w:val="24"/>
                <w:szCs w:val="24"/>
              </w:rPr>
            </w:pPr>
          </w:p>
        </w:tc>
      </w:tr>
    </w:tbl>
    <w:p w14:paraId="216F29A7">
      <w:pPr>
        <w:pStyle w:val="42"/>
        <w:spacing w:line="317" w:lineRule="exact"/>
        <w:rPr>
          <w:rFonts w:hint="eastAsia" w:ascii="仿宋" w:hAnsi="仿宋" w:eastAsia="仿宋" w:cs="仿宋"/>
          <w:color w:val="auto"/>
          <w:sz w:val="24"/>
          <w:szCs w:val="24"/>
          <w:highlight w:val="none"/>
        </w:rPr>
      </w:pPr>
    </w:p>
    <w:p w14:paraId="4681B423">
      <w:pPr>
        <w:pStyle w:val="42"/>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71CCF262">
      <w:pPr>
        <w:pStyle w:val="42"/>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报价总计价格必须与《</w:t>
      </w:r>
      <w:r>
        <w:rPr>
          <w:rFonts w:hint="eastAsia" w:ascii="仿宋" w:hAnsi="仿宋" w:eastAsia="仿宋" w:cs="仿宋"/>
          <w:color w:val="auto"/>
          <w:sz w:val="24"/>
          <w:szCs w:val="24"/>
          <w:highlight w:val="none"/>
          <w:lang w:eastAsia="zh-CN"/>
        </w:rPr>
        <w:t>投标报价单</w:t>
      </w:r>
      <w:r>
        <w:rPr>
          <w:rFonts w:hint="eastAsia" w:ascii="仿宋" w:hAnsi="仿宋" w:eastAsia="仿宋" w:cs="仿宋"/>
          <w:color w:val="auto"/>
          <w:sz w:val="24"/>
          <w:szCs w:val="24"/>
          <w:highlight w:val="none"/>
        </w:rPr>
        <w:t>》报价一致。</w:t>
      </w:r>
    </w:p>
    <w:p w14:paraId="669E63CB">
      <w:pPr>
        <w:pStyle w:val="42"/>
        <w:tabs>
          <w:tab w:val="left" w:pos="490"/>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如果不提供详细的分项报价表将被视为没有实质性</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1C3CB47B">
      <w:pPr>
        <w:pStyle w:val="42"/>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3BD59DF0">
      <w:pPr>
        <w:pStyle w:val="42"/>
        <w:tabs>
          <w:tab w:val="left" w:pos="493"/>
        </w:tabs>
        <w:spacing w:line="317" w:lineRule="exact"/>
        <w:ind w:left="176"/>
        <w:rPr>
          <w:rFonts w:ascii="仿宋" w:hAnsi="仿宋" w:eastAsia="仿宋" w:cs="仿宋"/>
          <w:color w:val="auto"/>
          <w:sz w:val="20"/>
          <w:szCs w:val="20"/>
          <w:highlight w:val="none"/>
        </w:rPr>
      </w:pPr>
    </w:p>
    <w:p w14:paraId="45238256">
      <w:pPr>
        <w:pStyle w:val="42"/>
        <w:tabs>
          <w:tab w:val="left" w:pos="493"/>
        </w:tabs>
        <w:spacing w:line="317" w:lineRule="exact"/>
        <w:ind w:left="176"/>
        <w:rPr>
          <w:rFonts w:ascii="仿宋" w:hAnsi="仿宋" w:eastAsia="仿宋" w:cs="仿宋"/>
          <w:color w:val="auto"/>
          <w:sz w:val="20"/>
          <w:szCs w:val="20"/>
          <w:highlight w:val="none"/>
        </w:rPr>
      </w:pPr>
    </w:p>
    <w:p w14:paraId="6FF131A5">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68287CCA">
      <w:pPr>
        <w:pStyle w:val="1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0ECC73C1">
      <w:pPr>
        <w:pStyle w:val="1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958A097">
      <w:pPr>
        <w:spacing w:line="360" w:lineRule="auto"/>
        <w:jc w:val="center"/>
        <w:rPr>
          <w:rFonts w:hint="eastAsia" w:ascii="仿宋" w:hAnsi="仿宋" w:eastAsia="仿宋" w:cs="仿宋"/>
          <w:b/>
          <w:color w:val="auto"/>
          <w:sz w:val="36"/>
          <w:szCs w:val="36"/>
          <w:highlight w:val="none"/>
          <w:lang w:eastAsia="zh-CN"/>
        </w:rPr>
      </w:pPr>
    </w:p>
    <w:p w14:paraId="4932E30E">
      <w:pPr>
        <w:spacing w:line="360" w:lineRule="auto"/>
        <w:jc w:val="center"/>
        <w:rPr>
          <w:rFonts w:hint="eastAsia" w:ascii="仿宋" w:hAnsi="仿宋" w:eastAsia="仿宋" w:cs="仿宋"/>
          <w:b/>
          <w:color w:val="auto"/>
          <w:sz w:val="36"/>
          <w:szCs w:val="36"/>
          <w:highlight w:val="none"/>
          <w:lang w:eastAsia="zh-CN"/>
        </w:rPr>
      </w:pPr>
    </w:p>
    <w:p w14:paraId="338EE5E2">
      <w:pPr>
        <w:spacing w:line="360" w:lineRule="auto"/>
        <w:jc w:val="center"/>
        <w:rPr>
          <w:rFonts w:hint="eastAsia" w:ascii="仿宋" w:hAnsi="仿宋" w:eastAsia="仿宋" w:cs="仿宋"/>
          <w:b/>
          <w:color w:val="auto"/>
          <w:sz w:val="36"/>
          <w:szCs w:val="36"/>
          <w:highlight w:val="none"/>
          <w:lang w:eastAsia="zh-CN"/>
        </w:rPr>
      </w:pPr>
    </w:p>
    <w:p w14:paraId="6B06C0EC">
      <w:pPr>
        <w:spacing w:line="360" w:lineRule="auto"/>
        <w:jc w:val="center"/>
        <w:rPr>
          <w:rFonts w:hint="eastAsia" w:ascii="仿宋" w:hAnsi="仿宋" w:eastAsia="仿宋" w:cs="仿宋"/>
          <w:b/>
          <w:color w:val="auto"/>
          <w:sz w:val="36"/>
          <w:szCs w:val="36"/>
          <w:highlight w:val="none"/>
          <w:lang w:eastAsia="zh-CN"/>
        </w:rPr>
      </w:pPr>
    </w:p>
    <w:p w14:paraId="2D020953">
      <w:pPr>
        <w:spacing w:line="360" w:lineRule="auto"/>
        <w:jc w:val="center"/>
        <w:rPr>
          <w:rFonts w:hint="eastAsia" w:ascii="仿宋" w:hAnsi="仿宋" w:eastAsia="仿宋" w:cs="仿宋"/>
          <w:b/>
          <w:color w:val="auto"/>
          <w:sz w:val="36"/>
          <w:szCs w:val="36"/>
          <w:highlight w:val="none"/>
          <w:lang w:eastAsia="zh-CN"/>
        </w:rPr>
      </w:pPr>
    </w:p>
    <w:p w14:paraId="118248EB">
      <w:pPr>
        <w:spacing w:line="360" w:lineRule="auto"/>
        <w:jc w:val="center"/>
        <w:rPr>
          <w:rFonts w:hint="eastAsia" w:ascii="仿宋" w:hAnsi="仿宋" w:eastAsia="仿宋" w:cs="仿宋"/>
          <w:b/>
          <w:color w:val="auto"/>
          <w:sz w:val="36"/>
          <w:szCs w:val="36"/>
          <w:highlight w:val="none"/>
          <w:lang w:eastAsia="zh-CN"/>
        </w:rPr>
      </w:pPr>
    </w:p>
    <w:p w14:paraId="668C18EB">
      <w:pPr>
        <w:spacing w:line="360" w:lineRule="auto"/>
        <w:jc w:val="center"/>
        <w:rPr>
          <w:rFonts w:hint="eastAsia" w:ascii="仿宋" w:hAnsi="仿宋" w:eastAsia="仿宋" w:cs="仿宋"/>
          <w:b/>
          <w:color w:val="auto"/>
          <w:sz w:val="36"/>
          <w:szCs w:val="36"/>
          <w:highlight w:val="none"/>
          <w:lang w:eastAsia="zh-CN"/>
        </w:rPr>
      </w:pPr>
    </w:p>
    <w:p w14:paraId="2F296C74">
      <w:pPr>
        <w:spacing w:line="360" w:lineRule="auto"/>
        <w:jc w:val="center"/>
        <w:rPr>
          <w:rFonts w:hint="eastAsia" w:ascii="仿宋" w:hAnsi="仿宋" w:eastAsia="仿宋" w:cs="仿宋"/>
          <w:b/>
          <w:color w:val="auto"/>
          <w:sz w:val="36"/>
          <w:szCs w:val="36"/>
          <w:highlight w:val="none"/>
          <w:lang w:eastAsia="zh-CN"/>
        </w:rPr>
      </w:pPr>
    </w:p>
    <w:p w14:paraId="10F7241F">
      <w:pPr>
        <w:spacing w:line="360" w:lineRule="auto"/>
        <w:jc w:val="center"/>
        <w:rPr>
          <w:rFonts w:hint="eastAsia" w:ascii="仿宋" w:hAnsi="仿宋" w:eastAsia="仿宋" w:cs="仿宋"/>
          <w:b/>
          <w:color w:val="auto"/>
          <w:sz w:val="36"/>
          <w:szCs w:val="36"/>
          <w:highlight w:val="none"/>
          <w:lang w:eastAsia="zh-CN"/>
        </w:rPr>
      </w:pPr>
    </w:p>
    <w:p w14:paraId="68CE010A">
      <w:pPr>
        <w:spacing w:line="360" w:lineRule="auto"/>
        <w:jc w:val="center"/>
        <w:rPr>
          <w:rFonts w:hint="eastAsia" w:ascii="仿宋" w:hAnsi="仿宋" w:eastAsia="仿宋" w:cs="仿宋"/>
          <w:b/>
          <w:color w:val="auto"/>
          <w:sz w:val="36"/>
          <w:szCs w:val="36"/>
          <w:highlight w:val="none"/>
          <w:lang w:eastAsia="zh-CN"/>
        </w:rPr>
      </w:pPr>
    </w:p>
    <w:p w14:paraId="6DB83A10">
      <w:pPr>
        <w:spacing w:line="360" w:lineRule="auto"/>
        <w:jc w:val="center"/>
        <w:rPr>
          <w:rFonts w:hint="eastAsia" w:ascii="仿宋" w:hAnsi="仿宋" w:eastAsia="仿宋" w:cs="仿宋"/>
          <w:b/>
          <w:color w:val="auto"/>
          <w:sz w:val="36"/>
          <w:szCs w:val="36"/>
          <w:highlight w:val="none"/>
          <w:lang w:eastAsia="zh-CN"/>
        </w:rPr>
      </w:pPr>
    </w:p>
    <w:p w14:paraId="681708B0">
      <w:pPr>
        <w:spacing w:line="360" w:lineRule="auto"/>
        <w:jc w:val="center"/>
        <w:rPr>
          <w:rFonts w:hint="eastAsia" w:ascii="仿宋" w:hAnsi="仿宋" w:eastAsia="仿宋" w:cs="仿宋"/>
          <w:b/>
          <w:color w:val="auto"/>
          <w:sz w:val="36"/>
          <w:szCs w:val="36"/>
          <w:highlight w:val="none"/>
          <w:lang w:eastAsia="zh-CN"/>
        </w:rPr>
      </w:pPr>
    </w:p>
    <w:p w14:paraId="0A57D738">
      <w:pPr>
        <w:spacing w:line="360" w:lineRule="auto"/>
        <w:jc w:val="center"/>
        <w:rPr>
          <w:rFonts w:hint="eastAsia" w:ascii="仿宋" w:hAnsi="仿宋" w:eastAsia="仿宋" w:cs="仿宋"/>
          <w:b/>
          <w:color w:val="auto"/>
          <w:sz w:val="36"/>
          <w:szCs w:val="36"/>
          <w:highlight w:val="none"/>
          <w:lang w:eastAsia="zh-CN"/>
        </w:rPr>
      </w:pPr>
    </w:p>
    <w:p w14:paraId="65CBCB3B">
      <w:pPr>
        <w:spacing w:line="360" w:lineRule="auto"/>
        <w:jc w:val="center"/>
        <w:rPr>
          <w:rFonts w:hint="eastAsia" w:ascii="仿宋" w:hAnsi="仿宋" w:eastAsia="仿宋" w:cs="仿宋"/>
          <w:b/>
          <w:color w:val="auto"/>
          <w:sz w:val="36"/>
          <w:szCs w:val="36"/>
          <w:highlight w:val="none"/>
          <w:lang w:eastAsia="zh-CN"/>
        </w:rPr>
      </w:pPr>
    </w:p>
    <w:p w14:paraId="179E3E22">
      <w:pPr>
        <w:spacing w:line="360" w:lineRule="auto"/>
        <w:jc w:val="center"/>
        <w:rPr>
          <w:rFonts w:hint="eastAsia" w:ascii="仿宋" w:hAnsi="仿宋" w:eastAsia="仿宋" w:cs="仿宋"/>
          <w:b/>
          <w:color w:val="auto"/>
          <w:sz w:val="36"/>
          <w:szCs w:val="36"/>
          <w:highlight w:val="none"/>
          <w:lang w:eastAsia="zh-CN"/>
        </w:rPr>
      </w:pPr>
    </w:p>
    <w:p w14:paraId="7837A969">
      <w:pPr>
        <w:spacing w:line="360" w:lineRule="auto"/>
        <w:jc w:val="center"/>
        <w:rPr>
          <w:rFonts w:hint="eastAsia" w:ascii="仿宋" w:hAnsi="仿宋" w:eastAsia="仿宋" w:cs="仿宋"/>
          <w:b/>
          <w:color w:val="auto"/>
          <w:sz w:val="36"/>
          <w:szCs w:val="36"/>
          <w:highlight w:val="none"/>
          <w:lang w:eastAsia="zh-CN"/>
        </w:rPr>
      </w:pPr>
    </w:p>
    <w:p w14:paraId="7EE7645E">
      <w:pPr>
        <w:spacing w:line="360" w:lineRule="auto"/>
        <w:jc w:val="center"/>
        <w:rPr>
          <w:rFonts w:hint="eastAsia" w:ascii="仿宋" w:hAnsi="仿宋" w:eastAsia="仿宋" w:cs="仿宋"/>
          <w:b/>
          <w:color w:val="auto"/>
          <w:sz w:val="36"/>
          <w:szCs w:val="36"/>
          <w:highlight w:val="none"/>
          <w:lang w:eastAsia="zh-CN"/>
        </w:rPr>
      </w:pPr>
    </w:p>
    <w:p w14:paraId="18B58585">
      <w:pPr>
        <w:spacing w:line="360" w:lineRule="auto"/>
        <w:jc w:val="center"/>
        <w:rPr>
          <w:rFonts w:hint="eastAsia" w:ascii="仿宋" w:hAnsi="仿宋" w:eastAsia="仿宋" w:cs="仿宋"/>
          <w:b/>
          <w:color w:val="auto"/>
          <w:sz w:val="36"/>
          <w:szCs w:val="36"/>
          <w:highlight w:val="none"/>
          <w:lang w:eastAsia="zh-CN"/>
        </w:rPr>
      </w:pPr>
    </w:p>
    <w:p w14:paraId="155ABA0D">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技术条款偏离表</w:t>
      </w:r>
    </w:p>
    <w:tbl>
      <w:tblPr>
        <w:tblStyle w:val="26"/>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7FA5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7533835">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73E94A48">
            <w:pPr>
              <w:jc w:val="center"/>
              <w:rPr>
                <w:rFonts w:ascii="仿宋" w:hAnsi="仿宋" w:eastAsia="仿宋" w:cs="仿宋"/>
                <w:bCs/>
                <w:color w:val="auto"/>
                <w:highlight w:val="none"/>
              </w:rPr>
            </w:pPr>
            <w:r>
              <w:rPr>
                <w:rFonts w:hint="eastAsia" w:ascii="仿宋" w:hAnsi="仿宋" w:eastAsia="仿宋" w:cs="仿宋"/>
                <w:bCs/>
                <w:color w:val="auto"/>
                <w:highlight w:val="none"/>
                <w:lang w:eastAsia="zh-CN"/>
              </w:rPr>
              <w:t>服务</w:t>
            </w:r>
            <w:r>
              <w:rPr>
                <w:rFonts w:hint="eastAsia" w:ascii="仿宋" w:hAnsi="仿宋" w:eastAsia="仿宋" w:cs="仿宋"/>
                <w:bCs/>
                <w:color w:val="auto"/>
                <w:highlight w:val="none"/>
              </w:rPr>
              <w:t>名称</w:t>
            </w:r>
          </w:p>
        </w:tc>
        <w:tc>
          <w:tcPr>
            <w:tcW w:w="1326" w:type="dxa"/>
            <w:vAlign w:val="center"/>
          </w:tcPr>
          <w:p w14:paraId="1B3C1F7F">
            <w:pPr>
              <w:jc w:val="center"/>
              <w:rPr>
                <w:rFonts w:ascii="仿宋" w:hAnsi="仿宋" w:eastAsia="仿宋" w:cs="仿宋"/>
                <w:bCs/>
                <w:color w:val="auto"/>
                <w:highlight w:val="none"/>
              </w:rPr>
            </w:pPr>
            <w:r>
              <w:rPr>
                <w:rFonts w:hint="eastAsia" w:ascii="仿宋" w:hAnsi="仿宋" w:eastAsia="仿宋" w:cs="仿宋"/>
                <w:bCs/>
                <w:color w:val="auto"/>
                <w:highlight w:val="none"/>
              </w:rPr>
              <w:t>招标文件条目号</w:t>
            </w:r>
          </w:p>
        </w:tc>
        <w:tc>
          <w:tcPr>
            <w:tcW w:w="1326" w:type="dxa"/>
            <w:vAlign w:val="center"/>
          </w:tcPr>
          <w:p w14:paraId="2219FC6B">
            <w:pPr>
              <w:jc w:val="center"/>
              <w:rPr>
                <w:rFonts w:ascii="仿宋" w:hAnsi="仿宋" w:eastAsia="仿宋" w:cs="仿宋"/>
                <w:bCs/>
                <w:color w:val="auto"/>
                <w:highlight w:val="none"/>
              </w:rPr>
            </w:pPr>
            <w:r>
              <w:rPr>
                <w:rFonts w:hint="eastAsia" w:ascii="仿宋" w:hAnsi="仿宋" w:eastAsia="仿宋" w:cs="仿宋"/>
                <w:bCs/>
                <w:color w:val="auto"/>
                <w:highlight w:val="none"/>
              </w:rPr>
              <w:t>招标文件要求规格</w:t>
            </w:r>
          </w:p>
        </w:tc>
        <w:tc>
          <w:tcPr>
            <w:tcW w:w="1326" w:type="dxa"/>
            <w:vAlign w:val="center"/>
          </w:tcPr>
          <w:p w14:paraId="20D18D28">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1CE77638">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7898EBB1">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7A62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9095D81">
            <w:pPr>
              <w:jc w:val="center"/>
              <w:rPr>
                <w:rFonts w:ascii="仿宋" w:hAnsi="仿宋" w:eastAsia="仿宋" w:cs="仿宋"/>
                <w:b/>
                <w:bCs/>
                <w:color w:val="auto"/>
                <w:highlight w:val="none"/>
              </w:rPr>
            </w:pPr>
          </w:p>
        </w:tc>
        <w:tc>
          <w:tcPr>
            <w:tcW w:w="1357" w:type="dxa"/>
          </w:tcPr>
          <w:p w14:paraId="652336EB">
            <w:pPr>
              <w:jc w:val="center"/>
              <w:rPr>
                <w:rFonts w:ascii="仿宋" w:hAnsi="仿宋" w:eastAsia="仿宋" w:cs="仿宋"/>
                <w:b/>
                <w:bCs/>
                <w:color w:val="auto"/>
                <w:highlight w:val="none"/>
              </w:rPr>
            </w:pPr>
          </w:p>
        </w:tc>
        <w:tc>
          <w:tcPr>
            <w:tcW w:w="1326" w:type="dxa"/>
          </w:tcPr>
          <w:p w14:paraId="64BD4E5E">
            <w:pPr>
              <w:jc w:val="center"/>
              <w:rPr>
                <w:rFonts w:ascii="仿宋" w:hAnsi="仿宋" w:eastAsia="仿宋" w:cs="仿宋"/>
                <w:b/>
                <w:bCs/>
                <w:color w:val="auto"/>
                <w:highlight w:val="none"/>
              </w:rPr>
            </w:pPr>
          </w:p>
        </w:tc>
        <w:tc>
          <w:tcPr>
            <w:tcW w:w="1326" w:type="dxa"/>
          </w:tcPr>
          <w:p w14:paraId="38B8EADA">
            <w:pPr>
              <w:jc w:val="center"/>
              <w:rPr>
                <w:rFonts w:ascii="仿宋" w:hAnsi="仿宋" w:eastAsia="仿宋" w:cs="仿宋"/>
                <w:b/>
                <w:bCs/>
                <w:color w:val="auto"/>
                <w:highlight w:val="none"/>
              </w:rPr>
            </w:pPr>
          </w:p>
        </w:tc>
        <w:tc>
          <w:tcPr>
            <w:tcW w:w="1326" w:type="dxa"/>
          </w:tcPr>
          <w:p w14:paraId="6DB3E48A">
            <w:pPr>
              <w:jc w:val="center"/>
              <w:rPr>
                <w:rFonts w:ascii="仿宋" w:hAnsi="仿宋" w:eastAsia="仿宋" w:cs="仿宋"/>
                <w:b/>
                <w:bCs/>
                <w:color w:val="auto"/>
                <w:highlight w:val="none"/>
              </w:rPr>
            </w:pPr>
          </w:p>
        </w:tc>
        <w:tc>
          <w:tcPr>
            <w:tcW w:w="1327" w:type="dxa"/>
          </w:tcPr>
          <w:p w14:paraId="618DE153">
            <w:pPr>
              <w:jc w:val="center"/>
              <w:rPr>
                <w:rFonts w:ascii="仿宋" w:hAnsi="仿宋" w:eastAsia="仿宋" w:cs="仿宋"/>
                <w:b/>
                <w:bCs/>
                <w:color w:val="auto"/>
                <w:highlight w:val="none"/>
                <w:lang w:eastAsia="zh-CN"/>
              </w:rPr>
            </w:pPr>
            <w:r>
              <w:rPr>
                <w:rFonts w:hint="eastAsia" w:ascii="仿宋" w:hAnsi="仿宋" w:eastAsia="仿宋" w:cs="仿宋"/>
                <w:bCs/>
                <w:color w:val="auto"/>
                <w:highlight w:val="none"/>
                <w:lang w:eastAsia="zh-CN"/>
              </w:rPr>
              <w:t>如有正偏离需提供证明材料，证明材料附后(并注明页码)</w:t>
            </w:r>
          </w:p>
        </w:tc>
        <w:tc>
          <w:tcPr>
            <w:tcW w:w="1327" w:type="dxa"/>
          </w:tcPr>
          <w:p w14:paraId="599326C0">
            <w:pPr>
              <w:jc w:val="center"/>
              <w:rPr>
                <w:rFonts w:ascii="仿宋" w:hAnsi="仿宋" w:eastAsia="仿宋" w:cs="仿宋"/>
                <w:b/>
                <w:bCs/>
                <w:color w:val="auto"/>
                <w:highlight w:val="none"/>
                <w:lang w:eastAsia="zh-CN"/>
              </w:rPr>
            </w:pPr>
          </w:p>
        </w:tc>
      </w:tr>
      <w:tr w14:paraId="6AE0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5F0B6B2">
            <w:pPr>
              <w:jc w:val="center"/>
              <w:rPr>
                <w:rFonts w:ascii="仿宋" w:hAnsi="仿宋" w:eastAsia="仿宋" w:cs="仿宋"/>
                <w:b/>
                <w:bCs/>
                <w:color w:val="auto"/>
                <w:highlight w:val="none"/>
                <w:lang w:eastAsia="zh-CN"/>
              </w:rPr>
            </w:pPr>
          </w:p>
        </w:tc>
        <w:tc>
          <w:tcPr>
            <w:tcW w:w="1357" w:type="dxa"/>
          </w:tcPr>
          <w:p w14:paraId="39692E08">
            <w:pPr>
              <w:jc w:val="center"/>
              <w:rPr>
                <w:rFonts w:ascii="仿宋" w:hAnsi="仿宋" w:eastAsia="仿宋" w:cs="仿宋"/>
                <w:b/>
                <w:bCs/>
                <w:color w:val="auto"/>
                <w:highlight w:val="none"/>
                <w:lang w:eastAsia="zh-CN"/>
              </w:rPr>
            </w:pPr>
          </w:p>
        </w:tc>
        <w:tc>
          <w:tcPr>
            <w:tcW w:w="1326" w:type="dxa"/>
          </w:tcPr>
          <w:p w14:paraId="471944BD">
            <w:pPr>
              <w:jc w:val="center"/>
              <w:rPr>
                <w:rFonts w:ascii="仿宋" w:hAnsi="仿宋" w:eastAsia="仿宋" w:cs="仿宋"/>
                <w:b/>
                <w:bCs/>
                <w:color w:val="auto"/>
                <w:highlight w:val="none"/>
                <w:lang w:eastAsia="zh-CN"/>
              </w:rPr>
            </w:pPr>
          </w:p>
        </w:tc>
        <w:tc>
          <w:tcPr>
            <w:tcW w:w="1326" w:type="dxa"/>
          </w:tcPr>
          <w:p w14:paraId="76C2D952">
            <w:pPr>
              <w:jc w:val="center"/>
              <w:rPr>
                <w:rFonts w:ascii="仿宋" w:hAnsi="仿宋" w:eastAsia="仿宋" w:cs="仿宋"/>
                <w:b/>
                <w:bCs/>
                <w:color w:val="auto"/>
                <w:highlight w:val="none"/>
                <w:lang w:eastAsia="zh-CN"/>
              </w:rPr>
            </w:pPr>
          </w:p>
        </w:tc>
        <w:tc>
          <w:tcPr>
            <w:tcW w:w="1326" w:type="dxa"/>
          </w:tcPr>
          <w:p w14:paraId="76C8FAE7">
            <w:pPr>
              <w:jc w:val="center"/>
              <w:rPr>
                <w:rFonts w:ascii="仿宋" w:hAnsi="仿宋" w:eastAsia="仿宋" w:cs="仿宋"/>
                <w:b/>
                <w:bCs/>
                <w:color w:val="auto"/>
                <w:highlight w:val="none"/>
                <w:lang w:eastAsia="zh-CN"/>
              </w:rPr>
            </w:pPr>
          </w:p>
        </w:tc>
        <w:tc>
          <w:tcPr>
            <w:tcW w:w="1327" w:type="dxa"/>
          </w:tcPr>
          <w:p w14:paraId="4953B070">
            <w:pPr>
              <w:jc w:val="center"/>
              <w:rPr>
                <w:rFonts w:ascii="仿宋" w:hAnsi="仿宋" w:eastAsia="仿宋" w:cs="仿宋"/>
                <w:b/>
                <w:bCs/>
                <w:color w:val="auto"/>
                <w:highlight w:val="none"/>
                <w:lang w:eastAsia="zh-CN"/>
              </w:rPr>
            </w:pPr>
          </w:p>
        </w:tc>
        <w:tc>
          <w:tcPr>
            <w:tcW w:w="1327" w:type="dxa"/>
          </w:tcPr>
          <w:p w14:paraId="30A7A8F1">
            <w:pPr>
              <w:jc w:val="center"/>
              <w:rPr>
                <w:rFonts w:ascii="仿宋" w:hAnsi="仿宋" w:eastAsia="仿宋" w:cs="仿宋"/>
                <w:b/>
                <w:bCs/>
                <w:color w:val="auto"/>
                <w:highlight w:val="none"/>
                <w:lang w:eastAsia="zh-CN"/>
              </w:rPr>
            </w:pPr>
          </w:p>
        </w:tc>
      </w:tr>
      <w:tr w14:paraId="35F9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9FC5158">
            <w:pPr>
              <w:jc w:val="center"/>
              <w:rPr>
                <w:rFonts w:ascii="仿宋" w:hAnsi="仿宋" w:eastAsia="仿宋" w:cs="仿宋"/>
                <w:b/>
                <w:bCs/>
                <w:color w:val="auto"/>
                <w:highlight w:val="none"/>
                <w:lang w:eastAsia="zh-CN"/>
              </w:rPr>
            </w:pPr>
          </w:p>
        </w:tc>
        <w:tc>
          <w:tcPr>
            <w:tcW w:w="1357" w:type="dxa"/>
          </w:tcPr>
          <w:p w14:paraId="13903253">
            <w:pPr>
              <w:jc w:val="center"/>
              <w:rPr>
                <w:rFonts w:ascii="仿宋" w:hAnsi="仿宋" w:eastAsia="仿宋" w:cs="仿宋"/>
                <w:b/>
                <w:bCs/>
                <w:color w:val="auto"/>
                <w:highlight w:val="none"/>
                <w:lang w:eastAsia="zh-CN"/>
              </w:rPr>
            </w:pPr>
          </w:p>
        </w:tc>
        <w:tc>
          <w:tcPr>
            <w:tcW w:w="1326" w:type="dxa"/>
          </w:tcPr>
          <w:p w14:paraId="0B1AB427">
            <w:pPr>
              <w:jc w:val="center"/>
              <w:rPr>
                <w:rFonts w:ascii="仿宋" w:hAnsi="仿宋" w:eastAsia="仿宋" w:cs="仿宋"/>
                <w:b/>
                <w:bCs/>
                <w:color w:val="auto"/>
                <w:highlight w:val="none"/>
                <w:lang w:eastAsia="zh-CN"/>
              </w:rPr>
            </w:pPr>
          </w:p>
        </w:tc>
        <w:tc>
          <w:tcPr>
            <w:tcW w:w="1326" w:type="dxa"/>
          </w:tcPr>
          <w:p w14:paraId="534470A6">
            <w:pPr>
              <w:jc w:val="center"/>
              <w:rPr>
                <w:rFonts w:ascii="仿宋" w:hAnsi="仿宋" w:eastAsia="仿宋" w:cs="仿宋"/>
                <w:b/>
                <w:bCs/>
                <w:color w:val="auto"/>
                <w:highlight w:val="none"/>
                <w:lang w:eastAsia="zh-CN"/>
              </w:rPr>
            </w:pPr>
          </w:p>
        </w:tc>
        <w:tc>
          <w:tcPr>
            <w:tcW w:w="1326" w:type="dxa"/>
          </w:tcPr>
          <w:p w14:paraId="49B33E70">
            <w:pPr>
              <w:jc w:val="center"/>
              <w:rPr>
                <w:rFonts w:ascii="仿宋" w:hAnsi="仿宋" w:eastAsia="仿宋" w:cs="仿宋"/>
                <w:b/>
                <w:bCs/>
                <w:color w:val="auto"/>
                <w:highlight w:val="none"/>
                <w:lang w:eastAsia="zh-CN"/>
              </w:rPr>
            </w:pPr>
          </w:p>
        </w:tc>
        <w:tc>
          <w:tcPr>
            <w:tcW w:w="1327" w:type="dxa"/>
          </w:tcPr>
          <w:p w14:paraId="5BCCAC30">
            <w:pPr>
              <w:jc w:val="center"/>
              <w:rPr>
                <w:rFonts w:ascii="仿宋" w:hAnsi="仿宋" w:eastAsia="仿宋" w:cs="仿宋"/>
                <w:b/>
                <w:bCs/>
                <w:color w:val="auto"/>
                <w:highlight w:val="none"/>
                <w:lang w:eastAsia="zh-CN"/>
              </w:rPr>
            </w:pPr>
          </w:p>
        </w:tc>
        <w:tc>
          <w:tcPr>
            <w:tcW w:w="1327" w:type="dxa"/>
          </w:tcPr>
          <w:p w14:paraId="4FD55B82">
            <w:pPr>
              <w:jc w:val="center"/>
              <w:rPr>
                <w:rFonts w:ascii="仿宋" w:hAnsi="仿宋" w:eastAsia="仿宋" w:cs="仿宋"/>
                <w:b/>
                <w:bCs/>
                <w:color w:val="auto"/>
                <w:highlight w:val="none"/>
                <w:lang w:eastAsia="zh-CN"/>
              </w:rPr>
            </w:pPr>
          </w:p>
        </w:tc>
      </w:tr>
      <w:tr w14:paraId="167E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403D1EB">
            <w:pPr>
              <w:jc w:val="center"/>
              <w:rPr>
                <w:rFonts w:ascii="仿宋" w:hAnsi="仿宋" w:eastAsia="仿宋" w:cs="仿宋"/>
                <w:b/>
                <w:bCs/>
                <w:color w:val="auto"/>
                <w:highlight w:val="none"/>
                <w:lang w:eastAsia="zh-CN"/>
              </w:rPr>
            </w:pPr>
          </w:p>
        </w:tc>
        <w:tc>
          <w:tcPr>
            <w:tcW w:w="1357" w:type="dxa"/>
          </w:tcPr>
          <w:p w14:paraId="45107EA2">
            <w:pPr>
              <w:jc w:val="center"/>
              <w:rPr>
                <w:rFonts w:ascii="仿宋" w:hAnsi="仿宋" w:eastAsia="仿宋" w:cs="仿宋"/>
                <w:b/>
                <w:bCs/>
                <w:color w:val="auto"/>
                <w:highlight w:val="none"/>
                <w:lang w:eastAsia="zh-CN"/>
              </w:rPr>
            </w:pPr>
          </w:p>
        </w:tc>
        <w:tc>
          <w:tcPr>
            <w:tcW w:w="1326" w:type="dxa"/>
          </w:tcPr>
          <w:p w14:paraId="2D0D37E2">
            <w:pPr>
              <w:jc w:val="center"/>
              <w:rPr>
                <w:rFonts w:ascii="仿宋" w:hAnsi="仿宋" w:eastAsia="仿宋" w:cs="仿宋"/>
                <w:b/>
                <w:bCs/>
                <w:color w:val="auto"/>
                <w:highlight w:val="none"/>
                <w:lang w:eastAsia="zh-CN"/>
              </w:rPr>
            </w:pPr>
          </w:p>
        </w:tc>
        <w:tc>
          <w:tcPr>
            <w:tcW w:w="1326" w:type="dxa"/>
          </w:tcPr>
          <w:p w14:paraId="38FCAA6E">
            <w:pPr>
              <w:jc w:val="center"/>
              <w:rPr>
                <w:rFonts w:ascii="仿宋" w:hAnsi="仿宋" w:eastAsia="仿宋" w:cs="仿宋"/>
                <w:b/>
                <w:bCs/>
                <w:color w:val="auto"/>
                <w:highlight w:val="none"/>
                <w:lang w:eastAsia="zh-CN"/>
              </w:rPr>
            </w:pPr>
          </w:p>
        </w:tc>
        <w:tc>
          <w:tcPr>
            <w:tcW w:w="1326" w:type="dxa"/>
          </w:tcPr>
          <w:p w14:paraId="40C2F35C">
            <w:pPr>
              <w:jc w:val="center"/>
              <w:rPr>
                <w:rFonts w:ascii="仿宋" w:hAnsi="仿宋" w:eastAsia="仿宋" w:cs="仿宋"/>
                <w:b/>
                <w:bCs/>
                <w:color w:val="auto"/>
                <w:highlight w:val="none"/>
                <w:lang w:eastAsia="zh-CN"/>
              </w:rPr>
            </w:pPr>
          </w:p>
        </w:tc>
        <w:tc>
          <w:tcPr>
            <w:tcW w:w="1327" w:type="dxa"/>
          </w:tcPr>
          <w:p w14:paraId="1A80DB5B">
            <w:pPr>
              <w:jc w:val="center"/>
              <w:rPr>
                <w:rFonts w:ascii="仿宋" w:hAnsi="仿宋" w:eastAsia="仿宋" w:cs="仿宋"/>
                <w:b/>
                <w:bCs/>
                <w:color w:val="auto"/>
                <w:highlight w:val="none"/>
                <w:lang w:eastAsia="zh-CN"/>
              </w:rPr>
            </w:pPr>
          </w:p>
        </w:tc>
        <w:tc>
          <w:tcPr>
            <w:tcW w:w="1327" w:type="dxa"/>
          </w:tcPr>
          <w:p w14:paraId="71BE204A">
            <w:pPr>
              <w:jc w:val="center"/>
              <w:rPr>
                <w:rFonts w:ascii="仿宋" w:hAnsi="仿宋" w:eastAsia="仿宋" w:cs="仿宋"/>
                <w:b/>
                <w:bCs/>
                <w:color w:val="auto"/>
                <w:highlight w:val="none"/>
                <w:lang w:eastAsia="zh-CN"/>
              </w:rPr>
            </w:pPr>
          </w:p>
        </w:tc>
      </w:tr>
      <w:tr w14:paraId="77C92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52BFEAA">
            <w:pPr>
              <w:jc w:val="center"/>
              <w:rPr>
                <w:rFonts w:ascii="仿宋" w:hAnsi="仿宋" w:eastAsia="仿宋" w:cs="仿宋"/>
                <w:b/>
                <w:bCs/>
                <w:color w:val="auto"/>
                <w:highlight w:val="none"/>
                <w:lang w:eastAsia="zh-CN"/>
              </w:rPr>
            </w:pPr>
          </w:p>
        </w:tc>
        <w:tc>
          <w:tcPr>
            <w:tcW w:w="1357" w:type="dxa"/>
          </w:tcPr>
          <w:p w14:paraId="3C73B47C">
            <w:pPr>
              <w:jc w:val="center"/>
              <w:rPr>
                <w:rFonts w:ascii="仿宋" w:hAnsi="仿宋" w:eastAsia="仿宋" w:cs="仿宋"/>
                <w:b/>
                <w:bCs/>
                <w:color w:val="auto"/>
                <w:highlight w:val="none"/>
                <w:lang w:eastAsia="zh-CN"/>
              </w:rPr>
            </w:pPr>
          </w:p>
        </w:tc>
        <w:tc>
          <w:tcPr>
            <w:tcW w:w="1326" w:type="dxa"/>
          </w:tcPr>
          <w:p w14:paraId="6076FD0D">
            <w:pPr>
              <w:jc w:val="center"/>
              <w:rPr>
                <w:rFonts w:ascii="仿宋" w:hAnsi="仿宋" w:eastAsia="仿宋" w:cs="仿宋"/>
                <w:b/>
                <w:bCs/>
                <w:color w:val="auto"/>
                <w:highlight w:val="none"/>
                <w:lang w:eastAsia="zh-CN"/>
              </w:rPr>
            </w:pPr>
          </w:p>
        </w:tc>
        <w:tc>
          <w:tcPr>
            <w:tcW w:w="1326" w:type="dxa"/>
          </w:tcPr>
          <w:p w14:paraId="10367C6D">
            <w:pPr>
              <w:jc w:val="center"/>
              <w:rPr>
                <w:rFonts w:ascii="仿宋" w:hAnsi="仿宋" w:eastAsia="仿宋" w:cs="仿宋"/>
                <w:b/>
                <w:bCs/>
                <w:color w:val="auto"/>
                <w:highlight w:val="none"/>
                <w:lang w:eastAsia="zh-CN"/>
              </w:rPr>
            </w:pPr>
          </w:p>
        </w:tc>
        <w:tc>
          <w:tcPr>
            <w:tcW w:w="1326" w:type="dxa"/>
          </w:tcPr>
          <w:p w14:paraId="1A1B2976">
            <w:pPr>
              <w:jc w:val="center"/>
              <w:rPr>
                <w:rFonts w:ascii="仿宋" w:hAnsi="仿宋" w:eastAsia="仿宋" w:cs="仿宋"/>
                <w:b/>
                <w:bCs/>
                <w:color w:val="auto"/>
                <w:highlight w:val="none"/>
                <w:lang w:eastAsia="zh-CN"/>
              </w:rPr>
            </w:pPr>
          </w:p>
        </w:tc>
        <w:tc>
          <w:tcPr>
            <w:tcW w:w="1327" w:type="dxa"/>
          </w:tcPr>
          <w:p w14:paraId="485E9A3A">
            <w:pPr>
              <w:jc w:val="center"/>
              <w:rPr>
                <w:rFonts w:ascii="仿宋" w:hAnsi="仿宋" w:eastAsia="仿宋" w:cs="仿宋"/>
                <w:b/>
                <w:bCs/>
                <w:color w:val="auto"/>
                <w:highlight w:val="none"/>
                <w:lang w:eastAsia="zh-CN"/>
              </w:rPr>
            </w:pPr>
          </w:p>
        </w:tc>
        <w:tc>
          <w:tcPr>
            <w:tcW w:w="1327" w:type="dxa"/>
          </w:tcPr>
          <w:p w14:paraId="195053CD">
            <w:pPr>
              <w:jc w:val="center"/>
              <w:rPr>
                <w:rFonts w:ascii="仿宋" w:hAnsi="仿宋" w:eastAsia="仿宋" w:cs="仿宋"/>
                <w:b/>
                <w:bCs/>
                <w:color w:val="auto"/>
                <w:highlight w:val="none"/>
                <w:lang w:eastAsia="zh-CN"/>
              </w:rPr>
            </w:pPr>
          </w:p>
        </w:tc>
      </w:tr>
    </w:tbl>
    <w:p w14:paraId="75EB5C0E">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备注：供应商应根据其提供的服务，对照招标文件第四章“ 建设内容及服务要求”中的要求，有差异的，则在此表中列明实际响应的内容提要并加以说明，以便查对。本表包括所有的技术响应及差异。无差异说明表示完全响应。</w:t>
      </w:r>
    </w:p>
    <w:p w14:paraId="71B07F16">
      <w:pPr>
        <w:pStyle w:val="14"/>
        <w:tabs>
          <w:tab w:val="left" w:pos="5580"/>
        </w:tabs>
        <w:spacing w:line="360" w:lineRule="auto"/>
        <w:ind w:firstLine="3120" w:firstLineChars="1300"/>
        <w:rPr>
          <w:rFonts w:ascii="仿宋" w:hAnsi="仿宋" w:eastAsia="仿宋" w:cs="仿宋"/>
          <w:color w:val="auto"/>
          <w:highlight w:val="none"/>
          <w:lang w:eastAsia="zh-CN"/>
        </w:rPr>
      </w:pPr>
    </w:p>
    <w:p w14:paraId="0CF6372B">
      <w:pPr>
        <w:pStyle w:val="14"/>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B0CC549">
      <w:pPr>
        <w:pStyle w:val="14"/>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401ED2B0">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04C6B495">
      <w:pPr>
        <w:pStyle w:val="5"/>
        <w:rPr>
          <w:rFonts w:ascii="仿宋" w:hAnsi="仿宋" w:eastAsia="仿宋" w:cs="仿宋"/>
          <w:color w:val="auto"/>
          <w:sz w:val="36"/>
          <w:szCs w:val="36"/>
          <w:highlight w:val="none"/>
          <w:lang w:eastAsia="zh-CN"/>
        </w:rPr>
      </w:pPr>
    </w:p>
    <w:p w14:paraId="07D054BE">
      <w:pPr>
        <w:rPr>
          <w:rFonts w:ascii="仿宋" w:hAnsi="仿宋" w:eastAsia="仿宋" w:cs="仿宋"/>
          <w:color w:val="auto"/>
          <w:highlight w:val="none"/>
          <w:lang w:eastAsia="zh-CN"/>
        </w:rPr>
      </w:pPr>
    </w:p>
    <w:p w14:paraId="07FE9125">
      <w:pPr>
        <w:pStyle w:val="39"/>
        <w:spacing w:after="0"/>
        <w:ind w:firstLine="420"/>
        <w:jc w:val="center"/>
        <w:rPr>
          <w:rFonts w:ascii="仿宋" w:hAnsi="仿宋" w:eastAsia="仿宋" w:cs="仿宋"/>
          <w:color w:val="auto"/>
          <w:sz w:val="36"/>
          <w:szCs w:val="36"/>
          <w:highlight w:val="none"/>
          <w:lang w:eastAsia="zh-CN"/>
        </w:rPr>
      </w:pPr>
    </w:p>
    <w:p w14:paraId="1DA4C287">
      <w:pPr>
        <w:pStyle w:val="39"/>
        <w:spacing w:after="0"/>
        <w:ind w:firstLine="420"/>
        <w:jc w:val="center"/>
        <w:rPr>
          <w:rFonts w:ascii="仿宋" w:hAnsi="仿宋" w:eastAsia="仿宋" w:cs="仿宋"/>
          <w:color w:val="auto"/>
          <w:sz w:val="36"/>
          <w:szCs w:val="36"/>
          <w:highlight w:val="none"/>
          <w:lang w:eastAsia="zh-CN"/>
        </w:rPr>
      </w:pPr>
    </w:p>
    <w:p w14:paraId="722D9ABE">
      <w:pPr>
        <w:pStyle w:val="39"/>
        <w:spacing w:after="0"/>
        <w:ind w:firstLine="420"/>
        <w:jc w:val="center"/>
        <w:rPr>
          <w:rFonts w:ascii="仿宋" w:hAnsi="仿宋" w:eastAsia="仿宋" w:cs="仿宋"/>
          <w:color w:val="auto"/>
          <w:sz w:val="36"/>
          <w:szCs w:val="36"/>
          <w:highlight w:val="none"/>
          <w:lang w:eastAsia="zh-CN"/>
        </w:rPr>
      </w:pPr>
    </w:p>
    <w:p w14:paraId="4CBFE3AD">
      <w:pPr>
        <w:pStyle w:val="39"/>
        <w:spacing w:after="0"/>
        <w:ind w:firstLine="420"/>
        <w:jc w:val="center"/>
        <w:rPr>
          <w:rFonts w:ascii="仿宋" w:hAnsi="仿宋" w:eastAsia="仿宋" w:cs="仿宋"/>
          <w:color w:val="auto"/>
          <w:sz w:val="36"/>
          <w:szCs w:val="36"/>
          <w:highlight w:val="none"/>
          <w:lang w:eastAsia="zh-CN"/>
        </w:rPr>
      </w:pPr>
    </w:p>
    <w:p w14:paraId="3A4D3ABF">
      <w:pPr>
        <w:pStyle w:val="39"/>
        <w:spacing w:after="0"/>
        <w:ind w:firstLine="420"/>
        <w:jc w:val="center"/>
        <w:rPr>
          <w:rFonts w:ascii="仿宋" w:hAnsi="仿宋" w:eastAsia="仿宋" w:cs="仿宋"/>
          <w:color w:val="auto"/>
          <w:sz w:val="36"/>
          <w:szCs w:val="36"/>
          <w:highlight w:val="none"/>
          <w:lang w:eastAsia="zh-CN"/>
        </w:rPr>
      </w:pPr>
    </w:p>
    <w:p w14:paraId="2BFDE9E3">
      <w:pPr>
        <w:pStyle w:val="39"/>
        <w:spacing w:after="0"/>
        <w:ind w:firstLine="420"/>
        <w:jc w:val="center"/>
        <w:rPr>
          <w:rFonts w:ascii="仿宋" w:hAnsi="仿宋" w:eastAsia="仿宋" w:cs="仿宋"/>
          <w:color w:val="auto"/>
          <w:sz w:val="36"/>
          <w:szCs w:val="36"/>
          <w:highlight w:val="none"/>
          <w:lang w:eastAsia="zh-CN"/>
        </w:rPr>
      </w:pPr>
    </w:p>
    <w:p w14:paraId="39CE859C">
      <w:pPr>
        <w:pStyle w:val="39"/>
        <w:spacing w:after="0"/>
        <w:ind w:firstLine="420"/>
        <w:jc w:val="center"/>
        <w:rPr>
          <w:rFonts w:ascii="仿宋" w:hAnsi="仿宋" w:eastAsia="仿宋" w:cs="仿宋"/>
          <w:color w:val="auto"/>
          <w:sz w:val="36"/>
          <w:szCs w:val="36"/>
          <w:highlight w:val="none"/>
          <w:lang w:eastAsia="zh-CN"/>
        </w:rPr>
      </w:pPr>
    </w:p>
    <w:p w14:paraId="3E8AE216">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00D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D7B0E5">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tcPr>
          <w:p w14:paraId="477FC05D">
            <w:pPr>
              <w:pStyle w:val="14"/>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招标文件条款号</w:t>
            </w:r>
          </w:p>
        </w:tc>
        <w:tc>
          <w:tcPr>
            <w:tcW w:w="2477" w:type="dxa"/>
          </w:tcPr>
          <w:p w14:paraId="670E0F92">
            <w:pPr>
              <w:pStyle w:val="14"/>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1CB9C685">
            <w:pPr>
              <w:pStyle w:val="14"/>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243619A7">
            <w:pPr>
              <w:pStyle w:val="14"/>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4AFD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575F66B">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4E9D8982">
            <w:pPr>
              <w:rPr>
                <w:rFonts w:ascii="仿宋" w:hAnsi="仿宋" w:eastAsia="仿宋" w:cs="仿宋"/>
                <w:color w:val="auto"/>
                <w:spacing w:val="-1"/>
                <w:highlight w:val="none"/>
              </w:rPr>
            </w:pPr>
          </w:p>
        </w:tc>
        <w:tc>
          <w:tcPr>
            <w:tcW w:w="2477" w:type="dxa"/>
            <w:vAlign w:val="center"/>
          </w:tcPr>
          <w:p w14:paraId="0E3108EB">
            <w:pPr>
              <w:rPr>
                <w:rFonts w:ascii="仿宋" w:hAnsi="仿宋" w:eastAsia="仿宋" w:cs="仿宋"/>
                <w:color w:val="auto"/>
                <w:spacing w:val="-1"/>
                <w:highlight w:val="none"/>
              </w:rPr>
            </w:pPr>
          </w:p>
        </w:tc>
        <w:tc>
          <w:tcPr>
            <w:tcW w:w="2454" w:type="dxa"/>
            <w:vAlign w:val="center"/>
          </w:tcPr>
          <w:p w14:paraId="74E4FFF0">
            <w:pPr>
              <w:rPr>
                <w:rFonts w:ascii="仿宋" w:hAnsi="仿宋" w:eastAsia="仿宋" w:cs="仿宋"/>
                <w:color w:val="auto"/>
                <w:spacing w:val="-1"/>
                <w:highlight w:val="none"/>
              </w:rPr>
            </w:pPr>
          </w:p>
        </w:tc>
        <w:tc>
          <w:tcPr>
            <w:tcW w:w="1130" w:type="dxa"/>
            <w:vAlign w:val="center"/>
          </w:tcPr>
          <w:p w14:paraId="5B06A48A">
            <w:pPr>
              <w:rPr>
                <w:rFonts w:ascii="仿宋" w:hAnsi="仿宋" w:eastAsia="仿宋" w:cs="仿宋"/>
                <w:color w:val="auto"/>
                <w:spacing w:val="-1"/>
                <w:highlight w:val="none"/>
              </w:rPr>
            </w:pPr>
          </w:p>
        </w:tc>
      </w:tr>
      <w:tr w14:paraId="164E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C9EEB6F">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5EB55B4D">
            <w:pPr>
              <w:rPr>
                <w:rFonts w:ascii="仿宋" w:hAnsi="仿宋" w:eastAsia="仿宋" w:cs="仿宋"/>
                <w:color w:val="auto"/>
                <w:spacing w:val="-1"/>
                <w:highlight w:val="none"/>
              </w:rPr>
            </w:pPr>
          </w:p>
        </w:tc>
        <w:tc>
          <w:tcPr>
            <w:tcW w:w="2477" w:type="dxa"/>
            <w:vAlign w:val="center"/>
          </w:tcPr>
          <w:p w14:paraId="44731946">
            <w:pPr>
              <w:rPr>
                <w:rFonts w:ascii="仿宋" w:hAnsi="仿宋" w:eastAsia="仿宋" w:cs="仿宋"/>
                <w:color w:val="auto"/>
                <w:spacing w:val="-1"/>
                <w:highlight w:val="none"/>
              </w:rPr>
            </w:pPr>
          </w:p>
        </w:tc>
        <w:tc>
          <w:tcPr>
            <w:tcW w:w="2454" w:type="dxa"/>
            <w:vAlign w:val="center"/>
          </w:tcPr>
          <w:p w14:paraId="1D232A33">
            <w:pPr>
              <w:rPr>
                <w:rFonts w:ascii="仿宋" w:hAnsi="仿宋" w:eastAsia="仿宋" w:cs="仿宋"/>
                <w:color w:val="auto"/>
                <w:spacing w:val="-1"/>
                <w:highlight w:val="none"/>
              </w:rPr>
            </w:pPr>
          </w:p>
        </w:tc>
        <w:tc>
          <w:tcPr>
            <w:tcW w:w="1130" w:type="dxa"/>
            <w:vAlign w:val="center"/>
          </w:tcPr>
          <w:p w14:paraId="61735AC9">
            <w:pPr>
              <w:rPr>
                <w:rFonts w:ascii="仿宋" w:hAnsi="仿宋" w:eastAsia="仿宋" w:cs="仿宋"/>
                <w:color w:val="auto"/>
                <w:spacing w:val="-1"/>
                <w:highlight w:val="none"/>
              </w:rPr>
            </w:pPr>
          </w:p>
        </w:tc>
      </w:tr>
      <w:tr w14:paraId="3D8C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C0DCE49">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5580E053">
            <w:pPr>
              <w:rPr>
                <w:rFonts w:ascii="仿宋" w:hAnsi="仿宋" w:eastAsia="仿宋" w:cs="仿宋"/>
                <w:color w:val="auto"/>
                <w:spacing w:val="-1"/>
                <w:highlight w:val="none"/>
              </w:rPr>
            </w:pPr>
          </w:p>
        </w:tc>
        <w:tc>
          <w:tcPr>
            <w:tcW w:w="2477" w:type="dxa"/>
            <w:vAlign w:val="center"/>
          </w:tcPr>
          <w:p w14:paraId="5CD67657">
            <w:pPr>
              <w:rPr>
                <w:rFonts w:ascii="仿宋" w:hAnsi="仿宋" w:eastAsia="仿宋" w:cs="仿宋"/>
                <w:color w:val="auto"/>
                <w:spacing w:val="-1"/>
                <w:highlight w:val="none"/>
              </w:rPr>
            </w:pPr>
          </w:p>
        </w:tc>
        <w:tc>
          <w:tcPr>
            <w:tcW w:w="2454" w:type="dxa"/>
            <w:vAlign w:val="center"/>
          </w:tcPr>
          <w:p w14:paraId="6D469564">
            <w:pPr>
              <w:rPr>
                <w:rFonts w:ascii="仿宋" w:hAnsi="仿宋" w:eastAsia="仿宋" w:cs="仿宋"/>
                <w:color w:val="auto"/>
                <w:spacing w:val="-1"/>
                <w:highlight w:val="none"/>
              </w:rPr>
            </w:pPr>
          </w:p>
        </w:tc>
        <w:tc>
          <w:tcPr>
            <w:tcW w:w="1130" w:type="dxa"/>
            <w:vAlign w:val="center"/>
          </w:tcPr>
          <w:p w14:paraId="6498CB71">
            <w:pPr>
              <w:rPr>
                <w:rFonts w:ascii="仿宋" w:hAnsi="仿宋" w:eastAsia="仿宋" w:cs="仿宋"/>
                <w:color w:val="auto"/>
                <w:spacing w:val="-1"/>
                <w:highlight w:val="none"/>
              </w:rPr>
            </w:pPr>
          </w:p>
        </w:tc>
      </w:tr>
      <w:tr w14:paraId="0331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43D2ED8">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03A4003F">
            <w:pPr>
              <w:rPr>
                <w:rFonts w:ascii="仿宋" w:hAnsi="仿宋" w:eastAsia="仿宋" w:cs="仿宋"/>
                <w:color w:val="auto"/>
                <w:spacing w:val="-1"/>
                <w:highlight w:val="none"/>
              </w:rPr>
            </w:pPr>
          </w:p>
        </w:tc>
        <w:tc>
          <w:tcPr>
            <w:tcW w:w="2477" w:type="dxa"/>
            <w:vAlign w:val="center"/>
          </w:tcPr>
          <w:p w14:paraId="4D4D669A">
            <w:pPr>
              <w:rPr>
                <w:rFonts w:ascii="仿宋" w:hAnsi="仿宋" w:eastAsia="仿宋" w:cs="仿宋"/>
                <w:color w:val="auto"/>
                <w:spacing w:val="-1"/>
                <w:highlight w:val="none"/>
              </w:rPr>
            </w:pPr>
          </w:p>
        </w:tc>
        <w:tc>
          <w:tcPr>
            <w:tcW w:w="2454" w:type="dxa"/>
            <w:vAlign w:val="center"/>
          </w:tcPr>
          <w:p w14:paraId="4AA51B90">
            <w:pPr>
              <w:rPr>
                <w:rFonts w:ascii="仿宋" w:hAnsi="仿宋" w:eastAsia="仿宋" w:cs="仿宋"/>
                <w:color w:val="auto"/>
                <w:spacing w:val="-1"/>
                <w:highlight w:val="none"/>
              </w:rPr>
            </w:pPr>
          </w:p>
        </w:tc>
        <w:tc>
          <w:tcPr>
            <w:tcW w:w="1130" w:type="dxa"/>
            <w:vAlign w:val="center"/>
          </w:tcPr>
          <w:p w14:paraId="5B5FB5E5">
            <w:pPr>
              <w:rPr>
                <w:rFonts w:ascii="仿宋" w:hAnsi="仿宋" w:eastAsia="仿宋" w:cs="仿宋"/>
                <w:color w:val="auto"/>
                <w:spacing w:val="-1"/>
                <w:highlight w:val="none"/>
              </w:rPr>
            </w:pPr>
          </w:p>
        </w:tc>
      </w:tr>
      <w:tr w14:paraId="4424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218F6C3">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095E7A48">
            <w:pPr>
              <w:rPr>
                <w:rFonts w:ascii="仿宋" w:hAnsi="仿宋" w:eastAsia="仿宋" w:cs="仿宋"/>
                <w:color w:val="auto"/>
                <w:spacing w:val="-1"/>
                <w:highlight w:val="none"/>
              </w:rPr>
            </w:pPr>
          </w:p>
        </w:tc>
        <w:tc>
          <w:tcPr>
            <w:tcW w:w="2477" w:type="dxa"/>
            <w:vAlign w:val="center"/>
          </w:tcPr>
          <w:p w14:paraId="6E60293C">
            <w:pPr>
              <w:rPr>
                <w:rFonts w:ascii="仿宋" w:hAnsi="仿宋" w:eastAsia="仿宋" w:cs="仿宋"/>
                <w:color w:val="auto"/>
                <w:spacing w:val="-1"/>
                <w:highlight w:val="none"/>
              </w:rPr>
            </w:pPr>
          </w:p>
        </w:tc>
        <w:tc>
          <w:tcPr>
            <w:tcW w:w="2454" w:type="dxa"/>
            <w:vAlign w:val="center"/>
          </w:tcPr>
          <w:p w14:paraId="7822B266">
            <w:pPr>
              <w:rPr>
                <w:rFonts w:ascii="仿宋" w:hAnsi="仿宋" w:eastAsia="仿宋" w:cs="仿宋"/>
                <w:color w:val="auto"/>
                <w:spacing w:val="-1"/>
                <w:highlight w:val="none"/>
              </w:rPr>
            </w:pPr>
          </w:p>
        </w:tc>
        <w:tc>
          <w:tcPr>
            <w:tcW w:w="1130" w:type="dxa"/>
            <w:vAlign w:val="center"/>
          </w:tcPr>
          <w:p w14:paraId="571143BF">
            <w:pPr>
              <w:rPr>
                <w:rFonts w:ascii="仿宋" w:hAnsi="仿宋" w:eastAsia="仿宋" w:cs="仿宋"/>
                <w:color w:val="auto"/>
                <w:spacing w:val="-1"/>
                <w:highlight w:val="none"/>
              </w:rPr>
            </w:pPr>
          </w:p>
        </w:tc>
      </w:tr>
      <w:tr w14:paraId="34AA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08B717">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21664C84">
            <w:pPr>
              <w:rPr>
                <w:rFonts w:ascii="仿宋" w:hAnsi="仿宋" w:eastAsia="仿宋" w:cs="仿宋"/>
                <w:color w:val="auto"/>
                <w:spacing w:val="-1"/>
                <w:highlight w:val="none"/>
              </w:rPr>
            </w:pPr>
          </w:p>
        </w:tc>
        <w:tc>
          <w:tcPr>
            <w:tcW w:w="2477" w:type="dxa"/>
            <w:vAlign w:val="center"/>
          </w:tcPr>
          <w:p w14:paraId="28E695EF">
            <w:pPr>
              <w:rPr>
                <w:rFonts w:ascii="仿宋" w:hAnsi="仿宋" w:eastAsia="仿宋" w:cs="仿宋"/>
                <w:color w:val="auto"/>
                <w:spacing w:val="-1"/>
                <w:highlight w:val="none"/>
              </w:rPr>
            </w:pPr>
          </w:p>
        </w:tc>
        <w:tc>
          <w:tcPr>
            <w:tcW w:w="2454" w:type="dxa"/>
            <w:vAlign w:val="center"/>
          </w:tcPr>
          <w:p w14:paraId="323F9520">
            <w:pPr>
              <w:rPr>
                <w:rFonts w:ascii="仿宋" w:hAnsi="仿宋" w:eastAsia="仿宋" w:cs="仿宋"/>
                <w:color w:val="auto"/>
                <w:spacing w:val="-1"/>
                <w:highlight w:val="none"/>
              </w:rPr>
            </w:pPr>
          </w:p>
        </w:tc>
        <w:tc>
          <w:tcPr>
            <w:tcW w:w="1130" w:type="dxa"/>
            <w:vAlign w:val="center"/>
          </w:tcPr>
          <w:p w14:paraId="54559DF4">
            <w:pPr>
              <w:rPr>
                <w:rFonts w:ascii="仿宋" w:hAnsi="仿宋" w:eastAsia="仿宋" w:cs="仿宋"/>
                <w:color w:val="auto"/>
                <w:spacing w:val="-1"/>
                <w:highlight w:val="none"/>
              </w:rPr>
            </w:pPr>
          </w:p>
        </w:tc>
      </w:tr>
      <w:tr w14:paraId="6115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7B977A">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35BB0A69">
            <w:pPr>
              <w:rPr>
                <w:rFonts w:ascii="仿宋" w:hAnsi="仿宋" w:eastAsia="仿宋" w:cs="仿宋"/>
                <w:color w:val="auto"/>
                <w:spacing w:val="-1"/>
                <w:highlight w:val="none"/>
              </w:rPr>
            </w:pPr>
          </w:p>
        </w:tc>
        <w:tc>
          <w:tcPr>
            <w:tcW w:w="2477" w:type="dxa"/>
            <w:vAlign w:val="center"/>
          </w:tcPr>
          <w:p w14:paraId="6477762D">
            <w:pPr>
              <w:rPr>
                <w:rFonts w:ascii="仿宋" w:hAnsi="仿宋" w:eastAsia="仿宋" w:cs="仿宋"/>
                <w:color w:val="auto"/>
                <w:spacing w:val="-1"/>
                <w:highlight w:val="none"/>
              </w:rPr>
            </w:pPr>
          </w:p>
        </w:tc>
        <w:tc>
          <w:tcPr>
            <w:tcW w:w="2454" w:type="dxa"/>
            <w:vAlign w:val="center"/>
          </w:tcPr>
          <w:p w14:paraId="51D2EC99">
            <w:pPr>
              <w:rPr>
                <w:rFonts w:ascii="仿宋" w:hAnsi="仿宋" w:eastAsia="仿宋" w:cs="仿宋"/>
                <w:color w:val="auto"/>
                <w:spacing w:val="-1"/>
                <w:highlight w:val="none"/>
              </w:rPr>
            </w:pPr>
          </w:p>
        </w:tc>
        <w:tc>
          <w:tcPr>
            <w:tcW w:w="1130" w:type="dxa"/>
            <w:vAlign w:val="center"/>
          </w:tcPr>
          <w:p w14:paraId="1544C636">
            <w:pPr>
              <w:rPr>
                <w:rFonts w:ascii="仿宋" w:hAnsi="仿宋" w:eastAsia="仿宋" w:cs="仿宋"/>
                <w:color w:val="auto"/>
                <w:spacing w:val="-1"/>
                <w:highlight w:val="none"/>
              </w:rPr>
            </w:pPr>
          </w:p>
        </w:tc>
      </w:tr>
      <w:tr w14:paraId="76EB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0B1820A">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76AFED85">
            <w:pPr>
              <w:rPr>
                <w:rFonts w:ascii="仿宋" w:hAnsi="仿宋" w:eastAsia="仿宋" w:cs="仿宋"/>
                <w:color w:val="auto"/>
                <w:spacing w:val="-1"/>
                <w:highlight w:val="none"/>
              </w:rPr>
            </w:pPr>
          </w:p>
        </w:tc>
        <w:tc>
          <w:tcPr>
            <w:tcW w:w="2477" w:type="dxa"/>
            <w:vAlign w:val="center"/>
          </w:tcPr>
          <w:p w14:paraId="41B9C89C">
            <w:pPr>
              <w:rPr>
                <w:rFonts w:ascii="仿宋" w:hAnsi="仿宋" w:eastAsia="仿宋" w:cs="仿宋"/>
                <w:color w:val="auto"/>
                <w:spacing w:val="-1"/>
                <w:highlight w:val="none"/>
              </w:rPr>
            </w:pPr>
          </w:p>
        </w:tc>
        <w:tc>
          <w:tcPr>
            <w:tcW w:w="2454" w:type="dxa"/>
            <w:vAlign w:val="center"/>
          </w:tcPr>
          <w:p w14:paraId="03055361">
            <w:pPr>
              <w:rPr>
                <w:rFonts w:ascii="仿宋" w:hAnsi="仿宋" w:eastAsia="仿宋" w:cs="仿宋"/>
                <w:color w:val="auto"/>
                <w:spacing w:val="-1"/>
                <w:highlight w:val="none"/>
              </w:rPr>
            </w:pPr>
          </w:p>
        </w:tc>
        <w:tc>
          <w:tcPr>
            <w:tcW w:w="1130" w:type="dxa"/>
            <w:vAlign w:val="center"/>
          </w:tcPr>
          <w:p w14:paraId="6C7C1A2B">
            <w:pPr>
              <w:rPr>
                <w:rFonts w:ascii="仿宋" w:hAnsi="仿宋" w:eastAsia="仿宋" w:cs="仿宋"/>
                <w:color w:val="auto"/>
                <w:spacing w:val="-1"/>
                <w:highlight w:val="none"/>
              </w:rPr>
            </w:pPr>
          </w:p>
        </w:tc>
      </w:tr>
      <w:tr w14:paraId="5C22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E6C3625">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25B7946C">
            <w:pPr>
              <w:rPr>
                <w:rFonts w:ascii="仿宋" w:hAnsi="仿宋" w:eastAsia="仿宋" w:cs="仿宋"/>
                <w:color w:val="auto"/>
                <w:spacing w:val="-1"/>
                <w:highlight w:val="none"/>
              </w:rPr>
            </w:pPr>
          </w:p>
        </w:tc>
        <w:tc>
          <w:tcPr>
            <w:tcW w:w="2477" w:type="dxa"/>
            <w:vAlign w:val="center"/>
          </w:tcPr>
          <w:p w14:paraId="5BD565E4">
            <w:pPr>
              <w:rPr>
                <w:rFonts w:ascii="仿宋" w:hAnsi="仿宋" w:eastAsia="仿宋" w:cs="仿宋"/>
                <w:color w:val="auto"/>
                <w:spacing w:val="-1"/>
                <w:highlight w:val="none"/>
              </w:rPr>
            </w:pPr>
          </w:p>
        </w:tc>
        <w:tc>
          <w:tcPr>
            <w:tcW w:w="2454" w:type="dxa"/>
            <w:vAlign w:val="center"/>
          </w:tcPr>
          <w:p w14:paraId="5809AD95">
            <w:pPr>
              <w:rPr>
                <w:rFonts w:ascii="仿宋" w:hAnsi="仿宋" w:eastAsia="仿宋" w:cs="仿宋"/>
                <w:color w:val="auto"/>
                <w:spacing w:val="-1"/>
                <w:highlight w:val="none"/>
              </w:rPr>
            </w:pPr>
          </w:p>
        </w:tc>
        <w:tc>
          <w:tcPr>
            <w:tcW w:w="1130" w:type="dxa"/>
            <w:vAlign w:val="center"/>
          </w:tcPr>
          <w:p w14:paraId="6EC12CF9">
            <w:pPr>
              <w:rPr>
                <w:rFonts w:ascii="仿宋" w:hAnsi="仿宋" w:eastAsia="仿宋" w:cs="仿宋"/>
                <w:color w:val="auto"/>
                <w:spacing w:val="-1"/>
                <w:highlight w:val="none"/>
              </w:rPr>
            </w:pPr>
          </w:p>
        </w:tc>
      </w:tr>
      <w:tr w14:paraId="0C46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902E7EE">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40DBA5CE">
            <w:pPr>
              <w:rPr>
                <w:rFonts w:ascii="仿宋" w:hAnsi="仿宋" w:eastAsia="仿宋" w:cs="仿宋"/>
                <w:color w:val="auto"/>
                <w:spacing w:val="-1"/>
                <w:highlight w:val="none"/>
              </w:rPr>
            </w:pPr>
          </w:p>
        </w:tc>
        <w:tc>
          <w:tcPr>
            <w:tcW w:w="2477" w:type="dxa"/>
            <w:vAlign w:val="center"/>
          </w:tcPr>
          <w:p w14:paraId="63C79021">
            <w:pPr>
              <w:rPr>
                <w:rFonts w:ascii="仿宋" w:hAnsi="仿宋" w:eastAsia="仿宋" w:cs="仿宋"/>
                <w:color w:val="auto"/>
                <w:spacing w:val="-1"/>
                <w:highlight w:val="none"/>
              </w:rPr>
            </w:pPr>
          </w:p>
        </w:tc>
        <w:tc>
          <w:tcPr>
            <w:tcW w:w="2454" w:type="dxa"/>
            <w:vAlign w:val="center"/>
          </w:tcPr>
          <w:p w14:paraId="43DCB05A">
            <w:pPr>
              <w:rPr>
                <w:rFonts w:ascii="仿宋" w:hAnsi="仿宋" w:eastAsia="仿宋" w:cs="仿宋"/>
                <w:color w:val="auto"/>
                <w:spacing w:val="-1"/>
                <w:highlight w:val="none"/>
              </w:rPr>
            </w:pPr>
          </w:p>
        </w:tc>
        <w:tc>
          <w:tcPr>
            <w:tcW w:w="1130" w:type="dxa"/>
            <w:vAlign w:val="center"/>
          </w:tcPr>
          <w:p w14:paraId="2989C07A">
            <w:pPr>
              <w:rPr>
                <w:rFonts w:ascii="仿宋" w:hAnsi="仿宋" w:eastAsia="仿宋" w:cs="仿宋"/>
                <w:color w:val="auto"/>
                <w:spacing w:val="-1"/>
                <w:highlight w:val="none"/>
              </w:rPr>
            </w:pPr>
          </w:p>
        </w:tc>
      </w:tr>
      <w:tr w14:paraId="6AB5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511FA7">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731FEFA1">
            <w:pPr>
              <w:rPr>
                <w:rFonts w:ascii="仿宋" w:hAnsi="仿宋" w:eastAsia="仿宋" w:cs="仿宋"/>
                <w:color w:val="auto"/>
                <w:spacing w:val="-1"/>
                <w:highlight w:val="none"/>
              </w:rPr>
            </w:pPr>
          </w:p>
        </w:tc>
        <w:tc>
          <w:tcPr>
            <w:tcW w:w="2477" w:type="dxa"/>
            <w:vAlign w:val="center"/>
          </w:tcPr>
          <w:p w14:paraId="23C90A1C">
            <w:pPr>
              <w:rPr>
                <w:rFonts w:ascii="仿宋" w:hAnsi="仿宋" w:eastAsia="仿宋" w:cs="仿宋"/>
                <w:color w:val="auto"/>
                <w:spacing w:val="-1"/>
                <w:highlight w:val="none"/>
              </w:rPr>
            </w:pPr>
          </w:p>
        </w:tc>
        <w:tc>
          <w:tcPr>
            <w:tcW w:w="2454" w:type="dxa"/>
            <w:vAlign w:val="center"/>
          </w:tcPr>
          <w:p w14:paraId="303AF4B5">
            <w:pPr>
              <w:rPr>
                <w:rFonts w:ascii="仿宋" w:hAnsi="仿宋" w:eastAsia="仿宋" w:cs="仿宋"/>
                <w:color w:val="auto"/>
                <w:spacing w:val="-1"/>
                <w:highlight w:val="none"/>
              </w:rPr>
            </w:pPr>
          </w:p>
        </w:tc>
        <w:tc>
          <w:tcPr>
            <w:tcW w:w="1130" w:type="dxa"/>
            <w:vAlign w:val="center"/>
          </w:tcPr>
          <w:p w14:paraId="54420BE0">
            <w:pPr>
              <w:rPr>
                <w:rFonts w:ascii="仿宋" w:hAnsi="仿宋" w:eastAsia="仿宋" w:cs="仿宋"/>
                <w:color w:val="auto"/>
                <w:spacing w:val="-1"/>
                <w:highlight w:val="none"/>
              </w:rPr>
            </w:pPr>
          </w:p>
        </w:tc>
      </w:tr>
      <w:tr w14:paraId="7957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11966FF">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0D411CD2">
            <w:pPr>
              <w:rPr>
                <w:rFonts w:ascii="仿宋" w:hAnsi="仿宋" w:eastAsia="仿宋" w:cs="仿宋"/>
                <w:color w:val="auto"/>
                <w:spacing w:val="-1"/>
                <w:highlight w:val="none"/>
              </w:rPr>
            </w:pPr>
          </w:p>
        </w:tc>
        <w:tc>
          <w:tcPr>
            <w:tcW w:w="2477" w:type="dxa"/>
            <w:vAlign w:val="center"/>
          </w:tcPr>
          <w:p w14:paraId="31521169">
            <w:pPr>
              <w:rPr>
                <w:rFonts w:ascii="仿宋" w:hAnsi="仿宋" w:eastAsia="仿宋" w:cs="仿宋"/>
                <w:color w:val="auto"/>
                <w:spacing w:val="-1"/>
                <w:highlight w:val="none"/>
              </w:rPr>
            </w:pPr>
          </w:p>
        </w:tc>
        <w:tc>
          <w:tcPr>
            <w:tcW w:w="2454" w:type="dxa"/>
            <w:vAlign w:val="center"/>
          </w:tcPr>
          <w:p w14:paraId="66133092">
            <w:pPr>
              <w:rPr>
                <w:rFonts w:ascii="仿宋" w:hAnsi="仿宋" w:eastAsia="仿宋" w:cs="仿宋"/>
                <w:color w:val="auto"/>
                <w:spacing w:val="-1"/>
                <w:highlight w:val="none"/>
              </w:rPr>
            </w:pPr>
          </w:p>
        </w:tc>
        <w:tc>
          <w:tcPr>
            <w:tcW w:w="1130" w:type="dxa"/>
            <w:vAlign w:val="center"/>
          </w:tcPr>
          <w:p w14:paraId="5DA9FF18">
            <w:pPr>
              <w:rPr>
                <w:rFonts w:ascii="仿宋" w:hAnsi="仿宋" w:eastAsia="仿宋" w:cs="仿宋"/>
                <w:color w:val="auto"/>
                <w:spacing w:val="-1"/>
                <w:highlight w:val="none"/>
              </w:rPr>
            </w:pPr>
          </w:p>
        </w:tc>
      </w:tr>
      <w:tr w14:paraId="31FC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92A3E50">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46A4BDE2">
            <w:pPr>
              <w:rPr>
                <w:rFonts w:ascii="仿宋" w:hAnsi="仿宋" w:eastAsia="仿宋" w:cs="仿宋"/>
                <w:color w:val="auto"/>
                <w:spacing w:val="-1"/>
                <w:highlight w:val="none"/>
              </w:rPr>
            </w:pPr>
          </w:p>
        </w:tc>
        <w:tc>
          <w:tcPr>
            <w:tcW w:w="2477" w:type="dxa"/>
            <w:vAlign w:val="center"/>
          </w:tcPr>
          <w:p w14:paraId="1FDC95D5">
            <w:pPr>
              <w:rPr>
                <w:rFonts w:ascii="仿宋" w:hAnsi="仿宋" w:eastAsia="仿宋" w:cs="仿宋"/>
                <w:color w:val="auto"/>
                <w:spacing w:val="-1"/>
                <w:highlight w:val="none"/>
              </w:rPr>
            </w:pPr>
          </w:p>
        </w:tc>
        <w:tc>
          <w:tcPr>
            <w:tcW w:w="2454" w:type="dxa"/>
            <w:vAlign w:val="center"/>
          </w:tcPr>
          <w:p w14:paraId="343C49A6">
            <w:pPr>
              <w:rPr>
                <w:rFonts w:ascii="仿宋" w:hAnsi="仿宋" w:eastAsia="仿宋" w:cs="仿宋"/>
                <w:color w:val="auto"/>
                <w:spacing w:val="-1"/>
                <w:highlight w:val="none"/>
              </w:rPr>
            </w:pPr>
          </w:p>
        </w:tc>
        <w:tc>
          <w:tcPr>
            <w:tcW w:w="1130" w:type="dxa"/>
            <w:vAlign w:val="center"/>
          </w:tcPr>
          <w:p w14:paraId="406348D8">
            <w:pPr>
              <w:rPr>
                <w:rFonts w:ascii="仿宋" w:hAnsi="仿宋" w:eastAsia="仿宋" w:cs="仿宋"/>
                <w:color w:val="auto"/>
                <w:spacing w:val="-1"/>
                <w:highlight w:val="none"/>
              </w:rPr>
            </w:pPr>
          </w:p>
        </w:tc>
      </w:tr>
      <w:tr w14:paraId="2EFE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A3A23DC">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28ABE04">
            <w:pPr>
              <w:rPr>
                <w:rFonts w:ascii="仿宋" w:hAnsi="仿宋" w:eastAsia="仿宋" w:cs="仿宋"/>
                <w:color w:val="auto"/>
                <w:spacing w:val="-1"/>
                <w:highlight w:val="none"/>
              </w:rPr>
            </w:pPr>
          </w:p>
        </w:tc>
        <w:tc>
          <w:tcPr>
            <w:tcW w:w="2477" w:type="dxa"/>
            <w:vAlign w:val="center"/>
          </w:tcPr>
          <w:p w14:paraId="0F016AC8">
            <w:pPr>
              <w:rPr>
                <w:rFonts w:ascii="仿宋" w:hAnsi="仿宋" w:eastAsia="仿宋" w:cs="仿宋"/>
                <w:color w:val="auto"/>
                <w:spacing w:val="-1"/>
                <w:highlight w:val="none"/>
              </w:rPr>
            </w:pPr>
          </w:p>
        </w:tc>
        <w:tc>
          <w:tcPr>
            <w:tcW w:w="2454" w:type="dxa"/>
            <w:vAlign w:val="center"/>
          </w:tcPr>
          <w:p w14:paraId="45F43A4D">
            <w:pPr>
              <w:rPr>
                <w:rFonts w:ascii="仿宋" w:hAnsi="仿宋" w:eastAsia="仿宋" w:cs="仿宋"/>
                <w:color w:val="auto"/>
                <w:spacing w:val="-1"/>
                <w:highlight w:val="none"/>
              </w:rPr>
            </w:pPr>
          </w:p>
        </w:tc>
        <w:tc>
          <w:tcPr>
            <w:tcW w:w="1130" w:type="dxa"/>
            <w:vAlign w:val="center"/>
          </w:tcPr>
          <w:p w14:paraId="577DABF8">
            <w:pPr>
              <w:rPr>
                <w:rFonts w:ascii="仿宋" w:hAnsi="仿宋" w:eastAsia="仿宋" w:cs="仿宋"/>
                <w:color w:val="auto"/>
                <w:spacing w:val="-1"/>
                <w:highlight w:val="none"/>
              </w:rPr>
            </w:pPr>
          </w:p>
        </w:tc>
      </w:tr>
      <w:tr w14:paraId="504A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C4A3A79">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03E6A591">
            <w:pPr>
              <w:rPr>
                <w:rFonts w:ascii="仿宋" w:hAnsi="仿宋" w:eastAsia="仿宋" w:cs="仿宋"/>
                <w:color w:val="auto"/>
                <w:spacing w:val="-1"/>
                <w:highlight w:val="none"/>
              </w:rPr>
            </w:pPr>
          </w:p>
        </w:tc>
        <w:tc>
          <w:tcPr>
            <w:tcW w:w="2477" w:type="dxa"/>
            <w:vAlign w:val="center"/>
          </w:tcPr>
          <w:p w14:paraId="699C2067">
            <w:pPr>
              <w:rPr>
                <w:rFonts w:ascii="仿宋" w:hAnsi="仿宋" w:eastAsia="仿宋" w:cs="仿宋"/>
                <w:color w:val="auto"/>
                <w:spacing w:val="-1"/>
                <w:highlight w:val="none"/>
              </w:rPr>
            </w:pPr>
          </w:p>
        </w:tc>
        <w:tc>
          <w:tcPr>
            <w:tcW w:w="2454" w:type="dxa"/>
            <w:vAlign w:val="center"/>
          </w:tcPr>
          <w:p w14:paraId="440488F4">
            <w:pPr>
              <w:rPr>
                <w:rFonts w:ascii="仿宋" w:hAnsi="仿宋" w:eastAsia="仿宋" w:cs="仿宋"/>
                <w:color w:val="auto"/>
                <w:spacing w:val="-1"/>
                <w:highlight w:val="none"/>
              </w:rPr>
            </w:pPr>
          </w:p>
        </w:tc>
        <w:tc>
          <w:tcPr>
            <w:tcW w:w="1130" w:type="dxa"/>
            <w:vAlign w:val="center"/>
          </w:tcPr>
          <w:p w14:paraId="760A48E3">
            <w:pPr>
              <w:rPr>
                <w:rFonts w:ascii="仿宋" w:hAnsi="仿宋" w:eastAsia="仿宋" w:cs="仿宋"/>
                <w:color w:val="auto"/>
                <w:spacing w:val="-1"/>
                <w:highlight w:val="none"/>
              </w:rPr>
            </w:pPr>
          </w:p>
        </w:tc>
      </w:tr>
    </w:tbl>
    <w:p w14:paraId="07011DC0">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注：请在“偏离说明”栏内扼要说明偏离情况，如无偏离则不需列明。</w:t>
      </w:r>
    </w:p>
    <w:p w14:paraId="5480B103">
      <w:pPr>
        <w:pStyle w:val="1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48AC5FFD">
      <w:pPr>
        <w:pStyle w:val="12"/>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763440E1">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42E1AC1F">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CC2D509">
      <w:pPr>
        <w:pStyle w:val="1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421306D9">
      <w:pPr>
        <w:pStyle w:val="39"/>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74412DA">
      <w:pPr>
        <w:pStyle w:val="39"/>
        <w:spacing w:after="0"/>
        <w:ind w:firstLine="420"/>
        <w:jc w:val="center"/>
        <w:rPr>
          <w:rFonts w:ascii="仿宋" w:hAnsi="仿宋" w:eastAsia="仿宋" w:cs="仿宋"/>
          <w:color w:val="auto"/>
          <w:sz w:val="36"/>
          <w:szCs w:val="36"/>
          <w:highlight w:val="none"/>
        </w:rPr>
      </w:pPr>
    </w:p>
    <w:p w14:paraId="788B8034">
      <w:pPr>
        <w:pStyle w:val="40"/>
        <w:tabs>
          <w:tab w:val="left" w:pos="826"/>
        </w:tabs>
        <w:spacing w:line="470" w:lineRule="exact"/>
        <w:ind w:firstLine="0"/>
        <w:jc w:val="center"/>
        <w:rPr>
          <w:rFonts w:ascii="仿宋" w:hAnsi="仿宋" w:eastAsia="仿宋" w:cs="仿宋"/>
          <w:color w:val="auto"/>
          <w:sz w:val="21"/>
          <w:szCs w:val="21"/>
          <w:highlight w:val="none"/>
        </w:rPr>
      </w:pPr>
    </w:p>
    <w:p w14:paraId="6D33C0A4">
      <w:pPr>
        <w:pStyle w:val="40"/>
        <w:tabs>
          <w:tab w:val="left" w:pos="826"/>
        </w:tabs>
        <w:spacing w:line="470" w:lineRule="exact"/>
        <w:ind w:firstLine="0"/>
        <w:jc w:val="center"/>
        <w:rPr>
          <w:rFonts w:ascii="仿宋" w:hAnsi="仿宋" w:eastAsia="仿宋" w:cs="仿宋"/>
          <w:color w:val="auto"/>
          <w:sz w:val="21"/>
          <w:szCs w:val="21"/>
          <w:highlight w:val="none"/>
        </w:rPr>
      </w:pPr>
    </w:p>
    <w:p w14:paraId="37080917">
      <w:pPr>
        <w:pStyle w:val="40"/>
        <w:tabs>
          <w:tab w:val="left" w:pos="826"/>
        </w:tabs>
        <w:spacing w:line="470" w:lineRule="exact"/>
        <w:ind w:firstLine="0"/>
        <w:jc w:val="center"/>
        <w:rPr>
          <w:rFonts w:ascii="仿宋" w:hAnsi="仿宋" w:eastAsia="仿宋" w:cs="仿宋"/>
          <w:color w:val="auto"/>
          <w:sz w:val="21"/>
          <w:szCs w:val="21"/>
          <w:highlight w:val="none"/>
        </w:rPr>
      </w:pPr>
    </w:p>
    <w:p w14:paraId="5B6D24F3">
      <w:pPr>
        <w:jc w:val="center"/>
        <w:rPr>
          <w:rFonts w:hint="eastAsia" w:ascii="仿宋" w:hAnsi="仿宋" w:eastAsia="仿宋" w:cs="仿宋"/>
          <w:b/>
          <w:bCs/>
          <w:color w:val="auto"/>
          <w:sz w:val="30"/>
          <w:szCs w:val="30"/>
          <w:highlight w:val="none"/>
          <w:lang w:eastAsia="zh-CN"/>
        </w:rPr>
      </w:pPr>
    </w:p>
    <w:p w14:paraId="3FB43CC8">
      <w:pPr>
        <w:jc w:val="center"/>
        <w:rPr>
          <w:rFonts w:hint="eastAsia" w:ascii="仿宋" w:hAnsi="仿宋" w:eastAsia="仿宋" w:cs="仿宋"/>
          <w:b/>
          <w:bCs/>
          <w:color w:val="auto"/>
          <w:sz w:val="30"/>
          <w:szCs w:val="30"/>
          <w:highlight w:val="none"/>
          <w:lang w:eastAsia="zh-CN"/>
        </w:rPr>
      </w:pPr>
    </w:p>
    <w:p w14:paraId="7F0498D7">
      <w:pPr>
        <w:jc w:val="center"/>
        <w:rPr>
          <w:rFonts w:hint="eastAsia" w:ascii="仿宋" w:hAnsi="仿宋" w:eastAsia="仿宋" w:cs="仿宋"/>
          <w:b/>
          <w:bCs/>
          <w:color w:val="auto"/>
          <w:sz w:val="30"/>
          <w:szCs w:val="30"/>
          <w:highlight w:val="none"/>
          <w:lang w:eastAsia="zh-CN"/>
        </w:rPr>
      </w:pPr>
    </w:p>
    <w:p w14:paraId="235CB680">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6E39F1D2">
      <w:pPr>
        <w:pStyle w:val="12"/>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D3E3D8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1F1F45E">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C739A35">
            <w:pPr>
              <w:rPr>
                <w:rFonts w:ascii="仿宋" w:hAnsi="仿宋" w:eastAsia="仿宋" w:cs="仿宋"/>
                <w:color w:val="auto"/>
                <w:highlight w:val="none"/>
              </w:rPr>
            </w:pPr>
          </w:p>
        </w:tc>
      </w:tr>
      <w:tr w14:paraId="3C70CCD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2B2B7B4">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260A50AE">
            <w:pPr>
              <w:rPr>
                <w:rFonts w:ascii="仿宋" w:hAnsi="仿宋" w:eastAsia="仿宋" w:cs="仿宋"/>
                <w:color w:val="auto"/>
                <w:highlight w:val="none"/>
              </w:rPr>
            </w:pPr>
          </w:p>
        </w:tc>
      </w:tr>
      <w:tr w14:paraId="24C523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22632E0">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EEE51CB">
            <w:pPr>
              <w:rPr>
                <w:rFonts w:ascii="仿宋" w:hAnsi="仿宋" w:eastAsia="仿宋" w:cs="仿宋"/>
                <w:color w:val="auto"/>
                <w:highlight w:val="none"/>
              </w:rPr>
            </w:pPr>
          </w:p>
        </w:tc>
      </w:tr>
      <w:tr w14:paraId="7A74269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A8805C">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D7637ED">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B232BB2">
            <w:pPr>
              <w:pStyle w:val="43"/>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441646F5">
            <w:pPr>
              <w:rPr>
                <w:rFonts w:ascii="仿宋" w:hAnsi="仿宋" w:eastAsia="仿宋" w:cs="仿宋"/>
                <w:color w:val="auto"/>
                <w:highlight w:val="none"/>
              </w:rPr>
            </w:pPr>
          </w:p>
        </w:tc>
      </w:tr>
      <w:tr w14:paraId="0BF755B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DEA18CC">
            <w:pPr>
              <w:pStyle w:val="43"/>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12F5CCA5">
            <w:pPr>
              <w:rPr>
                <w:rFonts w:ascii="仿宋" w:hAnsi="仿宋" w:eastAsia="仿宋" w:cs="仿宋"/>
                <w:color w:val="auto"/>
                <w:highlight w:val="none"/>
              </w:rPr>
            </w:pPr>
          </w:p>
        </w:tc>
      </w:tr>
      <w:tr w14:paraId="7389A89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163B83C">
            <w:pPr>
              <w:pStyle w:val="43"/>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9A893C8">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1BFA1226">
            <w:pPr>
              <w:pStyle w:val="43"/>
              <w:kinsoku w:val="0"/>
              <w:overflowPunct w:val="0"/>
              <w:spacing w:before="4"/>
              <w:rPr>
                <w:rFonts w:ascii="仿宋" w:hAnsi="仿宋" w:eastAsia="仿宋" w:cs="仿宋"/>
                <w:b/>
                <w:bCs/>
                <w:color w:val="auto"/>
                <w:sz w:val="20"/>
                <w:szCs w:val="20"/>
                <w:highlight w:val="none"/>
              </w:rPr>
            </w:pPr>
          </w:p>
          <w:p w14:paraId="752C7E12">
            <w:pPr>
              <w:pStyle w:val="43"/>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4134F504">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CA49354">
            <w:pPr>
              <w:pStyle w:val="43"/>
              <w:kinsoku w:val="0"/>
              <w:overflowPunct w:val="0"/>
              <w:spacing w:before="4"/>
              <w:rPr>
                <w:rFonts w:ascii="仿宋" w:hAnsi="仿宋" w:eastAsia="仿宋" w:cs="仿宋"/>
                <w:b/>
                <w:bCs/>
                <w:color w:val="auto"/>
                <w:sz w:val="20"/>
                <w:szCs w:val="20"/>
                <w:highlight w:val="none"/>
              </w:rPr>
            </w:pPr>
          </w:p>
          <w:p w14:paraId="581182A2">
            <w:pPr>
              <w:pStyle w:val="43"/>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F724ECA">
            <w:pPr>
              <w:rPr>
                <w:rFonts w:ascii="仿宋" w:hAnsi="仿宋" w:eastAsia="仿宋" w:cs="仿宋"/>
                <w:color w:val="auto"/>
                <w:highlight w:val="none"/>
              </w:rPr>
            </w:pPr>
          </w:p>
        </w:tc>
      </w:tr>
      <w:tr w14:paraId="0D7FDA0B">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A96100E">
            <w:pPr>
              <w:pStyle w:val="43"/>
              <w:kinsoku w:val="0"/>
              <w:overflowPunct w:val="0"/>
              <w:rPr>
                <w:rFonts w:ascii="仿宋" w:hAnsi="仿宋" w:eastAsia="仿宋" w:cs="仿宋"/>
                <w:b/>
                <w:bCs/>
                <w:color w:val="auto"/>
                <w:highlight w:val="none"/>
              </w:rPr>
            </w:pPr>
          </w:p>
          <w:p w14:paraId="3A9D558F">
            <w:pPr>
              <w:pStyle w:val="43"/>
              <w:kinsoku w:val="0"/>
              <w:overflowPunct w:val="0"/>
              <w:rPr>
                <w:rFonts w:ascii="仿宋" w:hAnsi="仿宋" w:eastAsia="仿宋" w:cs="仿宋"/>
                <w:b/>
                <w:bCs/>
                <w:color w:val="auto"/>
                <w:highlight w:val="none"/>
              </w:rPr>
            </w:pPr>
          </w:p>
          <w:p w14:paraId="36831C2C">
            <w:pPr>
              <w:pStyle w:val="43"/>
              <w:kinsoku w:val="0"/>
              <w:overflowPunct w:val="0"/>
              <w:rPr>
                <w:rFonts w:ascii="仿宋" w:hAnsi="仿宋" w:eastAsia="仿宋" w:cs="仿宋"/>
                <w:b/>
                <w:bCs/>
                <w:color w:val="auto"/>
                <w:highlight w:val="none"/>
              </w:rPr>
            </w:pPr>
          </w:p>
          <w:p w14:paraId="6E6D6923">
            <w:pPr>
              <w:pStyle w:val="43"/>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5907DB6B">
            <w:pPr>
              <w:pStyle w:val="43"/>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6AF54C2">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216CA03D">
            <w:pPr>
              <w:pStyle w:val="43"/>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DA23EEF">
            <w:pPr>
              <w:rPr>
                <w:rFonts w:ascii="仿宋" w:hAnsi="仿宋" w:eastAsia="仿宋" w:cs="仿宋"/>
                <w:color w:val="auto"/>
                <w:highlight w:val="none"/>
              </w:rPr>
            </w:pPr>
          </w:p>
        </w:tc>
      </w:tr>
      <w:tr w14:paraId="472BD67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A8593A5">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227AD81">
            <w:pPr>
              <w:pStyle w:val="43"/>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3E92F0F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D9595BB">
            <w:pPr>
              <w:pStyle w:val="43"/>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5A7E5BFA">
            <w:pPr>
              <w:pStyle w:val="43"/>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63AA804">
            <w:pPr>
              <w:pStyle w:val="43"/>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5E26D928">
            <w:pPr>
              <w:pStyle w:val="43"/>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5AE8AF7A">
            <w:pPr>
              <w:pStyle w:val="43"/>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27401E9E">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97F2F50">
            <w:pPr>
              <w:pStyle w:val="43"/>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5B166249">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38ADAB2">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0A8BC26">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B946111">
            <w:pPr>
              <w:rPr>
                <w:rFonts w:ascii="仿宋" w:hAnsi="仿宋" w:eastAsia="仿宋" w:cs="仿宋"/>
                <w:color w:val="auto"/>
                <w:highlight w:val="none"/>
              </w:rPr>
            </w:pPr>
          </w:p>
        </w:tc>
      </w:tr>
      <w:tr w14:paraId="503B703C">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2B55003">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F1E3791">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E53CF7">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675DEB4">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D76A605">
            <w:pPr>
              <w:rPr>
                <w:rFonts w:ascii="仿宋" w:hAnsi="仿宋" w:eastAsia="仿宋" w:cs="仿宋"/>
                <w:color w:val="auto"/>
                <w:highlight w:val="none"/>
              </w:rPr>
            </w:pPr>
          </w:p>
        </w:tc>
      </w:tr>
      <w:tr w14:paraId="4DC26145">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32E1193">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0244F8E">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3699A5E">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65BD6C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A24C703">
            <w:pPr>
              <w:rPr>
                <w:rFonts w:ascii="仿宋" w:hAnsi="仿宋" w:eastAsia="仿宋" w:cs="仿宋"/>
                <w:color w:val="auto"/>
                <w:highlight w:val="none"/>
              </w:rPr>
            </w:pPr>
          </w:p>
        </w:tc>
      </w:tr>
      <w:tr w14:paraId="0948AC44">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E92ADBE">
            <w:pPr>
              <w:pStyle w:val="43"/>
              <w:kinsoku w:val="0"/>
              <w:overflowPunct w:val="0"/>
              <w:spacing w:before="1"/>
              <w:rPr>
                <w:rFonts w:ascii="仿宋" w:hAnsi="仿宋" w:eastAsia="仿宋" w:cs="仿宋"/>
                <w:b/>
                <w:bCs/>
                <w:color w:val="auto"/>
                <w:sz w:val="23"/>
                <w:szCs w:val="23"/>
                <w:highlight w:val="none"/>
              </w:rPr>
            </w:pPr>
          </w:p>
          <w:p w14:paraId="2E5A18EC">
            <w:pPr>
              <w:pStyle w:val="43"/>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109477F9">
            <w:pPr>
              <w:rPr>
                <w:rFonts w:ascii="仿宋" w:hAnsi="仿宋" w:eastAsia="仿宋" w:cs="仿宋"/>
                <w:color w:val="auto"/>
                <w:highlight w:val="none"/>
              </w:rPr>
            </w:pPr>
          </w:p>
        </w:tc>
      </w:tr>
    </w:tbl>
    <w:p w14:paraId="3A2D1D0C">
      <w:pPr>
        <w:pStyle w:val="40"/>
        <w:spacing w:line="440" w:lineRule="exact"/>
        <w:ind w:firstLine="0"/>
        <w:jc w:val="both"/>
        <w:rPr>
          <w:rFonts w:ascii="仿宋" w:hAnsi="仿宋" w:eastAsia="仿宋" w:cs="仿宋"/>
          <w:b/>
          <w:color w:val="auto"/>
          <w:sz w:val="30"/>
          <w:szCs w:val="30"/>
          <w:highlight w:val="none"/>
        </w:rPr>
      </w:pPr>
    </w:p>
    <w:p w14:paraId="2463C662">
      <w:pPr>
        <w:pStyle w:val="40"/>
        <w:spacing w:line="440" w:lineRule="exact"/>
        <w:ind w:firstLine="0"/>
        <w:jc w:val="both"/>
        <w:rPr>
          <w:rFonts w:ascii="仿宋" w:hAnsi="仿宋" w:eastAsia="仿宋" w:cs="仿宋"/>
          <w:b/>
          <w:color w:val="auto"/>
          <w:sz w:val="30"/>
          <w:szCs w:val="30"/>
          <w:highlight w:val="none"/>
        </w:rPr>
      </w:pPr>
    </w:p>
    <w:p w14:paraId="58FFF42B">
      <w:pPr>
        <w:pStyle w:val="40"/>
        <w:spacing w:line="440" w:lineRule="exact"/>
        <w:ind w:firstLine="0"/>
        <w:jc w:val="both"/>
        <w:rPr>
          <w:rFonts w:ascii="仿宋" w:hAnsi="仿宋" w:eastAsia="仿宋" w:cs="仿宋"/>
          <w:b/>
          <w:color w:val="auto"/>
          <w:sz w:val="30"/>
          <w:szCs w:val="30"/>
          <w:highlight w:val="none"/>
        </w:rPr>
      </w:pPr>
    </w:p>
    <w:p w14:paraId="079151E8">
      <w:pPr>
        <w:pStyle w:val="40"/>
        <w:spacing w:line="440" w:lineRule="exact"/>
        <w:ind w:firstLine="0"/>
        <w:jc w:val="both"/>
        <w:rPr>
          <w:rFonts w:ascii="仿宋" w:hAnsi="仿宋" w:eastAsia="仿宋" w:cs="仿宋"/>
          <w:b/>
          <w:color w:val="auto"/>
          <w:sz w:val="30"/>
          <w:szCs w:val="30"/>
          <w:highlight w:val="none"/>
        </w:rPr>
      </w:pPr>
    </w:p>
    <w:p w14:paraId="3026C7BC">
      <w:pPr>
        <w:pStyle w:val="40"/>
        <w:spacing w:line="440" w:lineRule="exact"/>
        <w:ind w:firstLine="0"/>
        <w:jc w:val="both"/>
        <w:rPr>
          <w:rFonts w:ascii="仿宋" w:hAnsi="仿宋" w:eastAsia="仿宋" w:cs="仿宋"/>
          <w:b/>
          <w:color w:val="auto"/>
          <w:sz w:val="30"/>
          <w:szCs w:val="30"/>
          <w:highlight w:val="none"/>
        </w:rPr>
      </w:pPr>
    </w:p>
    <w:p w14:paraId="78EFE977">
      <w:pPr>
        <w:pStyle w:val="40"/>
        <w:spacing w:line="440" w:lineRule="exact"/>
        <w:ind w:firstLine="0"/>
        <w:jc w:val="both"/>
        <w:rPr>
          <w:rFonts w:ascii="仿宋" w:hAnsi="仿宋" w:eastAsia="仿宋" w:cs="仿宋"/>
          <w:b/>
          <w:color w:val="auto"/>
          <w:sz w:val="30"/>
          <w:szCs w:val="30"/>
          <w:highlight w:val="none"/>
        </w:rPr>
      </w:pPr>
    </w:p>
    <w:p w14:paraId="07B813EB">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8577F25">
      <w:pPr>
        <w:pStyle w:val="12"/>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6282D170">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44D98C9E">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27CAA1DC">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744CED29">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56154773">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677ECAF0">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402276B7">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62476646">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0F804563">
      <w:pPr>
        <w:pStyle w:val="12"/>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highlight w:val="none"/>
          <w:lang w:eastAsia="zh-CN"/>
        </w:rPr>
      </w:pPr>
    </w:p>
    <w:p w14:paraId="7D8671B9">
      <w:pPr>
        <w:pStyle w:val="12"/>
        <w:numPr>
          <w:ilvl w:val="0"/>
          <w:numId w:val="0"/>
        </w:numPr>
        <w:kinsoku w:val="0"/>
        <w:overflowPunct w:val="0"/>
        <w:spacing w:before="34" w:line="357" w:lineRule="auto"/>
        <w:ind w:left="480" w:right="126"/>
        <w:jc w:val="center"/>
        <w:rPr>
          <w:rFonts w:ascii="仿宋" w:hAnsi="仿宋" w:eastAsia="仿宋" w:cs="仿宋"/>
          <w:b/>
          <w:bCs/>
          <w:color w:val="auto"/>
          <w:w w:val="90"/>
          <w:highlight w:val="none"/>
          <w:lang w:eastAsia="zh-CN"/>
        </w:rPr>
      </w:pPr>
      <w:r>
        <w:rPr>
          <w:rFonts w:hint="eastAsia" w:ascii="仿宋" w:hAnsi="仿宋" w:eastAsia="仿宋" w:cs="仿宋"/>
          <w:bCs/>
          <w:color w:val="auto"/>
          <w:sz w:val="36"/>
          <w:szCs w:val="36"/>
          <w:highlight w:val="none"/>
          <w:lang w:val="en-US" w:eastAsia="zh-CN"/>
        </w:rPr>
        <w:t>9</w:t>
      </w:r>
      <w:r>
        <w:rPr>
          <w:rFonts w:hint="eastAsia" w:ascii="仿宋" w:hAnsi="仿宋" w:eastAsia="仿宋" w:cs="仿宋"/>
          <w:bCs/>
          <w:color w:val="auto"/>
          <w:sz w:val="36"/>
          <w:szCs w:val="36"/>
          <w:highlight w:val="none"/>
          <w:lang w:eastAsia="zh-CN"/>
        </w:rPr>
        <w:t>、</w:t>
      </w:r>
      <w:r>
        <w:rPr>
          <w:rFonts w:hint="eastAsia" w:ascii="仿宋" w:hAnsi="仿宋" w:eastAsia="仿宋" w:cs="仿宋"/>
          <w:bCs/>
          <w:color w:val="auto"/>
          <w:sz w:val="36"/>
          <w:szCs w:val="36"/>
          <w:highlight w:val="none"/>
          <w:lang w:val="en-US" w:eastAsia="zh-CN"/>
        </w:rPr>
        <w:t>(2021年1月1日至今）类似业绩</w:t>
      </w:r>
      <w:r>
        <w:rPr>
          <w:rFonts w:hint="eastAsia" w:ascii="仿宋" w:hAnsi="仿宋" w:eastAsia="仿宋" w:cs="仿宋"/>
          <w:bCs/>
          <w:color w:val="auto"/>
          <w:sz w:val="36"/>
          <w:szCs w:val="36"/>
          <w:highlight w:val="none"/>
          <w:lang w:eastAsia="zh-CN"/>
        </w:rPr>
        <w:t>表</w:t>
      </w:r>
    </w:p>
    <w:p w14:paraId="3318B806">
      <w:pPr>
        <w:pStyle w:val="12"/>
        <w:numPr>
          <w:ilvl w:val="0"/>
          <w:numId w:val="0"/>
        </w:numPr>
        <w:kinsoku w:val="0"/>
        <w:overflowPunct w:val="0"/>
        <w:rPr>
          <w:rFonts w:ascii="仿宋" w:hAnsi="仿宋" w:eastAsia="仿宋" w:cs="仿宋"/>
          <w:b/>
          <w:bCs/>
          <w:color w:val="auto"/>
          <w:sz w:val="20"/>
          <w:szCs w:val="20"/>
          <w:highlight w:val="none"/>
          <w:lang w:eastAsia="zh-CN"/>
        </w:rPr>
      </w:pPr>
    </w:p>
    <w:tbl>
      <w:tblPr>
        <w:tblStyle w:val="26"/>
        <w:tblW w:w="8731" w:type="dxa"/>
        <w:jc w:val="center"/>
        <w:tblLayout w:type="fixed"/>
        <w:tblCellMar>
          <w:top w:w="0" w:type="dxa"/>
          <w:left w:w="10" w:type="dxa"/>
          <w:bottom w:w="0" w:type="dxa"/>
          <w:right w:w="10" w:type="dxa"/>
        </w:tblCellMar>
      </w:tblPr>
      <w:tblGrid>
        <w:gridCol w:w="2002"/>
        <w:gridCol w:w="6729"/>
      </w:tblGrid>
      <w:tr w14:paraId="564689C4">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14:paraId="3D5E9C15">
            <w:pPr>
              <w:pStyle w:val="41"/>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729" w:type="dxa"/>
            <w:tcBorders>
              <w:top w:val="single" w:color="auto" w:sz="4" w:space="0"/>
              <w:left w:val="single" w:color="auto" w:sz="4" w:space="0"/>
              <w:right w:val="single" w:color="auto" w:sz="4" w:space="0"/>
            </w:tcBorders>
            <w:shd w:val="clear" w:color="auto" w:fill="FFFFFF"/>
          </w:tcPr>
          <w:p w14:paraId="74F5F100">
            <w:pPr>
              <w:rPr>
                <w:rFonts w:ascii="仿宋" w:hAnsi="仿宋" w:eastAsia="仿宋" w:cs="仿宋"/>
                <w:color w:val="auto"/>
                <w:sz w:val="10"/>
                <w:szCs w:val="10"/>
                <w:highlight w:val="none"/>
              </w:rPr>
            </w:pPr>
          </w:p>
        </w:tc>
      </w:tr>
      <w:tr w14:paraId="72F7D978">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328568B6">
            <w:pPr>
              <w:pStyle w:val="4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6729" w:type="dxa"/>
            <w:tcBorders>
              <w:top w:val="single" w:color="auto" w:sz="4" w:space="0"/>
              <w:left w:val="single" w:color="auto" w:sz="4" w:space="0"/>
              <w:right w:val="single" w:color="auto" w:sz="4" w:space="0"/>
            </w:tcBorders>
            <w:shd w:val="clear" w:color="auto" w:fill="FFFFFF"/>
          </w:tcPr>
          <w:p w14:paraId="5ABCDAE5">
            <w:pPr>
              <w:rPr>
                <w:rFonts w:ascii="仿宋" w:hAnsi="仿宋" w:eastAsia="仿宋" w:cs="仿宋"/>
                <w:color w:val="auto"/>
                <w:sz w:val="10"/>
                <w:szCs w:val="10"/>
                <w:highlight w:val="none"/>
              </w:rPr>
            </w:pPr>
          </w:p>
        </w:tc>
      </w:tr>
      <w:tr w14:paraId="57DB6B69">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14:paraId="7E85F9C1">
            <w:pPr>
              <w:pStyle w:val="41"/>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7EC87524">
            <w:pPr>
              <w:rPr>
                <w:rFonts w:ascii="仿宋" w:hAnsi="仿宋" w:eastAsia="仿宋" w:cs="仿宋"/>
                <w:color w:val="auto"/>
                <w:sz w:val="10"/>
                <w:szCs w:val="10"/>
                <w:highlight w:val="none"/>
                <w:lang w:eastAsia="zh-CN"/>
              </w:rPr>
            </w:pPr>
          </w:p>
        </w:tc>
      </w:tr>
      <w:tr w14:paraId="79DEAAAD">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14:paraId="59CFB84E">
            <w:pPr>
              <w:pStyle w:val="41"/>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6729" w:type="dxa"/>
            <w:tcBorders>
              <w:top w:val="single" w:color="auto" w:sz="4" w:space="0"/>
              <w:left w:val="single" w:color="auto" w:sz="4" w:space="0"/>
              <w:right w:val="single" w:color="auto" w:sz="4" w:space="0"/>
            </w:tcBorders>
            <w:shd w:val="clear" w:color="auto" w:fill="FFFFFF"/>
          </w:tcPr>
          <w:p w14:paraId="3523AEB6">
            <w:pPr>
              <w:rPr>
                <w:rFonts w:ascii="仿宋" w:hAnsi="仿宋" w:eastAsia="仿宋" w:cs="仿宋"/>
                <w:color w:val="auto"/>
                <w:sz w:val="10"/>
                <w:szCs w:val="10"/>
                <w:highlight w:val="none"/>
              </w:rPr>
            </w:pPr>
          </w:p>
        </w:tc>
      </w:tr>
      <w:tr w14:paraId="683B5380">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14:paraId="02B3FD77">
            <w:pPr>
              <w:pStyle w:val="41"/>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6729" w:type="dxa"/>
            <w:tcBorders>
              <w:top w:val="single" w:color="auto" w:sz="4" w:space="0"/>
              <w:left w:val="single" w:color="auto" w:sz="4" w:space="0"/>
              <w:right w:val="single" w:color="auto" w:sz="4" w:space="0"/>
            </w:tcBorders>
            <w:shd w:val="clear" w:color="auto" w:fill="FFFFFF"/>
          </w:tcPr>
          <w:p w14:paraId="4A4D1959">
            <w:pPr>
              <w:rPr>
                <w:rFonts w:ascii="仿宋" w:hAnsi="仿宋" w:eastAsia="仿宋" w:cs="仿宋"/>
                <w:color w:val="auto"/>
                <w:sz w:val="10"/>
                <w:szCs w:val="10"/>
                <w:highlight w:val="none"/>
              </w:rPr>
            </w:pPr>
          </w:p>
        </w:tc>
      </w:tr>
      <w:tr w14:paraId="731C0997">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18705C21">
            <w:pPr>
              <w:pStyle w:val="4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6729" w:type="dxa"/>
            <w:tcBorders>
              <w:top w:val="single" w:color="auto" w:sz="4" w:space="0"/>
              <w:left w:val="single" w:color="auto" w:sz="4" w:space="0"/>
              <w:right w:val="single" w:color="auto" w:sz="4" w:space="0"/>
            </w:tcBorders>
            <w:shd w:val="clear" w:color="auto" w:fill="FFFFFF"/>
          </w:tcPr>
          <w:p w14:paraId="116EA254">
            <w:pPr>
              <w:rPr>
                <w:rFonts w:ascii="仿宋" w:hAnsi="仿宋" w:eastAsia="仿宋" w:cs="仿宋"/>
                <w:color w:val="auto"/>
                <w:sz w:val="10"/>
                <w:szCs w:val="10"/>
                <w:highlight w:val="none"/>
              </w:rPr>
            </w:pPr>
          </w:p>
        </w:tc>
      </w:tr>
      <w:tr w14:paraId="3A883A6B">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193B13EF">
            <w:pPr>
              <w:pStyle w:val="41"/>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384BD6B4">
            <w:pPr>
              <w:rPr>
                <w:rFonts w:ascii="仿宋" w:hAnsi="仿宋" w:eastAsia="仿宋" w:cs="仿宋"/>
                <w:color w:val="auto"/>
                <w:sz w:val="10"/>
                <w:szCs w:val="10"/>
                <w:highlight w:val="none"/>
              </w:rPr>
            </w:pPr>
          </w:p>
        </w:tc>
      </w:tr>
    </w:tbl>
    <w:p w14:paraId="6E7EBDC4">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注：每个业绩须单独附表，并附上合同和中标</w:t>
      </w:r>
      <w:r>
        <w:rPr>
          <w:rFonts w:hint="eastAsia" w:ascii="仿宋" w:hAnsi="仿宋" w:eastAsia="仿宋" w:cs="仿宋"/>
          <w:color w:val="auto"/>
          <w:spacing w:val="-1"/>
          <w:highlight w:val="none"/>
          <w:lang w:val="en-US" w:eastAsia="zh-CN"/>
        </w:rPr>
        <w:t>/成交</w:t>
      </w:r>
      <w:r>
        <w:rPr>
          <w:rFonts w:hint="eastAsia" w:ascii="仿宋" w:hAnsi="仿宋" w:eastAsia="仿宋" w:cs="仿宋"/>
          <w:color w:val="auto"/>
          <w:spacing w:val="-1"/>
          <w:highlight w:val="none"/>
          <w:lang w:eastAsia="zh-CN"/>
        </w:rPr>
        <w:t>通知书相关证明材料，否则专家在评审时将不予采信。</w:t>
      </w:r>
    </w:p>
    <w:p w14:paraId="6A95E019">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A013481">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5750521E">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0E9CB137">
      <w:pPr>
        <w:pStyle w:val="12"/>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供应商：   </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5334FFCE">
      <w:pPr>
        <w:pStyle w:val="12"/>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p>
    <w:p w14:paraId="1BD23F86">
      <w:pPr>
        <w:pStyle w:val="1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347D3E83">
      <w:pPr>
        <w:pStyle w:val="39"/>
        <w:spacing w:after="580"/>
        <w:ind w:firstLine="360"/>
        <w:rPr>
          <w:rFonts w:ascii="仿宋" w:hAnsi="仿宋" w:eastAsia="仿宋" w:cs="仿宋"/>
          <w:color w:val="auto"/>
          <w:highlight w:val="none"/>
        </w:rPr>
      </w:pPr>
    </w:p>
    <w:p w14:paraId="2E5CAE56">
      <w:pPr>
        <w:spacing w:line="360" w:lineRule="auto"/>
        <w:jc w:val="center"/>
        <w:rPr>
          <w:rFonts w:ascii="仿宋" w:hAnsi="仿宋" w:eastAsia="仿宋" w:cs="仿宋"/>
          <w:bCs/>
          <w:color w:val="auto"/>
          <w:sz w:val="36"/>
          <w:szCs w:val="36"/>
          <w:highlight w:val="none"/>
          <w:lang w:eastAsia="zh-CN"/>
        </w:rPr>
      </w:pPr>
    </w:p>
    <w:p w14:paraId="3D7036FC">
      <w:pPr>
        <w:spacing w:line="360" w:lineRule="auto"/>
        <w:jc w:val="center"/>
        <w:rPr>
          <w:rFonts w:ascii="仿宋" w:hAnsi="仿宋" w:eastAsia="仿宋" w:cs="仿宋"/>
          <w:bCs/>
          <w:color w:val="auto"/>
          <w:sz w:val="36"/>
          <w:szCs w:val="36"/>
          <w:highlight w:val="none"/>
          <w:lang w:eastAsia="zh-CN"/>
        </w:rPr>
      </w:pPr>
    </w:p>
    <w:p w14:paraId="0EE62160">
      <w:pPr>
        <w:pStyle w:val="2"/>
        <w:rPr>
          <w:rFonts w:ascii="仿宋" w:hAnsi="仿宋" w:eastAsia="仿宋" w:cs="仿宋"/>
          <w:bCs/>
          <w:color w:val="auto"/>
          <w:sz w:val="36"/>
          <w:szCs w:val="36"/>
          <w:highlight w:val="none"/>
          <w:lang w:eastAsia="zh-CN"/>
        </w:rPr>
      </w:pPr>
    </w:p>
    <w:p w14:paraId="5E99A8AF">
      <w:pPr>
        <w:pStyle w:val="2"/>
        <w:rPr>
          <w:rFonts w:ascii="仿宋" w:hAnsi="仿宋" w:eastAsia="仿宋" w:cs="仿宋"/>
          <w:bCs/>
          <w:color w:val="auto"/>
          <w:sz w:val="36"/>
          <w:szCs w:val="36"/>
          <w:highlight w:val="none"/>
          <w:lang w:eastAsia="zh-CN"/>
        </w:rPr>
      </w:pPr>
    </w:p>
    <w:p w14:paraId="52989766">
      <w:pPr>
        <w:spacing w:line="360" w:lineRule="auto"/>
        <w:jc w:val="center"/>
        <w:rPr>
          <w:rFonts w:hint="eastAsia" w:ascii="仿宋" w:hAnsi="仿宋" w:eastAsia="仿宋" w:cs="仿宋"/>
          <w:b/>
          <w:color w:val="auto"/>
          <w:sz w:val="36"/>
          <w:szCs w:val="36"/>
          <w:highlight w:val="none"/>
          <w:lang w:eastAsia="zh-CN"/>
        </w:rPr>
      </w:pPr>
    </w:p>
    <w:p w14:paraId="058AA127">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lang w:eastAsia="zh-CN"/>
        </w:rPr>
        <w:t>、中小企业声明函(服务)</w:t>
      </w:r>
    </w:p>
    <w:p w14:paraId="1B2FD34B">
      <w:pPr>
        <w:spacing w:line="360" w:lineRule="auto"/>
        <w:ind w:firstLine="480" w:firstLineChars="200"/>
        <w:rPr>
          <w:rFonts w:hint="eastAsia" w:ascii="仿宋" w:hAnsi="仿宋" w:eastAsia="仿宋" w:cs="仿宋"/>
          <w:color w:val="auto"/>
          <w:highlight w:val="none"/>
          <w:lang w:eastAsia="zh-CN"/>
        </w:rPr>
      </w:pP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w:t>
      </w:r>
      <w:r>
        <w:rPr>
          <w:rFonts w:hint="eastAsia" w:ascii="仿宋" w:hAnsi="仿宋" w:eastAsia="仿宋" w:cs="仿宋"/>
          <w:color w:val="auto"/>
          <w:highlight w:val="none"/>
          <w:lang w:val="en-US" w:eastAsia="zh-CN"/>
        </w:rPr>
        <w:t>服务全部由符合政策要求的中小企业承接。</w:t>
      </w:r>
      <w:r>
        <w:rPr>
          <w:rFonts w:hint="eastAsia" w:ascii="仿宋" w:hAnsi="仿宋" w:eastAsia="仿宋" w:cs="仿宋"/>
          <w:color w:val="auto"/>
          <w:highlight w:val="none"/>
          <w:lang w:eastAsia="zh-CN"/>
        </w:rPr>
        <w:t>相关企业（含联合体中的中小企业、签订分包意向协议的中小企业）的具体情况如下：</w:t>
      </w:r>
    </w:p>
    <w:p w14:paraId="4569A371">
      <w:pPr>
        <w:numPr>
          <w:ilvl w:val="0"/>
          <w:numId w:val="13"/>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承接企业</w:t>
      </w:r>
      <w:r>
        <w:rPr>
          <w:rFonts w:hint="eastAsia" w:ascii="仿宋" w:hAnsi="仿宋" w:eastAsia="仿宋" w:cs="仿宋"/>
          <w:color w:val="auto"/>
          <w:highlight w:val="none"/>
          <w:lang w:eastAsia="zh-CN"/>
        </w:rPr>
        <w:t>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承接企业</w:t>
      </w:r>
      <w:r>
        <w:rPr>
          <w:rFonts w:hint="eastAsia" w:ascii="仿宋" w:hAnsi="仿宋" w:eastAsia="仿宋" w:cs="仿宋"/>
          <w:color w:val="auto"/>
          <w:highlight w:val="none"/>
          <w:lang w:eastAsia="zh-CN"/>
        </w:rPr>
        <w:t>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7F4DBEE9">
      <w:pPr>
        <w:pStyle w:val="2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lang w:val="en-US" w:eastAsia="zh-CN" w:bidi="en-US"/>
        </w:rPr>
        <w:t>日期：</w:t>
      </w:r>
    </w:p>
    <w:p w14:paraId="5D273BC8">
      <w:pPr>
        <w:pStyle w:val="20"/>
        <w:rPr>
          <w:rFonts w:ascii="仿宋" w:hAnsi="仿宋" w:eastAsia="仿宋" w:cs="仿宋"/>
          <w:color w:val="auto"/>
          <w:highlight w:val="none"/>
          <w:lang w:eastAsia="zh-CN"/>
        </w:rPr>
      </w:pPr>
    </w:p>
    <w:p w14:paraId="76AC9CCC">
      <w:pPr>
        <w:pStyle w:val="20"/>
        <w:rPr>
          <w:rFonts w:ascii="仿宋" w:hAnsi="仿宋" w:eastAsia="仿宋" w:cs="仿宋"/>
          <w:color w:val="auto"/>
          <w:highlight w:val="none"/>
          <w:lang w:eastAsia="zh-CN"/>
        </w:rPr>
      </w:pPr>
    </w:p>
    <w:p w14:paraId="6F46C64A">
      <w:pPr>
        <w:pStyle w:val="20"/>
        <w:rPr>
          <w:rFonts w:ascii="仿宋" w:hAnsi="仿宋" w:eastAsia="仿宋" w:cs="仿宋"/>
          <w:color w:val="auto"/>
          <w:highlight w:val="none"/>
          <w:lang w:eastAsia="zh-CN"/>
        </w:rPr>
      </w:pPr>
    </w:p>
    <w:p w14:paraId="7160EAC1">
      <w:pPr>
        <w:pStyle w:val="20"/>
        <w:rPr>
          <w:rFonts w:ascii="仿宋" w:hAnsi="仿宋" w:eastAsia="仿宋" w:cs="仿宋"/>
          <w:color w:val="auto"/>
          <w:highlight w:val="none"/>
          <w:lang w:eastAsia="zh-CN"/>
        </w:rPr>
      </w:pPr>
    </w:p>
    <w:p w14:paraId="7DB305F4">
      <w:pPr>
        <w:pStyle w:val="20"/>
        <w:rPr>
          <w:rFonts w:ascii="仿宋" w:hAnsi="仿宋" w:eastAsia="仿宋" w:cs="仿宋"/>
          <w:color w:val="auto"/>
          <w:highlight w:val="none"/>
          <w:lang w:eastAsia="zh-CN"/>
        </w:rPr>
      </w:pPr>
    </w:p>
    <w:p w14:paraId="1D3344C4">
      <w:pPr>
        <w:pStyle w:val="20"/>
        <w:rPr>
          <w:rFonts w:ascii="仿宋" w:hAnsi="仿宋" w:eastAsia="仿宋" w:cs="仿宋"/>
          <w:color w:val="auto"/>
          <w:highlight w:val="none"/>
          <w:lang w:eastAsia="zh-CN"/>
        </w:rPr>
      </w:pPr>
    </w:p>
    <w:p w14:paraId="0478650D">
      <w:pPr>
        <w:pStyle w:val="20"/>
        <w:rPr>
          <w:rFonts w:ascii="仿宋" w:hAnsi="仿宋" w:eastAsia="仿宋" w:cs="仿宋"/>
          <w:color w:val="auto"/>
          <w:highlight w:val="none"/>
          <w:lang w:eastAsia="zh-CN"/>
        </w:rPr>
      </w:pPr>
    </w:p>
    <w:p w14:paraId="50B2C109">
      <w:pPr>
        <w:pStyle w:val="20"/>
        <w:rPr>
          <w:rFonts w:ascii="仿宋" w:hAnsi="仿宋" w:eastAsia="仿宋" w:cs="仿宋"/>
          <w:color w:val="auto"/>
          <w:highlight w:val="none"/>
          <w:lang w:eastAsia="zh-CN"/>
        </w:rPr>
      </w:pPr>
    </w:p>
    <w:p w14:paraId="3249FF19">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0E48B268">
      <w:pPr>
        <w:pStyle w:val="35"/>
        <w:rPr>
          <w:color w:val="auto"/>
          <w:highlight w:val="none"/>
          <w:lang w:eastAsia="zh-CN"/>
        </w:rPr>
      </w:pPr>
    </w:p>
    <w:p w14:paraId="09EC24B6">
      <w:pPr>
        <w:pStyle w:val="35"/>
        <w:rPr>
          <w:color w:val="auto"/>
          <w:highlight w:val="none"/>
          <w:lang w:eastAsia="zh-CN"/>
        </w:rPr>
      </w:pPr>
    </w:p>
    <w:p w14:paraId="635211B9">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11F62AA5">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27D25F26">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11</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65EF91E5">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7976524E">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7DC2746E">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761293B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2E64009B">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54BBEF61">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29F82431">
      <w:pPr>
        <w:pStyle w:val="4"/>
        <w:numPr>
          <w:ilvl w:val="1"/>
          <w:numId w:val="0"/>
        </w:numPr>
        <w:spacing w:line="240" w:lineRule="atLeast"/>
        <w:jc w:val="left"/>
        <w:rPr>
          <w:rFonts w:ascii="仿宋" w:hAnsi="仿宋" w:eastAsia="仿宋" w:cs="仿宋"/>
          <w:bCs/>
          <w:color w:val="auto"/>
          <w:sz w:val="24"/>
          <w:highlight w:val="none"/>
          <w:lang w:eastAsia="zh-CN"/>
        </w:rPr>
      </w:pPr>
    </w:p>
    <w:p w14:paraId="6D27CCDC">
      <w:pPr>
        <w:pStyle w:val="4"/>
        <w:numPr>
          <w:ilvl w:val="1"/>
          <w:numId w:val="0"/>
        </w:numPr>
        <w:spacing w:line="240" w:lineRule="atLeast"/>
        <w:jc w:val="left"/>
        <w:rPr>
          <w:rFonts w:ascii="仿宋" w:hAnsi="仿宋" w:eastAsia="仿宋" w:cs="仿宋"/>
          <w:bCs/>
          <w:color w:val="auto"/>
          <w:sz w:val="24"/>
          <w:highlight w:val="none"/>
          <w:lang w:eastAsia="zh-CN"/>
        </w:rPr>
      </w:pPr>
    </w:p>
    <w:p w14:paraId="66DDF3D0">
      <w:pPr>
        <w:pStyle w:val="4"/>
        <w:numPr>
          <w:ilvl w:val="1"/>
          <w:numId w:val="0"/>
        </w:numPr>
        <w:spacing w:line="240" w:lineRule="atLeast"/>
        <w:jc w:val="left"/>
        <w:rPr>
          <w:rFonts w:ascii="仿宋" w:hAnsi="仿宋" w:eastAsia="仿宋" w:cs="仿宋"/>
          <w:bCs/>
          <w:color w:val="auto"/>
          <w:sz w:val="24"/>
          <w:highlight w:val="none"/>
          <w:lang w:eastAsia="zh-CN"/>
        </w:rPr>
      </w:pPr>
    </w:p>
    <w:p w14:paraId="72EFCBC7">
      <w:pPr>
        <w:rPr>
          <w:rFonts w:ascii="仿宋" w:hAnsi="仿宋" w:eastAsia="仿宋" w:cs="仿宋"/>
          <w:b/>
          <w:bCs/>
          <w:color w:val="auto"/>
          <w:highlight w:val="none"/>
          <w:lang w:eastAsia="zh-CN"/>
        </w:rPr>
      </w:pPr>
    </w:p>
    <w:p w14:paraId="50BA938B">
      <w:pPr>
        <w:pStyle w:val="35"/>
        <w:rPr>
          <w:rFonts w:ascii="仿宋" w:hAnsi="仿宋" w:eastAsia="仿宋" w:cs="仿宋"/>
          <w:b/>
          <w:bCs/>
          <w:color w:val="auto"/>
          <w:highlight w:val="none"/>
          <w:lang w:eastAsia="zh-CN"/>
        </w:rPr>
      </w:pPr>
    </w:p>
    <w:p w14:paraId="61AB93BF">
      <w:pPr>
        <w:pStyle w:val="35"/>
        <w:rPr>
          <w:rFonts w:ascii="仿宋" w:hAnsi="仿宋" w:eastAsia="仿宋" w:cs="仿宋"/>
          <w:b/>
          <w:bCs/>
          <w:color w:val="auto"/>
          <w:highlight w:val="none"/>
          <w:lang w:eastAsia="zh-CN"/>
        </w:rPr>
      </w:pPr>
    </w:p>
    <w:p w14:paraId="5C8942CC">
      <w:pPr>
        <w:pStyle w:val="35"/>
        <w:rPr>
          <w:rFonts w:ascii="仿宋" w:hAnsi="仿宋" w:eastAsia="仿宋" w:cs="仿宋"/>
          <w:b/>
          <w:bCs/>
          <w:color w:val="auto"/>
          <w:highlight w:val="none"/>
          <w:lang w:eastAsia="zh-CN"/>
        </w:rPr>
      </w:pPr>
    </w:p>
    <w:p w14:paraId="35F94C18">
      <w:pPr>
        <w:pStyle w:val="35"/>
        <w:rPr>
          <w:rFonts w:ascii="仿宋" w:hAnsi="仿宋" w:eastAsia="仿宋" w:cs="仿宋"/>
          <w:b/>
          <w:bCs/>
          <w:color w:val="auto"/>
          <w:highlight w:val="none"/>
          <w:lang w:eastAsia="zh-CN"/>
        </w:rPr>
      </w:pPr>
    </w:p>
    <w:p w14:paraId="6010BE23">
      <w:pPr>
        <w:pStyle w:val="35"/>
        <w:rPr>
          <w:rFonts w:ascii="仿宋" w:hAnsi="仿宋" w:eastAsia="仿宋" w:cs="仿宋"/>
          <w:b/>
          <w:bCs/>
          <w:color w:val="auto"/>
          <w:highlight w:val="none"/>
          <w:lang w:eastAsia="zh-CN"/>
        </w:rPr>
      </w:pPr>
    </w:p>
    <w:p w14:paraId="08054BC0">
      <w:pPr>
        <w:pStyle w:val="35"/>
        <w:rPr>
          <w:rFonts w:ascii="仿宋" w:hAnsi="仿宋" w:eastAsia="仿宋" w:cs="仿宋"/>
          <w:b/>
          <w:bCs/>
          <w:color w:val="auto"/>
          <w:highlight w:val="none"/>
          <w:lang w:eastAsia="zh-CN"/>
        </w:rPr>
      </w:pPr>
    </w:p>
    <w:p w14:paraId="3CFBD6AC">
      <w:pPr>
        <w:pStyle w:val="35"/>
        <w:rPr>
          <w:rFonts w:ascii="仿宋" w:hAnsi="仿宋" w:eastAsia="仿宋" w:cs="仿宋"/>
          <w:b/>
          <w:bCs/>
          <w:color w:val="auto"/>
          <w:highlight w:val="none"/>
          <w:lang w:eastAsia="zh-CN"/>
        </w:rPr>
      </w:pPr>
    </w:p>
    <w:p w14:paraId="485CE248">
      <w:pPr>
        <w:pStyle w:val="35"/>
        <w:rPr>
          <w:rFonts w:ascii="仿宋" w:hAnsi="仿宋" w:eastAsia="仿宋" w:cs="仿宋"/>
          <w:b/>
          <w:bCs/>
          <w:color w:val="auto"/>
          <w:highlight w:val="none"/>
          <w:lang w:eastAsia="zh-CN"/>
        </w:rPr>
      </w:pPr>
    </w:p>
    <w:p w14:paraId="331E949B">
      <w:pPr>
        <w:pStyle w:val="35"/>
        <w:rPr>
          <w:rFonts w:ascii="仿宋" w:hAnsi="仿宋" w:eastAsia="仿宋" w:cs="仿宋"/>
          <w:b/>
          <w:bCs/>
          <w:color w:val="auto"/>
          <w:highlight w:val="none"/>
          <w:lang w:eastAsia="zh-CN"/>
        </w:rPr>
      </w:pPr>
    </w:p>
    <w:p w14:paraId="4BEA3500">
      <w:pPr>
        <w:pStyle w:val="35"/>
        <w:rPr>
          <w:rFonts w:ascii="仿宋" w:hAnsi="仿宋" w:eastAsia="仿宋" w:cs="仿宋"/>
          <w:b/>
          <w:bCs/>
          <w:color w:val="auto"/>
          <w:highlight w:val="none"/>
          <w:lang w:eastAsia="zh-CN"/>
        </w:rPr>
      </w:pPr>
    </w:p>
    <w:p w14:paraId="25D4D31A">
      <w:pPr>
        <w:pStyle w:val="35"/>
        <w:rPr>
          <w:rFonts w:ascii="仿宋" w:hAnsi="仿宋" w:eastAsia="仿宋" w:cs="仿宋"/>
          <w:b/>
          <w:bCs/>
          <w:color w:val="auto"/>
          <w:highlight w:val="none"/>
          <w:lang w:eastAsia="zh-CN"/>
        </w:rPr>
      </w:pPr>
    </w:p>
    <w:p w14:paraId="5380A28F">
      <w:pPr>
        <w:pStyle w:val="35"/>
        <w:rPr>
          <w:rFonts w:ascii="仿宋" w:hAnsi="仿宋" w:eastAsia="仿宋" w:cs="仿宋"/>
          <w:b/>
          <w:bCs/>
          <w:color w:val="auto"/>
          <w:highlight w:val="none"/>
          <w:lang w:eastAsia="zh-CN"/>
        </w:rPr>
      </w:pPr>
    </w:p>
    <w:p w14:paraId="6B8EBFAF">
      <w:pPr>
        <w:pStyle w:val="35"/>
        <w:rPr>
          <w:rFonts w:ascii="仿宋" w:hAnsi="仿宋" w:eastAsia="仿宋" w:cs="仿宋"/>
          <w:b/>
          <w:bCs/>
          <w:color w:val="auto"/>
          <w:highlight w:val="none"/>
          <w:lang w:eastAsia="zh-CN"/>
        </w:rPr>
      </w:pPr>
    </w:p>
    <w:p w14:paraId="148B91A2">
      <w:pPr>
        <w:pStyle w:val="35"/>
        <w:rPr>
          <w:rFonts w:ascii="仿宋" w:hAnsi="仿宋" w:eastAsia="仿宋" w:cs="仿宋"/>
          <w:b/>
          <w:bCs/>
          <w:color w:val="auto"/>
          <w:highlight w:val="none"/>
          <w:lang w:eastAsia="zh-CN"/>
        </w:rPr>
      </w:pPr>
    </w:p>
    <w:p w14:paraId="32A15545">
      <w:pPr>
        <w:pStyle w:val="35"/>
        <w:rPr>
          <w:rFonts w:ascii="仿宋" w:hAnsi="仿宋" w:eastAsia="仿宋" w:cs="仿宋"/>
          <w:b/>
          <w:bCs/>
          <w:color w:val="auto"/>
          <w:highlight w:val="none"/>
          <w:lang w:eastAsia="zh-CN"/>
        </w:rPr>
      </w:pPr>
    </w:p>
    <w:p w14:paraId="0B3A2874">
      <w:pPr>
        <w:pStyle w:val="35"/>
        <w:rPr>
          <w:rFonts w:ascii="仿宋" w:hAnsi="仿宋" w:eastAsia="仿宋" w:cs="仿宋"/>
          <w:b/>
          <w:bCs/>
          <w:color w:val="auto"/>
          <w:highlight w:val="none"/>
          <w:lang w:eastAsia="zh-CN"/>
        </w:rPr>
      </w:pPr>
    </w:p>
    <w:p w14:paraId="2743A7F4">
      <w:pPr>
        <w:pStyle w:val="35"/>
        <w:rPr>
          <w:rFonts w:ascii="仿宋" w:hAnsi="仿宋" w:eastAsia="仿宋" w:cs="仿宋"/>
          <w:b/>
          <w:bCs/>
          <w:color w:val="auto"/>
          <w:highlight w:val="none"/>
          <w:lang w:eastAsia="zh-CN"/>
        </w:rPr>
      </w:pPr>
    </w:p>
    <w:p w14:paraId="755CD832">
      <w:pPr>
        <w:pStyle w:val="35"/>
        <w:rPr>
          <w:rFonts w:ascii="仿宋" w:hAnsi="仿宋" w:eastAsia="仿宋" w:cs="仿宋"/>
          <w:b/>
          <w:bCs/>
          <w:color w:val="auto"/>
          <w:highlight w:val="none"/>
          <w:lang w:eastAsia="zh-CN"/>
        </w:rPr>
      </w:pPr>
    </w:p>
    <w:p w14:paraId="37325645">
      <w:pPr>
        <w:pStyle w:val="4"/>
        <w:numPr>
          <w:ilvl w:val="1"/>
          <w:numId w:val="0"/>
        </w:numPr>
        <w:spacing w:line="240" w:lineRule="atLeast"/>
        <w:jc w:val="left"/>
        <w:rPr>
          <w:rFonts w:ascii="仿宋" w:hAnsi="仿宋" w:eastAsia="仿宋" w:cs="仿宋"/>
          <w:bCs/>
          <w:color w:val="auto"/>
          <w:sz w:val="24"/>
          <w:highlight w:val="none"/>
          <w:lang w:eastAsia="zh-CN"/>
        </w:rPr>
      </w:pPr>
    </w:p>
    <w:p w14:paraId="66F6131C">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eastAsia="zh-CN"/>
        </w:rPr>
        <w:t>、评分标准和细则中技术、商务部分证明材料（格式自拟）</w:t>
      </w:r>
    </w:p>
    <w:p w14:paraId="4F62B853">
      <w:pPr>
        <w:pStyle w:val="4"/>
        <w:numPr>
          <w:ilvl w:val="1"/>
          <w:numId w:val="0"/>
        </w:numPr>
        <w:spacing w:line="240" w:lineRule="atLeast"/>
        <w:ind w:left="617" w:leftChars="257"/>
        <w:rPr>
          <w:rFonts w:ascii="仿宋" w:hAnsi="仿宋" w:eastAsia="仿宋" w:cs="仿宋"/>
          <w:color w:val="auto"/>
          <w:sz w:val="24"/>
          <w:highlight w:val="none"/>
          <w:lang w:eastAsia="zh-CN"/>
        </w:rPr>
      </w:pPr>
    </w:p>
    <w:p w14:paraId="7BB9AED4">
      <w:pPr>
        <w:pStyle w:val="14"/>
        <w:tabs>
          <w:tab w:val="left" w:pos="5580"/>
        </w:tabs>
        <w:spacing w:line="240" w:lineRule="atLeast"/>
        <w:rPr>
          <w:rFonts w:ascii="仿宋" w:hAnsi="仿宋" w:eastAsia="仿宋" w:cs="仿宋"/>
          <w:color w:val="auto"/>
          <w:highlight w:val="none"/>
          <w:lang w:eastAsia="zh-CN"/>
        </w:rPr>
      </w:pPr>
    </w:p>
    <w:p w14:paraId="39DC036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w:t>
      </w:r>
      <w:r>
        <w:rPr>
          <w:rFonts w:hint="eastAsia" w:ascii="仿宋" w:hAnsi="仿宋" w:eastAsia="仿宋" w:cs="仿宋"/>
          <w:color w:val="auto"/>
          <w:highlight w:val="none"/>
          <w:lang w:val="en-US" w:eastAsia="zh-CN"/>
        </w:rPr>
        <w:t>应急方案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实施方案、综合实力、售后服务</w:t>
      </w:r>
      <w:r>
        <w:rPr>
          <w:rFonts w:hint="eastAsia" w:ascii="仿宋" w:hAnsi="仿宋" w:eastAsia="仿宋" w:cs="仿宋"/>
          <w:color w:val="auto"/>
          <w:highlight w:val="none"/>
          <w:lang w:eastAsia="zh-CN"/>
        </w:rPr>
        <w:t>、类似业绩、</w:t>
      </w:r>
      <w:r>
        <w:rPr>
          <w:rFonts w:hint="eastAsia" w:ascii="仿宋" w:hAnsi="仿宋" w:eastAsia="仿宋" w:cs="仿宋"/>
          <w:color w:val="auto"/>
          <w:highlight w:val="none"/>
          <w:lang w:val="en-US" w:eastAsia="zh-CN"/>
        </w:rPr>
        <w:t>培训方案、项目服务团队、系统演示</w:t>
      </w:r>
      <w:r>
        <w:rPr>
          <w:rFonts w:hint="eastAsia" w:ascii="仿宋" w:hAnsi="仿宋" w:eastAsia="仿宋" w:cs="仿宋"/>
          <w:color w:val="auto"/>
          <w:highlight w:val="none"/>
          <w:lang w:eastAsia="zh-CN"/>
        </w:rPr>
        <w:t>等）。</w:t>
      </w:r>
    </w:p>
    <w:p w14:paraId="6FD63C02">
      <w:pPr>
        <w:pStyle w:val="14"/>
        <w:tabs>
          <w:tab w:val="left" w:pos="5580"/>
        </w:tabs>
        <w:spacing w:line="240" w:lineRule="atLeast"/>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737ED06F">
      <w:pPr>
        <w:pStyle w:val="4"/>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4BCE6008">
      <w:pPr>
        <w:pStyle w:val="4"/>
        <w:numPr>
          <w:ilvl w:val="1"/>
          <w:numId w:val="0"/>
        </w:numPr>
        <w:spacing w:line="240" w:lineRule="atLeast"/>
        <w:jc w:val="left"/>
        <w:rPr>
          <w:rFonts w:ascii="仿宋" w:hAnsi="仿宋" w:eastAsia="仿宋" w:cs="仿宋"/>
          <w:bCs/>
          <w:color w:val="auto"/>
          <w:sz w:val="24"/>
          <w:highlight w:val="none"/>
          <w:lang w:eastAsia="zh-CN"/>
        </w:rPr>
      </w:pPr>
    </w:p>
    <w:p w14:paraId="398DE30E">
      <w:pPr>
        <w:pStyle w:val="4"/>
        <w:numPr>
          <w:ilvl w:val="1"/>
          <w:numId w:val="0"/>
        </w:numPr>
        <w:spacing w:line="240" w:lineRule="atLeast"/>
        <w:jc w:val="left"/>
        <w:rPr>
          <w:rFonts w:ascii="仿宋" w:hAnsi="仿宋" w:eastAsia="仿宋" w:cs="仿宋"/>
          <w:bCs/>
          <w:color w:val="auto"/>
          <w:sz w:val="24"/>
          <w:highlight w:val="none"/>
          <w:lang w:eastAsia="zh-CN"/>
        </w:rPr>
      </w:pPr>
    </w:p>
    <w:p w14:paraId="1F9DAB57">
      <w:pPr>
        <w:rPr>
          <w:rFonts w:ascii="仿宋" w:hAnsi="仿宋" w:eastAsia="仿宋" w:cs="仿宋"/>
          <w:color w:val="auto"/>
          <w:highlight w:val="none"/>
          <w:lang w:eastAsia="zh-CN"/>
        </w:rPr>
      </w:pPr>
    </w:p>
    <w:p w14:paraId="65EE7A67">
      <w:pPr>
        <w:pStyle w:val="4"/>
        <w:numPr>
          <w:ilvl w:val="1"/>
          <w:numId w:val="0"/>
        </w:numPr>
        <w:spacing w:line="240" w:lineRule="atLeast"/>
        <w:jc w:val="left"/>
        <w:rPr>
          <w:rFonts w:ascii="仿宋" w:hAnsi="仿宋" w:eastAsia="仿宋" w:cs="仿宋"/>
          <w:bCs/>
          <w:color w:val="auto"/>
          <w:sz w:val="24"/>
          <w:highlight w:val="none"/>
          <w:lang w:eastAsia="zh-CN"/>
        </w:rPr>
      </w:pPr>
    </w:p>
    <w:p w14:paraId="33578645">
      <w:pPr>
        <w:pStyle w:val="4"/>
        <w:numPr>
          <w:ilvl w:val="1"/>
          <w:numId w:val="0"/>
        </w:numPr>
        <w:spacing w:line="240" w:lineRule="atLeast"/>
        <w:jc w:val="left"/>
        <w:rPr>
          <w:rFonts w:ascii="仿宋" w:hAnsi="仿宋" w:eastAsia="仿宋" w:cs="仿宋"/>
          <w:bCs/>
          <w:color w:val="auto"/>
          <w:sz w:val="24"/>
          <w:highlight w:val="none"/>
          <w:lang w:eastAsia="zh-CN"/>
        </w:rPr>
      </w:pPr>
    </w:p>
    <w:p w14:paraId="67C9D07D">
      <w:pPr>
        <w:tabs>
          <w:tab w:val="left" w:pos="3600"/>
        </w:tabs>
        <w:adjustRightInd w:val="0"/>
        <w:snapToGrid w:val="0"/>
        <w:spacing w:line="440" w:lineRule="exact"/>
        <w:jc w:val="center"/>
        <w:rPr>
          <w:rFonts w:ascii="仿宋" w:hAnsi="仿宋" w:eastAsia="仿宋" w:cs="仿宋"/>
          <w:b/>
          <w:bCs/>
          <w:color w:val="auto"/>
          <w:w w:val="90"/>
          <w:sz w:val="32"/>
          <w:szCs w:val="32"/>
          <w:highlight w:val="none"/>
          <w:lang w:eastAsia="zh-CN"/>
        </w:rPr>
      </w:pPr>
      <w:r>
        <w:rPr>
          <w:rFonts w:hint="eastAsia" w:ascii="仿宋" w:hAnsi="仿宋" w:eastAsia="仿宋" w:cs="仿宋"/>
          <w:b/>
          <w:bCs/>
          <w:color w:val="auto"/>
          <w:sz w:val="32"/>
          <w:szCs w:val="32"/>
          <w:highlight w:val="none"/>
          <w:lang w:val="en-US" w:eastAsia="zh-CN"/>
        </w:rPr>
        <w:t>13</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w w:val="90"/>
          <w:sz w:val="32"/>
          <w:szCs w:val="32"/>
          <w:highlight w:val="none"/>
          <w:lang w:eastAsia="zh-CN"/>
        </w:rPr>
        <w:t>供应商认为有必要提供的其他证明材料（格式自拟）</w:t>
      </w:r>
    </w:p>
    <w:p w14:paraId="68FCE329">
      <w:pPr>
        <w:pStyle w:val="14"/>
        <w:tabs>
          <w:tab w:val="left" w:pos="5580"/>
        </w:tabs>
        <w:spacing w:line="240" w:lineRule="atLeast"/>
        <w:ind w:firstLine="480" w:firstLineChars="200"/>
        <w:rPr>
          <w:rFonts w:ascii="仿宋" w:hAnsi="仿宋" w:eastAsia="仿宋" w:cs="仿宋"/>
          <w:color w:val="auto"/>
          <w:highlight w:val="none"/>
          <w:lang w:eastAsia="zh-CN"/>
        </w:rPr>
      </w:pPr>
    </w:p>
    <w:p w14:paraId="61FA5C52">
      <w:pPr>
        <w:pStyle w:val="14"/>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1DBCAD86">
      <w:pPr>
        <w:pStyle w:val="15"/>
        <w:ind w:left="2880"/>
        <w:rPr>
          <w:color w:val="auto"/>
          <w:highlight w:val="none"/>
          <w:lang w:eastAsia="zh-CN"/>
        </w:rPr>
      </w:pPr>
    </w:p>
    <w:p w14:paraId="056BCB63">
      <w:pPr>
        <w:rPr>
          <w:color w:val="auto"/>
          <w:highlight w:val="none"/>
          <w:lang w:eastAsia="zh-CN"/>
        </w:rPr>
      </w:pPr>
    </w:p>
    <w:p w14:paraId="0E8FEFA7">
      <w:pPr>
        <w:rPr>
          <w:color w:val="auto"/>
          <w:highlight w:val="none"/>
          <w:lang w:eastAsia="zh-CN"/>
        </w:rPr>
      </w:pPr>
    </w:p>
    <w:p w14:paraId="6CCFF5DF">
      <w:pPr>
        <w:rPr>
          <w:color w:val="auto"/>
          <w:highlight w:val="none"/>
          <w:lang w:eastAsia="zh-CN"/>
        </w:rPr>
      </w:pPr>
    </w:p>
    <w:p w14:paraId="4FB9AD33">
      <w:pPr>
        <w:rPr>
          <w:color w:val="auto"/>
          <w:highlight w:val="none"/>
          <w:lang w:eastAsia="zh-CN"/>
        </w:rPr>
      </w:pPr>
    </w:p>
    <w:p w14:paraId="13324783">
      <w:pPr>
        <w:rPr>
          <w:color w:val="auto"/>
          <w:highlight w:val="none"/>
          <w:lang w:eastAsia="zh-CN"/>
        </w:rPr>
      </w:pPr>
    </w:p>
    <w:p w14:paraId="2D8AACF4">
      <w:pPr>
        <w:rPr>
          <w:color w:val="auto"/>
          <w:highlight w:val="none"/>
          <w:lang w:eastAsia="zh-CN"/>
        </w:rPr>
      </w:pPr>
    </w:p>
    <w:p w14:paraId="26A9216E">
      <w:pPr>
        <w:rPr>
          <w:color w:val="auto"/>
          <w:highlight w:val="none"/>
          <w:lang w:eastAsia="zh-CN"/>
        </w:rPr>
      </w:pPr>
    </w:p>
    <w:p w14:paraId="4CC9FDD9">
      <w:pPr>
        <w:rPr>
          <w:color w:val="auto"/>
          <w:highlight w:val="none"/>
          <w:lang w:eastAsia="zh-CN"/>
        </w:rPr>
      </w:pPr>
    </w:p>
    <w:p w14:paraId="3094C3EE">
      <w:pPr>
        <w:rPr>
          <w:color w:val="auto"/>
          <w:highlight w:val="none"/>
          <w:lang w:eastAsia="zh-CN"/>
        </w:rPr>
      </w:pPr>
    </w:p>
    <w:p w14:paraId="32DB3863">
      <w:pPr>
        <w:rPr>
          <w:color w:val="auto"/>
          <w:highlight w:val="none"/>
          <w:lang w:eastAsia="zh-CN"/>
        </w:rPr>
      </w:pPr>
    </w:p>
    <w:p w14:paraId="564E344F">
      <w:pPr>
        <w:rPr>
          <w:color w:val="auto"/>
          <w:highlight w:val="none"/>
          <w:lang w:eastAsia="zh-CN"/>
        </w:rPr>
      </w:pPr>
    </w:p>
    <w:p w14:paraId="17514498">
      <w:pPr>
        <w:rPr>
          <w:color w:val="auto"/>
          <w:highlight w:val="none"/>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
    <w:altName w:val="仿宋"/>
    <w:panose1 w:val="03000502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25F6">
    <w:pPr>
      <w:pStyle w:val="18"/>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9C800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499C8009"/>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605F">
    <w:pPr>
      <w:pStyle w:val="18"/>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ADAF30">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23ADAF30">
                    <w:pPr>
                      <w:pStyle w:val="18"/>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D3F0">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7EE07">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FC7EE07">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898D">
    <w:pPr>
      <w:pStyle w:val="18"/>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A63019">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73A63019">
                    <w:pPr>
                      <w:pStyle w:val="18"/>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3199AE93">
    <w:pPr>
      <w:pStyle w:val="18"/>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1B4D">
    <w:pPr>
      <w:pStyle w:val="18"/>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51104A">
                          <w:pPr>
                            <w:pStyle w:val="18"/>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4551104A">
                    <w:pPr>
                      <w:pStyle w:val="18"/>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7E6CD1CE">
    <w:pPr>
      <w:pStyle w:val="18"/>
      <w:autoSpaceDE w:val="0"/>
      <w:autoSpaceDN w:val="0"/>
      <w:adjustRightInd w:val="0"/>
      <w:ind w:left="7200" w:hanging="7200" w:hangingChars="4000"/>
      <w:jc w:val="both"/>
    </w:pPr>
  </w:p>
  <w:p w14:paraId="5F06630E">
    <w:pPr>
      <w:pStyle w:val="18"/>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DCBA">
    <w:pPr>
      <w:pStyle w:val="18"/>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963105">
                          <w:pPr>
                            <w:pStyle w:val="1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36963105">
                    <w:pPr>
                      <w:pStyle w:val="1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7F31">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0F3E">
    <w:pPr>
      <w:pStyle w:val="19"/>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CFC1">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DF575"/>
    <w:multiLevelType w:val="singleLevel"/>
    <w:tmpl w:val="C43DF575"/>
    <w:lvl w:ilvl="0" w:tentative="0">
      <w:start w:val="1"/>
      <w:numFmt w:val="bullet"/>
      <w:lvlText w:val=""/>
      <w:lvlJc w:val="left"/>
      <w:pPr>
        <w:tabs>
          <w:tab w:val="left" w:pos="420"/>
        </w:tabs>
        <w:ind w:left="840" w:hanging="420"/>
      </w:pPr>
      <w:rPr>
        <w:rFonts w:hint="default" w:ascii="Wingdings" w:hAnsi="Wingding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E643E0BB"/>
    <w:multiLevelType w:val="singleLevel"/>
    <w:tmpl w:val="E643E0BB"/>
    <w:lvl w:ilvl="0" w:tentative="0">
      <w:start w:val="6"/>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1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DBFB84E"/>
    <w:multiLevelType w:val="singleLevel"/>
    <w:tmpl w:val="1DBFB84E"/>
    <w:lvl w:ilvl="0" w:tentative="0">
      <w:start w:val="1"/>
      <w:numFmt w:val="chineseCounting"/>
      <w:suff w:val="nothing"/>
      <w:lvlText w:val="%1、"/>
      <w:lvlJc w:val="left"/>
      <w:rPr>
        <w:rFonts w:hint="eastAsia"/>
      </w:rPr>
    </w:lvl>
  </w:abstractNum>
  <w:abstractNum w:abstractNumId="6">
    <w:nsid w:val="3CE944AE"/>
    <w:multiLevelType w:val="singleLevel"/>
    <w:tmpl w:val="3CE944AE"/>
    <w:lvl w:ilvl="0" w:tentative="0">
      <w:start w:val="3"/>
      <w:numFmt w:val="decimal"/>
      <w:suff w:val="nothing"/>
      <w:lvlText w:val="（%1）"/>
      <w:lvlJc w:val="left"/>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DA2D74E"/>
    <w:multiLevelType w:val="singleLevel"/>
    <w:tmpl w:val="6DA2D74E"/>
    <w:lvl w:ilvl="0" w:tentative="0">
      <w:start w:val="1"/>
      <w:numFmt w:val="bullet"/>
      <w:lvlText w:val=""/>
      <w:lvlJc w:val="left"/>
      <w:pPr>
        <w:tabs>
          <w:tab w:val="left" w:pos="420"/>
        </w:tabs>
        <w:ind w:left="840" w:hanging="420"/>
      </w:pPr>
      <w:rPr>
        <w:rFonts w:hint="default" w:ascii="Wingdings" w:hAnsi="Wingdings"/>
      </w:rPr>
    </w:lvl>
  </w:abstractNum>
  <w:abstractNum w:abstractNumId="9">
    <w:nsid w:val="72F6F623"/>
    <w:multiLevelType w:val="multilevel"/>
    <w:tmpl w:val="72F6F623"/>
    <w:lvl w:ilvl="0" w:tentative="0">
      <w:start w:val="1"/>
      <w:numFmt w:val="chineseCounting"/>
      <w:suff w:val="nothing"/>
      <w:lvlText w:val="%1、"/>
      <w:lvlJc w:val="left"/>
      <w:pPr>
        <w:tabs>
          <w:tab w:val="left" w:pos="0"/>
        </w:tabs>
        <w:ind w:left="425" w:hanging="425"/>
      </w:pPr>
    </w:lvl>
    <w:lvl w:ilvl="1" w:tentative="0">
      <w:start w:val="1"/>
      <w:numFmt w:val="decimal"/>
      <w:isLgl/>
      <w:suff w:val="nothing"/>
      <w:lvlText w:val="%1.%2、"/>
      <w:lvlJc w:val="left"/>
      <w:pPr>
        <w:tabs>
          <w:tab w:val="left" w:pos="0"/>
        </w:tabs>
        <w:ind w:left="0" w:hanging="567"/>
      </w:pPr>
    </w:lvl>
    <w:lvl w:ilvl="2" w:tentative="0">
      <w:start w:val="1"/>
      <w:numFmt w:val="decimal"/>
      <w:isLgl/>
      <w:suff w:val="nothing"/>
      <w:lvlText w:val="%1.%2.%3、"/>
      <w:lvlJc w:val="left"/>
      <w:pPr>
        <w:ind w:left="1069" w:hanging="1069"/>
      </w:pPr>
      <w:rPr>
        <w:rFonts w:hint="eastAsia" w:ascii="宋体" w:hAnsi="宋体" w:eastAsia="宋体" w:cs="宋体"/>
      </w:rPr>
    </w:lvl>
    <w:lvl w:ilvl="3" w:tentative="0">
      <w:start w:val="1"/>
      <w:numFmt w:val="decimal"/>
      <w:pStyle w:val="6"/>
      <w:isLgl/>
      <w:suff w:val="nothing"/>
      <w:lvlText w:val="%1.%2.%3.%4、"/>
      <w:lvlJc w:val="left"/>
      <w:pPr>
        <w:tabs>
          <w:tab w:val="left" w:pos="0"/>
        </w:tabs>
        <w:ind w:left="2795" w:hanging="851"/>
      </w:pPr>
      <w:rPr>
        <w:rFonts w:hint="eastAsia" w:ascii="宋体" w:hAnsi="宋体" w:eastAsia="宋体" w:cs="宋体"/>
        <w:sz w:val="24"/>
        <w:szCs w:val="24"/>
      </w:rPr>
    </w:lvl>
    <w:lvl w:ilvl="4" w:tentative="0">
      <w:start w:val="1"/>
      <w:numFmt w:val="decimal"/>
      <w:isLgl/>
      <w:suff w:val="nothing"/>
      <w:lvlText w:val="%1.%2.%3.%4.%5、"/>
      <w:lvlJc w:val="left"/>
      <w:pPr>
        <w:ind w:left="992" w:hanging="992"/>
      </w:pPr>
      <w:rPr>
        <w:rFonts w:hint="eastAsia" w:ascii="宋体" w:hAnsi="宋体" w:eastAsia="宋体" w:cs="宋体"/>
      </w:rPr>
    </w:lvl>
    <w:lvl w:ilvl="5" w:tentative="0">
      <w:start w:val="1"/>
      <w:numFmt w:val="decimal"/>
      <w:isLgl/>
      <w:suff w:val="nothing"/>
      <w:lvlText w:val="%1.%2.%3.%4.%5.%6、"/>
      <w:lvlJc w:val="left"/>
      <w:pPr>
        <w:tabs>
          <w:tab w:val="left" w:pos="420"/>
        </w:tabs>
        <w:ind w:left="1344" w:hanging="1134"/>
      </w:pPr>
      <w:rPr>
        <w:rFonts w:hint="eastAsia" w:ascii="宋体" w:hAnsi="宋体" w:eastAsia="宋体" w:cs="宋体"/>
      </w:rPr>
    </w:lvl>
    <w:lvl w:ilvl="6" w:tentative="0">
      <w:start w:val="1"/>
      <w:numFmt w:val="decimal"/>
      <w:isLgl/>
      <w:suff w:val="nothing"/>
      <w:lvlText w:val="%1.%2.%3.%4.%5.%6.%7、"/>
      <w:lvlJc w:val="left"/>
      <w:pPr>
        <w:tabs>
          <w:tab w:val="left" w:pos="0"/>
        </w:tabs>
        <w:ind w:left="1276" w:hanging="1276"/>
      </w:pPr>
      <w:rPr>
        <w:rFonts w:hint="eastAsia" w:ascii="宋体" w:hAnsi="宋体" w:eastAsia="宋体" w:cs="宋体"/>
        <w:b/>
      </w:rPr>
    </w:lvl>
    <w:lvl w:ilvl="7" w:tentative="0">
      <w:start w:val="1"/>
      <w:numFmt w:val="decimal"/>
      <w:isLgl/>
      <w:suff w:val="nothing"/>
      <w:lvlText w:val="%1.%2.%3.%4.%5.%6.%7.%8、"/>
      <w:lvlJc w:val="left"/>
      <w:pPr>
        <w:tabs>
          <w:tab w:val="left" w:pos="420"/>
        </w:tabs>
        <w:ind w:left="1418" w:hanging="1418"/>
      </w:pPr>
      <w:rPr>
        <w:rFonts w:hint="eastAsia" w:ascii="宋体" w:hAnsi="宋体" w:eastAsia="宋体" w:cs="宋体"/>
        <w:b/>
      </w:rPr>
    </w:lvl>
    <w:lvl w:ilvl="8" w:tentative="0">
      <w:start w:val="1"/>
      <w:numFmt w:val="decimal"/>
      <w:isLgl/>
      <w:suff w:val="nothing"/>
      <w:lvlText w:val="%1.%2.%3.%4.%5.%6.%7.%8.%9、"/>
      <w:lvlJc w:val="left"/>
      <w:pPr>
        <w:tabs>
          <w:tab w:val="left" w:pos="420"/>
        </w:tabs>
        <w:ind w:left="1559" w:hanging="1559"/>
      </w:pPr>
      <w:rPr>
        <w:rFonts w:hint="eastAsia" w:ascii="宋体" w:hAnsi="宋体" w:eastAsia="宋体" w:cs="宋体"/>
        <w:b/>
      </w:rPr>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1">
    <w:nsid w:val="7B4678F0"/>
    <w:multiLevelType w:val="singleLevel"/>
    <w:tmpl w:val="7B4678F0"/>
    <w:lvl w:ilvl="0" w:tentative="0">
      <w:start w:val="1"/>
      <w:numFmt w:val="bullet"/>
      <w:lvlText w:val=""/>
      <w:lvlJc w:val="left"/>
      <w:pPr>
        <w:ind w:left="420" w:hanging="420"/>
      </w:pPr>
      <w:rPr>
        <w:rFonts w:hint="default" w:ascii="Wingdings" w:hAnsi="Wingdings"/>
      </w:rPr>
    </w:lvl>
  </w:abstractNum>
  <w:abstractNum w:abstractNumId="12">
    <w:nsid w:val="7C1DC49B"/>
    <w:multiLevelType w:val="singleLevel"/>
    <w:tmpl w:val="7C1DC49B"/>
    <w:lvl w:ilvl="0" w:tentative="0">
      <w:start w:val="1"/>
      <w:numFmt w:val="bullet"/>
      <w:lvlText w:val=""/>
      <w:lvlJc w:val="left"/>
      <w:pPr>
        <w:tabs>
          <w:tab w:val="left" w:pos="420"/>
        </w:tabs>
        <w:ind w:left="840" w:hanging="420"/>
      </w:pPr>
      <w:rPr>
        <w:rFonts w:hint="default" w:ascii="Wingdings" w:hAnsi="Wingdings"/>
      </w:rPr>
    </w:lvl>
  </w:abstractNum>
  <w:num w:numId="1">
    <w:abstractNumId w:val="9"/>
  </w:num>
  <w:num w:numId="2">
    <w:abstractNumId w:val="3"/>
  </w:num>
  <w:num w:numId="3">
    <w:abstractNumId w:val="2"/>
  </w:num>
  <w:num w:numId="4">
    <w:abstractNumId w:val="6"/>
  </w:num>
  <w:num w:numId="5">
    <w:abstractNumId w:val="7"/>
  </w:num>
  <w:num w:numId="6">
    <w:abstractNumId w:val="4"/>
  </w:num>
  <w:num w:numId="7">
    <w:abstractNumId w:val="10"/>
  </w:num>
  <w:num w:numId="8">
    <w:abstractNumId w:val="11"/>
  </w:num>
  <w:num w:numId="9">
    <w:abstractNumId w:val="8"/>
  </w:num>
  <w:num w:numId="10">
    <w:abstractNumId w:val="12"/>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0245"/>
    <w:rsid w:val="0076445C"/>
    <w:rsid w:val="008276FA"/>
    <w:rsid w:val="008849F7"/>
    <w:rsid w:val="008D1783"/>
    <w:rsid w:val="008D4A14"/>
    <w:rsid w:val="009143D6"/>
    <w:rsid w:val="00A329DF"/>
    <w:rsid w:val="00A75CA8"/>
    <w:rsid w:val="00AA277B"/>
    <w:rsid w:val="00AB0B74"/>
    <w:rsid w:val="00AF420A"/>
    <w:rsid w:val="00B00BD6"/>
    <w:rsid w:val="00BA4013"/>
    <w:rsid w:val="00C26A7F"/>
    <w:rsid w:val="00C377E4"/>
    <w:rsid w:val="00C53164"/>
    <w:rsid w:val="00C57AF5"/>
    <w:rsid w:val="00C74FD6"/>
    <w:rsid w:val="00D00791"/>
    <w:rsid w:val="00D00D67"/>
    <w:rsid w:val="00D03DFD"/>
    <w:rsid w:val="00D84377"/>
    <w:rsid w:val="00DE0124"/>
    <w:rsid w:val="00E56748"/>
    <w:rsid w:val="00EB29FB"/>
    <w:rsid w:val="00ED05CA"/>
    <w:rsid w:val="00F050C2"/>
    <w:rsid w:val="00F5767A"/>
    <w:rsid w:val="00F70359"/>
    <w:rsid w:val="00FB6C7A"/>
    <w:rsid w:val="010578DB"/>
    <w:rsid w:val="0123584C"/>
    <w:rsid w:val="014631E4"/>
    <w:rsid w:val="014F6266"/>
    <w:rsid w:val="015E0ED4"/>
    <w:rsid w:val="019F0F2F"/>
    <w:rsid w:val="01AF0E8E"/>
    <w:rsid w:val="01BA3FA8"/>
    <w:rsid w:val="01C04E49"/>
    <w:rsid w:val="01E44B68"/>
    <w:rsid w:val="01EF3980"/>
    <w:rsid w:val="01F63644"/>
    <w:rsid w:val="022730EC"/>
    <w:rsid w:val="02315CB3"/>
    <w:rsid w:val="02614ACA"/>
    <w:rsid w:val="02735B5F"/>
    <w:rsid w:val="027D687D"/>
    <w:rsid w:val="02BC7D06"/>
    <w:rsid w:val="02E7054D"/>
    <w:rsid w:val="02F96864"/>
    <w:rsid w:val="03120DC1"/>
    <w:rsid w:val="03152839"/>
    <w:rsid w:val="03531E23"/>
    <w:rsid w:val="035508BA"/>
    <w:rsid w:val="03593366"/>
    <w:rsid w:val="03D270B5"/>
    <w:rsid w:val="03DF7ECE"/>
    <w:rsid w:val="041E68D0"/>
    <w:rsid w:val="042A106A"/>
    <w:rsid w:val="043D140D"/>
    <w:rsid w:val="04700DA8"/>
    <w:rsid w:val="04770389"/>
    <w:rsid w:val="04C64537"/>
    <w:rsid w:val="04D51446"/>
    <w:rsid w:val="04E11CA6"/>
    <w:rsid w:val="050F221F"/>
    <w:rsid w:val="051E7B81"/>
    <w:rsid w:val="052B11CF"/>
    <w:rsid w:val="056F1060"/>
    <w:rsid w:val="05764F7A"/>
    <w:rsid w:val="0591547A"/>
    <w:rsid w:val="05C52987"/>
    <w:rsid w:val="05CE725F"/>
    <w:rsid w:val="05D26519"/>
    <w:rsid w:val="05E43238"/>
    <w:rsid w:val="06141E47"/>
    <w:rsid w:val="061E4834"/>
    <w:rsid w:val="062E44A1"/>
    <w:rsid w:val="06385AA9"/>
    <w:rsid w:val="063B7194"/>
    <w:rsid w:val="067376C2"/>
    <w:rsid w:val="067D155B"/>
    <w:rsid w:val="06874187"/>
    <w:rsid w:val="068F23C3"/>
    <w:rsid w:val="06A20D46"/>
    <w:rsid w:val="07043A2A"/>
    <w:rsid w:val="07286AF1"/>
    <w:rsid w:val="072C60C0"/>
    <w:rsid w:val="073826E5"/>
    <w:rsid w:val="073E6F3C"/>
    <w:rsid w:val="074F6B51"/>
    <w:rsid w:val="07D52779"/>
    <w:rsid w:val="08253C96"/>
    <w:rsid w:val="08323FEC"/>
    <w:rsid w:val="085D5AE7"/>
    <w:rsid w:val="086504F8"/>
    <w:rsid w:val="088C7521"/>
    <w:rsid w:val="091D420B"/>
    <w:rsid w:val="09231976"/>
    <w:rsid w:val="093C1D4C"/>
    <w:rsid w:val="093F2ABC"/>
    <w:rsid w:val="095073FA"/>
    <w:rsid w:val="099723FA"/>
    <w:rsid w:val="09B17236"/>
    <w:rsid w:val="09B44D67"/>
    <w:rsid w:val="09BB7723"/>
    <w:rsid w:val="09BC6D64"/>
    <w:rsid w:val="09CB1DF6"/>
    <w:rsid w:val="09E92566"/>
    <w:rsid w:val="0A007485"/>
    <w:rsid w:val="0A226110"/>
    <w:rsid w:val="0A271261"/>
    <w:rsid w:val="0A344E9F"/>
    <w:rsid w:val="0A620AA0"/>
    <w:rsid w:val="0A622E54"/>
    <w:rsid w:val="0A982D0F"/>
    <w:rsid w:val="0AEC1713"/>
    <w:rsid w:val="0AFE7394"/>
    <w:rsid w:val="0B213EE8"/>
    <w:rsid w:val="0B2F3756"/>
    <w:rsid w:val="0B3D750A"/>
    <w:rsid w:val="0B416FFB"/>
    <w:rsid w:val="0B4660A3"/>
    <w:rsid w:val="0B472137"/>
    <w:rsid w:val="0B641CFB"/>
    <w:rsid w:val="0B81389B"/>
    <w:rsid w:val="0B941400"/>
    <w:rsid w:val="0B9E39F1"/>
    <w:rsid w:val="0BB54396"/>
    <w:rsid w:val="0BF26C44"/>
    <w:rsid w:val="0C014B23"/>
    <w:rsid w:val="0C1429D4"/>
    <w:rsid w:val="0C3678DF"/>
    <w:rsid w:val="0C91641B"/>
    <w:rsid w:val="0CC0289C"/>
    <w:rsid w:val="0CE57E5A"/>
    <w:rsid w:val="0CED50BF"/>
    <w:rsid w:val="0D533015"/>
    <w:rsid w:val="0D625AD8"/>
    <w:rsid w:val="0D9030DE"/>
    <w:rsid w:val="0D9378B6"/>
    <w:rsid w:val="0DB6446C"/>
    <w:rsid w:val="0DC43F13"/>
    <w:rsid w:val="0E3E1813"/>
    <w:rsid w:val="0E8C1181"/>
    <w:rsid w:val="0EA0672E"/>
    <w:rsid w:val="0ED3177E"/>
    <w:rsid w:val="0F0A1DF9"/>
    <w:rsid w:val="0F152C78"/>
    <w:rsid w:val="0F356E0A"/>
    <w:rsid w:val="0FA22205"/>
    <w:rsid w:val="0FB767C5"/>
    <w:rsid w:val="0FFE0D46"/>
    <w:rsid w:val="0FFF7484"/>
    <w:rsid w:val="10015291"/>
    <w:rsid w:val="105B5D08"/>
    <w:rsid w:val="105F7F23"/>
    <w:rsid w:val="10610680"/>
    <w:rsid w:val="10685029"/>
    <w:rsid w:val="10B353ED"/>
    <w:rsid w:val="10EC5C5A"/>
    <w:rsid w:val="10ED552F"/>
    <w:rsid w:val="110059EB"/>
    <w:rsid w:val="11352510"/>
    <w:rsid w:val="114227C7"/>
    <w:rsid w:val="114535BD"/>
    <w:rsid w:val="116457F1"/>
    <w:rsid w:val="11A1183F"/>
    <w:rsid w:val="11A43746"/>
    <w:rsid w:val="11B26E86"/>
    <w:rsid w:val="11E12A09"/>
    <w:rsid w:val="12192A7F"/>
    <w:rsid w:val="12326DC2"/>
    <w:rsid w:val="128773BB"/>
    <w:rsid w:val="12891287"/>
    <w:rsid w:val="128A5956"/>
    <w:rsid w:val="1291653A"/>
    <w:rsid w:val="129526FC"/>
    <w:rsid w:val="12B914CB"/>
    <w:rsid w:val="12C306FC"/>
    <w:rsid w:val="12E23A01"/>
    <w:rsid w:val="13015F66"/>
    <w:rsid w:val="130308CA"/>
    <w:rsid w:val="1312560D"/>
    <w:rsid w:val="1326612C"/>
    <w:rsid w:val="132C218A"/>
    <w:rsid w:val="13651CF4"/>
    <w:rsid w:val="13A37018"/>
    <w:rsid w:val="13D55805"/>
    <w:rsid w:val="13F84D28"/>
    <w:rsid w:val="140E5EE8"/>
    <w:rsid w:val="141E60F5"/>
    <w:rsid w:val="142B46CE"/>
    <w:rsid w:val="14602089"/>
    <w:rsid w:val="14841E5F"/>
    <w:rsid w:val="14953EB8"/>
    <w:rsid w:val="14B46A8F"/>
    <w:rsid w:val="14CD6092"/>
    <w:rsid w:val="14DF08DB"/>
    <w:rsid w:val="14E87C5B"/>
    <w:rsid w:val="15200D24"/>
    <w:rsid w:val="1525173B"/>
    <w:rsid w:val="153C6A85"/>
    <w:rsid w:val="15454EA9"/>
    <w:rsid w:val="155E69FB"/>
    <w:rsid w:val="156959EB"/>
    <w:rsid w:val="156D1711"/>
    <w:rsid w:val="159F732A"/>
    <w:rsid w:val="15A00DC2"/>
    <w:rsid w:val="15C31338"/>
    <w:rsid w:val="15E839EB"/>
    <w:rsid w:val="16010E59"/>
    <w:rsid w:val="16105F47"/>
    <w:rsid w:val="161F618A"/>
    <w:rsid w:val="164805FC"/>
    <w:rsid w:val="16533BFB"/>
    <w:rsid w:val="167B61DA"/>
    <w:rsid w:val="168D57DC"/>
    <w:rsid w:val="16995913"/>
    <w:rsid w:val="16C61301"/>
    <w:rsid w:val="16DD57C1"/>
    <w:rsid w:val="16EA2C3C"/>
    <w:rsid w:val="171F0B4E"/>
    <w:rsid w:val="17235BCD"/>
    <w:rsid w:val="172577D0"/>
    <w:rsid w:val="172C20AB"/>
    <w:rsid w:val="1756362C"/>
    <w:rsid w:val="178644DD"/>
    <w:rsid w:val="17881C02"/>
    <w:rsid w:val="178E694D"/>
    <w:rsid w:val="17A34B99"/>
    <w:rsid w:val="17C614B5"/>
    <w:rsid w:val="17CB0E46"/>
    <w:rsid w:val="17EB3771"/>
    <w:rsid w:val="18251A52"/>
    <w:rsid w:val="188E5849"/>
    <w:rsid w:val="1890511D"/>
    <w:rsid w:val="18CC2463"/>
    <w:rsid w:val="18DF7E53"/>
    <w:rsid w:val="18E31CF3"/>
    <w:rsid w:val="18FE29CF"/>
    <w:rsid w:val="1910625E"/>
    <w:rsid w:val="194303E2"/>
    <w:rsid w:val="19445F08"/>
    <w:rsid w:val="1956601D"/>
    <w:rsid w:val="19791440"/>
    <w:rsid w:val="198D3D53"/>
    <w:rsid w:val="19AD1CFF"/>
    <w:rsid w:val="19CD118D"/>
    <w:rsid w:val="19D24BCD"/>
    <w:rsid w:val="19F91D19"/>
    <w:rsid w:val="1A6A7BF0"/>
    <w:rsid w:val="1A6C043C"/>
    <w:rsid w:val="1A9D7751"/>
    <w:rsid w:val="1AA14F3E"/>
    <w:rsid w:val="1ABB2559"/>
    <w:rsid w:val="1ACD2C78"/>
    <w:rsid w:val="1ACD57BB"/>
    <w:rsid w:val="1ADA6434"/>
    <w:rsid w:val="1AE97309"/>
    <w:rsid w:val="1AFE6CB6"/>
    <w:rsid w:val="1B2938B4"/>
    <w:rsid w:val="1B3867B7"/>
    <w:rsid w:val="1B3917D2"/>
    <w:rsid w:val="1B526E30"/>
    <w:rsid w:val="1B5A42F2"/>
    <w:rsid w:val="1B8F4956"/>
    <w:rsid w:val="1BA01B1B"/>
    <w:rsid w:val="1BA46EB4"/>
    <w:rsid w:val="1BE65325"/>
    <w:rsid w:val="1BEA2D97"/>
    <w:rsid w:val="1BF54431"/>
    <w:rsid w:val="1BF81957"/>
    <w:rsid w:val="1C426A96"/>
    <w:rsid w:val="1C770BAC"/>
    <w:rsid w:val="1C8812E8"/>
    <w:rsid w:val="1CBF4223"/>
    <w:rsid w:val="1CC048D1"/>
    <w:rsid w:val="1CC23D13"/>
    <w:rsid w:val="1CC41839"/>
    <w:rsid w:val="1CD53A47"/>
    <w:rsid w:val="1CFF3DC8"/>
    <w:rsid w:val="1D086E56"/>
    <w:rsid w:val="1D28001A"/>
    <w:rsid w:val="1D6F5759"/>
    <w:rsid w:val="1D9062BE"/>
    <w:rsid w:val="1D943902"/>
    <w:rsid w:val="1DBC793F"/>
    <w:rsid w:val="1DDE4B7D"/>
    <w:rsid w:val="1E122A78"/>
    <w:rsid w:val="1E435DE1"/>
    <w:rsid w:val="1E4F61D8"/>
    <w:rsid w:val="1E6813A9"/>
    <w:rsid w:val="1E6D1634"/>
    <w:rsid w:val="1E764DB5"/>
    <w:rsid w:val="1E9811D0"/>
    <w:rsid w:val="1ECE4F82"/>
    <w:rsid w:val="1EE5064C"/>
    <w:rsid w:val="1F0321C6"/>
    <w:rsid w:val="1F0664F1"/>
    <w:rsid w:val="1F0E3240"/>
    <w:rsid w:val="1F5B26D6"/>
    <w:rsid w:val="1F6007D8"/>
    <w:rsid w:val="1F6410B2"/>
    <w:rsid w:val="1F6C3F34"/>
    <w:rsid w:val="1F9E56AE"/>
    <w:rsid w:val="1FB748C5"/>
    <w:rsid w:val="203828DD"/>
    <w:rsid w:val="20497A92"/>
    <w:rsid w:val="205D4216"/>
    <w:rsid w:val="20746CEC"/>
    <w:rsid w:val="207D13AB"/>
    <w:rsid w:val="209D4381"/>
    <w:rsid w:val="20A976C4"/>
    <w:rsid w:val="20C20786"/>
    <w:rsid w:val="20E00C0C"/>
    <w:rsid w:val="211A31D2"/>
    <w:rsid w:val="213C22E6"/>
    <w:rsid w:val="218454A5"/>
    <w:rsid w:val="219C7685"/>
    <w:rsid w:val="21E07116"/>
    <w:rsid w:val="21F7470F"/>
    <w:rsid w:val="21FE11B6"/>
    <w:rsid w:val="21FF0FBD"/>
    <w:rsid w:val="22086693"/>
    <w:rsid w:val="22250FCC"/>
    <w:rsid w:val="22561186"/>
    <w:rsid w:val="22965E6B"/>
    <w:rsid w:val="22AE28BF"/>
    <w:rsid w:val="22D64075"/>
    <w:rsid w:val="22D700DE"/>
    <w:rsid w:val="22DB168B"/>
    <w:rsid w:val="22F917C9"/>
    <w:rsid w:val="230F7587"/>
    <w:rsid w:val="23226B91"/>
    <w:rsid w:val="23463622"/>
    <w:rsid w:val="235B1AD6"/>
    <w:rsid w:val="235B27CC"/>
    <w:rsid w:val="236C00BB"/>
    <w:rsid w:val="23874BA3"/>
    <w:rsid w:val="238D7E59"/>
    <w:rsid w:val="23A64B10"/>
    <w:rsid w:val="23E07E45"/>
    <w:rsid w:val="2426737F"/>
    <w:rsid w:val="242C7FB7"/>
    <w:rsid w:val="24376D95"/>
    <w:rsid w:val="245B2E54"/>
    <w:rsid w:val="249661B1"/>
    <w:rsid w:val="24F609FE"/>
    <w:rsid w:val="25002F8D"/>
    <w:rsid w:val="254F617F"/>
    <w:rsid w:val="25546BA5"/>
    <w:rsid w:val="25550156"/>
    <w:rsid w:val="256D43FD"/>
    <w:rsid w:val="257A33DD"/>
    <w:rsid w:val="25851C68"/>
    <w:rsid w:val="258D4BC1"/>
    <w:rsid w:val="25A24EBE"/>
    <w:rsid w:val="25BD781D"/>
    <w:rsid w:val="25FA75EA"/>
    <w:rsid w:val="25FB512C"/>
    <w:rsid w:val="260333D3"/>
    <w:rsid w:val="262B2929"/>
    <w:rsid w:val="266939BE"/>
    <w:rsid w:val="267D2FA7"/>
    <w:rsid w:val="268B6833"/>
    <w:rsid w:val="26A47FAA"/>
    <w:rsid w:val="26AF4526"/>
    <w:rsid w:val="26B62913"/>
    <w:rsid w:val="26B733C2"/>
    <w:rsid w:val="26D37563"/>
    <w:rsid w:val="26DC54DA"/>
    <w:rsid w:val="274B4345"/>
    <w:rsid w:val="2759752E"/>
    <w:rsid w:val="27641FEC"/>
    <w:rsid w:val="27651060"/>
    <w:rsid w:val="27870033"/>
    <w:rsid w:val="27D05536"/>
    <w:rsid w:val="27DD10F8"/>
    <w:rsid w:val="280B656E"/>
    <w:rsid w:val="28133677"/>
    <w:rsid w:val="283D072F"/>
    <w:rsid w:val="286536CA"/>
    <w:rsid w:val="286B44D3"/>
    <w:rsid w:val="288602EB"/>
    <w:rsid w:val="28F52FB6"/>
    <w:rsid w:val="290F6532"/>
    <w:rsid w:val="291C049E"/>
    <w:rsid w:val="291F0973"/>
    <w:rsid w:val="29384AB9"/>
    <w:rsid w:val="293D4896"/>
    <w:rsid w:val="294E1863"/>
    <w:rsid w:val="297414C3"/>
    <w:rsid w:val="299B171F"/>
    <w:rsid w:val="299F1664"/>
    <w:rsid w:val="29AD1B69"/>
    <w:rsid w:val="29EC3DAC"/>
    <w:rsid w:val="29F20F87"/>
    <w:rsid w:val="2A015314"/>
    <w:rsid w:val="2A0C65CE"/>
    <w:rsid w:val="2A2644A5"/>
    <w:rsid w:val="2A2953D2"/>
    <w:rsid w:val="2A4807DF"/>
    <w:rsid w:val="2A5E151F"/>
    <w:rsid w:val="2A6F2C28"/>
    <w:rsid w:val="2A7949B8"/>
    <w:rsid w:val="2A853C79"/>
    <w:rsid w:val="2A8F257B"/>
    <w:rsid w:val="2AB13CA6"/>
    <w:rsid w:val="2AB303AA"/>
    <w:rsid w:val="2AB83CEF"/>
    <w:rsid w:val="2ADC5AFD"/>
    <w:rsid w:val="2AE56C24"/>
    <w:rsid w:val="2AF23A16"/>
    <w:rsid w:val="2AF552B4"/>
    <w:rsid w:val="2AF9470D"/>
    <w:rsid w:val="2B2A724C"/>
    <w:rsid w:val="2B3330A0"/>
    <w:rsid w:val="2B4D738F"/>
    <w:rsid w:val="2B563FA5"/>
    <w:rsid w:val="2B6B2898"/>
    <w:rsid w:val="2B762634"/>
    <w:rsid w:val="2B8925CC"/>
    <w:rsid w:val="2B97636B"/>
    <w:rsid w:val="2C302A48"/>
    <w:rsid w:val="2C723060"/>
    <w:rsid w:val="2C975FE0"/>
    <w:rsid w:val="2CB17636"/>
    <w:rsid w:val="2CB21DCF"/>
    <w:rsid w:val="2CD70408"/>
    <w:rsid w:val="2CFB5024"/>
    <w:rsid w:val="2D0D130F"/>
    <w:rsid w:val="2D124915"/>
    <w:rsid w:val="2D1B0C53"/>
    <w:rsid w:val="2D261D28"/>
    <w:rsid w:val="2D380A40"/>
    <w:rsid w:val="2D3810C5"/>
    <w:rsid w:val="2D4967B0"/>
    <w:rsid w:val="2D7E66F1"/>
    <w:rsid w:val="2D95546D"/>
    <w:rsid w:val="2D984465"/>
    <w:rsid w:val="2DA570F4"/>
    <w:rsid w:val="2DB43A1E"/>
    <w:rsid w:val="2DB85DC1"/>
    <w:rsid w:val="2DC9254F"/>
    <w:rsid w:val="2DCA4758"/>
    <w:rsid w:val="2DDB2F86"/>
    <w:rsid w:val="2DF1140A"/>
    <w:rsid w:val="2E1B0C2F"/>
    <w:rsid w:val="2E2D19AE"/>
    <w:rsid w:val="2E304F81"/>
    <w:rsid w:val="2E3662A3"/>
    <w:rsid w:val="2E764B34"/>
    <w:rsid w:val="2EA4771D"/>
    <w:rsid w:val="2EB85F02"/>
    <w:rsid w:val="2ECB148D"/>
    <w:rsid w:val="2ED0014B"/>
    <w:rsid w:val="2ED161A3"/>
    <w:rsid w:val="2F265E4E"/>
    <w:rsid w:val="2F4B5DEA"/>
    <w:rsid w:val="2F815AF6"/>
    <w:rsid w:val="2FA23C5C"/>
    <w:rsid w:val="2FA50B1C"/>
    <w:rsid w:val="2FAD33C2"/>
    <w:rsid w:val="2FCA4F61"/>
    <w:rsid w:val="2FD815CC"/>
    <w:rsid w:val="300113DD"/>
    <w:rsid w:val="301A16BC"/>
    <w:rsid w:val="301B400C"/>
    <w:rsid w:val="30486A4B"/>
    <w:rsid w:val="305022CF"/>
    <w:rsid w:val="305F1B4D"/>
    <w:rsid w:val="306A6683"/>
    <w:rsid w:val="3094000D"/>
    <w:rsid w:val="310E0297"/>
    <w:rsid w:val="313A1B8F"/>
    <w:rsid w:val="314D5E4A"/>
    <w:rsid w:val="316F4012"/>
    <w:rsid w:val="31AF60BD"/>
    <w:rsid w:val="31C54436"/>
    <w:rsid w:val="31DE4CF4"/>
    <w:rsid w:val="31F02DD5"/>
    <w:rsid w:val="32081D71"/>
    <w:rsid w:val="32387E25"/>
    <w:rsid w:val="325141C6"/>
    <w:rsid w:val="327E788B"/>
    <w:rsid w:val="32AD108D"/>
    <w:rsid w:val="32B435BE"/>
    <w:rsid w:val="32C20171"/>
    <w:rsid w:val="32D70794"/>
    <w:rsid w:val="32F67E2E"/>
    <w:rsid w:val="33380434"/>
    <w:rsid w:val="335B1D88"/>
    <w:rsid w:val="335C76C1"/>
    <w:rsid w:val="33711F29"/>
    <w:rsid w:val="337B3536"/>
    <w:rsid w:val="33877982"/>
    <w:rsid w:val="33A6409E"/>
    <w:rsid w:val="33C6237B"/>
    <w:rsid w:val="33D20888"/>
    <w:rsid w:val="344352E2"/>
    <w:rsid w:val="34533777"/>
    <w:rsid w:val="3464452F"/>
    <w:rsid w:val="34675A40"/>
    <w:rsid w:val="34976726"/>
    <w:rsid w:val="34A15DE7"/>
    <w:rsid w:val="34AC63E7"/>
    <w:rsid w:val="34C401D1"/>
    <w:rsid w:val="34F63E6E"/>
    <w:rsid w:val="34F903B8"/>
    <w:rsid w:val="351A6043"/>
    <w:rsid w:val="3528436A"/>
    <w:rsid w:val="35427B0F"/>
    <w:rsid w:val="356B5D1D"/>
    <w:rsid w:val="357F49FA"/>
    <w:rsid w:val="358945DD"/>
    <w:rsid w:val="35BF555B"/>
    <w:rsid w:val="36160F00"/>
    <w:rsid w:val="36394B26"/>
    <w:rsid w:val="36657792"/>
    <w:rsid w:val="367A29BD"/>
    <w:rsid w:val="36982718"/>
    <w:rsid w:val="36A4475E"/>
    <w:rsid w:val="36A45B26"/>
    <w:rsid w:val="36AA5E0A"/>
    <w:rsid w:val="36CA0C5E"/>
    <w:rsid w:val="36D05553"/>
    <w:rsid w:val="36E45212"/>
    <w:rsid w:val="36E576EE"/>
    <w:rsid w:val="37066C5A"/>
    <w:rsid w:val="371C74DF"/>
    <w:rsid w:val="37217B5C"/>
    <w:rsid w:val="372E04CB"/>
    <w:rsid w:val="37323758"/>
    <w:rsid w:val="37491867"/>
    <w:rsid w:val="374E6478"/>
    <w:rsid w:val="37520F41"/>
    <w:rsid w:val="375D3AFF"/>
    <w:rsid w:val="3762161D"/>
    <w:rsid w:val="378679C0"/>
    <w:rsid w:val="378F65A8"/>
    <w:rsid w:val="37A05DB8"/>
    <w:rsid w:val="37A12630"/>
    <w:rsid w:val="37AC319E"/>
    <w:rsid w:val="37D44BCF"/>
    <w:rsid w:val="37DE58F5"/>
    <w:rsid w:val="38083993"/>
    <w:rsid w:val="38715716"/>
    <w:rsid w:val="38895400"/>
    <w:rsid w:val="388A1731"/>
    <w:rsid w:val="38B250B4"/>
    <w:rsid w:val="38BD4DB8"/>
    <w:rsid w:val="38C13A06"/>
    <w:rsid w:val="38C56C0D"/>
    <w:rsid w:val="38DE52AC"/>
    <w:rsid w:val="38ED70B3"/>
    <w:rsid w:val="391A2595"/>
    <w:rsid w:val="393042D6"/>
    <w:rsid w:val="393676F2"/>
    <w:rsid w:val="397F2B73"/>
    <w:rsid w:val="399C3F66"/>
    <w:rsid w:val="39A77BA6"/>
    <w:rsid w:val="39AB7BB1"/>
    <w:rsid w:val="39AF5DC9"/>
    <w:rsid w:val="39BE24C9"/>
    <w:rsid w:val="39C07B4A"/>
    <w:rsid w:val="39EF1F82"/>
    <w:rsid w:val="3A095E21"/>
    <w:rsid w:val="3A0B4EF8"/>
    <w:rsid w:val="3A1273C6"/>
    <w:rsid w:val="3A1A05AE"/>
    <w:rsid w:val="3A2215ED"/>
    <w:rsid w:val="3A5E2E76"/>
    <w:rsid w:val="3A641825"/>
    <w:rsid w:val="3A6D6A80"/>
    <w:rsid w:val="3AC44E6E"/>
    <w:rsid w:val="3AE06945"/>
    <w:rsid w:val="3AFA401D"/>
    <w:rsid w:val="3B1339F6"/>
    <w:rsid w:val="3B295232"/>
    <w:rsid w:val="3B2A146C"/>
    <w:rsid w:val="3B312AAE"/>
    <w:rsid w:val="3B3958B9"/>
    <w:rsid w:val="3B7F7C46"/>
    <w:rsid w:val="3B941E1F"/>
    <w:rsid w:val="3BCC2061"/>
    <w:rsid w:val="3BDE19D1"/>
    <w:rsid w:val="3C851CFB"/>
    <w:rsid w:val="3C893FAF"/>
    <w:rsid w:val="3C902F88"/>
    <w:rsid w:val="3C946E63"/>
    <w:rsid w:val="3CA827C1"/>
    <w:rsid w:val="3CAD59EE"/>
    <w:rsid w:val="3CDA4418"/>
    <w:rsid w:val="3CDB3394"/>
    <w:rsid w:val="3D0C6BB9"/>
    <w:rsid w:val="3D38095E"/>
    <w:rsid w:val="3D643600"/>
    <w:rsid w:val="3D723DD3"/>
    <w:rsid w:val="3D751F42"/>
    <w:rsid w:val="3D804EB1"/>
    <w:rsid w:val="3DA87F4F"/>
    <w:rsid w:val="3DC2196D"/>
    <w:rsid w:val="3E6A003B"/>
    <w:rsid w:val="3E7C7D6E"/>
    <w:rsid w:val="3ECF2660"/>
    <w:rsid w:val="3F163D1F"/>
    <w:rsid w:val="3F385E8A"/>
    <w:rsid w:val="3F6031EC"/>
    <w:rsid w:val="3F6A3151"/>
    <w:rsid w:val="3F874C1D"/>
    <w:rsid w:val="3F973103"/>
    <w:rsid w:val="3FE03B95"/>
    <w:rsid w:val="3FEC0F24"/>
    <w:rsid w:val="40131504"/>
    <w:rsid w:val="402B1A4C"/>
    <w:rsid w:val="403F2E01"/>
    <w:rsid w:val="40814B23"/>
    <w:rsid w:val="408E72C3"/>
    <w:rsid w:val="408E7BCF"/>
    <w:rsid w:val="40A06D4D"/>
    <w:rsid w:val="40AB15B8"/>
    <w:rsid w:val="40AF61D9"/>
    <w:rsid w:val="40B26236"/>
    <w:rsid w:val="40B57568"/>
    <w:rsid w:val="40BC6B48"/>
    <w:rsid w:val="40C14C05"/>
    <w:rsid w:val="40C764D4"/>
    <w:rsid w:val="40CB0B39"/>
    <w:rsid w:val="41042A54"/>
    <w:rsid w:val="413B181B"/>
    <w:rsid w:val="416359C8"/>
    <w:rsid w:val="41681350"/>
    <w:rsid w:val="416F668A"/>
    <w:rsid w:val="419378A9"/>
    <w:rsid w:val="419700B9"/>
    <w:rsid w:val="419F6662"/>
    <w:rsid w:val="41A72D03"/>
    <w:rsid w:val="41BC55E0"/>
    <w:rsid w:val="41BF069E"/>
    <w:rsid w:val="420B7389"/>
    <w:rsid w:val="423563C7"/>
    <w:rsid w:val="42527980"/>
    <w:rsid w:val="42624F84"/>
    <w:rsid w:val="42B850ED"/>
    <w:rsid w:val="42C57370"/>
    <w:rsid w:val="42D8263E"/>
    <w:rsid w:val="42DD6902"/>
    <w:rsid w:val="42FF450A"/>
    <w:rsid w:val="430832B2"/>
    <w:rsid w:val="43144276"/>
    <w:rsid w:val="43264088"/>
    <w:rsid w:val="43333AFF"/>
    <w:rsid w:val="434966C0"/>
    <w:rsid w:val="43603D96"/>
    <w:rsid w:val="43607270"/>
    <w:rsid w:val="43700004"/>
    <w:rsid w:val="437C4518"/>
    <w:rsid w:val="4383063C"/>
    <w:rsid w:val="43900453"/>
    <w:rsid w:val="43990C63"/>
    <w:rsid w:val="43A619E6"/>
    <w:rsid w:val="43AA4B1B"/>
    <w:rsid w:val="43C42B78"/>
    <w:rsid w:val="43CB7C06"/>
    <w:rsid w:val="43CE514A"/>
    <w:rsid w:val="43D2785E"/>
    <w:rsid w:val="43EB0B8A"/>
    <w:rsid w:val="43F26816"/>
    <w:rsid w:val="441E0010"/>
    <w:rsid w:val="44352E99"/>
    <w:rsid w:val="445769C9"/>
    <w:rsid w:val="4462340F"/>
    <w:rsid w:val="44637696"/>
    <w:rsid w:val="446430F4"/>
    <w:rsid w:val="4467501D"/>
    <w:rsid w:val="44740DA7"/>
    <w:rsid w:val="44881E95"/>
    <w:rsid w:val="44A14C8A"/>
    <w:rsid w:val="44C7578F"/>
    <w:rsid w:val="44D31AB8"/>
    <w:rsid w:val="45111167"/>
    <w:rsid w:val="4517597F"/>
    <w:rsid w:val="451A13C2"/>
    <w:rsid w:val="45442C68"/>
    <w:rsid w:val="454815E5"/>
    <w:rsid w:val="454A4722"/>
    <w:rsid w:val="455D72FE"/>
    <w:rsid w:val="457C2033"/>
    <w:rsid w:val="457C719E"/>
    <w:rsid w:val="45883987"/>
    <w:rsid w:val="45BD7128"/>
    <w:rsid w:val="45C6139C"/>
    <w:rsid w:val="45F70027"/>
    <w:rsid w:val="4605432B"/>
    <w:rsid w:val="4609638B"/>
    <w:rsid w:val="465C55EF"/>
    <w:rsid w:val="4668393D"/>
    <w:rsid w:val="466A125B"/>
    <w:rsid w:val="46994235"/>
    <w:rsid w:val="469A7FDC"/>
    <w:rsid w:val="46A2549B"/>
    <w:rsid w:val="46A95479"/>
    <w:rsid w:val="46B856BC"/>
    <w:rsid w:val="46F77B89"/>
    <w:rsid w:val="47026930"/>
    <w:rsid w:val="4743767B"/>
    <w:rsid w:val="47443EE7"/>
    <w:rsid w:val="474F0B3C"/>
    <w:rsid w:val="4757256C"/>
    <w:rsid w:val="47633658"/>
    <w:rsid w:val="478A4765"/>
    <w:rsid w:val="47E26E94"/>
    <w:rsid w:val="47E90CDF"/>
    <w:rsid w:val="47ED5843"/>
    <w:rsid w:val="47F15329"/>
    <w:rsid w:val="481728B6"/>
    <w:rsid w:val="482657E1"/>
    <w:rsid w:val="487B3318"/>
    <w:rsid w:val="48887BC9"/>
    <w:rsid w:val="48B93029"/>
    <w:rsid w:val="49201ADA"/>
    <w:rsid w:val="49726A4B"/>
    <w:rsid w:val="498868D5"/>
    <w:rsid w:val="49984EFD"/>
    <w:rsid w:val="49B0569C"/>
    <w:rsid w:val="49E14F29"/>
    <w:rsid w:val="49F25ED2"/>
    <w:rsid w:val="4A076C56"/>
    <w:rsid w:val="4A08384B"/>
    <w:rsid w:val="4A431F7F"/>
    <w:rsid w:val="4A4B6814"/>
    <w:rsid w:val="4A697B1D"/>
    <w:rsid w:val="4A711501"/>
    <w:rsid w:val="4AAC567F"/>
    <w:rsid w:val="4AAF0341"/>
    <w:rsid w:val="4ADB07DF"/>
    <w:rsid w:val="4ADE5F63"/>
    <w:rsid w:val="4AE253FD"/>
    <w:rsid w:val="4B097E96"/>
    <w:rsid w:val="4B105AC6"/>
    <w:rsid w:val="4B140ACE"/>
    <w:rsid w:val="4B54430C"/>
    <w:rsid w:val="4B742573"/>
    <w:rsid w:val="4B7B64DF"/>
    <w:rsid w:val="4BA10E14"/>
    <w:rsid w:val="4BB73B85"/>
    <w:rsid w:val="4BF076A6"/>
    <w:rsid w:val="4BF478AD"/>
    <w:rsid w:val="4C17384D"/>
    <w:rsid w:val="4C1E06B7"/>
    <w:rsid w:val="4C251A45"/>
    <w:rsid w:val="4C257A37"/>
    <w:rsid w:val="4C365851"/>
    <w:rsid w:val="4C395894"/>
    <w:rsid w:val="4C552A37"/>
    <w:rsid w:val="4C64712B"/>
    <w:rsid w:val="4C700EF1"/>
    <w:rsid w:val="4C760354"/>
    <w:rsid w:val="4C891B35"/>
    <w:rsid w:val="4CE216E4"/>
    <w:rsid w:val="4D48432B"/>
    <w:rsid w:val="4D4E6D7A"/>
    <w:rsid w:val="4D602EB3"/>
    <w:rsid w:val="4D7F6F33"/>
    <w:rsid w:val="4DA62A1D"/>
    <w:rsid w:val="4DD249F3"/>
    <w:rsid w:val="4DDE31B9"/>
    <w:rsid w:val="4DED20EF"/>
    <w:rsid w:val="4DF50B78"/>
    <w:rsid w:val="4E0C6D44"/>
    <w:rsid w:val="4E370904"/>
    <w:rsid w:val="4E4B5067"/>
    <w:rsid w:val="4E6938E7"/>
    <w:rsid w:val="4E6A5759"/>
    <w:rsid w:val="4E6F0D56"/>
    <w:rsid w:val="4E701DC0"/>
    <w:rsid w:val="4E7E543D"/>
    <w:rsid w:val="4E930B11"/>
    <w:rsid w:val="4E93713A"/>
    <w:rsid w:val="4EBB21ED"/>
    <w:rsid w:val="4ECA741E"/>
    <w:rsid w:val="4EEF00E8"/>
    <w:rsid w:val="4F006719"/>
    <w:rsid w:val="4F2E489B"/>
    <w:rsid w:val="4F4C72E9"/>
    <w:rsid w:val="4F5166AD"/>
    <w:rsid w:val="4F561F16"/>
    <w:rsid w:val="4F5D25FD"/>
    <w:rsid w:val="4F643265"/>
    <w:rsid w:val="4F741231"/>
    <w:rsid w:val="4FB23B12"/>
    <w:rsid w:val="4FB41D44"/>
    <w:rsid w:val="4FB93303"/>
    <w:rsid w:val="4FBC32D6"/>
    <w:rsid w:val="4FC60E49"/>
    <w:rsid w:val="50105D76"/>
    <w:rsid w:val="50203C86"/>
    <w:rsid w:val="50300C5A"/>
    <w:rsid w:val="503A35E5"/>
    <w:rsid w:val="50470356"/>
    <w:rsid w:val="50A86B66"/>
    <w:rsid w:val="50BF6E81"/>
    <w:rsid w:val="50FF0870"/>
    <w:rsid w:val="51114BFD"/>
    <w:rsid w:val="511C3DE5"/>
    <w:rsid w:val="513D513B"/>
    <w:rsid w:val="513F080C"/>
    <w:rsid w:val="518E2B89"/>
    <w:rsid w:val="51A206CC"/>
    <w:rsid w:val="51A86022"/>
    <w:rsid w:val="51CE4B40"/>
    <w:rsid w:val="51FE3FDB"/>
    <w:rsid w:val="52654DCD"/>
    <w:rsid w:val="5268268C"/>
    <w:rsid w:val="526E4B08"/>
    <w:rsid w:val="528B1ED6"/>
    <w:rsid w:val="52993685"/>
    <w:rsid w:val="52B864E1"/>
    <w:rsid w:val="52D719EE"/>
    <w:rsid w:val="52D834DA"/>
    <w:rsid w:val="52DA541F"/>
    <w:rsid w:val="52E83C7D"/>
    <w:rsid w:val="5306542C"/>
    <w:rsid w:val="530869B1"/>
    <w:rsid w:val="530A15C8"/>
    <w:rsid w:val="533662E6"/>
    <w:rsid w:val="53390376"/>
    <w:rsid w:val="533A0E61"/>
    <w:rsid w:val="533C1C56"/>
    <w:rsid w:val="533E6DB5"/>
    <w:rsid w:val="53563C96"/>
    <w:rsid w:val="53796D79"/>
    <w:rsid w:val="53842532"/>
    <w:rsid w:val="53914B2C"/>
    <w:rsid w:val="53DC38BE"/>
    <w:rsid w:val="53E01E88"/>
    <w:rsid w:val="540A24A6"/>
    <w:rsid w:val="541D6439"/>
    <w:rsid w:val="5438608E"/>
    <w:rsid w:val="546A09A4"/>
    <w:rsid w:val="549E4143"/>
    <w:rsid w:val="54A77BD0"/>
    <w:rsid w:val="54DE52B7"/>
    <w:rsid w:val="54E87AB4"/>
    <w:rsid w:val="54F75F49"/>
    <w:rsid w:val="55190391"/>
    <w:rsid w:val="551E5284"/>
    <w:rsid w:val="552535BC"/>
    <w:rsid w:val="553813F1"/>
    <w:rsid w:val="557E3F74"/>
    <w:rsid w:val="55821076"/>
    <w:rsid w:val="55FE03D8"/>
    <w:rsid w:val="56140811"/>
    <w:rsid w:val="56175813"/>
    <w:rsid w:val="56292132"/>
    <w:rsid w:val="56493792"/>
    <w:rsid w:val="56562A21"/>
    <w:rsid w:val="565A22EB"/>
    <w:rsid w:val="56777341"/>
    <w:rsid w:val="567E247E"/>
    <w:rsid w:val="569577C7"/>
    <w:rsid w:val="569937BA"/>
    <w:rsid w:val="56D402F0"/>
    <w:rsid w:val="57160908"/>
    <w:rsid w:val="572F4B71"/>
    <w:rsid w:val="5730129E"/>
    <w:rsid w:val="57432FF9"/>
    <w:rsid w:val="575329D5"/>
    <w:rsid w:val="576E139F"/>
    <w:rsid w:val="57790E97"/>
    <w:rsid w:val="57B4461F"/>
    <w:rsid w:val="57FF1107"/>
    <w:rsid w:val="581E3B14"/>
    <w:rsid w:val="5837687D"/>
    <w:rsid w:val="583F5C3D"/>
    <w:rsid w:val="5849381E"/>
    <w:rsid w:val="589A5311"/>
    <w:rsid w:val="589F01E1"/>
    <w:rsid w:val="589F66DB"/>
    <w:rsid w:val="58C63D7C"/>
    <w:rsid w:val="5918680C"/>
    <w:rsid w:val="594015B1"/>
    <w:rsid w:val="59464DA9"/>
    <w:rsid w:val="5951436D"/>
    <w:rsid w:val="59554FEC"/>
    <w:rsid w:val="595A0DC1"/>
    <w:rsid w:val="596B6C26"/>
    <w:rsid w:val="596D4A2C"/>
    <w:rsid w:val="599B0EFC"/>
    <w:rsid w:val="599C2C1B"/>
    <w:rsid w:val="599C7120"/>
    <w:rsid w:val="59B87DFF"/>
    <w:rsid w:val="59BD150F"/>
    <w:rsid w:val="59BD511F"/>
    <w:rsid w:val="59D55207"/>
    <w:rsid w:val="59F2174F"/>
    <w:rsid w:val="5A130C2C"/>
    <w:rsid w:val="5A33357F"/>
    <w:rsid w:val="5A392A01"/>
    <w:rsid w:val="5A39563D"/>
    <w:rsid w:val="5A427C66"/>
    <w:rsid w:val="5A551621"/>
    <w:rsid w:val="5A6377F9"/>
    <w:rsid w:val="5A82486D"/>
    <w:rsid w:val="5A92249C"/>
    <w:rsid w:val="5AE0581C"/>
    <w:rsid w:val="5AE96334"/>
    <w:rsid w:val="5B073D10"/>
    <w:rsid w:val="5B24395F"/>
    <w:rsid w:val="5B2F3729"/>
    <w:rsid w:val="5B31213F"/>
    <w:rsid w:val="5B5F738D"/>
    <w:rsid w:val="5BA147A5"/>
    <w:rsid w:val="5BA54009"/>
    <w:rsid w:val="5BDB3ECE"/>
    <w:rsid w:val="5BE43388"/>
    <w:rsid w:val="5C142F3C"/>
    <w:rsid w:val="5C643EC4"/>
    <w:rsid w:val="5C857737"/>
    <w:rsid w:val="5CCF1148"/>
    <w:rsid w:val="5CD53D28"/>
    <w:rsid w:val="5CE9389A"/>
    <w:rsid w:val="5CF718B7"/>
    <w:rsid w:val="5D0460DC"/>
    <w:rsid w:val="5D156F6C"/>
    <w:rsid w:val="5D2366CB"/>
    <w:rsid w:val="5D3331A6"/>
    <w:rsid w:val="5D8A153C"/>
    <w:rsid w:val="5D8F31C2"/>
    <w:rsid w:val="5DE1497B"/>
    <w:rsid w:val="5E135BA1"/>
    <w:rsid w:val="5E1D1079"/>
    <w:rsid w:val="5E211941"/>
    <w:rsid w:val="5E565A8E"/>
    <w:rsid w:val="5E6D59C3"/>
    <w:rsid w:val="5E8537C2"/>
    <w:rsid w:val="5E9341CF"/>
    <w:rsid w:val="5E9C0CBE"/>
    <w:rsid w:val="5EAC1B52"/>
    <w:rsid w:val="5EB82C3C"/>
    <w:rsid w:val="5EDA6373"/>
    <w:rsid w:val="5EEB4155"/>
    <w:rsid w:val="5EF46D8B"/>
    <w:rsid w:val="5F0453BF"/>
    <w:rsid w:val="5F160858"/>
    <w:rsid w:val="5F182D44"/>
    <w:rsid w:val="5F1A6ABC"/>
    <w:rsid w:val="5F3D1A39"/>
    <w:rsid w:val="5F5A15AE"/>
    <w:rsid w:val="5F8F4324"/>
    <w:rsid w:val="5F9C1BC7"/>
    <w:rsid w:val="5FA86D63"/>
    <w:rsid w:val="5FBD0C6B"/>
    <w:rsid w:val="5FC4513D"/>
    <w:rsid w:val="5FFB68ED"/>
    <w:rsid w:val="600A2FD4"/>
    <w:rsid w:val="601F4136"/>
    <w:rsid w:val="6022031E"/>
    <w:rsid w:val="606B1A9D"/>
    <w:rsid w:val="609B022F"/>
    <w:rsid w:val="609F3D37"/>
    <w:rsid w:val="60AA69DE"/>
    <w:rsid w:val="60C05091"/>
    <w:rsid w:val="60FA236E"/>
    <w:rsid w:val="6102075D"/>
    <w:rsid w:val="61183C2B"/>
    <w:rsid w:val="614150DB"/>
    <w:rsid w:val="6151078F"/>
    <w:rsid w:val="61695AD8"/>
    <w:rsid w:val="617D1400"/>
    <w:rsid w:val="61903A3C"/>
    <w:rsid w:val="61C24BFD"/>
    <w:rsid w:val="61C471B3"/>
    <w:rsid w:val="61D76EE6"/>
    <w:rsid w:val="61DA0784"/>
    <w:rsid w:val="61E3018A"/>
    <w:rsid w:val="620079D8"/>
    <w:rsid w:val="620D46B6"/>
    <w:rsid w:val="62145A44"/>
    <w:rsid w:val="626004E0"/>
    <w:rsid w:val="62EA31E7"/>
    <w:rsid w:val="63332842"/>
    <w:rsid w:val="634A483E"/>
    <w:rsid w:val="635D166D"/>
    <w:rsid w:val="636903C9"/>
    <w:rsid w:val="637A3FCD"/>
    <w:rsid w:val="6386335A"/>
    <w:rsid w:val="639D4671"/>
    <w:rsid w:val="63C51B85"/>
    <w:rsid w:val="640B6EB8"/>
    <w:rsid w:val="640E5323"/>
    <w:rsid w:val="642B45E0"/>
    <w:rsid w:val="64366989"/>
    <w:rsid w:val="64540CC2"/>
    <w:rsid w:val="64604EAC"/>
    <w:rsid w:val="64740A1C"/>
    <w:rsid w:val="64805FF8"/>
    <w:rsid w:val="648F5856"/>
    <w:rsid w:val="64D7429C"/>
    <w:rsid w:val="64FF7350"/>
    <w:rsid w:val="653D443F"/>
    <w:rsid w:val="65434447"/>
    <w:rsid w:val="655306D7"/>
    <w:rsid w:val="6558008C"/>
    <w:rsid w:val="65677A9C"/>
    <w:rsid w:val="656F7113"/>
    <w:rsid w:val="65C43C25"/>
    <w:rsid w:val="65D200F0"/>
    <w:rsid w:val="65F73581"/>
    <w:rsid w:val="65FA31A3"/>
    <w:rsid w:val="663168CC"/>
    <w:rsid w:val="66457796"/>
    <w:rsid w:val="667B1CE6"/>
    <w:rsid w:val="66A5387A"/>
    <w:rsid w:val="66AD290B"/>
    <w:rsid w:val="66AD4B6E"/>
    <w:rsid w:val="66BC52CD"/>
    <w:rsid w:val="66C2621A"/>
    <w:rsid w:val="66D41C46"/>
    <w:rsid w:val="66F3712C"/>
    <w:rsid w:val="66FE060F"/>
    <w:rsid w:val="67573E7B"/>
    <w:rsid w:val="6764746E"/>
    <w:rsid w:val="67656B1B"/>
    <w:rsid w:val="679542C8"/>
    <w:rsid w:val="67A402FE"/>
    <w:rsid w:val="67AE419D"/>
    <w:rsid w:val="67AF209E"/>
    <w:rsid w:val="67B22635"/>
    <w:rsid w:val="67B60664"/>
    <w:rsid w:val="67BA56E4"/>
    <w:rsid w:val="67BE74C9"/>
    <w:rsid w:val="67BE78BA"/>
    <w:rsid w:val="67C47F0C"/>
    <w:rsid w:val="67C80D98"/>
    <w:rsid w:val="67FB70A1"/>
    <w:rsid w:val="681C5653"/>
    <w:rsid w:val="681C6F9F"/>
    <w:rsid w:val="683769EB"/>
    <w:rsid w:val="683C6122"/>
    <w:rsid w:val="683F0DF2"/>
    <w:rsid w:val="684F37DE"/>
    <w:rsid w:val="68A1024E"/>
    <w:rsid w:val="68AE714D"/>
    <w:rsid w:val="68B2669E"/>
    <w:rsid w:val="68CB6160"/>
    <w:rsid w:val="68E22B52"/>
    <w:rsid w:val="68E87C2B"/>
    <w:rsid w:val="68EB131E"/>
    <w:rsid w:val="68F3373D"/>
    <w:rsid w:val="69182A19"/>
    <w:rsid w:val="691F0B40"/>
    <w:rsid w:val="69277887"/>
    <w:rsid w:val="694F1A58"/>
    <w:rsid w:val="695C464F"/>
    <w:rsid w:val="69764021"/>
    <w:rsid w:val="69764EE6"/>
    <w:rsid w:val="698C50B9"/>
    <w:rsid w:val="698E1753"/>
    <w:rsid w:val="69987899"/>
    <w:rsid w:val="69B642C0"/>
    <w:rsid w:val="69D47128"/>
    <w:rsid w:val="69F07ED0"/>
    <w:rsid w:val="69FE3890"/>
    <w:rsid w:val="6A10379F"/>
    <w:rsid w:val="6A1D3904"/>
    <w:rsid w:val="6A3273AF"/>
    <w:rsid w:val="6A4F72AA"/>
    <w:rsid w:val="6A5F4443"/>
    <w:rsid w:val="6A636242"/>
    <w:rsid w:val="6A7A0A2B"/>
    <w:rsid w:val="6A7F636D"/>
    <w:rsid w:val="6AB161D5"/>
    <w:rsid w:val="6AC67AF8"/>
    <w:rsid w:val="6AC87D14"/>
    <w:rsid w:val="6ADE7537"/>
    <w:rsid w:val="6AF26B3F"/>
    <w:rsid w:val="6B133F99"/>
    <w:rsid w:val="6B221B0E"/>
    <w:rsid w:val="6B426B13"/>
    <w:rsid w:val="6B9419A4"/>
    <w:rsid w:val="6B961BC0"/>
    <w:rsid w:val="6BA20565"/>
    <w:rsid w:val="6BBE4C73"/>
    <w:rsid w:val="6BC4672D"/>
    <w:rsid w:val="6BCA186A"/>
    <w:rsid w:val="6C1F1BB5"/>
    <w:rsid w:val="6C364F34"/>
    <w:rsid w:val="6C3A4520"/>
    <w:rsid w:val="6C6204DD"/>
    <w:rsid w:val="6C7543E1"/>
    <w:rsid w:val="6C7D42B4"/>
    <w:rsid w:val="6C8A3E98"/>
    <w:rsid w:val="6C9159A5"/>
    <w:rsid w:val="6C963B87"/>
    <w:rsid w:val="6CA96079"/>
    <w:rsid w:val="6CAC1F8A"/>
    <w:rsid w:val="6CAD0F6F"/>
    <w:rsid w:val="6CB95D72"/>
    <w:rsid w:val="6CC81EA4"/>
    <w:rsid w:val="6D2D5C52"/>
    <w:rsid w:val="6D37776E"/>
    <w:rsid w:val="6D69517B"/>
    <w:rsid w:val="6D895E36"/>
    <w:rsid w:val="6D8F614F"/>
    <w:rsid w:val="6DD644F6"/>
    <w:rsid w:val="6E131888"/>
    <w:rsid w:val="6E216977"/>
    <w:rsid w:val="6EC6456A"/>
    <w:rsid w:val="6EC8214A"/>
    <w:rsid w:val="6EDF73DA"/>
    <w:rsid w:val="6EF8176A"/>
    <w:rsid w:val="6F1976C8"/>
    <w:rsid w:val="6F1D055D"/>
    <w:rsid w:val="6F4A0A27"/>
    <w:rsid w:val="6F634051"/>
    <w:rsid w:val="6F926779"/>
    <w:rsid w:val="6F99134C"/>
    <w:rsid w:val="6F9D691F"/>
    <w:rsid w:val="6FFC5967"/>
    <w:rsid w:val="70021CEB"/>
    <w:rsid w:val="703412AA"/>
    <w:rsid w:val="704838FD"/>
    <w:rsid w:val="7066454C"/>
    <w:rsid w:val="707F6878"/>
    <w:rsid w:val="709119F6"/>
    <w:rsid w:val="709C1A26"/>
    <w:rsid w:val="70AF7F0C"/>
    <w:rsid w:val="70BC644D"/>
    <w:rsid w:val="70C42D2B"/>
    <w:rsid w:val="70D16063"/>
    <w:rsid w:val="70F562D7"/>
    <w:rsid w:val="713D64DC"/>
    <w:rsid w:val="714A1292"/>
    <w:rsid w:val="718720E0"/>
    <w:rsid w:val="71941D4C"/>
    <w:rsid w:val="71F040F8"/>
    <w:rsid w:val="71F7318A"/>
    <w:rsid w:val="720634E7"/>
    <w:rsid w:val="72094B9E"/>
    <w:rsid w:val="721A3870"/>
    <w:rsid w:val="724F3AC4"/>
    <w:rsid w:val="72587BCF"/>
    <w:rsid w:val="72873F22"/>
    <w:rsid w:val="728E35F1"/>
    <w:rsid w:val="72DB435C"/>
    <w:rsid w:val="731750C1"/>
    <w:rsid w:val="737C6513"/>
    <w:rsid w:val="739641CD"/>
    <w:rsid w:val="73B150DD"/>
    <w:rsid w:val="73F76C73"/>
    <w:rsid w:val="740578E3"/>
    <w:rsid w:val="740C0054"/>
    <w:rsid w:val="740E37EB"/>
    <w:rsid w:val="746135D3"/>
    <w:rsid w:val="74825670"/>
    <w:rsid w:val="74C104FD"/>
    <w:rsid w:val="74C51768"/>
    <w:rsid w:val="74D25A6A"/>
    <w:rsid w:val="753541F8"/>
    <w:rsid w:val="755443BE"/>
    <w:rsid w:val="755B467D"/>
    <w:rsid w:val="7564688B"/>
    <w:rsid w:val="75781DD0"/>
    <w:rsid w:val="757F5473"/>
    <w:rsid w:val="75824D9D"/>
    <w:rsid w:val="75862CA5"/>
    <w:rsid w:val="75AB1C93"/>
    <w:rsid w:val="75AF3FAA"/>
    <w:rsid w:val="75E673A8"/>
    <w:rsid w:val="761B163F"/>
    <w:rsid w:val="761F3505"/>
    <w:rsid w:val="764543D4"/>
    <w:rsid w:val="76486327"/>
    <w:rsid w:val="76515061"/>
    <w:rsid w:val="76695DFA"/>
    <w:rsid w:val="766C1E9B"/>
    <w:rsid w:val="76810114"/>
    <w:rsid w:val="768D7DB0"/>
    <w:rsid w:val="76941E85"/>
    <w:rsid w:val="76C23869"/>
    <w:rsid w:val="76E41762"/>
    <w:rsid w:val="76E46ECE"/>
    <w:rsid w:val="77106D18"/>
    <w:rsid w:val="7717316E"/>
    <w:rsid w:val="771E022B"/>
    <w:rsid w:val="77603777"/>
    <w:rsid w:val="77786406"/>
    <w:rsid w:val="77901BB9"/>
    <w:rsid w:val="779B3C6B"/>
    <w:rsid w:val="77AB5706"/>
    <w:rsid w:val="77BD3D54"/>
    <w:rsid w:val="77C7479C"/>
    <w:rsid w:val="77F71C38"/>
    <w:rsid w:val="78054167"/>
    <w:rsid w:val="787B3EF7"/>
    <w:rsid w:val="787D26D8"/>
    <w:rsid w:val="788E3223"/>
    <w:rsid w:val="78D637C7"/>
    <w:rsid w:val="78E06AB0"/>
    <w:rsid w:val="793C43EA"/>
    <w:rsid w:val="795805F1"/>
    <w:rsid w:val="79685874"/>
    <w:rsid w:val="798E0318"/>
    <w:rsid w:val="798F060C"/>
    <w:rsid w:val="79AF62F8"/>
    <w:rsid w:val="79E41D48"/>
    <w:rsid w:val="79F01427"/>
    <w:rsid w:val="7A0D2DBC"/>
    <w:rsid w:val="7A1F0FD2"/>
    <w:rsid w:val="7A326EC1"/>
    <w:rsid w:val="7A3727C0"/>
    <w:rsid w:val="7A556F82"/>
    <w:rsid w:val="7A721678"/>
    <w:rsid w:val="7AC415A1"/>
    <w:rsid w:val="7AD93877"/>
    <w:rsid w:val="7ADB3C24"/>
    <w:rsid w:val="7B031C60"/>
    <w:rsid w:val="7B6C39BD"/>
    <w:rsid w:val="7BB65DCF"/>
    <w:rsid w:val="7BE25BDD"/>
    <w:rsid w:val="7BF02535"/>
    <w:rsid w:val="7BF53DED"/>
    <w:rsid w:val="7BFC0690"/>
    <w:rsid w:val="7C10112E"/>
    <w:rsid w:val="7C1D50F5"/>
    <w:rsid w:val="7C52568F"/>
    <w:rsid w:val="7C55517F"/>
    <w:rsid w:val="7C6106D5"/>
    <w:rsid w:val="7C6151AF"/>
    <w:rsid w:val="7C867CD4"/>
    <w:rsid w:val="7CBD556F"/>
    <w:rsid w:val="7CC540BD"/>
    <w:rsid w:val="7CEA5D42"/>
    <w:rsid w:val="7D0E5A5A"/>
    <w:rsid w:val="7D1E37C3"/>
    <w:rsid w:val="7D373771"/>
    <w:rsid w:val="7D423759"/>
    <w:rsid w:val="7D695F1A"/>
    <w:rsid w:val="7D712C70"/>
    <w:rsid w:val="7D816BD7"/>
    <w:rsid w:val="7D935B21"/>
    <w:rsid w:val="7D9C7B7D"/>
    <w:rsid w:val="7DC7768E"/>
    <w:rsid w:val="7DD956AA"/>
    <w:rsid w:val="7DE1316F"/>
    <w:rsid w:val="7E2D5B39"/>
    <w:rsid w:val="7E3341C8"/>
    <w:rsid w:val="7E42351F"/>
    <w:rsid w:val="7E7E6C0F"/>
    <w:rsid w:val="7EC81FBE"/>
    <w:rsid w:val="7ED160D1"/>
    <w:rsid w:val="7EDB5E10"/>
    <w:rsid w:val="7EEB3E84"/>
    <w:rsid w:val="7EEE3521"/>
    <w:rsid w:val="7F211349"/>
    <w:rsid w:val="7F2B4D67"/>
    <w:rsid w:val="7F405C73"/>
    <w:rsid w:val="7F565B5F"/>
    <w:rsid w:val="7F917991"/>
    <w:rsid w:val="7F9F5AC1"/>
    <w:rsid w:val="7FC73101"/>
    <w:rsid w:val="7FCB7C32"/>
    <w:rsid w:val="7FF3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numPr>
        <w:ilvl w:val="3"/>
        <w:numId w:val="1"/>
      </w:numPr>
      <w:spacing w:before="120" w:after="120" w:line="360" w:lineRule="auto"/>
      <w:ind w:left="0" w:firstLine="0" w:firstLineChars="0"/>
      <w:outlineLvl w:val="3"/>
    </w:pPr>
    <w:rPr>
      <w:rFonts w:ascii="Arial" w:hAnsi="Arial"/>
      <w:b/>
      <w:bCs/>
      <w:sz w:val="24"/>
      <w:szCs w:val="28"/>
    </w:rPr>
  </w:style>
  <w:style w:type="paragraph" w:styleId="8">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7">
    <w:name w:val="正文2"/>
    <w:basedOn w:val="1"/>
    <w:qFormat/>
    <w:uiPriority w:val="0"/>
    <w:pPr>
      <w:spacing w:line="360" w:lineRule="auto"/>
      <w:ind w:firstLine="420" w:firstLineChars="200"/>
    </w:pPr>
  </w:style>
  <w:style w:type="paragraph" w:styleId="9">
    <w:name w:val="Normal Indent"/>
    <w:basedOn w:val="1"/>
    <w:autoRedefine/>
    <w:qFormat/>
    <w:uiPriority w:val="0"/>
    <w:pPr>
      <w:autoSpaceDE w:val="0"/>
      <w:autoSpaceDN w:val="0"/>
      <w:adjustRightInd w:val="0"/>
      <w:ind w:firstLine="420"/>
    </w:pPr>
    <w:rPr>
      <w:rFonts w:ascii="宋体"/>
      <w:szCs w:val="20"/>
    </w:rPr>
  </w:style>
  <w:style w:type="paragraph" w:styleId="10">
    <w:name w:val="toa heading"/>
    <w:basedOn w:val="1"/>
    <w:next w:val="1"/>
    <w:autoRedefine/>
    <w:qFormat/>
    <w:uiPriority w:val="0"/>
    <w:pPr>
      <w:spacing w:before="120"/>
    </w:pPr>
    <w:rPr>
      <w:rFonts w:ascii="Cambria" w:hAnsi="Cambria"/>
      <w:szCs w:val="20"/>
    </w:rPr>
  </w:style>
  <w:style w:type="paragraph" w:styleId="11">
    <w:name w:val="annotation text"/>
    <w:basedOn w:val="1"/>
    <w:qFormat/>
    <w:uiPriority w:val="0"/>
    <w:pPr>
      <w:jc w:val="left"/>
    </w:pPr>
  </w:style>
  <w:style w:type="paragraph" w:styleId="12">
    <w:name w:val="Body Text"/>
    <w:basedOn w:val="1"/>
    <w:next w:val="1"/>
    <w:autoRedefine/>
    <w:qFormat/>
    <w:uiPriority w:val="99"/>
    <w:pPr>
      <w:numPr>
        <w:ilvl w:val="0"/>
        <w:numId w:val="2"/>
      </w:numPr>
      <w:tabs>
        <w:tab w:val="clear" w:pos="780"/>
      </w:tabs>
      <w:ind w:left="0" w:firstLine="0"/>
    </w:pPr>
    <w:rPr>
      <w:rFonts w:ascii="黑体" w:eastAsia="黑体"/>
      <w:sz w:val="22"/>
    </w:rPr>
  </w:style>
  <w:style w:type="paragraph" w:styleId="13">
    <w:name w:val="Body Text Indent"/>
    <w:basedOn w:val="1"/>
    <w:autoRedefine/>
    <w:qFormat/>
    <w:uiPriority w:val="0"/>
    <w:pPr>
      <w:spacing w:after="120"/>
      <w:ind w:left="200" w:leftChars="200"/>
    </w:pPr>
  </w:style>
  <w:style w:type="paragraph" w:styleId="14">
    <w:name w:val="Plain Text"/>
    <w:basedOn w:val="1"/>
    <w:next w:val="15"/>
    <w:autoRedefine/>
    <w:qFormat/>
    <w:uiPriority w:val="0"/>
    <w:rPr>
      <w:rFonts w:ascii="宋体"/>
      <w:szCs w:val="20"/>
      <w:u w:color="000000"/>
    </w:rPr>
  </w:style>
  <w:style w:type="paragraph" w:styleId="15">
    <w:name w:val="index 7"/>
    <w:basedOn w:val="1"/>
    <w:next w:val="1"/>
    <w:autoRedefine/>
    <w:qFormat/>
    <w:uiPriority w:val="0"/>
    <w:pPr>
      <w:ind w:left="1200" w:leftChars="1200"/>
    </w:pPr>
    <w:rPr>
      <w:color w:val="auto"/>
      <w:kern w:val="2"/>
    </w:rPr>
  </w:style>
  <w:style w:type="paragraph" w:styleId="16">
    <w:name w:val="Date"/>
    <w:basedOn w:val="1"/>
    <w:next w:val="1"/>
    <w:autoRedefine/>
    <w:qFormat/>
    <w:uiPriority w:val="0"/>
    <w:rPr>
      <w:rFonts w:ascii="Arial" w:hAnsi="Arial" w:eastAsia="仿宋_GB2312"/>
      <w:sz w:val="32"/>
      <w:szCs w:val="20"/>
      <w:u w:color="000000"/>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autoRedefine/>
    <w:semiHidden/>
    <w:unhideWhenUsed/>
    <w:qFormat/>
    <w:uiPriority w:val="99"/>
    <w:pPr>
      <w:snapToGrid w:val="0"/>
    </w:pPr>
    <w:rPr>
      <w:sz w:val="18"/>
      <w:szCs w:val="18"/>
    </w:rPr>
  </w:style>
  <w:style w:type="paragraph" w:styleId="21">
    <w:name w:val="Body Text 2"/>
    <w:basedOn w:val="1"/>
    <w:autoRedefine/>
    <w:qFormat/>
    <w:uiPriority w:val="0"/>
    <w:pPr>
      <w:tabs>
        <w:tab w:val="left" w:pos="0"/>
      </w:tabs>
      <w:spacing w:line="400" w:lineRule="atLeast"/>
    </w:pPr>
    <w:rPr>
      <w:rFonts w:ascii="Arial" w:hAnsi="Arial"/>
    </w:rPr>
  </w:style>
  <w:style w:type="paragraph" w:styleId="22">
    <w:name w:val="Normal (Web)"/>
    <w:basedOn w:val="1"/>
    <w:autoRedefine/>
    <w:qFormat/>
    <w:uiPriority w:val="99"/>
    <w:pPr>
      <w:widowControl/>
    </w:pPr>
    <w:rPr>
      <w:rFonts w:ascii="宋体" w:hAnsi="宋体" w:eastAsia="宋体" w:cs="宋体"/>
    </w:rPr>
  </w:style>
  <w:style w:type="paragraph" w:styleId="23">
    <w:name w:val="Title"/>
    <w:basedOn w:val="1"/>
    <w:next w:val="1"/>
    <w:autoRedefine/>
    <w:qFormat/>
    <w:uiPriority w:val="0"/>
    <w:pPr>
      <w:spacing w:before="240" w:after="60"/>
      <w:jc w:val="center"/>
      <w:outlineLvl w:val="0"/>
    </w:pPr>
    <w:rPr>
      <w:rFonts w:ascii="Cambria" w:hAnsi="Cambria"/>
      <w:b/>
      <w:bCs/>
      <w:sz w:val="32"/>
      <w:szCs w:val="32"/>
    </w:rPr>
  </w:style>
  <w:style w:type="paragraph" w:styleId="24">
    <w:name w:val="Body Text First Indent"/>
    <w:basedOn w:val="12"/>
    <w:autoRedefine/>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paragraph" w:styleId="25">
    <w:name w:val="Body Text First Indent 2"/>
    <w:basedOn w:val="13"/>
    <w:autoRedefine/>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Hyperlink"/>
    <w:autoRedefine/>
    <w:qFormat/>
    <w:uiPriority w:val="99"/>
    <w:rPr>
      <w:color w:val="0000FF"/>
      <w:u w:val="single"/>
    </w:rPr>
  </w:style>
  <w:style w:type="character" w:styleId="31">
    <w:name w:val="footnote reference"/>
    <w:basedOn w:val="28"/>
    <w:autoRedefine/>
    <w:semiHidden/>
    <w:unhideWhenUsed/>
    <w:qFormat/>
    <w:uiPriority w:val="99"/>
    <w:rPr>
      <w:vertAlign w:val="superscript"/>
    </w:rPr>
  </w:style>
  <w:style w:type="paragraph" w:customStyle="1" w:styleId="32">
    <w:name w:val="NormalIndent"/>
    <w:basedOn w:val="1"/>
    <w:qFormat/>
    <w:uiPriority w:val="0"/>
    <w:pPr>
      <w:widowControl/>
      <w:spacing w:before="50" w:line="360" w:lineRule="auto"/>
      <w:ind w:firstLine="420" w:firstLineChars="200"/>
      <w:jc w:val="both"/>
      <w:textAlignment w:val="baseline"/>
    </w:pPr>
    <w:rPr>
      <w:rFonts w:ascii="Times New Roman" w:hAnsi="Times New Roman"/>
      <w:kern w:val="2"/>
      <w:sz w:val="24"/>
      <w:szCs w:val="20"/>
      <w:lang w:val="en-US" w:eastAsia="zh-CN" w:bidi="ar-SA"/>
    </w:rPr>
  </w:style>
  <w:style w:type="paragraph" w:customStyle="1" w:styleId="33">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正文格式"/>
    <w:basedOn w:val="1"/>
    <w:autoRedefine/>
    <w:qFormat/>
    <w:uiPriority w:val="99"/>
    <w:pPr>
      <w:widowControl/>
      <w:adjustRightInd w:val="0"/>
      <w:snapToGrid w:val="0"/>
      <w:spacing w:line="400" w:lineRule="atLeast"/>
      <w:ind w:firstLine="482"/>
      <w:textAlignment w:val="baseline"/>
    </w:pPr>
  </w:style>
  <w:style w:type="paragraph" w:customStyle="1" w:styleId="36">
    <w:name w:val="文档正文"/>
    <w:basedOn w:val="9"/>
    <w:autoRedefine/>
    <w:qFormat/>
    <w:uiPriority w:val="0"/>
    <w:pPr>
      <w:spacing w:line="360" w:lineRule="auto"/>
    </w:pPr>
    <w:rPr>
      <w:rFonts w:hAnsi="宋体"/>
      <w:b/>
      <w:bCs/>
    </w:rPr>
  </w:style>
  <w:style w:type="paragraph" w:customStyle="1" w:styleId="37">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autoRedefine/>
    <w:qFormat/>
    <w:uiPriority w:val="0"/>
    <w:rPr>
      <w:rFonts w:ascii="宋体" w:hAnsi="宋体" w:eastAsia="宋体" w:cs="宋体"/>
      <w:sz w:val="22"/>
      <w:szCs w:val="22"/>
      <w:lang w:val="zh-TW" w:eastAsia="zh-TW" w:bidi="zh-TW"/>
    </w:rPr>
  </w:style>
  <w:style w:type="paragraph" w:customStyle="1" w:styleId="43">
    <w:name w:val="Table Paragraph"/>
    <w:basedOn w:val="1"/>
    <w:autoRedefine/>
    <w:qFormat/>
    <w:uiPriority w:val="1"/>
    <w:pPr>
      <w:autoSpaceDE w:val="0"/>
      <w:autoSpaceDN w:val="0"/>
      <w:adjustRightInd w:val="0"/>
    </w:pPr>
    <w:rPr>
      <w:rFonts w:eastAsia="宋体"/>
    </w:rPr>
  </w:style>
  <w:style w:type="paragraph" w:customStyle="1" w:styleId="44">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WPS Plain"/>
    <w:autoRedefine/>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autoRedefine/>
    <w:qFormat/>
    <w:uiPriority w:val="0"/>
    <w:pPr>
      <w:ind w:left="525" w:hanging="525" w:hangingChars="250"/>
    </w:pPr>
    <w:rPr>
      <w:szCs w:val="20"/>
    </w:rPr>
  </w:style>
  <w:style w:type="character" w:customStyle="1" w:styleId="48">
    <w:name w:val="font11"/>
    <w:basedOn w:val="28"/>
    <w:autoRedefine/>
    <w:qFormat/>
    <w:uiPriority w:val="0"/>
    <w:rPr>
      <w:rFonts w:ascii="Calibri" w:hAnsi="Calibri" w:cs="Calibri"/>
      <w:color w:val="000000"/>
      <w:sz w:val="20"/>
      <w:szCs w:val="20"/>
      <w:u w:val="none"/>
    </w:rPr>
  </w:style>
  <w:style w:type="paragraph" w:styleId="49">
    <w:name w:val="List Paragraph"/>
    <w:basedOn w:val="1"/>
    <w:autoRedefine/>
    <w:qFormat/>
    <w:uiPriority w:val="0"/>
    <w:pPr>
      <w:widowControl/>
      <w:ind w:firstLine="420" w:firstLineChars="200"/>
    </w:pPr>
  </w:style>
  <w:style w:type="paragraph" w:customStyle="1" w:styleId="50">
    <w:name w:val="列出段落1"/>
    <w:basedOn w:val="1"/>
    <w:autoRedefine/>
    <w:qFormat/>
    <w:uiPriority w:val="34"/>
    <w:pPr>
      <w:ind w:firstLine="420" w:firstLineChars="200"/>
    </w:p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53">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character" w:customStyle="1" w:styleId="54">
    <w:name w:val="font61"/>
    <w:basedOn w:val="28"/>
    <w:autoRedefine/>
    <w:qFormat/>
    <w:uiPriority w:val="0"/>
    <w:rPr>
      <w:rFonts w:hint="default" w:ascii="方正仿宋_GBK" w:hAnsi="方正仿宋_GBK" w:eastAsia="方正仿宋_GBK" w:cs="方正仿宋_GBK"/>
      <w:color w:val="000000"/>
      <w:sz w:val="18"/>
      <w:szCs w:val="18"/>
      <w:u w:val="none"/>
    </w:rPr>
  </w:style>
  <w:style w:type="character" w:customStyle="1" w:styleId="55">
    <w:name w:val="font121"/>
    <w:basedOn w:val="28"/>
    <w:autoRedefine/>
    <w:qFormat/>
    <w:uiPriority w:val="0"/>
    <w:rPr>
      <w:rFonts w:hint="eastAsia" w:ascii="宋体" w:hAnsi="宋体" w:eastAsia="宋体" w:cs="宋体"/>
      <w:color w:val="000000"/>
      <w:sz w:val="18"/>
      <w:szCs w:val="18"/>
      <w:u w:val="none"/>
    </w:rPr>
  </w:style>
  <w:style w:type="character" w:customStyle="1" w:styleId="56">
    <w:name w:val="font51"/>
    <w:basedOn w:val="28"/>
    <w:autoRedefine/>
    <w:qFormat/>
    <w:uiPriority w:val="0"/>
    <w:rPr>
      <w:rFonts w:hint="default" w:ascii="Arial" w:hAnsi="Arial" w:cs="Arial"/>
      <w:color w:val="000000"/>
      <w:sz w:val="18"/>
      <w:szCs w:val="18"/>
      <w:u w:val="none"/>
    </w:rPr>
  </w:style>
  <w:style w:type="character" w:customStyle="1" w:styleId="57">
    <w:name w:val="font31"/>
    <w:basedOn w:val="28"/>
    <w:autoRedefine/>
    <w:qFormat/>
    <w:uiPriority w:val="0"/>
    <w:rPr>
      <w:rFonts w:hint="eastAsia" w:ascii="宋体" w:hAnsi="宋体" w:eastAsia="宋体" w:cs="宋体"/>
      <w:color w:val="000000"/>
      <w:sz w:val="22"/>
      <w:szCs w:val="22"/>
      <w:u w:val="none"/>
    </w:rPr>
  </w:style>
  <w:style w:type="character" w:customStyle="1" w:styleId="58">
    <w:name w:val="font41"/>
    <w:basedOn w:val="28"/>
    <w:autoRedefine/>
    <w:qFormat/>
    <w:uiPriority w:val="0"/>
    <w:rPr>
      <w:rFonts w:hint="eastAsia" w:ascii="宋体" w:hAnsi="宋体" w:eastAsia="宋体" w:cs="宋体"/>
      <w:color w:val="000000"/>
      <w:sz w:val="18"/>
      <w:szCs w:val="18"/>
      <w:u w:val="none"/>
    </w:rPr>
  </w:style>
  <w:style w:type="character" w:customStyle="1" w:styleId="59">
    <w:name w:val="font01"/>
    <w:basedOn w:val="28"/>
    <w:autoRedefine/>
    <w:qFormat/>
    <w:uiPriority w:val="0"/>
    <w:rPr>
      <w:rFonts w:hint="eastAsia" w:ascii="宋体" w:hAnsi="宋体" w:eastAsia="宋体" w:cs="宋体"/>
      <w:color w:val="000000"/>
      <w:sz w:val="22"/>
      <w:szCs w:val="22"/>
      <w:u w:val="none"/>
    </w:rPr>
  </w:style>
  <w:style w:type="character" w:customStyle="1" w:styleId="60">
    <w:name w:val="font21"/>
    <w:basedOn w:val="28"/>
    <w:autoRedefine/>
    <w:qFormat/>
    <w:uiPriority w:val="0"/>
    <w:rPr>
      <w:rFonts w:hint="eastAsia" w:ascii="宋体" w:hAnsi="宋体" w:eastAsia="宋体" w:cs="宋体"/>
      <w:color w:val="00B050"/>
      <w:sz w:val="20"/>
      <w:szCs w:val="20"/>
      <w:u w:val="none"/>
    </w:rPr>
  </w:style>
  <w:style w:type="character" w:customStyle="1" w:styleId="61">
    <w:name w:val="font131"/>
    <w:basedOn w:val="28"/>
    <w:autoRedefine/>
    <w:qFormat/>
    <w:uiPriority w:val="0"/>
    <w:rPr>
      <w:rFonts w:hint="eastAsia" w:ascii="宋体" w:hAnsi="宋体" w:eastAsia="宋体" w:cs="宋体"/>
      <w:b/>
      <w:bCs/>
      <w:color w:val="000000"/>
      <w:sz w:val="18"/>
      <w:szCs w:val="18"/>
      <w:u w:val="none"/>
    </w:rPr>
  </w:style>
  <w:style w:type="character" w:customStyle="1" w:styleId="62">
    <w:name w:val="font141"/>
    <w:basedOn w:val="28"/>
    <w:autoRedefine/>
    <w:qFormat/>
    <w:uiPriority w:val="0"/>
    <w:rPr>
      <w:rFonts w:hint="eastAsia" w:ascii="宋体" w:hAnsi="宋体" w:eastAsia="宋体" w:cs="宋体"/>
      <w:color w:val="E54C5E"/>
      <w:sz w:val="20"/>
      <w:szCs w:val="20"/>
      <w:u w:val="none"/>
    </w:rPr>
  </w:style>
  <w:style w:type="paragraph" w:customStyle="1" w:styleId="63">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表格正文"/>
    <w:basedOn w:val="1"/>
    <w:qFormat/>
    <w:uiPriority w:val="0"/>
    <w:rPr>
      <w:sz w:val="21"/>
    </w:rPr>
  </w:style>
  <w:style w:type="paragraph" w:customStyle="1" w:styleId="65">
    <w:name w:val="纯文本1"/>
    <w:basedOn w:val="1"/>
    <w:qFormat/>
    <w:uiPriority w:val="0"/>
    <w:rPr>
      <w:rFonts w:ascii="宋体" w:hAnsi="Courier New"/>
      <w:kern w:val="0"/>
      <w:sz w:val="20"/>
      <w:szCs w:val="20"/>
    </w:rPr>
  </w:style>
  <w:style w:type="paragraph" w:customStyle="1" w:styleId="6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7">
    <w:name w:val="表格-内容"/>
    <w:qFormat/>
    <w:uiPriority w:val="0"/>
    <w:pPr>
      <w:jc w:val="both"/>
    </w:pPr>
    <w:rPr>
      <w:rFonts w:ascii="Times New Roman" w:hAnsi="Times New Roman" w:eastAsia="宋体" w:cstheme="minorBidi"/>
      <w:kern w:val="2"/>
      <w:sz w:val="21"/>
      <w:szCs w:val="21"/>
      <w:lang w:val="en-US" w:eastAsia="zh-CN" w:bidi="ar-SA"/>
    </w:rPr>
  </w:style>
  <w:style w:type="table" w:customStyle="1" w:styleId="68">
    <w:name w:val="网格型111"/>
    <w:basedOn w:val="2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108</Pages>
  <Words>18463</Words>
  <Characters>20055</Characters>
  <Lines>389</Lines>
  <Paragraphs>109</Paragraphs>
  <TotalTime>0</TotalTime>
  <ScaleCrop>false</ScaleCrop>
  <LinksUpToDate>false</LinksUpToDate>
  <CharactersWithSpaces>20465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2024-11-20T09:19:00Z</cp:lastPrinted>
  <dcterms:modified xsi:type="dcterms:W3CDTF">2024-11-20T10:12:34Z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BB6AB1E00F7648A59C93BA7D8631C11A_13</vt:lpwstr>
  </property>
</Properties>
</file>